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015B2F" w14:textId="77777777" w:rsidR="00D45C54" w:rsidRDefault="00D45C54">
      <w:pPr>
        <w:spacing w:before="60" w:after="60"/>
        <w:rPr>
          <w:rFonts w:cs="Times New Roman"/>
          <w:b/>
          <w:snapToGrid w:val="0"/>
        </w:rPr>
      </w:pPr>
      <w:bookmarkStart w:id="0" w:name="_Toc219090627"/>
    </w:p>
    <w:p w14:paraId="1A13E53B" w14:textId="77777777" w:rsidR="00D45C54" w:rsidRDefault="00D45C54">
      <w:pPr>
        <w:spacing w:before="60" w:after="60"/>
        <w:rPr>
          <w:rFonts w:cs="Times New Roman"/>
          <w:b/>
          <w:snapToGrid w:val="0"/>
        </w:rPr>
      </w:pPr>
    </w:p>
    <w:p w14:paraId="084DC308" w14:textId="43734491" w:rsidR="00D45C54" w:rsidRPr="00384EEC" w:rsidRDefault="00A309A8" w:rsidP="00384EEC">
      <w:pPr>
        <w:spacing w:before="60" w:after="60"/>
      </w:pPr>
      <w:r w:rsidRPr="00384EEC">
        <w:rPr>
          <w:rFonts w:eastAsia="宋体"/>
          <w:b/>
          <w:kern w:val="48"/>
          <w:sz w:val="32"/>
        </w:rPr>
        <w:t>Anlotinib</w:t>
      </w:r>
      <w:r w:rsidRPr="00384EEC">
        <w:rPr>
          <w:rFonts w:eastAsia="宋体" w:hint="eastAsia"/>
          <w:b/>
          <w:kern w:val="48"/>
          <w:sz w:val="32"/>
        </w:rPr>
        <w:t xml:space="preserve"> </w:t>
      </w:r>
      <w:r w:rsidRPr="00384EEC">
        <w:rPr>
          <w:rFonts w:eastAsia="宋体"/>
          <w:b/>
          <w:kern w:val="48"/>
          <w:sz w:val="32"/>
        </w:rPr>
        <w:t>versus bevacizumab in combination with C</w:t>
      </w:r>
      <w:r w:rsidR="00856263" w:rsidRPr="00384EEC">
        <w:rPr>
          <w:rFonts w:eastAsia="宋体"/>
          <w:b/>
          <w:kern w:val="48"/>
          <w:sz w:val="32"/>
        </w:rPr>
        <w:t>ape</w:t>
      </w:r>
      <w:r w:rsidRPr="00384EEC">
        <w:rPr>
          <w:rFonts w:eastAsia="宋体"/>
          <w:b/>
          <w:kern w:val="48"/>
          <w:sz w:val="32"/>
        </w:rPr>
        <w:t>OX as first-line therapy for RAS/BRAF wild-type metastatic colorectal cancer:</w:t>
      </w:r>
      <w:r w:rsidRPr="00384EEC">
        <w:rPr>
          <w:sz w:val="20"/>
        </w:rPr>
        <w:t xml:space="preserve"> </w:t>
      </w:r>
      <w:r w:rsidRPr="00384EEC">
        <w:rPr>
          <w:rFonts w:eastAsia="宋体"/>
          <w:b/>
          <w:kern w:val="48"/>
          <w:sz w:val="32"/>
        </w:rPr>
        <w:t>a randomized</w:t>
      </w:r>
      <w:r w:rsidRPr="00384EEC">
        <w:rPr>
          <w:rFonts w:eastAsia="宋体" w:hint="eastAsia"/>
          <w:b/>
          <w:kern w:val="48"/>
          <w:sz w:val="32"/>
        </w:rPr>
        <w:t>,</w:t>
      </w:r>
      <w:r w:rsidRPr="00384EEC">
        <w:rPr>
          <w:rFonts w:eastAsia="宋体"/>
          <w:b/>
          <w:kern w:val="48"/>
          <w:sz w:val="32"/>
        </w:rPr>
        <w:t xml:space="preserve"> open, parallel-controlled, multicenter phase III study</w:t>
      </w:r>
    </w:p>
    <w:p w14:paraId="40DCB26A" w14:textId="77777777" w:rsidR="00D45C54" w:rsidRDefault="00D45C54">
      <w:pPr>
        <w:spacing w:before="60" w:after="60"/>
        <w:ind w:firstLine="560"/>
        <w:textAlignment w:val="bottom"/>
        <w:rPr>
          <w:sz w:val="28"/>
        </w:rPr>
      </w:pPr>
    </w:p>
    <w:p w14:paraId="6DB562F9" w14:textId="77777777" w:rsidR="00D45C54" w:rsidRDefault="00D45C54">
      <w:pPr>
        <w:spacing w:before="60" w:after="60"/>
        <w:ind w:firstLine="560"/>
        <w:textAlignment w:val="bottom"/>
        <w:rPr>
          <w:sz w:val="28"/>
        </w:rPr>
      </w:pPr>
    </w:p>
    <w:p w14:paraId="62A2DBD2" w14:textId="77777777" w:rsidR="00D45C54" w:rsidRDefault="00D45C54">
      <w:pPr>
        <w:spacing w:before="60" w:after="60"/>
        <w:ind w:firstLine="560"/>
        <w:textAlignment w:val="bottom"/>
        <w:rPr>
          <w:sz w:val="28"/>
        </w:rPr>
      </w:pPr>
    </w:p>
    <w:tbl>
      <w:tblPr>
        <w:tblW w:w="7513" w:type="dxa"/>
        <w:jc w:val="center"/>
        <w:tblLayout w:type="fixed"/>
        <w:tblLook w:val="04A0" w:firstRow="1" w:lastRow="0" w:firstColumn="1" w:lastColumn="0" w:noHBand="0" w:noVBand="1"/>
      </w:tblPr>
      <w:tblGrid>
        <w:gridCol w:w="2410"/>
        <w:gridCol w:w="5103"/>
      </w:tblGrid>
      <w:tr w:rsidR="00D45C54" w14:paraId="413B3AA5" w14:textId="77777777" w:rsidTr="003127AF">
        <w:trPr>
          <w:jc w:val="center"/>
        </w:trPr>
        <w:tc>
          <w:tcPr>
            <w:tcW w:w="2410" w:type="dxa"/>
          </w:tcPr>
          <w:p w14:paraId="1CD800C0" w14:textId="77777777" w:rsidR="00D45C54" w:rsidRDefault="003E0392">
            <w:pPr>
              <w:pStyle w:val="P68B1DB1-12"/>
              <w:suppressAutoHyphens w:val="0"/>
              <w:topLinePunct w:val="0"/>
              <w:jc w:val="left"/>
              <w:rPr>
                <w:rFonts w:hint="default"/>
              </w:rPr>
            </w:pPr>
            <w:r>
              <w:t xml:space="preserve">Protocol No. </w:t>
            </w:r>
          </w:p>
        </w:tc>
        <w:tc>
          <w:tcPr>
            <w:tcW w:w="5103" w:type="dxa"/>
          </w:tcPr>
          <w:p w14:paraId="25A18A16" w14:textId="7564CC99" w:rsidR="00D45C54" w:rsidRDefault="0094688C">
            <w:pPr>
              <w:pStyle w:val="P68B1DB1-13"/>
              <w:tabs>
                <w:tab w:val="left" w:pos="2985"/>
              </w:tabs>
              <w:suppressAutoHyphens w:val="0"/>
              <w:topLinePunct w:val="0"/>
              <w:jc w:val="left"/>
            </w:pPr>
            <w:r>
              <w:t>ALTN</w:t>
            </w:r>
            <w:r w:rsidR="003E0392">
              <w:t>-III-0</w:t>
            </w:r>
            <w:r>
              <w:t>2</w:t>
            </w:r>
            <w:r w:rsidR="003E0392">
              <w:t xml:space="preserve"> </w:t>
            </w:r>
          </w:p>
        </w:tc>
      </w:tr>
      <w:tr w:rsidR="00D45C54" w14:paraId="588BE712" w14:textId="77777777" w:rsidTr="003127AF">
        <w:trPr>
          <w:jc w:val="center"/>
        </w:trPr>
        <w:tc>
          <w:tcPr>
            <w:tcW w:w="2410" w:type="dxa"/>
          </w:tcPr>
          <w:p w14:paraId="18459ED1" w14:textId="77777777" w:rsidR="00D45C54" w:rsidRDefault="003E0392">
            <w:pPr>
              <w:pStyle w:val="P68B1DB1-12"/>
              <w:suppressAutoHyphens w:val="0"/>
              <w:topLinePunct w:val="0"/>
              <w:jc w:val="left"/>
              <w:rPr>
                <w:rFonts w:hint="default"/>
              </w:rPr>
            </w:pPr>
            <w:r>
              <w:t xml:space="preserve">Protocol Version No. </w:t>
            </w:r>
          </w:p>
        </w:tc>
        <w:tc>
          <w:tcPr>
            <w:tcW w:w="5103" w:type="dxa"/>
          </w:tcPr>
          <w:p w14:paraId="41EA675B" w14:textId="6C387A6A" w:rsidR="00D45C54" w:rsidRDefault="0094688C">
            <w:pPr>
              <w:pStyle w:val="P68B1DB1-14"/>
              <w:suppressAutoHyphens w:val="0"/>
              <w:topLinePunct w:val="0"/>
              <w:jc w:val="left"/>
            </w:pPr>
            <w:r>
              <w:t>2</w:t>
            </w:r>
            <w:r w:rsidR="00171789">
              <w:t>.</w:t>
            </w:r>
            <w:r>
              <w:t>1</w:t>
            </w:r>
          </w:p>
        </w:tc>
      </w:tr>
      <w:tr w:rsidR="00D45C54" w14:paraId="245F00DD" w14:textId="77777777" w:rsidTr="003127AF">
        <w:trPr>
          <w:jc w:val="center"/>
        </w:trPr>
        <w:tc>
          <w:tcPr>
            <w:tcW w:w="2410" w:type="dxa"/>
          </w:tcPr>
          <w:p w14:paraId="0A2C95A7" w14:textId="77777777" w:rsidR="00D45C54" w:rsidRDefault="003E0392">
            <w:pPr>
              <w:pStyle w:val="P68B1DB1-12"/>
              <w:suppressAutoHyphens w:val="0"/>
              <w:topLinePunct w:val="0"/>
              <w:jc w:val="left"/>
              <w:rPr>
                <w:rFonts w:hint="default"/>
              </w:rPr>
            </w:pPr>
            <w:r>
              <w:t xml:space="preserve">Protocol Version Date </w:t>
            </w:r>
          </w:p>
        </w:tc>
        <w:tc>
          <w:tcPr>
            <w:tcW w:w="5103" w:type="dxa"/>
          </w:tcPr>
          <w:p w14:paraId="6B75E1A9" w14:textId="6B7F0596" w:rsidR="00D45C54" w:rsidRDefault="0094688C">
            <w:pPr>
              <w:pStyle w:val="P68B1DB1-14"/>
              <w:suppressAutoHyphens w:val="0"/>
              <w:topLinePunct w:val="0"/>
              <w:jc w:val="left"/>
            </w:pPr>
            <w:r>
              <w:t>March 1</w:t>
            </w:r>
            <w:r w:rsidR="00F85D14">
              <w:t>5</w:t>
            </w:r>
            <w:r w:rsidR="003E0392">
              <w:t>, 202</w:t>
            </w:r>
            <w:r>
              <w:t>2</w:t>
            </w:r>
            <w:r w:rsidR="003E0392">
              <w:t xml:space="preserve"> </w:t>
            </w:r>
          </w:p>
        </w:tc>
      </w:tr>
      <w:tr w:rsidR="00D45C54" w14:paraId="5C9A0F65" w14:textId="77777777" w:rsidTr="003127AF">
        <w:trPr>
          <w:jc w:val="center"/>
        </w:trPr>
        <w:tc>
          <w:tcPr>
            <w:tcW w:w="2410" w:type="dxa"/>
          </w:tcPr>
          <w:p w14:paraId="6BB0EA7C" w14:textId="77777777" w:rsidR="00D45C54" w:rsidRDefault="003E0392">
            <w:pPr>
              <w:pStyle w:val="P68B1DB1-12"/>
              <w:suppressAutoHyphens w:val="0"/>
              <w:topLinePunct w:val="0"/>
              <w:jc w:val="left"/>
              <w:rPr>
                <w:rFonts w:hint="default"/>
              </w:rPr>
            </w:pPr>
            <w:r>
              <w:t xml:space="preserve">Leading site </w:t>
            </w:r>
          </w:p>
        </w:tc>
        <w:tc>
          <w:tcPr>
            <w:tcW w:w="5103" w:type="dxa"/>
          </w:tcPr>
          <w:p w14:paraId="64C7B5E5" w14:textId="72BE6F69" w:rsidR="00D45C54" w:rsidRDefault="0094688C">
            <w:pPr>
              <w:pStyle w:val="P68B1DB1-12"/>
              <w:suppressAutoHyphens w:val="0"/>
              <w:topLinePunct w:val="0"/>
              <w:jc w:val="left"/>
              <w:rPr>
                <w:rFonts w:hint="default"/>
              </w:rPr>
            </w:pPr>
            <w:r w:rsidRPr="0094688C">
              <w:t xml:space="preserve">The Second Affiliated Hospital </w:t>
            </w:r>
            <w:r>
              <w:t>Zhejiang</w:t>
            </w:r>
            <w:r>
              <w:rPr>
                <w:rFonts w:hint="default"/>
              </w:rPr>
              <w:t xml:space="preserve"> </w:t>
            </w:r>
            <w:r w:rsidRPr="0094688C">
              <w:t>University School of Medicine</w:t>
            </w:r>
            <w:r w:rsidR="003E0392">
              <w:t xml:space="preserve"> </w:t>
            </w:r>
          </w:p>
        </w:tc>
      </w:tr>
      <w:tr w:rsidR="00D45C54" w14:paraId="25824F66" w14:textId="77777777" w:rsidTr="003127AF">
        <w:trPr>
          <w:jc w:val="center"/>
        </w:trPr>
        <w:tc>
          <w:tcPr>
            <w:tcW w:w="2410" w:type="dxa"/>
          </w:tcPr>
          <w:p w14:paraId="1D4D838A" w14:textId="77777777" w:rsidR="00D45C54" w:rsidRDefault="003E0392">
            <w:pPr>
              <w:pStyle w:val="P68B1DB1-12"/>
              <w:suppressAutoHyphens w:val="0"/>
              <w:topLinePunct w:val="0"/>
              <w:jc w:val="left"/>
              <w:rPr>
                <w:rFonts w:hint="default"/>
              </w:rPr>
            </w:pPr>
            <w:r>
              <w:t xml:space="preserve">Principal Investigator </w:t>
            </w:r>
          </w:p>
        </w:tc>
        <w:tc>
          <w:tcPr>
            <w:tcW w:w="5103" w:type="dxa"/>
          </w:tcPr>
          <w:p w14:paraId="64E0F776" w14:textId="4122B355" w:rsidR="00D45C54" w:rsidRDefault="003E0392">
            <w:pPr>
              <w:pStyle w:val="P68B1DB1-12"/>
              <w:suppressAutoHyphens w:val="0"/>
              <w:topLinePunct w:val="0"/>
              <w:jc w:val="left"/>
              <w:rPr>
                <w:rFonts w:hint="default"/>
              </w:rPr>
            </w:pPr>
            <w:r>
              <w:t xml:space="preserve">Prof. </w:t>
            </w:r>
            <w:r w:rsidR="0094688C">
              <w:rPr>
                <w:rFonts w:hint="default"/>
              </w:rPr>
              <w:t>Kefeng Ding</w:t>
            </w:r>
            <w:r>
              <w:t xml:space="preserve"> </w:t>
            </w:r>
          </w:p>
        </w:tc>
      </w:tr>
      <w:tr w:rsidR="00F85D14" w14:paraId="47AFF442" w14:textId="77777777" w:rsidTr="003127AF">
        <w:trPr>
          <w:jc w:val="center"/>
        </w:trPr>
        <w:tc>
          <w:tcPr>
            <w:tcW w:w="2410" w:type="dxa"/>
          </w:tcPr>
          <w:p w14:paraId="1EF59EC5" w14:textId="1D607F64" w:rsidR="00F85D14" w:rsidRDefault="003836BC" w:rsidP="00FB3850">
            <w:pPr>
              <w:pStyle w:val="P68B1DB1-12"/>
              <w:suppressAutoHyphens w:val="0"/>
              <w:topLinePunct w:val="0"/>
              <w:jc w:val="left"/>
              <w:rPr>
                <w:rFonts w:hint="default"/>
              </w:rPr>
            </w:pPr>
            <w:r w:rsidRPr="003836BC">
              <w:t>Statistician</w:t>
            </w:r>
          </w:p>
        </w:tc>
        <w:tc>
          <w:tcPr>
            <w:tcW w:w="5103" w:type="dxa"/>
          </w:tcPr>
          <w:p w14:paraId="4FD8B54C" w14:textId="16EC1ACA" w:rsidR="00F85D14" w:rsidRDefault="00F85D14">
            <w:pPr>
              <w:pStyle w:val="P68B1DB1-12"/>
              <w:suppressAutoHyphens w:val="0"/>
              <w:topLinePunct w:val="0"/>
              <w:jc w:val="left"/>
              <w:rPr>
                <w:rFonts w:hint="default"/>
              </w:rPr>
            </w:pPr>
            <w:r w:rsidRPr="00F85D14">
              <w:t>Department of Biostatistics, School of Public Health, Nanjing Medical University</w:t>
            </w:r>
          </w:p>
        </w:tc>
      </w:tr>
      <w:tr w:rsidR="00D45C54" w14:paraId="234DD5C5" w14:textId="77777777" w:rsidTr="003127AF">
        <w:trPr>
          <w:jc w:val="center"/>
        </w:trPr>
        <w:tc>
          <w:tcPr>
            <w:tcW w:w="2410" w:type="dxa"/>
          </w:tcPr>
          <w:p w14:paraId="132CB441" w14:textId="77777777" w:rsidR="00D45C54" w:rsidRDefault="003E0392">
            <w:pPr>
              <w:pStyle w:val="P68B1DB1-13"/>
              <w:suppressAutoHyphens w:val="0"/>
              <w:topLinePunct w:val="0"/>
              <w:jc w:val="left"/>
            </w:pPr>
            <w:r>
              <w:t xml:space="preserve">Sponsor </w:t>
            </w:r>
          </w:p>
        </w:tc>
        <w:tc>
          <w:tcPr>
            <w:tcW w:w="5103" w:type="dxa"/>
          </w:tcPr>
          <w:p w14:paraId="350BDDEE" w14:textId="77777777" w:rsidR="00D45C54" w:rsidRDefault="003E0392">
            <w:pPr>
              <w:pStyle w:val="P68B1DB1-13"/>
              <w:suppressAutoHyphens w:val="0"/>
              <w:topLinePunct w:val="0"/>
              <w:jc w:val="left"/>
            </w:pPr>
            <w:r>
              <w:t xml:space="preserve">Chia Tai Tianqing Pharmaceutical Group Co., Ltd. </w:t>
            </w:r>
          </w:p>
        </w:tc>
      </w:tr>
    </w:tbl>
    <w:p w14:paraId="7C0EA607" w14:textId="77777777" w:rsidR="00D45C54" w:rsidRDefault="00D45C54">
      <w:pPr>
        <w:spacing w:before="60" w:after="60"/>
        <w:ind w:firstLine="560"/>
        <w:textAlignment w:val="bottom"/>
        <w:rPr>
          <w:sz w:val="28"/>
        </w:rPr>
      </w:pPr>
    </w:p>
    <w:p w14:paraId="590454F9" w14:textId="77777777" w:rsidR="00D45C54" w:rsidRDefault="00D45C54">
      <w:pPr>
        <w:spacing w:before="60" w:after="60"/>
        <w:ind w:firstLine="560"/>
        <w:textAlignment w:val="bottom"/>
        <w:rPr>
          <w:sz w:val="28"/>
        </w:rPr>
      </w:pPr>
    </w:p>
    <w:p w14:paraId="163CCD2B" w14:textId="77777777" w:rsidR="00D45C54" w:rsidRDefault="00D45C54">
      <w:pPr>
        <w:spacing w:before="60" w:after="60"/>
        <w:ind w:firstLine="560"/>
        <w:textAlignment w:val="bottom"/>
        <w:rPr>
          <w:sz w:val="28"/>
        </w:rPr>
      </w:pPr>
    </w:p>
    <w:p w14:paraId="3597B600" w14:textId="77777777" w:rsidR="00D45C54" w:rsidRDefault="003E0392">
      <w:pPr>
        <w:pStyle w:val="P68B1DB1-15"/>
        <w:jc w:val="center"/>
        <w:rPr>
          <w:rFonts w:hint="default"/>
        </w:rPr>
      </w:pPr>
      <w:r>
        <w:t xml:space="preserve">Confidentiality Statement </w:t>
      </w:r>
    </w:p>
    <w:tbl>
      <w:tblPr>
        <w:tblW w:w="8290" w:type="dxa"/>
        <w:tblLayout w:type="fixed"/>
        <w:tblLook w:val="04A0" w:firstRow="1" w:lastRow="0" w:firstColumn="1" w:lastColumn="0" w:noHBand="0" w:noVBand="1"/>
      </w:tblPr>
      <w:tblGrid>
        <w:gridCol w:w="8290"/>
      </w:tblGrid>
      <w:tr w:rsidR="00D45C54" w14:paraId="34FD16A0" w14:textId="77777777">
        <w:tc>
          <w:tcPr>
            <w:tcW w:w="8290" w:type="dxa"/>
          </w:tcPr>
          <w:p w14:paraId="182DED80" w14:textId="694D4A7D" w:rsidR="00D45C54" w:rsidRPr="003127AF" w:rsidRDefault="00ED44A5" w:rsidP="003127AF">
            <w:pPr>
              <w:pStyle w:val="P68B1DB1-16"/>
              <w:tabs>
                <w:tab w:val="left" w:pos="1050"/>
              </w:tabs>
              <w:spacing w:afterLines="50" w:after="120" w:line="240" w:lineRule="auto"/>
              <w:rPr>
                <w:rFonts w:ascii="Times New Roman" w:hAnsi="Times New Roman" w:cs="Times New Roman" w:hint="default"/>
              </w:rPr>
            </w:pPr>
            <w:r w:rsidRPr="003127AF">
              <w:rPr>
                <w:rFonts w:ascii="Times New Roman" w:hAnsi="Times New Roman" w:cs="Times New Roman" w:hint="default"/>
              </w:rPr>
              <w:t>This document contains confidential information and is only used by clinical researchers. The copyright is owned by Chia Tai Tianqing Pharmaceutical Group Co., Ltd. No information contained in this document may be released or disclosed to any third party (group or individual) without prior written permission. If you have this document without prior authorization, please contact Chia Tai Tianqing Pharmaceutical Group Co., Ltd., and return the document and its copy to the company.</w:t>
            </w:r>
          </w:p>
        </w:tc>
      </w:tr>
    </w:tbl>
    <w:p w14:paraId="6C59CAC5" w14:textId="77777777" w:rsidR="00D45C54" w:rsidRDefault="00D45C54">
      <w:pPr>
        <w:spacing w:before="60" w:after="60"/>
        <w:ind w:firstLine="560"/>
        <w:textAlignment w:val="bottom"/>
        <w:rPr>
          <w:sz w:val="28"/>
        </w:rPr>
        <w:sectPr w:rsidR="00D45C54">
          <w:headerReference w:type="even" r:id="rId9"/>
          <w:headerReference w:type="default" r:id="rId10"/>
          <w:footerReference w:type="even" r:id="rId11"/>
          <w:footerReference w:type="default" r:id="rId12"/>
          <w:headerReference w:type="first" r:id="rId13"/>
          <w:footerReference w:type="first" r:id="rId14"/>
          <w:pgSz w:w="11906" w:h="16838"/>
          <w:pgMar w:top="1559" w:right="1418" w:bottom="1418" w:left="1418" w:header="851" w:footer="992" w:gutter="0"/>
          <w:cols w:space="720"/>
          <w:docGrid w:linePitch="312"/>
        </w:sectPr>
      </w:pPr>
    </w:p>
    <w:p w14:paraId="4BC4CED1" w14:textId="2696FF73" w:rsidR="00D45C54" w:rsidRDefault="00FB1D6B">
      <w:pPr>
        <w:pStyle w:val="P68B1DB1-337"/>
        <w:rPr>
          <w:rFonts w:hint="default"/>
        </w:rPr>
      </w:pPr>
      <w:r>
        <w:lastRenderedPageBreak/>
        <w:t>Organization Information</w:t>
      </w:r>
    </w:p>
    <w:tbl>
      <w:tblPr>
        <w:tblStyle w:val="aff2"/>
        <w:tblW w:w="9067" w:type="dxa"/>
        <w:jc w:val="center"/>
        <w:tblLayout w:type="fixed"/>
        <w:tblLook w:val="04A0" w:firstRow="1" w:lastRow="0" w:firstColumn="1" w:lastColumn="0" w:noHBand="0" w:noVBand="1"/>
      </w:tblPr>
      <w:tblGrid>
        <w:gridCol w:w="1271"/>
        <w:gridCol w:w="7796"/>
      </w:tblGrid>
      <w:tr w:rsidR="00D45C54" w14:paraId="7BBF2AB4" w14:textId="77777777">
        <w:trPr>
          <w:trHeight w:val="436"/>
          <w:jc w:val="center"/>
        </w:trPr>
        <w:tc>
          <w:tcPr>
            <w:tcW w:w="1271" w:type="dxa"/>
            <w:vMerge w:val="restart"/>
          </w:tcPr>
          <w:p w14:paraId="583F0D74" w14:textId="77777777" w:rsidR="00D45C54" w:rsidRDefault="003E0392">
            <w:pPr>
              <w:pStyle w:val="P68B1DB1-18"/>
              <w:spacing w:line="400" w:lineRule="exact"/>
              <w:rPr>
                <w:rFonts w:hint="default"/>
              </w:rPr>
            </w:pPr>
            <w:r>
              <w:t xml:space="preserve">Sponsor </w:t>
            </w:r>
          </w:p>
        </w:tc>
        <w:tc>
          <w:tcPr>
            <w:tcW w:w="7796" w:type="dxa"/>
          </w:tcPr>
          <w:p w14:paraId="05F3F9B4" w14:textId="77777777" w:rsidR="00D45C54" w:rsidRDefault="003E0392">
            <w:pPr>
              <w:pStyle w:val="P68B1DB1-19"/>
              <w:spacing w:line="400" w:lineRule="exact"/>
            </w:pPr>
            <w:r>
              <w:t xml:space="preserve">Chia Tai Tianqing Pharmaceutical Group Co., Ltd. </w:t>
            </w:r>
          </w:p>
        </w:tc>
      </w:tr>
      <w:tr w:rsidR="00D45C54" w14:paraId="6A854CEF" w14:textId="77777777">
        <w:trPr>
          <w:trHeight w:val="436"/>
          <w:jc w:val="center"/>
        </w:trPr>
        <w:tc>
          <w:tcPr>
            <w:tcW w:w="1271" w:type="dxa"/>
            <w:vMerge/>
          </w:tcPr>
          <w:p w14:paraId="6FD6440F" w14:textId="77777777" w:rsidR="00D45C54" w:rsidRDefault="00D45C54">
            <w:pPr>
              <w:spacing w:line="400" w:lineRule="exact"/>
            </w:pPr>
          </w:p>
        </w:tc>
        <w:tc>
          <w:tcPr>
            <w:tcW w:w="7796" w:type="dxa"/>
          </w:tcPr>
          <w:p w14:paraId="09FDD948" w14:textId="422E3507" w:rsidR="00D45C54" w:rsidRDefault="00CF5D2E">
            <w:pPr>
              <w:pStyle w:val="P68B1DB1-18"/>
              <w:spacing w:line="400" w:lineRule="exact"/>
              <w:rPr>
                <w:rFonts w:hint="default"/>
              </w:rPr>
            </w:pPr>
            <w:r w:rsidRPr="00CF5D2E">
              <w:t>Responsibilities: Responsible for initiating and applying for work, providing investigator manuals, research drugs, and trial funding as well as being responsible for organizing, monitoring, auditing, and assisting in the design of clinical trial protocols</w:t>
            </w:r>
            <w:r>
              <w:rPr>
                <w:rFonts w:hint="default"/>
              </w:rPr>
              <w:t>.</w:t>
            </w:r>
            <w:r w:rsidR="003E0392">
              <w:t xml:space="preserve"> </w:t>
            </w:r>
          </w:p>
        </w:tc>
      </w:tr>
      <w:tr w:rsidR="00D45C54" w14:paraId="4C34995B" w14:textId="77777777">
        <w:trPr>
          <w:trHeight w:val="436"/>
          <w:jc w:val="center"/>
        </w:trPr>
        <w:tc>
          <w:tcPr>
            <w:tcW w:w="1271" w:type="dxa"/>
            <w:vMerge/>
          </w:tcPr>
          <w:p w14:paraId="16E56C5B" w14:textId="77777777" w:rsidR="00D45C54" w:rsidRDefault="00D45C54">
            <w:pPr>
              <w:spacing w:line="400" w:lineRule="exact"/>
            </w:pPr>
          </w:p>
        </w:tc>
        <w:tc>
          <w:tcPr>
            <w:tcW w:w="7796" w:type="dxa"/>
          </w:tcPr>
          <w:p w14:paraId="7A7A9860" w14:textId="1CBD7766" w:rsidR="00D45C54" w:rsidRDefault="0080617E">
            <w:pPr>
              <w:pStyle w:val="P68B1DB1-18"/>
              <w:spacing w:line="400" w:lineRule="exact"/>
              <w:rPr>
                <w:rFonts w:hint="default"/>
              </w:rPr>
            </w:pPr>
            <w:r>
              <w:rPr>
                <w:rFonts w:hint="default"/>
              </w:rPr>
              <w:t>A</w:t>
            </w:r>
            <w:r w:rsidR="003E0392">
              <w:t xml:space="preserve">ddress: No. 1099, Fuying Road, Jiangning District, </w:t>
            </w:r>
            <w:r w:rsidRPr="0080617E">
              <w:t>Nanjing 210046, Jiangsu Province, China.</w:t>
            </w:r>
          </w:p>
        </w:tc>
      </w:tr>
      <w:tr w:rsidR="00D45C54" w14:paraId="35B89C8A" w14:textId="77777777">
        <w:trPr>
          <w:trHeight w:val="436"/>
          <w:jc w:val="center"/>
        </w:trPr>
        <w:tc>
          <w:tcPr>
            <w:tcW w:w="1271" w:type="dxa"/>
            <w:vMerge/>
          </w:tcPr>
          <w:p w14:paraId="18EC02EA" w14:textId="77777777" w:rsidR="00D45C54" w:rsidRDefault="00D45C54">
            <w:pPr>
              <w:spacing w:line="400" w:lineRule="exact"/>
            </w:pPr>
          </w:p>
        </w:tc>
        <w:tc>
          <w:tcPr>
            <w:tcW w:w="7796" w:type="dxa"/>
          </w:tcPr>
          <w:p w14:paraId="31389018" w14:textId="21E2E1AE" w:rsidR="00D45C54" w:rsidRDefault="0080617E">
            <w:pPr>
              <w:pStyle w:val="P68B1DB1-18"/>
              <w:spacing w:line="400" w:lineRule="exact"/>
              <w:rPr>
                <w:rFonts w:hint="default"/>
              </w:rPr>
            </w:pPr>
            <w:r w:rsidRPr="0080617E">
              <w:t>Project</w:t>
            </w:r>
            <w:r w:rsidR="004C7E2C">
              <w:rPr>
                <w:rFonts w:hint="default"/>
              </w:rPr>
              <w:t xml:space="preserve"> </w:t>
            </w:r>
            <w:r w:rsidR="004C7E2C" w:rsidRPr="00F94C48">
              <w:rPr>
                <w:rFonts w:eastAsiaTheme="minorEastAsia" w:hint="default"/>
              </w:rPr>
              <w:t>management</w:t>
            </w:r>
            <w:r w:rsidR="003E0392">
              <w:t xml:space="preserve">: </w:t>
            </w:r>
            <w:r w:rsidR="003D6100">
              <w:rPr>
                <w:rFonts w:hint="default"/>
              </w:rPr>
              <w:t>Shuna Wang</w:t>
            </w:r>
            <w:r w:rsidR="003E0392">
              <w:t xml:space="preserve">; Tel.: </w:t>
            </w:r>
            <w:r w:rsidR="003D6100" w:rsidRPr="003D6100">
              <w:t>15738358656</w:t>
            </w:r>
            <w:r w:rsidR="003E0392">
              <w:t xml:space="preserve">; E-mail: </w:t>
            </w:r>
            <w:r w:rsidR="003D6100" w:rsidRPr="003D6100">
              <w:t>shuna.wang@cttq.com</w:t>
            </w:r>
            <w:r w:rsidR="003E0392">
              <w:t xml:space="preserve"> </w:t>
            </w:r>
          </w:p>
          <w:p w14:paraId="61FCAE53" w14:textId="35F7708E" w:rsidR="00D45C54" w:rsidRDefault="0080617E" w:rsidP="003D6100">
            <w:pPr>
              <w:pStyle w:val="P68B1DB1-18"/>
              <w:spacing w:line="400" w:lineRule="exact"/>
              <w:rPr>
                <w:rFonts w:hint="default"/>
              </w:rPr>
            </w:pPr>
            <w:r w:rsidRPr="0080617E">
              <w:t>Medi</w:t>
            </w:r>
            <w:r w:rsidR="004C7E2C" w:rsidRPr="00F94C48">
              <w:rPr>
                <w:rFonts w:eastAsiaTheme="minorEastAsia" w:hint="default"/>
              </w:rPr>
              <w:t>cal management</w:t>
            </w:r>
            <w:r w:rsidR="003E0392">
              <w:t>:</w:t>
            </w:r>
            <w:r w:rsidR="003D6100">
              <w:rPr>
                <w:rFonts w:hint="default"/>
              </w:rPr>
              <w:t xml:space="preserve"> Lili Shen</w:t>
            </w:r>
            <w:r w:rsidR="003E0392">
              <w:t xml:space="preserve">; Tel.: </w:t>
            </w:r>
            <w:r w:rsidR="003D6100" w:rsidRPr="003D6100">
              <w:t>15161460085</w:t>
            </w:r>
            <w:r w:rsidR="003E0392">
              <w:t>; E-mail:</w:t>
            </w:r>
            <w:r w:rsidR="003D6100">
              <w:t xml:space="preserve"> </w:t>
            </w:r>
            <w:r w:rsidR="003D6100" w:rsidRPr="003D6100">
              <w:t>eileen.shen2009@163.com</w:t>
            </w:r>
          </w:p>
        </w:tc>
      </w:tr>
      <w:tr w:rsidR="00D45C54" w14:paraId="639486A7" w14:textId="77777777">
        <w:trPr>
          <w:trHeight w:val="422"/>
          <w:jc w:val="center"/>
        </w:trPr>
        <w:tc>
          <w:tcPr>
            <w:tcW w:w="1271" w:type="dxa"/>
            <w:vMerge w:val="restart"/>
          </w:tcPr>
          <w:p w14:paraId="065A33AD" w14:textId="77777777" w:rsidR="00D45C54" w:rsidRDefault="003E0392">
            <w:pPr>
              <w:pStyle w:val="P68B1DB1-19"/>
              <w:spacing w:line="400" w:lineRule="exact"/>
            </w:pPr>
            <w:r>
              <w:t xml:space="preserve">Leading site </w:t>
            </w:r>
          </w:p>
        </w:tc>
        <w:tc>
          <w:tcPr>
            <w:tcW w:w="7796" w:type="dxa"/>
          </w:tcPr>
          <w:p w14:paraId="55B388D0" w14:textId="2FD3A215" w:rsidR="00D45C54" w:rsidRDefault="003D6100">
            <w:pPr>
              <w:pStyle w:val="P68B1DB1-18"/>
              <w:spacing w:line="400" w:lineRule="exact"/>
              <w:rPr>
                <w:rFonts w:hint="default"/>
              </w:rPr>
            </w:pPr>
            <w:r w:rsidRPr="003D6100">
              <w:t>The Second Affiliated Hospital Zhejiang University School of Medicine</w:t>
            </w:r>
          </w:p>
        </w:tc>
      </w:tr>
      <w:tr w:rsidR="00D45C54" w14:paraId="14E66AF2" w14:textId="77777777">
        <w:trPr>
          <w:trHeight w:val="436"/>
          <w:jc w:val="center"/>
        </w:trPr>
        <w:tc>
          <w:tcPr>
            <w:tcW w:w="1271" w:type="dxa"/>
            <w:vMerge/>
          </w:tcPr>
          <w:p w14:paraId="53FE8E82" w14:textId="77777777" w:rsidR="00D45C54" w:rsidRDefault="00D45C54">
            <w:pPr>
              <w:spacing w:line="400" w:lineRule="exact"/>
            </w:pPr>
          </w:p>
        </w:tc>
        <w:tc>
          <w:tcPr>
            <w:tcW w:w="7796" w:type="dxa"/>
          </w:tcPr>
          <w:p w14:paraId="67ADE2E5" w14:textId="0394B537" w:rsidR="00D45C54" w:rsidRDefault="0080617E">
            <w:pPr>
              <w:pStyle w:val="P68B1DB1-18"/>
              <w:spacing w:line="400" w:lineRule="exact"/>
              <w:rPr>
                <w:rFonts w:hint="default"/>
              </w:rPr>
            </w:pPr>
            <w:r w:rsidRPr="0080617E">
              <w:t>Responsibilities: Recruiting subjects, designing clinical study protocols, organizing and implementing studies, and accepting inspections by regulatory authorities.</w:t>
            </w:r>
          </w:p>
        </w:tc>
      </w:tr>
      <w:tr w:rsidR="00D45C54" w14:paraId="6F095B5B" w14:textId="77777777">
        <w:trPr>
          <w:trHeight w:val="436"/>
          <w:jc w:val="center"/>
        </w:trPr>
        <w:tc>
          <w:tcPr>
            <w:tcW w:w="1271" w:type="dxa"/>
            <w:vMerge/>
          </w:tcPr>
          <w:p w14:paraId="66A19423" w14:textId="77777777" w:rsidR="00D45C54" w:rsidRDefault="00D45C54">
            <w:pPr>
              <w:spacing w:line="400" w:lineRule="exact"/>
            </w:pPr>
          </w:p>
        </w:tc>
        <w:tc>
          <w:tcPr>
            <w:tcW w:w="7796" w:type="dxa"/>
          </w:tcPr>
          <w:p w14:paraId="5FBCF4D4" w14:textId="4FAEA107" w:rsidR="00D45C54" w:rsidRDefault="003E0392">
            <w:pPr>
              <w:pStyle w:val="P68B1DB1-18"/>
              <w:spacing w:line="400" w:lineRule="exact"/>
              <w:rPr>
                <w:rFonts w:hint="default"/>
              </w:rPr>
            </w:pPr>
            <w:r>
              <w:t xml:space="preserve">Address: </w:t>
            </w:r>
            <w:r w:rsidR="003D6100" w:rsidRPr="003D6100">
              <w:t>No.</w:t>
            </w:r>
            <w:r w:rsidR="003D6100">
              <w:t xml:space="preserve"> </w:t>
            </w:r>
            <w:r w:rsidR="003D6100" w:rsidRPr="003D6100">
              <w:t>88 Jiefang Road, Sh</w:t>
            </w:r>
            <w:r w:rsidR="003D6100">
              <w:t>angcheng District, Hangzhou</w:t>
            </w:r>
            <w:r w:rsidR="002C6AF1">
              <w:rPr>
                <w:rFonts w:hint="default"/>
              </w:rPr>
              <w:t>, Zhejiang</w:t>
            </w:r>
            <w:r>
              <w:t xml:space="preserve"> </w:t>
            </w:r>
          </w:p>
        </w:tc>
      </w:tr>
      <w:tr w:rsidR="00D45C54" w14:paraId="3763840B" w14:textId="77777777">
        <w:trPr>
          <w:trHeight w:val="436"/>
          <w:jc w:val="center"/>
        </w:trPr>
        <w:tc>
          <w:tcPr>
            <w:tcW w:w="1271" w:type="dxa"/>
            <w:vMerge/>
          </w:tcPr>
          <w:p w14:paraId="550292F1" w14:textId="77777777" w:rsidR="00D45C54" w:rsidRDefault="00D45C54">
            <w:pPr>
              <w:spacing w:line="400" w:lineRule="exact"/>
            </w:pPr>
          </w:p>
        </w:tc>
        <w:tc>
          <w:tcPr>
            <w:tcW w:w="7796" w:type="dxa"/>
          </w:tcPr>
          <w:p w14:paraId="5294F40D" w14:textId="70A5D1B9" w:rsidR="00D45C54" w:rsidRDefault="003E0392" w:rsidP="004C7E2C">
            <w:pPr>
              <w:pStyle w:val="P68B1DB1-18"/>
              <w:spacing w:line="400" w:lineRule="exact"/>
              <w:rPr>
                <w:rFonts w:hint="default"/>
              </w:rPr>
            </w:pPr>
            <w:r>
              <w:t xml:space="preserve">Principal investigator: Prof. </w:t>
            </w:r>
            <w:r w:rsidR="003D6100">
              <w:rPr>
                <w:rFonts w:hint="default"/>
              </w:rPr>
              <w:t>Kefeng Ding</w:t>
            </w:r>
            <w:r>
              <w:t xml:space="preserve">; </w:t>
            </w:r>
            <w:r w:rsidR="004C7E2C">
              <w:rPr>
                <w:rFonts w:hint="default"/>
              </w:rPr>
              <w:t>TEL</w:t>
            </w:r>
            <w:r>
              <w:t xml:space="preserve">: </w:t>
            </w:r>
            <w:r w:rsidR="003D6100" w:rsidRPr="003D6100">
              <w:t>0571-87783777</w:t>
            </w:r>
            <w:r>
              <w:t xml:space="preserve"> </w:t>
            </w:r>
          </w:p>
        </w:tc>
      </w:tr>
      <w:tr w:rsidR="00D45C54" w14:paraId="7B406334" w14:textId="77777777">
        <w:trPr>
          <w:trHeight w:val="436"/>
          <w:jc w:val="center"/>
        </w:trPr>
        <w:tc>
          <w:tcPr>
            <w:tcW w:w="1271" w:type="dxa"/>
            <w:vMerge w:val="restart"/>
          </w:tcPr>
          <w:p w14:paraId="7FCD745B" w14:textId="5B157B48" w:rsidR="00D45C54" w:rsidRDefault="003E0392" w:rsidP="00531F63">
            <w:pPr>
              <w:pStyle w:val="P68B1DB1-18"/>
              <w:spacing w:line="400" w:lineRule="exact"/>
              <w:rPr>
                <w:rFonts w:hint="default"/>
              </w:rPr>
            </w:pPr>
            <w:r>
              <w:t xml:space="preserve">Data </w:t>
            </w:r>
            <w:r w:rsidR="00531F63">
              <w:rPr>
                <w:rFonts w:hint="default"/>
              </w:rPr>
              <w:t>m</w:t>
            </w:r>
            <w:r>
              <w:t xml:space="preserve">anagement </w:t>
            </w:r>
          </w:p>
        </w:tc>
        <w:tc>
          <w:tcPr>
            <w:tcW w:w="7796" w:type="dxa"/>
          </w:tcPr>
          <w:p w14:paraId="07F5C983" w14:textId="77777777" w:rsidR="00D45C54" w:rsidRDefault="003E0392">
            <w:pPr>
              <w:pStyle w:val="P68B1DB1-18"/>
              <w:spacing w:line="400" w:lineRule="exact"/>
              <w:rPr>
                <w:rFonts w:hint="default"/>
              </w:rPr>
            </w:pPr>
            <w:r>
              <w:t xml:space="preserve">Chia Tai Tianqing Pharmaceutical Group Co., Ltd. </w:t>
            </w:r>
          </w:p>
        </w:tc>
      </w:tr>
      <w:tr w:rsidR="00D45C54" w14:paraId="1F2D7EBF" w14:textId="77777777">
        <w:trPr>
          <w:trHeight w:val="436"/>
          <w:jc w:val="center"/>
        </w:trPr>
        <w:tc>
          <w:tcPr>
            <w:tcW w:w="1271" w:type="dxa"/>
            <w:vMerge/>
          </w:tcPr>
          <w:p w14:paraId="702AC011" w14:textId="77777777" w:rsidR="00D45C54" w:rsidRDefault="00D45C54">
            <w:pPr>
              <w:spacing w:line="400" w:lineRule="exact"/>
            </w:pPr>
          </w:p>
        </w:tc>
        <w:tc>
          <w:tcPr>
            <w:tcW w:w="7796" w:type="dxa"/>
          </w:tcPr>
          <w:p w14:paraId="331747E2" w14:textId="37B0FCC6" w:rsidR="00D45C54" w:rsidRDefault="00F85D14">
            <w:pPr>
              <w:pStyle w:val="P68B1DB1-18"/>
              <w:spacing w:line="400" w:lineRule="exact"/>
              <w:rPr>
                <w:rFonts w:hint="default"/>
              </w:rPr>
            </w:pPr>
            <w:r w:rsidRPr="0080617E">
              <w:t>Responsibilities</w:t>
            </w:r>
            <w:r w:rsidR="003E0392">
              <w:t xml:space="preserve">: Responsible for data management of the clinical trial. </w:t>
            </w:r>
          </w:p>
        </w:tc>
      </w:tr>
      <w:tr w:rsidR="00D45C54" w14:paraId="004E86F5" w14:textId="77777777">
        <w:trPr>
          <w:trHeight w:val="436"/>
          <w:jc w:val="center"/>
        </w:trPr>
        <w:tc>
          <w:tcPr>
            <w:tcW w:w="1271" w:type="dxa"/>
            <w:vMerge/>
          </w:tcPr>
          <w:p w14:paraId="2F643077" w14:textId="77777777" w:rsidR="00D45C54" w:rsidRDefault="00D45C54">
            <w:pPr>
              <w:spacing w:line="400" w:lineRule="exact"/>
            </w:pPr>
          </w:p>
        </w:tc>
        <w:tc>
          <w:tcPr>
            <w:tcW w:w="7796" w:type="dxa"/>
          </w:tcPr>
          <w:p w14:paraId="31A41F38" w14:textId="11497470" w:rsidR="00D45C54" w:rsidRDefault="006739E8">
            <w:pPr>
              <w:pStyle w:val="P68B1DB1-18"/>
              <w:spacing w:line="400" w:lineRule="exact"/>
              <w:rPr>
                <w:rFonts w:hint="default"/>
              </w:rPr>
            </w:pPr>
            <w:r>
              <w:rPr>
                <w:rFonts w:hint="default"/>
              </w:rPr>
              <w:t>A</w:t>
            </w:r>
            <w:r w:rsidR="003E0392">
              <w:t xml:space="preserve">ddress: No. 1099, Fuying Road, Jiangning District, Nanjing </w:t>
            </w:r>
          </w:p>
        </w:tc>
      </w:tr>
      <w:tr w:rsidR="00D45C54" w14:paraId="5853A784" w14:textId="77777777">
        <w:trPr>
          <w:trHeight w:val="436"/>
          <w:jc w:val="center"/>
        </w:trPr>
        <w:tc>
          <w:tcPr>
            <w:tcW w:w="1271" w:type="dxa"/>
            <w:vMerge/>
          </w:tcPr>
          <w:p w14:paraId="5F9C0FC9" w14:textId="77777777" w:rsidR="00D45C54" w:rsidRDefault="00D45C54">
            <w:pPr>
              <w:spacing w:line="400" w:lineRule="exact"/>
            </w:pPr>
          </w:p>
        </w:tc>
        <w:tc>
          <w:tcPr>
            <w:tcW w:w="7796" w:type="dxa"/>
          </w:tcPr>
          <w:p w14:paraId="0116875D" w14:textId="622754F1" w:rsidR="00D45C54" w:rsidRDefault="006739E8" w:rsidP="004C7E2C">
            <w:pPr>
              <w:pStyle w:val="P68B1DB1-18"/>
              <w:spacing w:line="400" w:lineRule="exact"/>
              <w:rPr>
                <w:rFonts w:hint="default"/>
              </w:rPr>
            </w:pPr>
            <w:r w:rsidRPr="006739E8">
              <w:t>Responsible</w:t>
            </w:r>
            <w:r w:rsidR="003E0392">
              <w:t xml:space="preserve"> person: Yadong Miao; </w:t>
            </w:r>
            <w:r w:rsidR="004C7E2C">
              <w:rPr>
                <w:rFonts w:hint="default"/>
              </w:rPr>
              <w:t>TEL</w:t>
            </w:r>
            <w:r w:rsidR="003E0392">
              <w:t xml:space="preserve">: 18551674600 </w:t>
            </w:r>
          </w:p>
        </w:tc>
      </w:tr>
      <w:tr w:rsidR="00D45C54" w14:paraId="0E1094E0" w14:textId="77777777">
        <w:trPr>
          <w:trHeight w:val="436"/>
          <w:jc w:val="center"/>
        </w:trPr>
        <w:tc>
          <w:tcPr>
            <w:tcW w:w="1271" w:type="dxa"/>
            <w:vMerge w:val="restart"/>
          </w:tcPr>
          <w:p w14:paraId="1C4E5DA8" w14:textId="07AFD72B" w:rsidR="00D45C54" w:rsidRDefault="00616B3C" w:rsidP="00531F63">
            <w:pPr>
              <w:pStyle w:val="P68B1DB1-18"/>
              <w:spacing w:line="400" w:lineRule="exact"/>
              <w:rPr>
                <w:rFonts w:hint="default"/>
              </w:rPr>
            </w:pPr>
            <w:r w:rsidRPr="00616B3C">
              <w:t>Statistician</w:t>
            </w:r>
          </w:p>
        </w:tc>
        <w:tc>
          <w:tcPr>
            <w:tcW w:w="7796" w:type="dxa"/>
          </w:tcPr>
          <w:p w14:paraId="056BA7CA" w14:textId="77777777" w:rsidR="00D45C54" w:rsidRDefault="003E0392">
            <w:pPr>
              <w:pStyle w:val="P68B1DB1-18"/>
              <w:spacing w:line="400" w:lineRule="exact"/>
              <w:rPr>
                <w:rFonts w:hint="default"/>
              </w:rPr>
            </w:pPr>
            <w:r>
              <w:t xml:space="preserve">Department of Biostatistics, School of Public Health, Nanjing Medical University </w:t>
            </w:r>
          </w:p>
        </w:tc>
      </w:tr>
      <w:tr w:rsidR="00D45C54" w14:paraId="6739A657" w14:textId="77777777">
        <w:trPr>
          <w:trHeight w:val="436"/>
          <w:jc w:val="center"/>
        </w:trPr>
        <w:tc>
          <w:tcPr>
            <w:tcW w:w="1271" w:type="dxa"/>
            <w:vMerge/>
          </w:tcPr>
          <w:p w14:paraId="2D2C1A76" w14:textId="77777777" w:rsidR="00D45C54" w:rsidRDefault="00D45C54">
            <w:pPr>
              <w:spacing w:line="400" w:lineRule="exact"/>
            </w:pPr>
          </w:p>
        </w:tc>
        <w:tc>
          <w:tcPr>
            <w:tcW w:w="7796" w:type="dxa"/>
          </w:tcPr>
          <w:p w14:paraId="0FFFE67B" w14:textId="6464B3C6" w:rsidR="00D45C54" w:rsidRDefault="006739E8">
            <w:pPr>
              <w:pStyle w:val="P68B1DB1-18"/>
              <w:spacing w:line="400" w:lineRule="exact"/>
              <w:rPr>
                <w:rFonts w:hint="default"/>
              </w:rPr>
            </w:pPr>
            <w:r w:rsidRPr="006739E8">
              <w:t>Responsibilities: Responsible for statistical analysis of clinical trial</w:t>
            </w:r>
            <w:r>
              <w:rPr>
                <w:rFonts w:hint="default"/>
              </w:rPr>
              <w:t>.</w:t>
            </w:r>
            <w:r w:rsidR="003E0392">
              <w:t xml:space="preserve"> </w:t>
            </w:r>
          </w:p>
        </w:tc>
      </w:tr>
      <w:tr w:rsidR="00D45C54" w14:paraId="59ABA9D6" w14:textId="77777777">
        <w:trPr>
          <w:trHeight w:val="436"/>
          <w:jc w:val="center"/>
        </w:trPr>
        <w:tc>
          <w:tcPr>
            <w:tcW w:w="1271" w:type="dxa"/>
            <w:vMerge/>
          </w:tcPr>
          <w:p w14:paraId="29AF5782" w14:textId="77777777" w:rsidR="00D45C54" w:rsidRDefault="00D45C54">
            <w:pPr>
              <w:spacing w:line="400" w:lineRule="exact"/>
            </w:pPr>
          </w:p>
        </w:tc>
        <w:tc>
          <w:tcPr>
            <w:tcW w:w="7796" w:type="dxa"/>
          </w:tcPr>
          <w:p w14:paraId="46BCF263" w14:textId="0651A2BA" w:rsidR="00D45C54" w:rsidRDefault="006739E8">
            <w:pPr>
              <w:pStyle w:val="P68B1DB1-18"/>
              <w:spacing w:line="400" w:lineRule="exact"/>
              <w:rPr>
                <w:rFonts w:hint="default"/>
              </w:rPr>
            </w:pPr>
            <w:r>
              <w:rPr>
                <w:rFonts w:hint="default"/>
              </w:rPr>
              <w:t>A</w:t>
            </w:r>
            <w:r w:rsidR="003E0392">
              <w:t xml:space="preserve">ddress: No. 818, Tianyuan East Road, Jiangning District, Nanjing </w:t>
            </w:r>
          </w:p>
        </w:tc>
      </w:tr>
      <w:tr w:rsidR="00D45C54" w14:paraId="55453804" w14:textId="77777777">
        <w:trPr>
          <w:trHeight w:val="436"/>
          <w:jc w:val="center"/>
        </w:trPr>
        <w:tc>
          <w:tcPr>
            <w:tcW w:w="1271" w:type="dxa"/>
            <w:vMerge/>
          </w:tcPr>
          <w:p w14:paraId="299F69D5" w14:textId="77777777" w:rsidR="00D45C54" w:rsidRDefault="00D45C54">
            <w:pPr>
              <w:spacing w:line="400" w:lineRule="exact"/>
            </w:pPr>
          </w:p>
        </w:tc>
        <w:tc>
          <w:tcPr>
            <w:tcW w:w="7796" w:type="dxa"/>
          </w:tcPr>
          <w:p w14:paraId="63ABEA37" w14:textId="2D77111E" w:rsidR="00D45C54" w:rsidRDefault="006739E8" w:rsidP="00384EEC">
            <w:pPr>
              <w:pStyle w:val="P68B1DB1-18"/>
              <w:spacing w:line="400" w:lineRule="exact"/>
              <w:rPr>
                <w:rFonts w:hint="default"/>
              </w:rPr>
            </w:pPr>
            <w:r w:rsidRPr="006739E8">
              <w:t>Responsible</w:t>
            </w:r>
            <w:r w:rsidR="00F85D14">
              <w:rPr>
                <w:rFonts w:hint="default"/>
              </w:rPr>
              <w:t xml:space="preserve"> </w:t>
            </w:r>
            <w:r w:rsidR="00F85D14" w:rsidRPr="00384EEC">
              <w:rPr>
                <w:rFonts w:eastAsiaTheme="minorEastAsia" w:hint="default"/>
              </w:rPr>
              <w:t>person</w:t>
            </w:r>
            <w:r w:rsidR="003E0392">
              <w:t>: Hao</w:t>
            </w:r>
            <w:r w:rsidR="00F85D14">
              <w:t xml:space="preserve"> Yu</w:t>
            </w:r>
            <w:r w:rsidR="003E0392">
              <w:t xml:space="preserve">; Tel.: 13814056262 </w:t>
            </w:r>
          </w:p>
        </w:tc>
      </w:tr>
    </w:tbl>
    <w:p w14:paraId="5B82CAD7" w14:textId="77777777" w:rsidR="00D45C54" w:rsidRDefault="00D45C54">
      <w:pPr>
        <w:ind w:firstLine="480"/>
        <w:sectPr w:rsidR="00D45C54">
          <w:pgSz w:w="11906" w:h="16838"/>
          <w:pgMar w:top="1559" w:right="1418" w:bottom="1418" w:left="1418" w:header="851" w:footer="992" w:gutter="0"/>
          <w:cols w:space="720"/>
          <w:docGrid w:linePitch="312"/>
        </w:sectPr>
      </w:pPr>
    </w:p>
    <w:p w14:paraId="43AC8EB2" w14:textId="77777777" w:rsidR="00D45C54" w:rsidRDefault="003E0392">
      <w:pPr>
        <w:pStyle w:val="P68B1DB1-337"/>
        <w:rPr>
          <w:rFonts w:hint="default"/>
        </w:rPr>
      </w:pPr>
      <w:r>
        <w:lastRenderedPageBreak/>
        <w:t xml:space="preserve">Protocol Signature Page </w:t>
      </w:r>
    </w:p>
    <w:p w14:paraId="4DEB0E6B" w14:textId="52FC2F86" w:rsidR="00D45C54" w:rsidRDefault="006739E8">
      <w:pPr>
        <w:suppressAutoHyphens w:val="0"/>
        <w:topLinePunct w:val="0"/>
        <w:ind w:firstLineChars="202" w:firstLine="485"/>
        <w:rPr>
          <w:rFonts w:cs="Times New Roman"/>
        </w:rPr>
      </w:pPr>
      <w:r w:rsidRPr="006739E8">
        <w:rPr>
          <w:rFonts w:cs="Times New Roman"/>
        </w:rPr>
        <w:t>We have re</w:t>
      </w:r>
      <w:r w:rsidR="006763E0">
        <w:rPr>
          <w:rFonts w:cs="Times New Roman"/>
        </w:rPr>
        <w:t>ad this clinical trial protocol (</w:t>
      </w:r>
      <w:r w:rsidRPr="006739E8">
        <w:rPr>
          <w:rFonts w:cs="Times New Roman"/>
        </w:rPr>
        <w:t xml:space="preserve">Protocol No.: </w:t>
      </w:r>
      <w:r w:rsidR="002C6AF1">
        <w:rPr>
          <w:rFonts w:cs="Times New Roman"/>
        </w:rPr>
        <w:t>ALTN</w:t>
      </w:r>
      <w:r w:rsidRPr="006739E8">
        <w:rPr>
          <w:rFonts w:cs="Times New Roman"/>
        </w:rPr>
        <w:t>-</w:t>
      </w:r>
      <w:r>
        <w:rPr>
          <w:rFonts w:cs="Times New Roman"/>
        </w:rPr>
        <w:t>III-0</w:t>
      </w:r>
      <w:r w:rsidR="002C6AF1">
        <w:rPr>
          <w:rFonts w:cs="Times New Roman"/>
        </w:rPr>
        <w:t>2</w:t>
      </w:r>
      <w:r w:rsidRPr="006739E8">
        <w:rPr>
          <w:rFonts w:cs="Times New Roman"/>
        </w:rPr>
        <w:t>, Version No.</w:t>
      </w:r>
      <w:r w:rsidR="002C6AF1">
        <w:rPr>
          <w:rFonts w:cs="Times New Roman"/>
        </w:rPr>
        <w:t>2</w:t>
      </w:r>
      <w:r w:rsidRPr="006739E8">
        <w:rPr>
          <w:rFonts w:cs="Times New Roman"/>
        </w:rPr>
        <w:t>.</w:t>
      </w:r>
      <w:r w:rsidR="002C6AF1">
        <w:rPr>
          <w:rFonts w:cs="Times New Roman"/>
        </w:rPr>
        <w:t>1</w:t>
      </w:r>
      <w:r w:rsidR="006763E0">
        <w:rPr>
          <w:rFonts w:cs="Times New Roman"/>
        </w:rPr>
        <w:t xml:space="preserve">, </w:t>
      </w:r>
      <w:r w:rsidRPr="006739E8">
        <w:rPr>
          <w:rFonts w:cs="Times New Roman"/>
        </w:rPr>
        <w:t xml:space="preserve">Version date: </w:t>
      </w:r>
      <w:r w:rsidR="002C6AF1">
        <w:rPr>
          <w:rFonts w:cs="Times New Roman"/>
        </w:rPr>
        <w:t>March 15</w:t>
      </w:r>
      <w:r w:rsidRPr="006739E8">
        <w:rPr>
          <w:rFonts w:cs="Times New Roman"/>
        </w:rPr>
        <w:t>, 20</w:t>
      </w:r>
      <w:r>
        <w:rPr>
          <w:rFonts w:cs="Times New Roman"/>
        </w:rPr>
        <w:t>2</w:t>
      </w:r>
      <w:r w:rsidR="002C6AF1">
        <w:rPr>
          <w:rFonts w:cs="Times New Roman"/>
        </w:rPr>
        <w:t>2</w:t>
      </w:r>
      <w:r w:rsidRPr="006739E8">
        <w:rPr>
          <w:rFonts w:cs="Times New Roman"/>
        </w:rPr>
        <w:t>), and agree to perform my duties as sponsor in accordance with the laws of the People's Republic of China, the Declaration of Helsinki, the GCP and this study protocol.</w:t>
      </w:r>
    </w:p>
    <w:p w14:paraId="650267B6" w14:textId="77777777" w:rsidR="00D45C54" w:rsidRDefault="00D45C54">
      <w:pPr>
        <w:suppressAutoHyphens w:val="0"/>
        <w:topLinePunct w:val="0"/>
        <w:spacing w:line="276" w:lineRule="auto"/>
        <w:rPr>
          <w:rFonts w:cs="Times New Roman"/>
          <w:kern w:val="2"/>
          <w14:numSpacing w14:val="default"/>
        </w:rPr>
      </w:pPr>
    </w:p>
    <w:p w14:paraId="2851AC00" w14:textId="77777777" w:rsidR="00D45C54" w:rsidRDefault="00D45C54">
      <w:pPr>
        <w:suppressAutoHyphens w:val="0"/>
        <w:topLinePunct w:val="0"/>
        <w:spacing w:line="276" w:lineRule="auto"/>
        <w:rPr>
          <w:rFonts w:cs="Times New Roman"/>
          <w:kern w:val="2"/>
          <w14:numSpacing w14:val="default"/>
        </w:rPr>
      </w:pPr>
    </w:p>
    <w:p w14:paraId="604051A4" w14:textId="77777777" w:rsidR="00D45C54" w:rsidRDefault="00D45C54">
      <w:pPr>
        <w:suppressAutoHyphens w:val="0"/>
        <w:topLinePunct w:val="0"/>
        <w:spacing w:line="276" w:lineRule="auto"/>
        <w:rPr>
          <w:rFonts w:cs="Times New Roman"/>
          <w:kern w:val="2"/>
          <w14:numSpacing w14:val="default"/>
        </w:rPr>
      </w:pPr>
    </w:p>
    <w:p w14:paraId="1E88F206" w14:textId="106FD4B1" w:rsidR="00D45C54" w:rsidRDefault="003E0392">
      <w:pPr>
        <w:pStyle w:val="P68B1DB1-12"/>
        <w:suppressAutoHyphens w:val="0"/>
        <w:topLinePunct w:val="0"/>
        <w:spacing w:line="276" w:lineRule="auto"/>
        <w:rPr>
          <w:rFonts w:hint="default"/>
          <w:sz w:val="21"/>
        </w:rPr>
      </w:pPr>
      <w:r>
        <w:t xml:space="preserve">Sponsor: Chia Tai Tianqing Pharmaceutical Group Co., Ltd. </w:t>
      </w:r>
    </w:p>
    <w:p w14:paraId="06B983CF" w14:textId="77777777" w:rsidR="00D45C54" w:rsidRDefault="00D45C54">
      <w:pPr>
        <w:suppressAutoHyphens w:val="0"/>
        <w:topLinePunct w:val="0"/>
        <w:spacing w:line="276" w:lineRule="auto"/>
        <w:rPr>
          <w:rFonts w:cs="Times New Roman"/>
          <w:kern w:val="2"/>
          <w:sz w:val="21"/>
          <w14:numSpacing w14:val="default"/>
        </w:rPr>
      </w:pPr>
    </w:p>
    <w:p w14:paraId="16025573" w14:textId="77777777" w:rsidR="00D45C54" w:rsidRDefault="00D45C54">
      <w:pPr>
        <w:suppressAutoHyphens w:val="0"/>
        <w:topLinePunct w:val="0"/>
        <w:rPr>
          <w:rFonts w:cs="Times New Roman"/>
          <w:kern w:val="2"/>
          <w14:numSpacing w14:val="default"/>
        </w:rPr>
      </w:pPr>
    </w:p>
    <w:p w14:paraId="7294C78F" w14:textId="77777777" w:rsidR="00D45C54" w:rsidRDefault="00D45C54">
      <w:pPr>
        <w:suppressAutoHyphens w:val="0"/>
        <w:topLinePunct w:val="0"/>
        <w:rPr>
          <w:rFonts w:cs="Times New Roman"/>
          <w:kern w:val="2"/>
          <w14:numSpacing w14:val="default"/>
        </w:rPr>
      </w:pPr>
    </w:p>
    <w:p w14:paraId="50B8AE49" w14:textId="77777777" w:rsidR="00D45C54" w:rsidRDefault="00D45C54">
      <w:pPr>
        <w:suppressAutoHyphens w:val="0"/>
        <w:topLinePunct w:val="0"/>
        <w:spacing w:line="276" w:lineRule="auto"/>
        <w:rPr>
          <w:rFonts w:cs="Times New Roman"/>
          <w:kern w:val="2"/>
          <w:sz w:val="21"/>
          <w14:numSpacing w14:val="default"/>
        </w:rPr>
      </w:pPr>
    </w:p>
    <w:p w14:paraId="580311BE" w14:textId="77777777" w:rsidR="00D45C54" w:rsidRDefault="00D45C54">
      <w:pPr>
        <w:suppressAutoHyphens w:val="0"/>
        <w:topLinePunct w:val="0"/>
        <w:spacing w:line="276" w:lineRule="auto"/>
        <w:rPr>
          <w:rFonts w:cs="Times New Roman"/>
          <w:kern w:val="2"/>
          <w:sz w:val="21"/>
          <w14:numSpacing w14:val="default"/>
        </w:rPr>
      </w:pPr>
    </w:p>
    <w:p w14:paraId="08CC7D18" w14:textId="77777777" w:rsidR="00D45C54" w:rsidRDefault="00D45C54">
      <w:pPr>
        <w:suppressAutoHyphens w:val="0"/>
        <w:topLinePunct w:val="0"/>
        <w:spacing w:line="276" w:lineRule="auto"/>
        <w:rPr>
          <w:rFonts w:cs="Times New Roman"/>
          <w:kern w:val="2"/>
          <w:sz w:val="21"/>
          <w14:numSpacing w14:val="default"/>
        </w:rPr>
      </w:pPr>
    </w:p>
    <w:p w14:paraId="27E7B7BE" w14:textId="77777777" w:rsidR="00D45C54" w:rsidRDefault="00D45C54">
      <w:pPr>
        <w:suppressAutoHyphens w:val="0"/>
        <w:topLinePunct w:val="0"/>
        <w:spacing w:line="276" w:lineRule="auto"/>
        <w:rPr>
          <w:rFonts w:cs="Times New Roman"/>
          <w:kern w:val="2"/>
          <w:sz w:val="21"/>
          <w14:numSpacing w14:val="default"/>
        </w:rPr>
      </w:pPr>
    </w:p>
    <w:p w14:paraId="7F80CC6F" w14:textId="77777777" w:rsidR="00D45C54" w:rsidRDefault="00D45C54">
      <w:pPr>
        <w:suppressAutoHyphens w:val="0"/>
        <w:topLinePunct w:val="0"/>
        <w:spacing w:line="276" w:lineRule="auto"/>
        <w:rPr>
          <w:rFonts w:cs="Times New Roman"/>
          <w:kern w:val="2"/>
          <w:sz w:val="21"/>
          <w14:numSpacing w14:val="default"/>
        </w:rPr>
      </w:pPr>
    </w:p>
    <w:p w14:paraId="0B2FCB6B" w14:textId="77777777" w:rsidR="00D45C54" w:rsidRDefault="00D45C54">
      <w:pPr>
        <w:suppressAutoHyphens w:val="0"/>
        <w:topLinePunct w:val="0"/>
        <w:spacing w:line="276" w:lineRule="auto"/>
        <w:rPr>
          <w:rFonts w:cs="Times New Roman"/>
          <w:kern w:val="2"/>
          <w:sz w:val="21"/>
          <w14:numSpacing w14:val="default"/>
        </w:rPr>
      </w:pPr>
    </w:p>
    <w:p w14:paraId="439B7C8C" w14:textId="77777777" w:rsidR="00D45C54" w:rsidRDefault="00D45C54">
      <w:pPr>
        <w:suppressAutoHyphens w:val="0"/>
        <w:topLinePunct w:val="0"/>
        <w:spacing w:line="276" w:lineRule="auto"/>
        <w:rPr>
          <w:rFonts w:cs="Times New Roman"/>
          <w:kern w:val="2"/>
          <w:sz w:val="21"/>
          <w14:numSpacing w14:val="default"/>
        </w:rPr>
      </w:pPr>
    </w:p>
    <w:p w14:paraId="3F05D4EF" w14:textId="77777777" w:rsidR="00D45C54" w:rsidRDefault="00D45C54">
      <w:pPr>
        <w:suppressAutoHyphens w:val="0"/>
        <w:topLinePunct w:val="0"/>
        <w:spacing w:line="276" w:lineRule="auto"/>
        <w:rPr>
          <w:rFonts w:cs="Times New Roman"/>
          <w:kern w:val="2"/>
          <w:sz w:val="21"/>
          <w14:numSpacing w14:val="default"/>
        </w:rPr>
      </w:pPr>
    </w:p>
    <w:p w14:paraId="5DC6B900" w14:textId="77777777" w:rsidR="00D45C54" w:rsidRDefault="00D45C54">
      <w:pPr>
        <w:suppressAutoHyphens w:val="0"/>
        <w:topLinePunct w:val="0"/>
        <w:spacing w:line="276" w:lineRule="auto"/>
        <w:rPr>
          <w:rFonts w:cs="Times New Roman"/>
          <w:kern w:val="2"/>
          <w:sz w:val="21"/>
          <w14:numSpacing w14:val="default"/>
        </w:rPr>
      </w:pPr>
    </w:p>
    <w:p w14:paraId="2BB42F96" w14:textId="77777777" w:rsidR="00D45C54" w:rsidRDefault="00D45C54">
      <w:pPr>
        <w:suppressAutoHyphens w:val="0"/>
        <w:topLinePunct w:val="0"/>
        <w:spacing w:line="276" w:lineRule="auto"/>
        <w:rPr>
          <w:rFonts w:cs="Times New Roman"/>
          <w:kern w:val="2"/>
          <w:sz w:val="21"/>
          <w14:numSpacing w14:val="default"/>
        </w:rPr>
      </w:pPr>
    </w:p>
    <w:p w14:paraId="3A924743" w14:textId="77777777" w:rsidR="00D45C54" w:rsidRDefault="00D45C54">
      <w:pPr>
        <w:suppressAutoHyphens w:val="0"/>
        <w:topLinePunct w:val="0"/>
        <w:spacing w:line="276" w:lineRule="auto"/>
        <w:rPr>
          <w:rFonts w:cs="Times New Roman"/>
          <w:kern w:val="2"/>
          <w14:numSpacing w14:val="default"/>
        </w:rPr>
      </w:pPr>
    </w:p>
    <w:p w14:paraId="18C4B0E8" w14:textId="77777777" w:rsidR="00D45C54" w:rsidRDefault="00D45C54">
      <w:pPr>
        <w:suppressAutoHyphens w:val="0"/>
        <w:topLinePunct w:val="0"/>
        <w:spacing w:line="276" w:lineRule="auto"/>
        <w:rPr>
          <w:rFonts w:cs="Times New Roman"/>
          <w:kern w:val="2"/>
          <w14:numSpacing w14:val="default"/>
        </w:rPr>
      </w:pPr>
    </w:p>
    <w:tbl>
      <w:tblPr>
        <w:tblW w:w="7943" w:type="dxa"/>
        <w:jc w:val="center"/>
        <w:tblBorders>
          <w:insideH w:val="single" w:sz="4" w:space="0" w:color="auto"/>
        </w:tblBorders>
        <w:tblLayout w:type="fixed"/>
        <w:tblLook w:val="04A0" w:firstRow="1" w:lastRow="0" w:firstColumn="1" w:lastColumn="0" w:noHBand="0" w:noVBand="1"/>
      </w:tblPr>
      <w:tblGrid>
        <w:gridCol w:w="2941"/>
        <w:gridCol w:w="2308"/>
        <w:gridCol w:w="2694"/>
      </w:tblGrid>
      <w:tr w:rsidR="00D45C54" w14:paraId="0E059085" w14:textId="77777777">
        <w:trPr>
          <w:jc w:val="center"/>
        </w:trPr>
        <w:tc>
          <w:tcPr>
            <w:tcW w:w="2941" w:type="dxa"/>
            <w:vAlign w:val="bottom"/>
          </w:tcPr>
          <w:p w14:paraId="4CC36668" w14:textId="77777777" w:rsidR="00D45C54" w:rsidRDefault="00D45C54">
            <w:pPr>
              <w:suppressAutoHyphens w:val="0"/>
              <w:topLinePunct w:val="0"/>
              <w:rPr>
                <w:rFonts w:cs="Times New Roman"/>
                <w:kern w:val="2"/>
                <w14:numSpacing w14:val="default"/>
              </w:rPr>
            </w:pPr>
          </w:p>
          <w:p w14:paraId="7F3C9179" w14:textId="77777777" w:rsidR="00D45C54" w:rsidRDefault="00D45C54">
            <w:pPr>
              <w:suppressAutoHyphens w:val="0"/>
              <w:topLinePunct w:val="0"/>
              <w:rPr>
                <w:rFonts w:eastAsiaTheme="minorEastAsia" w:cs="Times New Roman"/>
                <w:kern w:val="2"/>
                <w14:numSpacing w14:val="default"/>
              </w:rPr>
            </w:pPr>
          </w:p>
          <w:p w14:paraId="51A5CC29" w14:textId="77777777" w:rsidR="006739E8" w:rsidRDefault="006739E8">
            <w:pPr>
              <w:suppressAutoHyphens w:val="0"/>
              <w:topLinePunct w:val="0"/>
              <w:rPr>
                <w:rFonts w:eastAsiaTheme="minorEastAsia" w:cs="Times New Roman"/>
                <w:kern w:val="2"/>
                <w14:numSpacing w14:val="default"/>
              </w:rPr>
            </w:pPr>
          </w:p>
          <w:p w14:paraId="60962ED0" w14:textId="77777777" w:rsidR="006739E8" w:rsidRDefault="006739E8">
            <w:pPr>
              <w:suppressAutoHyphens w:val="0"/>
              <w:topLinePunct w:val="0"/>
              <w:rPr>
                <w:rFonts w:eastAsiaTheme="minorEastAsia" w:cs="Times New Roman"/>
                <w:kern w:val="2"/>
                <w14:numSpacing w14:val="default"/>
              </w:rPr>
            </w:pPr>
          </w:p>
          <w:p w14:paraId="7C8ECD4E" w14:textId="77777777" w:rsidR="006739E8" w:rsidRDefault="006739E8">
            <w:pPr>
              <w:suppressAutoHyphens w:val="0"/>
              <w:topLinePunct w:val="0"/>
              <w:rPr>
                <w:rFonts w:eastAsiaTheme="minorEastAsia" w:cs="Times New Roman"/>
                <w:kern w:val="2"/>
                <w14:numSpacing w14:val="default"/>
              </w:rPr>
            </w:pPr>
          </w:p>
          <w:p w14:paraId="0D67312F" w14:textId="77777777" w:rsidR="006739E8" w:rsidRDefault="006739E8">
            <w:pPr>
              <w:suppressAutoHyphens w:val="0"/>
              <w:topLinePunct w:val="0"/>
              <w:rPr>
                <w:rFonts w:eastAsiaTheme="minorEastAsia" w:cs="Times New Roman"/>
                <w:kern w:val="2"/>
                <w14:numSpacing w14:val="default"/>
              </w:rPr>
            </w:pPr>
          </w:p>
          <w:p w14:paraId="4AD697B0" w14:textId="77777777" w:rsidR="006739E8" w:rsidRDefault="006739E8">
            <w:pPr>
              <w:suppressAutoHyphens w:val="0"/>
              <w:topLinePunct w:val="0"/>
              <w:rPr>
                <w:rFonts w:eastAsiaTheme="minorEastAsia" w:cs="Times New Roman"/>
                <w:kern w:val="2"/>
                <w14:numSpacing w14:val="default"/>
              </w:rPr>
            </w:pPr>
          </w:p>
          <w:p w14:paraId="25861CF2" w14:textId="77777777" w:rsidR="006739E8" w:rsidRDefault="006739E8">
            <w:pPr>
              <w:suppressAutoHyphens w:val="0"/>
              <w:topLinePunct w:val="0"/>
              <w:rPr>
                <w:rFonts w:eastAsiaTheme="minorEastAsia" w:cs="Times New Roman"/>
                <w:kern w:val="2"/>
                <w14:numSpacing w14:val="default"/>
              </w:rPr>
            </w:pPr>
          </w:p>
          <w:p w14:paraId="251139DF" w14:textId="77777777" w:rsidR="006739E8" w:rsidRDefault="006739E8">
            <w:pPr>
              <w:suppressAutoHyphens w:val="0"/>
              <w:topLinePunct w:val="0"/>
              <w:rPr>
                <w:rFonts w:eastAsiaTheme="minorEastAsia" w:cs="Times New Roman"/>
                <w:kern w:val="2"/>
                <w14:numSpacing w14:val="default"/>
              </w:rPr>
            </w:pPr>
          </w:p>
          <w:p w14:paraId="20E5DE34" w14:textId="77777777" w:rsidR="006739E8" w:rsidRPr="003127AF" w:rsidRDefault="006739E8">
            <w:pPr>
              <w:suppressAutoHyphens w:val="0"/>
              <w:topLinePunct w:val="0"/>
              <w:rPr>
                <w:rFonts w:eastAsiaTheme="minorEastAsia" w:cs="Times New Roman"/>
                <w:kern w:val="2"/>
                <w14:numSpacing w14:val="default"/>
              </w:rPr>
            </w:pPr>
          </w:p>
          <w:p w14:paraId="2D8A4197" w14:textId="480438C8" w:rsidR="00D45C54" w:rsidRDefault="003E0392">
            <w:pPr>
              <w:pStyle w:val="P68B1DB1-12"/>
              <w:suppressAutoHyphens w:val="0"/>
              <w:topLinePunct w:val="0"/>
              <w:jc w:val="center"/>
              <w:rPr>
                <w:rFonts w:hint="default"/>
                <w:b/>
              </w:rPr>
            </w:pPr>
            <w:r>
              <w:t>Xunqiang</w:t>
            </w:r>
            <w:r w:rsidR="00793109">
              <w:t xml:space="preserve"> Wang</w:t>
            </w:r>
            <w:r>
              <w:t xml:space="preserve"> </w:t>
            </w:r>
          </w:p>
        </w:tc>
        <w:tc>
          <w:tcPr>
            <w:tcW w:w="2308" w:type="dxa"/>
          </w:tcPr>
          <w:p w14:paraId="2C030962" w14:textId="77777777" w:rsidR="00D45C54" w:rsidRDefault="00D45C54">
            <w:pPr>
              <w:suppressAutoHyphens w:val="0"/>
              <w:topLinePunct w:val="0"/>
              <w:rPr>
                <w:rFonts w:cs="Times New Roman"/>
                <w:kern w:val="2"/>
                <w14:numSpacing w14:val="default"/>
              </w:rPr>
            </w:pPr>
          </w:p>
        </w:tc>
        <w:tc>
          <w:tcPr>
            <w:tcW w:w="2694" w:type="dxa"/>
          </w:tcPr>
          <w:p w14:paraId="0B8BD20A" w14:textId="77777777" w:rsidR="00D45C54" w:rsidRDefault="00D45C54">
            <w:pPr>
              <w:suppressAutoHyphens w:val="0"/>
              <w:topLinePunct w:val="0"/>
              <w:rPr>
                <w:rFonts w:cs="Times New Roman"/>
                <w:kern w:val="2"/>
                <w14:numSpacing w14:val="default"/>
              </w:rPr>
            </w:pPr>
          </w:p>
        </w:tc>
      </w:tr>
      <w:tr w:rsidR="00D45C54" w14:paraId="4E5F9B20" w14:textId="77777777">
        <w:trPr>
          <w:trHeight w:val="734"/>
          <w:jc w:val="center"/>
        </w:trPr>
        <w:tc>
          <w:tcPr>
            <w:tcW w:w="2941" w:type="dxa"/>
            <w:vAlign w:val="center"/>
          </w:tcPr>
          <w:p w14:paraId="0685EB5A" w14:textId="77777777" w:rsidR="00D45C54" w:rsidRDefault="003E0392">
            <w:pPr>
              <w:pStyle w:val="P68B1DB1-12"/>
              <w:suppressAutoHyphens w:val="0"/>
              <w:topLinePunct w:val="0"/>
              <w:rPr>
                <w:rFonts w:hint="default"/>
              </w:rPr>
            </w:pPr>
            <w:r>
              <w:t xml:space="preserve">Clinical Technical Lead (Print) </w:t>
            </w:r>
          </w:p>
        </w:tc>
        <w:tc>
          <w:tcPr>
            <w:tcW w:w="2308" w:type="dxa"/>
            <w:vAlign w:val="center"/>
          </w:tcPr>
          <w:p w14:paraId="5AA2958A" w14:textId="77777777" w:rsidR="00D45C54" w:rsidRDefault="003E0392">
            <w:pPr>
              <w:pStyle w:val="P68B1DB1-12"/>
              <w:suppressAutoHyphens w:val="0"/>
              <w:topLinePunct w:val="0"/>
              <w:jc w:val="center"/>
              <w:rPr>
                <w:rFonts w:hint="default"/>
              </w:rPr>
            </w:pPr>
            <w:r>
              <w:t xml:space="preserve">Signature </w:t>
            </w:r>
          </w:p>
        </w:tc>
        <w:tc>
          <w:tcPr>
            <w:tcW w:w="2694" w:type="dxa"/>
            <w:vAlign w:val="center"/>
          </w:tcPr>
          <w:p w14:paraId="2A4FB1AA" w14:textId="77777777" w:rsidR="00D45C54" w:rsidRDefault="003E0392">
            <w:pPr>
              <w:pStyle w:val="P68B1DB1-13"/>
              <w:suppressAutoHyphens w:val="0"/>
              <w:topLinePunct w:val="0"/>
              <w:jc w:val="center"/>
            </w:pPr>
            <w:r>
              <w:t xml:space="preserve">Date of Signature (DD/MMM/YYYY) </w:t>
            </w:r>
          </w:p>
        </w:tc>
      </w:tr>
    </w:tbl>
    <w:p w14:paraId="44CF08B2" w14:textId="77777777" w:rsidR="00D45C54" w:rsidRDefault="003E0392">
      <w:pPr>
        <w:pStyle w:val="afe"/>
        <w:rPr>
          <w:sz w:val="30"/>
          <w:u w:color="000000"/>
        </w:rPr>
      </w:pPr>
      <w:r>
        <w:br w:type="page"/>
      </w:r>
      <w:r>
        <w:rPr>
          <w:rFonts w:hint="eastAsia"/>
          <w:sz w:val="30"/>
          <w:u w:color="000000"/>
        </w:rPr>
        <w:lastRenderedPageBreak/>
        <w:t xml:space="preserve">Protocol Signature Page </w:t>
      </w:r>
    </w:p>
    <w:p w14:paraId="558D67FC" w14:textId="77777777" w:rsidR="00D45C54" w:rsidRDefault="00D45C54">
      <w:pPr>
        <w:suppressAutoHyphens w:val="0"/>
        <w:topLinePunct w:val="0"/>
        <w:ind w:firstLineChars="202" w:firstLine="485"/>
        <w:rPr>
          <w:rFonts w:cs="Times New Roman"/>
          <w:kern w:val="2"/>
          <w14:numSpacing w14:val="default"/>
        </w:rPr>
      </w:pPr>
    </w:p>
    <w:p w14:paraId="516360DE" w14:textId="79113A11" w:rsidR="00D45C54" w:rsidRDefault="006739E8" w:rsidP="00D21F19">
      <w:pPr>
        <w:suppressAutoHyphens w:val="0"/>
        <w:topLinePunct w:val="0"/>
        <w:ind w:firstLineChars="202" w:firstLine="485"/>
        <w:rPr>
          <w:rFonts w:cs="Times New Roman"/>
          <w:kern w:val="2"/>
          <w:sz w:val="21"/>
          <w14:numSpacing w14:val="default"/>
        </w:rPr>
      </w:pPr>
      <w:r w:rsidRPr="006739E8">
        <w:rPr>
          <w:rFonts w:cs="Times New Roman"/>
        </w:rPr>
        <w:t xml:space="preserve">I will earnestly perform my duties and personally participate in or directly guide this clinical trial in accordance with the current GCP regulations. I have read this clinical research protocol, protocol (Protocol No.: </w:t>
      </w:r>
      <w:r w:rsidR="00C52BD4">
        <w:rPr>
          <w:rFonts w:cs="Times New Roman"/>
        </w:rPr>
        <w:t>ALTN-III-02, Version No.2.1</w:t>
      </w:r>
      <w:r w:rsidR="002C6AF1">
        <w:rPr>
          <w:rFonts w:cs="Times New Roman"/>
        </w:rPr>
        <w:t>, Version date: March 15, 2022</w:t>
      </w:r>
      <w:r w:rsidRPr="006739E8">
        <w:rPr>
          <w:rFonts w:cs="Times New Roman"/>
        </w:rPr>
        <w:t xml:space="preserve">). And </w:t>
      </w:r>
      <w:r w:rsidR="00D21F19" w:rsidRPr="00D21F19">
        <w:rPr>
          <w:rFonts w:cs="Times New Roman"/>
        </w:rPr>
        <w:t>I agree to perform my duties as an investigator in accordance with the laws of China, the Declaration of Helsinki, the Chinese GCP, and the protocol of this study. As the team leader unit, we will actively coordinate the participating units to carry out the clinical research in accordance with the protocol, coordinate and promote the sponsor to cooperate with the investigators, provide qualified drugs and related data, and entrust or dispatch personnel to monitor the various processes of the trial according to the project progress.</w:t>
      </w:r>
      <w:r w:rsidR="00D21F19" w:rsidRPr="00D21F19" w:rsidDel="00D21F19">
        <w:rPr>
          <w:rFonts w:cs="Times New Roman"/>
        </w:rPr>
        <w:t xml:space="preserve"> </w:t>
      </w:r>
    </w:p>
    <w:p w14:paraId="6C8814E3" w14:textId="77777777" w:rsidR="00D45C54" w:rsidRDefault="00D45C54">
      <w:pPr>
        <w:suppressAutoHyphens w:val="0"/>
        <w:topLinePunct w:val="0"/>
        <w:spacing w:line="276" w:lineRule="auto"/>
        <w:rPr>
          <w:rFonts w:cs="Times New Roman"/>
          <w:kern w:val="2"/>
          <w:sz w:val="21"/>
          <w14:numSpacing w14:val="default"/>
        </w:rPr>
      </w:pPr>
    </w:p>
    <w:p w14:paraId="3B964C6A" w14:textId="6FD00D49" w:rsidR="00D45C54" w:rsidRDefault="003E0392">
      <w:pPr>
        <w:pStyle w:val="P68B1DB1-12"/>
        <w:suppressAutoHyphens w:val="0"/>
        <w:topLinePunct w:val="0"/>
        <w:spacing w:line="276" w:lineRule="auto"/>
        <w:rPr>
          <w:rFonts w:hint="default"/>
        </w:rPr>
      </w:pPr>
      <w:r>
        <w:t xml:space="preserve">Leading site: </w:t>
      </w:r>
      <w:r w:rsidR="002C6AF1" w:rsidRPr="002C6AF1">
        <w:t>The Second Affiliated Hospital Zhejiang University School of Medicine</w:t>
      </w:r>
      <w:r>
        <w:t xml:space="preserve"> </w:t>
      </w:r>
    </w:p>
    <w:p w14:paraId="0FFE5368" w14:textId="77777777" w:rsidR="00D45C54" w:rsidRDefault="00D45C54">
      <w:pPr>
        <w:suppressAutoHyphens w:val="0"/>
        <w:topLinePunct w:val="0"/>
        <w:spacing w:line="276" w:lineRule="auto"/>
        <w:rPr>
          <w:rFonts w:cs="Times New Roman"/>
          <w:kern w:val="2"/>
          <w:sz w:val="21"/>
          <w14:numSpacing w14:val="default"/>
        </w:rPr>
      </w:pPr>
    </w:p>
    <w:p w14:paraId="2AD2688A" w14:textId="77777777" w:rsidR="00D45C54" w:rsidRDefault="00D45C54">
      <w:pPr>
        <w:suppressAutoHyphens w:val="0"/>
        <w:topLinePunct w:val="0"/>
        <w:rPr>
          <w:rFonts w:cs="Times New Roman"/>
          <w:kern w:val="2"/>
          <w14:numSpacing w14:val="default"/>
        </w:rPr>
      </w:pPr>
    </w:p>
    <w:p w14:paraId="650152F8" w14:textId="77777777" w:rsidR="00D45C54" w:rsidRDefault="00D45C54">
      <w:pPr>
        <w:suppressAutoHyphens w:val="0"/>
        <w:topLinePunct w:val="0"/>
        <w:spacing w:line="276" w:lineRule="auto"/>
        <w:rPr>
          <w:rFonts w:cs="Times New Roman"/>
          <w:kern w:val="2"/>
          <w:sz w:val="21"/>
          <w14:numSpacing w14:val="default"/>
        </w:rPr>
      </w:pPr>
    </w:p>
    <w:p w14:paraId="7ED8CFF4" w14:textId="77777777" w:rsidR="00D45C54" w:rsidRDefault="00D45C54">
      <w:pPr>
        <w:suppressAutoHyphens w:val="0"/>
        <w:topLinePunct w:val="0"/>
        <w:spacing w:line="276" w:lineRule="auto"/>
        <w:rPr>
          <w:rFonts w:cs="Times New Roman"/>
          <w:kern w:val="2"/>
          <w:sz w:val="21"/>
          <w14:numSpacing w14:val="default"/>
        </w:rPr>
      </w:pPr>
    </w:p>
    <w:p w14:paraId="5EAEB801" w14:textId="77777777" w:rsidR="00D45C54" w:rsidRDefault="00D45C54">
      <w:pPr>
        <w:suppressAutoHyphens w:val="0"/>
        <w:topLinePunct w:val="0"/>
        <w:spacing w:line="276" w:lineRule="auto"/>
        <w:rPr>
          <w:rFonts w:cs="Times New Roman"/>
          <w:kern w:val="2"/>
          <w:sz w:val="21"/>
          <w14:numSpacing w14:val="default"/>
        </w:rPr>
      </w:pPr>
    </w:p>
    <w:p w14:paraId="6FD5DBA5" w14:textId="77777777" w:rsidR="00D45C54" w:rsidRDefault="00D45C54">
      <w:pPr>
        <w:suppressAutoHyphens w:val="0"/>
        <w:topLinePunct w:val="0"/>
        <w:spacing w:line="276" w:lineRule="auto"/>
        <w:rPr>
          <w:rFonts w:cs="Times New Roman"/>
          <w:kern w:val="2"/>
          <w:sz w:val="21"/>
          <w14:numSpacing w14:val="default"/>
        </w:rPr>
      </w:pPr>
    </w:p>
    <w:p w14:paraId="7A584E9C" w14:textId="77777777" w:rsidR="00D45C54" w:rsidRDefault="00D45C54">
      <w:pPr>
        <w:suppressAutoHyphens w:val="0"/>
        <w:topLinePunct w:val="0"/>
        <w:spacing w:line="276" w:lineRule="auto"/>
        <w:rPr>
          <w:rFonts w:cs="Times New Roman"/>
          <w:kern w:val="2"/>
          <w:sz w:val="21"/>
          <w14:numSpacing w14:val="default"/>
        </w:rPr>
      </w:pPr>
    </w:p>
    <w:p w14:paraId="28CCB8AD" w14:textId="77777777" w:rsidR="00D45C54" w:rsidRDefault="00D45C54">
      <w:pPr>
        <w:suppressAutoHyphens w:val="0"/>
        <w:topLinePunct w:val="0"/>
        <w:spacing w:line="276" w:lineRule="auto"/>
        <w:rPr>
          <w:rFonts w:cs="Times New Roman"/>
          <w:kern w:val="2"/>
          <w:sz w:val="21"/>
          <w14:numSpacing w14:val="default"/>
        </w:rPr>
      </w:pPr>
    </w:p>
    <w:p w14:paraId="50D57E04" w14:textId="77777777" w:rsidR="00D45C54" w:rsidRDefault="00D45C54">
      <w:pPr>
        <w:suppressAutoHyphens w:val="0"/>
        <w:topLinePunct w:val="0"/>
        <w:spacing w:line="276" w:lineRule="auto"/>
        <w:rPr>
          <w:rFonts w:cs="Times New Roman"/>
          <w:kern w:val="2"/>
          <w:sz w:val="21"/>
          <w14:numSpacing w14:val="default"/>
        </w:rPr>
      </w:pPr>
    </w:p>
    <w:p w14:paraId="29504FFF" w14:textId="77777777" w:rsidR="00D45C54" w:rsidRDefault="00D45C54">
      <w:pPr>
        <w:suppressAutoHyphens w:val="0"/>
        <w:topLinePunct w:val="0"/>
        <w:spacing w:line="276" w:lineRule="auto"/>
        <w:rPr>
          <w:rFonts w:cs="Times New Roman"/>
          <w:kern w:val="2"/>
          <w:sz w:val="21"/>
          <w14:numSpacing w14:val="default"/>
        </w:rPr>
      </w:pPr>
    </w:p>
    <w:p w14:paraId="0919BCBC" w14:textId="77777777" w:rsidR="00D45C54" w:rsidRDefault="00D45C54">
      <w:pPr>
        <w:suppressAutoHyphens w:val="0"/>
        <w:topLinePunct w:val="0"/>
        <w:spacing w:line="276" w:lineRule="auto"/>
        <w:rPr>
          <w:rFonts w:cs="Times New Roman"/>
          <w:kern w:val="2"/>
          <w:sz w:val="21"/>
          <w14:numSpacing w14:val="default"/>
        </w:rPr>
      </w:pPr>
    </w:p>
    <w:p w14:paraId="3B6A3CA2" w14:textId="77777777" w:rsidR="00D45C54" w:rsidRDefault="00D45C54">
      <w:pPr>
        <w:suppressAutoHyphens w:val="0"/>
        <w:topLinePunct w:val="0"/>
        <w:spacing w:line="276" w:lineRule="auto"/>
        <w:rPr>
          <w:rFonts w:cs="Times New Roman"/>
          <w:kern w:val="2"/>
          <w:sz w:val="21"/>
          <w14:numSpacing w14:val="default"/>
        </w:rPr>
      </w:pPr>
    </w:p>
    <w:p w14:paraId="75A4DF80" w14:textId="77777777" w:rsidR="00D45C54" w:rsidRDefault="00D45C54">
      <w:pPr>
        <w:suppressAutoHyphens w:val="0"/>
        <w:topLinePunct w:val="0"/>
        <w:spacing w:line="276" w:lineRule="auto"/>
        <w:rPr>
          <w:rFonts w:cs="Times New Roman"/>
          <w:kern w:val="2"/>
          <w:sz w:val="21"/>
          <w14:numSpacing w14:val="default"/>
        </w:rPr>
      </w:pPr>
    </w:p>
    <w:p w14:paraId="511F2ABC" w14:textId="77777777" w:rsidR="00D45C54" w:rsidRDefault="00D45C54">
      <w:pPr>
        <w:suppressAutoHyphens w:val="0"/>
        <w:topLinePunct w:val="0"/>
        <w:spacing w:line="276" w:lineRule="auto"/>
        <w:rPr>
          <w:rFonts w:cs="Times New Roman"/>
          <w:kern w:val="2"/>
          <w14:numSpacing w14:val="default"/>
        </w:rPr>
      </w:pPr>
    </w:p>
    <w:p w14:paraId="18C1BF1D" w14:textId="77777777" w:rsidR="006739E8" w:rsidRDefault="006739E8">
      <w:pPr>
        <w:suppressAutoHyphens w:val="0"/>
        <w:topLinePunct w:val="0"/>
        <w:spacing w:line="276" w:lineRule="auto"/>
        <w:rPr>
          <w:rFonts w:eastAsiaTheme="minorEastAsia" w:cs="Times New Roman"/>
          <w:kern w:val="2"/>
          <w14:numSpacing w14:val="default"/>
        </w:rPr>
      </w:pPr>
    </w:p>
    <w:p w14:paraId="5BCD850A" w14:textId="77777777" w:rsidR="006739E8" w:rsidRDefault="006739E8">
      <w:pPr>
        <w:suppressAutoHyphens w:val="0"/>
        <w:topLinePunct w:val="0"/>
        <w:spacing w:line="276" w:lineRule="auto"/>
        <w:rPr>
          <w:rFonts w:eastAsiaTheme="minorEastAsia" w:cs="Times New Roman"/>
          <w:kern w:val="2"/>
          <w14:numSpacing w14:val="default"/>
        </w:rPr>
      </w:pPr>
    </w:p>
    <w:p w14:paraId="7675B1BD" w14:textId="77777777" w:rsidR="006739E8" w:rsidRDefault="006739E8">
      <w:pPr>
        <w:suppressAutoHyphens w:val="0"/>
        <w:topLinePunct w:val="0"/>
        <w:spacing w:line="276" w:lineRule="auto"/>
        <w:rPr>
          <w:rFonts w:cs="Times New Roman"/>
          <w:kern w:val="2"/>
          <w14:numSpacing w14:val="default"/>
        </w:rPr>
      </w:pPr>
    </w:p>
    <w:p w14:paraId="1C308916" w14:textId="57CBC722" w:rsidR="00D45C54" w:rsidRDefault="00D45C54">
      <w:pPr>
        <w:suppressAutoHyphens w:val="0"/>
        <w:topLinePunct w:val="0"/>
        <w:spacing w:line="276" w:lineRule="auto"/>
        <w:rPr>
          <w:rFonts w:eastAsiaTheme="minorEastAsia" w:cs="Times New Roman"/>
          <w:kern w:val="2"/>
          <w14:numSpacing w14:val="default"/>
        </w:rPr>
      </w:pPr>
    </w:p>
    <w:p w14:paraId="3FA33ADE" w14:textId="7E0DF4D9" w:rsidR="00D21F19" w:rsidRDefault="00D21F19">
      <w:pPr>
        <w:suppressAutoHyphens w:val="0"/>
        <w:topLinePunct w:val="0"/>
        <w:spacing w:line="276" w:lineRule="auto"/>
        <w:rPr>
          <w:rFonts w:eastAsiaTheme="minorEastAsia" w:cs="Times New Roman"/>
          <w:kern w:val="2"/>
          <w14:numSpacing w14:val="default"/>
        </w:rPr>
      </w:pPr>
    </w:p>
    <w:p w14:paraId="787734DF" w14:textId="10343B96" w:rsidR="00D21F19" w:rsidRDefault="00D21F19">
      <w:pPr>
        <w:suppressAutoHyphens w:val="0"/>
        <w:topLinePunct w:val="0"/>
        <w:spacing w:line="276" w:lineRule="auto"/>
        <w:rPr>
          <w:rFonts w:eastAsiaTheme="minorEastAsia" w:cs="Times New Roman"/>
          <w:kern w:val="2"/>
          <w14:numSpacing w14:val="default"/>
        </w:rPr>
      </w:pPr>
    </w:p>
    <w:p w14:paraId="3EDEA49C" w14:textId="730DD6F8" w:rsidR="00D21F19" w:rsidRDefault="00D21F19">
      <w:pPr>
        <w:suppressAutoHyphens w:val="0"/>
        <w:topLinePunct w:val="0"/>
        <w:spacing w:line="276" w:lineRule="auto"/>
        <w:rPr>
          <w:rFonts w:eastAsiaTheme="minorEastAsia" w:cs="Times New Roman"/>
          <w:kern w:val="2"/>
          <w14:numSpacing w14:val="default"/>
        </w:rPr>
      </w:pPr>
    </w:p>
    <w:p w14:paraId="74FCDB41" w14:textId="77777777" w:rsidR="00D21F19" w:rsidRPr="003127AF" w:rsidRDefault="00D21F19">
      <w:pPr>
        <w:suppressAutoHyphens w:val="0"/>
        <w:topLinePunct w:val="0"/>
        <w:spacing w:line="276" w:lineRule="auto"/>
        <w:rPr>
          <w:rFonts w:eastAsiaTheme="minorEastAsia" w:cs="Times New Roman"/>
          <w:kern w:val="2"/>
          <w14:numSpacing w14:val="default"/>
        </w:rPr>
      </w:pPr>
    </w:p>
    <w:tbl>
      <w:tblPr>
        <w:tblW w:w="8505" w:type="dxa"/>
        <w:tblBorders>
          <w:insideH w:val="single" w:sz="4" w:space="0" w:color="auto"/>
        </w:tblBorders>
        <w:tblLayout w:type="fixed"/>
        <w:tblLook w:val="04A0" w:firstRow="1" w:lastRow="0" w:firstColumn="1" w:lastColumn="0" w:noHBand="0" w:noVBand="1"/>
      </w:tblPr>
      <w:tblGrid>
        <w:gridCol w:w="3119"/>
        <w:gridCol w:w="2551"/>
        <w:gridCol w:w="2835"/>
      </w:tblGrid>
      <w:tr w:rsidR="00D45C54" w14:paraId="7E2DAFE9" w14:textId="77777777">
        <w:tc>
          <w:tcPr>
            <w:tcW w:w="3119" w:type="dxa"/>
            <w:vAlign w:val="bottom"/>
          </w:tcPr>
          <w:p w14:paraId="0D07DA5A" w14:textId="77777777" w:rsidR="00D45C54" w:rsidRDefault="00D45C54">
            <w:pPr>
              <w:suppressAutoHyphens w:val="0"/>
              <w:topLinePunct w:val="0"/>
              <w:jc w:val="center"/>
              <w:rPr>
                <w:rFonts w:cs="Times New Roman"/>
                <w:b/>
                <w:kern w:val="2"/>
                <w14:numSpacing w14:val="default"/>
              </w:rPr>
            </w:pPr>
          </w:p>
          <w:p w14:paraId="01505B82" w14:textId="1B9A9E7C" w:rsidR="00D45C54" w:rsidRDefault="002C6AF1">
            <w:pPr>
              <w:pStyle w:val="P68B1DB1-12"/>
              <w:suppressAutoHyphens w:val="0"/>
              <w:topLinePunct w:val="0"/>
              <w:jc w:val="center"/>
              <w:rPr>
                <w:rFonts w:hint="default"/>
                <w:b/>
              </w:rPr>
            </w:pPr>
            <w:r>
              <w:rPr>
                <w:rFonts w:hint="default"/>
              </w:rPr>
              <w:t>Kefeng Ding</w:t>
            </w:r>
            <w:r w:rsidR="003E0392">
              <w:t xml:space="preserve"> </w:t>
            </w:r>
          </w:p>
        </w:tc>
        <w:tc>
          <w:tcPr>
            <w:tcW w:w="2551" w:type="dxa"/>
          </w:tcPr>
          <w:p w14:paraId="02D32F2C" w14:textId="77777777" w:rsidR="00D45C54" w:rsidRDefault="00D45C54">
            <w:pPr>
              <w:suppressAutoHyphens w:val="0"/>
              <w:topLinePunct w:val="0"/>
              <w:rPr>
                <w:rFonts w:cs="Times New Roman"/>
                <w:kern w:val="2"/>
                <w14:numSpacing w14:val="default"/>
              </w:rPr>
            </w:pPr>
          </w:p>
        </w:tc>
        <w:tc>
          <w:tcPr>
            <w:tcW w:w="2835" w:type="dxa"/>
          </w:tcPr>
          <w:p w14:paraId="7AC54D26" w14:textId="77777777" w:rsidR="00D45C54" w:rsidRDefault="00D45C54">
            <w:pPr>
              <w:suppressAutoHyphens w:val="0"/>
              <w:topLinePunct w:val="0"/>
              <w:rPr>
                <w:rFonts w:cs="Times New Roman"/>
                <w:kern w:val="2"/>
                <w14:numSpacing w14:val="default"/>
              </w:rPr>
            </w:pPr>
          </w:p>
        </w:tc>
      </w:tr>
      <w:tr w:rsidR="00D45C54" w14:paraId="023A37E6" w14:textId="77777777">
        <w:trPr>
          <w:trHeight w:val="734"/>
        </w:trPr>
        <w:tc>
          <w:tcPr>
            <w:tcW w:w="3119" w:type="dxa"/>
            <w:vAlign w:val="center"/>
          </w:tcPr>
          <w:p w14:paraId="39C26DF6" w14:textId="77777777" w:rsidR="00D45C54" w:rsidRDefault="003E0392">
            <w:pPr>
              <w:pStyle w:val="P68B1DB1-13"/>
              <w:suppressAutoHyphens w:val="0"/>
              <w:topLinePunct w:val="0"/>
            </w:pPr>
            <w:r>
              <w:t xml:space="preserve">Principal Investigator (Print) </w:t>
            </w:r>
          </w:p>
        </w:tc>
        <w:tc>
          <w:tcPr>
            <w:tcW w:w="2551" w:type="dxa"/>
            <w:vAlign w:val="center"/>
          </w:tcPr>
          <w:p w14:paraId="73015AFE" w14:textId="77777777" w:rsidR="00D45C54" w:rsidRDefault="003E0392">
            <w:pPr>
              <w:pStyle w:val="P68B1DB1-13"/>
              <w:suppressAutoHyphens w:val="0"/>
              <w:topLinePunct w:val="0"/>
              <w:jc w:val="center"/>
            </w:pPr>
            <w:r>
              <w:t xml:space="preserve">Signature of Principal Investigator </w:t>
            </w:r>
          </w:p>
        </w:tc>
        <w:tc>
          <w:tcPr>
            <w:tcW w:w="2835" w:type="dxa"/>
            <w:vAlign w:val="center"/>
          </w:tcPr>
          <w:p w14:paraId="160CC04E" w14:textId="77777777" w:rsidR="00D45C54" w:rsidRDefault="003E0392">
            <w:pPr>
              <w:pStyle w:val="P68B1DB1-13"/>
              <w:suppressAutoHyphens w:val="0"/>
              <w:topLinePunct w:val="0"/>
            </w:pPr>
            <w:r>
              <w:t xml:space="preserve">Date of Signature (DD/MMM/YYYY) </w:t>
            </w:r>
          </w:p>
        </w:tc>
      </w:tr>
    </w:tbl>
    <w:p w14:paraId="61055565" w14:textId="4C053EC2" w:rsidR="00D45C54" w:rsidRPr="00384EEC" w:rsidRDefault="00D45C54">
      <w:pPr>
        <w:pStyle w:val="P68B1DB1-110"/>
        <w:widowControl/>
        <w:suppressAutoHyphens w:val="0"/>
        <w:topLinePunct w:val="0"/>
        <w:spacing w:line="240" w:lineRule="auto"/>
        <w:jc w:val="left"/>
        <w:rPr>
          <w:rFonts w:eastAsiaTheme="minorEastAsia"/>
        </w:rPr>
      </w:pPr>
    </w:p>
    <w:p w14:paraId="7E6B64C0" w14:textId="77777777" w:rsidR="00D21F19" w:rsidRDefault="00D21F19" w:rsidP="00D21F19">
      <w:pPr>
        <w:pStyle w:val="P68B1DB1-3311"/>
        <w:rPr>
          <w:rFonts w:hint="default"/>
        </w:rPr>
      </w:pPr>
      <w:r>
        <w:lastRenderedPageBreak/>
        <w:t>Protocol Signature Page</w:t>
      </w:r>
    </w:p>
    <w:p w14:paraId="79051DD8" w14:textId="77777777" w:rsidR="00D21F19" w:rsidRDefault="00D21F19" w:rsidP="00D21F19">
      <w:pPr>
        <w:suppressAutoHyphens w:val="0"/>
        <w:topLinePunct w:val="0"/>
        <w:ind w:firstLineChars="202" w:firstLine="485"/>
        <w:rPr>
          <w:rFonts w:cs="Times New Roman"/>
          <w:kern w:val="2"/>
          <w14:numSpacing w14:val="default"/>
        </w:rPr>
      </w:pPr>
    </w:p>
    <w:p w14:paraId="5456F0A9" w14:textId="750A3F25" w:rsidR="00D21F19" w:rsidRPr="00D902B9" w:rsidRDefault="00D21F19" w:rsidP="00D21F19">
      <w:pPr>
        <w:suppressAutoHyphens w:val="0"/>
        <w:topLinePunct w:val="0"/>
        <w:ind w:firstLineChars="202" w:firstLine="485"/>
        <w:rPr>
          <w:rFonts w:cs="Times New Roman"/>
        </w:rPr>
      </w:pPr>
      <w:r w:rsidRPr="00D902B9">
        <w:rPr>
          <w:rFonts w:cs="Times New Roman"/>
        </w:rPr>
        <w:t xml:space="preserve">I will earnestly perform my duties and personally participate in or directly guide this clinical trial in accordance with the current GCP regulations. I have read this clinical research protocol, protocol (Protocol No.: </w:t>
      </w:r>
      <w:r w:rsidR="002F4E1D">
        <w:rPr>
          <w:rFonts w:cs="Times New Roman"/>
        </w:rPr>
        <w:t>A</w:t>
      </w:r>
      <w:r>
        <w:rPr>
          <w:rFonts w:cs="Times New Roman"/>
        </w:rPr>
        <w:t>LTN</w:t>
      </w:r>
      <w:r w:rsidRPr="00D902B9">
        <w:rPr>
          <w:rFonts w:cs="Times New Roman"/>
        </w:rPr>
        <w:t>-III-0</w:t>
      </w:r>
      <w:r>
        <w:rPr>
          <w:rFonts w:cs="Times New Roman"/>
        </w:rPr>
        <w:t>2</w:t>
      </w:r>
      <w:r w:rsidRPr="00D902B9">
        <w:rPr>
          <w:rFonts w:cs="Times New Roman"/>
        </w:rPr>
        <w:t xml:space="preserve">, Version No.: </w:t>
      </w:r>
      <w:r>
        <w:rPr>
          <w:rFonts w:cs="Times New Roman"/>
        </w:rPr>
        <w:t>2.1</w:t>
      </w:r>
      <w:r w:rsidRPr="00D902B9">
        <w:rPr>
          <w:rFonts w:cs="Times New Roman"/>
        </w:rPr>
        <w:t xml:space="preserve"> Version date: </w:t>
      </w:r>
      <w:r>
        <w:rPr>
          <w:rFonts w:cs="Times New Roman"/>
        </w:rPr>
        <w:t>March</w:t>
      </w:r>
      <w:r w:rsidRPr="00D902B9">
        <w:rPr>
          <w:rFonts w:cs="Times New Roman"/>
        </w:rPr>
        <w:t xml:space="preserve"> </w:t>
      </w:r>
      <w:r>
        <w:rPr>
          <w:rFonts w:cs="Times New Roman"/>
        </w:rPr>
        <w:t>15</w:t>
      </w:r>
      <w:r w:rsidRPr="00D902B9">
        <w:rPr>
          <w:rFonts w:cs="Times New Roman"/>
        </w:rPr>
        <w:t>, 202</w:t>
      </w:r>
      <w:r>
        <w:rPr>
          <w:rFonts w:cs="Times New Roman"/>
        </w:rPr>
        <w:t>2</w:t>
      </w:r>
      <w:r w:rsidRPr="00D902B9">
        <w:rPr>
          <w:rFonts w:cs="Times New Roman"/>
        </w:rPr>
        <w:t>). And I agree to perform my duties as an investigator in accordance with the laws of the People's Republic of China, the Declaration of Helsinki, the Good Clinical Practice and this clinical research protocol.</w:t>
      </w:r>
    </w:p>
    <w:p w14:paraId="265B73B7" w14:textId="77777777" w:rsidR="00D21F19" w:rsidRDefault="00D21F19" w:rsidP="00D21F19">
      <w:pPr>
        <w:suppressAutoHyphens w:val="0"/>
        <w:topLinePunct w:val="0"/>
        <w:spacing w:line="276" w:lineRule="auto"/>
        <w:rPr>
          <w:rFonts w:cs="Times New Roman"/>
          <w:kern w:val="2"/>
          <w:sz w:val="21"/>
          <w14:numSpacing w14:val="default"/>
        </w:rPr>
      </w:pPr>
    </w:p>
    <w:p w14:paraId="1D72F1AC" w14:textId="77777777" w:rsidR="00D21F19" w:rsidRDefault="00D21F19" w:rsidP="00D21F19">
      <w:pPr>
        <w:suppressAutoHyphens w:val="0"/>
        <w:topLinePunct w:val="0"/>
        <w:spacing w:line="276" w:lineRule="auto"/>
        <w:rPr>
          <w:rFonts w:cs="Times New Roman"/>
          <w:kern w:val="2"/>
          <w:sz w:val="21"/>
          <w14:numSpacing w14:val="default"/>
        </w:rPr>
      </w:pPr>
    </w:p>
    <w:p w14:paraId="5DAE242E" w14:textId="77777777" w:rsidR="00D21F19" w:rsidRDefault="00D21F19" w:rsidP="00D21F19">
      <w:pPr>
        <w:suppressAutoHyphens w:val="0"/>
        <w:topLinePunct w:val="0"/>
        <w:spacing w:line="276" w:lineRule="auto"/>
        <w:rPr>
          <w:rFonts w:cs="Times New Roman"/>
          <w:kern w:val="2"/>
          <w:sz w:val="21"/>
          <w14:numSpacing w14:val="default"/>
        </w:rPr>
      </w:pPr>
    </w:p>
    <w:p w14:paraId="7CAEEA99" w14:textId="15CC6505" w:rsidR="00D21F19" w:rsidRDefault="00D21F19" w:rsidP="00D21F19">
      <w:pPr>
        <w:pStyle w:val="P68B1DB1-12"/>
        <w:suppressAutoHyphens w:val="0"/>
        <w:topLinePunct w:val="0"/>
        <w:spacing w:line="276" w:lineRule="auto"/>
        <w:rPr>
          <w:rFonts w:hint="default"/>
        </w:rPr>
      </w:pPr>
      <w:r>
        <w:rPr>
          <w:rFonts w:hint="default"/>
        </w:rPr>
        <w:t>Study site</w:t>
      </w:r>
      <w:r>
        <w:t xml:space="preserve">: </w:t>
      </w:r>
    </w:p>
    <w:p w14:paraId="5D6AF361" w14:textId="77777777" w:rsidR="00D21F19" w:rsidRDefault="00D21F19" w:rsidP="00D21F19">
      <w:pPr>
        <w:suppressAutoHyphens w:val="0"/>
        <w:topLinePunct w:val="0"/>
        <w:spacing w:line="276" w:lineRule="auto"/>
        <w:rPr>
          <w:rFonts w:cs="Times New Roman"/>
          <w:kern w:val="2"/>
          <w:sz w:val="21"/>
          <w14:numSpacing w14:val="default"/>
        </w:rPr>
      </w:pPr>
    </w:p>
    <w:p w14:paraId="6B07BD8E" w14:textId="77777777" w:rsidR="00D21F19" w:rsidRDefault="00D21F19" w:rsidP="00D21F19">
      <w:pPr>
        <w:suppressAutoHyphens w:val="0"/>
        <w:topLinePunct w:val="0"/>
        <w:rPr>
          <w:rFonts w:cs="Times New Roman"/>
          <w:kern w:val="2"/>
          <w14:numSpacing w14:val="default"/>
        </w:rPr>
      </w:pPr>
    </w:p>
    <w:p w14:paraId="22FFF151" w14:textId="77777777" w:rsidR="00D21F19" w:rsidRDefault="00D21F19" w:rsidP="00D21F19">
      <w:pPr>
        <w:suppressAutoHyphens w:val="0"/>
        <w:topLinePunct w:val="0"/>
        <w:spacing w:line="276" w:lineRule="auto"/>
        <w:rPr>
          <w:rFonts w:cs="Times New Roman"/>
          <w:kern w:val="2"/>
          <w:sz w:val="21"/>
          <w14:numSpacing w14:val="default"/>
        </w:rPr>
      </w:pPr>
    </w:p>
    <w:p w14:paraId="4FD9664C" w14:textId="77777777" w:rsidR="00D21F19" w:rsidRDefault="00D21F19" w:rsidP="00D21F19">
      <w:pPr>
        <w:suppressAutoHyphens w:val="0"/>
        <w:topLinePunct w:val="0"/>
        <w:spacing w:line="276" w:lineRule="auto"/>
        <w:rPr>
          <w:rFonts w:cs="Times New Roman"/>
          <w:kern w:val="2"/>
          <w:sz w:val="21"/>
          <w14:numSpacing w14:val="default"/>
        </w:rPr>
      </w:pPr>
    </w:p>
    <w:p w14:paraId="62366273" w14:textId="77777777" w:rsidR="00D21F19" w:rsidRDefault="00D21F19" w:rsidP="00D21F19">
      <w:pPr>
        <w:suppressAutoHyphens w:val="0"/>
        <w:topLinePunct w:val="0"/>
        <w:spacing w:line="276" w:lineRule="auto"/>
        <w:rPr>
          <w:rFonts w:cs="Times New Roman"/>
          <w:kern w:val="2"/>
          <w:sz w:val="21"/>
          <w14:numSpacing w14:val="default"/>
        </w:rPr>
      </w:pPr>
    </w:p>
    <w:p w14:paraId="5B6BC4BF" w14:textId="77777777" w:rsidR="00D21F19" w:rsidRDefault="00D21F19" w:rsidP="00D21F19">
      <w:pPr>
        <w:suppressAutoHyphens w:val="0"/>
        <w:topLinePunct w:val="0"/>
        <w:spacing w:line="276" w:lineRule="auto"/>
        <w:rPr>
          <w:rFonts w:cs="Times New Roman"/>
          <w:kern w:val="2"/>
          <w:sz w:val="21"/>
          <w14:numSpacing w14:val="default"/>
        </w:rPr>
      </w:pPr>
    </w:p>
    <w:p w14:paraId="5067AD9A" w14:textId="77777777" w:rsidR="00D21F19" w:rsidRDefault="00D21F19" w:rsidP="00D21F19">
      <w:pPr>
        <w:suppressAutoHyphens w:val="0"/>
        <w:topLinePunct w:val="0"/>
        <w:spacing w:line="276" w:lineRule="auto"/>
        <w:rPr>
          <w:rFonts w:cs="Times New Roman"/>
          <w:kern w:val="2"/>
          <w:sz w:val="21"/>
          <w14:numSpacing w14:val="default"/>
        </w:rPr>
      </w:pPr>
    </w:p>
    <w:p w14:paraId="347BBB19" w14:textId="77777777" w:rsidR="00D21F19" w:rsidRDefault="00D21F19" w:rsidP="00D21F19">
      <w:pPr>
        <w:suppressAutoHyphens w:val="0"/>
        <w:topLinePunct w:val="0"/>
        <w:spacing w:line="276" w:lineRule="auto"/>
        <w:rPr>
          <w:rFonts w:cs="Times New Roman"/>
          <w:kern w:val="2"/>
          <w:sz w:val="21"/>
          <w14:numSpacing w14:val="default"/>
        </w:rPr>
      </w:pPr>
    </w:p>
    <w:p w14:paraId="09C572DF" w14:textId="77777777" w:rsidR="00D21F19" w:rsidRDefault="00D21F19" w:rsidP="00D21F19">
      <w:pPr>
        <w:suppressAutoHyphens w:val="0"/>
        <w:topLinePunct w:val="0"/>
        <w:spacing w:line="276" w:lineRule="auto"/>
        <w:rPr>
          <w:rFonts w:cs="Times New Roman"/>
          <w:kern w:val="2"/>
          <w:sz w:val="21"/>
          <w14:numSpacing w14:val="default"/>
        </w:rPr>
      </w:pPr>
    </w:p>
    <w:p w14:paraId="76D47EBE" w14:textId="77777777" w:rsidR="00D21F19" w:rsidRDefault="00D21F19" w:rsidP="00D21F19">
      <w:pPr>
        <w:suppressAutoHyphens w:val="0"/>
        <w:topLinePunct w:val="0"/>
        <w:spacing w:line="276" w:lineRule="auto"/>
        <w:rPr>
          <w:rFonts w:cs="Times New Roman"/>
          <w:kern w:val="2"/>
          <w:sz w:val="21"/>
          <w14:numSpacing w14:val="default"/>
        </w:rPr>
      </w:pPr>
    </w:p>
    <w:p w14:paraId="510F45E5" w14:textId="77777777" w:rsidR="00D21F19" w:rsidRDefault="00D21F19" w:rsidP="00D21F19">
      <w:pPr>
        <w:suppressAutoHyphens w:val="0"/>
        <w:topLinePunct w:val="0"/>
        <w:spacing w:line="276" w:lineRule="auto"/>
        <w:rPr>
          <w:rFonts w:cs="Times New Roman"/>
          <w:kern w:val="2"/>
          <w:sz w:val="21"/>
          <w14:numSpacing w14:val="default"/>
        </w:rPr>
      </w:pPr>
    </w:p>
    <w:p w14:paraId="51F93A3B" w14:textId="77777777" w:rsidR="00D21F19" w:rsidRDefault="00D21F19" w:rsidP="00D21F19">
      <w:pPr>
        <w:suppressAutoHyphens w:val="0"/>
        <w:topLinePunct w:val="0"/>
        <w:spacing w:line="276" w:lineRule="auto"/>
        <w:rPr>
          <w:rFonts w:cs="Times New Roman"/>
          <w:kern w:val="2"/>
          <w:sz w:val="21"/>
          <w14:numSpacing w14:val="default"/>
        </w:rPr>
      </w:pPr>
    </w:p>
    <w:p w14:paraId="613BD3AE" w14:textId="77777777" w:rsidR="00D21F19" w:rsidRDefault="00D21F19" w:rsidP="00D21F19">
      <w:pPr>
        <w:suppressAutoHyphens w:val="0"/>
        <w:topLinePunct w:val="0"/>
        <w:spacing w:line="276" w:lineRule="auto"/>
        <w:rPr>
          <w:rFonts w:cs="Times New Roman"/>
          <w:kern w:val="2"/>
          <w:sz w:val="21"/>
          <w14:numSpacing w14:val="default"/>
        </w:rPr>
      </w:pPr>
    </w:p>
    <w:p w14:paraId="4F34A9C7" w14:textId="77777777" w:rsidR="00D21F19" w:rsidRDefault="00D21F19" w:rsidP="00D21F19">
      <w:pPr>
        <w:suppressAutoHyphens w:val="0"/>
        <w:topLinePunct w:val="0"/>
        <w:spacing w:line="276" w:lineRule="auto"/>
        <w:rPr>
          <w:rFonts w:cs="Times New Roman"/>
          <w:kern w:val="2"/>
          <w14:numSpacing w14:val="default"/>
        </w:rPr>
      </w:pPr>
    </w:p>
    <w:p w14:paraId="326222E4" w14:textId="77777777" w:rsidR="00D21F19" w:rsidRDefault="00D21F19" w:rsidP="00D21F19">
      <w:pPr>
        <w:suppressAutoHyphens w:val="0"/>
        <w:topLinePunct w:val="0"/>
        <w:spacing w:line="276" w:lineRule="auto"/>
        <w:rPr>
          <w:rFonts w:cs="Times New Roman"/>
          <w:kern w:val="2"/>
          <w14:numSpacing w14:val="default"/>
        </w:rPr>
      </w:pPr>
    </w:p>
    <w:p w14:paraId="79E1585F" w14:textId="77777777" w:rsidR="00D21F19" w:rsidRDefault="00D21F19" w:rsidP="00D21F19">
      <w:pPr>
        <w:suppressAutoHyphens w:val="0"/>
        <w:topLinePunct w:val="0"/>
        <w:spacing w:line="276" w:lineRule="auto"/>
        <w:rPr>
          <w:rFonts w:eastAsiaTheme="minorEastAsia" w:cs="Times New Roman"/>
          <w:kern w:val="2"/>
          <w14:numSpacing w14:val="default"/>
        </w:rPr>
      </w:pPr>
    </w:p>
    <w:p w14:paraId="550822A8" w14:textId="77777777" w:rsidR="00D21F19" w:rsidRDefault="00D21F19" w:rsidP="00D21F19">
      <w:pPr>
        <w:suppressAutoHyphens w:val="0"/>
        <w:topLinePunct w:val="0"/>
        <w:spacing w:line="276" w:lineRule="auto"/>
        <w:rPr>
          <w:rFonts w:eastAsiaTheme="minorEastAsia" w:cs="Times New Roman"/>
          <w:kern w:val="2"/>
          <w14:numSpacing w14:val="default"/>
        </w:rPr>
      </w:pPr>
    </w:p>
    <w:p w14:paraId="34266179" w14:textId="77777777" w:rsidR="00D21F19" w:rsidRDefault="00D21F19" w:rsidP="00D21F19">
      <w:pPr>
        <w:suppressAutoHyphens w:val="0"/>
        <w:topLinePunct w:val="0"/>
        <w:spacing w:line="276" w:lineRule="auto"/>
        <w:rPr>
          <w:rFonts w:eastAsiaTheme="minorEastAsia" w:cs="Times New Roman"/>
          <w:kern w:val="2"/>
          <w14:numSpacing w14:val="default"/>
        </w:rPr>
      </w:pPr>
    </w:p>
    <w:p w14:paraId="3F761BA6" w14:textId="77777777" w:rsidR="00D21F19" w:rsidRDefault="00D21F19" w:rsidP="00D21F19">
      <w:pPr>
        <w:suppressAutoHyphens w:val="0"/>
        <w:topLinePunct w:val="0"/>
        <w:spacing w:line="276" w:lineRule="auto"/>
        <w:rPr>
          <w:rFonts w:eastAsiaTheme="minorEastAsia" w:cs="Times New Roman"/>
          <w:kern w:val="2"/>
          <w14:numSpacing w14:val="default"/>
        </w:rPr>
      </w:pPr>
    </w:p>
    <w:p w14:paraId="310F8E17" w14:textId="77777777" w:rsidR="00D21F19" w:rsidRDefault="00D21F19" w:rsidP="00D21F19">
      <w:pPr>
        <w:suppressAutoHyphens w:val="0"/>
        <w:topLinePunct w:val="0"/>
        <w:spacing w:line="276" w:lineRule="auto"/>
        <w:rPr>
          <w:rFonts w:eastAsiaTheme="minorEastAsia" w:cs="Times New Roman"/>
          <w:kern w:val="2"/>
          <w14:numSpacing w14:val="default"/>
        </w:rPr>
      </w:pPr>
    </w:p>
    <w:p w14:paraId="3CCAD994" w14:textId="77777777" w:rsidR="00D21F19" w:rsidRDefault="00D21F19" w:rsidP="00D21F19">
      <w:pPr>
        <w:suppressAutoHyphens w:val="0"/>
        <w:topLinePunct w:val="0"/>
        <w:spacing w:line="276" w:lineRule="auto"/>
        <w:rPr>
          <w:rFonts w:eastAsiaTheme="minorEastAsia" w:cs="Times New Roman"/>
          <w:kern w:val="2"/>
          <w14:numSpacing w14:val="default"/>
        </w:rPr>
      </w:pPr>
    </w:p>
    <w:p w14:paraId="4D09D8B5" w14:textId="77777777" w:rsidR="00D21F19" w:rsidRPr="003127AF" w:rsidRDefault="00D21F19" w:rsidP="00D21F19">
      <w:pPr>
        <w:suppressAutoHyphens w:val="0"/>
        <w:topLinePunct w:val="0"/>
        <w:spacing w:line="276" w:lineRule="auto"/>
        <w:rPr>
          <w:rFonts w:eastAsiaTheme="minorEastAsia" w:cs="Times New Roman"/>
          <w:kern w:val="2"/>
          <w14:numSpacing w14:val="default"/>
        </w:rPr>
      </w:pPr>
    </w:p>
    <w:tbl>
      <w:tblPr>
        <w:tblW w:w="8505" w:type="dxa"/>
        <w:tblBorders>
          <w:insideH w:val="single" w:sz="4" w:space="0" w:color="auto"/>
        </w:tblBorders>
        <w:tblLayout w:type="fixed"/>
        <w:tblLook w:val="04A0" w:firstRow="1" w:lastRow="0" w:firstColumn="1" w:lastColumn="0" w:noHBand="0" w:noVBand="1"/>
      </w:tblPr>
      <w:tblGrid>
        <w:gridCol w:w="3119"/>
        <w:gridCol w:w="2551"/>
        <w:gridCol w:w="2835"/>
      </w:tblGrid>
      <w:tr w:rsidR="00D21F19" w14:paraId="05136D72" w14:textId="77777777" w:rsidTr="00005E52">
        <w:tc>
          <w:tcPr>
            <w:tcW w:w="3119" w:type="dxa"/>
            <w:vAlign w:val="bottom"/>
          </w:tcPr>
          <w:p w14:paraId="0DCB7EB5" w14:textId="77777777" w:rsidR="00D21F19" w:rsidRDefault="00D21F19" w:rsidP="00005E52">
            <w:pPr>
              <w:suppressAutoHyphens w:val="0"/>
              <w:topLinePunct w:val="0"/>
              <w:jc w:val="center"/>
              <w:rPr>
                <w:rFonts w:cs="Times New Roman"/>
                <w:b/>
                <w:kern w:val="2"/>
                <w14:numSpacing w14:val="default"/>
              </w:rPr>
            </w:pPr>
          </w:p>
          <w:p w14:paraId="116AD52E" w14:textId="77777777" w:rsidR="00D21F19" w:rsidRDefault="00D21F19" w:rsidP="00005E52">
            <w:pPr>
              <w:pStyle w:val="P68B1DB1-12"/>
              <w:suppressAutoHyphens w:val="0"/>
              <w:topLinePunct w:val="0"/>
              <w:jc w:val="center"/>
              <w:rPr>
                <w:rFonts w:hint="default"/>
              </w:rPr>
            </w:pPr>
          </w:p>
          <w:p w14:paraId="52C8AF42" w14:textId="785FE1EA" w:rsidR="00D21F19" w:rsidRDefault="00D21F19" w:rsidP="00005E52">
            <w:pPr>
              <w:pStyle w:val="P68B1DB1-12"/>
              <w:suppressAutoHyphens w:val="0"/>
              <w:topLinePunct w:val="0"/>
              <w:jc w:val="center"/>
              <w:rPr>
                <w:rFonts w:hint="default"/>
                <w:b/>
              </w:rPr>
            </w:pPr>
          </w:p>
        </w:tc>
        <w:tc>
          <w:tcPr>
            <w:tcW w:w="2551" w:type="dxa"/>
          </w:tcPr>
          <w:p w14:paraId="77F85815" w14:textId="77777777" w:rsidR="00D21F19" w:rsidRDefault="00D21F19" w:rsidP="00005E52">
            <w:pPr>
              <w:suppressAutoHyphens w:val="0"/>
              <w:topLinePunct w:val="0"/>
              <w:rPr>
                <w:rFonts w:cs="Times New Roman"/>
                <w:kern w:val="2"/>
                <w14:numSpacing w14:val="default"/>
              </w:rPr>
            </w:pPr>
          </w:p>
        </w:tc>
        <w:tc>
          <w:tcPr>
            <w:tcW w:w="2835" w:type="dxa"/>
          </w:tcPr>
          <w:p w14:paraId="0D58070E" w14:textId="77777777" w:rsidR="00D21F19" w:rsidRDefault="00D21F19" w:rsidP="00005E52">
            <w:pPr>
              <w:suppressAutoHyphens w:val="0"/>
              <w:topLinePunct w:val="0"/>
              <w:rPr>
                <w:rFonts w:cs="Times New Roman"/>
                <w:kern w:val="2"/>
                <w14:numSpacing w14:val="default"/>
              </w:rPr>
            </w:pPr>
          </w:p>
        </w:tc>
      </w:tr>
      <w:tr w:rsidR="00D21F19" w14:paraId="56CF6302" w14:textId="77777777" w:rsidTr="00005E52">
        <w:trPr>
          <w:trHeight w:val="734"/>
        </w:trPr>
        <w:tc>
          <w:tcPr>
            <w:tcW w:w="3119" w:type="dxa"/>
            <w:vAlign w:val="center"/>
          </w:tcPr>
          <w:p w14:paraId="555A5B38" w14:textId="77777777" w:rsidR="00D21F19" w:rsidRDefault="00D21F19" w:rsidP="00005E52">
            <w:pPr>
              <w:pStyle w:val="P68B1DB1-12"/>
              <w:suppressAutoHyphens w:val="0"/>
              <w:topLinePunct w:val="0"/>
              <w:rPr>
                <w:rFonts w:hint="default"/>
              </w:rPr>
            </w:pPr>
            <w:r>
              <w:t xml:space="preserve">Project Leader (Print) </w:t>
            </w:r>
          </w:p>
        </w:tc>
        <w:tc>
          <w:tcPr>
            <w:tcW w:w="2551" w:type="dxa"/>
            <w:vAlign w:val="center"/>
          </w:tcPr>
          <w:p w14:paraId="066A6504" w14:textId="77777777" w:rsidR="00D21F19" w:rsidRDefault="00D21F19" w:rsidP="00005E52">
            <w:pPr>
              <w:pStyle w:val="P68B1DB1-12"/>
              <w:suppressAutoHyphens w:val="0"/>
              <w:topLinePunct w:val="0"/>
              <w:jc w:val="center"/>
              <w:rPr>
                <w:rFonts w:hint="default"/>
              </w:rPr>
            </w:pPr>
            <w:r>
              <w:t xml:space="preserve">Signature of Project Leader </w:t>
            </w:r>
          </w:p>
        </w:tc>
        <w:tc>
          <w:tcPr>
            <w:tcW w:w="2835" w:type="dxa"/>
            <w:vAlign w:val="center"/>
          </w:tcPr>
          <w:p w14:paraId="3AB1EC9F" w14:textId="77777777" w:rsidR="00D21F19" w:rsidRDefault="00D21F19" w:rsidP="00005E52">
            <w:pPr>
              <w:pStyle w:val="P68B1DB1-13"/>
              <w:suppressAutoHyphens w:val="0"/>
              <w:topLinePunct w:val="0"/>
            </w:pPr>
            <w:r>
              <w:t xml:space="preserve">Date of Signature (DD/MMM/YYYY) </w:t>
            </w:r>
          </w:p>
        </w:tc>
      </w:tr>
    </w:tbl>
    <w:p w14:paraId="4BCA4098" w14:textId="77777777" w:rsidR="00D21F19" w:rsidRPr="00384EEC" w:rsidRDefault="00D21F19" w:rsidP="00384EEC">
      <w:pPr>
        <w:tabs>
          <w:tab w:val="left" w:pos="3206"/>
        </w:tabs>
        <w:jc w:val="center"/>
        <w:rPr>
          <w:rFonts w:eastAsiaTheme="minorEastAsia"/>
        </w:rPr>
      </w:pPr>
    </w:p>
    <w:p w14:paraId="13D8C5B7" w14:textId="2E17CE2C" w:rsidR="00D45C54" w:rsidRDefault="003E0392">
      <w:pPr>
        <w:pStyle w:val="P68B1DB1-3311"/>
        <w:rPr>
          <w:rFonts w:hint="default"/>
        </w:rPr>
      </w:pPr>
      <w:r>
        <w:lastRenderedPageBreak/>
        <w:t>Protocol Signature Page</w:t>
      </w:r>
    </w:p>
    <w:p w14:paraId="7E25BB85" w14:textId="77777777" w:rsidR="00D45C54" w:rsidRDefault="00D45C54">
      <w:pPr>
        <w:suppressAutoHyphens w:val="0"/>
        <w:topLinePunct w:val="0"/>
        <w:ind w:firstLineChars="202" w:firstLine="485"/>
        <w:rPr>
          <w:rFonts w:cs="Times New Roman"/>
          <w:kern w:val="2"/>
          <w14:numSpacing w14:val="default"/>
        </w:rPr>
      </w:pPr>
    </w:p>
    <w:p w14:paraId="0897C672" w14:textId="0AE2EA1A" w:rsidR="00D902B9" w:rsidRPr="00D902B9" w:rsidRDefault="00D902B9" w:rsidP="00D902B9">
      <w:pPr>
        <w:suppressAutoHyphens w:val="0"/>
        <w:topLinePunct w:val="0"/>
        <w:ind w:firstLineChars="202" w:firstLine="485"/>
        <w:rPr>
          <w:rFonts w:cs="Times New Roman"/>
        </w:rPr>
      </w:pPr>
      <w:r w:rsidRPr="00D902B9">
        <w:rPr>
          <w:rFonts w:cs="Times New Roman"/>
        </w:rPr>
        <w:t>I will earnestly perform my duties and personally participate in or directly guide this clinical trial in accordance with the current GCP regulations. I have read this clinical research pr</w:t>
      </w:r>
      <w:r w:rsidR="002F4E1D">
        <w:rPr>
          <w:rFonts w:cs="Times New Roman"/>
        </w:rPr>
        <w:t>otocol, protocol (Protocol No.: A</w:t>
      </w:r>
      <w:r w:rsidR="002C6AF1">
        <w:rPr>
          <w:rFonts w:cs="Times New Roman"/>
        </w:rPr>
        <w:t>LTN</w:t>
      </w:r>
      <w:r w:rsidRPr="00D902B9">
        <w:rPr>
          <w:rFonts w:cs="Times New Roman"/>
        </w:rPr>
        <w:t>-III-0</w:t>
      </w:r>
      <w:r w:rsidR="002C6AF1">
        <w:rPr>
          <w:rFonts w:cs="Times New Roman"/>
        </w:rPr>
        <w:t>2</w:t>
      </w:r>
      <w:r w:rsidRPr="00D902B9">
        <w:rPr>
          <w:rFonts w:cs="Times New Roman"/>
        </w:rPr>
        <w:t xml:space="preserve">, Version No.: </w:t>
      </w:r>
      <w:r w:rsidR="002C6AF1">
        <w:rPr>
          <w:rFonts w:cs="Times New Roman"/>
        </w:rPr>
        <w:t>2.1</w:t>
      </w:r>
      <w:r w:rsidRPr="00D902B9">
        <w:rPr>
          <w:rFonts w:cs="Times New Roman"/>
        </w:rPr>
        <w:t xml:space="preserve"> Version date: </w:t>
      </w:r>
      <w:r w:rsidR="002C6AF1">
        <w:rPr>
          <w:rFonts w:cs="Times New Roman"/>
        </w:rPr>
        <w:t>March</w:t>
      </w:r>
      <w:r w:rsidR="002C6AF1" w:rsidRPr="00D902B9">
        <w:rPr>
          <w:rFonts w:cs="Times New Roman"/>
        </w:rPr>
        <w:t xml:space="preserve"> </w:t>
      </w:r>
      <w:r w:rsidR="002C6AF1">
        <w:rPr>
          <w:rFonts w:cs="Times New Roman"/>
        </w:rPr>
        <w:t>15</w:t>
      </w:r>
      <w:r w:rsidRPr="00D902B9">
        <w:rPr>
          <w:rFonts w:cs="Times New Roman"/>
        </w:rPr>
        <w:t>, 202</w:t>
      </w:r>
      <w:r w:rsidR="002C6AF1">
        <w:rPr>
          <w:rFonts w:cs="Times New Roman"/>
        </w:rPr>
        <w:t>2</w:t>
      </w:r>
      <w:r w:rsidRPr="00D902B9">
        <w:rPr>
          <w:rFonts w:cs="Times New Roman"/>
        </w:rPr>
        <w:t>). And I agree to perform my duties as an investigator in accordance with the laws of the People's Republic of China, the Declaration of Helsinki, the Good Clinical Practice and this clinical research protocol.</w:t>
      </w:r>
    </w:p>
    <w:p w14:paraId="662324D8" w14:textId="77777777" w:rsidR="00D45C54" w:rsidRDefault="00D45C54">
      <w:pPr>
        <w:suppressAutoHyphens w:val="0"/>
        <w:topLinePunct w:val="0"/>
        <w:spacing w:line="276" w:lineRule="auto"/>
        <w:rPr>
          <w:rFonts w:cs="Times New Roman"/>
          <w:kern w:val="2"/>
          <w:sz w:val="21"/>
          <w14:numSpacing w14:val="default"/>
        </w:rPr>
      </w:pPr>
    </w:p>
    <w:p w14:paraId="6D4962A2" w14:textId="77777777" w:rsidR="00D45C54" w:rsidRDefault="00D45C54">
      <w:pPr>
        <w:suppressAutoHyphens w:val="0"/>
        <w:topLinePunct w:val="0"/>
        <w:spacing w:line="276" w:lineRule="auto"/>
        <w:rPr>
          <w:rFonts w:cs="Times New Roman"/>
          <w:kern w:val="2"/>
          <w:sz w:val="21"/>
          <w14:numSpacing w14:val="default"/>
        </w:rPr>
      </w:pPr>
    </w:p>
    <w:p w14:paraId="3359DDD5" w14:textId="77777777" w:rsidR="00D45C54" w:rsidRDefault="00D45C54">
      <w:pPr>
        <w:suppressAutoHyphens w:val="0"/>
        <w:topLinePunct w:val="0"/>
        <w:spacing w:line="276" w:lineRule="auto"/>
        <w:rPr>
          <w:rFonts w:cs="Times New Roman"/>
          <w:kern w:val="2"/>
          <w:sz w:val="21"/>
          <w14:numSpacing w14:val="default"/>
        </w:rPr>
      </w:pPr>
    </w:p>
    <w:p w14:paraId="19A00D52" w14:textId="7FDE3D52" w:rsidR="00D45C54" w:rsidRDefault="00616B3C">
      <w:pPr>
        <w:pStyle w:val="P68B1DB1-12"/>
        <w:suppressAutoHyphens w:val="0"/>
        <w:topLinePunct w:val="0"/>
        <w:spacing w:line="276" w:lineRule="auto"/>
        <w:rPr>
          <w:rFonts w:hint="default"/>
        </w:rPr>
      </w:pPr>
      <w:r w:rsidRPr="00616B3C">
        <w:t>Statistician</w:t>
      </w:r>
      <w:r w:rsidR="003E0392" w:rsidRPr="00531F63">
        <w:t>:</w:t>
      </w:r>
      <w:r w:rsidR="003E0392">
        <w:t xml:space="preserve"> Department of Biostatistics, School of Public Health, Nanjing Medical University </w:t>
      </w:r>
    </w:p>
    <w:p w14:paraId="2C2BCD92" w14:textId="77777777" w:rsidR="00D45C54" w:rsidRDefault="00D45C54">
      <w:pPr>
        <w:suppressAutoHyphens w:val="0"/>
        <w:topLinePunct w:val="0"/>
        <w:spacing w:line="276" w:lineRule="auto"/>
        <w:rPr>
          <w:rFonts w:cs="Times New Roman"/>
          <w:kern w:val="2"/>
          <w:sz w:val="21"/>
          <w14:numSpacing w14:val="default"/>
        </w:rPr>
      </w:pPr>
    </w:p>
    <w:p w14:paraId="277A1828" w14:textId="77777777" w:rsidR="00D45C54" w:rsidRDefault="00D45C54">
      <w:pPr>
        <w:suppressAutoHyphens w:val="0"/>
        <w:topLinePunct w:val="0"/>
        <w:rPr>
          <w:rFonts w:cs="Times New Roman"/>
          <w:kern w:val="2"/>
          <w14:numSpacing w14:val="default"/>
        </w:rPr>
      </w:pPr>
    </w:p>
    <w:p w14:paraId="11FD8044" w14:textId="77777777" w:rsidR="00D45C54" w:rsidRDefault="00D45C54">
      <w:pPr>
        <w:suppressAutoHyphens w:val="0"/>
        <w:topLinePunct w:val="0"/>
        <w:spacing w:line="276" w:lineRule="auto"/>
        <w:rPr>
          <w:rFonts w:cs="Times New Roman"/>
          <w:kern w:val="2"/>
          <w:sz w:val="21"/>
          <w14:numSpacing w14:val="default"/>
        </w:rPr>
      </w:pPr>
    </w:p>
    <w:p w14:paraId="452E59FD" w14:textId="77777777" w:rsidR="00D45C54" w:rsidRDefault="00D45C54">
      <w:pPr>
        <w:suppressAutoHyphens w:val="0"/>
        <w:topLinePunct w:val="0"/>
        <w:spacing w:line="276" w:lineRule="auto"/>
        <w:rPr>
          <w:rFonts w:cs="Times New Roman"/>
          <w:kern w:val="2"/>
          <w:sz w:val="21"/>
          <w14:numSpacing w14:val="default"/>
        </w:rPr>
      </w:pPr>
    </w:p>
    <w:p w14:paraId="1E3F1BF9" w14:textId="77777777" w:rsidR="00D45C54" w:rsidRDefault="00D45C54">
      <w:pPr>
        <w:suppressAutoHyphens w:val="0"/>
        <w:topLinePunct w:val="0"/>
        <w:spacing w:line="276" w:lineRule="auto"/>
        <w:rPr>
          <w:rFonts w:cs="Times New Roman"/>
          <w:kern w:val="2"/>
          <w:sz w:val="21"/>
          <w14:numSpacing w14:val="default"/>
        </w:rPr>
      </w:pPr>
    </w:p>
    <w:p w14:paraId="7620E9DC" w14:textId="77777777" w:rsidR="00D45C54" w:rsidRDefault="00D45C54">
      <w:pPr>
        <w:suppressAutoHyphens w:val="0"/>
        <w:topLinePunct w:val="0"/>
        <w:spacing w:line="276" w:lineRule="auto"/>
        <w:rPr>
          <w:rFonts w:cs="Times New Roman"/>
          <w:kern w:val="2"/>
          <w:sz w:val="21"/>
          <w14:numSpacing w14:val="default"/>
        </w:rPr>
      </w:pPr>
    </w:p>
    <w:p w14:paraId="67B884EC" w14:textId="77777777" w:rsidR="00D45C54" w:rsidRDefault="00D45C54">
      <w:pPr>
        <w:suppressAutoHyphens w:val="0"/>
        <w:topLinePunct w:val="0"/>
        <w:spacing w:line="276" w:lineRule="auto"/>
        <w:rPr>
          <w:rFonts w:cs="Times New Roman"/>
          <w:kern w:val="2"/>
          <w:sz w:val="21"/>
          <w14:numSpacing w14:val="default"/>
        </w:rPr>
      </w:pPr>
    </w:p>
    <w:p w14:paraId="2CD03012" w14:textId="77777777" w:rsidR="00D45C54" w:rsidRDefault="00D45C54">
      <w:pPr>
        <w:suppressAutoHyphens w:val="0"/>
        <w:topLinePunct w:val="0"/>
        <w:spacing w:line="276" w:lineRule="auto"/>
        <w:rPr>
          <w:rFonts w:cs="Times New Roman"/>
          <w:kern w:val="2"/>
          <w:sz w:val="21"/>
          <w14:numSpacing w14:val="default"/>
        </w:rPr>
      </w:pPr>
    </w:p>
    <w:p w14:paraId="49D0F050" w14:textId="77777777" w:rsidR="00D45C54" w:rsidRDefault="00D45C54">
      <w:pPr>
        <w:suppressAutoHyphens w:val="0"/>
        <w:topLinePunct w:val="0"/>
        <w:spacing w:line="276" w:lineRule="auto"/>
        <w:rPr>
          <w:rFonts w:cs="Times New Roman"/>
          <w:kern w:val="2"/>
          <w:sz w:val="21"/>
          <w14:numSpacing w14:val="default"/>
        </w:rPr>
      </w:pPr>
    </w:p>
    <w:p w14:paraId="6FA01BBB" w14:textId="77777777" w:rsidR="00D45C54" w:rsidRDefault="00D45C54">
      <w:pPr>
        <w:suppressAutoHyphens w:val="0"/>
        <w:topLinePunct w:val="0"/>
        <w:spacing w:line="276" w:lineRule="auto"/>
        <w:rPr>
          <w:rFonts w:cs="Times New Roman"/>
          <w:kern w:val="2"/>
          <w:sz w:val="21"/>
          <w14:numSpacing w14:val="default"/>
        </w:rPr>
      </w:pPr>
    </w:p>
    <w:p w14:paraId="6C54B9A3" w14:textId="77777777" w:rsidR="00D45C54" w:rsidRDefault="00D45C54">
      <w:pPr>
        <w:suppressAutoHyphens w:val="0"/>
        <w:topLinePunct w:val="0"/>
        <w:spacing w:line="276" w:lineRule="auto"/>
        <w:rPr>
          <w:rFonts w:cs="Times New Roman"/>
          <w:kern w:val="2"/>
          <w:sz w:val="21"/>
          <w14:numSpacing w14:val="default"/>
        </w:rPr>
      </w:pPr>
    </w:p>
    <w:p w14:paraId="096280DA" w14:textId="77777777" w:rsidR="00D45C54" w:rsidRDefault="00D45C54">
      <w:pPr>
        <w:suppressAutoHyphens w:val="0"/>
        <w:topLinePunct w:val="0"/>
        <w:spacing w:line="276" w:lineRule="auto"/>
        <w:rPr>
          <w:rFonts w:cs="Times New Roman"/>
          <w:kern w:val="2"/>
          <w:sz w:val="21"/>
          <w14:numSpacing w14:val="default"/>
        </w:rPr>
      </w:pPr>
    </w:p>
    <w:p w14:paraId="22F5EE8F" w14:textId="77777777" w:rsidR="00D45C54" w:rsidRDefault="00D45C54">
      <w:pPr>
        <w:suppressAutoHyphens w:val="0"/>
        <w:topLinePunct w:val="0"/>
        <w:spacing w:line="276" w:lineRule="auto"/>
        <w:rPr>
          <w:rFonts w:cs="Times New Roman"/>
          <w:kern w:val="2"/>
          <w:sz w:val="21"/>
          <w14:numSpacing w14:val="default"/>
        </w:rPr>
      </w:pPr>
    </w:p>
    <w:p w14:paraId="4FCDA2BD" w14:textId="77777777" w:rsidR="00D45C54" w:rsidRDefault="00D45C54">
      <w:pPr>
        <w:suppressAutoHyphens w:val="0"/>
        <w:topLinePunct w:val="0"/>
        <w:spacing w:line="276" w:lineRule="auto"/>
        <w:rPr>
          <w:rFonts w:cs="Times New Roman"/>
          <w:kern w:val="2"/>
          <w14:numSpacing w14:val="default"/>
        </w:rPr>
      </w:pPr>
    </w:p>
    <w:p w14:paraId="1EE90EBE" w14:textId="77777777" w:rsidR="00D45C54" w:rsidRDefault="00D45C54">
      <w:pPr>
        <w:suppressAutoHyphens w:val="0"/>
        <w:topLinePunct w:val="0"/>
        <w:spacing w:line="276" w:lineRule="auto"/>
        <w:rPr>
          <w:rFonts w:cs="Times New Roman"/>
          <w:kern w:val="2"/>
          <w14:numSpacing w14:val="default"/>
        </w:rPr>
      </w:pPr>
    </w:p>
    <w:p w14:paraId="6DE75FF2" w14:textId="77777777" w:rsidR="00D45C54" w:rsidRDefault="00D45C54">
      <w:pPr>
        <w:suppressAutoHyphens w:val="0"/>
        <w:topLinePunct w:val="0"/>
        <w:spacing w:line="276" w:lineRule="auto"/>
        <w:rPr>
          <w:rFonts w:eastAsiaTheme="minorEastAsia" w:cs="Times New Roman"/>
          <w:kern w:val="2"/>
          <w14:numSpacing w14:val="default"/>
        </w:rPr>
      </w:pPr>
    </w:p>
    <w:p w14:paraId="6058A758" w14:textId="77777777" w:rsidR="00A46A75" w:rsidRDefault="00A46A75">
      <w:pPr>
        <w:suppressAutoHyphens w:val="0"/>
        <w:topLinePunct w:val="0"/>
        <w:spacing w:line="276" w:lineRule="auto"/>
        <w:rPr>
          <w:rFonts w:eastAsiaTheme="minorEastAsia" w:cs="Times New Roman"/>
          <w:kern w:val="2"/>
          <w14:numSpacing w14:val="default"/>
        </w:rPr>
      </w:pPr>
    </w:p>
    <w:p w14:paraId="4418D27B" w14:textId="77777777" w:rsidR="00A46A75" w:rsidRDefault="00A46A75">
      <w:pPr>
        <w:suppressAutoHyphens w:val="0"/>
        <w:topLinePunct w:val="0"/>
        <w:spacing w:line="276" w:lineRule="auto"/>
        <w:rPr>
          <w:rFonts w:eastAsiaTheme="minorEastAsia" w:cs="Times New Roman"/>
          <w:kern w:val="2"/>
          <w14:numSpacing w14:val="default"/>
        </w:rPr>
      </w:pPr>
    </w:p>
    <w:p w14:paraId="074F87A9" w14:textId="77777777" w:rsidR="00A46A75" w:rsidRDefault="00A46A75">
      <w:pPr>
        <w:suppressAutoHyphens w:val="0"/>
        <w:topLinePunct w:val="0"/>
        <w:spacing w:line="276" w:lineRule="auto"/>
        <w:rPr>
          <w:rFonts w:eastAsiaTheme="minorEastAsia" w:cs="Times New Roman"/>
          <w:kern w:val="2"/>
          <w14:numSpacing w14:val="default"/>
        </w:rPr>
      </w:pPr>
    </w:p>
    <w:p w14:paraId="1114231B" w14:textId="77777777" w:rsidR="00A46A75" w:rsidRDefault="00A46A75">
      <w:pPr>
        <w:suppressAutoHyphens w:val="0"/>
        <w:topLinePunct w:val="0"/>
        <w:spacing w:line="276" w:lineRule="auto"/>
        <w:rPr>
          <w:rFonts w:eastAsiaTheme="minorEastAsia" w:cs="Times New Roman"/>
          <w:kern w:val="2"/>
          <w14:numSpacing w14:val="default"/>
        </w:rPr>
      </w:pPr>
    </w:p>
    <w:p w14:paraId="4C938BF0" w14:textId="77777777" w:rsidR="00A46A75" w:rsidRDefault="00A46A75">
      <w:pPr>
        <w:suppressAutoHyphens w:val="0"/>
        <w:topLinePunct w:val="0"/>
        <w:spacing w:line="276" w:lineRule="auto"/>
        <w:rPr>
          <w:rFonts w:eastAsiaTheme="minorEastAsia" w:cs="Times New Roman"/>
          <w:kern w:val="2"/>
          <w14:numSpacing w14:val="default"/>
        </w:rPr>
      </w:pPr>
    </w:p>
    <w:p w14:paraId="536C5AD1" w14:textId="77777777" w:rsidR="00A46A75" w:rsidRPr="003127AF" w:rsidRDefault="00A46A75">
      <w:pPr>
        <w:suppressAutoHyphens w:val="0"/>
        <w:topLinePunct w:val="0"/>
        <w:spacing w:line="276" w:lineRule="auto"/>
        <w:rPr>
          <w:rFonts w:eastAsiaTheme="minorEastAsia" w:cs="Times New Roman"/>
          <w:kern w:val="2"/>
          <w14:numSpacing w14:val="default"/>
        </w:rPr>
      </w:pPr>
    </w:p>
    <w:tbl>
      <w:tblPr>
        <w:tblW w:w="8505" w:type="dxa"/>
        <w:tblBorders>
          <w:insideH w:val="single" w:sz="4" w:space="0" w:color="auto"/>
        </w:tblBorders>
        <w:tblLayout w:type="fixed"/>
        <w:tblLook w:val="04A0" w:firstRow="1" w:lastRow="0" w:firstColumn="1" w:lastColumn="0" w:noHBand="0" w:noVBand="1"/>
      </w:tblPr>
      <w:tblGrid>
        <w:gridCol w:w="3119"/>
        <w:gridCol w:w="2551"/>
        <w:gridCol w:w="2835"/>
      </w:tblGrid>
      <w:tr w:rsidR="00D45C54" w14:paraId="76F53BE6" w14:textId="77777777">
        <w:tc>
          <w:tcPr>
            <w:tcW w:w="3119" w:type="dxa"/>
            <w:vAlign w:val="bottom"/>
          </w:tcPr>
          <w:p w14:paraId="7EE4DB97" w14:textId="77777777" w:rsidR="00D45C54" w:rsidRDefault="00D45C54">
            <w:pPr>
              <w:suppressAutoHyphens w:val="0"/>
              <w:topLinePunct w:val="0"/>
              <w:jc w:val="center"/>
              <w:rPr>
                <w:rFonts w:cs="Times New Roman"/>
                <w:b/>
                <w:kern w:val="2"/>
                <w14:numSpacing w14:val="default"/>
              </w:rPr>
            </w:pPr>
          </w:p>
          <w:p w14:paraId="2CC91DA0" w14:textId="081ECCDB" w:rsidR="00D45C54" w:rsidRDefault="003E0392">
            <w:pPr>
              <w:pStyle w:val="P68B1DB1-12"/>
              <w:suppressAutoHyphens w:val="0"/>
              <w:topLinePunct w:val="0"/>
              <w:jc w:val="center"/>
              <w:rPr>
                <w:rFonts w:hint="default"/>
                <w:b/>
              </w:rPr>
            </w:pPr>
            <w:r>
              <w:t xml:space="preserve">Hao </w:t>
            </w:r>
            <w:r w:rsidR="003B382E">
              <w:t>Yu</w:t>
            </w:r>
          </w:p>
        </w:tc>
        <w:tc>
          <w:tcPr>
            <w:tcW w:w="2551" w:type="dxa"/>
          </w:tcPr>
          <w:p w14:paraId="3A826103" w14:textId="77777777" w:rsidR="00D45C54" w:rsidRDefault="00D45C54">
            <w:pPr>
              <w:suppressAutoHyphens w:val="0"/>
              <w:topLinePunct w:val="0"/>
              <w:rPr>
                <w:rFonts w:cs="Times New Roman"/>
                <w:kern w:val="2"/>
                <w14:numSpacing w14:val="default"/>
              </w:rPr>
            </w:pPr>
          </w:p>
        </w:tc>
        <w:tc>
          <w:tcPr>
            <w:tcW w:w="2835" w:type="dxa"/>
          </w:tcPr>
          <w:p w14:paraId="36D07A6B" w14:textId="77777777" w:rsidR="00D45C54" w:rsidRDefault="00D45C54">
            <w:pPr>
              <w:suppressAutoHyphens w:val="0"/>
              <w:topLinePunct w:val="0"/>
              <w:rPr>
                <w:rFonts w:cs="Times New Roman"/>
                <w:kern w:val="2"/>
                <w14:numSpacing w14:val="default"/>
              </w:rPr>
            </w:pPr>
          </w:p>
        </w:tc>
      </w:tr>
      <w:tr w:rsidR="00D45C54" w14:paraId="4157287D" w14:textId="77777777">
        <w:trPr>
          <w:trHeight w:val="734"/>
        </w:trPr>
        <w:tc>
          <w:tcPr>
            <w:tcW w:w="3119" w:type="dxa"/>
            <w:vAlign w:val="center"/>
          </w:tcPr>
          <w:p w14:paraId="3907EF60" w14:textId="77777777" w:rsidR="00D45C54" w:rsidRDefault="003E0392">
            <w:pPr>
              <w:pStyle w:val="P68B1DB1-12"/>
              <w:suppressAutoHyphens w:val="0"/>
              <w:topLinePunct w:val="0"/>
              <w:rPr>
                <w:rFonts w:hint="default"/>
              </w:rPr>
            </w:pPr>
            <w:r>
              <w:t xml:space="preserve">Project Leader (Print) </w:t>
            </w:r>
          </w:p>
        </w:tc>
        <w:tc>
          <w:tcPr>
            <w:tcW w:w="2551" w:type="dxa"/>
            <w:vAlign w:val="center"/>
          </w:tcPr>
          <w:p w14:paraId="0077036E" w14:textId="77777777" w:rsidR="00D45C54" w:rsidRDefault="003E0392">
            <w:pPr>
              <w:pStyle w:val="P68B1DB1-12"/>
              <w:suppressAutoHyphens w:val="0"/>
              <w:topLinePunct w:val="0"/>
              <w:jc w:val="center"/>
              <w:rPr>
                <w:rFonts w:hint="default"/>
              </w:rPr>
            </w:pPr>
            <w:r>
              <w:t xml:space="preserve">Signature of Project Leader </w:t>
            </w:r>
          </w:p>
        </w:tc>
        <w:tc>
          <w:tcPr>
            <w:tcW w:w="2835" w:type="dxa"/>
            <w:vAlign w:val="center"/>
          </w:tcPr>
          <w:p w14:paraId="70CB465C" w14:textId="77777777" w:rsidR="00D45C54" w:rsidRDefault="003E0392">
            <w:pPr>
              <w:pStyle w:val="P68B1DB1-13"/>
              <w:suppressAutoHyphens w:val="0"/>
              <w:topLinePunct w:val="0"/>
            </w:pPr>
            <w:r>
              <w:t xml:space="preserve">Date of Signature (DD/MMM/YYYY) </w:t>
            </w:r>
          </w:p>
        </w:tc>
      </w:tr>
    </w:tbl>
    <w:p w14:paraId="25EE578B" w14:textId="409E3066" w:rsidR="00D45C54" w:rsidRDefault="00D45C54" w:rsidP="003127AF">
      <w:pPr>
        <w:tabs>
          <w:tab w:val="left" w:pos="3206"/>
        </w:tabs>
        <w:sectPr w:rsidR="00D45C54">
          <w:pgSz w:w="11906" w:h="16838"/>
          <w:pgMar w:top="1559" w:right="1418" w:bottom="1418" w:left="1418" w:header="851" w:footer="992" w:gutter="0"/>
          <w:cols w:space="720"/>
          <w:docGrid w:linePitch="312"/>
        </w:sectPr>
      </w:pPr>
    </w:p>
    <w:p w14:paraId="43A125D2" w14:textId="55B209F2" w:rsidR="00D45C54" w:rsidRDefault="003E0392">
      <w:pPr>
        <w:pStyle w:val="P68B1DB1-2612"/>
        <w:rPr>
          <w:rFonts w:hint="default"/>
        </w:rPr>
      </w:pPr>
      <w:r>
        <w:lastRenderedPageBreak/>
        <w:t xml:space="preserve">Protocol Update  </w:t>
      </w:r>
    </w:p>
    <w:tbl>
      <w:tblPr>
        <w:tblW w:w="8364"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418"/>
        <w:gridCol w:w="1701"/>
        <w:gridCol w:w="5245"/>
      </w:tblGrid>
      <w:tr w:rsidR="00D45C54" w:rsidRPr="00AD0DF7" w14:paraId="5B740301" w14:textId="77777777" w:rsidTr="003127AF">
        <w:trPr>
          <w:trHeight w:val="474"/>
          <w:jc w:val="center"/>
        </w:trPr>
        <w:tc>
          <w:tcPr>
            <w:tcW w:w="1418" w:type="dxa"/>
            <w:vAlign w:val="center"/>
          </w:tcPr>
          <w:p w14:paraId="1834B738" w14:textId="77777777" w:rsidR="00D45C54" w:rsidRPr="003127AF" w:rsidRDefault="003E0392">
            <w:pPr>
              <w:pStyle w:val="P68B1DB1-19"/>
              <w:spacing w:beforeLines="50" w:before="120"/>
              <w:jc w:val="center"/>
              <w:rPr>
                <w:szCs w:val="24"/>
              </w:rPr>
            </w:pPr>
            <w:r w:rsidRPr="003127AF">
              <w:rPr>
                <w:szCs w:val="24"/>
              </w:rPr>
              <w:t xml:space="preserve">Version No. </w:t>
            </w:r>
          </w:p>
        </w:tc>
        <w:tc>
          <w:tcPr>
            <w:tcW w:w="1701" w:type="dxa"/>
            <w:vAlign w:val="center"/>
          </w:tcPr>
          <w:p w14:paraId="39658F39" w14:textId="77777777" w:rsidR="00D45C54" w:rsidRPr="003127AF" w:rsidRDefault="003E0392">
            <w:pPr>
              <w:pStyle w:val="P68B1DB1-19"/>
              <w:spacing w:beforeLines="50" w:before="120"/>
              <w:jc w:val="center"/>
              <w:rPr>
                <w:szCs w:val="24"/>
              </w:rPr>
            </w:pPr>
            <w:r w:rsidRPr="003127AF">
              <w:rPr>
                <w:szCs w:val="24"/>
              </w:rPr>
              <w:t xml:space="preserve">Version Date </w:t>
            </w:r>
          </w:p>
        </w:tc>
        <w:tc>
          <w:tcPr>
            <w:tcW w:w="5245" w:type="dxa"/>
            <w:vAlign w:val="center"/>
          </w:tcPr>
          <w:p w14:paraId="08345A2C" w14:textId="78E8D7E9" w:rsidR="00D45C54" w:rsidRPr="003127AF" w:rsidRDefault="00C42A6A">
            <w:pPr>
              <w:pStyle w:val="P68B1DB1-18"/>
              <w:spacing w:beforeLines="50" w:before="120"/>
              <w:jc w:val="center"/>
              <w:rPr>
                <w:rFonts w:hint="default"/>
                <w:szCs w:val="24"/>
              </w:rPr>
            </w:pPr>
            <w:r w:rsidRPr="009E0BE2">
              <w:rPr>
                <w:rFonts w:hint="default"/>
                <w:szCs w:val="24"/>
              </w:rPr>
              <w:t>Update</w:t>
            </w:r>
            <w:r w:rsidR="003E0392" w:rsidRPr="003127AF">
              <w:rPr>
                <w:rFonts w:hint="default"/>
                <w:szCs w:val="24"/>
              </w:rPr>
              <w:t xml:space="preserve"> </w:t>
            </w:r>
          </w:p>
        </w:tc>
      </w:tr>
      <w:tr w:rsidR="00D45C54" w:rsidRPr="00AD0DF7" w14:paraId="5FA39A52" w14:textId="77777777" w:rsidTr="003127AF">
        <w:trPr>
          <w:trHeight w:val="577"/>
          <w:jc w:val="center"/>
        </w:trPr>
        <w:tc>
          <w:tcPr>
            <w:tcW w:w="1418" w:type="dxa"/>
            <w:vAlign w:val="center"/>
          </w:tcPr>
          <w:p w14:paraId="0CA41FF9" w14:textId="2A346288" w:rsidR="00D45C54" w:rsidRPr="003127AF" w:rsidRDefault="003E0392">
            <w:pPr>
              <w:pStyle w:val="P68B1DB1-18"/>
              <w:spacing w:line="240" w:lineRule="auto"/>
              <w:jc w:val="center"/>
              <w:rPr>
                <w:rFonts w:hint="default"/>
                <w:szCs w:val="24"/>
              </w:rPr>
            </w:pPr>
            <w:r w:rsidRPr="003127AF">
              <w:rPr>
                <w:rFonts w:hint="default"/>
                <w:szCs w:val="24"/>
              </w:rPr>
              <w:t>1.</w:t>
            </w:r>
            <w:r w:rsidR="00D30E22">
              <w:rPr>
                <w:rFonts w:hint="default"/>
                <w:szCs w:val="24"/>
              </w:rPr>
              <w:t>0</w:t>
            </w:r>
            <w:r w:rsidRPr="003127AF">
              <w:rPr>
                <w:rFonts w:hint="default"/>
                <w:szCs w:val="24"/>
              </w:rPr>
              <w:t xml:space="preserve"> </w:t>
            </w:r>
          </w:p>
        </w:tc>
        <w:tc>
          <w:tcPr>
            <w:tcW w:w="1701" w:type="dxa"/>
            <w:vAlign w:val="center"/>
          </w:tcPr>
          <w:p w14:paraId="0F6B486F" w14:textId="4E0A55BD" w:rsidR="00D45C54" w:rsidRPr="003127AF" w:rsidRDefault="007A1F3D">
            <w:pPr>
              <w:pStyle w:val="P68B1DB1-18"/>
              <w:spacing w:line="240" w:lineRule="auto"/>
              <w:jc w:val="center"/>
              <w:rPr>
                <w:rFonts w:hint="default"/>
                <w:szCs w:val="24"/>
              </w:rPr>
            </w:pPr>
            <w:r>
              <w:rPr>
                <w:rFonts w:hint="default"/>
                <w:szCs w:val="24"/>
              </w:rPr>
              <w:t>July</w:t>
            </w:r>
            <w:r w:rsidR="003E0392" w:rsidRPr="003127AF">
              <w:rPr>
                <w:rFonts w:hint="default"/>
                <w:szCs w:val="24"/>
              </w:rPr>
              <w:t xml:space="preserve"> </w:t>
            </w:r>
            <w:r>
              <w:rPr>
                <w:rFonts w:hint="default"/>
                <w:szCs w:val="24"/>
              </w:rPr>
              <w:t>30</w:t>
            </w:r>
            <w:r w:rsidR="003E0392" w:rsidRPr="003127AF">
              <w:rPr>
                <w:rFonts w:hint="default"/>
                <w:szCs w:val="24"/>
              </w:rPr>
              <w:t xml:space="preserve">, 2020 </w:t>
            </w:r>
          </w:p>
        </w:tc>
        <w:tc>
          <w:tcPr>
            <w:tcW w:w="5245" w:type="dxa"/>
            <w:vAlign w:val="center"/>
          </w:tcPr>
          <w:p w14:paraId="593EF757" w14:textId="281DE2BD" w:rsidR="00D45C54" w:rsidRPr="003127AF" w:rsidRDefault="007A1F3D" w:rsidP="003B382E">
            <w:pPr>
              <w:pStyle w:val="P68B1DB1-10413"/>
              <w:spacing w:line="240" w:lineRule="auto"/>
              <w:ind w:left="284" w:firstLine="0"/>
              <w:jc w:val="left"/>
              <w:rPr>
                <w:rFonts w:hint="default"/>
                <w:szCs w:val="24"/>
              </w:rPr>
            </w:pPr>
            <w:r w:rsidRPr="007A1F3D">
              <w:rPr>
                <w:szCs w:val="24"/>
              </w:rPr>
              <w:t>Initial version</w:t>
            </w:r>
          </w:p>
        </w:tc>
      </w:tr>
      <w:tr w:rsidR="00D45C54" w:rsidRPr="00AD0DF7" w14:paraId="6167DB98" w14:textId="77777777" w:rsidTr="003127AF">
        <w:trPr>
          <w:trHeight w:val="577"/>
          <w:jc w:val="center"/>
        </w:trPr>
        <w:tc>
          <w:tcPr>
            <w:tcW w:w="1418" w:type="dxa"/>
            <w:shd w:val="clear" w:color="auto" w:fill="auto"/>
            <w:vAlign w:val="center"/>
          </w:tcPr>
          <w:p w14:paraId="22643433" w14:textId="77777777" w:rsidR="00D45C54" w:rsidRPr="003127AF" w:rsidRDefault="003E0392">
            <w:pPr>
              <w:pStyle w:val="P68B1DB1-18"/>
              <w:suppressAutoHyphens w:val="0"/>
              <w:topLinePunct w:val="0"/>
              <w:spacing w:line="240" w:lineRule="auto"/>
              <w:jc w:val="center"/>
              <w:rPr>
                <w:rFonts w:hint="default"/>
                <w:szCs w:val="24"/>
              </w:rPr>
            </w:pPr>
            <w:r w:rsidRPr="003127AF">
              <w:rPr>
                <w:rFonts w:hint="default"/>
                <w:szCs w:val="24"/>
              </w:rPr>
              <w:t xml:space="preserve">2.0 </w:t>
            </w:r>
          </w:p>
        </w:tc>
        <w:tc>
          <w:tcPr>
            <w:tcW w:w="1701" w:type="dxa"/>
            <w:shd w:val="clear" w:color="auto" w:fill="auto"/>
            <w:vAlign w:val="center"/>
          </w:tcPr>
          <w:p w14:paraId="79335E64" w14:textId="78A6C47E" w:rsidR="00D45C54" w:rsidRPr="003127AF" w:rsidRDefault="007A1F3D" w:rsidP="007A1F3D">
            <w:pPr>
              <w:pStyle w:val="P68B1DB1-18"/>
              <w:suppressAutoHyphens w:val="0"/>
              <w:topLinePunct w:val="0"/>
              <w:spacing w:line="240" w:lineRule="auto"/>
              <w:jc w:val="center"/>
              <w:rPr>
                <w:rFonts w:hint="default"/>
                <w:szCs w:val="24"/>
              </w:rPr>
            </w:pPr>
            <w:r w:rsidRPr="007A1F3D">
              <w:rPr>
                <w:szCs w:val="24"/>
              </w:rPr>
              <w:t>January</w:t>
            </w:r>
            <w:r>
              <w:rPr>
                <w:rFonts w:hint="default"/>
                <w:szCs w:val="24"/>
              </w:rPr>
              <w:t xml:space="preserve"> 20</w:t>
            </w:r>
            <w:r w:rsidR="003E0392" w:rsidRPr="003127AF">
              <w:rPr>
                <w:rFonts w:hint="default"/>
                <w:szCs w:val="24"/>
              </w:rPr>
              <w:t>, 202</w:t>
            </w:r>
            <w:r>
              <w:rPr>
                <w:rFonts w:hint="default"/>
                <w:szCs w:val="24"/>
              </w:rPr>
              <w:t>1</w:t>
            </w:r>
            <w:r w:rsidR="003E0392" w:rsidRPr="003127AF">
              <w:rPr>
                <w:rFonts w:hint="default"/>
                <w:szCs w:val="24"/>
              </w:rPr>
              <w:t xml:space="preserve"> </w:t>
            </w:r>
          </w:p>
        </w:tc>
        <w:tc>
          <w:tcPr>
            <w:tcW w:w="5245" w:type="dxa"/>
            <w:shd w:val="clear" w:color="auto" w:fill="auto"/>
            <w:vAlign w:val="center"/>
          </w:tcPr>
          <w:p w14:paraId="0F87547F" w14:textId="21D53BF0" w:rsidR="007A1F3D" w:rsidRPr="007A1F3D" w:rsidRDefault="007A1F3D" w:rsidP="006D1B06">
            <w:pPr>
              <w:pStyle w:val="P68B1DB1-10413"/>
              <w:numPr>
                <w:ilvl w:val="0"/>
                <w:numId w:val="13"/>
              </w:numPr>
              <w:spacing w:line="240" w:lineRule="auto"/>
              <w:rPr>
                <w:rFonts w:hint="default"/>
                <w:szCs w:val="24"/>
              </w:rPr>
            </w:pPr>
            <w:r w:rsidRPr="007A1F3D">
              <w:rPr>
                <w:szCs w:val="24"/>
              </w:rPr>
              <w:t>Change</w:t>
            </w:r>
            <w:r>
              <w:rPr>
                <w:rFonts w:hint="default"/>
                <w:szCs w:val="24"/>
              </w:rPr>
              <w:t>d</w:t>
            </w:r>
            <w:r w:rsidRPr="007A1F3D">
              <w:rPr>
                <w:szCs w:val="24"/>
              </w:rPr>
              <w:t xml:space="preserve"> the statistical design to an open </w:t>
            </w:r>
            <w:r w:rsidR="004C7E2C">
              <w:rPr>
                <w:rFonts w:hint="default"/>
                <w:szCs w:val="24"/>
              </w:rPr>
              <w:t xml:space="preserve">label </w:t>
            </w:r>
            <w:r w:rsidRPr="007A1F3D">
              <w:rPr>
                <w:szCs w:val="24"/>
              </w:rPr>
              <w:t>trial design.</w:t>
            </w:r>
          </w:p>
          <w:p w14:paraId="753E92D6" w14:textId="111E83A1" w:rsidR="007A1F3D" w:rsidRPr="007A1F3D" w:rsidRDefault="007A1F3D" w:rsidP="006D1B06">
            <w:pPr>
              <w:pStyle w:val="P68B1DB1-10413"/>
              <w:numPr>
                <w:ilvl w:val="0"/>
                <w:numId w:val="13"/>
              </w:numPr>
              <w:spacing w:line="240" w:lineRule="auto"/>
              <w:rPr>
                <w:rFonts w:hint="default"/>
                <w:szCs w:val="24"/>
              </w:rPr>
            </w:pPr>
            <w:r w:rsidRPr="007A1F3D">
              <w:rPr>
                <w:rFonts w:hint="default"/>
                <w:szCs w:val="24"/>
              </w:rPr>
              <w:t>Optimize</w:t>
            </w:r>
            <w:r>
              <w:rPr>
                <w:rFonts w:hint="default"/>
                <w:szCs w:val="24"/>
              </w:rPr>
              <w:t>d</w:t>
            </w:r>
            <w:r w:rsidRPr="007A1F3D">
              <w:rPr>
                <w:rFonts w:hint="default"/>
                <w:szCs w:val="24"/>
              </w:rPr>
              <w:t xml:space="preserve"> the detailed description of the inclusion and exclusion criteria.</w:t>
            </w:r>
          </w:p>
          <w:p w14:paraId="6DA155DC" w14:textId="0BE3758B" w:rsidR="00D45C54" w:rsidRPr="003127AF" w:rsidRDefault="007A1F3D" w:rsidP="00384EEC">
            <w:pPr>
              <w:pStyle w:val="P68B1DB1-10413"/>
              <w:spacing w:line="240" w:lineRule="auto"/>
              <w:ind w:firstLine="0"/>
              <w:rPr>
                <w:rFonts w:hint="default"/>
                <w:szCs w:val="24"/>
              </w:rPr>
            </w:pPr>
            <w:r>
              <w:rPr>
                <w:rFonts w:hint="default"/>
                <w:szCs w:val="24"/>
              </w:rPr>
              <w:t xml:space="preserve">3. </w:t>
            </w:r>
            <w:r w:rsidRPr="007A1F3D">
              <w:rPr>
                <w:szCs w:val="24"/>
              </w:rPr>
              <w:t xml:space="preserve">Update the </w:t>
            </w:r>
            <w:r w:rsidR="004C7E2C">
              <w:rPr>
                <w:rFonts w:hint="default"/>
                <w:szCs w:val="24"/>
              </w:rPr>
              <w:t>statistical</w:t>
            </w:r>
            <w:r w:rsidRPr="007A1F3D">
              <w:rPr>
                <w:szCs w:val="24"/>
              </w:rPr>
              <w:t xml:space="preserve"> hypothesis and sample size</w:t>
            </w:r>
            <w:r w:rsidR="004C7E2C">
              <w:rPr>
                <w:rFonts w:hint="default"/>
                <w:szCs w:val="24"/>
              </w:rPr>
              <w:t xml:space="preserve"> calculation</w:t>
            </w:r>
          </w:p>
        </w:tc>
      </w:tr>
      <w:tr w:rsidR="00D45C54" w:rsidRPr="00AD0DF7" w14:paraId="3AAE018B" w14:textId="77777777" w:rsidTr="003127AF">
        <w:trPr>
          <w:trHeight w:val="577"/>
          <w:jc w:val="center"/>
        </w:trPr>
        <w:tc>
          <w:tcPr>
            <w:tcW w:w="1418" w:type="dxa"/>
            <w:shd w:val="clear" w:color="auto" w:fill="auto"/>
            <w:vAlign w:val="center"/>
          </w:tcPr>
          <w:p w14:paraId="68604E07" w14:textId="39D160B2" w:rsidR="00D45C54" w:rsidRPr="003127AF" w:rsidRDefault="00AA4767">
            <w:pPr>
              <w:pStyle w:val="P68B1DB1-114"/>
              <w:spacing w:line="240" w:lineRule="auto"/>
              <w:jc w:val="center"/>
              <w:rPr>
                <w:szCs w:val="24"/>
              </w:rPr>
            </w:pPr>
            <w:r>
              <w:rPr>
                <w:szCs w:val="24"/>
              </w:rPr>
              <w:t>2</w:t>
            </w:r>
            <w:r w:rsidR="003E0392" w:rsidRPr="003127AF">
              <w:rPr>
                <w:szCs w:val="24"/>
              </w:rPr>
              <w:t>.</w:t>
            </w:r>
            <w:r w:rsidR="007A1F3D">
              <w:rPr>
                <w:szCs w:val="24"/>
              </w:rPr>
              <w:t>1</w:t>
            </w:r>
            <w:r w:rsidR="003E0392" w:rsidRPr="003127AF">
              <w:rPr>
                <w:szCs w:val="24"/>
              </w:rPr>
              <w:t xml:space="preserve"> </w:t>
            </w:r>
          </w:p>
        </w:tc>
        <w:tc>
          <w:tcPr>
            <w:tcW w:w="1701" w:type="dxa"/>
            <w:shd w:val="clear" w:color="auto" w:fill="auto"/>
            <w:vAlign w:val="center"/>
          </w:tcPr>
          <w:p w14:paraId="519E4D64" w14:textId="3A81E80A" w:rsidR="00D45C54" w:rsidRPr="003127AF" w:rsidRDefault="007A1F3D">
            <w:pPr>
              <w:spacing w:line="240" w:lineRule="auto"/>
              <w:jc w:val="center"/>
              <w:rPr>
                <w:rFonts w:cs="Times New Roman"/>
                <w:szCs w:val="24"/>
              </w:rPr>
            </w:pPr>
            <w:r>
              <w:rPr>
                <w:rFonts w:cs="Times New Roman"/>
                <w:szCs w:val="24"/>
              </w:rPr>
              <w:t>March</w:t>
            </w:r>
            <w:r w:rsidRPr="00AD0DF7">
              <w:rPr>
                <w:rFonts w:cs="Times New Roman"/>
                <w:szCs w:val="24"/>
              </w:rPr>
              <w:t xml:space="preserve"> </w:t>
            </w:r>
            <w:r>
              <w:rPr>
                <w:rFonts w:cs="Times New Roman"/>
                <w:szCs w:val="24"/>
              </w:rPr>
              <w:t>15</w:t>
            </w:r>
            <w:r w:rsidR="00AD0DF7" w:rsidRPr="00AD0DF7">
              <w:rPr>
                <w:rFonts w:cs="Times New Roman"/>
                <w:szCs w:val="24"/>
              </w:rPr>
              <w:t>, 202</w:t>
            </w:r>
            <w:r>
              <w:rPr>
                <w:rFonts w:cs="Times New Roman"/>
                <w:szCs w:val="24"/>
              </w:rPr>
              <w:t>2</w:t>
            </w:r>
            <w:r w:rsidR="003E0392" w:rsidRPr="003127AF">
              <w:rPr>
                <w:rFonts w:cs="Times New Roman"/>
                <w:szCs w:val="24"/>
              </w:rPr>
              <w:t xml:space="preserve"> </w:t>
            </w:r>
          </w:p>
        </w:tc>
        <w:tc>
          <w:tcPr>
            <w:tcW w:w="5245" w:type="dxa"/>
            <w:shd w:val="clear" w:color="auto" w:fill="auto"/>
            <w:vAlign w:val="center"/>
          </w:tcPr>
          <w:p w14:paraId="48C72E30" w14:textId="551204D3" w:rsidR="007A1F3D" w:rsidRPr="00384EEC" w:rsidRDefault="007A1F3D" w:rsidP="00384EEC">
            <w:pPr>
              <w:tabs>
                <w:tab w:val="left" w:pos="312"/>
              </w:tabs>
              <w:rPr>
                <w:rFonts w:cs="Times New Roman"/>
                <w:szCs w:val="24"/>
              </w:rPr>
            </w:pPr>
            <w:r>
              <w:rPr>
                <w:rFonts w:cs="Times New Roman"/>
                <w:szCs w:val="24"/>
              </w:rPr>
              <w:t xml:space="preserve">1. </w:t>
            </w:r>
            <w:r w:rsidRPr="00384EEC">
              <w:rPr>
                <w:rFonts w:cs="Times New Roman"/>
                <w:szCs w:val="24"/>
              </w:rPr>
              <w:t>Optimized the detailed description of the inclusion and exclusion criteria.</w:t>
            </w:r>
          </w:p>
          <w:p w14:paraId="69467322" w14:textId="634E0A2B" w:rsidR="0051127C" w:rsidRDefault="007A1F3D" w:rsidP="00384EEC">
            <w:pPr>
              <w:spacing w:line="240" w:lineRule="auto"/>
              <w:rPr>
                <w:szCs w:val="24"/>
              </w:rPr>
            </w:pPr>
            <w:r>
              <w:rPr>
                <w:szCs w:val="24"/>
              </w:rPr>
              <w:t xml:space="preserve">2. </w:t>
            </w:r>
            <w:r w:rsidRPr="007A1F3D">
              <w:rPr>
                <w:szCs w:val="24"/>
              </w:rPr>
              <w:t>The noninferiority margin was modified</w:t>
            </w:r>
            <w:r w:rsidR="0051127C" w:rsidRPr="0051127C">
              <w:rPr>
                <w:rFonts w:cs="Times New Roman"/>
                <w:szCs w:val="24"/>
              </w:rPr>
              <w:t xml:space="preserve"> </w:t>
            </w:r>
          </w:p>
          <w:p w14:paraId="56E2178B" w14:textId="79EF3D83" w:rsidR="00D45C54" w:rsidRPr="003127AF" w:rsidRDefault="007A1F3D" w:rsidP="00384EEC">
            <w:pPr>
              <w:spacing w:line="240" w:lineRule="auto"/>
              <w:rPr>
                <w:szCs w:val="24"/>
              </w:rPr>
            </w:pPr>
            <w:r>
              <w:rPr>
                <w:szCs w:val="24"/>
              </w:rPr>
              <w:t xml:space="preserve">3. </w:t>
            </w:r>
            <w:r w:rsidR="007C3179" w:rsidRPr="007C3179">
              <w:rPr>
                <w:szCs w:val="24"/>
              </w:rPr>
              <w:t>Full-text corrigendum</w:t>
            </w:r>
            <w:r w:rsidR="007C3179">
              <w:rPr>
                <w:szCs w:val="24"/>
              </w:rPr>
              <w:t>.</w:t>
            </w:r>
            <w:r w:rsidR="003E0392" w:rsidRPr="007C3179">
              <w:rPr>
                <w:szCs w:val="24"/>
              </w:rPr>
              <w:t xml:space="preserve"> </w:t>
            </w:r>
          </w:p>
        </w:tc>
      </w:tr>
    </w:tbl>
    <w:p w14:paraId="3915989F" w14:textId="77777777" w:rsidR="009D2223" w:rsidRPr="003127AF" w:rsidRDefault="009D2223" w:rsidP="003127AF">
      <w:pPr>
        <w:rPr>
          <w:rFonts w:eastAsiaTheme="minorEastAsia"/>
        </w:rPr>
        <w:sectPr w:rsidR="009D2223" w:rsidRPr="003127AF">
          <w:pgSz w:w="11906" w:h="16838"/>
          <w:pgMar w:top="1559" w:right="1418" w:bottom="1418" w:left="1418" w:header="851" w:footer="992" w:gutter="0"/>
          <w:cols w:space="720"/>
          <w:docGrid w:linePitch="312"/>
        </w:sectPr>
      </w:pPr>
    </w:p>
    <w:p w14:paraId="0C8CE587" w14:textId="43E90DE7" w:rsidR="00D45C54" w:rsidRDefault="00041F49">
      <w:pPr>
        <w:pStyle w:val="af6"/>
      </w:pPr>
      <w:r>
        <w:lastRenderedPageBreak/>
        <w:t>C</w:t>
      </w:r>
      <w:r w:rsidRPr="00041F49">
        <w:t>ontents</w:t>
      </w:r>
      <w:r w:rsidR="003E0392">
        <w:rPr>
          <w:rFonts w:hint="eastAsia"/>
        </w:rPr>
        <w:t xml:space="preserve"> </w:t>
      </w:r>
    </w:p>
    <w:p w14:paraId="746497E6" w14:textId="62E2A69E" w:rsidR="00EF0680" w:rsidRDefault="003E0392">
      <w:pPr>
        <w:pStyle w:val="11"/>
        <w:tabs>
          <w:tab w:val="right" w:leader="dot" w:pos="9060"/>
        </w:tabs>
        <w:rPr>
          <w:rFonts w:asciiTheme="minorHAnsi" w:eastAsiaTheme="minorEastAsia" w:hAnsiTheme="minorHAnsi"/>
          <w:b w:val="0"/>
          <w:noProof/>
          <w:kern w:val="2"/>
          <w:sz w:val="21"/>
          <w:szCs w:val="22"/>
          <w14:numSpacing w14:val="default"/>
        </w:rPr>
      </w:pPr>
      <w:r>
        <w:fldChar w:fldCharType="begin"/>
      </w:r>
      <w:r>
        <w:instrText xml:space="preserve"> TOC \o "2-2" \t "</w:instrText>
      </w:r>
      <w:r>
        <w:instrText>标题</w:instrText>
      </w:r>
      <w:r>
        <w:instrText xml:space="preserve"> 1,1,</w:instrText>
      </w:r>
      <w:r>
        <w:instrText>标题</w:instrText>
      </w:r>
      <w:r>
        <w:instrText xml:space="preserve"> 3,3" </w:instrText>
      </w:r>
      <w:r>
        <w:fldChar w:fldCharType="separate"/>
      </w:r>
      <w:r w:rsidR="00EF0680">
        <w:rPr>
          <w:noProof/>
        </w:rPr>
        <w:t>Protocol Synopsis</w:t>
      </w:r>
      <w:r w:rsidR="00EF0680">
        <w:rPr>
          <w:noProof/>
        </w:rPr>
        <w:tab/>
      </w:r>
      <w:r w:rsidR="00EF0680">
        <w:rPr>
          <w:noProof/>
        </w:rPr>
        <w:fldChar w:fldCharType="begin"/>
      </w:r>
      <w:r w:rsidR="00EF0680">
        <w:rPr>
          <w:noProof/>
        </w:rPr>
        <w:instrText xml:space="preserve"> PAGEREF _Toc196547957 \h </w:instrText>
      </w:r>
      <w:r w:rsidR="00EF0680">
        <w:rPr>
          <w:noProof/>
        </w:rPr>
      </w:r>
      <w:r w:rsidR="00EF0680">
        <w:rPr>
          <w:noProof/>
        </w:rPr>
        <w:fldChar w:fldCharType="separate"/>
      </w:r>
      <w:r w:rsidR="00EF0680">
        <w:rPr>
          <w:noProof/>
        </w:rPr>
        <w:t>- 2 -</w:t>
      </w:r>
      <w:r w:rsidR="00EF0680">
        <w:rPr>
          <w:noProof/>
        </w:rPr>
        <w:fldChar w:fldCharType="end"/>
      </w:r>
    </w:p>
    <w:p w14:paraId="522456BA" w14:textId="36828FD9" w:rsidR="00EF0680" w:rsidRDefault="00EF0680">
      <w:pPr>
        <w:pStyle w:val="11"/>
        <w:tabs>
          <w:tab w:val="right" w:leader="dot" w:pos="9060"/>
        </w:tabs>
        <w:rPr>
          <w:rFonts w:asciiTheme="minorHAnsi" w:eastAsiaTheme="minorEastAsia" w:hAnsiTheme="minorHAnsi"/>
          <w:b w:val="0"/>
          <w:noProof/>
          <w:kern w:val="2"/>
          <w:sz w:val="21"/>
          <w:szCs w:val="22"/>
          <w14:numSpacing w14:val="default"/>
        </w:rPr>
      </w:pPr>
      <w:r>
        <w:rPr>
          <w:noProof/>
        </w:rPr>
        <w:t>1. Introduction</w:t>
      </w:r>
      <w:r>
        <w:rPr>
          <w:noProof/>
        </w:rPr>
        <w:tab/>
      </w:r>
      <w:r>
        <w:rPr>
          <w:noProof/>
        </w:rPr>
        <w:fldChar w:fldCharType="begin"/>
      </w:r>
      <w:r>
        <w:rPr>
          <w:noProof/>
        </w:rPr>
        <w:instrText xml:space="preserve"> PAGEREF _Toc196547958 \h </w:instrText>
      </w:r>
      <w:r>
        <w:rPr>
          <w:noProof/>
        </w:rPr>
      </w:r>
      <w:r>
        <w:rPr>
          <w:noProof/>
        </w:rPr>
        <w:fldChar w:fldCharType="separate"/>
      </w:r>
      <w:r>
        <w:rPr>
          <w:noProof/>
        </w:rPr>
        <w:t>- 13 -</w:t>
      </w:r>
      <w:r>
        <w:rPr>
          <w:noProof/>
        </w:rPr>
        <w:fldChar w:fldCharType="end"/>
      </w:r>
    </w:p>
    <w:p w14:paraId="5720074B" w14:textId="18BEF8BE"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1.1 Study background</w:t>
      </w:r>
      <w:r>
        <w:rPr>
          <w:noProof/>
        </w:rPr>
        <w:tab/>
      </w:r>
      <w:r>
        <w:rPr>
          <w:noProof/>
        </w:rPr>
        <w:fldChar w:fldCharType="begin"/>
      </w:r>
      <w:r>
        <w:rPr>
          <w:noProof/>
        </w:rPr>
        <w:instrText xml:space="preserve"> PAGEREF _Toc196547959 \h </w:instrText>
      </w:r>
      <w:r>
        <w:rPr>
          <w:noProof/>
        </w:rPr>
      </w:r>
      <w:r>
        <w:rPr>
          <w:noProof/>
        </w:rPr>
        <w:fldChar w:fldCharType="separate"/>
      </w:r>
      <w:r>
        <w:rPr>
          <w:noProof/>
        </w:rPr>
        <w:t>- 13 -</w:t>
      </w:r>
      <w:r>
        <w:rPr>
          <w:noProof/>
        </w:rPr>
        <w:fldChar w:fldCharType="end"/>
      </w:r>
    </w:p>
    <w:p w14:paraId="02C4AD67" w14:textId="0C88476E"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1.2 Study Rationale</w:t>
      </w:r>
      <w:r>
        <w:rPr>
          <w:noProof/>
        </w:rPr>
        <w:tab/>
      </w:r>
      <w:r>
        <w:rPr>
          <w:noProof/>
        </w:rPr>
        <w:fldChar w:fldCharType="begin"/>
      </w:r>
      <w:r>
        <w:rPr>
          <w:noProof/>
        </w:rPr>
        <w:instrText xml:space="preserve"> PAGEREF _Toc196547960 \h </w:instrText>
      </w:r>
      <w:r>
        <w:rPr>
          <w:noProof/>
        </w:rPr>
      </w:r>
      <w:r>
        <w:rPr>
          <w:noProof/>
        </w:rPr>
        <w:fldChar w:fldCharType="separate"/>
      </w:r>
      <w:r>
        <w:rPr>
          <w:noProof/>
        </w:rPr>
        <w:t>- 15 -</w:t>
      </w:r>
      <w:r>
        <w:rPr>
          <w:noProof/>
        </w:rPr>
        <w:fldChar w:fldCharType="end"/>
      </w:r>
    </w:p>
    <w:p w14:paraId="4E3D0423" w14:textId="3513F842"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1.3 Potential risks and benefits</w:t>
      </w:r>
      <w:r>
        <w:rPr>
          <w:noProof/>
        </w:rPr>
        <w:tab/>
      </w:r>
      <w:r>
        <w:rPr>
          <w:noProof/>
        </w:rPr>
        <w:fldChar w:fldCharType="begin"/>
      </w:r>
      <w:r>
        <w:rPr>
          <w:noProof/>
        </w:rPr>
        <w:instrText xml:space="preserve"> PAGEREF _Toc196547961 \h </w:instrText>
      </w:r>
      <w:r>
        <w:rPr>
          <w:noProof/>
        </w:rPr>
      </w:r>
      <w:r>
        <w:rPr>
          <w:noProof/>
        </w:rPr>
        <w:fldChar w:fldCharType="separate"/>
      </w:r>
      <w:r>
        <w:rPr>
          <w:noProof/>
        </w:rPr>
        <w:t>- 21 -</w:t>
      </w:r>
      <w:r>
        <w:rPr>
          <w:noProof/>
        </w:rPr>
        <w:fldChar w:fldCharType="end"/>
      </w:r>
    </w:p>
    <w:p w14:paraId="15D483A5" w14:textId="4484CD22"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1.3.1 Known potential risks</w:t>
      </w:r>
      <w:r>
        <w:rPr>
          <w:noProof/>
        </w:rPr>
        <w:tab/>
      </w:r>
      <w:r>
        <w:rPr>
          <w:noProof/>
        </w:rPr>
        <w:fldChar w:fldCharType="begin"/>
      </w:r>
      <w:r>
        <w:rPr>
          <w:noProof/>
        </w:rPr>
        <w:instrText xml:space="preserve"> PAGEREF _Toc196547962 \h </w:instrText>
      </w:r>
      <w:r>
        <w:rPr>
          <w:noProof/>
        </w:rPr>
      </w:r>
      <w:r>
        <w:rPr>
          <w:noProof/>
        </w:rPr>
        <w:fldChar w:fldCharType="separate"/>
      </w:r>
      <w:r>
        <w:rPr>
          <w:noProof/>
        </w:rPr>
        <w:t>- 21 -</w:t>
      </w:r>
      <w:r>
        <w:rPr>
          <w:noProof/>
        </w:rPr>
        <w:fldChar w:fldCharType="end"/>
      </w:r>
    </w:p>
    <w:p w14:paraId="14CAFBA7" w14:textId="6596034C"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1.3.2 Known Possible Benefits</w:t>
      </w:r>
      <w:r>
        <w:rPr>
          <w:noProof/>
        </w:rPr>
        <w:tab/>
      </w:r>
      <w:r>
        <w:rPr>
          <w:noProof/>
        </w:rPr>
        <w:fldChar w:fldCharType="begin"/>
      </w:r>
      <w:r>
        <w:rPr>
          <w:noProof/>
        </w:rPr>
        <w:instrText xml:space="preserve"> PAGEREF _Toc196547963 \h </w:instrText>
      </w:r>
      <w:r>
        <w:rPr>
          <w:noProof/>
        </w:rPr>
      </w:r>
      <w:r>
        <w:rPr>
          <w:noProof/>
        </w:rPr>
        <w:fldChar w:fldCharType="separate"/>
      </w:r>
      <w:r>
        <w:rPr>
          <w:noProof/>
        </w:rPr>
        <w:t>- 22 -</w:t>
      </w:r>
      <w:r>
        <w:rPr>
          <w:noProof/>
        </w:rPr>
        <w:fldChar w:fldCharType="end"/>
      </w:r>
    </w:p>
    <w:p w14:paraId="4A24FDAC" w14:textId="4FF323AB" w:rsidR="00EF0680" w:rsidRDefault="00EF0680">
      <w:pPr>
        <w:pStyle w:val="11"/>
        <w:tabs>
          <w:tab w:val="right" w:leader="dot" w:pos="9060"/>
        </w:tabs>
        <w:rPr>
          <w:rFonts w:asciiTheme="minorHAnsi" w:eastAsiaTheme="minorEastAsia" w:hAnsiTheme="minorHAnsi"/>
          <w:b w:val="0"/>
          <w:noProof/>
          <w:kern w:val="2"/>
          <w:sz w:val="21"/>
          <w:szCs w:val="22"/>
          <w14:numSpacing w14:val="default"/>
        </w:rPr>
      </w:pPr>
      <w:r>
        <w:rPr>
          <w:noProof/>
        </w:rPr>
        <w:t>2. Study objectives and endpoints</w:t>
      </w:r>
      <w:r>
        <w:rPr>
          <w:noProof/>
        </w:rPr>
        <w:tab/>
      </w:r>
      <w:r>
        <w:rPr>
          <w:noProof/>
        </w:rPr>
        <w:fldChar w:fldCharType="begin"/>
      </w:r>
      <w:r>
        <w:rPr>
          <w:noProof/>
        </w:rPr>
        <w:instrText xml:space="preserve"> PAGEREF _Toc196547964 \h </w:instrText>
      </w:r>
      <w:r>
        <w:rPr>
          <w:noProof/>
        </w:rPr>
      </w:r>
      <w:r>
        <w:rPr>
          <w:noProof/>
        </w:rPr>
        <w:fldChar w:fldCharType="separate"/>
      </w:r>
      <w:r>
        <w:rPr>
          <w:noProof/>
        </w:rPr>
        <w:t>- 22 -</w:t>
      </w:r>
      <w:r>
        <w:rPr>
          <w:noProof/>
        </w:rPr>
        <w:fldChar w:fldCharType="end"/>
      </w:r>
    </w:p>
    <w:p w14:paraId="08249EAF" w14:textId="11A5A1A1"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2.1 Primary objective</w:t>
      </w:r>
      <w:r>
        <w:rPr>
          <w:noProof/>
        </w:rPr>
        <w:tab/>
      </w:r>
      <w:r>
        <w:rPr>
          <w:noProof/>
        </w:rPr>
        <w:fldChar w:fldCharType="begin"/>
      </w:r>
      <w:r>
        <w:rPr>
          <w:noProof/>
        </w:rPr>
        <w:instrText xml:space="preserve"> PAGEREF _Toc196547965 \h </w:instrText>
      </w:r>
      <w:r>
        <w:rPr>
          <w:noProof/>
        </w:rPr>
      </w:r>
      <w:r>
        <w:rPr>
          <w:noProof/>
        </w:rPr>
        <w:fldChar w:fldCharType="separate"/>
      </w:r>
      <w:r>
        <w:rPr>
          <w:noProof/>
        </w:rPr>
        <w:t>- 22 -</w:t>
      </w:r>
      <w:r>
        <w:rPr>
          <w:noProof/>
        </w:rPr>
        <w:fldChar w:fldCharType="end"/>
      </w:r>
    </w:p>
    <w:p w14:paraId="7FE841F6" w14:textId="31961C5A"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2.2 Secondary objectives</w:t>
      </w:r>
      <w:r>
        <w:rPr>
          <w:noProof/>
        </w:rPr>
        <w:tab/>
      </w:r>
      <w:r>
        <w:rPr>
          <w:noProof/>
        </w:rPr>
        <w:fldChar w:fldCharType="begin"/>
      </w:r>
      <w:r>
        <w:rPr>
          <w:noProof/>
        </w:rPr>
        <w:instrText xml:space="preserve"> PAGEREF _Toc196547966 \h </w:instrText>
      </w:r>
      <w:r>
        <w:rPr>
          <w:noProof/>
        </w:rPr>
      </w:r>
      <w:r>
        <w:rPr>
          <w:noProof/>
        </w:rPr>
        <w:fldChar w:fldCharType="separate"/>
      </w:r>
      <w:r>
        <w:rPr>
          <w:noProof/>
        </w:rPr>
        <w:t>- 22 -</w:t>
      </w:r>
      <w:r>
        <w:rPr>
          <w:noProof/>
        </w:rPr>
        <w:fldChar w:fldCharType="end"/>
      </w:r>
    </w:p>
    <w:p w14:paraId="0C3788E2" w14:textId="7EF0B69D"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2.3 Primary endpoint</w:t>
      </w:r>
      <w:r>
        <w:rPr>
          <w:noProof/>
        </w:rPr>
        <w:tab/>
      </w:r>
      <w:r>
        <w:rPr>
          <w:noProof/>
        </w:rPr>
        <w:fldChar w:fldCharType="begin"/>
      </w:r>
      <w:r>
        <w:rPr>
          <w:noProof/>
        </w:rPr>
        <w:instrText xml:space="preserve"> PAGEREF _Toc196547967 \h </w:instrText>
      </w:r>
      <w:r>
        <w:rPr>
          <w:noProof/>
        </w:rPr>
      </w:r>
      <w:r>
        <w:rPr>
          <w:noProof/>
        </w:rPr>
        <w:fldChar w:fldCharType="separate"/>
      </w:r>
      <w:r>
        <w:rPr>
          <w:noProof/>
        </w:rPr>
        <w:t>- 23 -</w:t>
      </w:r>
      <w:r>
        <w:rPr>
          <w:noProof/>
        </w:rPr>
        <w:fldChar w:fldCharType="end"/>
      </w:r>
    </w:p>
    <w:p w14:paraId="498B0C29" w14:textId="0FF29934"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2.4 Secondary endpoints</w:t>
      </w:r>
      <w:r>
        <w:rPr>
          <w:noProof/>
        </w:rPr>
        <w:tab/>
      </w:r>
      <w:r>
        <w:rPr>
          <w:noProof/>
        </w:rPr>
        <w:fldChar w:fldCharType="begin"/>
      </w:r>
      <w:r>
        <w:rPr>
          <w:noProof/>
        </w:rPr>
        <w:instrText xml:space="preserve"> PAGEREF _Toc196547968 \h </w:instrText>
      </w:r>
      <w:r>
        <w:rPr>
          <w:noProof/>
        </w:rPr>
      </w:r>
      <w:r>
        <w:rPr>
          <w:noProof/>
        </w:rPr>
        <w:fldChar w:fldCharType="separate"/>
      </w:r>
      <w:r>
        <w:rPr>
          <w:noProof/>
        </w:rPr>
        <w:t>- 23 -</w:t>
      </w:r>
      <w:r>
        <w:rPr>
          <w:noProof/>
        </w:rPr>
        <w:fldChar w:fldCharType="end"/>
      </w:r>
    </w:p>
    <w:p w14:paraId="765E545D" w14:textId="42739D0C" w:rsidR="00EF0680" w:rsidRDefault="00EF0680">
      <w:pPr>
        <w:pStyle w:val="11"/>
        <w:tabs>
          <w:tab w:val="right" w:leader="dot" w:pos="9060"/>
        </w:tabs>
        <w:rPr>
          <w:rFonts w:asciiTheme="minorHAnsi" w:eastAsiaTheme="minorEastAsia" w:hAnsiTheme="minorHAnsi"/>
          <w:b w:val="0"/>
          <w:noProof/>
          <w:kern w:val="2"/>
          <w:sz w:val="21"/>
          <w:szCs w:val="22"/>
          <w14:numSpacing w14:val="default"/>
        </w:rPr>
      </w:pPr>
      <w:r>
        <w:rPr>
          <w:noProof/>
        </w:rPr>
        <w:t>3. Study Design</w:t>
      </w:r>
      <w:r>
        <w:rPr>
          <w:noProof/>
        </w:rPr>
        <w:tab/>
      </w:r>
      <w:r>
        <w:rPr>
          <w:noProof/>
        </w:rPr>
        <w:fldChar w:fldCharType="begin"/>
      </w:r>
      <w:r>
        <w:rPr>
          <w:noProof/>
        </w:rPr>
        <w:instrText xml:space="preserve"> PAGEREF _Toc196547969 \h </w:instrText>
      </w:r>
      <w:r>
        <w:rPr>
          <w:noProof/>
        </w:rPr>
      </w:r>
      <w:r>
        <w:rPr>
          <w:noProof/>
        </w:rPr>
        <w:fldChar w:fldCharType="separate"/>
      </w:r>
      <w:r>
        <w:rPr>
          <w:noProof/>
        </w:rPr>
        <w:t>- 23 -</w:t>
      </w:r>
      <w:r>
        <w:rPr>
          <w:noProof/>
        </w:rPr>
        <w:fldChar w:fldCharType="end"/>
      </w:r>
    </w:p>
    <w:p w14:paraId="1BD75AF7" w14:textId="459A9622"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3.1 Overall design</w:t>
      </w:r>
      <w:r>
        <w:rPr>
          <w:noProof/>
        </w:rPr>
        <w:tab/>
      </w:r>
      <w:r>
        <w:rPr>
          <w:noProof/>
        </w:rPr>
        <w:fldChar w:fldCharType="begin"/>
      </w:r>
      <w:r>
        <w:rPr>
          <w:noProof/>
        </w:rPr>
        <w:instrText xml:space="preserve"> PAGEREF _Toc196547970 \h </w:instrText>
      </w:r>
      <w:r>
        <w:rPr>
          <w:noProof/>
        </w:rPr>
      </w:r>
      <w:r>
        <w:rPr>
          <w:noProof/>
        </w:rPr>
        <w:fldChar w:fldCharType="separate"/>
      </w:r>
      <w:r>
        <w:rPr>
          <w:noProof/>
        </w:rPr>
        <w:t>- 23 -</w:t>
      </w:r>
      <w:r>
        <w:rPr>
          <w:noProof/>
        </w:rPr>
        <w:fldChar w:fldCharType="end"/>
      </w:r>
    </w:p>
    <w:p w14:paraId="2FC96DDA" w14:textId="4A162B52"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3.2 Sample size Estimation</w:t>
      </w:r>
      <w:r>
        <w:rPr>
          <w:noProof/>
        </w:rPr>
        <w:tab/>
      </w:r>
      <w:r>
        <w:rPr>
          <w:noProof/>
        </w:rPr>
        <w:fldChar w:fldCharType="begin"/>
      </w:r>
      <w:r>
        <w:rPr>
          <w:noProof/>
        </w:rPr>
        <w:instrText xml:space="preserve"> PAGEREF _Toc196547971 \h </w:instrText>
      </w:r>
      <w:r>
        <w:rPr>
          <w:noProof/>
        </w:rPr>
      </w:r>
      <w:r>
        <w:rPr>
          <w:noProof/>
        </w:rPr>
        <w:fldChar w:fldCharType="separate"/>
      </w:r>
      <w:r>
        <w:rPr>
          <w:noProof/>
        </w:rPr>
        <w:t>- 23 -</w:t>
      </w:r>
      <w:r>
        <w:rPr>
          <w:noProof/>
        </w:rPr>
        <w:fldChar w:fldCharType="end"/>
      </w:r>
    </w:p>
    <w:p w14:paraId="5D881FE8" w14:textId="4B8B7893"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3.3 Methods for reducing bias</w:t>
      </w:r>
      <w:r>
        <w:rPr>
          <w:noProof/>
        </w:rPr>
        <w:tab/>
      </w:r>
      <w:r>
        <w:rPr>
          <w:noProof/>
        </w:rPr>
        <w:fldChar w:fldCharType="begin"/>
      </w:r>
      <w:r>
        <w:rPr>
          <w:noProof/>
        </w:rPr>
        <w:instrText xml:space="preserve"> PAGEREF _Toc196547972 \h </w:instrText>
      </w:r>
      <w:r>
        <w:rPr>
          <w:noProof/>
        </w:rPr>
      </w:r>
      <w:r>
        <w:rPr>
          <w:noProof/>
        </w:rPr>
        <w:fldChar w:fldCharType="separate"/>
      </w:r>
      <w:r>
        <w:rPr>
          <w:noProof/>
        </w:rPr>
        <w:t>- 24 -</w:t>
      </w:r>
      <w:r>
        <w:rPr>
          <w:noProof/>
        </w:rPr>
        <w:fldChar w:fldCharType="end"/>
      </w:r>
    </w:p>
    <w:p w14:paraId="4A3CEDB5" w14:textId="75FBBD47"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3.3.1 Randomization and stratified factors</w:t>
      </w:r>
      <w:r>
        <w:rPr>
          <w:noProof/>
        </w:rPr>
        <w:tab/>
      </w:r>
      <w:r>
        <w:rPr>
          <w:noProof/>
        </w:rPr>
        <w:fldChar w:fldCharType="begin"/>
      </w:r>
      <w:r>
        <w:rPr>
          <w:noProof/>
        </w:rPr>
        <w:instrText xml:space="preserve"> PAGEREF _Toc196547973 \h </w:instrText>
      </w:r>
      <w:r>
        <w:rPr>
          <w:noProof/>
        </w:rPr>
      </w:r>
      <w:r>
        <w:rPr>
          <w:noProof/>
        </w:rPr>
        <w:fldChar w:fldCharType="separate"/>
      </w:r>
      <w:r>
        <w:rPr>
          <w:noProof/>
        </w:rPr>
        <w:t>- 24 -</w:t>
      </w:r>
      <w:r>
        <w:rPr>
          <w:noProof/>
        </w:rPr>
        <w:fldChar w:fldCharType="end"/>
      </w:r>
    </w:p>
    <w:p w14:paraId="1E781E36" w14:textId="71FB491C"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3.4 Imaging evaluation</w:t>
      </w:r>
      <w:r>
        <w:rPr>
          <w:noProof/>
        </w:rPr>
        <w:tab/>
      </w:r>
      <w:r>
        <w:rPr>
          <w:noProof/>
        </w:rPr>
        <w:fldChar w:fldCharType="begin"/>
      </w:r>
      <w:r>
        <w:rPr>
          <w:noProof/>
        </w:rPr>
        <w:instrText xml:space="preserve"> PAGEREF _Toc196547974 \h </w:instrText>
      </w:r>
      <w:r>
        <w:rPr>
          <w:noProof/>
        </w:rPr>
      </w:r>
      <w:r>
        <w:rPr>
          <w:noProof/>
        </w:rPr>
        <w:fldChar w:fldCharType="separate"/>
      </w:r>
      <w:r>
        <w:rPr>
          <w:noProof/>
        </w:rPr>
        <w:t>- 24 -</w:t>
      </w:r>
      <w:r>
        <w:rPr>
          <w:noProof/>
        </w:rPr>
        <w:fldChar w:fldCharType="end"/>
      </w:r>
    </w:p>
    <w:p w14:paraId="012BAED9" w14:textId="761D6508" w:rsidR="00EF0680" w:rsidRDefault="00EF0680">
      <w:pPr>
        <w:pStyle w:val="11"/>
        <w:tabs>
          <w:tab w:val="right" w:leader="dot" w:pos="9060"/>
        </w:tabs>
        <w:rPr>
          <w:rFonts w:asciiTheme="minorHAnsi" w:eastAsiaTheme="minorEastAsia" w:hAnsiTheme="minorHAnsi"/>
          <w:b w:val="0"/>
          <w:noProof/>
          <w:kern w:val="2"/>
          <w:sz w:val="21"/>
          <w:szCs w:val="22"/>
          <w14:numSpacing w14:val="default"/>
        </w:rPr>
      </w:pPr>
      <w:r>
        <w:rPr>
          <w:noProof/>
        </w:rPr>
        <w:t>4. Subject selection and withdrawal</w:t>
      </w:r>
      <w:r>
        <w:rPr>
          <w:noProof/>
        </w:rPr>
        <w:tab/>
      </w:r>
      <w:r>
        <w:rPr>
          <w:noProof/>
        </w:rPr>
        <w:fldChar w:fldCharType="begin"/>
      </w:r>
      <w:r>
        <w:rPr>
          <w:noProof/>
        </w:rPr>
        <w:instrText xml:space="preserve"> PAGEREF _Toc196547975 \h </w:instrText>
      </w:r>
      <w:r>
        <w:rPr>
          <w:noProof/>
        </w:rPr>
      </w:r>
      <w:r>
        <w:rPr>
          <w:noProof/>
        </w:rPr>
        <w:fldChar w:fldCharType="separate"/>
      </w:r>
      <w:r>
        <w:rPr>
          <w:noProof/>
        </w:rPr>
        <w:t>- 25 -</w:t>
      </w:r>
      <w:r>
        <w:rPr>
          <w:noProof/>
        </w:rPr>
        <w:fldChar w:fldCharType="end"/>
      </w:r>
    </w:p>
    <w:p w14:paraId="03DF7B46" w14:textId="56E0F2F3"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4.1 Inclusion criteria</w:t>
      </w:r>
      <w:r>
        <w:rPr>
          <w:noProof/>
        </w:rPr>
        <w:tab/>
      </w:r>
      <w:r>
        <w:rPr>
          <w:noProof/>
        </w:rPr>
        <w:fldChar w:fldCharType="begin"/>
      </w:r>
      <w:r>
        <w:rPr>
          <w:noProof/>
        </w:rPr>
        <w:instrText xml:space="preserve"> PAGEREF _Toc196547976 \h </w:instrText>
      </w:r>
      <w:r>
        <w:rPr>
          <w:noProof/>
        </w:rPr>
      </w:r>
      <w:r>
        <w:rPr>
          <w:noProof/>
        </w:rPr>
        <w:fldChar w:fldCharType="separate"/>
      </w:r>
      <w:r>
        <w:rPr>
          <w:noProof/>
        </w:rPr>
        <w:t>- 25 -</w:t>
      </w:r>
      <w:r>
        <w:rPr>
          <w:noProof/>
        </w:rPr>
        <w:fldChar w:fldCharType="end"/>
      </w:r>
    </w:p>
    <w:p w14:paraId="2F88E800" w14:textId="24459BD7"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4.2 Exclusion criteria</w:t>
      </w:r>
      <w:r>
        <w:rPr>
          <w:noProof/>
        </w:rPr>
        <w:tab/>
      </w:r>
      <w:r>
        <w:rPr>
          <w:noProof/>
        </w:rPr>
        <w:fldChar w:fldCharType="begin"/>
      </w:r>
      <w:r>
        <w:rPr>
          <w:noProof/>
        </w:rPr>
        <w:instrText xml:space="preserve"> PAGEREF _Toc196547977 \h </w:instrText>
      </w:r>
      <w:r>
        <w:rPr>
          <w:noProof/>
        </w:rPr>
      </w:r>
      <w:r>
        <w:rPr>
          <w:noProof/>
        </w:rPr>
        <w:fldChar w:fldCharType="separate"/>
      </w:r>
      <w:r>
        <w:rPr>
          <w:noProof/>
        </w:rPr>
        <w:t>- 26 -</w:t>
      </w:r>
      <w:r>
        <w:rPr>
          <w:noProof/>
        </w:rPr>
        <w:fldChar w:fldCharType="end"/>
      </w:r>
    </w:p>
    <w:p w14:paraId="3239167C" w14:textId="28D69304"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4.3 Participant withdrawal or termination</w:t>
      </w:r>
      <w:r>
        <w:rPr>
          <w:noProof/>
        </w:rPr>
        <w:tab/>
      </w:r>
      <w:r>
        <w:rPr>
          <w:noProof/>
        </w:rPr>
        <w:fldChar w:fldCharType="begin"/>
      </w:r>
      <w:r>
        <w:rPr>
          <w:noProof/>
        </w:rPr>
        <w:instrText xml:space="preserve"> PAGEREF _Toc196547978 \h </w:instrText>
      </w:r>
      <w:r>
        <w:rPr>
          <w:noProof/>
        </w:rPr>
      </w:r>
      <w:r>
        <w:rPr>
          <w:noProof/>
        </w:rPr>
        <w:fldChar w:fldCharType="separate"/>
      </w:r>
      <w:r>
        <w:rPr>
          <w:noProof/>
        </w:rPr>
        <w:t>- 29 -</w:t>
      </w:r>
      <w:r>
        <w:rPr>
          <w:noProof/>
        </w:rPr>
        <w:fldChar w:fldCharType="end"/>
      </w:r>
    </w:p>
    <w:p w14:paraId="53205C5D" w14:textId="16216004"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4.3.1 Withdrawal criteria</w:t>
      </w:r>
      <w:r>
        <w:rPr>
          <w:noProof/>
        </w:rPr>
        <w:tab/>
      </w:r>
      <w:r>
        <w:rPr>
          <w:noProof/>
        </w:rPr>
        <w:fldChar w:fldCharType="begin"/>
      </w:r>
      <w:r>
        <w:rPr>
          <w:noProof/>
        </w:rPr>
        <w:instrText xml:space="preserve"> PAGEREF _Toc196547979 \h </w:instrText>
      </w:r>
      <w:r>
        <w:rPr>
          <w:noProof/>
        </w:rPr>
      </w:r>
      <w:r>
        <w:rPr>
          <w:noProof/>
        </w:rPr>
        <w:fldChar w:fldCharType="separate"/>
      </w:r>
      <w:r>
        <w:rPr>
          <w:noProof/>
        </w:rPr>
        <w:t>- 29 -</w:t>
      </w:r>
      <w:r>
        <w:rPr>
          <w:noProof/>
        </w:rPr>
        <w:fldChar w:fldCharType="end"/>
      </w:r>
    </w:p>
    <w:p w14:paraId="1B843EA8" w14:textId="0DBD487D"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4.3.2 Termination criteria</w:t>
      </w:r>
      <w:r>
        <w:rPr>
          <w:noProof/>
        </w:rPr>
        <w:tab/>
      </w:r>
      <w:r>
        <w:rPr>
          <w:noProof/>
        </w:rPr>
        <w:fldChar w:fldCharType="begin"/>
      </w:r>
      <w:r>
        <w:rPr>
          <w:noProof/>
        </w:rPr>
        <w:instrText xml:space="preserve"> PAGEREF _Toc196547980 \h </w:instrText>
      </w:r>
      <w:r>
        <w:rPr>
          <w:noProof/>
        </w:rPr>
      </w:r>
      <w:r>
        <w:rPr>
          <w:noProof/>
        </w:rPr>
        <w:fldChar w:fldCharType="separate"/>
      </w:r>
      <w:r>
        <w:rPr>
          <w:noProof/>
        </w:rPr>
        <w:t>- 29 -</w:t>
      </w:r>
      <w:r>
        <w:rPr>
          <w:noProof/>
        </w:rPr>
        <w:fldChar w:fldCharType="end"/>
      </w:r>
    </w:p>
    <w:p w14:paraId="3B646D2D" w14:textId="5FA4F4C8"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4.3.3 Procedures for withdrawal or termination</w:t>
      </w:r>
      <w:r>
        <w:rPr>
          <w:noProof/>
        </w:rPr>
        <w:tab/>
      </w:r>
      <w:r>
        <w:rPr>
          <w:noProof/>
        </w:rPr>
        <w:fldChar w:fldCharType="begin"/>
      </w:r>
      <w:r>
        <w:rPr>
          <w:noProof/>
        </w:rPr>
        <w:instrText xml:space="preserve"> PAGEREF _Toc196547981 \h </w:instrText>
      </w:r>
      <w:r>
        <w:rPr>
          <w:noProof/>
        </w:rPr>
      </w:r>
      <w:r>
        <w:rPr>
          <w:noProof/>
        </w:rPr>
        <w:fldChar w:fldCharType="separate"/>
      </w:r>
      <w:r>
        <w:rPr>
          <w:noProof/>
        </w:rPr>
        <w:t>- 30 -</w:t>
      </w:r>
      <w:r>
        <w:rPr>
          <w:noProof/>
        </w:rPr>
        <w:fldChar w:fldCharType="end"/>
      </w:r>
    </w:p>
    <w:p w14:paraId="16BD2F64" w14:textId="4486F505"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sidRPr="00240330">
        <w:rPr>
          <w:noProof/>
          <w:color w:val="000000" w:themeColor="text1"/>
        </w:rPr>
        <w:t>4.3.4 Handling of lost to follow-up</w:t>
      </w:r>
      <w:r>
        <w:rPr>
          <w:noProof/>
        </w:rPr>
        <w:tab/>
      </w:r>
      <w:r>
        <w:rPr>
          <w:noProof/>
        </w:rPr>
        <w:fldChar w:fldCharType="begin"/>
      </w:r>
      <w:r>
        <w:rPr>
          <w:noProof/>
        </w:rPr>
        <w:instrText xml:space="preserve"> PAGEREF _Toc196547982 \h </w:instrText>
      </w:r>
      <w:r>
        <w:rPr>
          <w:noProof/>
        </w:rPr>
      </w:r>
      <w:r>
        <w:rPr>
          <w:noProof/>
        </w:rPr>
        <w:fldChar w:fldCharType="separate"/>
      </w:r>
      <w:r>
        <w:rPr>
          <w:noProof/>
        </w:rPr>
        <w:t>- 30 -</w:t>
      </w:r>
      <w:r>
        <w:rPr>
          <w:noProof/>
        </w:rPr>
        <w:fldChar w:fldCharType="end"/>
      </w:r>
    </w:p>
    <w:p w14:paraId="72CFD336" w14:textId="302B0AA0" w:rsidR="00EF0680" w:rsidRDefault="00EF0680">
      <w:pPr>
        <w:pStyle w:val="11"/>
        <w:tabs>
          <w:tab w:val="right" w:leader="dot" w:pos="9060"/>
        </w:tabs>
        <w:rPr>
          <w:rFonts w:asciiTheme="minorHAnsi" w:eastAsiaTheme="minorEastAsia" w:hAnsiTheme="minorHAnsi"/>
          <w:b w:val="0"/>
          <w:noProof/>
          <w:kern w:val="2"/>
          <w:sz w:val="21"/>
          <w:szCs w:val="22"/>
          <w14:numSpacing w14:val="default"/>
        </w:rPr>
      </w:pPr>
      <w:r>
        <w:rPr>
          <w:noProof/>
        </w:rPr>
        <w:t>5. procedure and treatment</w:t>
      </w:r>
      <w:r>
        <w:rPr>
          <w:noProof/>
        </w:rPr>
        <w:tab/>
      </w:r>
      <w:r>
        <w:rPr>
          <w:noProof/>
        </w:rPr>
        <w:fldChar w:fldCharType="begin"/>
      </w:r>
      <w:r>
        <w:rPr>
          <w:noProof/>
        </w:rPr>
        <w:instrText xml:space="preserve"> PAGEREF _Toc196547983 \h </w:instrText>
      </w:r>
      <w:r>
        <w:rPr>
          <w:noProof/>
        </w:rPr>
      </w:r>
      <w:r>
        <w:rPr>
          <w:noProof/>
        </w:rPr>
        <w:fldChar w:fldCharType="separate"/>
      </w:r>
      <w:r>
        <w:rPr>
          <w:noProof/>
        </w:rPr>
        <w:t>- 31 -</w:t>
      </w:r>
      <w:r>
        <w:rPr>
          <w:noProof/>
        </w:rPr>
        <w:fldChar w:fldCharType="end"/>
      </w:r>
    </w:p>
    <w:p w14:paraId="29E6AE30" w14:textId="7CB83A68"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5.1 Basic information of study drugs</w:t>
      </w:r>
      <w:r>
        <w:rPr>
          <w:noProof/>
        </w:rPr>
        <w:tab/>
      </w:r>
      <w:r>
        <w:rPr>
          <w:noProof/>
        </w:rPr>
        <w:fldChar w:fldCharType="begin"/>
      </w:r>
      <w:r>
        <w:rPr>
          <w:noProof/>
        </w:rPr>
        <w:instrText xml:space="preserve"> PAGEREF _Toc196547984 \h </w:instrText>
      </w:r>
      <w:r>
        <w:rPr>
          <w:noProof/>
        </w:rPr>
      </w:r>
      <w:r>
        <w:rPr>
          <w:noProof/>
        </w:rPr>
        <w:fldChar w:fldCharType="separate"/>
      </w:r>
      <w:r>
        <w:rPr>
          <w:noProof/>
        </w:rPr>
        <w:t>- 31 -</w:t>
      </w:r>
      <w:r>
        <w:rPr>
          <w:noProof/>
        </w:rPr>
        <w:fldChar w:fldCharType="end"/>
      </w:r>
    </w:p>
    <w:p w14:paraId="11B52CC0" w14:textId="6A01AB15"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5.2 Drug Management</w:t>
      </w:r>
      <w:r>
        <w:rPr>
          <w:noProof/>
        </w:rPr>
        <w:tab/>
      </w:r>
      <w:r>
        <w:rPr>
          <w:noProof/>
        </w:rPr>
        <w:fldChar w:fldCharType="begin"/>
      </w:r>
      <w:r>
        <w:rPr>
          <w:noProof/>
        </w:rPr>
        <w:instrText xml:space="preserve"> PAGEREF _Toc196547985 \h </w:instrText>
      </w:r>
      <w:r>
        <w:rPr>
          <w:noProof/>
        </w:rPr>
      </w:r>
      <w:r>
        <w:rPr>
          <w:noProof/>
        </w:rPr>
        <w:fldChar w:fldCharType="separate"/>
      </w:r>
      <w:r>
        <w:rPr>
          <w:noProof/>
        </w:rPr>
        <w:t>- 31 -</w:t>
      </w:r>
      <w:r>
        <w:rPr>
          <w:noProof/>
        </w:rPr>
        <w:fldChar w:fldCharType="end"/>
      </w:r>
    </w:p>
    <w:p w14:paraId="6E8275E6" w14:textId="5E842EAA"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5.2.1 Administration Schedule</w:t>
      </w:r>
      <w:r>
        <w:rPr>
          <w:noProof/>
        </w:rPr>
        <w:tab/>
      </w:r>
      <w:r>
        <w:rPr>
          <w:noProof/>
        </w:rPr>
        <w:fldChar w:fldCharType="begin"/>
      </w:r>
      <w:r>
        <w:rPr>
          <w:noProof/>
        </w:rPr>
        <w:instrText xml:space="preserve"> PAGEREF _Toc196547986 \h </w:instrText>
      </w:r>
      <w:r>
        <w:rPr>
          <w:noProof/>
        </w:rPr>
      </w:r>
      <w:r>
        <w:rPr>
          <w:noProof/>
        </w:rPr>
        <w:fldChar w:fldCharType="separate"/>
      </w:r>
      <w:r>
        <w:rPr>
          <w:noProof/>
        </w:rPr>
        <w:t>- 32 -</w:t>
      </w:r>
      <w:r>
        <w:rPr>
          <w:noProof/>
        </w:rPr>
        <w:fldChar w:fldCharType="end"/>
      </w:r>
    </w:p>
    <w:p w14:paraId="1DF1E295" w14:textId="49813D54"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5.2.2 Modification of Dose Regimen</w:t>
      </w:r>
      <w:r>
        <w:rPr>
          <w:noProof/>
        </w:rPr>
        <w:tab/>
      </w:r>
      <w:r>
        <w:rPr>
          <w:noProof/>
        </w:rPr>
        <w:fldChar w:fldCharType="begin"/>
      </w:r>
      <w:r>
        <w:rPr>
          <w:noProof/>
        </w:rPr>
        <w:instrText xml:space="preserve"> PAGEREF _Toc196547987 \h </w:instrText>
      </w:r>
      <w:r>
        <w:rPr>
          <w:noProof/>
        </w:rPr>
      </w:r>
      <w:r>
        <w:rPr>
          <w:noProof/>
        </w:rPr>
        <w:fldChar w:fldCharType="separate"/>
      </w:r>
      <w:r>
        <w:rPr>
          <w:noProof/>
        </w:rPr>
        <w:t>- 35 -</w:t>
      </w:r>
      <w:r>
        <w:rPr>
          <w:noProof/>
        </w:rPr>
        <w:fldChar w:fldCharType="end"/>
      </w:r>
    </w:p>
    <w:p w14:paraId="638E2280" w14:textId="5B7D409F"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5.3 Configuration process for drugs</w:t>
      </w:r>
      <w:r>
        <w:rPr>
          <w:noProof/>
        </w:rPr>
        <w:tab/>
      </w:r>
      <w:r>
        <w:rPr>
          <w:noProof/>
        </w:rPr>
        <w:fldChar w:fldCharType="begin"/>
      </w:r>
      <w:r>
        <w:rPr>
          <w:noProof/>
        </w:rPr>
        <w:instrText xml:space="preserve"> PAGEREF _Toc196547988 \h </w:instrText>
      </w:r>
      <w:r>
        <w:rPr>
          <w:noProof/>
        </w:rPr>
      </w:r>
      <w:r>
        <w:rPr>
          <w:noProof/>
        </w:rPr>
        <w:fldChar w:fldCharType="separate"/>
      </w:r>
      <w:r>
        <w:rPr>
          <w:noProof/>
        </w:rPr>
        <w:t>- 46 -</w:t>
      </w:r>
      <w:r>
        <w:rPr>
          <w:noProof/>
        </w:rPr>
        <w:fldChar w:fldCharType="end"/>
      </w:r>
    </w:p>
    <w:p w14:paraId="5ECE876D" w14:textId="76C1BE5B"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5.3.1 Drug Management</w:t>
      </w:r>
      <w:r>
        <w:rPr>
          <w:noProof/>
        </w:rPr>
        <w:tab/>
      </w:r>
      <w:r>
        <w:rPr>
          <w:noProof/>
        </w:rPr>
        <w:fldChar w:fldCharType="begin"/>
      </w:r>
      <w:r>
        <w:rPr>
          <w:noProof/>
        </w:rPr>
        <w:instrText xml:space="preserve"> PAGEREF _Toc196547989 \h </w:instrText>
      </w:r>
      <w:r>
        <w:rPr>
          <w:noProof/>
        </w:rPr>
      </w:r>
      <w:r>
        <w:rPr>
          <w:noProof/>
        </w:rPr>
        <w:fldChar w:fldCharType="separate"/>
      </w:r>
      <w:r>
        <w:rPr>
          <w:noProof/>
        </w:rPr>
        <w:t>- 46 -</w:t>
      </w:r>
      <w:r>
        <w:rPr>
          <w:noProof/>
        </w:rPr>
        <w:fldChar w:fldCharType="end"/>
      </w:r>
    </w:p>
    <w:p w14:paraId="342E5543" w14:textId="700CD016"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5.3.2 Drug Storage</w:t>
      </w:r>
      <w:r>
        <w:rPr>
          <w:noProof/>
        </w:rPr>
        <w:tab/>
      </w:r>
      <w:r>
        <w:rPr>
          <w:noProof/>
        </w:rPr>
        <w:fldChar w:fldCharType="begin"/>
      </w:r>
      <w:r>
        <w:rPr>
          <w:noProof/>
        </w:rPr>
        <w:instrText xml:space="preserve"> PAGEREF _Toc196547990 \h </w:instrText>
      </w:r>
      <w:r>
        <w:rPr>
          <w:noProof/>
        </w:rPr>
      </w:r>
      <w:r>
        <w:rPr>
          <w:noProof/>
        </w:rPr>
        <w:fldChar w:fldCharType="separate"/>
      </w:r>
      <w:r>
        <w:rPr>
          <w:noProof/>
        </w:rPr>
        <w:t>- 46 -</w:t>
      </w:r>
      <w:r>
        <w:rPr>
          <w:noProof/>
        </w:rPr>
        <w:fldChar w:fldCharType="end"/>
      </w:r>
    </w:p>
    <w:p w14:paraId="7089BE0F" w14:textId="78C80B5A"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5.4 Concomitant medications and treatments</w:t>
      </w:r>
      <w:r>
        <w:rPr>
          <w:noProof/>
        </w:rPr>
        <w:tab/>
      </w:r>
      <w:r>
        <w:rPr>
          <w:noProof/>
        </w:rPr>
        <w:fldChar w:fldCharType="begin"/>
      </w:r>
      <w:r>
        <w:rPr>
          <w:noProof/>
        </w:rPr>
        <w:instrText xml:space="preserve"> PAGEREF _Toc196547991 \h </w:instrText>
      </w:r>
      <w:r>
        <w:rPr>
          <w:noProof/>
        </w:rPr>
      </w:r>
      <w:r>
        <w:rPr>
          <w:noProof/>
        </w:rPr>
        <w:fldChar w:fldCharType="separate"/>
      </w:r>
      <w:r>
        <w:rPr>
          <w:noProof/>
        </w:rPr>
        <w:t>- 47 -</w:t>
      </w:r>
      <w:r>
        <w:rPr>
          <w:noProof/>
        </w:rPr>
        <w:fldChar w:fldCharType="end"/>
      </w:r>
    </w:p>
    <w:p w14:paraId="6F4D33AB" w14:textId="1DC1C895"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5.4.1 Start and end time point for concomitant medications and concomitant therapy</w:t>
      </w:r>
      <w:r>
        <w:rPr>
          <w:noProof/>
        </w:rPr>
        <w:tab/>
      </w:r>
      <w:r>
        <w:rPr>
          <w:noProof/>
        </w:rPr>
        <w:fldChar w:fldCharType="begin"/>
      </w:r>
      <w:r>
        <w:rPr>
          <w:noProof/>
        </w:rPr>
        <w:instrText xml:space="preserve"> PAGEREF _Toc196547992 \h </w:instrText>
      </w:r>
      <w:r>
        <w:rPr>
          <w:noProof/>
        </w:rPr>
      </w:r>
      <w:r>
        <w:rPr>
          <w:noProof/>
        </w:rPr>
        <w:fldChar w:fldCharType="separate"/>
      </w:r>
      <w:r>
        <w:rPr>
          <w:noProof/>
        </w:rPr>
        <w:t>- 47 -</w:t>
      </w:r>
      <w:r>
        <w:rPr>
          <w:noProof/>
        </w:rPr>
        <w:fldChar w:fldCharType="end"/>
      </w:r>
    </w:p>
    <w:p w14:paraId="7FC40873" w14:textId="4FA73FA0"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5.4.2 Prohibited concomitant medications</w:t>
      </w:r>
      <w:r>
        <w:rPr>
          <w:noProof/>
        </w:rPr>
        <w:tab/>
      </w:r>
      <w:r>
        <w:rPr>
          <w:noProof/>
        </w:rPr>
        <w:fldChar w:fldCharType="begin"/>
      </w:r>
      <w:r>
        <w:rPr>
          <w:noProof/>
        </w:rPr>
        <w:instrText xml:space="preserve"> PAGEREF _Toc196547993 \h </w:instrText>
      </w:r>
      <w:r>
        <w:rPr>
          <w:noProof/>
        </w:rPr>
      </w:r>
      <w:r>
        <w:rPr>
          <w:noProof/>
        </w:rPr>
        <w:fldChar w:fldCharType="separate"/>
      </w:r>
      <w:r>
        <w:rPr>
          <w:noProof/>
        </w:rPr>
        <w:t>- 48 -</w:t>
      </w:r>
      <w:r>
        <w:rPr>
          <w:noProof/>
        </w:rPr>
        <w:fldChar w:fldCharType="end"/>
      </w:r>
    </w:p>
    <w:p w14:paraId="1E85222F" w14:textId="76BD309C"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 xml:space="preserve">5.4.3 Concomitant medications allowing with </w:t>
      </w:r>
      <w:r w:rsidRPr="00240330">
        <w:rPr>
          <w:rFonts w:cs="Times New Roman"/>
          <w:noProof/>
        </w:rPr>
        <w:t>caution</w:t>
      </w:r>
      <w:r>
        <w:rPr>
          <w:noProof/>
        </w:rPr>
        <w:tab/>
      </w:r>
      <w:r>
        <w:rPr>
          <w:noProof/>
        </w:rPr>
        <w:fldChar w:fldCharType="begin"/>
      </w:r>
      <w:r>
        <w:rPr>
          <w:noProof/>
        </w:rPr>
        <w:instrText xml:space="preserve"> PAGEREF _Toc196547994 \h </w:instrText>
      </w:r>
      <w:r>
        <w:rPr>
          <w:noProof/>
        </w:rPr>
      </w:r>
      <w:r>
        <w:rPr>
          <w:noProof/>
        </w:rPr>
        <w:fldChar w:fldCharType="separate"/>
      </w:r>
      <w:r>
        <w:rPr>
          <w:noProof/>
        </w:rPr>
        <w:t>- 48 -</w:t>
      </w:r>
      <w:r>
        <w:rPr>
          <w:noProof/>
        </w:rPr>
        <w:fldChar w:fldCharType="end"/>
      </w:r>
    </w:p>
    <w:p w14:paraId="747D2908" w14:textId="15270D1F"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lastRenderedPageBreak/>
        <w:t>5.4.4 Permitted concomitant medications and treatments</w:t>
      </w:r>
      <w:r>
        <w:rPr>
          <w:noProof/>
        </w:rPr>
        <w:tab/>
      </w:r>
      <w:r>
        <w:rPr>
          <w:noProof/>
        </w:rPr>
        <w:fldChar w:fldCharType="begin"/>
      </w:r>
      <w:r>
        <w:rPr>
          <w:noProof/>
        </w:rPr>
        <w:instrText xml:space="preserve"> PAGEREF _Toc196547995 \h </w:instrText>
      </w:r>
      <w:r>
        <w:rPr>
          <w:noProof/>
        </w:rPr>
      </w:r>
      <w:r>
        <w:rPr>
          <w:noProof/>
        </w:rPr>
        <w:fldChar w:fldCharType="separate"/>
      </w:r>
      <w:r>
        <w:rPr>
          <w:noProof/>
        </w:rPr>
        <w:t>- 49 -</w:t>
      </w:r>
      <w:r>
        <w:rPr>
          <w:noProof/>
        </w:rPr>
        <w:fldChar w:fldCharType="end"/>
      </w:r>
    </w:p>
    <w:p w14:paraId="009C0E72" w14:textId="2885DD4A"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5.4.5 Radical surgery</w:t>
      </w:r>
      <w:r>
        <w:rPr>
          <w:noProof/>
        </w:rPr>
        <w:tab/>
      </w:r>
      <w:r>
        <w:rPr>
          <w:noProof/>
        </w:rPr>
        <w:fldChar w:fldCharType="begin"/>
      </w:r>
      <w:r>
        <w:rPr>
          <w:noProof/>
        </w:rPr>
        <w:instrText xml:space="preserve"> PAGEREF _Toc196547996 \h </w:instrText>
      </w:r>
      <w:r>
        <w:rPr>
          <w:noProof/>
        </w:rPr>
      </w:r>
      <w:r>
        <w:rPr>
          <w:noProof/>
        </w:rPr>
        <w:fldChar w:fldCharType="separate"/>
      </w:r>
      <w:r>
        <w:rPr>
          <w:noProof/>
        </w:rPr>
        <w:t>- 49 -</w:t>
      </w:r>
      <w:r>
        <w:rPr>
          <w:noProof/>
        </w:rPr>
        <w:fldChar w:fldCharType="end"/>
      </w:r>
    </w:p>
    <w:p w14:paraId="7DE2ECAC" w14:textId="04EFCBB9" w:rsidR="00EF0680" w:rsidRDefault="00EF0680">
      <w:pPr>
        <w:pStyle w:val="11"/>
        <w:tabs>
          <w:tab w:val="right" w:leader="dot" w:pos="9060"/>
        </w:tabs>
        <w:rPr>
          <w:rFonts w:asciiTheme="minorHAnsi" w:eastAsiaTheme="minorEastAsia" w:hAnsiTheme="minorHAnsi"/>
          <w:b w:val="0"/>
          <w:noProof/>
          <w:kern w:val="2"/>
          <w:sz w:val="21"/>
          <w:szCs w:val="22"/>
          <w14:numSpacing w14:val="default"/>
        </w:rPr>
      </w:pPr>
      <w:r>
        <w:rPr>
          <w:noProof/>
        </w:rPr>
        <w:t>6. Trail procedures</w:t>
      </w:r>
      <w:r>
        <w:rPr>
          <w:noProof/>
        </w:rPr>
        <w:tab/>
      </w:r>
      <w:r>
        <w:rPr>
          <w:noProof/>
        </w:rPr>
        <w:fldChar w:fldCharType="begin"/>
      </w:r>
      <w:r>
        <w:rPr>
          <w:noProof/>
        </w:rPr>
        <w:instrText xml:space="preserve"> PAGEREF _Toc196547997 \h </w:instrText>
      </w:r>
      <w:r>
        <w:rPr>
          <w:noProof/>
        </w:rPr>
      </w:r>
      <w:r>
        <w:rPr>
          <w:noProof/>
        </w:rPr>
        <w:fldChar w:fldCharType="separate"/>
      </w:r>
      <w:r>
        <w:rPr>
          <w:noProof/>
        </w:rPr>
        <w:t>- 50 -</w:t>
      </w:r>
      <w:r>
        <w:rPr>
          <w:noProof/>
        </w:rPr>
        <w:fldChar w:fldCharType="end"/>
      </w:r>
    </w:p>
    <w:p w14:paraId="059E8AB6" w14:textId="5956AF79"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6.1 Sample collection</w:t>
      </w:r>
      <w:r>
        <w:rPr>
          <w:noProof/>
        </w:rPr>
        <w:tab/>
      </w:r>
      <w:r>
        <w:rPr>
          <w:noProof/>
        </w:rPr>
        <w:fldChar w:fldCharType="begin"/>
      </w:r>
      <w:r>
        <w:rPr>
          <w:noProof/>
        </w:rPr>
        <w:instrText xml:space="preserve"> PAGEREF _Toc196547998 \h </w:instrText>
      </w:r>
      <w:r>
        <w:rPr>
          <w:noProof/>
        </w:rPr>
      </w:r>
      <w:r>
        <w:rPr>
          <w:noProof/>
        </w:rPr>
        <w:fldChar w:fldCharType="separate"/>
      </w:r>
      <w:r>
        <w:rPr>
          <w:noProof/>
        </w:rPr>
        <w:t>- 50 -</w:t>
      </w:r>
      <w:r>
        <w:rPr>
          <w:noProof/>
        </w:rPr>
        <w:fldChar w:fldCharType="end"/>
      </w:r>
    </w:p>
    <w:p w14:paraId="2E3C0950" w14:textId="484687DC"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6.2 Screening visit</w:t>
      </w:r>
      <w:r>
        <w:rPr>
          <w:noProof/>
        </w:rPr>
        <w:tab/>
      </w:r>
      <w:r>
        <w:rPr>
          <w:noProof/>
        </w:rPr>
        <w:fldChar w:fldCharType="begin"/>
      </w:r>
      <w:r>
        <w:rPr>
          <w:noProof/>
        </w:rPr>
        <w:instrText xml:space="preserve"> PAGEREF _Toc196547999 \h </w:instrText>
      </w:r>
      <w:r>
        <w:rPr>
          <w:noProof/>
        </w:rPr>
      </w:r>
      <w:r>
        <w:rPr>
          <w:noProof/>
        </w:rPr>
        <w:fldChar w:fldCharType="separate"/>
      </w:r>
      <w:r>
        <w:rPr>
          <w:noProof/>
        </w:rPr>
        <w:t>- 51 -</w:t>
      </w:r>
      <w:r>
        <w:rPr>
          <w:noProof/>
        </w:rPr>
        <w:fldChar w:fldCharType="end"/>
      </w:r>
    </w:p>
    <w:p w14:paraId="503E0772" w14:textId="54E253DA"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6.3 Treatment period visits</w:t>
      </w:r>
      <w:r>
        <w:rPr>
          <w:noProof/>
        </w:rPr>
        <w:tab/>
      </w:r>
      <w:r>
        <w:rPr>
          <w:noProof/>
        </w:rPr>
        <w:fldChar w:fldCharType="begin"/>
      </w:r>
      <w:r>
        <w:rPr>
          <w:noProof/>
        </w:rPr>
        <w:instrText xml:space="preserve"> PAGEREF _Toc196548000 \h </w:instrText>
      </w:r>
      <w:r>
        <w:rPr>
          <w:noProof/>
        </w:rPr>
      </w:r>
      <w:r>
        <w:rPr>
          <w:noProof/>
        </w:rPr>
        <w:fldChar w:fldCharType="separate"/>
      </w:r>
      <w:r>
        <w:rPr>
          <w:noProof/>
        </w:rPr>
        <w:t>- 52 -</w:t>
      </w:r>
      <w:r>
        <w:rPr>
          <w:noProof/>
        </w:rPr>
        <w:fldChar w:fldCharType="end"/>
      </w:r>
    </w:p>
    <w:p w14:paraId="76B081E5" w14:textId="6774D9C0"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6.4 End of treatment (EOT) visit</w:t>
      </w:r>
      <w:r>
        <w:rPr>
          <w:noProof/>
        </w:rPr>
        <w:tab/>
      </w:r>
      <w:r>
        <w:rPr>
          <w:noProof/>
        </w:rPr>
        <w:fldChar w:fldCharType="begin"/>
      </w:r>
      <w:r>
        <w:rPr>
          <w:noProof/>
        </w:rPr>
        <w:instrText xml:space="preserve"> PAGEREF _Toc196548001 \h </w:instrText>
      </w:r>
      <w:r>
        <w:rPr>
          <w:noProof/>
        </w:rPr>
      </w:r>
      <w:r>
        <w:rPr>
          <w:noProof/>
        </w:rPr>
        <w:fldChar w:fldCharType="separate"/>
      </w:r>
      <w:r>
        <w:rPr>
          <w:noProof/>
        </w:rPr>
        <w:t>- 54 -</w:t>
      </w:r>
      <w:r>
        <w:rPr>
          <w:noProof/>
        </w:rPr>
        <w:fldChar w:fldCharType="end"/>
      </w:r>
    </w:p>
    <w:p w14:paraId="6C741417" w14:textId="0CFD9476"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6.5 Follow-up Visits</w:t>
      </w:r>
      <w:r>
        <w:rPr>
          <w:noProof/>
        </w:rPr>
        <w:tab/>
      </w:r>
      <w:r>
        <w:rPr>
          <w:noProof/>
        </w:rPr>
        <w:fldChar w:fldCharType="begin"/>
      </w:r>
      <w:r>
        <w:rPr>
          <w:noProof/>
        </w:rPr>
        <w:instrText xml:space="preserve"> PAGEREF _Toc196548002 \h </w:instrText>
      </w:r>
      <w:r>
        <w:rPr>
          <w:noProof/>
        </w:rPr>
      </w:r>
      <w:r>
        <w:rPr>
          <w:noProof/>
        </w:rPr>
        <w:fldChar w:fldCharType="separate"/>
      </w:r>
      <w:r>
        <w:rPr>
          <w:noProof/>
        </w:rPr>
        <w:t>- 54 -</w:t>
      </w:r>
      <w:r>
        <w:rPr>
          <w:noProof/>
        </w:rPr>
        <w:fldChar w:fldCharType="end"/>
      </w:r>
    </w:p>
    <w:p w14:paraId="3C33B7C2" w14:textId="4E997DCB"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6.6 Unscheduled visit</w:t>
      </w:r>
      <w:r>
        <w:rPr>
          <w:noProof/>
        </w:rPr>
        <w:tab/>
      </w:r>
      <w:r>
        <w:rPr>
          <w:noProof/>
        </w:rPr>
        <w:fldChar w:fldCharType="begin"/>
      </w:r>
      <w:r>
        <w:rPr>
          <w:noProof/>
        </w:rPr>
        <w:instrText xml:space="preserve"> PAGEREF _Toc196548003 \h </w:instrText>
      </w:r>
      <w:r>
        <w:rPr>
          <w:noProof/>
        </w:rPr>
      </w:r>
      <w:r>
        <w:rPr>
          <w:noProof/>
        </w:rPr>
        <w:fldChar w:fldCharType="separate"/>
      </w:r>
      <w:r>
        <w:rPr>
          <w:noProof/>
        </w:rPr>
        <w:t>- 55 -</w:t>
      </w:r>
      <w:r>
        <w:rPr>
          <w:noProof/>
        </w:rPr>
        <w:fldChar w:fldCharType="end"/>
      </w:r>
    </w:p>
    <w:p w14:paraId="271D5BA1" w14:textId="31D6F74D" w:rsidR="00EF0680" w:rsidRDefault="00EF0680">
      <w:pPr>
        <w:pStyle w:val="11"/>
        <w:tabs>
          <w:tab w:val="right" w:leader="dot" w:pos="9060"/>
        </w:tabs>
        <w:rPr>
          <w:rFonts w:asciiTheme="minorHAnsi" w:eastAsiaTheme="minorEastAsia" w:hAnsiTheme="minorHAnsi"/>
          <w:b w:val="0"/>
          <w:noProof/>
          <w:kern w:val="2"/>
          <w:sz w:val="21"/>
          <w:szCs w:val="22"/>
          <w14:numSpacing w14:val="default"/>
        </w:rPr>
      </w:pPr>
      <w:r>
        <w:rPr>
          <w:noProof/>
        </w:rPr>
        <w:t>7. Efficacy evaluation</w:t>
      </w:r>
      <w:r>
        <w:rPr>
          <w:noProof/>
        </w:rPr>
        <w:tab/>
      </w:r>
      <w:r>
        <w:rPr>
          <w:noProof/>
        </w:rPr>
        <w:fldChar w:fldCharType="begin"/>
      </w:r>
      <w:r>
        <w:rPr>
          <w:noProof/>
        </w:rPr>
        <w:instrText xml:space="preserve"> PAGEREF _Toc196548004 \h </w:instrText>
      </w:r>
      <w:r>
        <w:rPr>
          <w:noProof/>
        </w:rPr>
      </w:r>
      <w:r>
        <w:rPr>
          <w:noProof/>
        </w:rPr>
        <w:fldChar w:fldCharType="separate"/>
      </w:r>
      <w:r>
        <w:rPr>
          <w:noProof/>
        </w:rPr>
        <w:t>- 55 -</w:t>
      </w:r>
      <w:r>
        <w:rPr>
          <w:noProof/>
        </w:rPr>
        <w:fldChar w:fldCharType="end"/>
      </w:r>
    </w:p>
    <w:p w14:paraId="2C50F446" w14:textId="30AEE54E"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7.1 Evaluation criteria</w:t>
      </w:r>
      <w:r>
        <w:rPr>
          <w:noProof/>
        </w:rPr>
        <w:tab/>
      </w:r>
      <w:r>
        <w:rPr>
          <w:noProof/>
        </w:rPr>
        <w:fldChar w:fldCharType="begin"/>
      </w:r>
      <w:r>
        <w:rPr>
          <w:noProof/>
        </w:rPr>
        <w:instrText xml:space="preserve"> PAGEREF _Toc196548005 \h </w:instrText>
      </w:r>
      <w:r>
        <w:rPr>
          <w:noProof/>
        </w:rPr>
      </w:r>
      <w:r>
        <w:rPr>
          <w:noProof/>
        </w:rPr>
        <w:fldChar w:fldCharType="separate"/>
      </w:r>
      <w:r>
        <w:rPr>
          <w:noProof/>
        </w:rPr>
        <w:t>- 56 -</w:t>
      </w:r>
      <w:r>
        <w:rPr>
          <w:noProof/>
        </w:rPr>
        <w:fldChar w:fldCharType="end"/>
      </w:r>
    </w:p>
    <w:p w14:paraId="38B7F187" w14:textId="492D526B"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7.2 Imaging Evaluation Requirements</w:t>
      </w:r>
      <w:r>
        <w:rPr>
          <w:noProof/>
        </w:rPr>
        <w:tab/>
      </w:r>
      <w:r>
        <w:rPr>
          <w:noProof/>
        </w:rPr>
        <w:fldChar w:fldCharType="begin"/>
      </w:r>
      <w:r>
        <w:rPr>
          <w:noProof/>
        </w:rPr>
        <w:instrText xml:space="preserve"> PAGEREF _Toc196548006 \h </w:instrText>
      </w:r>
      <w:r>
        <w:rPr>
          <w:noProof/>
        </w:rPr>
      </w:r>
      <w:r>
        <w:rPr>
          <w:noProof/>
        </w:rPr>
        <w:fldChar w:fldCharType="separate"/>
      </w:r>
      <w:r>
        <w:rPr>
          <w:noProof/>
        </w:rPr>
        <w:t>- 56 -</w:t>
      </w:r>
      <w:r>
        <w:rPr>
          <w:noProof/>
        </w:rPr>
        <w:fldChar w:fldCharType="end"/>
      </w:r>
    </w:p>
    <w:p w14:paraId="03B9A88E" w14:textId="56E70D10"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7.3 Procedure for confirming PD</w:t>
      </w:r>
      <w:r>
        <w:rPr>
          <w:noProof/>
        </w:rPr>
        <w:tab/>
      </w:r>
      <w:r>
        <w:rPr>
          <w:noProof/>
        </w:rPr>
        <w:fldChar w:fldCharType="begin"/>
      </w:r>
      <w:r>
        <w:rPr>
          <w:noProof/>
        </w:rPr>
        <w:instrText xml:space="preserve"> PAGEREF _Toc196548007 \h </w:instrText>
      </w:r>
      <w:r>
        <w:rPr>
          <w:noProof/>
        </w:rPr>
      </w:r>
      <w:r>
        <w:rPr>
          <w:noProof/>
        </w:rPr>
        <w:fldChar w:fldCharType="separate"/>
      </w:r>
      <w:r>
        <w:rPr>
          <w:noProof/>
        </w:rPr>
        <w:t>- 56 -</w:t>
      </w:r>
      <w:r>
        <w:rPr>
          <w:noProof/>
        </w:rPr>
        <w:fldChar w:fldCharType="end"/>
      </w:r>
    </w:p>
    <w:p w14:paraId="04840144" w14:textId="385C15B3"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7.4 Evaluation indicators</w:t>
      </w:r>
      <w:r>
        <w:rPr>
          <w:noProof/>
        </w:rPr>
        <w:tab/>
      </w:r>
      <w:r>
        <w:rPr>
          <w:noProof/>
        </w:rPr>
        <w:fldChar w:fldCharType="begin"/>
      </w:r>
      <w:r>
        <w:rPr>
          <w:noProof/>
        </w:rPr>
        <w:instrText xml:space="preserve"> PAGEREF _Toc196548008 \h </w:instrText>
      </w:r>
      <w:r>
        <w:rPr>
          <w:noProof/>
        </w:rPr>
      </w:r>
      <w:r>
        <w:rPr>
          <w:noProof/>
        </w:rPr>
        <w:fldChar w:fldCharType="separate"/>
      </w:r>
      <w:r>
        <w:rPr>
          <w:noProof/>
        </w:rPr>
        <w:t>- 57 -</w:t>
      </w:r>
      <w:r>
        <w:rPr>
          <w:noProof/>
        </w:rPr>
        <w:fldChar w:fldCharType="end"/>
      </w:r>
    </w:p>
    <w:p w14:paraId="57315196" w14:textId="421E18A2"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7.5 Patient-reported outcomes (PRO)</w:t>
      </w:r>
      <w:r>
        <w:rPr>
          <w:noProof/>
        </w:rPr>
        <w:tab/>
      </w:r>
      <w:r>
        <w:rPr>
          <w:noProof/>
        </w:rPr>
        <w:fldChar w:fldCharType="begin"/>
      </w:r>
      <w:r>
        <w:rPr>
          <w:noProof/>
        </w:rPr>
        <w:instrText xml:space="preserve"> PAGEREF _Toc196548009 \h </w:instrText>
      </w:r>
      <w:r>
        <w:rPr>
          <w:noProof/>
        </w:rPr>
      </w:r>
      <w:r>
        <w:rPr>
          <w:noProof/>
        </w:rPr>
        <w:fldChar w:fldCharType="separate"/>
      </w:r>
      <w:r>
        <w:rPr>
          <w:noProof/>
        </w:rPr>
        <w:t>- 57 -</w:t>
      </w:r>
      <w:r>
        <w:rPr>
          <w:noProof/>
        </w:rPr>
        <w:fldChar w:fldCharType="end"/>
      </w:r>
    </w:p>
    <w:p w14:paraId="1A13D710" w14:textId="0224A257" w:rsidR="00EF0680" w:rsidRDefault="00EF0680">
      <w:pPr>
        <w:pStyle w:val="11"/>
        <w:tabs>
          <w:tab w:val="right" w:leader="dot" w:pos="9060"/>
        </w:tabs>
        <w:rPr>
          <w:rFonts w:asciiTheme="minorHAnsi" w:eastAsiaTheme="minorEastAsia" w:hAnsiTheme="minorHAnsi"/>
          <w:b w:val="0"/>
          <w:noProof/>
          <w:kern w:val="2"/>
          <w:sz w:val="21"/>
          <w:szCs w:val="22"/>
          <w14:numSpacing w14:val="default"/>
        </w:rPr>
      </w:pPr>
      <w:r>
        <w:rPr>
          <w:noProof/>
        </w:rPr>
        <w:t>8. Safety evaluation</w:t>
      </w:r>
      <w:r>
        <w:rPr>
          <w:noProof/>
        </w:rPr>
        <w:tab/>
      </w:r>
      <w:r>
        <w:rPr>
          <w:noProof/>
        </w:rPr>
        <w:fldChar w:fldCharType="begin"/>
      </w:r>
      <w:r>
        <w:rPr>
          <w:noProof/>
        </w:rPr>
        <w:instrText xml:space="preserve"> PAGEREF _Toc196548010 \h </w:instrText>
      </w:r>
      <w:r>
        <w:rPr>
          <w:noProof/>
        </w:rPr>
      </w:r>
      <w:r>
        <w:rPr>
          <w:noProof/>
        </w:rPr>
        <w:fldChar w:fldCharType="separate"/>
      </w:r>
      <w:r>
        <w:rPr>
          <w:noProof/>
        </w:rPr>
        <w:t>- 58 -</w:t>
      </w:r>
      <w:r>
        <w:rPr>
          <w:noProof/>
        </w:rPr>
        <w:fldChar w:fldCharType="end"/>
      </w:r>
    </w:p>
    <w:p w14:paraId="062E460D" w14:textId="5F394244"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8.1 Adverse events</w:t>
      </w:r>
      <w:r>
        <w:rPr>
          <w:noProof/>
        </w:rPr>
        <w:tab/>
      </w:r>
      <w:r>
        <w:rPr>
          <w:noProof/>
        </w:rPr>
        <w:fldChar w:fldCharType="begin"/>
      </w:r>
      <w:r>
        <w:rPr>
          <w:noProof/>
        </w:rPr>
        <w:instrText xml:space="preserve"> PAGEREF _Toc196548011 \h </w:instrText>
      </w:r>
      <w:r>
        <w:rPr>
          <w:noProof/>
        </w:rPr>
      </w:r>
      <w:r>
        <w:rPr>
          <w:noProof/>
        </w:rPr>
        <w:fldChar w:fldCharType="separate"/>
      </w:r>
      <w:r>
        <w:rPr>
          <w:noProof/>
        </w:rPr>
        <w:t>- 58 -</w:t>
      </w:r>
      <w:r>
        <w:rPr>
          <w:noProof/>
        </w:rPr>
        <w:fldChar w:fldCharType="end"/>
      </w:r>
    </w:p>
    <w:p w14:paraId="38420DE8" w14:textId="2734E874"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8.2 Evaluation of Adverse Events</w:t>
      </w:r>
      <w:r>
        <w:rPr>
          <w:noProof/>
        </w:rPr>
        <w:tab/>
      </w:r>
      <w:r>
        <w:rPr>
          <w:noProof/>
        </w:rPr>
        <w:fldChar w:fldCharType="begin"/>
      </w:r>
      <w:r>
        <w:rPr>
          <w:noProof/>
        </w:rPr>
        <w:instrText xml:space="preserve"> PAGEREF _Toc196548012 \h </w:instrText>
      </w:r>
      <w:r>
        <w:rPr>
          <w:noProof/>
        </w:rPr>
      </w:r>
      <w:r>
        <w:rPr>
          <w:noProof/>
        </w:rPr>
        <w:fldChar w:fldCharType="separate"/>
      </w:r>
      <w:r>
        <w:rPr>
          <w:noProof/>
        </w:rPr>
        <w:t>- 58 -</w:t>
      </w:r>
      <w:r>
        <w:rPr>
          <w:noProof/>
        </w:rPr>
        <w:fldChar w:fldCharType="end"/>
      </w:r>
    </w:p>
    <w:p w14:paraId="591C4510" w14:textId="5D91D618"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8.3 Recording of Adverse Events</w:t>
      </w:r>
      <w:r>
        <w:rPr>
          <w:noProof/>
        </w:rPr>
        <w:tab/>
      </w:r>
      <w:r>
        <w:rPr>
          <w:noProof/>
        </w:rPr>
        <w:fldChar w:fldCharType="begin"/>
      </w:r>
      <w:r>
        <w:rPr>
          <w:noProof/>
        </w:rPr>
        <w:instrText xml:space="preserve"> PAGEREF _Toc196548013 \h </w:instrText>
      </w:r>
      <w:r>
        <w:rPr>
          <w:noProof/>
        </w:rPr>
      </w:r>
      <w:r>
        <w:rPr>
          <w:noProof/>
        </w:rPr>
        <w:fldChar w:fldCharType="separate"/>
      </w:r>
      <w:r>
        <w:rPr>
          <w:noProof/>
        </w:rPr>
        <w:t>- 58 -</w:t>
      </w:r>
      <w:r>
        <w:rPr>
          <w:noProof/>
        </w:rPr>
        <w:fldChar w:fldCharType="end"/>
      </w:r>
    </w:p>
    <w:p w14:paraId="2C92511A" w14:textId="2DDA0BDF"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8.4 Follow-up of Adverse Events</w:t>
      </w:r>
      <w:r>
        <w:rPr>
          <w:noProof/>
        </w:rPr>
        <w:tab/>
      </w:r>
      <w:r>
        <w:rPr>
          <w:noProof/>
        </w:rPr>
        <w:fldChar w:fldCharType="begin"/>
      </w:r>
      <w:r>
        <w:rPr>
          <w:noProof/>
        </w:rPr>
        <w:instrText xml:space="preserve"> PAGEREF _Toc196548014 \h </w:instrText>
      </w:r>
      <w:r>
        <w:rPr>
          <w:noProof/>
        </w:rPr>
      </w:r>
      <w:r>
        <w:rPr>
          <w:noProof/>
        </w:rPr>
        <w:fldChar w:fldCharType="separate"/>
      </w:r>
      <w:r>
        <w:rPr>
          <w:noProof/>
        </w:rPr>
        <w:t>- 61 -</w:t>
      </w:r>
      <w:r>
        <w:rPr>
          <w:noProof/>
        </w:rPr>
        <w:fldChar w:fldCharType="end"/>
      </w:r>
    </w:p>
    <w:p w14:paraId="043E2791" w14:textId="07AAFC47"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8.5 Causality to Study Drugs</w:t>
      </w:r>
      <w:r>
        <w:rPr>
          <w:noProof/>
        </w:rPr>
        <w:tab/>
      </w:r>
      <w:r>
        <w:rPr>
          <w:noProof/>
        </w:rPr>
        <w:fldChar w:fldCharType="begin"/>
      </w:r>
      <w:r>
        <w:rPr>
          <w:noProof/>
        </w:rPr>
        <w:instrText xml:space="preserve"> PAGEREF _Toc196548015 \h </w:instrText>
      </w:r>
      <w:r>
        <w:rPr>
          <w:noProof/>
        </w:rPr>
      </w:r>
      <w:r>
        <w:rPr>
          <w:noProof/>
        </w:rPr>
        <w:fldChar w:fldCharType="separate"/>
      </w:r>
      <w:r>
        <w:rPr>
          <w:noProof/>
        </w:rPr>
        <w:t>- 62 -</w:t>
      </w:r>
      <w:r>
        <w:rPr>
          <w:noProof/>
        </w:rPr>
        <w:fldChar w:fldCharType="end"/>
      </w:r>
    </w:p>
    <w:p w14:paraId="5F80A656" w14:textId="2E9C81AE"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8.6 Serious adverse event</w:t>
      </w:r>
      <w:r>
        <w:rPr>
          <w:noProof/>
        </w:rPr>
        <w:tab/>
      </w:r>
      <w:r>
        <w:rPr>
          <w:noProof/>
        </w:rPr>
        <w:fldChar w:fldCharType="begin"/>
      </w:r>
      <w:r>
        <w:rPr>
          <w:noProof/>
        </w:rPr>
        <w:instrText xml:space="preserve"> PAGEREF _Toc196548016 \h </w:instrText>
      </w:r>
      <w:r>
        <w:rPr>
          <w:noProof/>
        </w:rPr>
      </w:r>
      <w:r>
        <w:rPr>
          <w:noProof/>
        </w:rPr>
        <w:fldChar w:fldCharType="separate"/>
      </w:r>
      <w:r>
        <w:rPr>
          <w:noProof/>
        </w:rPr>
        <w:t>- 62 -</w:t>
      </w:r>
      <w:r>
        <w:rPr>
          <w:noProof/>
        </w:rPr>
        <w:fldChar w:fldCharType="end"/>
      </w:r>
    </w:p>
    <w:p w14:paraId="657A2814" w14:textId="2031E0E9"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8.7 Management of SAEs</w:t>
      </w:r>
      <w:r>
        <w:rPr>
          <w:noProof/>
        </w:rPr>
        <w:tab/>
      </w:r>
      <w:r>
        <w:rPr>
          <w:noProof/>
        </w:rPr>
        <w:fldChar w:fldCharType="begin"/>
      </w:r>
      <w:r>
        <w:rPr>
          <w:noProof/>
        </w:rPr>
        <w:instrText xml:space="preserve"> PAGEREF _Toc196548017 \h </w:instrText>
      </w:r>
      <w:r>
        <w:rPr>
          <w:noProof/>
        </w:rPr>
      </w:r>
      <w:r>
        <w:rPr>
          <w:noProof/>
        </w:rPr>
        <w:fldChar w:fldCharType="separate"/>
      </w:r>
      <w:r>
        <w:rPr>
          <w:noProof/>
        </w:rPr>
        <w:t>- 63 -</w:t>
      </w:r>
      <w:r>
        <w:rPr>
          <w:noProof/>
        </w:rPr>
        <w:fldChar w:fldCharType="end"/>
      </w:r>
    </w:p>
    <w:p w14:paraId="1A606441" w14:textId="46691C49" w:rsidR="00EF0680" w:rsidRDefault="00EF0680">
      <w:pPr>
        <w:pStyle w:val="11"/>
        <w:tabs>
          <w:tab w:val="right" w:leader="dot" w:pos="9060"/>
        </w:tabs>
        <w:rPr>
          <w:rFonts w:asciiTheme="minorHAnsi" w:eastAsiaTheme="minorEastAsia" w:hAnsiTheme="minorHAnsi"/>
          <w:b w:val="0"/>
          <w:noProof/>
          <w:kern w:val="2"/>
          <w:sz w:val="21"/>
          <w:szCs w:val="22"/>
          <w14:numSpacing w14:val="default"/>
        </w:rPr>
      </w:pPr>
      <w:r>
        <w:rPr>
          <w:noProof/>
        </w:rPr>
        <w:t>9. Source Documents and Obtaining Source Data/Documents</w:t>
      </w:r>
      <w:r>
        <w:rPr>
          <w:noProof/>
        </w:rPr>
        <w:tab/>
      </w:r>
      <w:r>
        <w:rPr>
          <w:noProof/>
        </w:rPr>
        <w:fldChar w:fldCharType="begin"/>
      </w:r>
      <w:r>
        <w:rPr>
          <w:noProof/>
        </w:rPr>
        <w:instrText xml:space="preserve"> PAGEREF _Toc196548018 \h </w:instrText>
      </w:r>
      <w:r>
        <w:rPr>
          <w:noProof/>
        </w:rPr>
      </w:r>
      <w:r>
        <w:rPr>
          <w:noProof/>
        </w:rPr>
        <w:fldChar w:fldCharType="separate"/>
      </w:r>
      <w:r>
        <w:rPr>
          <w:noProof/>
        </w:rPr>
        <w:t>- 63 -</w:t>
      </w:r>
      <w:r>
        <w:rPr>
          <w:noProof/>
        </w:rPr>
        <w:fldChar w:fldCharType="end"/>
      </w:r>
    </w:p>
    <w:p w14:paraId="7EF2D50C" w14:textId="4385FB38" w:rsidR="00EF0680" w:rsidRDefault="00EF0680">
      <w:pPr>
        <w:pStyle w:val="11"/>
        <w:tabs>
          <w:tab w:val="right" w:leader="dot" w:pos="9060"/>
        </w:tabs>
        <w:rPr>
          <w:rFonts w:asciiTheme="minorHAnsi" w:eastAsiaTheme="minorEastAsia" w:hAnsiTheme="minorHAnsi"/>
          <w:b w:val="0"/>
          <w:noProof/>
          <w:kern w:val="2"/>
          <w:sz w:val="21"/>
          <w:szCs w:val="22"/>
          <w14:numSpacing w14:val="default"/>
        </w:rPr>
      </w:pPr>
      <w:r>
        <w:rPr>
          <w:noProof/>
        </w:rPr>
        <w:t>10. Quality Control Assurance</w:t>
      </w:r>
      <w:r>
        <w:rPr>
          <w:noProof/>
        </w:rPr>
        <w:tab/>
      </w:r>
      <w:r>
        <w:rPr>
          <w:noProof/>
        </w:rPr>
        <w:fldChar w:fldCharType="begin"/>
      </w:r>
      <w:r>
        <w:rPr>
          <w:noProof/>
        </w:rPr>
        <w:instrText xml:space="preserve"> PAGEREF _Toc196548019 \h </w:instrText>
      </w:r>
      <w:r>
        <w:rPr>
          <w:noProof/>
        </w:rPr>
      </w:r>
      <w:r>
        <w:rPr>
          <w:noProof/>
        </w:rPr>
        <w:fldChar w:fldCharType="separate"/>
      </w:r>
      <w:r>
        <w:rPr>
          <w:noProof/>
        </w:rPr>
        <w:t>- 64 -</w:t>
      </w:r>
      <w:r>
        <w:rPr>
          <w:noProof/>
        </w:rPr>
        <w:fldChar w:fldCharType="end"/>
      </w:r>
    </w:p>
    <w:p w14:paraId="44E4197B" w14:textId="4D804A3C"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10.1 Quality assurance</w:t>
      </w:r>
      <w:r>
        <w:rPr>
          <w:noProof/>
        </w:rPr>
        <w:tab/>
      </w:r>
      <w:r>
        <w:rPr>
          <w:noProof/>
        </w:rPr>
        <w:fldChar w:fldCharType="begin"/>
      </w:r>
      <w:r>
        <w:rPr>
          <w:noProof/>
        </w:rPr>
        <w:instrText xml:space="preserve"> PAGEREF _Toc196548020 \h </w:instrText>
      </w:r>
      <w:r>
        <w:rPr>
          <w:noProof/>
        </w:rPr>
      </w:r>
      <w:r>
        <w:rPr>
          <w:noProof/>
        </w:rPr>
        <w:fldChar w:fldCharType="separate"/>
      </w:r>
      <w:r>
        <w:rPr>
          <w:noProof/>
        </w:rPr>
        <w:t>- 64 -</w:t>
      </w:r>
      <w:r>
        <w:rPr>
          <w:noProof/>
        </w:rPr>
        <w:fldChar w:fldCharType="end"/>
      </w:r>
    </w:p>
    <w:p w14:paraId="7DB261B7" w14:textId="78CFF790"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10.2 Quality assurance of data transfer, calculation and reporting process</w:t>
      </w:r>
      <w:r>
        <w:rPr>
          <w:noProof/>
        </w:rPr>
        <w:tab/>
      </w:r>
      <w:r>
        <w:rPr>
          <w:noProof/>
        </w:rPr>
        <w:fldChar w:fldCharType="begin"/>
      </w:r>
      <w:r>
        <w:rPr>
          <w:noProof/>
        </w:rPr>
        <w:instrText xml:space="preserve"> PAGEREF _Toc196548021 \h </w:instrText>
      </w:r>
      <w:r>
        <w:rPr>
          <w:noProof/>
        </w:rPr>
      </w:r>
      <w:r>
        <w:rPr>
          <w:noProof/>
        </w:rPr>
        <w:fldChar w:fldCharType="separate"/>
      </w:r>
      <w:r>
        <w:rPr>
          <w:noProof/>
        </w:rPr>
        <w:t>- 64 -</w:t>
      </w:r>
      <w:r>
        <w:rPr>
          <w:noProof/>
        </w:rPr>
        <w:fldChar w:fldCharType="end"/>
      </w:r>
    </w:p>
    <w:p w14:paraId="3F5BA81C" w14:textId="4335D031" w:rsidR="00EF0680" w:rsidRDefault="00EF0680">
      <w:pPr>
        <w:pStyle w:val="11"/>
        <w:tabs>
          <w:tab w:val="right" w:leader="dot" w:pos="9060"/>
        </w:tabs>
        <w:rPr>
          <w:rFonts w:asciiTheme="minorHAnsi" w:eastAsiaTheme="minorEastAsia" w:hAnsiTheme="minorHAnsi"/>
          <w:b w:val="0"/>
          <w:noProof/>
          <w:kern w:val="2"/>
          <w:sz w:val="21"/>
          <w:szCs w:val="22"/>
          <w14:numSpacing w14:val="default"/>
        </w:rPr>
      </w:pPr>
      <w:r>
        <w:rPr>
          <w:noProof/>
        </w:rPr>
        <w:t>11. Data Management</w:t>
      </w:r>
      <w:r>
        <w:rPr>
          <w:noProof/>
        </w:rPr>
        <w:tab/>
      </w:r>
      <w:r>
        <w:rPr>
          <w:noProof/>
        </w:rPr>
        <w:fldChar w:fldCharType="begin"/>
      </w:r>
      <w:r>
        <w:rPr>
          <w:noProof/>
        </w:rPr>
        <w:instrText xml:space="preserve"> PAGEREF _Toc196548022 \h </w:instrText>
      </w:r>
      <w:r>
        <w:rPr>
          <w:noProof/>
        </w:rPr>
      </w:r>
      <w:r>
        <w:rPr>
          <w:noProof/>
        </w:rPr>
        <w:fldChar w:fldCharType="separate"/>
      </w:r>
      <w:r>
        <w:rPr>
          <w:noProof/>
        </w:rPr>
        <w:t>- 65 -</w:t>
      </w:r>
      <w:r>
        <w:rPr>
          <w:noProof/>
        </w:rPr>
        <w:fldChar w:fldCharType="end"/>
      </w:r>
    </w:p>
    <w:p w14:paraId="3A4D131D" w14:textId="1DDCC16B"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11.1 Data Entry</w:t>
      </w:r>
      <w:r>
        <w:rPr>
          <w:noProof/>
        </w:rPr>
        <w:tab/>
      </w:r>
      <w:r>
        <w:rPr>
          <w:noProof/>
        </w:rPr>
        <w:fldChar w:fldCharType="begin"/>
      </w:r>
      <w:r>
        <w:rPr>
          <w:noProof/>
        </w:rPr>
        <w:instrText xml:space="preserve"> PAGEREF _Toc196548023 \h </w:instrText>
      </w:r>
      <w:r>
        <w:rPr>
          <w:noProof/>
        </w:rPr>
      </w:r>
      <w:r>
        <w:rPr>
          <w:noProof/>
        </w:rPr>
        <w:fldChar w:fldCharType="separate"/>
      </w:r>
      <w:r>
        <w:rPr>
          <w:noProof/>
        </w:rPr>
        <w:t>- 65 -</w:t>
      </w:r>
      <w:r>
        <w:rPr>
          <w:noProof/>
        </w:rPr>
        <w:fldChar w:fldCharType="end"/>
      </w:r>
    </w:p>
    <w:p w14:paraId="39E30A50" w14:textId="294DB9F1" w:rsidR="00EF0680" w:rsidRDefault="00EF0680">
      <w:pPr>
        <w:pStyle w:val="11"/>
        <w:tabs>
          <w:tab w:val="right" w:leader="dot" w:pos="9060"/>
        </w:tabs>
        <w:rPr>
          <w:rFonts w:asciiTheme="minorHAnsi" w:eastAsiaTheme="minorEastAsia" w:hAnsiTheme="minorHAnsi"/>
          <w:b w:val="0"/>
          <w:noProof/>
          <w:kern w:val="2"/>
          <w:sz w:val="21"/>
          <w:szCs w:val="22"/>
          <w14:numSpacing w14:val="default"/>
        </w:rPr>
      </w:pPr>
      <w:r>
        <w:rPr>
          <w:noProof/>
        </w:rPr>
        <w:t>12. Statistical analysis</w:t>
      </w:r>
      <w:r>
        <w:rPr>
          <w:noProof/>
        </w:rPr>
        <w:tab/>
      </w:r>
      <w:r>
        <w:rPr>
          <w:noProof/>
        </w:rPr>
        <w:fldChar w:fldCharType="begin"/>
      </w:r>
      <w:r>
        <w:rPr>
          <w:noProof/>
        </w:rPr>
        <w:instrText xml:space="preserve"> PAGEREF _Toc196548024 \h </w:instrText>
      </w:r>
      <w:r>
        <w:rPr>
          <w:noProof/>
        </w:rPr>
      </w:r>
      <w:r>
        <w:rPr>
          <w:noProof/>
        </w:rPr>
        <w:fldChar w:fldCharType="separate"/>
      </w:r>
      <w:r>
        <w:rPr>
          <w:noProof/>
        </w:rPr>
        <w:t>- 67 -</w:t>
      </w:r>
      <w:r>
        <w:rPr>
          <w:noProof/>
        </w:rPr>
        <w:fldChar w:fldCharType="end"/>
      </w:r>
    </w:p>
    <w:p w14:paraId="560F838A" w14:textId="1467A9D1"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12.1 Analysis Datasets</w:t>
      </w:r>
      <w:r>
        <w:rPr>
          <w:noProof/>
        </w:rPr>
        <w:tab/>
      </w:r>
      <w:r>
        <w:rPr>
          <w:noProof/>
        </w:rPr>
        <w:fldChar w:fldCharType="begin"/>
      </w:r>
      <w:r>
        <w:rPr>
          <w:noProof/>
        </w:rPr>
        <w:instrText xml:space="preserve"> PAGEREF _Toc196548025 \h </w:instrText>
      </w:r>
      <w:r>
        <w:rPr>
          <w:noProof/>
        </w:rPr>
      </w:r>
      <w:r>
        <w:rPr>
          <w:noProof/>
        </w:rPr>
        <w:fldChar w:fldCharType="separate"/>
      </w:r>
      <w:r>
        <w:rPr>
          <w:noProof/>
        </w:rPr>
        <w:t>- 67 -</w:t>
      </w:r>
      <w:r>
        <w:rPr>
          <w:noProof/>
        </w:rPr>
        <w:fldChar w:fldCharType="end"/>
      </w:r>
    </w:p>
    <w:p w14:paraId="2C36353A" w14:textId="296227AD"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12.2 Statistical Analysis Plan</w:t>
      </w:r>
      <w:r>
        <w:rPr>
          <w:noProof/>
        </w:rPr>
        <w:tab/>
      </w:r>
      <w:r>
        <w:rPr>
          <w:noProof/>
        </w:rPr>
        <w:fldChar w:fldCharType="begin"/>
      </w:r>
      <w:r>
        <w:rPr>
          <w:noProof/>
        </w:rPr>
        <w:instrText xml:space="preserve"> PAGEREF _Toc196548026 \h </w:instrText>
      </w:r>
      <w:r>
        <w:rPr>
          <w:noProof/>
        </w:rPr>
      </w:r>
      <w:r>
        <w:rPr>
          <w:noProof/>
        </w:rPr>
        <w:fldChar w:fldCharType="separate"/>
      </w:r>
      <w:r>
        <w:rPr>
          <w:noProof/>
        </w:rPr>
        <w:t>- 67 -</w:t>
      </w:r>
      <w:r>
        <w:rPr>
          <w:noProof/>
        </w:rPr>
        <w:fldChar w:fldCharType="end"/>
      </w:r>
    </w:p>
    <w:p w14:paraId="36A4C1B8" w14:textId="42F93299"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12.2.1 General Principle</w:t>
      </w:r>
      <w:r>
        <w:rPr>
          <w:noProof/>
        </w:rPr>
        <w:tab/>
      </w:r>
      <w:r>
        <w:rPr>
          <w:noProof/>
        </w:rPr>
        <w:fldChar w:fldCharType="begin"/>
      </w:r>
      <w:r>
        <w:rPr>
          <w:noProof/>
        </w:rPr>
        <w:instrText xml:space="preserve"> PAGEREF _Toc196548027 \h </w:instrText>
      </w:r>
      <w:r>
        <w:rPr>
          <w:noProof/>
        </w:rPr>
      </w:r>
      <w:r>
        <w:rPr>
          <w:noProof/>
        </w:rPr>
        <w:fldChar w:fldCharType="separate"/>
      </w:r>
      <w:r>
        <w:rPr>
          <w:noProof/>
        </w:rPr>
        <w:t>- 67 -</w:t>
      </w:r>
      <w:r>
        <w:rPr>
          <w:noProof/>
        </w:rPr>
        <w:fldChar w:fldCharType="end"/>
      </w:r>
    </w:p>
    <w:p w14:paraId="69A88CE7" w14:textId="25358287"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12.2.2 Test level</w:t>
      </w:r>
      <w:r>
        <w:rPr>
          <w:noProof/>
        </w:rPr>
        <w:tab/>
      </w:r>
      <w:r>
        <w:rPr>
          <w:noProof/>
        </w:rPr>
        <w:fldChar w:fldCharType="begin"/>
      </w:r>
      <w:r>
        <w:rPr>
          <w:noProof/>
        </w:rPr>
        <w:instrText xml:space="preserve"> PAGEREF _Toc196548028 \h </w:instrText>
      </w:r>
      <w:r>
        <w:rPr>
          <w:noProof/>
        </w:rPr>
      </w:r>
      <w:r>
        <w:rPr>
          <w:noProof/>
        </w:rPr>
        <w:fldChar w:fldCharType="separate"/>
      </w:r>
      <w:r>
        <w:rPr>
          <w:noProof/>
        </w:rPr>
        <w:t>- 68 -</w:t>
      </w:r>
      <w:r>
        <w:rPr>
          <w:noProof/>
        </w:rPr>
        <w:fldChar w:fldCharType="end"/>
      </w:r>
    </w:p>
    <w:p w14:paraId="02326AB0" w14:textId="1281A44C"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12.2.3 Hypothesis test</w:t>
      </w:r>
      <w:r>
        <w:rPr>
          <w:noProof/>
        </w:rPr>
        <w:tab/>
      </w:r>
      <w:r>
        <w:rPr>
          <w:noProof/>
        </w:rPr>
        <w:fldChar w:fldCharType="begin"/>
      </w:r>
      <w:r>
        <w:rPr>
          <w:noProof/>
        </w:rPr>
        <w:instrText xml:space="preserve"> PAGEREF _Toc196548029 \h </w:instrText>
      </w:r>
      <w:r>
        <w:rPr>
          <w:noProof/>
        </w:rPr>
      </w:r>
      <w:r>
        <w:rPr>
          <w:noProof/>
        </w:rPr>
        <w:fldChar w:fldCharType="separate"/>
      </w:r>
      <w:r>
        <w:rPr>
          <w:noProof/>
        </w:rPr>
        <w:t>- 68 -</w:t>
      </w:r>
      <w:r>
        <w:rPr>
          <w:noProof/>
        </w:rPr>
        <w:fldChar w:fldCharType="end"/>
      </w:r>
    </w:p>
    <w:p w14:paraId="6333A393" w14:textId="220C662A"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12.3 Study Population</w:t>
      </w:r>
      <w:r>
        <w:rPr>
          <w:noProof/>
        </w:rPr>
        <w:tab/>
      </w:r>
      <w:r>
        <w:rPr>
          <w:noProof/>
        </w:rPr>
        <w:fldChar w:fldCharType="begin"/>
      </w:r>
      <w:r>
        <w:rPr>
          <w:noProof/>
        </w:rPr>
        <w:instrText xml:space="preserve"> PAGEREF _Toc196548030 \h </w:instrText>
      </w:r>
      <w:r>
        <w:rPr>
          <w:noProof/>
        </w:rPr>
      </w:r>
      <w:r>
        <w:rPr>
          <w:noProof/>
        </w:rPr>
        <w:fldChar w:fldCharType="separate"/>
      </w:r>
      <w:r>
        <w:rPr>
          <w:noProof/>
        </w:rPr>
        <w:t>- 68 -</w:t>
      </w:r>
      <w:r>
        <w:rPr>
          <w:noProof/>
        </w:rPr>
        <w:fldChar w:fldCharType="end"/>
      </w:r>
    </w:p>
    <w:p w14:paraId="4F171CBD" w14:textId="41824650"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lastRenderedPageBreak/>
        <w:t>12.3.1 Subject disposition</w:t>
      </w:r>
      <w:r>
        <w:rPr>
          <w:noProof/>
        </w:rPr>
        <w:tab/>
      </w:r>
      <w:r>
        <w:rPr>
          <w:noProof/>
        </w:rPr>
        <w:fldChar w:fldCharType="begin"/>
      </w:r>
      <w:r>
        <w:rPr>
          <w:noProof/>
        </w:rPr>
        <w:instrText xml:space="preserve"> PAGEREF _Toc196548031 \h </w:instrText>
      </w:r>
      <w:r>
        <w:rPr>
          <w:noProof/>
        </w:rPr>
      </w:r>
      <w:r>
        <w:rPr>
          <w:noProof/>
        </w:rPr>
        <w:fldChar w:fldCharType="separate"/>
      </w:r>
      <w:r>
        <w:rPr>
          <w:noProof/>
        </w:rPr>
        <w:t>- 68 -</w:t>
      </w:r>
      <w:r>
        <w:rPr>
          <w:noProof/>
        </w:rPr>
        <w:fldChar w:fldCharType="end"/>
      </w:r>
    </w:p>
    <w:p w14:paraId="44B66370" w14:textId="77FBFA17"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12.3.2 Protocol violations</w:t>
      </w:r>
      <w:r>
        <w:rPr>
          <w:noProof/>
        </w:rPr>
        <w:tab/>
      </w:r>
      <w:r>
        <w:rPr>
          <w:noProof/>
        </w:rPr>
        <w:fldChar w:fldCharType="begin"/>
      </w:r>
      <w:r>
        <w:rPr>
          <w:noProof/>
        </w:rPr>
        <w:instrText xml:space="preserve"> PAGEREF _Toc196548032 \h </w:instrText>
      </w:r>
      <w:r>
        <w:rPr>
          <w:noProof/>
        </w:rPr>
      </w:r>
      <w:r>
        <w:rPr>
          <w:noProof/>
        </w:rPr>
        <w:fldChar w:fldCharType="separate"/>
      </w:r>
      <w:r>
        <w:rPr>
          <w:noProof/>
        </w:rPr>
        <w:t>- 69 -</w:t>
      </w:r>
      <w:r>
        <w:rPr>
          <w:noProof/>
        </w:rPr>
        <w:fldChar w:fldCharType="end"/>
      </w:r>
    </w:p>
    <w:p w14:paraId="2411A54B" w14:textId="219988E8"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12.3.3 Demographics and Baseline Characteristics</w:t>
      </w:r>
      <w:r>
        <w:rPr>
          <w:noProof/>
        </w:rPr>
        <w:tab/>
      </w:r>
      <w:r>
        <w:rPr>
          <w:noProof/>
        </w:rPr>
        <w:fldChar w:fldCharType="begin"/>
      </w:r>
      <w:r>
        <w:rPr>
          <w:noProof/>
        </w:rPr>
        <w:instrText xml:space="preserve"> PAGEREF _Toc196548033 \h </w:instrText>
      </w:r>
      <w:r>
        <w:rPr>
          <w:noProof/>
        </w:rPr>
      </w:r>
      <w:r>
        <w:rPr>
          <w:noProof/>
        </w:rPr>
        <w:fldChar w:fldCharType="separate"/>
      </w:r>
      <w:r>
        <w:rPr>
          <w:noProof/>
        </w:rPr>
        <w:t>- 69 -</w:t>
      </w:r>
      <w:r>
        <w:rPr>
          <w:noProof/>
        </w:rPr>
        <w:fldChar w:fldCharType="end"/>
      </w:r>
    </w:p>
    <w:p w14:paraId="53FEED69" w14:textId="3E8C5308"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12.4 Efficacy evaluation</w:t>
      </w:r>
      <w:r>
        <w:rPr>
          <w:noProof/>
        </w:rPr>
        <w:tab/>
      </w:r>
      <w:r>
        <w:rPr>
          <w:noProof/>
        </w:rPr>
        <w:fldChar w:fldCharType="begin"/>
      </w:r>
      <w:r>
        <w:rPr>
          <w:noProof/>
        </w:rPr>
        <w:instrText xml:space="preserve"> PAGEREF _Toc196548034 \h </w:instrText>
      </w:r>
      <w:r>
        <w:rPr>
          <w:noProof/>
        </w:rPr>
      </w:r>
      <w:r>
        <w:rPr>
          <w:noProof/>
        </w:rPr>
        <w:fldChar w:fldCharType="separate"/>
      </w:r>
      <w:r>
        <w:rPr>
          <w:noProof/>
        </w:rPr>
        <w:t>- 69 -</w:t>
      </w:r>
      <w:r>
        <w:rPr>
          <w:noProof/>
        </w:rPr>
        <w:fldChar w:fldCharType="end"/>
      </w:r>
    </w:p>
    <w:p w14:paraId="75E6B3B3" w14:textId="25C26C1B"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12.4.1 Analysis of primary endpoint</w:t>
      </w:r>
      <w:r>
        <w:rPr>
          <w:noProof/>
        </w:rPr>
        <w:tab/>
      </w:r>
      <w:r>
        <w:rPr>
          <w:noProof/>
        </w:rPr>
        <w:fldChar w:fldCharType="begin"/>
      </w:r>
      <w:r>
        <w:rPr>
          <w:noProof/>
        </w:rPr>
        <w:instrText xml:space="preserve"> PAGEREF _Toc196548035 \h </w:instrText>
      </w:r>
      <w:r>
        <w:rPr>
          <w:noProof/>
        </w:rPr>
      </w:r>
      <w:r>
        <w:rPr>
          <w:noProof/>
        </w:rPr>
        <w:fldChar w:fldCharType="separate"/>
      </w:r>
      <w:r>
        <w:rPr>
          <w:noProof/>
        </w:rPr>
        <w:t>- 69 -</w:t>
      </w:r>
      <w:r>
        <w:rPr>
          <w:noProof/>
        </w:rPr>
        <w:fldChar w:fldCharType="end"/>
      </w:r>
    </w:p>
    <w:p w14:paraId="2E88E313" w14:textId="3395E6E7"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12.4.2 Analysis of secondary endpoints</w:t>
      </w:r>
      <w:r>
        <w:rPr>
          <w:noProof/>
        </w:rPr>
        <w:tab/>
      </w:r>
      <w:r>
        <w:rPr>
          <w:noProof/>
        </w:rPr>
        <w:fldChar w:fldCharType="begin"/>
      </w:r>
      <w:r>
        <w:rPr>
          <w:noProof/>
        </w:rPr>
        <w:instrText xml:space="preserve"> PAGEREF _Toc196548036 \h </w:instrText>
      </w:r>
      <w:r>
        <w:rPr>
          <w:noProof/>
        </w:rPr>
      </w:r>
      <w:r>
        <w:rPr>
          <w:noProof/>
        </w:rPr>
        <w:fldChar w:fldCharType="separate"/>
      </w:r>
      <w:r>
        <w:rPr>
          <w:noProof/>
        </w:rPr>
        <w:t>- 70 -</w:t>
      </w:r>
      <w:r>
        <w:rPr>
          <w:noProof/>
        </w:rPr>
        <w:fldChar w:fldCharType="end"/>
      </w:r>
    </w:p>
    <w:p w14:paraId="547C0BEB" w14:textId="4BC59E55"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12.4.3 List of individual efficacy data</w:t>
      </w:r>
      <w:r>
        <w:rPr>
          <w:noProof/>
        </w:rPr>
        <w:tab/>
      </w:r>
      <w:r>
        <w:rPr>
          <w:noProof/>
        </w:rPr>
        <w:fldChar w:fldCharType="begin"/>
      </w:r>
      <w:r>
        <w:rPr>
          <w:noProof/>
        </w:rPr>
        <w:instrText xml:space="preserve"> PAGEREF _Toc196548037 \h </w:instrText>
      </w:r>
      <w:r>
        <w:rPr>
          <w:noProof/>
        </w:rPr>
      </w:r>
      <w:r>
        <w:rPr>
          <w:noProof/>
        </w:rPr>
        <w:fldChar w:fldCharType="separate"/>
      </w:r>
      <w:r>
        <w:rPr>
          <w:noProof/>
        </w:rPr>
        <w:t>- 71 -</w:t>
      </w:r>
      <w:r>
        <w:rPr>
          <w:noProof/>
        </w:rPr>
        <w:fldChar w:fldCharType="end"/>
      </w:r>
    </w:p>
    <w:p w14:paraId="35E2232B" w14:textId="0350A9FF" w:rsidR="00EF0680" w:rsidRDefault="00EF0680">
      <w:pPr>
        <w:pStyle w:val="22"/>
        <w:tabs>
          <w:tab w:val="right" w:leader="dot" w:pos="9060"/>
        </w:tabs>
        <w:ind w:left="240"/>
        <w:rPr>
          <w:rFonts w:asciiTheme="minorHAnsi" w:eastAsiaTheme="minorEastAsia" w:hAnsiTheme="minorHAnsi"/>
          <w:noProof/>
          <w:kern w:val="2"/>
          <w:sz w:val="21"/>
          <w:szCs w:val="22"/>
          <w14:numSpacing w14:val="default"/>
        </w:rPr>
      </w:pPr>
      <w:r>
        <w:rPr>
          <w:noProof/>
        </w:rPr>
        <w:t>12.5 Safety evaluation</w:t>
      </w:r>
      <w:r>
        <w:rPr>
          <w:noProof/>
        </w:rPr>
        <w:tab/>
      </w:r>
      <w:r>
        <w:rPr>
          <w:noProof/>
        </w:rPr>
        <w:fldChar w:fldCharType="begin"/>
      </w:r>
      <w:r>
        <w:rPr>
          <w:noProof/>
        </w:rPr>
        <w:instrText xml:space="preserve"> PAGEREF _Toc196548038 \h </w:instrText>
      </w:r>
      <w:r>
        <w:rPr>
          <w:noProof/>
        </w:rPr>
      </w:r>
      <w:r>
        <w:rPr>
          <w:noProof/>
        </w:rPr>
        <w:fldChar w:fldCharType="separate"/>
      </w:r>
      <w:r>
        <w:rPr>
          <w:noProof/>
        </w:rPr>
        <w:t>- 71 -</w:t>
      </w:r>
      <w:r>
        <w:rPr>
          <w:noProof/>
        </w:rPr>
        <w:fldChar w:fldCharType="end"/>
      </w:r>
    </w:p>
    <w:p w14:paraId="3F6BF892" w14:textId="4A46131F"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12.5.1 Drug exposure</w:t>
      </w:r>
      <w:r>
        <w:rPr>
          <w:noProof/>
        </w:rPr>
        <w:tab/>
      </w:r>
      <w:r>
        <w:rPr>
          <w:noProof/>
        </w:rPr>
        <w:fldChar w:fldCharType="begin"/>
      </w:r>
      <w:r>
        <w:rPr>
          <w:noProof/>
        </w:rPr>
        <w:instrText xml:space="preserve"> PAGEREF _Toc196548039 \h </w:instrText>
      </w:r>
      <w:r>
        <w:rPr>
          <w:noProof/>
        </w:rPr>
      </w:r>
      <w:r>
        <w:rPr>
          <w:noProof/>
        </w:rPr>
        <w:fldChar w:fldCharType="separate"/>
      </w:r>
      <w:r>
        <w:rPr>
          <w:noProof/>
        </w:rPr>
        <w:t>- 71 -</w:t>
      </w:r>
      <w:r>
        <w:rPr>
          <w:noProof/>
        </w:rPr>
        <w:fldChar w:fldCharType="end"/>
      </w:r>
    </w:p>
    <w:p w14:paraId="2C2BCB9D" w14:textId="44855748"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12.5.2 AEs</w:t>
      </w:r>
      <w:r>
        <w:rPr>
          <w:noProof/>
        </w:rPr>
        <w:tab/>
      </w:r>
      <w:r>
        <w:rPr>
          <w:noProof/>
        </w:rPr>
        <w:fldChar w:fldCharType="begin"/>
      </w:r>
      <w:r>
        <w:rPr>
          <w:noProof/>
        </w:rPr>
        <w:instrText xml:space="preserve"> PAGEREF _Toc196548040 \h </w:instrText>
      </w:r>
      <w:r>
        <w:rPr>
          <w:noProof/>
        </w:rPr>
      </w:r>
      <w:r>
        <w:rPr>
          <w:noProof/>
        </w:rPr>
        <w:fldChar w:fldCharType="separate"/>
      </w:r>
      <w:r>
        <w:rPr>
          <w:noProof/>
        </w:rPr>
        <w:t>- 71 -</w:t>
      </w:r>
      <w:r>
        <w:rPr>
          <w:noProof/>
        </w:rPr>
        <w:fldChar w:fldCharType="end"/>
      </w:r>
    </w:p>
    <w:p w14:paraId="272EFFF5" w14:textId="1901EFAD"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12.5.3 Vital Signs</w:t>
      </w:r>
      <w:r>
        <w:rPr>
          <w:noProof/>
        </w:rPr>
        <w:tab/>
      </w:r>
      <w:r>
        <w:rPr>
          <w:noProof/>
        </w:rPr>
        <w:fldChar w:fldCharType="begin"/>
      </w:r>
      <w:r>
        <w:rPr>
          <w:noProof/>
        </w:rPr>
        <w:instrText xml:space="preserve"> PAGEREF _Toc196548041 \h </w:instrText>
      </w:r>
      <w:r>
        <w:rPr>
          <w:noProof/>
        </w:rPr>
      </w:r>
      <w:r>
        <w:rPr>
          <w:noProof/>
        </w:rPr>
        <w:fldChar w:fldCharType="separate"/>
      </w:r>
      <w:r>
        <w:rPr>
          <w:noProof/>
        </w:rPr>
        <w:t>- 72 -</w:t>
      </w:r>
      <w:r>
        <w:rPr>
          <w:noProof/>
        </w:rPr>
        <w:fldChar w:fldCharType="end"/>
      </w:r>
    </w:p>
    <w:p w14:paraId="511E1D24" w14:textId="18E3DA45"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12.5.4 Laboratory test indicators</w:t>
      </w:r>
      <w:r>
        <w:rPr>
          <w:noProof/>
        </w:rPr>
        <w:tab/>
      </w:r>
      <w:r>
        <w:rPr>
          <w:noProof/>
        </w:rPr>
        <w:fldChar w:fldCharType="begin"/>
      </w:r>
      <w:r>
        <w:rPr>
          <w:noProof/>
        </w:rPr>
        <w:instrText xml:space="preserve"> PAGEREF _Toc196548042 \h </w:instrText>
      </w:r>
      <w:r>
        <w:rPr>
          <w:noProof/>
        </w:rPr>
      </w:r>
      <w:r>
        <w:rPr>
          <w:noProof/>
        </w:rPr>
        <w:fldChar w:fldCharType="separate"/>
      </w:r>
      <w:r>
        <w:rPr>
          <w:noProof/>
        </w:rPr>
        <w:t>- 72 -</w:t>
      </w:r>
      <w:r>
        <w:rPr>
          <w:noProof/>
        </w:rPr>
        <w:fldChar w:fldCharType="end"/>
      </w:r>
    </w:p>
    <w:p w14:paraId="0B50BE54" w14:textId="48ABDCF5"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12.5.5 12-Electrocardiogram Echocardiogram</w:t>
      </w:r>
      <w:r>
        <w:rPr>
          <w:noProof/>
        </w:rPr>
        <w:tab/>
      </w:r>
      <w:r>
        <w:rPr>
          <w:noProof/>
        </w:rPr>
        <w:fldChar w:fldCharType="begin"/>
      </w:r>
      <w:r>
        <w:rPr>
          <w:noProof/>
        </w:rPr>
        <w:instrText xml:space="preserve"> PAGEREF _Toc196548043 \h </w:instrText>
      </w:r>
      <w:r>
        <w:rPr>
          <w:noProof/>
        </w:rPr>
      </w:r>
      <w:r>
        <w:rPr>
          <w:noProof/>
        </w:rPr>
        <w:fldChar w:fldCharType="separate"/>
      </w:r>
      <w:r>
        <w:rPr>
          <w:noProof/>
        </w:rPr>
        <w:t>- 73 -</w:t>
      </w:r>
      <w:r>
        <w:rPr>
          <w:noProof/>
        </w:rPr>
        <w:fldChar w:fldCharType="end"/>
      </w:r>
    </w:p>
    <w:p w14:paraId="33A26499" w14:textId="6E12234F"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12.5.6 Concomitant medications</w:t>
      </w:r>
      <w:r>
        <w:rPr>
          <w:noProof/>
        </w:rPr>
        <w:tab/>
      </w:r>
      <w:r>
        <w:rPr>
          <w:noProof/>
        </w:rPr>
        <w:fldChar w:fldCharType="begin"/>
      </w:r>
      <w:r>
        <w:rPr>
          <w:noProof/>
        </w:rPr>
        <w:instrText xml:space="preserve"> PAGEREF _Toc196548044 \h </w:instrText>
      </w:r>
      <w:r>
        <w:rPr>
          <w:noProof/>
        </w:rPr>
      </w:r>
      <w:r>
        <w:rPr>
          <w:noProof/>
        </w:rPr>
        <w:fldChar w:fldCharType="separate"/>
      </w:r>
      <w:r>
        <w:rPr>
          <w:noProof/>
        </w:rPr>
        <w:t>- 73 -</w:t>
      </w:r>
      <w:r>
        <w:rPr>
          <w:noProof/>
        </w:rPr>
        <w:fldChar w:fldCharType="end"/>
      </w:r>
    </w:p>
    <w:p w14:paraId="77FA1161" w14:textId="0C6492D4" w:rsidR="00EF0680" w:rsidRDefault="00EF0680">
      <w:pPr>
        <w:pStyle w:val="31"/>
        <w:tabs>
          <w:tab w:val="right" w:leader="dot" w:pos="9060"/>
        </w:tabs>
        <w:ind w:left="480"/>
        <w:rPr>
          <w:rFonts w:asciiTheme="minorHAnsi" w:eastAsiaTheme="minorEastAsia" w:hAnsiTheme="minorHAnsi"/>
          <w:noProof/>
          <w:kern w:val="2"/>
          <w:sz w:val="21"/>
          <w:szCs w:val="22"/>
          <w14:numSpacing w14:val="default"/>
        </w:rPr>
      </w:pPr>
      <w:r>
        <w:rPr>
          <w:noProof/>
        </w:rPr>
        <w:t>12.5.7 Statistical analysis software</w:t>
      </w:r>
      <w:r>
        <w:rPr>
          <w:noProof/>
        </w:rPr>
        <w:tab/>
      </w:r>
      <w:r>
        <w:rPr>
          <w:noProof/>
        </w:rPr>
        <w:fldChar w:fldCharType="begin"/>
      </w:r>
      <w:r>
        <w:rPr>
          <w:noProof/>
        </w:rPr>
        <w:instrText xml:space="preserve"> PAGEREF _Toc196548045 \h </w:instrText>
      </w:r>
      <w:r>
        <w:rPr>
          <w:noProof/>
        </w:rPr>
      </w:r>
      <w:r>
        <w:rPr>
          <w:noProof/>
        </w:rPr>
        <w:fldChar w:fldCharType="separate"/>
      </w:r>
      <w:r>
        <w:rPr>
          <w:noProof/>
        </w:rPr>
        <w:t>- 73 -</w:t>
      </w:r>
      <w:r>
        <w:rPr>
          <w:noProof/>
        </w:rPr>
        <w:fldChar w:fldCharType="end"/>
      </w:r>
    </w:p>
    <w:p w14:paraId="4F79A13C" w14:textId="7DEEC0E6" w:rsidR="00EF0680" w:rsidRDefault="00EF0680">
      <w:pPr>
        <w:pStyle w:val="11"/>
        <w:tabs>
          <w:tab w:val="right" w:leader="dot" w:pos="9060"/>
        </w:tabs>
        <w:rPr>
          <w:rFonts w:asciiTheme="minorHAnsi" w:eastAsiaTheme="minorEastAsia" w:hAnsiTheme="minorHAnsi"/>
          <w:b w:val="0"/>
          <w:noProof/>
          <w:kern w:val="2"/>
          <w:sz w:val="21"/>
          <w:szCs w:val="22"/>
          <w14:numSpacing w14:val="default"/>
        </w:rPr>
      </w:pPr>
      <w:r>
        <w:rPr>
          <w:noProof/>
        </w:rPr>
        <w:t>13. Ethics and Informed Consent</w:t>
      </w:r>
      <w:r>
        <w:rPr>
          <w:noProof/>
        </w:rPr>
        <w:tab/>
      </w:r>
      <w:r>
        <w:rPr>
          <w:noProof/>
        </w:rPr>
        <w:fldChar w:fldCharType="begin"/>
      </w:r>
      <w:r>
        <w:rPr>
          <w:noProof/>
        </w:rPr>
        <w:instrText xml:space="preserve"> PAGEREF _Toc196548046 \h </w:instrText>
      </w:r>
      <w:r>
        <w:rPr>
          <w:noProof/>
        </w:rPr>
      </w:r>
      <w:r>
        <w:rPr>
          <w:noProof/>
        </w:rPr>
        <w:fldChar w:fldCharType="separate"/>
      </w:r>
      <w:r>
        <w:rPr>
          <w:noProof/>
        </w:rPr>
        <w:t>- 73 -</w:t>
      </w:r>
      <w:r>
        <w:rPr>
          <w:noProof/>
        </w:rPr>
        <w:fldChar w:fldCharType="end"/>
      </w:r>
    </w:p>
    <w:p w14:paraId="082B6353" w14:textId="68CB9BE1" w:rsidR="00EF0680" w:rsidRDefault="00EF0680">
      <w:pPr>
        <w:pStyle w:val="11"/>
        <w:tabs>
          <w:tab w:val="right" w:leader="dot" w:pos="9060"/>
        </w:tabs>
        <w:rPr>
          <w:rFonts w:asciiTheme="minorHAnsi" w:eastAsiaTheme="minorEastAsia" w:hAnsiTheme="minorHAnsi"/>
          <w:b w:val="0"/>
          <w:noProof/>
          <w:kern w:val="2"/>
          <w:sz w:val="21"/>
          <w:szCs w:val="22"/>
          <w14:numSpacing w14:val="default"/>
        </w:rPr>
      </w:pPr>
      <w:r>
        <w:rPr>
          <w:noProof/>
        </w:rPr>
        <w:t>14. Publication and patent of trial results</w:t>
      </w:r>
      <w:r>
        <w:rPr>
          <w:noProof/>
        </w:rPr>
        <w:tab/>
      </w:r>
      <w:r>
        <w:rPr>
          <w:noProof/>
        </w:rPr>
        <w:fldChar w:fldCharType="begin"/>
      </w:r>
      <w:r>
        <w:rPr>
          <w:noProof/>
        </w:rPr>
        <w:instrText xml:space="preserve"> PAGEREF _Toc196548047 \h </w:instrText>
      </w:r>
      <w:r>
        <w:rPr>
          <w:noProof/>
        </w:rPr>
      </w:r>
      <w:r>
        <w:rPr>
          <w:noProof/>
        </w:rPr>
        <w:fldChar w:fldCharType="separate"/>
      </w:r>
      <w:r>
        <w:rPr>
          <w:noProof/>
        </w:rPr>
        <w:t>- 74 -</w:t>
      </w:r>
      <w:r>
        <w:rPr>
          <w:noProof/>
        </w:rPr>
        <w:fldChar w:fldCharType="end"/>
      </w:r>
    </w:p>
    <w:p w14:paraId="0DFF702A" w14:textId="00C7B438" w:rsidR="00D45C54" w:rsidRDefault="003E0392">
      <w:pPr>
        <w:ind w:firstLine="480"/>
        <w:sectPr w:rsidR="00D45C54">
          <w:footerReference w:type="default" r:id="rId15"/>
          <w:pgSz w:w="11906" w:h="16838"/>
          <w:pgMar w:top="1559" w:right="1418" w:bottom="1418" w:left="1418" w:header="851" w:footer="992" w:gutter="0"/>
          <w:pgNumType w:fmt="lowerRoman" w:start="1"/>
          <w:cols w:space="720"/>
          <w:docGrid w:linePitch="312"/>
        </w:sectPr>
      </w:pPr>
      <w:r>
        <w:fldChar w:fldCharType="end"/>
      </w:r>
    </w:p>
    <w:p w14:paraId="2E35A7D8" w14:textId="6130F7CC" w:rsidR="00085DF8" w:rsidRDefault="003E0392" w:rsidP="00384EEC">
      <w:pPr>
        <w:pStyle w:val="P68B1DB1-215"/>
        <w:spacing w:before="120" w:after="0"/>
        <w:jc w:val="center"/>
        <w:rPr>
          <w:rFonts w:hint="default"/>
        </w:rPr>
      </w:pPr>
      <w:r>
        <w:lastRenderedPageBreak/>
        <w:t>Abbreviation</w:t>
      </w:r>
    </w:p>
    <w:tbl>
      <w:tblPr>
        <w:tblStyle w:val="TableNormal2"/>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0"/>
        <w:gridCol w:w="2976"/>
        <w:gridCol w:w="1142"/>
        <w:gridCol w:w="2702"/>
      </w:tblGrid>
      <w:tr w:rsidR="00085DF8" w:rsidRPr="00384EEC" w14:paraId="4E177A96" w14:textId="77777777" w:rsidTr="00384EEC">
        <w:trPr>
          <w:trHeight w:val="468"/>
          <w:jc w:val="center"/>
        </w:trPr>
        <w:tc>
          <w:tcPr>
            <w:tcW w:w="1480" w:type="dxa"/>
            <w:tcBorders>
              <w:left w:val="nil"/>
            </w:tcBorders>
          </w:tcPr>
          <w:p w14:paraId="5B74E63B" w14:textId="77777777" w:rsidR="00085DF8" w:rsidRPr="00384EEC" w:rsidRDefault="00085DF8" w:rsidP="00005E52">
            <w:pPr>
              <w:pStyle w:val="P68B1DB1-TableParagraph13"/>
              <w:spacing w:before="67"/>
              <w:ind w:left="7" w:right="3"/>
              <w:rPr>
                <w:rFonts w:ascii="Times New Roman" w:hAnsi="Times New Roman" w:cs="Times New Roman"/>
                <w:sz w:val="21"/>
                <w:szCs w:val="21"/>
              </w:rPr>
            </w:pPr>
            <w:r w:rsidRPr="00384EEC">
              <w:rPr>
                <w:rFonts w:ascii="Times New Roman" w:hAnsi="Times New Roman" w:cs="Times New Roman"/>
                <w:sz w:val="21"/>
                <w:szCs w:val="21"/>
              </w:rPr>
              <w:t xml:space="preserve">Abbreviation </w:t>
            </w:r>
          </w:p>
        </w:tc>
        <w:tc>
          <w:tcPr>
            <w:tcW w:w="2976" w:type="dxa"/>
          </w:tcPr>
          <w:p w14:paraId="2EB13A54" w14:textId="3AEB5848" w:rsidR="00085DF8" w:rsidRPr="00384EEC" w:rsidRDefault="00085DF8" w:rsidP="00384EEC">
            <w:pPr>
              <w:pStyle w:val="P68B1DB1-TableParagraph13"/>
              <w:spacing w:before="67"/>
              <w:ind w:left="1"/>
              <w:rPr>
                <w:rFonts w:ascii="Times New Roman" w:hAnsi="Times New Roman" w:cs="Times New Roman"/>
                <w:sz w:val="21"/>
                <w:szCs w:val="21"/>
              </w:rPr>
            </w:pPr>
            <w:r w:rsidRPr="00384EEC">
              <w:rPr>
                <w:rFonts w:ascii="Times New Roman" w:hAnsi="Times New Roman" w:cs="Times New Roman"/>
                <w:sz w:val="21"/>
                <w:szCs w:val="21"/>
              </w:rPr>
              <w:t xml:space="preserve">Full name </w:t>
            </w:r>
          </w:p>
        </w:tc>
        <w:tc>
          <w:tcPr>
            <w:tcW w:w="1142" w:type="dxa"/>
          </w:tcPr>
          <w:p w14:paraId="60177AA3" w14:textId="77777777" w:rsidR="00085DF8" w:rsidRPr="00384EEC" w:rsidRDefault="00085DF8" w:rsidP="00005E52">
            <w:pPr>
              <w:pStyle w:val="P68B1DB1-TableParagraph13"/>
              <w:spacing w:before="67"/>
              <w:ind w:left="2" w:right="2"/>
              <w:rPr>
                <w:rFonts w:ascii="Times New Roman" w:hAnsi="Times New Roman" w:cs="Times New Roman"/>
                <w:sz w:val="21"/>
                <w:szCs w:val="21"/>
              </w:rPr>
            </w:pPr>
            <w:r w:rsidRPr="00384EEC">
              <w:rPr>
                <w:rFonts w:ascii="Times New Roman" w:hAnsi="Times New Roman" w:cs="Times New Roman"/>
                <w:sz w:val="21"/>
                <w:szCs w:val="21"/>
              </w:rPr>
              <w:t xml:space="preserve">Abbreviation </w:t>
            </w:r>
          </w:p>
        </w:tc>
        <w:tc>
          <w:tcPr>
            <w:tcW w:w="2702" w:type="dxa"/>
            <w:tcBorders>
              <w:right w:val="nil"/>
            </w:tcBorders>
          </w:tcPr>
          <w:p w14:paraId="7FC89C0C" w14:textId="00B1F954" w:rsidR="00085DF8" w:rsidRPr="00384EEC" w:rsidRDefault="00085DF8" w:rsidP="00384EEC">
            <w:pPr>
              <w:pStyle w:val="P68B1DB1-TableParagraph13"/>
              <w:spacing w:before="67"/>
              <w:ind w:right="6"/>
              <w:rPr>
                <w:rFonts w:ascii="Times New Roman" w:hAnsi="Times New Roman" w:cs="Times New Roman"/>
                <w:sz w:val="21"/>
                <w:szCs w:val="21"/>
              </w:rPr>
            </w:pPr>
            <w:r w:rsidRPr="00384EEC">
              <w:rPr>
                <w:rFonts w:ascii="Times New Roman" w:hAnsi="Times New Roman" w:cs="Times New Roman"/>
                <w:sz w:val="21"/>
                <w:szCs w:val="21"/>
              </w:rPr>
              <w:t xml:space="preserve">Full name </w:t>
            </w:r>
          </w:p>
        </w:tc>
      </w:tr>
      <w:tr w:rsidR="00085DF8" w:rsidRPr="00384EEC" w14:paraId="7417E34F" w14:textId="77777777" w:rsidTr="00384EEC">
        <w:trPr>
          <w:trHeight w:val="467"/>
          <w:jc w:val="center"/>
        </w:trPr>
        <w:tc>
          <w:tcPr>
            <w:tcW w:w="1480" w:type="dxa"/>
            <w:tcBorders>
              <w:left w:val="nil"/>
            </w:tcBorders>
          </w:tcPr>
          <w:p w14:paraId="75C69AA4" w14:textId="77777777" w:rsidR="00085DF8" w:rsidRPr="00384EEC" w:rsidRDefault="00085DF8" w:rsidP="00005E52">
            <w:pPr>
              <w:pStyle w:val="P68B1DB1-TableParagraph14"/>
              <w:spacing w:before="96"/>
              <w:ind w:left="7" w:right="5"/>
              <w:rPr>
                <w:rFonts w:hAnsi="Times New Roman" w:cs="Times New Roman"/>
                <w:sz w:val="21"/>
                <w:szCs w:val="21"/>
              </w:rPr>
            </w:pPr>
            <w:r w:rsidRPr="00384EEC">
              <w:rPr>
                <w:rFonts w:hAnsi="Times New Roman" w:cs="Times New Roman"/>
                <w:sz w:val="21"/>
                <w:szCs w:val="21"/>
              </w:rPr>
              <w:t xml:space="preserve">AE </w:t>
            </w:r>
          </w:p>
        </w:tc>
        <w:tc>
          <w:tcPr>
            <w:tcW w:w="2976" w:type="dxa"/>
          </w:tcPr>
          <w:p w14:paraId="5F2770B9" w14:textId="77777777" w:rsidR="00085DF8" w:rsidRPr="00384EEC" w:rsidRDefault="00085DF8" w:rsidP="00005E52">
            <w:pPr>
              <w:pStyle w:val="P68B1DB1-TableParagraph13"/>
              <w:spacing w:before="66"/>
              <w:ind w:left="1"/>
              <w:rPr>
                <w:rFonts w:ascii="Times New Roman" w:hAnsi="Times New Roman" w:cs="Times New Roman"/>
                <w:sz w:val="21"/>
                <w:szCs w:val="21"/>
              </w:rPr>
            </w:pPr>
            <w:r w:rsidRPr="00384EEC">
              <w:rPr>
                <w:rFonts w:ascii="Times New Roman" w:hAnsi="Times New Roman" w:cs="Times New Roman"/>
                <w:sz w:val="21"/>
                <w:szCs w:val="21"/>
              </w:rPr>
              <w:t xml:space="preserve">Adverse events </w:t>
            </w:r>
          </w:p>
        </w:tc>
        <w:tc>
          <w:tcPr>
            <w:tcW w:w="1142" w:type="dxa"/>
          </w:tcPr>
          <w:p w14:paraId="071C5FD3" w14:textId="77777777" w:rsidR="00085DF8" w:rsidRPr="00384EEC" w:rsidRDefault="00085DF8" w:rsidP="00005E52">
            <w:pPr>
              <w:pStyle w:val="P68B1DB1-TableParagraph14"/>
              <w:spacing w:before="96"/>
              <w:ind w:left="2" w:right="2"/>
              <w:rPr>
                <w:rFonts w:hAnsi="Times New Roman" w:cs="Times New Roman"/>
                <w:sz w:val="21"/>
                <w:szCs w:val="21"/>
              </w:rPr>
            </w:pPr>
            <w:r w:rsidRPr="00384EEC">
              <w:rPr>
                <w:rFonts w:hAnsi="Times New Roman" w:cs="Times New Roman"/>
                <w:sz w:val="21"/>
                <w:szCs w:val="21"/>
              </w:rPr>
              <w:t xml:space="preserve">MSI </w:t>
            </w:r>
          </w:p>
        </w:tc>
        <w:tc>
          <w:tcPr>
            <w:tcW w:w="2702" w:type="dxa"/>
            <w:tcBorders>
              <w:right w:val="nil"/>
            </w:tcBorders>
          </w:tcPr>
          <w:p w14:paraId="6694C35E" w14:textId="77777777" w:rsidR="00085DF8" w:rsidRPr="00384EEC" w:rsidRDefault="00085DF8" w:rsidP="00005E52">
            <w:pPr>
              <w:pStyle w:val="P68B1DB1-TableParagraph13"/>
              <w:spacing w:before="66"/>
              <w:ind w:right="6"/>
              <w:rPr>
                <w:rFonts w:ascii="Times New Roman" w:hAnsi="Times New Roman" w:cs="Times New Roman"/>
                <w:sz w:val="21"/>
                <w:szCs w:val="21"/>
              </w:rPr>
            </w:pPr>
            <w:r w:rsidRPr="00384EEC">
              <w:rPr>
                <w:rFonts w:ascii="Times New Roman" w:hAnsi="Times New Roman" w:cs="Times New Roman"/>
                <w:sz w:val="21"/>
                <w:szCs w:val="21"/>
              </w:rPr>
              <w:t xml:space="preserve">Microsatellite instability </w:t>
            </w:r>
          </w:p>
        </w:tc>
      </w:tr>
      <w:tr w:rsidR="00085DF8" w:rsidRPr="00384EEC" w14:paraId="3175C3F0" w14:textId="77777777" w:rsidTr="00384EEC">
        <w:trPr>
          <w:trHeight w:val="467"/>
          <w:jc w:val="center"/>
        </w:trPr>
        <w:tc>
          <w:tcPr>
            <w:tcW w:w="1480" w:type="dxa"/>
            <w:tcBorders>
              <w:left w:val="nil"/>
            </w:tcBorders>
          </w:tcPr>
          <w:p w14:paraId="537838B2" w14:textId="77777777" w:rsidR="00085DF8" w:rsidRPr="00384EEC" w:rsidRDefault="00085DF8" w:rsidP="00005E52">
            <w:pPr>
              <w:pStyle w:val="P68B1DB1-TableParagraph14"/>
              <w:spacing w:before="96"/>
              <w:ind w:left="7" w:right="2"/>
              <w:rPr>
                <w:rFonts w:hAnsi="Times New Roman" w:cs="Times New Roman"/>
                <w:sz w:val="21"/>
                <w:szCs w:val="21"/>
              </w:rPr>
            </w:pPr>
            <w:r w:rsidRPr="00384EEC">
              <w:rPr>
                <w:rFonts w:hAnsi="Times New Roman" w:cs="Times New Roman"/>
                <w:sz w:val="21"/>
                <w:szCs w:val="21"/>
              </w:rPr>
              <w:t xml:space="preserve">ALT </w:t>
            </w:r>
          </w:p>
        </w:tc>
        <w:tc>
          <w:tcPr>
            <w:tcW w:w="2976" w:type="dxa"/>
          </w:tcPr>
          <w:p w14:paraId="4623ED30" w14:textId="77777777" w:rsidR="00085DF8" w:rsidRPr="00384EEC" w:rsidRDefault="00085DF8" w:rsidP="00005E52">
            <w:pPr>
              <w:pStyle w:val="P68B1DB1-TableParagraph13"/>
              <w:spacing w:before="68"/>
              <w:ind w:left="1"/>
              <w:rPr>
                <w:rFonts w:ascii="Times New Roman" w:hAnsi="Times New Roman" w:cs="Times New Roman"/>
                <w:sz w:val="21"/>
                <w:szCs w:val="21"/>
              </w:rPr>
            </w:pPr>
            <w:r w:rsidRPr="00384EEC">
              <w:rPr>
                <w:rFonts w:ascii="Times New Roman" w:hAnsi="Times New Roman" w:cs="Times New Roman"/>
                <w:sz w:val="21"/>
                <w:szCs w:val="21"/>
              </w:rPr>
              <w:t xml:space="preserve">Alanine aminotransferase </w:t>
            </w:r>
          </w:p>
        </w:tc>
        <w:tc>
          <w:tcPr>
            <w:tcW w:w="1142" w:type="dxa"/>
          </w:tcPr>
          <w:p w14:paraId="6B4F332F" w14:textId="77777777" w:rsidR="00085DF8" w:rsidRPr="00384EEC" w:rsidRDefault="00085DF8" w:rsidP="00005E52">
            <w:pPr>
              <w:pStyle w:val="P68B1DB1-TableParagraph14"/>
              <w:spacing w:before="96"/>
              <w:ind w:left="2"/>
              <w:rPr>
                <w:rFonts w:hAnsi="Times New Roman" w:cs="Times New Roman"/>
                <w:sz w:val="21"/>
                <w:szCs w:val="21"/>
              </w:rPr>
            </w:pPr>
            <w:r w:rsidRPr="00384EEC">
              <w:rPr>
                <w:rFonts w:hAnsi="Times New Roman" w:cs="Times New Roman"/>
                <w:sz w:val="21"/>
                <w:szCs w:val="21"/>
              </w:rPr>
              <w:t xml:space="preserve">NOAEL </w:t>
            </w:r>
          </w:p>
        </w:tc>
        <w:tc>
          <w:tcPr>
            <w:tcW w:w="2702" w:type="dxa"/>
            <w:tcBorders>
              <w:right w:val="nil"/>
            </w:tcBorders>
          </w:tcPr>
          <w:p w14:paraId="586B8FBA" w14:textId="77777777" w:rsidR="00085DF8" w:rsidRPr="00384EEC" w:rsidRDefault="00085DF8" w:rsidP="00005E52">
            <w:pPr>
              <w:pStyle w:val="P68B1DB1-TableParagraph13"/>
              <w:spacing w:before="68"/>
              <w:ind w:right="6"/>
              <w:rPr>
                <w:rFonts w:ascii="Times New Roman" w:hAnsi="Times New Roman" w:cs="Times New Roman"/>
                <w:sz w:val="21"/>
                <w:szCs w:val="21"/>
              </w:rPr>
            </w:pPr>
            <w:r w:rsidRPr="00384EEC">
              <w:rPr>
                <w:rFonts w:ascii="Times New Roman" w:hAnsi="Times New Roman" w:cs="Times New Roman"/>
                <w:sz w:val="21"/>
                <w:szCs w:val="21"/>
              </w:rPr>
              <w:t xml:space="preserve">No Observed Adverse Effect Level </w:t>
            </w:r>
          </w:p>
        </w:tc>
      </w:tr>
      <w:tr w:rsidR="00085DF8" w:rsidRPr="00384EEC" w14:paraId="37BB7E94" w14:textId="77777777" w:rsidTr="00384EEC">
        <w:trPr>
          <w:trHeight w:val="467"/>
          <w:jc w:val="center"/>
        </w:trPr>
        <w:tc>
          <w:tcPr>
            <w:tcW w:w="1480" w:type="dxa"/>
            <w:tcBorders>
              <w:left w:val="nil"/>
            </w:tcBorders>
          </w:tcPr>
          <w:p w14:paraId="0DEAA136" w14:textId="77777777" w:rsidR="00085DF8" w:rsidRPr="00384EEC" w:rsidRDefault="00085DF8" w:rsidP="00005E52">
            <w:pPr>
              <w:pStyle w:val="P68B1DB1-TableParagraph14"/>
              <w:spacing w:before="96"/>
              <w:ind w:left="7" w:right="1"/>
              <w:rPr>
                <w:rFonts w:hAnsi="Times New Roman" w:cs="Times New Roman"/>
                <w:sz w:val="21"/>
                <w:szCs w:val="21"/>
              </w:rPr>
            </w:pPr>
            <w:r w:rsidRPr="00384EEC">
              <w:rPr>
                <w:rFonts w:hAnsi="Times New Roman" w:cs="Times New Roman"/>
                <w:sz w:val="21"/>
                <w:szCs w:val="21"/>
              </w:rPr>
              <w:t xml:space="preserve">AST </w:t>
            </w:r>
          </w:p>
        </w:tc>
        <w:tc>
          <w:tcPr>
            <w:tcW w:w="2976" w:type="dxa"/>
          </w:tcPr>
          <w:p w14:paraId="7D3751FB" w14:textId="77777777" w:rsidR="00085DF8" w:rsidRPr="00384EEC" w:rsidRDefault="00085DF8" w:rsidP="00005E52">
            <w:pPr>
              <w:pStyle w:val="P68B1DB1-TableParagraph13"/>
              <w:spacing w:before="68"/>
              <w:ind w:left="1"/>
              <w:rPr>
                <w:rFonts w:ascii="Times New Roman" w:hAnsi="Times New Roman" w:cs="Times New Roman"/>
                <w:sz w:val="21"/>
                <w:szCs w:val="21"/>
              </w:rPr>
            </w:pPr>
            <w:r w:rsidRPr="00384EEC">
              <w:rPr>
                <w:rFonts w:ascii="Times New Roman" w:hAnsi="Times New Roman" w:cs="Times New Roman"/>
                <w:sz w:val="21"/>
                <w:szCs w:val="21"/>
              </w:rPr>
              <w:t xml:space="preserve">Aspartate aminotransferase </w:t>
            </w:r>
          </w:p>
        </w:tc>
        <w:tc>
          <w:tcPr>
            <w:tcW w:w="1142" w:type="dxa"/>
          </w:tcPr>
          <w:p w14:paraId="4E510152" w14:textId="77777777" w:rsidR="00085DF8" w:rsidRPr="00384EEC" w:rsidRDefault="00085DF8" w:rsidP="00005E52">
            <w:pPr>
              <w:pStyle w:val="P68B1DB1-TableParagraph14"/>
              <w:spacing w:before="96"/>
              <w:ind w:left="2"/>
              <w:rPr>
                <w:rFonts w:hAnsi="Times New Roman" w:cs="Times New Roman"/>
                <w:sz w:val="21"/>
                <w:szCs w:val="21"/>
              </w:rPr>
            </w:pPr>
            <w:r w:rsidRPr="00384EEC">
              <w:rPr>
                <w:rFonts w:hAnsi="Times New Roman" w:cs="Times New Roman"/>
                <w:sz w:val="21"/>
                <w:szCs w:val="21"/>
              </w:rPr>
              <w:t xml:space="preserve">NYHA </w:t>
            </w:r>
          </w:p>
        </w:tc>
        <w:tc>
          <w:tcPr>
            <w:tcW w:w="2702" w:type="dxa"/>
            <w:tcBorders>
              <w:right w:val="nil"/>
            </w:tcBorders>
          </w:tcPr>
          <w:p w14:paraId="14AC7970" w14:textId="77777777" w:rsidR="00085DF8" w:rsidRPr="00384EEC" w:rsidRDefault="00085DF8" w:rsidP="00005E52">
            <w:pPr>
              <w:pStyle w:val="P68B1DB1-TableParagraph13"/>
              <w:spacing w:before="68"/>
              <w:ind w:right="6"/>
              <w:rPr>
                <w:rFonts w:ascii="Times New Roman" w:hAnsi="Times New Roman" w:cs="Times New Roman"/>
                <w:sz w:val="21"/>
                <w:szCs w:val="21"/>
              </w:rPr>
            </w:pPr>
            <w:r w:rsidRPr="00384EEC">
              <w:rPr>
                <w:rFonts w:ascii="Times New Roman" w:hAnsi="Times New Roman" w:cs="Times New Roman"/>
                <w:sz w:val="21"/>
                <w:szCs w:val="21"/>
              </w:rPr>
              <w:t xml:space="preserve">New York Heart Association </w:t>
            </w:r>
          </w:p>
        </w:tc>
      </w:tr>
      <w:tr w:rsidR="00085DF8" w:rsidRPr="00384EEC" w14:paraId="510B5924" w14:textId="77777777" w:rsidTr="00384EEC">
        <w:trPr>
          <w:trHeight w:val="467"/>
          <w:jc w:val="center"/>
        </w:trPr>
        <w:tc>
          <w:tcPr>
            <w:tcW w:w="1480" w:type="dxa"/>
            <w:tcBorders>
              <w:left w:val="nil"/>
            </w:tcBorders>
          </w:tcPr>
          <w:p w14:paraId="2EF3B2C8" w14:textId="77777777" w:rsidR="00085DF8" w:rsidRPr="00384EEC" w:rsidRDefault="00085DF8" w:rsidP="00005E52">
            <w:pPr>
              <w:pStyle w:val="P68B1DB1-TableParagraph14"/>
              <w:spacing w:before="95"/>
              <w:ind w:left="7"/>
              <w:rPr>
                <w:rFonts w:hAnsi="Times New Roman" w:cs="Times New Roman"/>
                <w:sz w:val="21"/>
                <w:szCs w:val="21"/>
              </w:rPr>
            </w:pPr>
            <w:r w:rsidRPr="00384EEC">
              <w:rPr>
                <w:rFonts w:hAnsi="Times New Roman" w:cs="Times New Roman"/>
                <w:sz w:val="21"/>
                <w:szCs w:val="21"/>
              </w:rPr>
              <w:t xml:space="preserve">BUN </w:t>
            </w:r>
          </w:p>
        </w:tc>
        <w:tc>
          <w:tcPr>
            <w:tcW w:w="2976" w:type="dxa"/>
          </w:tcPr>
          <w:p w14:paraId="561E7347" w14:textId="77777777" w:rsidR="00085DF8" w:rsidRPr="00384EEC" w:rsidRDefault="00085DF8" w:rsidP="00005E52">
            <w:pPr>
              <w:pStyle w:val="P68B1DB1-TableParagraph13"/>
              <w:spacing w:before="68"/>
              <w:ind w:left="1"/>
              <w:rPr>
                <w:rFonts w:ascii="Times New Roman" w:hAnsi="Times New Roman" w:cs="Times New Roman"/>
                <w:sz w:val="21"/>
                <w:szCs w:val="21"/>
              </w:rPr>
            </w:pPr>
            <w:r w:rsidRPr="00384EEC">
              <w:rPr>
                <w:rFonts w:ascii="Times New Roman" w:hAnsi="Times New Roman" w:cs="Times New Roman"/>
                <w:sz w:val="21"/>
                <w:szCs w:val="21"/>
              </w:rPr>
              <w:t xml:space="preserve">Urea </w:t>
            </w:r>
          </w:p>
        </w:tc>
        <w:tc>
          <w:tcPr>
            <w:tcW w:w="1142" w:type="dxa"/>
          </w:tcPr>
          <w:p w14:paraId="693955B7" w14:textId="77777777" w:rsidR="00085DF8" w:rsidRPr="00384EEC" w:rsidRDefault="00085DF8" w:rsidP="00005E52">
            <w:pPr>
              <w:pStyle w:val="P68B1DB1-TableParagraph14"/>
              <w:spacing w:before="95"/>
              <w:ind w:left="2" w:right="2"/>
              <w:rPr>
                <w:rFonts w:hAnsi="Times New Roman" w:cs="Times New Roman"/>
                <w:sz w:val="21"/>
                <w:szCs w:val="21"/>
              </w:rPr>
            </w:pPr>
            <w:r w:rsidRPr="00384EEC">
              <w:rPr>
                <w:rFonts w:hAnsi="Times New Roman" w:cs="Times New Roman"/>
                <w:sz w:val="21"/>
                <w:szCs w:val="21"/>
              </w:rPr>
              <w:t xml:space="preserve">ORR </w:t>
            </w:r>
          </w:p>
        </w:tc>
        <w:tc>
          <w:tcPr>
            <w:tcW w:w="2702" w:type="dxa"/>
            <w:tcBorders>
              <w:right w:val="nil"/>
            </w:tcBorders>
          </w:tcPr>
          <w:p w14:paraId="579A2F09" w14:textId="77777777" w:rsidR="00085DF8" w:rsidRPr="00384EEC" w:rsidRDefault="00085DF8" w:rsidP="00005E52">
            <w:pPr>
              <w:pStyle w:val="P68B1DB1-TableParagraph13"/>
              <w:spacing w:before="68"/>
              <w:ind w:right="6"/>
              <w:rPr>
                <w:rFonts w:ascii="Times New Roman" w:hAnsi="Times New Roman" w:cs="Times New Roman"/>
                <w:sz w:val="21"/>
                <w:szCs w:val="21"/>
              </w:rPr>
            </w:pPr>
            <w:r w:rsidRPr="00384EEC">
              <w:rPr>
                <w:rFonts w:ascii="Times New Roman" w:hAnsi="Times New Roman" w:cs="Times New Roman"/>
                <w:sz w:val="21"/>
                <w:szCs w:val="21"/>
              </w:rPr>
              <w:t xml:space="preserve">Objective response rate </w:t>
            </w:r>
          </w:p>
        </w:tc>
      </w:tr>
      <w:tr w:rsidR="00085DF8" w:rsidRPr="00384EEC" w14:paraId="44C6CF2A" w14:textId="77777777" w:rsidTr="00384EEC">
        <w:trPr>
          <w:trHeight w:val="468"/>
          <w:jc w:val="center"/>
        </w:trPr>
        <w:tc>
          <w:tcPr>
            <w:tcW w:w="1480" w:type="dxa"/>
            <w:tcBorders>
              <w:left w:val="nil"/>
            </w:tcBorders>
          </w:tcPr>
          <w:p w14:paraId="3B6790FF" w14:textId="77777777" w:rsidR="00085DF8" w:rsidRPr="00384EEC" w:rsidRDefault="00085DF8" w:rsidP="00005E52">
            <w:pPr>
              <w:pStyle w:val="P68B1DB1-TableParagraph14"/>
              <w:spacing w:before="95"/>
              <w:ind w:left="7" w:right="3"/>
              <w:rPr>
                <w:rFonts w:hAnsi="Times New Roman" w:cs="Times New Roman"/>
                <w:sz w:val="21"/>
                <w:szCs w:val="21"/>
              </w:rPr>
            </w:pPr>
            <w:r w:rsidRPr="00384EEC">
              <w:rPr>
                <w:rFonts w:hAnsi="Times New Roman" w:cs="Times New Roman"/>
                <w:sz w:val="21"/>
                <w:szCs w:val="21"/>
              </w:rPr>
              <w:t xml:space="preserve">Cr </w:t>
            </w:r>
          </w:p>
        </w:tc>
        <w:tc>
          <w:tcPr>
            <w:tcW w:w="2976" w:type="dxa"/>
          </w:tcPr>
          <w:p w14:paraId="0F325517" w14:textId="77777777" w:rsidR="00085DF8" w:rsidRPr="00384EEC" w:rsidRDefault="00085DF8" w:rsidP="00005E52">
            <w:pPr>
              <w:pStyle w:val="P68B1DB1-TableParagraph13"/>
              <w:spacing w:before="67"/>
              <w:ind w:left="1"/>
              <w:rPr>
                <w:rFonts w:ascii="Times New Roman" w:hAnsi="Times New Roman" w:cs="Times New Roman"/>
                <w:sz w:val="21"/>
                <w:szCs w:val="21"/>
              </w:rPr>
            </w:pPr>
            <w:r w:rsidRPr="00384EEC">
              <w:rPr>
                <w:rFonts w:ascii="Times New Roman" w:hAnsi="Times New Roman" w:cs="Times New Roman"/>
                <w:sz w:val="21"/>
                <w:szCs w:val="21"/>
              </w:rPr>
              <w:t xml:space="preserve">Creatinine </w:t>
            </w:r>
          </w:p>
        </w:tc>
        <w:tc>
          <w:tcPr>
            <w:tcW w:w="1142" w:type="dxa"/>
          </w:tcPr>
          <w:p w14:paraId="18F70DA7" w14:textId="77777777" w:rsidR="00085DF8" w:rsidRPr="00384EEC" w:rsidRDefault="00085DF8" w:rsidP="00005E52">
            <w:pPr>
              <w:pStyle w:val="P68B1DB1-TableParagraph14"/>
              <w:spacing w:before="95"/>
              <w:ind w:left="2" w:right="2"/>
              <w:rPr>
                <w:rFonts w:hAnsi="Times New Roman" w:cs="Times New Roman"/>
                <w:sz w:val="21"/>
                <w:szCs w:val="21"/>
              </w:rPr>
            </w:pPr>
            <w:r w:rsidRPr="00384EEC">
              <w:rPr>
                <w:rFonts w:hAnsi="Times New Roman" w:cs="Times New Roman"/>
                <w:sz w:val="21"/>
                <w:szCs w:val="21"/>
              </w:rPr>
              <w:t xml:space="preserve">OS </w:t>
            </w:r>
          </w:p>
        </w:tc>
        <w:tc>
          <w:tcPr>
            <w:tcW w:w="2702" w:type="dxa"/>
            <w:tcBorders>
              <w:right w:val="nil"/>
            </w:tcBorders>
          </w:tcPr>
          <w:p w14:paraId="58D37F48" w14:textId="77777777" w:rsidR="00085DF8" w:rsidRPr="00384EEC" w:rsidRDefault="00085DF8" w:rsidP="00005E52">
            <w:pPr>
              <w:pStyle w:val="P68B1DB1-TableParagraph13"/>
              <w:spacing w:before="67"/>
              <w:ind w:right="6"/>
              <w:rPr>
                <w:rFonts w:ascii="Times New Roman" w:hAnsi="Times New Roman" w:cs="Times New Roman"/>
                <w:sz w:val="21"/>
                <w:szCs w:val="21"/>
              </w:rPr>
            </w:pPr>
            <w:r w:rsidRPr="00384EEC">
              <w:rPr>
                <w:rFonts w:ascii="Times New Roman" w:hAnsi="Times New Roman" w:cs="Times New Roman"/>
                <w:sz w:val="21"/>
                <w:szCs w:val="21"/>
              </w:rPr>
              <w:t xml:space="preserve">Overall survival </w:t>
            </w:r>
          </w:p>
        </w:tc>
      </w:tr>
      <w:tr w:rsidR="00085DF8" w:rsidRPr="00384EEC" w14:paraId="5764CFC0" w14:textId="77777777" w:rsidTr="00384EEC">
        <w:trPr>
          <w:trHeight w:val="467"/>
          <w:jc w:val="center"/>
        </w:trPr>
        <w:tc>
          <w:tcPr>
            <w:tcW w:w="1480" w:type="dxa"/>
            <w:tcBorders>
              <w:left w:val="nil"/>
            </w:tcBorders>
          </w:tcPr>
          <w:p w14:paraId="1A064837" w14:textId="77777777" w:rsidR="00085DF8" w:rsidRPr="00384EEC" w:rsidRDefault="00085DF8" w:rsidP="00005E52">
            <w:pPr>
              <w:pStyle w:val="P68B1DB1-TableParagraph14"/>
              <w:spacing w:before="97"/>
              <w:ind w:left="7" w:right="3"/>
              <w:rPr>
                <w:rFonts w:hAnsi="Times New Roman" w:cs="Times New Roman"/>
                <w:sz w:val="21"/>
                <w:szCs w:val="21"/>
              </w:rPr>
            </w:pPr>
            <w:r w:rsidRPr="00384EEC">
              <w:rPr>
                <w:rFonts w:hAnsi="Times New Roman" w:cs="Times New Roman"/>
                <w:sz w:val="21"/>
                <w:szCs w:val="21"/>
              </w:rPr>
              <w:t xml:space="preserve">CTCAE </w:t>
            </w:r>
          </w:p>
        </w:tc>
        <w:tc>
          <w:tcPr>
            <w:tcW w:w="2976" w:type="dxa"/>
          </w:tcPr>
          <w:p w14:paraId="7E0D242B" w14:textId="77777777" w:rsidR="00085DF8" w:rsidRPr="00384EEC" w:rsidRDefault="00085DF8" w:rsidP="00005E52">
            <w:pPr>
              <w:pStyle w:val="P68B1DB1-TableParagraph13"/>
              <w:spacing w:before="67"/>
              <w:ind w:left="1"/>
              <w:rPr>
                <w:rFonts w:ascii="Times New Roman" w:hAnsi="Times New Roman" w:cs="Times New Roman"/>
                <w:sz w:val="21"/>
                <w:szCs w:val="21"/>
              </w:rPr>
            </w:pPr>
            <w:r w:rsidRPr="00384EEC">
              <w:rPr>
                <w:rFonts w:ascii="Times New Roman" w:hAnsi="Times New Roman" w:cs="Times New Roman"/>
                <w:sz w:val="21"/>
                <w:szCs w:val="21"/>
              </w:rPr>
              <w:t xml:space="preserve">Common Terminology Criteria for Adverse Events </w:t>
            </w:r>
          </w:p>
        </w:tc>
        <w:tc>
          <w:tcPr>
            <w:tcW w:w="1142" w:type="dxa"/>
          </w:tcPr>
          <w:p w14:paraId="59317CAE" w14:textId="77777777" w:rsidR="00085DF8" w:rsidRPr="00384EEC" w:rsidRDefault="00085DF8" w:rsidP="00005E52">
            <w:pPr>
              <w:pStyle w:val="P68B1DB1-TableParagraph14"/>
              <w:spacing w:before="97"/>
              <w:ind w:left="2"/>
              <w:rPr>
                <w:rFonts w:hAnsi="Times New Roman" w:cs="Times New Roman"/>
                <w:sz w:val="21"/>
                <w:szCs w:val="21"/>
              </w:rPr>
            </w:pPr>
            <w:r w:rsidRPr="00384EEC">
              <w:rPr>
                <w:rFonts w:hAnsi="Times New Roman" w:cs="Times New Roman"/>
                <w:sz w:val="21"/>
                <w:szCs w:val="21"/>
              </w:rPr>
              <w:t xml:space="preserve">PFS </w:t>
            </w:r>
          </w:p>
        </w:tc>
        <w:tc>
          <w:tcPr>
            <w:tcW w:w="2702" w:type="dxa"/>
            <w:tcBorders>
              <w:right w:val="nil"/>
            </w:tcBorders>
          </w:tcPr>
          <w:p w14:paraId="5A89112D" w14:textId="77777777" w:rsidR="00085DF8" w:rsidRPr="00384EEC" w:rsidRDefault="00085DF8" w:rsidP="00005E52">
            <w:pPr>
              <w:pStyle w:val="P68B1DB1-TableParagraph13"/>
              <w:spacing w:before="67"/>
              <w:ind w:right="6"/>
              <w:rPr>
                <w:rFonts w:ascii="Times New Roman" w:hAnsi="Times New Roman" w:cs="Times New Roman"/>
                <w:sz w:val="21"/>
                <w:szCs w:val="21"/>
              </w:rPr>
            </w:pPr>
            <w:r w:rsidRPr="00384EEC">
              <w:rPr>
                <w:rFonts w:ascii="Times New Roman" w:hAnsi="Times New Roman" w:cs="Times New Roman"/>
                <w:sz w:val="21"/>
                <w:szCs w:val="21"/>
              </w:rPr>
              <w:t xml:space="preserve">Progression-free survival </w:t>
            </w:r>
          </w:p>
        </w:tc>
      </w:tr>
      <w:tr w:rsidR="00085DF8" w:rsidRPr="00384EEC" w14:paraId="5D689C40" w14:textId="77777777" w:rsidTr="00384EEC">
        <w:trPr>
          <w:trHeight w:val="468"/>
          <w:jc w:val="center"/>
        </w:trPr>
        <w:tc>
          <w:tcPr>
            <w:tcW w:w="1480" w:type="dxa"/>
            <w:tcBorders>
              <w:left w:val="nil"/>
            </w:tcBorders>
          </w:tcPr>
          <w:p w14:paraId="5182E1E0" w14:textId="77777777" w:rsidR="00085DF8" w:rsidRPr="00384EEC" w:rsidRDefault="00085DF8" w:rsidP="00005E52">
            <w:pPr>
              <w:pStyle w:val="P68B1DB1-TableParagraph14"/>
              <w:spacing w:before="96"/>
              <w:ind w:left="7" w:right="6"/>
              <w:rPr>
                <w:rFonts w:hAnsi="Times New Roman" w:cs="Times New Roman"/>
                <w:sz w:val="21"/>
                <w:szCs w:val="21"/>
              </w:rPr>
            </w:pPr>
            <w:r w:rsidRPr="00384EEC">
              <w:rPr>
                <w:rFonts w:hAnsi="Times New Roman" w:cs="Times New Roman"/>
                <w:sz w:val="21"/>
                <w:szCs w:val="21"/>
              </w:rPr>
              <w:t xml:space="preserve">DB </w:t>
            </w:r>
          </w:p>
        </w:tc>
        <w:tc>
          <w:tcPr>
            <w:tcW w:w="2976" w:type="dxa"/>
          </w:tcPr>
          <w:p w14:paraId="25202226" w14:textId="77777777" w:rsidR="00085DF8" w:rsidRPr="00384EEC" w:rsidRDefault="00085DF8" w:rsidP="00005E52">
            <w:pPr>
              <w:pStyle w:val="P68B1DB1-TableParagraph13"/>
              <w:spacing w:before="66"/>
              <w:ind w:left="1"/>
              <w:rPr>
                <w:rFonts w:ascii="Times New Roman" w:hAnsi="Times New Roman" w:cs="Times New Roman"/>
                <w:sz w:val="21"/>
                <w:szCs w:val="21"/>
              </w:rPr>
            </w:pPr>
            <w:r w:rsidRPr="00384EEC">
              <w:rPr>
                <w:rFonts w:ascii="Times New Roman" w:hAnsi="Times New Roman" w:cs="Times New Roman"/>
                <w:sz w:val="21"/>
                <w:szCs w:val="21"/>
              </w:rPr>
              <w:t xml:space="preserve">Direct bilirubin </w:t>
            </w:r>
          </w:p>
        </w:tc>
        <w:tc>
          <w:tcPr>
            <w:tcW w:w="1142" w:type="dxa"/>
          </w:tcPr>
          <w:p w14:paraId="5CCAC220" w14:textId="77777777" w:rsidR="00085DF8" w:rsidRPr="00384EEC" w:rsidRDefault="00085DF8" w:rsidP="00005E52">
            <w:pPr>
              <w:pStyle w:val="P68B1DB1-TableParagraph14"/>
              <w:spacing w:before="96"/>
              <w:ind w:left="2" w:right="2"/>
              <w:rPr>
                <w:rFonts w:hAnsi="Times New Roman" w:cs="Times New Roman"/>
                <w:sz w:val="21"/>
                <w:szCs w:val="21"/>
              </w:rPr>
            </w:pPr>
            <w:r w:rsidRPr="00384EEC">
              <w:rPr>
                <w:rFonts w:hAnsi="Times New Roman" w:cs="Times New Roman"/>
                <w:sz w:val="21"/>
                <w:szCs w:val="21"/>
              </w:rPr>
              <w:t xml:space="preserve">QTc </w:t>
            </w:r>
          </w:p>
        </w:tc>
        <w:tc>
          <w:tcPr>
            <w:tcW w:w="2702" w:type="dxa"/>
            <w:tcBorders>
              <w:right w:val="nil"/>
            </w:tcBorders>
          </w:tcPr>
          <w:p w14:paraId="698639E9" w14:textId="302107A0" w:rsidR="00085DF8" w:rsidRPr="00384EEC" w:rsidRDefault="004C7E2C" w:rsidP="00005E52">
            <w:pPr>
              <w:pStyle w:val="P68B1DB1-TableParagraph13"/>
              <w:spacing w:before="66"/>
              <w:ind w:left="4" w:right="6"/>
              <w:rPr>
                <w:rFonts w:ascii="Times New Roman" w:hAnsi="Times New Roman" w:cs="Times New Roman"/>
                <w:sz w:val="21"/>
                <w:szCs w:val="21"/>
              </w:rPr>
            </w:pPr>
            <w:r w:rsidRPr="00F94C48">
              <w:rPr>
                <w:rFonts w:ascii="Times New Roman" w:hAnsi="Times New Roman" w:cs="Times New Roman"/>
                <w:color w:val="000000" w:themeColor="text1"/>
                <w:sz w:val="21"/>
                <w:szCs w:val="21"/>
                <w:shd w:val="clear" w:color="auto" w:fill="FFFFFF"/>
              </w:rPr>
              <w:t>Corrected</w:t>
            </w:r>
            <w:r w:rsidR="00085DF8" w:rsidRPr="00384EEC">
              <w:rPr>
                <w:rFonts w:ascii="Times New Roman" w:hAnsi="Times New Roman" w:cs="Times New Roman"/>
                <w:sz w:val="21"/>
                <w:szCs w:val="21"/>
              </w:rPr>
              <w:t xml:space="preserve"> </w:t>
            </w:r>
            <w:r w:rsidR="00085DF8" w:rsidRPr="00384EEC">
              <w:rPr>
                <w:rFonts w:ascii="Times New Roman" w:eastAsia="Times New Roman" w:hAnsi="Times New Roman" w:cs="Times New Roman"/>
                <w:sz w:val="21"/>
                <w:szCs w:val="21"/>
              </w:rPr>
              <w:t xml:space="preserve">Q-T </w:t>
            </w:r>
            <w:r w:rsidR="00085DF8" w:rsidRPr="00384EEC">
              <w:rPr>
                <w:rFonts w:ascii="Times New Roman" w:hAnsi="Times New Roman" w:cs="Times New Roman"/>
                <w:sz w:val="21"/>
                <w:szCs w:val="21"/>
              </w:rPr>
              <w:t xml:space="preserve">Interval </w:t>
            </w:r>
          </w:p>
        </w:tc>
      </w:tr>
      <w:tr w:rsidR="00085DF8" w:rsidRPr="00384EEC" w14:paraId="57ECC164" w14:textId="77777777" w:rsidTr="00384EEC">
        <w:trPr>
          <w:trHeight w:val="467"/>
          <w:jc w:val="center"/>
        </w:trPr>
        <w:tc>
          <w:tcPr>
            <w:tcW w:w="1480" w:type="dxa"/>
            <w:tcBorders>
              <w:left w:val="nil"/>
            </w:tcBorders>
          </w:tcPr>
          <w:p w14:paraId="113F1FB7" w14:textId="77777777" w:rsidR="00085DF8" w:rsidRPr="00384EEC" w:rsidRDefault="00085DF8" w:rsidP="00005E52">
            <w:pPr>
              <w:pStyle w:val="P68B1DB1-TableParagraph14"/>
              <w:spacing w:before="96"/>
              <w:ind w:left="7" w:right="4"/>
              <w:rPr>
                <w:rFonts w:hAnsi="Times New Roman" w:cs="Times New Roman"/>
                <w:sz w:val="21"/>
                <w:szCs w:val="21"/>
              </w:rPr>
            </w:pPr>
            <w:r w:rsidRPr="00384EEC">
              <w:rPr>
                <w:rFonts w:hAnsi="Times New Roman" w:cs="Times New Roman"/>
                <w:sz w:val="21"/>
                <w:szCs w:val="21"/>
              </w:rPr>
              <w:t xml:space="preserve">DCR </w:t>
            </w:r>
          </w:p>
        </w:tc>
        <w:tc>
          <w:tcPr>
            <w:tcW w:w="2976" w:type="dxa"/>
          </w:tcPr>
          <w:p w14:paraId="3DB06880" w14:textId="77777777" w:rsidR="00085DF8" w:rsidRPr="00384EEC" w:rsidRDefault="00085DF8" w:rsidP="00005E52">
            <w:pPr>
              <w:pStyle w:val="P68B1DB1-TableParagraph13"/>
              <w:spacing w:before="68"/>
              <w:ind w:left="1"/>
              <w:rPr>
                <w:rFonts w:ascii="Times New Roman" w:hAnsi="Times New Roman" w:cs="Times New Roman"/>
                <w:sz w:val="21"/>
                <w:szCs w:val="21"/>
              </w:rPr>
            </w:pPr>
            <w:r w:rsidRPr="00384EEC">
              <w:rPr>
                <w:rFonts w:ascii="Times New Roman" w:hAnsi="Times New Roman" w:cs="Times New Roman"/>
                <w:sz w:val="21"/>
                <w:szCs w:val="21"/>
              </w:rPr>
              <w:t xml:space="preserve">Disease control rate </w:t>
            </w:r>
          </w:p>
        </w:tc>
        <w:tc>
          <w:tcPr>
            <w:tcW w:w="1142" w:type="dxa"/>
          </w:tcPr>
          <w:p w14:paraId="33A5D91B" w14:textId="7E2E4C74" w:rsidR="00085DF8" w:rsidRPr="00384EEC" w:rsidRDefault="008D4347" w:rsidP="00005E52">
            <w:pPr>
              <w:pStyle w:val="P68B1DB1-TableParagraph14"/>
              <w:spacing w:before="96"/>
              <w:ind w:left="2"/>
              <w:rPr>
                <w:rFonts w:hAnsi="Times New Roman" w:cs="Times New Roman"/>
                <w:sz w:val="21"/>
                <w:szCs w:val="21"/>
              </w:rPr>
            </w:pPr>
            <w:r>
              <w:rPr>
                <w:rFonts w:hAnsi="Times New Roman" w:cs="Times New Roman"/>
                <w:sz w:val="21"/>
                <w:szCs w:val="21"/>
              </w:rPr>
              <w:t>QoL</w:t>
            </w:r>
          </w:p>
        </w:tc>
        <w:tc>
          <w:tcPr>
            <w:tcW w:w="2702" w:type="dxa"/>
            <w:tcBorders>
              <w:right w:val="nil"/>
            </w:tcBorders>
          </w:tcPr>
          <w:p w14:paraId="7C86BC25" w14:textId="5137FB58" w:rsidR="00085DF8" w:rsidRPr="00384EEC" w:rsidRDefault="008D4347" w:rsidP="00005E52">
            <w:pPr>
              <w:pStyle w:val="P68B1DB1-TableParagraph13"/>
              <w:spacing w:before="68"/>
              <w:ind w:right="6"/>
              <w:rPr>
                <w:rFonts w:ascii="Times New Roman" w:hAnsi="Times New Roman" w:cs="Times New Roman"/>
                <w:sz w:val="21"/>
                <w:szCs w:val="21"/>
              </w:rPr>
            </w:pPr>
            <w:r>
              <w:rPr>
                <w:rFonts w:ascii="Times New Roman" w:hAnsi="Times New Roman" w:cs="Times New Roman"/>
                <w:sz w:val="21"/>
                <w:szCs w:val="21"/>
              </w:rPr>
              <w:t>Quality of life</w:t>
            </w:r>
          </w:p>
        </w:tc>
      </w:tr>
      <w:tr w:rsidR="008D4347" w:rsidRPr="00384EEC" w14:paraId="37C0D449" w14:textId="77777777" w:rsidTr="00384EEC">
        <w:trPr>
          <w:trHeight w:val="468"/>
          <w:jc w:val="center"/>
        </w:trPr>
        <w:tc>
          <w:tcPr>
            <w:tcW w:w="1480" w:type="dxa"/>
            <w:tcBorders>
              <w:left w:val="nil"/>
            </w:tcBorders>
          </w:tcPr>
          <w:p w14:paraId="30C3ED2D" w14:textId="77777777" w:rsidR="008D4347" w:rsidRPr="00384EEC" w:rsidRDefault="008D4347" w:rsidP="008D4347">
            <w:pPr>
              <w:pStyle w:val="P68B1DB1-TableParagraph14"/>
              <w:spacing w:before="96"/>
              <w:ind w:left="7" w:right="2"/>
              <w:rPr>
                <w:rFonts w:hAnsi="Times New Roman" w:cs="Times New Roman"/>
                <w:sz w:val="21"/>
                <w:szCs w:val="21"/>
              </w:rPr>
            </w:pPr>
            <w:r w:rsidRPr="00384EEC">
              <w:rPr>
                <w:rFonts w:hAnsi="Times New Roman" w:cs="Times New Roman"/>
                <w:sz w:val="21"/>
                <w:szCs w:val="21"/>
              </w:rPr>
              <w:t xml:space="preserve">DLT </w:t>
            </w:r>
          </w:p>
        </w:tc>
        <w:tc>
          <w:tcPr>
            <w:tcW w:w="2976" w:type="dxa"/>
          </w:tcPr>
          <w:p w14:paraId="676E94A3" w14:textId="77777777" w:rsidR="008D4347" w:rsidRPr="00384EEC" w:rsidRDefault="008D4347" w:rsidP="008D4347">
            <w:pPr>
              <w:pStyle w:val="P68B1DB1-TableParagraph13"/>
              <w:spacing w:before="68"/>
              <w:ind w:left="1"/>
              <w:rPr>
                <w:rFonts w:ascii="Times New Roman" w:hAnsi="Times New Roman" w:cs="Times New Roman"/>
                <w:sz w:val="21"/>
                <w:szCs w:val="21"/>
              </w:rPr>
            </w:pPr>
            <w:r w:rsidRPr="00384EEC">
              <w:rPr>
                <w:rFonts w:ascii="Times New Roman" w:hAnsi="Times New Roman" w:cs="Times New Roman"/>
                <w:sz w:val="21"/>
                <w:szCs w:val="21"/>
              </w:rPr>
              <w:t xml:space="preserve">Dose limiting toxicity </w:t>
            </w:r>
          </w:p>
        </w:tc>
        <w:tc>
          <w:tcPr>
            <w:tcW w:w="1142" w:type="dxa"/>
          </w:tcPr>
          <w:p w14:paraId="18492163" w14:textId="6BB24CE3" w:rsidR="008D4347" w:rsidRPr="00384EEC" w:rsidRDefault="008D4347" w:rsidP="008D4347">
            <w:pPr>
              <w:pStyle w:val="P68B1DB1-TableParagraph14"/>
              <w:spacing w:before="96"/>
              <w:ind w:left="2" w:right="2"/>
              <w:rPr>
                <w:rFonts w:hAnsi="Times New Roman" w:cs="Times New Roman"/>
                <w:sz w:val="21"/>
                <w:szCs w:val="21"/>
              </w:rPr>
            </w:pPr>
            <w:r w:rsidRPr="00384EEC">
              <w:rPr>
                <w:rFonts w:hAnsi="Times New Roman" w:cs="Times New Roman"/>
                <w:sz w:val="21"/>
                <w:szCs w:val="21"/>
              </w:rPr>
              <w:t xml:space="preserve">SAE </w:t>
            </w:r>
          </w:p>
        </w:tc>
        <w:tc>
          <w:tcPr>
            <w:tcW w:w="2702" w:type="dxa"/>
            <w:tcBorders>
              <w:right w:val="nil"/>
            </w:tcBorders>
          </w:tcPr>
          <w:p w14:paraId="48928338" w14:textId="323C8C37" w:rsidR="008D4347" w:rsidRPr="00384EEC" w:rsidRDefault="008D4347" w:rsidP="008D4347">
            <w:pPr>
              <w:pStyle w:val="P68B1DB1-TableParagraph13"/>
              <w:spacing w:before="68"/>
              <w:ind w:right="6"/>
              <w:rPr>
                <w:rFonts w:ascii="Times New Roman" w:hAnsi="Times New Roman" w:cs="Times New Roman"/>
                <w:sz w:val="21"/>
                <w:szCs w:val="21"/>
              </w:rPr>
            </w:pPr>
            <w:r w:rsidRPr="00384EEC">
              <w:rPr>
                <w:rFonts w:ascii="Times New Roman" w:hAnsi="Times New Roman" w:cs="Times New Roman"/>
                <w:sz w:val="21"/>
                <w:szCs w:val="21"/>
              </w:rPr>
              <w:t xml:space="preserve">Serious adverse event </w:t>
            </w:r>
          </w:p>
        </w:tc>
      </w:tr>
      <w:tr w:rsidR="008D4347" w:rsidRPr="00384EEC" w14:paraId="75DD1C87" w14:textId="77777777" w:rsidTr="00384EEC">
        <w:trPr>
          <w:trHeight w:val="467"/>
          <w:jc w:val="center"/>
        </w:trPr>
        <w:tc>
          <w:tcPr>
            <w:tcW w:w="1480" w:type="dxa"/>
            <w:tcBorders>
              <w:left w:val="nil"/>
            </w:tcBorders>
          </w:tcPr>
          <w:p w14:paraId="7B9CBF4B" w14:textId="77777777" w:rsidR="008D4347" w:rsidRPr="00384EEC" w:rsidRDefault="008D4347" w:rsidP="008D4347">
            <w:pPr>
              <w:pStyle w:val="P68B1DB1-TableParagraph14"/>
              <w:spacing w:before="95"/>
              <w:ind w:left="7"/>
              <w:rPr>
                <w:rFonts w:hAnsi="Times New Roman" w:cs="Times New Roman"/>
                <w:sz w:val="21"/>
                <w:szCs w:val="21"/>
              </w:rPr>
            </w:pPr>
            <w:r w:rsidRPr="00384EEC">
              <w:rPr>
                <w:rFonts w:hAnsi="Times New Roman" w:cs="Times New Roman"/>
                <w:sz w:val="21"/>
                <w:szCs w:val="21"/>
              </w:rPr>
              <w:t xml:space="preserve">DOR </w:t>
            </w:r>
          </w:p>
        </w:tc>
        <w:tc>
          <w:tcPr>
            <w:tcW w:w="2976" w:type="dxa"/>
          </w:tcPr>
          <w:p w14:paraId="4763AB17" w14:textId="77777777" w:rsidR="008D4347" w:rsidRPr="00384EEC" w:rsidRDefault="008D4347" w:rsidP="008D4347">
            <w:pPr>
              <w:pStyle w:val="P68B1DB1-TableParagraph13"/>
              <w:spacing w:before="68"/>
              <w:ind w:left="1"/>
              <w:rPr>
                <w:rFonts w:ascii="Times New Roman" w:hAnsi="Times New Roman" w:cs="Times New Roman"/>
                <w:sz w:val="21"/>
                <w:szCs w:val="21"/>
              </w:rPr>
            </w:pPr>
            <w:r w:rsidRPr="00384EEC">
              <w:rPr>
                <w:rFonts w:ascii="Times New Roman" w:hAnsi="Times New Roman" w:cs="Times New Roman"/>
                <w:sz w:val="21"/>
                <w:szCs w:val="21"/>
              </w:rPr>
              <w:t xml:space="preserve">Duration of Response </w:t>
            </w:r>
          </w:p>
        </w:tc>
        <w:tc>
          <w:tcPr>
            <w:tcW w:w="1142" w:type="dxa"/>
          </w:tcPr>
          <w:p w14:paraId="55A75B29" w14:textId="57DBD53F" w:rsidR="008D4347" w:rsidRPr="00384EEC" w:rsidRDefault="008D4347" w:rsidP="008D4347">
            <w:pPr>
              <w:pStyle w:val="P68B1DB1-TableParagraph14"/>
              <w:spacing w:before="95"/>
              <w:ind w:left="2" w:right="2"/>
              <w:rPr>
                <w:rFonts w:hAnsi="Times New Roman" w:cs="Times New Roman"/>
                <w:sz w:val="21"/>
                <w:szCs w:val="21"/>
              </w:rPr>
            </w:pPr>
            <w:r w:rsidRPr="00384EEC">
              <w:rPr>
                <w:rFonts w:hAnsi="Times New Roman" w:cs="Times New Roman"/>
                <w:sz w:val="21"/>
                <w:szCs w:val="21"/>
              </w:rPr>
              <w:t xml:space="preserve">SD </w:t>
            </w:r>
          </w:p>
        </w:tc>
        <w:tc>
          <w:tcPr>
            <w:tcW w:w="2702" w:type="dxa"/>
            <w:tcBorders>
              <w:right w:val="nil"/>
            </w:tcBorders>
          </w:tcPr>
          <w:p w14:paraId="10610A84" w14:textId="2790C5BA" w:rsidR="008D4347" w:rsidRPr="00384EEC" w:rsidRDefault="008D4347" w:rsidP="008D4347">
            <w:pPr>
              <w:pStyle w:val="P68B1DB1-TableParagraph13"/>
              <w:spacing w:before="68"/>
              <w:ind w:right="6"/>
              <w:rPr>
                <w:rFonts w:ascii="Times New Roman" w:hAnsi="Times New Roman" w:cs="Times New Roman"/>
                <w:sz w:val="21"/>
                <w:szCs w:val="21"/>
              </w:rPr>
            </w:pPr>
            <w:r w:rsidRPr="00384EEC">
              <w:rPr>
                <w:rFonts w:ascii="Times New Roman" w:hAnsi="Times New Roman" w:cs="Times New Roman"/>
                <w:sz w:val="21"/>
                <w:szCs w:val="21"/>
              </w:rPr>
              <w:t xml:space="preserve">Stable disease </w:t>
            </w:r>
          </w:p>
        </w:tc>
      </w:tr>
      <w:tr w:rsidR="008D4347" w:rsidRPr="00384EEC" w14:paraId="6D3E795E" w14:textId="77777777" w:rsidTr="00384EEC">
        <w:trPr>
          <w:trHeight w:val="467"/>
          <w:jc w:val="center"/>
        </w:trPr>
        <w:tc>
          <w:tcPr>
            <w:tcW w:w="1480" w:type="dxa"/>
            <w:tcBorders>
              <w:left w:val="nil"/>
            </w:tcBorders>
          </w:tcPr>
          <w:p w14:paraId="3E9C582F" w14:textId="77777777" w:rsidR="008D4347" w:rsidRPr="00384EEC" w:rsidRDefault="008D4347" w:rsidP="008D4347">
            <w:pPr>
              <w:pStyle w:val="P68B1DB1-TableParagraph14"/>
              <w:spacing w:before="95"/>
              <w:ind w:left="7" w:right="2"/>
              <w:rPr>
                <w:rFonts w:hAnsi="Times New Roman" w:cs="Times New Roman"/>
                <w:sz w:val="21"/>
                <w:szCs w:val="21"/>
              </w:rPr>
            </w:pPr>
            <w:r w:rsidRPr="00384EEC">
              <w:rPr>
                <w:rFonts w:hAnsi="Times New Roman" w:cs="Times New Roman"/>
                <w:sz w:val="21"/>
                <w:szCs w:val="21"/>
              </w:rPr>
              <w:t xml:space="preserve">ECOG PS </w:t>
            </w:r>
          </w:p>
        </w:tc>
        <w:tc>
          <w:tcPr>
            <w:tcW w:w="2976" w:type="dxa"/>
          </w:tcPr>
          <w:p w14:paraId="0EEFE7B5" w14:textId="68505003" w:rsidR="008D4347" w:rsidRPr="00384EEC" w:rsidRDefault="008D4347" w:rsidP="008D4347">
            <w:pPr>
              <w:pStyle w:val="P68B1DB1-TableParagraph13"/>
              <w:spacing w:before="67"/>
              <w:ind w:left="1"/>
              <w:rPr>
                <w:rFonts w:ascii="Times New Roman" w:hAnsi="Times New Roman" w:cs="Times New Roman"/>
                <w:sz w:val="21"/>
                <w:szCs w:val="21"/>
              </w:rPr>
            </w:pPr>
            <w:r w:rsidRPr="00085DF8">
              <w:rPr>
                <w:rFonts w:ascii="Times New Roman" w:hAnsi="Times New Roman" w:cs="Times New Roman"/>
                <w:sz w:val="21"/>
                <w:szCs w:val="21"/>
              </w:rPr>
              <w:t>Eastern Cooperative Oncology Group</w:t>
            </w:r>
            <w:r w:rsidRPr="00384EEC">
              <w:rPr>
                <w:rFonts w:ascii="Times New Roman" w:hAnsi="Times New Roman" w:cs="Times New Roman"/>
                <w:sz w:val="21"/>
                <w:szCs w:val="21"/>
              </w:rPr>
              <w:t xml:space="preserve"> Performance status </w:t>
            </w:r>
          </w:p>
        </w:tc>
        <w:tc>
          <w:tcPr>
            <w:tcW w:w="1142" w:type="dxa"/>
          </w:tcPr>
          <w:p w14:paraId="2498BC0F" w14:textId="77FE435D" w:rsidR="008D4347" w:rsidRPr="00384EEC" w:rsidRDefault="008D4347" w:rsidP="008D4347">
            <w:pPr>
              <w:pStyle w:val="P68B1DB1-TableParagraph14"/>
              <w:spacing w:before="95"/>
              <w:ind w:left="2" w:right="2"/>
              <w:rPr>
                <w:rFonts w:hAnsi="Times New Roman" w:cs="Times New Roman"/>
                <w:sz w:val="21"/>
                <w:szCs w:val="21"/>
              </w:rPr>
            </w:pPr>
            <w:r w:rsidRPr="00384EEC">
              <w:rPr>
                <w:rFonts w:hAnsi="Times New Roman" w:cs="Times New Roman"/>
                <w:sz w:val="21"/>
                <w:szCs w:val="21"/>
              </w:rPr>
              <w:t xml:space="preserve">SOP </w:t>
            </w:r>
          </w:p>
        </w:tc>
        <w:tc>
          <w:tcPr>
            <w:tcW w:w="2702" w:type="dxa"/>
            <w:tcBorders>
              <w:right w:val="nil"/>
            </w:tcBorders>
          </w:tcPr>
          <w:p w14:paraId="127352DC" w14:textId="706B3BF8" w:rsidR="008D4347" w:rsidRPr="00384EEC" w:rsidRDefault="008D4347" w:rsidP="008D4347">
            <w:pPr>
              <w:pStyle w:val="P68B1DB1-TableParagraph13"/>
              <w:spacing w:before="67"/>
              <w:ind w:right="6"/>
              <w:rPr>
                <w:rFonts w:ascii="Times New Roman" w:hAnsi="Times New Roman" w:cs="Times New Roman"/>
                <w:sz w:val="21"/>
                <w:szCs w:val="21"/>
              </w:rPr>
            </w:pPr>
            <w:r w:rsidRPr="00384EEC">
              <w:rPr>
                <w:rFonts w:ascii="Times New Roman" w:hAnsi="Times New Roman" w:cs="Times New Roman"/>
                <w:sz w:val="21"/>
                <w:szCs w:val="21"/>
              </w:rPr>
              <w:t xml:space="preserve">Standard Operating Procedure </w:t>
            </w:r>
          </w:p>
        </w:tc>
      </w:tr>
      <w:tr w:rsidR="008D4347" w:rsidRPr="00384EEC" w14:paraId="1031B6C2" w14:textId="77777777" w:rsidTr="00384EEC">
        <w:trPr>
          <w:trHeight w:val="468"/>
          <w:jc w:val="center"/>
        </w:trPr>
        <w:tc>
          <w:tcPr>
            <w:tcW w:w="1480" w:type="dxa"/>
            <w:tcBorders>
              <w:left w:val="nil"/>
            </w:tcBorders>
          </w:tcPr>
          <w:p w14:paraId="10C2F4E0" w14:textId="77777777" w:rsidR="008D4347" w:rsidRPr="00384EEC" w:rsidRDefault="008D4347" w:rsidP="008D4347">
            <w:pPr>
              <w:pStyle w:val="P68B1DB1-TableParagraph14"/>
              <w:spacing w:before="97"/>
              <w:ind w:left="7" w:right="3"/>
              <w:rPr>
                <w:rFonts w:hAnsi="Times New Roman" w:cs="Times New Roman"/>
                <w:sz w:val="21"/>
                <w:szCs w:val="21"/>
              </w:rPr>
            </w:pPr>
            <w:r w:rsidRPr="00384EEC">
              <w:rPr>
                <w:rFonts w:hAnsi="Times New Roman" w:cs="Times New Roman"/>
                <w:sz w:val="21"/>
                <w:szCs w:val="21"/>
              </w:rPr>
              <w:t xml:space="preserve">HBsAg </w:t>
            </w:r>
          </w:p>
        </w:tc>
        <w:tc>
          <w:tcPr>
            <w:tcW w:w="2976" w:type="dxa"/>
          </w:tcPr>
          <w:p w14:paraId="2238F43E" w14:textId="77777777" w:rsidR="008D4347" w:rsidRPr="00384EEC" w:rsidRDefault="008D4347" w:rsidP="008D4347">
            <w:pPr>
              <w:pStyle w:val="P68B1DB1-TableParagraph13"/>
              <w:spacing w:before="67"/>
              <w:ind w:left="1"/>
              <w:rPr>
                <w:rFonts w:ascii="Times New Roman" w:hAnsi="Times New Roman" w:cs="Times New Roman"/>
                <w:sz w:val="21"/>
                <w:szCs w:val="21"/>
              </w:rPr>
            </w:pPr>
            <w:r w:rsidRPr="00384EEC">
              <w:rPr>
                <w:rFonts w:ascii="Times New Roman" w:hAnsi="Times New Roman" w:cs="Times New Roman"/>
                <w:sz w:val="21"/>
                <w:szCs w:val="21"/>
              </w:rPr>
              <w:t xml:space="preserve">Hepatitis B surface antigen </w:t>
            </w:r>
          </w:p>
        </w:tc>
        <w:tc>
          <w:tcPr>
            <w:tcW w:w="1142" w:type="dxa"/>
          </w:tcPr>
          <w:p w14:paraId="7DFEB135" w14:textId="66F860BB" w:rsidR="008D4347" w:rsidRPr="003A17C9" w:rsidRDefault="008D4347" w:rsidP="008D4347">
            <w:pPr>
              <w:pStyle w:val="TableParagraph"/>
              <w:ind w:left="480"/>
              <w:rPr>
                <w:rFonts w:ascii="Times New Roman" w:hAnsi="Times New Roman" w:cs="Times New Roman"/>
                <w:sz w:val="21"/>
                <w:szCs w:val="21"/>
              </w:rPr>
            </w:pPr>
            <w:r w:rsidRPr="00F94C48">
              <w:rPr>
                <w:rFonts w:ascii="Times New Roman" w:hAnsi="Times New Roman" w:cs="Times New Roman"/>
                <w:sz w:val="21"/>
                <w:szCs w:val="21"/>
              </w:rPr>
              <w:t xml:space="preserve">TB </w:t>
            </w:r>
          </w:p>
        </w:tc>
        <w:tc>
          <w:tcPr>
            <w:tcW w:w="2702" w:type="dxa"/>
            <w:tcBorders>
              <w:right w:val="nil"/>
            </w:tcBorders>
          </w:tcPr>
          <w:p w14:paraId="2EE1316C" w14:textId="61A3CD08" w:rsidR="008D4347" w:rsidRPr="00384EEC" w:rsidRDefault="008D4347" w:rsidP="008D4347">
            <w:pPr>
              <w:pStyle w:val="TableParagraph"/>
              <w:ind w:left="480"/>
              <w:rPr>
                <w:rFonts w:ascii="Times New Roman" w:hAnsi="Times New Roman" w:cs="Times New Roman"/>
                <w:sz w:val="21"/>
                <w:szCs w:val="21"/>
              </w:rPr>
            </w:pPr>
            <w:r w:rsidRPr="00384EEC">
              <w:rPr>
                <w:rFonts w:ascii="Times New Roman" w:hAnsi="Times New Roman" w:cs="Times New Roman"/>
                <w:sz w:val="21"/>
                <w:szCs w:val="21"/>
              </w:rPr>
              <w:t xml:space="preserve">Total bilirubin </w:t>
            </w:r>
          </w:p>
        </w:tc>
      </w:tr>
      <w:tr w:rsidR="008D4347" w:rsidRPr="00384EEC" w14:paraId="11A5D9B5" w14:textId="77777777" w:rsidTr="00384EEC">
        <w:trPr>
          <w:trHeight w:val="467"/>
          <w:jc w:val="center"/>
        </w:trPr>
        <w:tc>
          <w:tcPr>
            <w:tcW w:w="1480" w:type="dxa"/>
            <w:tcBorders>
              <w:left w:val="nil"/>
            </w:tcBorders>
          </w:tcPr>
          <w:p w14:paraId="5E3CDEA2" w14:textId="77777777" w:rsidR="008D4347" w:rsidRPr="00384EEC" w:rsidRDefault="008D4347" w:rsidP="008D4347">
            <w:pPr>
              <w:pStyle w:val="P68B1DB1-TableParagraph14"/>
              <w:spacing w:before="96"/>
              <w:ind w:left="7"/>
              <w:rPr>
                <w:rFonts w:hAnsi="Times New Roman" w:cs="Times New Roman"/>
                <w:sz w:val="21"/>
                <w:szCs w:val="21"/>
              </w:rPr>
            </w:pPr>
            <w:r w:rsidRPr="00384EEC">
              <w:rPr>
                <w:rFonts w:hAnsi="Times New Roman" w:cs="Times New Roman"/>
                <w:sz w:val="21"/>
                <w:szCs w:val="21"/>
              </w:rPr>
              <w:t xml:space="preserve">HBV-DNA </w:t>
            </w:r>
          </w:p>
        </w:tc>
        <w:tc>
          <w:tcPr>
            <w:tcW w:w="2976" w:type="dxa"/>
          </w:tcPr>
          <w:p w14:paraId="6035C27E" w14:textId="7EC0E38B" w:rsidR="008D4347" w:rsidRPr="00384EEC" w:rsidRDefault="008D4347" w:rsidP="008D4347">
            <w:pPr>
              <w:pStyle w:val="P68B1DB1-TableParagraph13"/>
              <w:spacing w:before="66"/>
              <w:ind w:left="1"/>
              <w:rPr>
                <w:rFonts w:ascii="Times New Roman" w:hAnsi="Times New Roman" w:cs="Times New Roman"/>
                <w:sz w:val="21"/>
                <w:szCs w:val="21"/>
              </w:rPr>
            </w:pPr>
            <w:r w:rsidRPr="00085DF8">
              <w:rPr>
                <w:rFonts w:ascii="Times New Roman" w:hAnsi="Times New Roman" w:cs="Times New Roman"/>
                <w:sz w:val="21"/>
                <w:szCs w:val="21"/>
              </w:rPr>
              <w:t>Hepatitis</w:t>
            </w:r>
            <w:r>
              <w:rPr>
                <w:rFonts w:ascii="Times New Roman" w:hAnsi="Times New Roman" w:cs="Times New Roman"/>
                <w:sz w:val="21"/>
                <w:szCs w:val="21"/>
              </w:rPr>
              <w:t xml:space="preserve"> B</w:t>
            </w:r>
            <w:r w:rsidRPr="00384EEC">
              <w:rPr>
                <w:rFonts w:ascii="Times New Roman" w:hAnsi="Times New Roman" w:cs="Times New Roman"/>
                <w:sz w:val="21"/>
                <w:szCs w:val="21"/>
              </w:rPr>
              <w:t xml:space="preserve"> </w:t>
            </w:r>
            <w:r>
              <w:rPr>
                <w:rFonts w:ascii="Times New Roman" w:hAnsi="Times New Roman" w:cs="Times New Roman"/>
                <w:sz w:val="21"/>
                <w:szCs w:val="21"/>
              </w:rPr>
              <w:t xml:space="preserve">irus </w:t>
            </w:r>
            <w:r w:rsidRPr="00384EEC">
              <w:rPr>
                <w:rFonts w:ascii="Times New Roman" w:hAnsi="Times New Roman" w:cs="Times New Roman"/>
                <w:sz w:val="21"/>
                <w:szCs w:val="21"/>
              </w:rPr>
              <w:t xml:space="preserve">DNA </w:t>
            </w:r>
          </w:p>
        </w:tc>
        <w:tc>
          <w:tcPr>
            <w:tcW w:w="1142" w:type="dxa"/>
          </w:tcPr>
          <w:p w14:paraId="09734D38" w14:textId="77777777" w:rsidR="008D4347" w:rsidRPr="00384EEC" w:rsidRDefault="008D4347" w:rsidP="008D4347">
            <w:pPr>
              <w:pStyle w:val="TableParagraph"/>
              <w:ind w:left="480"/>
              <w:rPr>
                <w:rFonts w:ascii="Times New Roman" w:hAnsi="Times New Roman" w:cs="Times New Roman"/>
                <w:sz w:val="21"/>
                <w:szCs w:val="21"/>
              </w:rPr>
            </w:pPr>
          </w:p>
        </w:tc>
        <w:tc>
          <w:tcPr>
            <w:tcW w:w="2702" w:type="dxa"/>
            <w:tcBorders>
              <w:right w:val="nil"/>
            </w:tcBorders>
          </w:tcPr>
          <w:p w14:paraId="276610F9" w14:textId="77777777" w:rsidR="008D4347" w:rsidRPr="00384EEC" w:rsidRDefault="008D4347" w:rsidP="008D4347">
            <w:pPr>
              <w:pStyle w:val="TableParagraph"/>
              <w:ind w:left="480"/>
              <w:rPr>
                <w:rFonts w:ascii="Times New Roman" w:hAnsi="Times New Roman" w:cs="Times New Roman"/>
                <w:sz w:val="21"/>
                <w:szCs w:val="21"/>
              </w:rPr>
            </w:pPr>
          </w:p>
        </w:tc>
      </w:tr>
      <w:tr w:rsidR="008D4347" w:rsidRPr="00384EEC" w14:paraId="7DB8CD0F" w14:textId="77777777" w:rsidTr="00384EEC">
        <w:trPr>
          <w:trHeight w:val="468"/>
          <w:jc w:val="center"/>
        </w:trPr>
        <w:tc>
          <w:tcPr>
            <w:tcW w:w="1480" w:type="dxa"/>
            <w:tcBorders>
              <w:left w:val="nil"/>
            </w:tcBorders>
          </w:tcPr>
          <w:p w14:paraId="229D9F8A" w14:textId="77777777" w:rsidR="008D4347" w:rsidRPr="00384EEC" w:rsidRDefault="008D4347" w:rsidP="008D4347">
            <w:pPr>
              <w:pStyle w:val="P68B1DB1-TableParagraph14"/>
              <w:spacing w:before="96"/>
              <w:ind w:left="7"/>
              <w:rPr>
                <w:rFonts w:hAnsi="Times New Roman" w:cs="Times New Roman"/>
                <w:sz w:val="21"/>
                <w:szCs w:val="21"/>
              </w:rPr>
            </w:pPr>
            <w:r w:rsidRPr="00384EEC">
              <w:rPr>
                <w:rFonts w:hAnsi="Times New Roman" w:cs="Times New Roman"/>
                <w:sz w:val="21"/>
                <w:szCs w:val="21"/>
              </w:rPr>
              <w:t xml:space="preserve">HCV </w:t>
            </w:r>
          </w:p>
        </w:tc>
        <w:tc>
          <w:tcPr>
            <w:tcW w:w="2976" w:type="dxa"/>
          </w:tcPr>
          <w:p w14:paraId="13FE401C" w14:textId="389CB2ED" w:rsidR="008D4347" w:rsidRPr="00384EEC" w:rsidRDefault="008D4347" w:rsidP="008D4347">
            <w:pPr>
              <w:pStyle w:val="P68B1DB1-TableParagraph13"/>
              <w:spacing w:before="68"/>
              <w:ind w:left="1"/>
              <w:rPr>
                <w:rFonts w:ascii="Times New Roman" w:hAnsi="Times New Roman" w:cs="Times New Roman"/>
                <w:sz w:val="21"/>
                <w:szCs w:val="21"/>
              </w:rPr>
            </w:pPr>
            <w:r w:rsidRPr="00384EEC">
              <w:rPr>
                <w:rFonts w:ascii="Times New Roman" w:hAnsi="Times New Roman" w:cs="Times New Roman"/>
                <w:sz w:val="21"/>
                <w:szCs w:val="21"/>
              </w:rPr>
              <w:t xml:space="preserve">Hepatitis C </w:t>
            </w:r>
            <w:r>
              <w:rPr>
                <w:rFonts w:ascii="Times New Roman" w:hAnsi="Times New Roman" w:cs="Times New Roman"/>
                <w:sz w:val="21"/>
                <w:szCs w:val="21"/>
              </w:rPr>
              <w:t>virus</w:t>
            </w:r>
          </w:p>
        </w:tc>
        <w:tc>
          <w:tcPr>
            <w:tcW w:w="1142" w:type="dxa"/>
          </w:tcPr>
          <w:p w14:paraId="1BEE36E2" w14:textId="77777777" w:rsidR="008D4347" w:rsidRPr="00384EEC" w:rsidRDefault="008D4347" w:rsidP="008D4347">
            <w:pPr>
              <w:pStyle w:val="TableParagraph"/>
              <w:ind w:left="480"/>
              <w:rPr>
                <w:rFonts w:ascii="Times New Roman" w:hAnsi="Times New Roman" w:cs="Times New Roman"/>
                <w:sz w:val="21"/>
                <w:szCs w:val="21"/>
              </w:rPr>
            </w:pPr>
          </w:p>
        </w:tc>
        <w:tc>
          <w:tcPr>
            <w:tcW w:w="2702" w:type="dxa"/>
            <w:tcBorders>
              <w:right w:val="nil"/>
            </w:tcBorders>
          </w:tcPr>
          <w:p w14:paraId="1CBC453C" w14:textId="77777777" w:rsidR="008D4347" w:rsidRPr="00384EEC" w:rsidRDefault="008D4347" w:rsidP="008D4347">
            <w:pPr>
              <w:pStyle w:val="TableParagraph"/>
              <w:ind w:left="480"/>
              <w:rPr>
                <w:rFonts w:ascii="Times New Roman" w:hAnsi="Times New Roman" w:cs="Times New Roman"/>
                <w:sz w:val="21"/>
                <w:szCs w:val="21"/>
              </w:rPr>
            </w:pPr>
          </w:p>
        </w:tc>
      </w:tr>
      <w:tr w:rsidR="008D4347" w:rsidRPr="00384EEC" w14:paraId="01C57ABF" w14:textId="77777777" w:rsidTr="00384EEC">
        <w:trPr>
          <w:trHeight w:val="467"/>
          <w:jc w:val="center"/>
        </w:trPr>
        <w:tc>
          <w:tcPr>
            <w:tcW w:w="1480" w:type="dxa"/>
            <w:tcBorders>
              <w:left w:val="nil"/>
            </w:tcBorders>
          </w:tcPr>
          <w:p w14:paraId="359FB67B" w14:textId="77777777" w:rsidR="008D4347" w:rsidRPr="00384EEC" w:rsidRDefault="008D4347" w:rsidP="008D4347">
            <w:pPr>
              <w:pStyle w:val="P68B1DB1-TableParagraph14"/>
              <w:spacing w:before="96"/>
              <w:ind w:left="7" w:right="1"/>
              <w:rPr>
                <w:rFonts w:hAnsi="Times New Roman" w:cs="Times New Roman"/>
                <w:sz w:val="21"/>
                <w:szCs w:val="21"/>
              </w:rPr>
            </w:pPr>
            <w:r w:rsidRPr="00384EEC">
              <w:rPr>
                <w:rFonts w:hAnsi="Times New Roman" w:cs="Times New Roman"/>
                <w:sz w:val="21"/>
                <w:szCs w:val="21"/>
              </w:rPr>
              <w:t xml:space="preserve">IRC </w:t>
            </w:r>
          </w:p>
        </w:tc>
        <w:tc>
          <w:tcPr>
            <w:tcW w:w="2976" w:type="dxa"/>
          </w:tcPr>
          <w:p w14:paraId="4B28543D" w14:textId="77777777" w:rsidR="008D4347" w:rsidRPr="00384EEC" w:rsidRDefault="008D4347" w:rsidP="008D4347">
            <w:pPr>
              <w:pStyle w:val="P68B1DB1-TableParagraph13"/>
              <w:spacing w:before="68"/>
              <w:ind w:left="1"/>
              <w:rPr>
                <w:rFonts w:ascii="Times New Roman" w:hAnsi="Times New Roman" w:cs="Times New Roman"/>
                <w:sz w:val="21"/>
                <w:szCs w:val="21"/>
              </w:rPr>
            </w:pPr>
            <w:r w:rsidRPr="00384EEC">
              <w:rPr>
                <w:rFonts w:ascii="Times New Roman" w:hAnsi="Times New Roman" w:cs="Times New Roman"/>
                <w:sz w:val="21"/>
                <w:szCs w:val="21"/>
              </w:rPr>
              <w:t xml:space="preserve">Independent Review Board </w:t>
            </w:r>
          </w:p>
        </w:tc>
        <w:tc>
          <w:tcPr>
            <w:tcW w:w="1142" w:type="dxa"/>
          </w:tcPr>
          <w:p w14:paraId="653493E8" w14:textId="77777777" w:rsidR="008D4347" w:rsidRPr="00384EEC" w:rsidRDefault="008D4347" w:rsidP="008D4347">
            <w:pPr>
              <w:pStyle w:val="TableParagraph"/>
              <w:ind w:left="480"/>
              <w:rPr>
                <w:rFonts w:ascii="Times New Roman" w:hAnsi="Times New Roman" w:cs="Times New Roman"/>
                <w:sz w:val="21"/>
                <w:szCs w:val="21"/>
              </w:rPr>
            </w:pPr>
          </w:p>
        </w:tc>
        <w:tc>
          <w:tcPr>
            <w:tcW w:w="2702" w:type="dxa"/>
            <w:tcBorders>
              <w:right w:val="nil"/>
            </w:tcBorders>
          </w:tcPr>
          <w:p w14:paraId="2D1B0CC4" w14:textId="77777777" w:rsidR="008D4347" w:rsidRPr="00384EEC" w:rsidRDefault="008D4347" w:rsidP="008D4347">
            <w:pPr>
              <w:pStyle w:val="TableParagraph"/>
              <w:ind w:left="480"/>
              <w:rPr>
                <w:rFonts w:ascii="Times New Roman" w:hAnsi="Times New Roman" w:cs="Times New Roman"/>
                <w:sz w:val="21"/>
                <w:szCs w:val="21"/>
              </w:rPr>
            </w:pPr>
          </w:p>
        </w:tc>
      </w:tr>
      <w:tr w:rsidR="008D4347" w:rsidRPr="00384EEC" w14:paraId="2D704476" w14:textId="77777777" w:rsidTr="00384EEC">
        <w:trPr>
          <w:trHeight w:val="467"/>
          <w:jc w:val="center"/>
        </w:trPr>
        <w:tc>
          <w:tcPr>
            <w:tcW w:w="1480" w:type="dxa"/>
            <w:tcBorders>
              <w:left w:val="nil"/>
            </w:tcBorders>
          </w:tcPr>
          <w:p w14:paraId="1002A611" w14:textId="77777777" w:rsidR="008D4347" w:rsidRPr="00384EEC" w:rsidRDefault="008D4347" w:rsidP="008D4347">
            <w:pPr>
              <w:pStyle w:val="P68B1DB1-TableParagraph14"/>
              <w:spacing w:before="95"/>
              <w:ind w:left="7" w:right="2"/>
              <w:rPr>
                <w:rFonts w:hAnsi="Times New Roman" w:cs="Times New Roman"/>
                <w:sz w:val="21"/>
                <w:szCs w:val="21"/>
              </w:rPr>
            </w:pPr>
            <w:r w:rsidRPr="00384EEC">
              <w:rPr>
                <w:rFonts w:hAnsi="Times New Roman" w:cs="Times New Roman"/>
                <w:sz w:val="21"/>
                <w:szCs w:val="21"/>
              </w:rPr>
              <w:t xml:space="preserve">MTD </w:t>
            </w:r>
          </w:p>
        </w:tc>
        <w:tc>
          <w:tcPr>
            <w:tcW w:w="2976" w:type="dxa"/>
          </w:tcPr>
          <w:p w14:paraId="50A981E4" w14:textId="77777777" w:rsidR="008D4347" w:rsidRPr="00384EEC" w:rsidRDefault="008D4347" w:rsidP="008D4347">
            <w:pPr>
              <w:pStyle w:val="P68B1DB1-TableParagraph13"/>
              <w:spacing w:before="68"/>
              <w:ind w:left="1"/>
              <w:rPr>
                <w:rFonts w:ascii="Times New Roman" w:hAnsi="Times New Roman" w:cs="Times New Roman"/>
                <w:sz w:val="21"/>
                <w:szCs w:val="21"/>
              </w:rPr>
            </w:pPr>
            <w:r w:rsidRPr="00384EEC">
              <w:rPr>
                <w:rFonts w:ascii="Times New Roman" w:hAnsi="Times New Roman" w:cs="Times New Roman"/>
                <w:sz w:val="21"/>
                <w:szCs w:val="21"/>
              </w:rPr>
              <w:t xml:space="preserve">Maximum tolerated dose </w:t>
            </w:r>
          </w:p>
        </w:tc>
        <w:tc>
          <w:tcPr>
            <w:tcW w:w="1142" w:type="dxa"/>
          </w:tcPr>
          <w:p w14:paraId="11E8DCA6" w14:textId="77777777" w:rsidR="008D4347" w:rsidRPr="00384EEC" w:rsidRDefault="008D4347" w:rsidP="008D4347">
            <w:pPr>
              <w:pStyle w:val="TableParagraph"/>
              <w:ind w:left="480"/>
              <w:rPr>
                <w:rFonts w:ascii="Times New Roman" w:hAnsi="Times New Roman" w:cs="Times New Roman"/>
                <w:sz w:val="21"/>
                <w:szCs w:val="21"/>
              </w:rPr>
            </w:pPr>
          </w:p>
        </w:tc>
        <w:tc>
          <w:tcPr>
            <w:tcW w:w="2702" w:type="dxa"/>
            <w:tcBorders>
              <w:right w:val="nil"/>
            </w:tcBorders>
          </w:tcPr>
          <w:p w14:paraId="2D659776" w14:textId="77777777" w:rsidR="008D4347" w:rsidRPr="00384EEC" w:rsidRDefault="008D4347" w:rsidP="008D4347">
            <w:pPr>
              <w:pStyle w:val="TableParagraph"/>
              <w:ind w:left="480"/>
              <w:rPr>
                <w:rFonts w:ascii="Times New Roman" w:hAnsi="Times New Roman" w:cs="Times New Roman"/>
                <w:sz w:val="21"/>
                <w:szCs w:val="21"/>
              </w:rPr>
            </w:pPr>
          </w:p>
        </w:tc>
      </w:tr>
      <w:tr w:rsidR="008D4347" w:rsidRPr="00384EEC" w14:paraId="43143396" w14:textId="77777777" w:rsidTr="00384EEC">
        <w:trPr>
          <w:trHeight w:val="468"/>
          <w:jc w:val="center"/>
        </w:trPr>
        <w:tc>
          <w:tcPr>
            <w:tcW w:w="1480" w:type="dxa"/>
            <w:tcBorders>
              <w:left w:val="nil"/>
            </w:tcBorders>
          </w:tcPr>
          <w:p w14:paraId="46FF3E5B" w14:textId="77777777" w:rsidR="008D4347" w:rsidRPr="00384EEC" w:rsidRDefault="008D4347" w:rsidP="008D4347">
            <w:pPr>
              <w:pStyle w:val="P68B1DB1-TableParagraph14"/>
              <w:spacing w:before="95"/>
              <w:ind w:left="7" w:right="2"/>
              <w:rPr>
                <w:rFonts w:hAnsi="Times New Roman" w:cs="Times New Roman"/>
                <w:sz w:val="21"/>
                <w:szCs w:val="21"/>
              </w:rPr>
            </w:pPr>
            <w:r w:rsidRPr="00384EEC">
              <w:rPr>
                <w:rFonts w:hAnsi="Times New Roman" w:cs="Times New Roman"/>
                <w:sz w:val="21"/>
                <w:szCs w:val="21"/>
              </w:rPr>
              <w:t xml:space="preserve">MMR </w:t>
            </w:r>
          </w:p>
        </w:tc>
        <w:tc>
          <w:tcPr>
            <w:tcW w:w="2976" w:type="dxa"/>
          </w:tcPr>
          <w:p w14:paraId="4907FA95" w14:textId="77777777" w:rsidR="008D4347" w:rsidRPr="00384EEC" w:rsidRDefault="008D4347" w:rsidP="008D4347">
            <w:pPr>
              <w:pStyle w:val="P68B1DB1-TableParagraph13"/>
              <w:spacing w:before="67"/>
              <w:ind w:left="1"/>
              <w:rPr>
                <w:rFonts w:ascii="Times New Roman" w:hAnsi="Times New Roman" w:cs="Times New Roman"/>
                <w:sz w:val="21"/>
                <w:szCs w:val="21"/>
              </w:rPr>
            </w:pPr>
            <w:r w:rsidRPr="00384EEC">
              <w:rPr>
                <w:rFonts w:ascii="Times New Roman" w:hAnsi="Times New Roman" w:cs="Times New Roman"/>
                <w:sz w:val="21"/>
                <w:szCs w:val="21"/>
              </w:rPr>
              <w:t xml:space="preserve">Mismatch repair </w:t>
            </w:r>
          </w:p>
        </w:tc>
        <w:tc>
          <w:tcPr>
            <w:tcW w:w="1142" w:type="dxa"/>
          </w:tcPr>
          <w:p w14:paraId="5224F195" w14:textId="77777777" w:rsidR="008D4347" w:rsidRPr="00384EEC" w:rsidRDefault="008D4347" w:rsidP="008D4347">
            <w:pPr>
              <w:pStyle w:val="TableParagraph"/>
              <w:ind w:left="480"/>
              <w:rPr>
                <w:rFonts w:ascii="Times New Roman" w:hAnsi="Times New Roman" w:cs="Times New Roman"/>
                <w:sz w:val="21"/>
                <w:szCs w:val="21"/>
              </w:rPr>
            </w:pPr>
          </w:p>
        </w:tc>
        <w:tc>
          <w:tcPr>
            <w:tcW w:w="2702" w:type="dxa"/>
            <w:tcBorders>
              <w:right w:val="nil"/>
            </w:tcBorders>
          </w:tcPr>
          <w:p w14:paraId="6E54B798" w14:textId="77777777" w:rsidR="008D4347" w:rsidRPr="00384EEC" w:rsidRDefault="008D4347" w:rsidP="008D4347">
            <w:pPr>
              <w:pStyle w:val="TableParagraph"/>
              <w:ind w:left="480"/>
              <w:rPr>
                <w:rFonts w:ascii="Times New Roman" w:hAnsi="Times New Roman" w:cs="Times New Roman"/>
                <w:sz w:val="21"/>
                <w:szCs w:val="21"/>
              </w:rPr>
            </w:pPr>
          </w:p>
        </w:tc>
      </w:tr>
    </w:tbl>
    <w:p w14:paraId="28CA0FF0" w14:textId="77777777" w:rsidR="00D45C54" w:rsidRDefault="00D45C54">
      <w:pPr>
        <w:spacing w:before="60" w:after="60"/>
        <w:rPr>
          <w:sz w:val="11"/>
        </w:rPr>
      </w:pPr>
    </w:p>
    <w:p w14:paraId="6AD24107" w14:textId="77777777" w:rsidR="00D45C54" w:rsidRDefault="00D45C54">
      <w:pPr>
        <w:ind w:firstLine="560"/>
        <w:rPr>
          <w:sz w:val="28"/>
        </w:rPr>
        <w:sectPr w:rsidR="00D45C54">
          <w:footerReference w:type="default" r:id="rId16"/>
          <w:pgSz w:w="11906" w:h="16838"/>
          <w:pgMar w:top="1559" w:right="1418" w:bottom="1418" w:left="1418" w:header="851" w:footer="567" w:gutter="0"/>
          <w:pgNumType w:fmt="numberInDash" w:start="1"/>
          <w:cols w:space="720"/>
          <w:docGrid w:linePitch="326"/>
        </w:sectPr>
      </w:pPr>
    </w:p>
    <w:p w14:paraId="1F159764" w14:textId="77777777" w:rsidR="00D45C54" w:rsidRDefault="003E0392">
      <w:pPr>
        <w:pStyle w:val="1"/>
        <w:jc w:val="center"/>
      </w:pPr>
      <w:bookmarkStart w:id="1" w:name="_Toc34647686"/>
      <w:bookmarkStart w:id="2" w:name="_Toc455900130"/>
      <w:bookmarkStart w:id="3" w:name="_Toc13063592"/>
      <w:bookmarkStart w:id="4" w:name="_Toc502847584"/>
      <w:bookmarkStart w:id="5" w:name="_Toc445729694"/>
      <w:bookmarkStart w:id="6" w:name="_Toc196547957"/>
      <w:r>
        <w:lastRenderedPageBreak/>
        <w:t>Protocol Synopsis</w:t>
      </w:r>
      <w:bookmarkEnd w:id="6"/>
      <w:r>
        <w:t xml:space="preserve"> </w:t>
      </w:r>
      <w:bookmarkEnd w:id="0"/>
      <w:bookmarkEnd w:id="1"/>
      <w:bookmarkEnd w:id="2"/>
      <w:bookmarkEnd w:id="3"/>
      <w:bookmarkEnd w:id="4"/>
      <w:bookmarkEnd w:id="5"/>
    </w:p>
    <w:tbl>
      <w:tblPr>
        <w:tblStyle w:val="41"/>
        <w:tblW w:w="9321" w:type="dxa"/>
        <w:jc w:val="center"/>
        <w:tblBorders>
          <w:left w:val="none" w:sz="0" w:space="0" w:color="auto"/>
          <w:right w:val="none" w:sz="0" w:space="0" w:color="auto"/>
        </w:tblBorders>
        <w:tblLayout w:type="fixed"/>
        <w:tblLook w:val="04A0" w:firstRow="1" w:lastRow="0" w:firstColumn="1" w:lastColumn="0" w:noHBand="0" w:noVBand="1"/>
      </w:tblPr>
      <w:tblGrid>
        <w:gridCol w:w="1560"/>
        <w:gridCol w:w="7761"/>
      </w:tblGrid>
      <w:tr w:rsidR="00D45C54" w14:paraId="6F27D66E" w14:textId="77777777">
        <w:trPr>
          <w:trHeight w:val="138"/>
          <w:jc w:val="center"/>
        </w:trPr>
        <w:tc>
          <w:tcPr>
            <w:tcW w:w="1560" w:type="dxa"/>
            <w:vAlign w:val="center"/>
          </w:tcPr>
          <w:p w14:paraId="1A5D95E5" w14:textId="77777777" w:rsidR="00D45C54" w:rsidRDefault="003E0392">
            <w:pPr>
              <w:pStyle w:val="P68B1DB1-119"/>
              <w:suppressAutoHyphens w:val="0"/>
              <w:topLinePunct w:val="0"/>
              <w:spacing w:line="240" w:lineRule="auto"/>
              <w:rPr>
                <w:rFonts w:hint="default"/>
              </w:rPr>
            </w:pPr>
            <w:r>
              <w:t xml:space="preserve">Study title </w:t>
            </w:r>
          </w:p>
        </w:tc>
        <w:tc>
          <w:tcPr>
            <w:tcW w:w="7761" w:type="dxa"/>
            <w:vAlign w:val="center"/>
          </w:tcPr>
          <w:p w14:paraId="134C3F5F" w14:textId="21BF5E5E" w:rsidR="00D45C54" w:rsidRDefault="00E72C2C" w:rsidP="000E7331">
            <w:pPr>
              <w:pStyle w:val="P68B1DB1-17420"/>
              <w:ind w:firstLineChars="0" w:firstLine="0"/>
              <w:rPr>
                <w:rFonts w:hint="default"/>
              </w:rPr>
            </w:pPr>
            <w:r w:rsidRPr="00E72C2C">
              <w:t>Anlotinib versus bevacizumab in combination with C</w:t>
            </w:r>
            <w:r w:rsidR="00767994" w:rsidRPr="00E72C2C">
              <w:rPr>
                <w:rFonts w:hint="default"/>
              </w:rPr>
              <w:t>ape</w:t>
            </w:r>
            <w:r w:rsidRPr="00E72C2C">
              <w:t>O</w:t>
            </w:r>
            <w:r w:rsidR="00767994" w:rsidRPr="00E72C2C">
              <w:rPr>
                <w:rFonts w:hint="default"/>
              </w:rPr>
              <w:t>x</w:t>
            </w:r>
            <w:r w:rsidRPr="00E72C2C">
              <w:t xml:space="preserve"> as first-line therapy for RAS/BRAF wild-type metastatic colorectal cancer: a randomized, open, parallel-controlled, multicenter phase III study</w:t>
            </w:r>
            <w:r w:rsidR="000E7331">
              <w:t xml:space="preserve"> </w:t>
            </w:r>
            <w:r w:rsidR="003E0392">
              <w:t xml:space="preserve"> </w:t>
            </w:r>
          </w:p>
        </w:tc>
      </w:tr>
      <w:tr w:rsidR="00D45C54" w14:paraId="79076BDE" w14:textId="77777777">
        <w:trPr>
          <w:trHeight w:val="138"/>
          <w:jc w:val="center"/>
        </w:trPr>
        <w:tc>
          <w:tcPr>
            <w:tcW w:w="1560" w:type="dxa"/>
            <w:vAlign w:val="center"/>
          </w:tcPr>
          <w:p w14:paraId="665A3FA2" w14:textId="77777777" w:rsidR="00D45C54" w:rsidRDefault="003E0392">
            <w:pPr>
              <w:pStyle w:val="P68B1DB1-119"/>
              <w:suppressAutoHyphens w:val="0"/>
              <w:topLinePunct w:val="0"/>
              <w:spacing w:line="240" w:lineRule="auto"/>
              <w:rPr>
                <w:rFonts w:hint="default"/>
              </w:rPr>
            </w:pPr>
            <w:r>
              <w:t xml:space="preserve">Protocol No. </w:t>
            </w:r>
          </w:p>
        </w:tc>
        <w:tc>
          <w:tcPr>
            <w:tcW w:w="7761" w:type="dxa"/>
            <w:vAlign w:val="center"/>
          </w:tcPr>
          <w:p w14:paraId="2F48057D" w14:textId="01CEE857" w:rsidR="00D45C54" w:rsidRDefault="00F24C04">
            <w:pPr>
              <w:pStyle w:val="afffb"/>
              <w:ind w:firstLineChars="0" w:firstLine="0"/>
            </w:pPr>
            <w:r>
              <w:t>ALTN-</w:t>
            </w:r>
            <w:r w:rsidR="00E72C2C" w:rsidRPr="00E72C2C">
              <w:t xml:space="preserve"> III</w:t>
            </w:r>
            <w:r w:rsidR="00E72C2C">
              <w:t xml:space="preserve"> </w:t>
            </w:r>
            <w:r>
              <w:t>-02</w:t>
            </w:r>
            <w:r w:rsidR="003E0392">
              <w:t xml:space="preserve"> </w:t>
            </w:r>
          </w:p>
        </w:tc>
      </w:tr>
      <w:tr w:rsidR="00D45C54" w14:paraId="395299EE" w14:textId="77777777">
        <w:trPr>
          <w:trHeight w:val="138"/>
          <w:jc w:val="center"/>
        </w:trPr>
        <w:tc>
          <w:tcPr>
            <w:tcW w:w="1560" w:type="dxa"/>
            <w:vAlign w:val="center"/>
          </w:tcPr>
          <w:p w14:paraId="2CC20D39" w14:textId="77777777" w:rsidR="00D45C54" w:rsidRDefault="003E0392">
            <w:pPr>
              <w:pStyle w:val="P68B1DB1-119"/>
              <w:suppressAutoHyphens w:val="0"/>
              <w:topLinePunct w:val="0"/>
              <w:spacing w:line="240" w:lineRule="auto"/>
              <w:rPr>
                <w:rFonts w:hint="default"/>
              </w:rPr>
            </w:pPr>
            <w:r>
              <w:t xml:space="preserve">Version No ./Date </w:t>
            </w:r>
          </w:p>
        </w:tc>
        <w:tc>
          <w:tcPr>
            <w:tcW w:w="7761" w:type="dxa"/>
            <w:vAlign w:val="center"/>
          </w:tcPr>
          <w:p w14:paraId="2B821B00" w14:textId="5B776965" w:rsidR="00D45C54" w:rsidRDefault="00085DF8">
            <w:pPr>
              <w:pStyle w:val="afffb"/>
              <w:ind w:firstLineChars="0" w:firstLine="0"/>
            </w:pPr>
            <w:r>
              <w:t>2.1</w:t>
            </w:r>
            <w:r w:rsidR="003E0392">
              <w:t>/</w:t>
            </w:r>
            <w:r>
              <w:t>March</w:t>
            </w:r>
            <w:r w:rsidR="00420BAD">
              <w:t xml:space="preserve"> </w:t>
            </w:r>
            <w:r>
              <w:t>15</w:t>
            </w:r>
            <w:r w:rsidR="00420BAD">
              <w:t>,</w:t>
            </w:r>
            <w:r w:rsidR="003E0392">
              <w:t xml:space="preserve"> </w:t>
            </w:r>
            <w:r w:rsidR="00420BAD">
              <w:t>202</w:t>
            </w:r>
            <w:r>
              <w:t>2</w:t>
            </w:r>
            <w:r w:rsidR="00420BAD">
              <w:t xml:space="preserve"> </w:t>
            </w:r>
          </w:p>
        </w:tc>
      </w:tr>
      <w:tr w:rsidR="00D45C54" w14:paraId="35952773" w14:textId="77777777">
        <w:trPr>
          <w:trHeight w:val="138"/>
          <w:jc w:val="center"/>
        </w:trPr>
        <w:tc>
          <w:tcPr>
            <w:tcW w:w="1560" w:type="dxa"/>
            <w:vAlign w:val="center"/>
          </w:tcPr>
          <w:p w14:paraId="30E80B84" w14:textId="77777777" w:rsidR="00D45C54" w:rsidRDefault="003E0392">
            <w:pPr>
              <w:pStyle w:val="P68B1DB1-119"/>
              <w:suppressAutoHyphens w:val="0"/>
              <w:topLinePunct w:val="0"/>
              <w:spacing w:line="240" w:lineRule="auto"/>
              <w:rPr>
                <w:rFonts w:hint="default"/>
              </w:rPr>
            </w:pPr>
            <w:r>
              <w:t xml:space="preserve">Sponsor </w:t>
            </w:r>
          </w:p>
        </w:tc>
        <w:tc>
          <w:tcPr>
            <w:tcW w:w="7761" w:type="dxa"/>
            <w:vAlign w:val="center"/>
          </w:tcPr>
          <w:p w14:paraId="510E8871" w14:textId="77777777" w:rsidR="00D45C54" w:rsidRDefault="003E0392">
            <w:pPr>
              <w:pStyle w:val="P68B1DB1-17420"/>
              <w:ind w:firstLineChars="0" w:firstLine="0"/>
              <w:rPr>
                <w:rFonts w:hint="default"/>
              </w:rPr>
            </w:pPr>
            <w:r>
              <w:t xml:space="preserve">Chia Tai Tianqing Pharmaceutical Group Co., Ltd. </w:t>
            </w:r>
          </w:p>
        </w:tc>
      </w:tr>
      <w:tr w:rsidR="00D45C54" w14:paraId="4CA5D681" w14:textId="77777777">
        <w:trPr>
          <w:trHeight w:val="138"/>
          <w:jc w:val="center"/>
        </w:trPr>
        <w:tc>
          <w:tcPr>
            <w:tcW w:w="1560" w:type="dxa"/>
            <w:vAlign w:val="center"/>
          </w:tcPr>
          <w:p w14:paraId="36173CCC" w14:textId="0F132FFF" w:rsidR="00D45C54" w:rsidRDefault="00520BBF">
            <w:pPr>
              <w:pStyle w:val="P68B1DB1-119"/>
              <w:suppressAutoHyphens w:val="0"/>
              <w:topLinePunct w:val="0"/>
              <w:spacing w:line="240" w:lineRule="auto"/>
              <w:rPr>
                <w:rFonts w:hint="default"/>
              </w:rPr>
            </w:pPr>
            <w:r>
              <w:rPr>
                <w:rFonts w:hint="default"/>
              </w:rPr>
              <w:t>Leading site/</w:t>
            </w:r>
            <w:r w:rsidR="003E0392">
              <w:t>Principal</w:t>
            </w:r>
            <w:r>
              <w:rPr>
                <w:rFonts w:hint="default"/>
              </w:rPr>
              <w:t xml:space="preserve"> </w:t>
            </w:r>
            <w:r w:rsidR="003E0392">
              <w:t xml:space="preserve">Investigator </w:t>
            </w:r>
          </w:p>
        </w:tc>
        <w:tc>
          <w:tcPr>
            <w:tcW w:w="7761" w:type="dxa"/>
            <w:vAlign w:val="center"/>
          </w:tcPr>
          <w:p w14:paraId="348425AB" w14:textId="55B884B0" w:rsidR="00D45C54" w:rsidRDefault="00520BBF" w:rsidP="00384EEC">
            <w:pPr>
              <w:pStyle w:val="P68B1DB1-17420"/>
              <w:ind w:firstLineChars="0" w:firstLine="0"/>
              <w:rPr>
                <w:rFonts w:hint="default"/>
              </w:rPr>
            </w:pPr>
            <w:r w:rsidRPr="00520BBF">
              <w:t>The Second Affiliated Hospital Zhejiang University School of Medicine</w:t>
            </w:r>
            <w:r>
              <w:rPr>
                <w:rFonts w:hint="default"/>
              </w:rPr>
              <w:t>/</w:t>
            </w:r>
            <w:r w:rsidR="003E0392">
              <w:t xml:space="preserve">Prof. </w:t>
            </w:r>
            <w:r>
              <w:rPr>
                <w:rFonts w:hint="default"/>
              </w:rPr>
              <w:t>Kefeng Ding</w:t>
            </w:r>
            <w:r w:rsidR="003E0392">
              <w:t xml:space="preserve"> </w:t>
            </w:r>
          </w:p>
        </w:tc>
      </w:tr>
      <w:tr w:rsidR="00D45C54" w14:paraId="1F180A55" w14:textId="77777777">
        <w:trPr>
          <w:trHeight w:val="138"/>
          <w:jc w:val="center"/>
        </w:trPr>
        <w:tc>
          <w:tcPr>
            <w:tcW w:w="1560" w:type="dxa"/>
            <w:vAlign w:val="center"/>
          </w:tcPr>
          <w:p w14:paraId="1122F459" w14:textId="2FEFFE3D" w:rsidR="00D45C54" w:rsidRDefault="00420BAD">
            <w:pPr>
              <w:pStyle w:val="P68B1DB1-119"/>
              <w:suppressAutoHyphens w:val="0"/>
              <w:topLinePunct w:val="0"/>
              <w:spacing w:line="240" w:lineRule="auto"/>
              <w:rPr>
                <w:rFonts w:hint="default"/>
              </w:rPr>
            </w:pPr>
            <w:r>
              <w:rPr>
                <w:rFonts w:hint="default"/>
              </w:rPr>
              <w:t>O</w:t>
            </w:r>
            <w:r w:rsidR="003E0392">
              <w:t>bjective</w:t>
            </w:r>
            <w:r>
              <w:rPr>
                <w:rFonts w:hint="default"/>
              </w:rPr>
              <w:t>s</w:t>
            </w:r>
            <w:r w:rsidR="003E0392">
              <w:t xml:space="preserve"> </w:t>
            </w:r>
          </w:p>
        </w:tc>
        <w:tc>
          <w:tcPr>
            <w:tcW w:w="7761" w:type="dxa"/>
            <w:vAlign w:val="center"/>
          </w:tcPr>
          <w:p w14:paraId="0504B9E0" w14:textId="77777777" w:rsidR="00D45C54" w:rsidRDefault="003E0392" w:rsidP="00384EEC">
            <w:pPr>
              <w:pStyle w:val="P68B1DB1-15621"/>
              <w:numPr>
                <w:ilvl w:val="0"/>
                <w:numId w:val="0"/>
              </w:numPr>
              <w:spacing w:beforeLines="25" w:before="60" w:after="60" w:line="400" w:lineRule="exact"/>
              <w:ind w:left="420" w:hanging="420"/>
              <w:rPr>
                <w:rFonts w:hint="default"/>
              </w:rPr>
            </w:pPr>
            <w:r>
              <w:t xml:space="preserve">Primary objective </w:t>
            </w:r>
          </w:p>
          <w:p w14:paraId="215B7B0D" w14:textId="50BF6B92" w:rsidR="00D45C54" w:rsidRDefault="00420BAD" w:rsidP="006D1B06">
            <w:pPr>
              <w:pStyle w:val="a1"/>
              <w:numPr>
                <w:ilvl w:val="0"/>
                <w:numId w:val="33"/>
              </w:numPr>
            </w:pPr>
            <w:r w:rsidRPr="00420BAD">
              <w:t xml:space="preserve">To evaluate the efficacy of </w:t>
            </w:r>
            <w:r w:rsidR="00520BBF">
              <w:t>a</w:t>
            </w:r>
            <w:r w:rsidR="00520BBF" w:rsidRPr="00520BBF">
              <w:t xml:space="preserve">nlotinib versus bevacizumab in combination with </w:t>
            </w:r>
            <w:r w:rsidR="00383D36" w:rsidRPr="007E6A09">
              <w:t>CapeO</w:t>
            </w:r>
            <w:r w:rsidR="00F76877">
              <w:t>X</w:t>
            </w:r>
            <w:r w:rsidR="00520BBF" w:rsidRPr="00520BBF">
              <w:t xml:space="preserve"> as first-line therapy for RAS/BRAF wild-type metastatic colorectal cancer</w:t>
            </w:r>
            <w:r w:rsidRPr="00420BAD">
              <w:t xml:space="preserve">. </w:t>
            </w:r>
          </w:p>
          <w:p w14:paraId="4D8C6FCC" w14:textId="77777777" w:rsidR="00D45C54" w:rsidRDefault="003E0392" w:rsidP="00384EEC">
            <w:pPr>
              <w:pStyle w:val="P68B1DB1-15621"/>
              <w:numPr>
                <w:ilvl w:val="0"/>
                <w:numId w:val="0"/>
              </w:numPr>
              <w:spacing w:beforeLines="25" w:before="60" w:after="60" w:line="400" w:lineRule="exact"/>
              <w:rPr>
                <w:rFonts w:hint="default"/>
              </w:rPr>
            </w:pPr>
            <w:r>
              <w:t xml:space="preserve">Secondary objectives </w:t>
            </w:r>
          </w:p>
          <w:p w14:paraId="2C56F594" w14:textId="20F60A9F" w:rsidR="00D45C54" w:rsidRDefault="00091BE0" w:rsidP="00F76877">
            <w:pPr>
              <w:pStyle w:val="P68B1DB1-17223"/>
              <w:numPr>
                <w:ilvl w:val="0"/>
                <w:numId w:val="33"/>
              </w:numPr>
              <w:rPr>
                <w:rFonts w:hint="default"/>
              </w:rPr>
            </w:pPr>
            <w:r>
              <w:t xml:space="preserve">To evaluate the safety of </w:t>
            </w:r>
            <w:r w:rsidR="00520BBF">
              <w:rPr>
                <w:rFonts w:hint="default"/>
              </w:rPr>
              <w:t>a</w:t>
            </w:r>
            <w:r w:rsidR="00520BBF" w:rsidRPr="00520BBF">
              <w:t xml:space="preserve">nlotinib versus bevacizumab in combination with </w:t>
            </w:r>
            <w:r w:rsidR="00383D36" w:rsidRPr="007E6A09">
              <w:t>CapeO</w:t>
            </w:r>
            <w:r w:rsidR="00F76877">
              <w:rPr>
                <w:rFonts w:hint="default"/>
              </w:rPr>
              <w:t>X</w:t>
            </w:r>
            <w:r w:rsidR="00520BBF" w:rsidRPr="00520BBF">
              <w:t xml:space="preserve"> as first-line therapy for RAS/BRAF wild-type metastatic colorectal cancer</w:t>
            </w:r>
            <w:r w:rsidR="00520BBF">
              <w:rPr>
                <w:rFonts w:hint="default"/>
              </w:rPr>
              <w:t>.</w:t>
            </w:r>
          </w:p>
        </w:tc>
      </w:tr>
      <w:tr w:rsidR="00D45C54" w14:paraId="34116798" w14:textId="77777777">
        <w:trPr>
          <w:trHeight w:val="138"/>
          <w:jc w:val="center"/>
        </w:trPr>
        <w:tc>
          <w:tcPr>
            <w:tcW w:w="1560" w:type="dxa"/>
            <w:vAlign w:val="center"/>
          </w:tcPr>
          <w:p w14:paraId="78511101" w14:textId="518DAEF1" w:rsidR="00D45C54" w:rsidRDefault="003E0392">
            <w:pPr>
              <w:pStyle w:val="P68B1DB1-119"/>
              <w:suppressAutoHyphens w:val="0"/>
              <w:topLinePunct w:val="0"/>
              <w:spacing w:line="240" w:lineRule="auto"/>
              <w:rPr>
                <w:rFonts w:hint="default"/>
              </w:rPr>
            </w:pPr>
            <w:r>
              <w:t xml:space="preserve">Endpoints </w:t>
            </w:r>
          </w:p>
        </w:tc>
        <w:tc>
          <w:tcPr>
            <w:tcW w:w="7761" w:type="dxa"/>
            <w:vAlign w:val="center"/>
          </w:tcPr>
          <w:p w14:paraId="5906410F" w14:textId="77777777" w:rsidR="00D45C54" w:rsidRDefault="003E0392" w:rsidP="00384EEC">
            <w:pPr>
              <w:pStyle w:val="a1"/>
              <w:numPr>
                <w:ilvl w:val="0"/>
                <w:numId w:val="0"/>
              </w:numPr>
              <w:ind w:left="420" w:hanging="420"/>
            </w:pPr>
            <w:r>
              <w:t xml:space="preserve">Primary endpoints </w:t>
            </w:r>
          </w:p>
          <w:p w14:paraId="5FFAB34A" w14:textId="5FE1CEBC" w:rsidR="00D45C54" w:rsidRDefault="003E0392" w:rsidP="006D1B06">
            <w:pPr>
              <w:pStyle w:val="a1"/>
              <w:numPr>
                <w:ilvl w:val="0"/>
                <w:numId w:val="33"/>
              </w:numPr>
            </w:pPr>
            <w:r>
              <w:t xml:space="preserve">Progression-free survival (PFS) </w:t>
            </w:r>
            <w:r w:rsidR="00CD3934" w:rsidRPr="00CD3934">
              <w:t>accessed by IRC</w:t>
            </w:r>
            <w:r>
              <w:t xml:space="preserve">. </w:t>
            </w:r>
          </w:p>
          <w:p w14:paraId="2FBD0BBB" w14:textId="77777777" w:rsidR="00D45C54" w:rsidRDefault="003E0392" w:rsidP="00384EEC">
            <w:pPr>
              <w:pStyle w:val="a1"/>
              <w:numPr>
                <w:ilvl w:val="0"/>
                <w:numId w:val="0"/>
              </w:numPr>
            </w:pPr>
            <w:r>
              <w:t xml:space="preserve">Secondary endpoints </w:t>
            </w:r>
          </w:p>
          <w:p w14:paraId="0277C35A" w14:textId="5F8B0A5E" w:rsidR="00D45C54" w:rsidRDefault="007A7452" w:rsidP="006D1B06">
            <w:pPr>
              <w:pStyle w:val="a1"/>
              <w:numPr>
                <w:ilvl w:val="0"/>
                <w:numId w:val="33"/>
              </w:numPr>
            </w:pPr>
            <w:r>
              <w:t>I</w:t>
            </w:r>
            <w:r>
              <w:rPr>
                <w:rFonts w:hint="eastAsia"/>
              </w:rPr>
              <w:t>nvestigator</w:t>
            </w:r>
            <w:r w:rsidRPr="00CD3934" w:rsidDel="00520BBF">
              <w:rPr>
                <w:u w:val="single"/>
              </w:rPr>
              <w:t xml:space="preserve"> </w:t>
            </w:r>
            <w:r>
              <w:rPr>
                <w:rFonts w:hint="eastAsia"/>
              </w:rPr>
              <w:t xml:space="preserve">assessed </w:t>
            </w:r>
            <w:r w:rsidR="003E0392">
              <w:rPr>
                <w:rFonts w:hint="eastAsia"/>
              </w:rPr>
              <w:t>PFS, overall survival (OS), objective response rate (ORR = CR + PR), disease control rate (DCR =</w:t>
            </w:r>
            <w:r w:rsidR="003E0392" w:rsidRPr="0096116B">
              <w:rPr>
                <w:rFonts w:hint="eastAsia"/>
              </w:rPr>
              <w:t xml:space="preserve"> CR + PR + SD), </w:t>
            </w:r>
            <w:r w:rsidR="00416E2A" w:rsidRPr="0096116B">
              <w:t>duration of</w:t>
            </w:r>
            <w:r w:rsidR="003E0392" w:rsidRPr="0096116B">
              <w:rPr>
                <w:rFonts w:hint="eastAsia"/>
              </w:rPr>
              <w:t xml:space="preserve"> response (DOR);</w:t>
            </w:r>
            <w:r w:rsidR="00520BBF" w:rsidRPr="0096116B">
              <w:t xml:space="preserve"> resection rate</w:t>
            </w:r>
            <w:r w:rsidR="00520BBF" w:rsidRPr="0096116B">
              <w:rPr>
                <w:rFonts w:hint="eastAsia"/>
              </w:rPr>
              <w:t xml:space="preserve"> </w:t>
            </w:r>
            <w:r w:rsidR="0005604C" w:rsidRPr="0096116B">
              <w:t>of</w:t>
            </w:r>
            <w:r w:rsidR="00520BBF" w:rsidRPr="0096116B">
              <w:t xml:space="preserve"> iver meta</w:t>
            </w:r>
            <w:r w:rsidR="00520BBF" w:rsidRPr="00384EEC">
              <w:rPr>
                <w:color w:val="000000" w:themeColor="text1"/>
              </w:rPr>
              <w:t>stasis,</w:t>
            </w:r>
            <w:r w:rsidR="00520BBF" w:rsidRPr="00520BBF">
              <w:t xml:space="preserve"> </w:t>
            </w:r>
            <w:r w:rsidR="004C7E2C">
              <w:t>quality of life (QoL)</w:t>
            </w:r>
            <w:r w:rsidR="003E0392">
              <w:rPr>
                <w:rFonts w:hint="eastAsia"/>
              </w:rPr>
              <w:t xml:space="preserve">. </w:t>
            </w:r>
          </w:p>
          <w:p w14:paraId="36A6B242" w14:textId="0C41FAC9" w:rsidR="00D45C54" w:rsidRDefault="001643CA" w:rsidP="006D1B06">
            <w:pPr>
              <w:pStyle w:val="a1"/>
              <w:numPr>
                <w:ilvl w:val="0"/>
                <w:numId w:val="33"/>
              </w:numPr>
            </w:pPr>
            <w:r w:rsidRPr="00384EEC">
              <w:t>I</w:t>
            </w:r>
            <w:r w:rsidR="00930552" w:rsidRPr="00C20BA4">
              <w:t xml:space="preserve">ncidence and severity of AEs and SAEs, as well as laboratory </w:t>
            </w:r>
            <w:r w:rsidRPr="00C20BA4">
              <w:t>abnormal</w:t>
            </w:r>
            <w:r>
              <w:t>ties</w:t>
            </w:r>
            <w:r w:rsidR="00930552" w:rsidRPr="00C20BA4">
              <w:t>.</w:t>
            </w:r>
            <w:r w:rsidR="003E0392">
              <w:t xml:space="preserve"> </w:t>
            </w:r>
          </w:p>
        </w:tc>
      </w:tr>
      <w:tr w:rsidR="00D45C54" w14:paraId="46FD9A13" w14:textId="77777777">
        <w:trPr>
          <w:trHeight w:val="555"/>
          <w:jc w:val="center"/>
        </w:trPr>
        <w:tc>
          <w:tcPr>
            <w:tcW w:w="1560" w:type="dxa"/>
            <w:vAlign w:val="center"/>
          </w:tcPr>
          <w:p w14:paraId="1ABFEEFD" w14:textId="1238FF06" w:rsidR="00D45C54" w:rsidRDefault="00EA225A">
            <w:pPr>
              <w:pStyle w:val="P68B1DB1-119"/>
              <w:suppressAutoHyphens w:val="0"/>
              <w:topLinePunct w:val="0"/>
              <w:spacing w:line="240" w:lineRule="auto"/>
              <w:rPr>
                <w:rFonts w:hint="default"/>
              </w:rPr>
            </w:pPr>
            <w:r>
              <w:rPr>
                <w:rFonts w:hint="default"/>
              </w:rPr>
              <w:t>Su</w:t>
            </w:r>
            <w:r w:rsidR="003E0392">
              <w:t>bject</w:t>
            </w:r>
            <w:r>
              <w:rPr>
                <w:rFonts w:hint="default"/>
              </w:rPr>
              <w:t>s</w:t>
            </w:r>
            <w:r w:rsidR="003E0392">
              <w:t xml:space="preserve"> </w:t>
            </w:r>
          </w:p>
        </w:tc>
        <w:tc>
          <w:tcPr>
            <w:tcW w:w="7761" w:type="dxa"/>
            <w:vAlign w:val="center"/>
          </w:tcPr>
          <w:p w14:paraId="50401F4C" w14:textId="3172BFB7" w:rsidR="00D45C54" w:rsidRDefault="003E0392" w:rsidP="00384EEC">
            <w:pPr>
              <w:pStyle w:val="P68B1DB1-17420"/>
              <w:ind w:firstLineChars="0" w:firstLine="0"/>
              <w:rPr>
                <w:rFonts w:hint="default"/>
              </w:rPr>
            </w:pPr>
            <w:r>
              <w:t xml:space="preserve">Subjects with metastatic </w:t>
            </w:r>
            <w:r w:rsidR="001643CA" w:rsidRPr="001643CA">
              <w:t>colorectal cancer</w:t>
            </w:r>
            <w:r w:rsidR="001643CA" w:rsidRPr="001643CA" w:rsidDel="001643CA">
              <w:t xml:space="preserve"> </w:t>
            </w:r>
            <w:r w:rsidR="001643CA">
              <w:rPr>
                <w:rFonts w:hint="default"/>
              </w:rPr>
              <w:t>(mCRC)</w:t>
            </w:r>
            <w:r>
              <w:t xml:space="preserve"> who have not received any systemic therapy </w:t>
            </w:r>
          </w:p>
        </w:tc>
      </w:tr>
      <w:tr w:rsidR="00D45C54" w14:paraId="7036BB31" w14:textId="77777777">
        <w:trPr>
          <w:trHeight w:val="138"/>
          <w:jc w:val="center"/>
        </w:trPr>
        <w:tc>
          <w:tcPr>
            <w:tcW w:w="1560" w:type="dxa"/>
            <w:vAlign w:val="center"/>
          </w:tcPr>
          <w:p w14:paraId="0A0CA139" w14:textId="2F9C4460" w:rsidR="00D45C54" w:rsidRDefault="003E0392">
            <w:pPr>
              <w:pStyle w:val="P68B1DB1-119"/>
              <w:suppressAutoHyphens w:val="0"/>
              <w:topLinePunct w:val="0"/>
              <w:spacing w:line="240" w:lineRule="auto"/>
              <w:rPr>
                <w:rFonts w:hint="default"/>
              </w:rPr>
            </w:pPr>
            <w:r>
              <w:t xml:space="preserve">Sample </w:t>
            </w:r>
            <w:r w:rsidR="00702B06">
              <w:rPr>
                <w:rFonts w:hint="default"/>
              </w:rPr>
              <w:t>s</w:t>
            </w:r>
            <w:r w:rsidR="00702B06">
              <w:t>ize</w:t>
            </w:r>
            <w:r w:rsidR="00702B06">
              <w:rPr>
                <w:rFonts w:hint="default"/>
              </w:rPr>
              <w:t xml:space="preserve"> e</w:t>
            </w:r>
            <w:r w:rsidR="00702B06" w:rsidRPr="00702B06">
              <w:t>stimation</w:t>
            </w:r>
            <w:r w:rsidR="00702B06">
              <w:t xml:space="preserve"> </w:t>
            </w:r>
          </w:p>
        </w:tc>
        <w:tc>
          <w:tcPr>
            <w:tcW w:w="7761" w:type="dxa"/>
            <w:vAlign w:val="center"/>
          </w:tcPr>
          <w:p w14:paraId="2191C4C7" w14:textId="20F28234" w:rsidR="00D45C54" w:rsidRDefault="00F12BBB" w:rsidP="00B34331">
            <w:pPr>
              <w:pStyle w:val="afffb"/>
              <w:ind w:firstLineChars="0" w:firstLine="0"/>
            </w:pPr>
            <w:r w:rsidRPr="00F12BBB">
              <w:t xml:space="preserve">This is a randomized, open-label, parallel-controlled, multicenter study with IRC-assessed PFS as the primary endpoint. </w:t>
            </w:r>
            <w:bookmarkStart w:id="7" w:name="OLE_LINK78"/>
            <w:r w:rsidR="000B377F" w:rsidRPr="00BB4C71">
              <w:rPr>
                <w:szCs w:val="21"/>
              </w:rPr>
              <w:t xml:space="preserve">The trial </w:t>
            </w:r>
            <w:r w:rsidR="000B377F">
              <w:rPr>
                <w:szCs w:val="21"/>
              </w:rPr>
              <w:t>i</w:t>
            </w:r>
            <w:r w:rsidR="000B377F" w:rsidRPr="00BB4C71">
              <w:rPr>
                <w:szCs w:val="21"/>
              </w:rPr>
              <w:t xml:space="preserve">s powered to assess non-inferiority in </w:t>
            </w:r>
            <w:r w:rsidR="000B377F">
              <w:rPr>
                <w:szCs w:val="21"/>
              </w:rPr>
              <w:t>PFS</w:t>
            </w:r>
            <w:r w:rsidR="000B377F" w:rsidRPr="00BB4C71">
              <w:rPr>
                <w:szCs w:val="21"/>
              </w:rPr>
              <w:t xml:space="preserve"> between anlotinib plus CapeOX and bevacizumab plus CapeOX</w:t>
            </w:r>
            <w:bookmarkEnd w:id="7"/>
            <w:r w:rsidR="000B377F" w:rsidRPr="00BB4C71">
              <w:rPr>
                <w:szCs w:val="21"/>
              </w:rPr>
              <w:t>.</w:t>
            </w:r>
            <w:r w:rsidR="008D4347">
              <w:rPr>
                <w:szCs w:val="21"/>
              </w:rPr>
              <w:t xml:space="preserve"> </w:t>
            </w:r>
            <w:r w:rsidR="000B377F" w:rsidRPr="00BB4C71">
              <w:rPr>
                <w:szCs w:val="21"/>
              </w:rPr>
              <w:t>Based on the</w:t>
            </w:r>
            <w:r w:rsidR="008D4347">
              <w:rPr>
                <w:szCs w:val="21"/>
              </w:rPr>
              <w:t xml:space="preserve"> </w:t>
            </w:r>
            <w:r w:rsidR="000B377F" w:rsidRPr="00BB4C71">
              <w:rPr>
                <w:szCs w:val="21"/>
              </w:rPr>
              <w:t xml:space="preserve">previous report, the </w:t>
            </w:r>
            <w:r w:rsidR="000B377F">
              <w:rPr>
                <w:szCs w:val="21"/>
              </w:rPr>
              <w:t>PFS</w:t>
            </w:r>
            <w:r w:rsidR="000B377F" w:rsidRPr="00BB4C71">
              <w:rPr>
                <w:szCs w:val="21"/>
              </w:rPr>
              <w:t xml:space="preserve"> </w:t>
            </w:r>
            <w:r w:rsidR="000B377F">
              <w:rPr>
                <w:szCs w:val="21"/>
              </w:rPr>
              <w:t>in control arm i</w:t>
            </w:r>
            <w:r w:rsidR="000B377F" w:rsidRPr="00BB4C71">
              <w:rPr>
                <w:szCs w:val="21"/>
              </w:rPr>
              <w:t xml:space="preserve">s assumed to </w:t>
            </w:r>
            <w:r w:rsidR="000B377F" w:rsidRPr="00BB4C71">
              <w:rPr>
                <w:szCs w:val="21"/>
              </w:rPr>
              <w:lastRenderedPageBreak/>
              <w:t>be 9.5 months</w:t>
            </w:r>
            <w:r w:rsidR="00A703A0">
              <w:rPr>
                <w:szCs w:val="21"/>
              </w:rPr>
              <w:t>.</w:t>
            </w:r>
            <w:r w:rsidR="00A703A0">
              <w:t xml:space="preserve"> </w:t>
            </w:r>
            <w:r w:rsidR="00B34331" w:rsidRPr="00A703A0">
              <w:rPr>
                <w:szCs w:val="21"/>
              </w:rPr>
              <w:t xml:space="preserve">Cox proportional hazards regression model </w:t>
            </w:r>
            <w:r w:rsidR="00B34331">
              <w:rPr>
                <w:szCs w:val="21"/>
              </w:rPr>
              <w:t>i</w:t>
            </w:r>
            <w:r w:rsidR="00B34331" w:rsidRPr="00A703A0">
              <w:rPr>
                <w:szCs w:val="21"/>
              </w:rPr>
              <w:t>s used to calculate the hazard r</w:t>
            </w:r>
            <w:r w:rsidR="00B34331">
              <w:rPr>
                <w:szCs w:val="21"/>
              </w:rPr>
              <w:t>atio HR of PFS in this study</w:t>
            </w:r>
            <w:r w:rsidR="00B34331" w:rsidRPr="00A703A0">
              <w:rPr>
                <w:szCs w:val="21"/>
              </w:rPr>
              <w:t>.</w:t>
            </w:r>
            <w:r w:rsidR="00B34331">
              <w:rPr>
                <w:szCs w:val="21"/>
              </w:rPr>
              <w:t xml:space="preserve"> </w:t>
            </w:r>
            <w:r w:rsidR="00A703A0" w:rsidRPr="00A703A0">
              <w:rPr>
                <w:szCs w:val="21"/>
              </w:rPr>
              <w:t xml:space="preserve">Assuming the </w:t>
            </w:r>
            <w:r w:rsidR="00B34331">
              <w:rPr>
                <w:rFonts w:hint="eastAsia"/>
                <w:szCs w:val="21"/>
              </w:rPr>
              <w:t>sample</w:t>
            </w:r>
            <w:r w:rsidR="00B34331">
              <w:rPr>
                <w:szCs w:val="21"/>
              </w:rPr>
              <w:t xml:space="preserve"> size ratio of the experiment and control group is 1:1, </w:t>
            </w:r>
            <w:r w:rsidR="00A703A0" w:rsidRPr="00A703A0">
              <w:rPr>
                <w:szCs w:val="21"/>
              </w:rPr>
              <w:t>non-inferiority margin HR</w:t>
            </w:r>
            <w:r w:rsidR="00A703A0" w:rsidRPr="00F94C48">
              <w:rPr>
                <w:szCs w:val="21"/>
                <w:vertAlign w:val="subscript"/>
              </w:rPr>
              <w:t>0</w:t>
            </w:r>
            <w:r w:rsidR="00A703A0" w:rsidRPr="00A703A0">
              <w:rPr>
                <w:szCs w:val="21"/>
              </w:rPr>
              <w:t>=1.09, the true hazard ratio HR</w:t>
            </w:r>
            <w:r w:rsidR="00A703A0" w:rsidRPr="00F94C48">
              <w:rPr>
                <w:szCs w:val="21"/>
                <w:vertAlign w:val="subscript"/>
              </w:rPr>
              <w:t>1</w:t>
            </w:r>
            <w:r w:rsidR="00A703A0" w:rsidRPr="00A703A0">
              <w:rPr>
                <w:szCs w:val="21"/>
              </w:rPr>
              <w:t xml:space="preserve"> of the </w:t>
            </w:r>
            <w:r w:rsidR="00A703A0">
              <w:rPr>
                <w:szCs w:val="21"/>
              </w:rPr>
              <w:t>experimental</w:t>
            </w:r>
            <w:r w:rsidR="00A703A0" w:rsidRPr="00A703A0">
              <w:rPr>
                <w:szCs w:val="21"/>
              </w:rPr>
              <w:t xml:space="preserve"> group </w:t>
            </w:r>
            <w:r w:rsidR="00B34331">
              <w:rPr>
                <w:rFonts w:hint="eastAsia"/>
                <w:szCs w:val="21"/>
              </w:rPr>
              <w:t>versus</w:t>
            </w:r>
            <w:r w:rsidR="00A703A0" w:rsidRPr="00A703A0">
              <w:rPr>
                <w:szCs w:val="21"/>
              </w:rPr>
              <w:t xml:space="preserve"> the control group </w:t>
            </w:r>
            <w:r w:rsidR="00A703A0">
              <w:rPr>
                <w:szCs w:val="21"/>
              </w:rPr>
              <w:t>i</w:t>
            </w:r>
            <w:r w:rsidR="00A703A0" w:rsidRPr="00A703A0">
              <w:rPr>
                <w:szCs w:val="21"/>
              </w:rPr>
              <w:t>s 0.85, and the event rate</w:t>
            </w:r>
            <w:r w:rsidR="00B34331">
              <w:rPr>
                <w:szCs w:val="21"/>
              </w:rPr>
              <w:t xml:space="preserve"> of both groups</w:t>
            </w:r>
            <w:r w:rsidR="00A703A0" w:rsidRPr="00A703A0">
              <w:rPr>
                <w:szCs w:val="21"/>
              </w:rPr>
              <w:t xml:space="preserve"> </w:t>
            </w:r>
            <w:r w:rsidR="00A703A0">
              <w:rPr>
                <w:szCs w:val="21"/>
              </w:rPr>
              <w:t>is 0.75</w:t>
            </w:r>
            <w:r w:rsidR="00DC2B9D">
              <w:rPr>
                <w:szCs w:val="21"/>
              </w:rPr>
              <w:t>.</w:t>
            </w:r>
            <w:r w:rsidR="00B34331">
              <w:rPr>
                <w:szCs w:val="21"/>
              </w:rPr>
              <w:t xml:space="preserve"> one-side p value of 0.025, 0.192 fo power</w:t>
            </w:r>
            <w:r w:rsidR="00DC2B9D">
              <w:rPr>
                <w:szCs w:val="21"/>
              </w:rPr>
              <w:t>.</w:t>
            </w:r>
            <w:r w:rsidR="00A703A0" w:rsidRPr="00A703A0">
              <w:rPr>
                <w:szCs w:val="21"/>
              </w:rPr>
              <w:t xml:space="preserve"> According to the above parameters,</w:t>
            </w:r>
            <w:r w:rsidR="00737DCA">
              <w:rPr>
                <w:szCs w:val="21"/>
              </w:rPr>
              <w:t xml:space="preserve"> </w:t>
            </w:r>
            <w:r w:rsidR="000B377F" w:rsidRPr="00BB4C71">
              <w:rPr>
                <w:szCs w:val="21"/>
              </w:rPr>
              <w:t xml:space="preserve">at least 698 patients (349 per group) </w:t>
            </w:r>
            <w:r w:rsidR="000B377F">
              <w:rPr>
                <w:szCs w:val="21"/>
              </w:rPr>
              <w:t>are</w:t>
            </w:r>
            <w:r w:rsidR="000B377F" w:rsidRPr="00BB4C71">
              <w:rPr>
                <w:szCs w:val="21"/>
              </w:rPr>
              <w:t xml:space="preserve"> needed for 1:1 randomization to obtain 524 events</w:t>
            </w:r>
            <w:r w:rsidR="000B377F">
              <w:rPr>
                <w:szCs w:val="21"/>
              </w:rPr>
              <w:t xml:space="preserve"> calculated by P</w:t>
            </w:r>
            <w:r w:rsidR="00DE08F1">
              <w:rPr>
                <w:szCs w:val="21"/>
              </w:rPr>
              <w:t xml:space="preserve">ASS </w:t>
            </w:r>
            <w:r w:rsidR="000B377F">
              <w:rPr>
                <w:szCs w:val="21"/>
              </w:rPr>
              <w:t>2019 software</w:t>
            </w:r>
            <w:r w:rsidR="000B377F" w:rsidRPr="00BB4C71">
              <w:rPr>
                <w:szCs w:val="21"/>
              </w:rPr>
              <w:t xml:space="preserve">. </w:t>
            </w:r>
            <w:r w:rsidR="000B377F" w:rsidRPr="00F76877">
              <w:rPr>
                <w:color w:val="FF0000"/>
                <w:szCs w:val="21"/>
              </w:rPr>
              <w:t>If non-inferiority was declared, the progression-free survival was also to be tested for superiority, with a superiority margin of 1.0.</w:t>
            </w:r>
          </w:p>
        </w:tc>
      </w:tr>
      <w:tr w:rsidR="00D45C54" w14:paraId="45BE7595" w14:textId="77777777">
        <w:trPr>
          <w:trHeight w:val="138"/>
          <w:jc w:val="center"/>
        </w:trPr>
        <w:tc>
          <w:tcPr>
            <w:tcW w:w="1560" w:type="dxa"/>
            <w:vAlign w:val="center"/>
          </w:tcPr>
          <w:p w14:paraId="7EB829C7" w14:textId="31D606A5" w:rsidR="00D45C54" w:rsidRDefault="0096437C">
            <w:pPr>
              <w:pStyle w:val="P68B1DB1-119"/>
              <w:suppressAutoHyphens w:val="0"/>
              <w:topLinePunct w:val="0"/>
              <w:spacing w:line="240" w:lineRule="auto"/>
              <w:rPr>
                <w:rFonts w:hint="default"/>
              </w:rPr>
            </w:pPr>
            <w:r>
              <w:rPr>
                <w:rFonts w:hint="default"/>
              </w:rPr>
              <w:lastRenderedPageBreak/>
              <w:t>Study</w:t>
            </w:r>
            <w:r>
              <w:t xml:space="preserve"> </w:t>
            </w:r>
            <w:r w:rsidR="003E0392">
              <w:t xml:space="preserve">design </w:t>
            </w:r>
          </w:p>
        </w:tc>
        <w:tc>
          <w:tcPr>
            <w:tcW w:w="7761" w:type="dxa"/>
            <w:vAlign w:val="center"/>
          </w:tcPr>
          <w:p w14:paraId="323210E2" w14:textId="0A62576D" w:rsidR="00D45C54" w:rsidRDefault="0005604C" w:rsidP="00384EEC">
            <w:pPr>
              <w:pStyle w:val="afffb"/>
              <w:ind w:firstLineChars="0" w:firstLine="0"/>
            </w:pPr>
            <w:r>
              <w:t>R</w:t>
            </w:r>
            <w:r w:rsidRPr="0005604C">
              <w:t>andomised</w:t>
            </w:r>
            <w:r>
              <w:t>,</w:t>
            </w:r>
            <w:r w:rsidRPr="0005604C">
              <w:t xml:space="preserve"> </w:t>
            </w:r>
            <w:r>
              <w:t>open-label, multicentre</w:t>
            </w:r>
            <w:r w:rsidRPr="0005604C">
              <w:t>, parall</w:t>
            </w:r>
            <w:r>
              <w:t xml:space="preserve">el-controlled, non-inferiority </w:t>
            </w:r>
            <w:r w:rsidRPr="0005604C">
              <w:t>trial</w:t>
            </w:r>
            <w:r>
              <w:t>.</w:t>
            </w:r>
            <w:r w:rsidR="003E0392">
              <w:rPr>
                <w:rFonts w:hint="eastAsia"/>
              </w:rPr>
              <w:t xml:space="preserve"> </w:t>
            </w:r>
            <w:r w:rsidR="003E0392">
              <w:t xml:space="preserve"> </w:t>
            </w:r>
          </w:p>
        </w:tc>
      </w:tr>
      <w:tr w:rsidR="00D45C54" w14:paraId="7F1B17BB" w14:textId="77777777">
        <w:trPr>
          <w:trHeight w:val="138"/>
          <w:jc w:val="center"/>
        </w:trPr>
        <w:tc>
          <w:tcPr>
            <w:tcW w:w="1560" w:type="dxa"/>
            <w:vAlign w:val="center"/>
          </w:tcPr>
          <w:p w14:paraId="36B1B9E9" w14:textId="77777777" w:rsidR="00D45C54" w:rsidRDefault="003E0392">
            <w:pPr>
              <w:pStyle w:val="P68B1DB1-119"/>
              <w:suppressAutoHyphens w:val="0"/>
              <w:topLinePunct w:val="0"/>
              <w:spacing w:line="240" w:lineRule="auto"/>
              <w:rPr>
                <w:rFonts w:hint="default"/>
              </w:rPr>
            </w:pPr>
            <w:r>
              <w:t xml:space="preserve">Inclusion criteria </w:t>
            </w:r>
          </w:p>
        </w:tc>
        <w:tc>
          <w:tcPr>
            <w:tcW w:w="7761" w:type="dxa"/>
            <w:vAlign w:val="center"/>
          </w:tcPr>
          <w:p w14:paraId="26DACCD2" w14:textId="1FDB2F9C" w:rsidR="00BD57D8" w:rsidRDefault="00BD57D8" w:rsidP="003127AF">
            <w:pPr>
              <w:pStyle w:val="P68B1DB1-17420"/>
              <w:ind w:firstLineChars="0" w:firstLine="0"/>
              <w:rPr>
                <w:rFonts w:hint="default"/>
              </w:rPr>
            </w:pPr>
            <w:r>
              <w:t xml:space="preserve">Subjects who meet all of the following inclusion criteria can be included in this trial: </w:t>
            </w:r>
          </w:p>
          <w:p w14:paraId="6C7CBCF7" w14:textId="130DA6FF" w:rsidR="00934EE2" w:rsidRDefault="00934EE2" w:rsidP="006D1B06">
            <w:pPr>
              <w:pStyle w:val="P68B1DB1-17420"/>
              <w:numPr>
                <w:ilvl w:val="0"/>
                <w:numId w:val="34"/>
              </w:numPr>
              <w:ind w:firstLineChars="0"/>
              <w:rPr>
                <w:rFonts w:hint="default"/>
              </w:rPr>
            </w:pPr>
            <w:r>
              <w:t>Be willing and able to provide written informed consent for the trial, and comply with all aspects of the protocol</w:t>
            </w:r>
            <w:r>
              <w:rPr>
                <w:rFonts w:hint="default"/>
              </w:rPr>
              <w:t>;</w:t>
            </w:r>
          </w:p>
          <w:p w14:paraId="3F9035B8" w14:textId="74F2F02B" w:rsidR="00934EE2" w:rsidRDefault="00934EE2" w:rsidP="006D1B06">
            <w:pPr>
              <w:pStyle w:val="P68B1DB1-17420"/>
              <w:numPr>
                <w:ilvl w:val="0"/>
                <w:numId w:val="34"/>
              </w:numPr>
              <w:ind w:firstLineChars="0"/>
              <w:rPr>
                <w:rFonts w:hint="default"/>
              </w:rPr>
            </w:pPr>
            <w:r>
              <w:t>Age 18-</w:t>
            </w:r>
            <w:r>
              <w:rPr>
                <w:rFonts w:hint="default"/>
              </w:rPr>
              <w:t>75</w:t>
            </w:r>
            <w:r>
              <w:t xml:space="preserve"> years (calculated on the date of signing the informed consent form); ECOG PS of 0-1</w:t>
            </w:r>
            <w:r>
              <w:rPr>
                <w:rFonts w:hint="default"/>
              </w:rPr>
              <w:t>;</w:t>
            </w:r>
            <w:r>
              <w:t xml:space="preserve"> predicted life expectancy of </w:t>
            </w:r>
            <w:r w:rsidRPr="00384EEC">
              <w:rPr>
                <w:rFonts w:hint="default"/>
              </w:rPr>
              <w:t>≥</w:t>
            </w:r>
            <w:r>
              <w:t>3 months</w:t>
            </w:r>
            <w:r>
              <w:rPr>
                <w:rFonts w:hint="default"/>
              </w:rPr>
              <w:t>;</w:t>
            </w:r>
          </w:p>
          <w:p w14:paraId="32F04FB5" w14:textId="15A78A03" w:rsidR="00BD57D8" w:rsidRDefault="00934EE2" w:rsidP="006D1B06">
            <w:pPr>
              <w:pStyle w:val="P68B1DB1-17420"/>
              <w:numPr>
                <w:ilvl w:val="0"/>
                <w:numId w:val="34"/>
              </w:numPr>
              <w:ind w:firstLineChars="0"/>
              <w:rPr>
                <w:rFonts w:hint="default"/>
              </w:rPr>
            </w:pPr>
            <w:r w:rsidRPr="00934EE2">
              <w:t xml:space="preserve">Pathologically confirmed unresectable metastatic colorectal adenocarcinoma </w:t>
            </w:r>
            <w:r w:rsidR="00BC7438">
              <w:rPr>
                <w:rFonts w:hint="default"/>
              </w:rPr>
              <w:t xml:space="preserve">and </w:t>
            </w:r>
            <w:r w:rsidRPr="00934EE2">
              <w:t>confirmed by MDT (UICC/AJCC colorectal cancer TNM staging system (8th edition, 2017));</w:t>
            </w:r>
            <w:r w:rsidR="00BD57D8">
              <w:t xml:space="preserve"> </w:t>
            </w:r>
          </w:p>
          <w:p w14:paraId="563FDE66" w14:textId="77777777" w:rsidR="00BC7438" w:rsidRDefault="00BC7438" w:rsidP="006D1B06">
            <w:pPr>
              <w:pStyle w:val="P68B1DB1-17420"/>
              <w:numPr>
                <w:ilvl w:val="0"/>
                <w:numId w:val="34"/>
              </w:numPr>
              <w:ind w:firstLineChars="0"/>
              <w:rPr>
                <w:rFonts w:hint="default"/>
              </w:rPr>
            </w:pPr>
            <w:r w:rsidRPr="00BC7438">
              <w:t>Patients with wild-type RAS (including KRAS and NRAS) and wild-type BRAF by genetic testing</w:t>
            </w:r>
            <w:r>
              <w:rPr>
                <w:rFonts w:hint="default"/>
              </w:rPr>
              <w:t>;</w:t>
            </w:r>
            <w:r>
              <w:t xml:space="preserve"> </w:t>
            </w:r>
          </w:p>
          <w:p w14:paraId="11A1730B" w14:textId="57666171" w:rsidR="00BC7438" w:rsidRDefault="00BC7438" w:rsidP="006D1B06">
            <w:pPr>
              <w:pStyle w:val="P68B1DB1-17420"/>
              <w:numPr>
                <w:ilvl w:val="0"/>
                <w:numId w:val="34"/>
              </w:numPr>
              <w:ind w:firstLineChars="0"/>
              <w:rPr>
                <w:rFonts w:hint="default"/>
              </w:rPr>
            </w:pPr>
            <w:r>
              <w:rPr>
                <w:rFonts w:hint="default"/>
              </w:rPr>
              <w:t>A</w:t>
            </w:r>
            <w:r>
              <w:t xml:space="preserve">t least 1 measurable lesion by RECIST 1.1 criteria. </w:t>
            </w:r>
          </w:p>
          <w:p w14:paraId="5C77EED3" w14:textId="72F26897" w:rsidR="00BD57D8" w:rsidRDefault="00BD57D8" w:rsidP="006D1B06">
            <w:pPr>
              <w:pStyle w:val="P68B1DB1-17420"/>
              <w:numPr>
                <w:ilvl w:val="0"/>
                <w:numId w:val="34"/>
              </w:numPr>
              <w:ind w:firstLineChars="0"/>
              <w:rPr>
                <w:rFonts w:hint="default"/>
              </w:rPr>
            </w:pPr>
            <w:r>
              <w:t xml:space="preserve">Adequate function of the important organs as evidenced by the following: </w:t>
            </w:r>
          </w:p>
          <w:p w14:paraId="1C398A4B" w14:textId="58A3672F" w:rsidR="00BC7438" w:rsidRDefault="00BD57D8" w:rsidP="006D1B06">
            <w:pPr>
              <w:pStyle w:val="P68B1DB1-17420"/>
              <w:numPr>
                <w:ilvl w:val="0"/>
                <w:numId w:val="35"/>
              </w:numPr>
              <w:ind w:firstLineChars="0"/>
              <w:rPr>
                <w:rFonts w:hint="default"/>
              </w:rPr>
            </w:pPr>
            <w:r>
              <w:t xml:space="preserve">Hemanalysis (no blood transfusion within 7 days, no correction with hematopoietic stimulator drugs): </w:t>
            </w:r>
          </w:p>
          <w:p w14:paraId="40BB996E" w14:textId="77777777" w:rsidR="00BC7438" w:rsidRDefault="00BC7438" w:rsidP="006D1B06">
            <w:pPr>
              <w:pStyle w:val="P68B1DB1-17420"/>
              <w:numPr>
                <w:ilvl w:val="0"/>
                <w:numId w:val="36"/>
              </w:numPr>
              <w:ind w:firstLineChars="0"/>
              <w:rPr>
                <w:rFonts w:hint="default"/>
              </w:rPr>
            </w:pPr>
            <w:r>
              <w:t>hemoglobin (H</w:t>
            </w:r>
            <w:r>
              <w:rPr>
                <w:rFonts w:hint="default"/>
              </w:rPr>
              <w:t>GB</w:t>
            </w:r>
            <w:r>
              <w:t xml:space="preserve">) </w:t>
            </w:r>
            <w:r w:rsidRPr="00D27CBC">
              <w:rPr>
                <w:rFonts w:hint="default"/>
              </w:rPr>
              <w:t>≥</w:t>
            </w:r>
            <w:r>
              <w:t>90 g/L</w:t>
            </w:r>
            <w:r>
              <w:rPr>
                <w:rFonts w:hint="default"/>
              </w:rPr>
              <w:t>,</w:t>
            </w:r>
            <w:r>
              <w:t xml:space="preserve"> </w:t>
            </w:r>
          </w:p>
          <w:p w14:paraId="44B560C1" w14:textId="0F3D5356" w:rsidR="00BC7438" w:rsidRDefault="00BD57D8" w:rsidP="006D1B06">
            <w:pPr>
              <w:pStyle w:val="P68B1DB1-17420"/>
              <w:numPr>
                <w:ilvl w:val="0"/>
                <w:numId w:val="36"/>
              </w:numPr>
              <w:ind w:firstLineChars="0"/>
              <w:rPr>
                <w:rFonts w:hint="default"/>
              </w:rPr>
            </w:pPr>
            <w:r>
              <w:t>absolute neutrophil count (</w:t>
            </w:r>
            <w:r w:rsidR="00BC7438">
              <w:rPr>
                <w:rFonts w:hint="default"/>
              </w:rPr>
              <w:t>NEUT</w:t>
            </w:r>
            <w:r>
              <w:t xml:space="preserve">) </w:t>
            </w:r>
            <w:r w:rsidRPr="00384EEC">
              <w:rPr>
                <w:rFonts w:hint="default"/>
              </w:rPr>
              <w:t>≥</w:t>
            </w:r>
            <w:r>
              <w:t>1.5</w:t>
            </w:r>
            <w:r>
              <w:t>×</w:t>
            </w:r>
            <w:r>
              <w:t>10</w:t>
            </w:r>
            <w:r w:rsidRPr="00384EEC">
              <w:rPr>
                <w:vertAlign w:val="superscript"/>
              </w:rPr>
              <w:t>9</w:t>
            </w:r>
            <w:r>
              <w:t xml:space="preserve">/L; </w:t>
            </w:r>
          </w:p>
          <w:p w14:paraId="0012098B" w14:textId="43A2B073" w:rsidR="00BD57D8" w:rsidRDefault="00BD57D8" w:rsidP="006D1B06">
            <w:pPr>
              <w:pStyle w:val="P68B1DB1-17420"/>
              <w:numPr>
                <w:ilvl w:val="0"/>
                <w:numId w:val="36"/>
              </w:numPr>
              <w:ind w:firstLineChars="0"/>
              <w:rPr>
                <w:rFonts w:hint="default"/>
              </w:rPr>
            </w:pPr>
            <w:r>
              <w:t xml:space="preserve">platelets </w:t>
            </w:r>
            <w:r w:rsidR="008D4347">
              <w:t>count</w:t>
            </w:r>
            <w:r w:rsidR="008D4347">
              <w:rPr>
                <w:rFonts w:hint="default"/>
              </w:rPr>
              <w:t xml:space="preserve"> </w:t>
            </w:r>
            <w:r>
              <w:t xml:space="preserve">(PLT) </w:t>
            </w:r>
            <w:r w:rsidRPr="00384EEC">
              <w:rPr>
                <w:rFonts w:hint="default"/>
              </w:rPr>
              <w:t>≥</w:t>
            </w:r>
            <w:r>
              <w:t>100</w:t>
            </w:r>
            <w:r>
              <w:t>×</w:t>
            </w:r>
            <w:r>
              <w:t>10</w:t>
            </w:r>
            <w:r w:rsidRPr="00384EEC">
              <w:rPr>
                <w:vertAlign w:val="superscript"/>
              </w:rPr>
              <w:t>9</w:t>
            </w:r>
            <w:r>
              <w:t>/L;</w:t>
            </w:r>
          </w:p>
          <w:p w14:paraId="4F04DAC2" w14:textId="1BFBA68E" w:rsidR="00BD57D8" w:rsidRDefault="00BD57D8" w:rsidP="006D1B06">
            <w:pPr>
              <w:pStyle w:val="P68B1DB1-17420"/>
              <w:numPr>
                <w:ilvl w:val="0"/>
                <w:numId w:val="35"/>
              </w:numPr>
              <w:ind w:firstLineChars="0"/>
              <w:rPr>
                <w:rFonts w:hint="default"/>
              </w:rPr>
            </w:pPr>
            <w:r>
              <w:t xml:space="preserve">Biochemistry: </w:t>
            </w:r>
          </w:p>
          <w:p w14:paraId="526B32AF" w14:textId="3EB2C9EF" w:rsidR="00BC7438" w:rsidRDefault="00BD57D8" w:rsidP="006D1B06">
            <w:pPr>
              <w:pStyle w:val="P68B1DB1-17420"/>
              <w:numPr>
                <w:ilvl w:val="0"/>
                <w:numId w:val="37"/>
              </w:numPr>
              <w:ind w:firstLineChars="0"/>
              <w:rPr>
                <w:rFonts w:hint="default"/>
              </w:rPr>
            </w:pPr>
            <w:r>
              <w:t xml:space="preserve">total bilirubin (TBIL) </w:t>
            </w:r>
            <w:r w:rsidRPr="00384EEC">
              <w:rPr>
                <w:rFonts w:hint="default"/>
              </w:rPr>
              <w:t>≤</w:t>
            </w:r>
            <w:r w:rsidR="00803CE4">
              <w:rPr>
                <w:rFonts w:hint="default"/>
              </w:rPr>
              <w:t>1.5</w:t>
            </w:r>
            <w:r w:rsidRPr="00955DFB">
              <w:rPr>
                <w:rFonts w:hint="default"/>
              </w:rPr>
              <w:t>×</w:t>
            </w:r>
            <w:r>
              <w:t xml:space="preserve">upper limit of normal value </w:t>
            </w:r>
            <w:r w:rsidR="00BC7438">
              <w:rPr>
                <w:rFonts w:hint="default"/>
              </w:rPr>
              <w:t>(</w:t>
            </w:r>
            <w:r>
              <w:t>ULN</w:t>
            </w:r>
            <w:r w:rsidR="00BC7438">
              <w:rPr>
                <w:rFonts w:hint="default"/>
              </w:rPr>
              <w:t>)</w:t>
            </w:r>
            <w:r>
              <w:t xml:space="preserve"> or </w:t>
            </w:r>
            <w:r w:rsidRPr="00384EEC">
              <w:rPr>
                <w:rFonts w:hint="default"/>
              </w:rPr>
              <w:t>≤</w:t>
            </w:r>
            <w:r>
              <w:t>3</w:t>
            </w:r>
            <w:r w:rsidRPr="00955DFB">
              <w:rPr>
                <w:rFonts w:hint="default"/>
              </w:rPr>
              <w:t>×</w:t>
            </w:r>
            <w:r>
              <w:t>ULN for patients with Gilbert syndrome;</w:t>
            </w:r>
          </w:p>
          <w:p w14:paraId="123E928E" w14:textId="6BF9986F" w:rsidR="00BC7438" w:rsidRDefault="00BD57D8" w:rsidP="006D1B06">
            <w:pPr>
              <w:pStyle w:val="P68B1DB1-17420"/>
              <w:numPr>
                <w:ilvl w:val="0"/>
                <w:numId w:val="37"/>
              </w:numPr>
              <w:ind w:firstLineChars="0"/>
              <w:rPr>
                <w:rFonts w:hint="default"/>
              </w:rPr>
            </w:pPr>
            <w:r>
              <w:t xml:space="preserve">alanine aminotransferase (ALT) and aspartate aminotransferase (AST) </w:t>
            </w:r>
            <w:r w:rsidRPr="00384EEC">
              <w:rPr>
                <w:rFonts w:hint="default"/>
              </w:rPr>
              <w:t>≤</w:t>
            </w:r>
            <w:r>
              <w:t>2.5</w:t>
            </w:r>
            <w:r w:rsidR="002D0923" w:rsidRPr="00955DFB">
              <w:rPr>
                <w:rFonts w:hint="default"/>
              </w:rPr>
              <w:t>×</w:t>
            </w:r>
            <w:r w:rsidR="002D0923">
              <w:t>ULN</w:t>
            </w:r>
            <w:r w:rsidR="008551F7">
              <w:rPr>
                <w:rFonts w:hint="default"/>
              </w:rPr>
              <w:t>. O</w:t>
            </w:r>
            <w:r>
              <w:t xml:space="preserve">r </w:t>
            </w:r>
            <w:r w:rsidRPr="00384EEC">
              <w:rPr>
                <w:rFonts w:hint="default"/>
              </w:rPr>
              <w:t>≤</w:t>
            </w:r>
            <w:r>
              <w:t>5</w:t>
            </w:r>
            <w:r w:rsidRPr="00955DFB">
              <w:rPr>
                <w:rFonts w:hint="default"/>
              </w:rPr>
              <w:t>×</w:t>
            </w:r>
            <w:r>
              <w:t xml:space="preserve">ULN for patients with liver metastases; </w:t>
            </w:r>
          </w:p>
          <w:p w14:paraId="1F87923D" w14:textId="4831AC94" w:rsidR="00BD57D8" w:rsidRDefault="00BD57D8" w:rsidP="006D1B06">
            <w:pPr>
              <w:pStyle w:val="P68B1DB1-17420"/>
              <w:numPr>
                <w:ilvl w:val="0"/>
                <w:numId w:val="37"/>
              </w:numPr>
              <w:ind w:firstLineChars="0"/>
              <w:rPr>
                <w:rFonts w:hint="default"/>
              </w:rPr>
            </w:pPr>
            <w:r>
              <w:t xml:space="preserve">Creatinine (Cr) </w:t>
            </w:r>
            <w:r w:rsidRPr="00384EEC">
              <w:rPr>
                <w:rFonts w:hint="default"/>
              </w:rPr>
              <w:t>≤</w:t>
            </w:r>
            <w:r>
              <w:t>1.5</w:t>
            </w:r>
            <w:r w:rsidRPr="00955DFB">
              <w:rPr>
                <w:rFonts w:hint="default"/>
              </w:rPr>
              <w:t>×</w:t>
            </w:r>
            <w:r>
              <w:t>ULN</w:t>
            </w:r>
            <w:r w:rsidR="006463AF">
              <w:rPr>
                <w:rFonts w:hint="default"/>
              </w:rPr>
              <w:t xml:space="preserve"> o</w:t>
            </w:r>
            <w:r w:rsidR="006463AF" w:rsidRPr="006463AF">
              <w:t xml:space="preserve">r creatinine clearance </w:t>
            </w:r>
            <w:r w:rsidR="006463AF" w:rsidRPr="006463AF">
              <w:lastRenderedPageBreak/>
              <w:t>(CCR)</w:t>
            </w:r>
            <w:r w:rsidR="006463AF" w:rsidRPr="00384EEC">
              <w:rPr>
                <w:rFonts w:hint="default"/>
              </w:rPr>
              <w:t>≥</w:t>
            </w:r>
            <w:r w:rsidR="006463AF" w:rsidRPr="006463AF">
              <w:t>50ml/min</w:t>
            </w:r>
            <w:r w:rsidR="006463AF">
              <w:rPr>
                <w:rFonts w:hint="default"/>
              </w:rPr>
              <w:t>.</w:t>
            </w:r>
          </w:p>
          <w:p w14:paraId="16C1F031" w14:textId="117A8BFE" w:rsidR="006463AF" w:rsidRDefault="006463AF" w:rsidP="006D1B06">
            <w:pPr>
              <w:pStyle w:val="P68B1DB1-17420"/>
              <w:numPr>
                <w:ilvl w:val="0"/>
                <w:numId w:val="35"/>
              </w:numPr>
              <w:ind w:firstLineChars="0"/>
              <w:rPr>
                <w:rFonts w:hint="default"/>
              </w:rPr>
            </w:pPr>
            <w:r w:rsidRPr="006463AF">
              <w:t xml:space="preserve">Coagulation or thyroid tests </w:t>
            </w:r>
            <w:r>
              <w:rPr>
                <w:rFonts w:hint="default"/>
              </w:rPr>
              <w:t>are</w:t>
            </w:r>
            <w:r w:rsidRPr="006463AF">
              <w:t xml:space="preserve"> required to meet the following criteria</w:t>
            </w:r>
            <w:r>
              <w:rPr>
                <w:rFonts w:hint="default"/>
              </w:rPr>
              <w:t>:</w:t>
            </w:r>
          </w:p>
          <w:p w14:paraId="255957F5" w14:textId="62376EE1" w:rsidR="006463AF" w:rsidRDefault="006463AF" w:rsidP="006D1B06">
            <w:pPr>
              <w:pStyle w:val="P68B1DB1-17420"/>
              <w:numPr>
                <w:ilvl w:val="0"/>
                <w:numId w:val="38"/>
              </w:numPr>
              <w:ind w:firstLineChars="0"/>
              <w:rPr>
                <w:rFonts w:hint="default"/>
              </w:rPr>
            </w:pPr>
            <w:r>
              <w:t>prothrombin time (PT)</w:t>
            </w:r>
            <w:r>
              <w:rPr>
                <w:rFonts w:hint="default"/>
              </w:rPr>
              <w:t xml:space="preserve">, </w:t>
            </w:r>
            <w:r>
              <w:t>activated partial thromboplastin time (APTT)</w:t>
            </w:r>
            <w:r>
              <w:rPr>
                <w:rFonts w:hint="default"/>
              </w:rPr>
              <w:t xml:space="preserve"> and</w:t>
            </w:r>
            <w:r>
              <w:t xml:space="preserve"> international normalization ratio (INR) </w:t>
            </w:r>
            <w:r w:rsidRPr="00384EEC">
              <w:rPr>
                <w:rFonts w:hint="default"/>
              </w:rPr>
              <w:t>≤</w:t>
            </w:r>
            <w:r>
              <w:t xml:space="preserve"> 1.5</w:t>
            </w:r>
            <w:r w:rsidRPr="00C05487">
              <w:rPr>
                <w:rFonts w:hint="default"/>
              </w:rPr>
              <w:t>×</w:t>
            </w:r>
            <w:r>
              <w:t xml:space="preserve">ULN (no </w:t>
            </w:r>
            <w:r w:rsidR="008551F7">
              <w:rPr>
                <w:rFonts w:hint="default"/>
              </w:rPr>
              <w:t xml:space="preserve">prior </w:t>
            </w:r>
            <w:r>
              <w:t>anticoagulant therapy)</w:t>
            </w:r>
          </w:p>
          <w:p w14:paraId="56C245FA" w14:textId="6159C685" w:rsidR="006A3E3C" w:rsidRPr="005268FA" w:rsidRDefault="006A3E3C" w:rsidP="005268FA">
            <w:pPr>
              <w:pStyle w:val="P68B1DB1-17420"/>
              <w:numPr>
                <w:ilvl w:val="0"/>
                <w:numId w:val="38"/>
              </w:numPr>
              <w:ind w:firstLineChars="0"/>
              <w:rPr>
                <w:rFonts w:hint="default"/>
              </w:rPr>
            </w:pPr>
            <w:r>
              <w:t xml:space="preserve">Thyroid stimulating hormone (TSH) </w:t>
            </w:r>
            <w:r w:rsidRPr="00384EEC">
              <w:rPr>
                <w:rFonts w:hint="default"/>
              </w:rPr>
              <w:t>≤</w:t>
            </w:r>
            <w:r>
              <w:t xml:space="preserve"> ULN</w:t>
            </w:r>
            <w:r w:rsidRPr="005268FA">
              <w:t>;</w:t>
            </w:r>
            <w:r w:rsidR="00C05487" w:rsidRPr="005268FA">
              <w:t xml:space="preserve"> </w:t>
            </w:r>
            <w:r w:rsidR="005268FA" w:rsidRPr="005268FA">
              <w:t xml:space="preserve">If </w:t>
            </w:r>
            <w:r w:rsidR="008551F7">
              <w:rPr>
                <w:rFonts w:hint="default"/>
              </w:rPr>
              <w:t xml:space="preserve">level of TSH was </w:t>
            </w:r>
            <w:r w:rsidR="005268FA" w:rsidRPr="005268FA">
              <w:t>abnormal, T3 and T4 should be investigated</w:t>
            </w:r>
            <w:r w:rsidR="00C05487" w:rsidRPr="005268FA">
              <w:t xml:space="preserve"> (if there </w:t>
            </w:r>
            <w:r w:rsidR="00C05487" w:rsidRPr="005268FA">
              <w:rPr>
                <w:rFonts w:hint="default"/>
              </w:rPr>
              <w:t>are</w:t>
            </w:r>
            <w:r w:rsidR="00C05487" w:rsidRPr="005268FA">
              <w:t xml:space="preserve"> no T3 and T4 in the </w:t>
            </w:r>
            <w:r w:rsidR="008551F7">
              <w:rPr>
                <w:rFonts w:hint="default"/>
              </w:rPr>
              <w:t>sites</w:t>
            </w:r>
            <w:r w:rsidR="00C05487" w:rsidRPr="005268FA">
              <w:t xml:space="preserve">, FT3 and FT4 could be used instead). If the levels of T3 and T4 </w:t>
            </w:r>
            <w:r w:rsidR="00C05487" w:rsidRPr="005268FA">
              <w:rPr>
                <w:rFonts w:hint="default"/>
              </w:rPr>
              <w:t>are</w:t>
            </w:r>
            <w:r w:rsidR="00C05487" w:rsidRPr="005268FA">
              <w:t xml:space="preserve"> normal, </w:t>
            </w:r>
            <w:r w:rsidR="00C05487" w:rsidRPr="005268FA">
              <w:rPr>
                <w:rFonts w:hint="default"/>
              </w:rPr>
              <w:t>the patients</w:t>
            </w:r>
            <w:r w:rsidR="00C05487" w:rsidRPr="005268FA">
              <w:t xml:space="preserve"> could be included.</w:t>
            </w:r>
          </w:p>
          <w:p w14:paraId="3D0269EC" w14:textId="45FF5B10" w:rsidR="00BD57D8" w:rsidRDefault="00544A62" w:rsidP="006D1B06">
            <w:pPr>
              <w:pStyle w:val="P68B1DB1-17420"/>
              <w:numPr>
                <w:ilvl w:val="0"/>
                <w:numId w:val="35"/>
              </w:numPr>
              <w:ind w:firstLineChars="0"/>
              <w:rPr>
                <w:rFonts w:hint="default"/>
              </w:rPr>
            </w:pPr>
            <w:r>
              <w:rPr>
                <w:rFonts w:hint="default"/>
              </w:rPr>
              <w:t>Ultrasonic cardiogram</w:t>
            </w:r>
            <w:r w:rsidR="00BD57D8" w:rsidRPr="005268FA">
              <w:t xml:space="preserve"> assessment: left</w:t>
            </w:r>
            <w:r w:rsidR="00BD57D8">
              <w:t xml:space="preserve"> ventricular ejection fraction (LVEF) </w:t>
            </w:r>
            <w:r w:rsidR="00BD57D8" w:rsidRPr="00384EEC">
              <w:rPr>
                <w:rFonts w:hint="default"/>
              </w:rPr>
              <w:t>≥</w:t>
            </w:r>
            <w:r w:rsidR="00BD57D8">
              <w:t xml:space="preserve"> 50%;</w:t>
            </w:r>
          </w:p>
          <w:p w14:paraId="5DA0DBBF" w14:textId="29E56903" w:rsidR="00D45C54" w:rsidRDefault="00BD57D8" w:rsidP="00544A62">
            <w:pPr>
              <w:pStyle w:val="P68B1DB1-17420"/>
              <w:numPr>
                <w:ilvl w:val="0"/>
                <w:numId w:val="34"/>
              </w:numPr>
              <w:ind w:firstLineChars="0"/>
              <w:rPr>
                <w:rFonts w:hint="default"/>
              </w:rPr>
            </w:pPr>
            <w:r>
              <w:t>Women</w:t>
            </w:r>
            <w:r w:rsidR="00544A62">
              <w:rPr>
                <w:rFonts w:hint="default"/>
              </w:rPr>
              <w:t xml:space="preserve"> </w:t>
            </w:r>
            <w:r>
              <w:t>of childbearing potential must agree to contraception for the duration of study treatment and 6 months after the last dose of study treatment</w:t>
            </w:r>
            <w:r w:rsidR="00544A62">
              <w:rPr>
                <w:rFonts w:hint="default"/>
              </w:rPr>
              <w:t xml:space="preserve">. Women must </w:t>
            </w:r>
            <w:r>
              <w:t xml:space="preserve">have a negative serum pregnancy test within 7 days prior to the study </w:t>
            </w:r>
            <w:r w:rsidR="00544A62">
              <w:rPr>
                <w:rFonts w:hint="default"/>
              </w:rPr>
              <w:t>enrollment</w:t>
            </w:r>
            <w:r w:rsidR="00544A62">
              <w:t xml:space="preserve"> </w:t>
            </w:r>
            <w:r>
              <w:t xml:space="preserve">and </w:t>
            </w:r>
            <w:r w:rsidR="00544A62">
              <w:rPr>
                <w:rFonts w:hint="default"/>
              </w:rPr>
              <w:t xml:space="preserve">must not </w:t>
            </w:r>
            <w:r>
              <w:t>be on-lactating. Men should agree that effective contraception must be used during the study and for 6 months after the end of the study.</w:t>
            </w:r>
          </w:p>
        </w:tc>
      </w:tr>
      <w:tr w:rsidR="00D45C54" w14:paraId="3F7F0EE1" w14:textId="77777777">
        <w:trPr>
          <w:trHeight w:val="138"/>
          <w:jc w:val="center"/>
        </w:trPr>
        <w:tc>
          <w:tcPr>
            <w:tcW w:w="1560" w:type="dxa"/>
            <w:vAlign w:val="center"/>
          </w:tcPr>
          <w:p w14:paraId="4D6A6FF9" w14:textId="77777777" w:rsidR="00D45C54" w:rsidRDefault="003E0392">
            <w:pPr>
              <w:pStyle w:val="P68B1DB1-119"/>
              <w:suppressAutoHyphens w:val="0"/>
              <w:topLinePunct w:val="0"/>
              <w:spacing w:line="240" w:lineRule="auto"/>
              <w:rPr>
                <w:rFonts w:hint="default"/>
              </w:rPr>
            </w:pPr>
            <w:r>
              <w:lastRenderedPageBreak/>
              <w:t xml:space="preserve">Exclusion Criteria </w:t>
            </w:r>
          </w:p>
        </w:tc>
        <w:tc>
          <w:tcPr>
            <w:tcW w:w="7761" w:type="dxa"/>
            <w:vAlign w:val="center"/>
          </w:tcPr>
          <w:p w14:paraId="6E733C2B" w14:textId="3FBE62AC" w:rsidR="009D6452" w:rsidRPr="003127AF" w:rsidRDefault="009D6452" w:rsidP="003127AF">
            <w:pPr>
              <w:rPr>
                <w:rFonts w:eastAsia="宋体"/>
              </w:rPr>
            </w:pPr>
            <w:r w:rsidRPr="003127AF">
              <w:rPr>
                <w:rFonts w:eastAsia="宋体"/>
              </w:rPr>
              <w:t>Subjects who meet any of the following exclusio</w:t>
            </w:r>
            <w:r w:rsidR="00432E64">
              <w:rPr>
                <w:rFonts w:eastAsia="宋体"/>
              </w:rPr>
              <w:t xml:space="preserve">n criteria will not be enrolled </w:t>
            </w:r>
            <w:r w:rsidRPr="003127AF">
              <w:rPr>
                <w:rFonts w:eastAsia="宋体"/>
              </w:rPr>
              <w:t>in the study:</w:t>
            </w:r>
          </w:p>
          <w:p w14:paraId="0A023C72" w14:textId="7A50628B" w:rsidR="0085221B" w:rsidRPr="00384EEC" w:rsidRDefault="0085221B" w:rsidP="006D1B06">
            <w:pPr>
              <w:pStyle w:val="affff0"/>
              <w:numPr>
                <w:ilvl w:val="0"/>
                <w:numId w:val="39"/>
              </w:numPr>
              <w:tabs>
                <w:tab w:val="left" w:pos="704"/>
              </w:tabs>
              <w:rPr>
                <w:rFonts w:eastAsiaTheme="minorEastAsia"/>
              </w:rPr>
            </w:pPr>
            <w:r>
              <w:rPr>
                <w:rFonts w:eastAsiaTheme="minorEastAsia" w:hint="eastAsia"/>
              </w:rPr>
              <w:t>P</w:t>
            </w:r>
            <w:r>
              <w:rPr>
                <w:rFonts w:eastAsiaTheme="minorEastAsia"/>
              </w:rPr>
              <w:t>atients with MSI-H/dMMR;</w:t>
            </w:r>
          </w:p>
          <w:p w14:paraId="55D83B93" w14:textId="1EB590FA" w:rsidR="009D6452" w:rsidRPr="005268FA" w:rsidRDefault="00FC0AE5" w:rsidP="00FC0AE5">
            <w:pPr>
              <w:pStyle w:val="affff0"/>
              <w:numPr>
                <w:ilvl w:val="0"/>
                <w:numId w:val="39"/>
              </w:numPr>
              <w:tabs>
                <w:tab w:val="left" w:pos="704"/>
              </w:tabs>
            </w:pPr>
            <w:r w:rsidRPr="005268FA">
              <w:t>Combined with the following diseases or medical history</w:t>
            </w:r>
            <w:r w:rsidR="009D6452" w:rsidRPr="005268FA">
              <w:t xml:space="preserve">: </w:t>
            </w:r>
          </w:p>
          <w:p w14:paraId="5139D992" w14:textId="2855B1CB" w:rsidR="00EB5E62" w:rsidRDefault="009D6452" w:rsidP="006D1B06">
            <w:pPr>
              <w:pStyle w:val="affff0"/>
              <w:numPr>
                <w:ilvl w:val="0"/>
                <w:numId w:val="19"/>
              </w:numPr>
              <w:spacing w:before="60" w:after="60"/>
              <w:rPr>
                <w:rFonts w:cs="宋体"/>
              </w:rPr>
            </w:pPr>
            <w:r w:rsidRPr="003127AF">
              <w:rPr>
                <w:rFonts w:cs="宋体"/>
              </w:rPr>
              <w:t xml:space="preserve">Patients with other malignancies within </w:t>
            </w:r>
            <w:r w:rsidR="00EB5E62">
              <w:rPr>
                <w:rFonts w:cs="宋体"/>
              </w:rPr>
              <w:t>3</w:t>
            </w:r>
            <w:r w:rsidR="00EB5E62" w:rsidRPr="003127AF">
              <w:rPr>
                <w:rFonts w:cs="宋体"/>
              </w:rPr>
              <w:t xml:space="preserve"> </w:t>
            </w:r>
            <w:r w:rsidRPr="003127AF">
              <w:rPr>
                <w:rFonts w:cs="宋体"/>
              </w:rPr>
              <w:t xml:space="preserve">years, other than cured </w:t>
            </w:r>
            <w:r w:rsidR="00EB5E62" w:rsidRPr="00EB5E62">
              <w:rPr>
                <w:rFonts w:cs="宋体"/>
              </w:rPr>
              <w:t>cervical carcinoma in situ, non-melanoma skin cancer and superficial bladder tumors [Ta (non-invasive tumor), Tis (carcinoma in situ) and T1 (tumor infiltrating basement membrane)];</w:t>
            </w:r>
            <w:r w:rsidRPr="003127AF">
              <w:rPr>
                <w:rFonts w:cs="宋体"/>
              </w:rPr>
              <w:t xml:space="preserve"> </w:t>
            </w:r>
          </w:p>
          <w:p w14:paraId="16C59987" w14:textId="60FA6F61" w:rsidR="00EB5E62" w:rsidRPr="00384EEC" w:rsidRDefault="00740F3E" w:rsidP="006D1B06">
            <w:pPr>
              <w:pStyle w:val="affff0"/>
              <w:numPr>
                <w:ilvl w:val="0"/>
                <w:numId w:val="19"/>
              </w:numPr>
              <w:spacing w:before="60" w:after="60"/>
              <w:rPr>
                <w:rFonts w:cs="宋体"/>
              </w:rPr>
            </w:pPr>
            <w:r>
              <w:rPr>
                <w:rFonts w:cs="宋体"/>
              </w:rPr>
              <w:t xml:space="preserve">Patients with </w:t>
            </w:r>
            <w:r w:rsidR="00EB5E62" w:rsidRPr="00EB5E62">
              <w:rPr>
                <w:rFonts w:cs="宋体"/>
              </w:rPr>
              <w:t>multiple factors that affect oral medication (e.g. inab</w:t>
            </w:r>
            <w:r>
              <w:rPr>
                <w:rFonts w:cs="宋体"/>
              </w:rPr>
              <w:t>le</w:t>
            </w:r>
            <w:r w:rsidR="00EB5E62" w:rsidRPr="00EB5E62">
              <w:rPr>
                <w:rFonts w:cs="宋体"/>
              </w:rPr>
              <w:t xml:space="preserve"> to swallow, chronic diarrhoea and bowel obstruction);</w:t>
            </w:r>
          </w:p>
          <w:p w14:paraId="3C17F12F" w14:textId="35A103FE" w:rsidR="00EB5E62" w:rsidRPr="00384EEC" w:rsidRDefault="00EB5E62" w:rsidP="006D1B06">
            <w:pPr>
              <w:pStyle w:val="affff0"/>
              <w:numPr>
                <w:ilvl w:val="0"/>
                <w:numId w:val="19"/>
              </w:numPr>
              <w:spacing w:before="60" w:after="60"/>
              <w:rPr>
                <w:rFonts w:cs="宋体"/>
              </w:rPr>
            </w:pPr>
            <w:r w:rsidRPr="00EB5E62">
              <w:rPr>
                <w:rFonts w:cs="宋体"/>
              </w:rPr>
              <w:t>Patients ha</w:t>
            </w:r>
            <w:r w:rsidR="00FC0AE5">
              <w:rPr>
                <w:rFonts w:cs="宋体"/>
              </w:rPr>
              <w:t>ve</w:t>
            </w:r>
            <w:r w:rsidRPr="00EB5E62">
              <w:rPr>
                <w:rFonts w:cs="宋体"/>
              </w:rPr>
              <w:t xml:space="preserve"> or </w:t>
            </w:r>
            <w:r w:rsidR="00FC0AE5">
              <w:rPr>
                <w:rFonts w:cs="宋体"/>
              </w:rPr>
              <w:t>are</w:t>
            </w:r>
            <w:r w:rsidRPr="00EB5E62">
              <w:rPr>
                <w:rFonts w:cs="宋体"/>
              </w:rPr>
              <w:t xml:space="preserve"> likely to have gastrointestinal bleeding or perforation within 4 weeks before enrollment</w:t>
            </w:r>
            <w:r w:rsidR="00A02ED3">
              <w:rPr>
                <w:rFonts w:cs="宋体"/>
              </w:rPr>
              <w:t>;</w:t>
            </w:r>
          </w:p>
          <w:p w14:paraId="6AB356C6" w14:textId="156FBE18" w:rsidR="00EB5E62" w:rsidRDefault="00EB5E62" w:rsidP="006D1B06">
            <w:pPr>
              <w:pStyle w:val="affff0"/>
              <w:numPr>
                <w:ilvl w:val="0"/>
                <w:numId w:val="19"/>
              </w:numPr>
              <w:spacing w:before="60" w:after="60"/>
              <w:rPr>
                <w:rFonts w:cs="宋体"/>
              </w:rPr>
            </w:pPr>
            <w:r w:rsidRPr="00EB5E62">
              <w:rPr>
                <w:rFonts w:cs="宋体"/>
              </w:rPr>
              <w:t xml:space="preserve">Patients with ulcerative colitis or Crohn's disease; </w:t>
            </w:r>
            <w:r w:rsidR="00FC0AE5">
              <w:rPr>
                <w:rFonts w:cs="宋体"/>
              </w:rPr>
              <w:t>p</w:t>
            </w:r>
            <w:r w:rsidRPr="00EB5E62">
              <w:rPr>
                <w:rFonts w:cs="宋体"/>
              </w:rPr>
              <w:t>atients with active inflammatory bowel disease within 4 weeks before enrollment</w:t>
            </w:r>
            <w:r>
              <w:rPr>
                <w:rFonts w:cs="宋体"/>
              </w:rPr>
              <w:t>;</w:t>
            </w:r>
          </w:p>
          <w:p w14:paraId="36A5080F" w14:textId="61CCA675" w:rsidR="00A02ED3" w:rsidRDefault="00EB5E62" w:rsidP="006D1B06">
            <w:pPr>
              <w:pStyle w:val="affff0"/>
              <w:numPr>
                <w:ilvl w:val="0"/>
                <w:numId w:val="19"/>
              </w:numPr>
              <w:spacing w:before="60" w:after="60"/>
              <w:rPr>
                <w:rFonts w:cs="宋体"/>
              </w:rPr>
            </w:pPr>
            <w:r w:rsidRPr="00EB5E62">
              <w:rPr>
                <w:rFonts w:cs="宋体"/>
              </w:rPr>
              <w:t xml:space="preserve">Uncontrolled </w:t>
            </w:r>
            <w:r w:rsidR="00740F3E">
              <w:rPr>
                <w:rFonts w:cs="宋体"/>
              </w:rPr>
              <w:t xml:space="preserve">or requiring repeated drainaged </w:t>
            </w:r>
            <w:r w:rsidRPr="00EB5E62">
              <w:rPr>
                <w:rFonts w:cs="宋体"/>
              </w:rPr>
              <w:t>pleural effusion</w:t>
            </w:r>
            <w:r w:rsidR="00740F3E">
              <w:rPr>
                <w:rFonts w:cs="宋体"/>
              </w:rPr>
              <w:t xml:space="preserve"> and </w:t>
            </w:r>
            <w:r w:rsidRPr="00EB5E62">
              <w:rPr>
                <w:rFonts w:cs="宋体"/>
              </w:rPr>
              <w:lastRenderedPageBreak/>
              <w:t>ascites and pericardial effusion of moderate or greater volume</w:t>
            </w:r>
            <w:r>
              <w:rPr>
                <w:rFonts w:cs="宋体"/>
              </w:rPr>
              <w:t>;</w:t>
            </w:r>
          </w:p>
          <w:p w14:paraId="59B4E459" w14:textId="031ABE5C" w:rsidR="009753A7" w:rsidRDefault="00A02ED3" w:rsidP="006D1B06">
            <w:pPr>
              <w:pStyle w:val="affff0"/>
              <w:numPr>
                <w:ilvl w:val="0"/>
                <w:numId w:val="19"/>
              </w:numPr>
              <w:spacing w:before="60" w:after="60"/>
              <w:rPr>
                <w:rFonts w:cs="宋体"/>
              </w:rPr>
            </w:pPr>
            <w:r w:rsidRPr="00A02ED3">
              <w:rPr>
                <w:rFonts w:cs="宋体"/>
              </w:rPr>
              <w:t>Previous unrelieved treatment-related toxicity (&gt;grade 1) due to any previous anti</w:t>
            </w:r>
            <w:r>
              <w:rPr>
                <w:rFonts w:cs="宋体"/>
              </w:rPr>
              <w:t>-t</w:t>
            </w:r>
            <w:r w:rsidR="00740F3E">
              <w:rPr>
                <w:rFonts w:cs="宋体"/>
              </w:rPr>
              <w:t>u</w:t>
            </w:r>
            <w:r>
              <w:rPr>
                <w:rFonts w:cs="宋体"/>
              </w:rPr>
              <w:t xml:space="preserve">mor </w:t>
            </w:r>
            <w:r w:rsidRPr="00A02ED3">
              <w:rPr>
                <w:rFonts w:cs="宋体"/>
              </w:rPr>
              <w:t>therapy (excluding alopecia)</w:t>
            </w:r>
            <w:r>
              <w:rPr>
                <w:rFonts w:cs="宋体"/>
              </w:rPr>
              <w:t>;</w:t>
            </w:r>
          </w:p>
          <w:p w14:paraId="77282F5C" w14:textId="722BD484" w:rsidR="00A02ED3" w:rsidRPr="00384EEC" w:rsidRDefault="00A02ED3" w:rsidP="006D1B06">
            <w:pPr>
              <w:pStyle w:val="affff0"/>
              <w:numPr>
                <w:ilvl w:val="0"/>
                <w:numId w:val="19"/>
              </w:numPr>
              <w:spacing w:before="60" w:after="60"/>
              <w:rPr>
                <w:rFonts w:cs="宋体"/>
              </w:rPr>
            </w:pPr>
            <w:r w:rsidRPr="00A02ED3">
              <w:rPr>
                <w:rFonts w:cs="宋体"/>
              </w:rPr>
              <w:t xml:space="preserve">Major surgical treatment, open biopsy, or major traumatic injury (excluding </w:t>
            </w:r>
            <w:r w:rsidR="00740F3E">
              <w:rPr>
                <w:rFonts w:cs="宋体"/>
              </w:rPr>
              <w:t xml:space="preserve">gastrointestinal </w:t>
            </w:r>
            <w:r w:rsidRPr="00A02ED3">
              <w:rPr>
                <w:rFonts w:cs="宋体"/>
              </w:rPr>
              <w:t>endoscopic tissue biopsy) within 28 days before the initiation of study treatment;</w:t>
            </w:r>
          </w:p>
          <w:p w14:paraId="3654EAB3" w14:textId="6D0FA011" w:rsidR="00A02ED3" w:rsidRPr="00384EEC" w:rsidRDefault="00740F3E" w:rsidP="006D1B06">
            <w:pPr>
              <w:pStyle w:val="affff0"/>
              <w:numPr>
                <w:ilvl w:val="0"/>
                <w:numId w:val="19"/>
              </w:numPr>
              <w:spacing w:before="60" w:after="60"/>
              <w:rPr>
                <w:rFonts w:cs="宋体"/>
              </w:rPr>
            </w:pPr>
            <w:r>
              <w:rPr>
                <w:rFonts w:cs="宋体"/>
              </w:rPr>
              <w:t xml:space="preserve">Medical </w:t>
            </w:r>
            <w:r w:rsidR="00A02ED3" w:rsidRPr="00A02ED3">
              <w:rPr>
                <w:rFonts w:cs="宋体"/>
              </w:rPr>
              <w:t>imaging</w:t>
            </w:r>
            <w:r>
              <w:rPr>
                <w:rFonts w:cs="宋体"/>
              </w:rPr>
              <w:t xml:space="preserve"> diagnosis</w:t>
            </w:r>
            <w:r w:rsidR="00A02ED3" w:rsidRPr="00A02ED3">
              <w:rPr>
                <w:rFonts w:cs="宋体"/>
              </w:rPr>
              <w:t xml:space="preserve"> (CT or MR</w:t>
            </w:r>
            <w:r w:rsidR="00FC0AE5">
              <w:rPr>
                <w:rFonts w:cs="宋体"/>
              </w:rPr>
              <w:t>I) showed that the tumo</w:t>
            </w:r>
            <w:r w:rsidR="00FC0AE5" w:rsidRPr="005268FA">
              <w:rPr>
                <w:rFonts w:cs="宋体"/>
              </w:rPr>
              <w:t>r invad</w:t>
            </w:r>
            <w:r w:rsidR="005268FA" w:rsidRPr="005268FA">
              <w:rPr>
                <w:rFonts w:cs="宋体"/>
              </w:rPr>
              <w:t>es</w:t>
            </w:r>
            <w:r w:rsidR="00FC0AE5" w:rsidRPr="005268FA">
              <w:rPr>
                <w:rFonts w:cs="宋体"/>
              </w:rPr>
              <w:t xml:space="preserve"> the large blood vessels or have</w:t>
            </w:r>
            <w:r w:rsidR="00A02ED3" w:rsidRPr="005268FA">
              <w:rPr>
                <w:rFonts w:cs="宋体"/>
              </w:rPr>
              <w:t xml:space="preserve"> unclear boundaries with blood vessels;</w:t>
            </w:r>
          </w:p>
          <w:p w14:paraId="34DCC16E" w14:textId="7F8063A1" w:rsidR="009753A7" w:rsidRDefault="00EF7C63" w:rsidP="006D1B06">
            <w:pPr>
              <w:pStyle w:val="affff0"/>
              <w:numPr>
                <w:ilvl w:val="0"/>
                <w:numId w:val="19"/>
              </w:numPr>
              <w:spacing w:before="60" w:after="60"/>
              <w:rPr>
                <w:rFonts w:cs="宋体"/>
              </w:rPr>
            </w:pPr>
            <w:r>
              <w:rPr>
                <w:rFonts w:cs="宋体"/>
              </w:rPr>
              <w:t>P</w:t>
            </w:r>
            <w:r w:rsidR="00A02ED3" w:rsidRPr="00A02ED3">
              <w:rPr>
                <w:rFonts w:cs="宋体"/>
              </w:rPr>
              <w:t>atients with hematemesis (</w:t>
            </w:r>
            <w:r w:rsidR="00A02ED3" w:rsidRPr="00A02ED3">
              <w:rPr>
                <w:rFonts w:cs="宋体" w:hint="eastAsia"/>
              </w:rPr>
              <w:t>≥</w:t>
            </w:r>
            <w:r w:rsidR="00A02ED3" w:rsidRPr="00A02ED3">
              <w:rPr>
                <w:rFonts w:cs="宋体"/>
              </w:rPr>
              <w:t xml:space="preserve">2.5mL) or clinically significant tumor bleeding within 1 month before screening, or any </w:t>
            </w:r>
            <w:r w:rsidRPr="00A02ED3">
              <w:rPr>
                <w:rFonts w:cs="宋体" w:hint="eastAsia"/>
              </w:rPr>
              <w:t>≥</w:t>
            </w:r>
            <w:r w:rsidRPr="00A02ED3">
              <w:rPr>
                <w:rFonts w:cs="宋体"/>
              </w:rPr>
              <w:t>CTCAE grade 3</w:t>
            </w:r>
            <w:r>
              <w:rPr>
                <w:rFonts w:cs="宋体"/>
              </w:rPr>
              <w:t xml:space="preserve"> </w:t>
            </w:r>
            <w:r w:rsidR="00A02ED3" w:rsidRPr="00A02ED3">
              <w:rPr>
                <w:rFonts w:cs="宋体"/>
              </w:rPr>
              <w:t>bleeding event</w:t>
            </w:r>
            <w:r>
              <w:rPr>
                <w:rFonts w:cs="宋体"/>
              </w:rPr>
              <w:t>.</w:t>
            </w:r>
            <w:r w:rsidR="00A02ED3" w:rsidRPr="00A02ED3">
              <w:rPr>
                <w:rFonts w:cs="宋体"/>
              </w:rPr>
              <w:t xml:space="preserve"> </w:t>
            </w:r>
            <w:r>
              <w:rPr>
                <w:rFonts w:cs="宋体"/>
              </w:rPr>
              <w:t>O</w:t>
            </w:r>
            <w:r w:rsidR="00A02ED3" w:rsidRPr="00A02ED3">
              <w:rPr>
                <w:rFonts w:cs="宋体"/>
              </w:rPr>
              <w:t>r patients with bleeding, coagulation disorders who are taking warfarin, aspirin, or other antiplatelet agents (except maintenance do</w:t>
            </w:r>
            <w:r w:rsidR="00A02ED3" w:rsidRPr="005268FA">
              <w:rPr>
                <w:rFonts w:cs="宋体"/>
              </w:rPr>
              <w:t>se</w:t>
            </w:r>
            <w:r w:rsidR="00FC0AE5" w:rsidRPr="005268FA">
              <w:rPr>
                <w:rFonts w:cs="宋体"/>
              </w:rPr>
              <w:t>s):</w:t>
            </w:r>
            <w:r w:rsidR="00A02ED3" w:rsidRPr="005268FA">
              <w:rPr>
                <w:rFonts w:cs="宋体"/>
              </w:rPr>
              <w:t xml:space="preserve"> As</w:t>
            </w:r>
            <w:r w:rsidR="00A02ED3" w:rsidRPr="00A02ED3">
              <w:rPr>
                <w:rFonts w:cs="宋体"/>
              </w:rPr>
              <w:t xml:space="preserve">pirin </w:t>
            </w:r>
            <w:r w:rsidR="00A02ED3" w:rsidRPr="00A02ED3">
              <w:rPr>
                <w:rFonts w:cs="宋体" w:hint="eastAsia"/>
              </w:rPr>
              <w:t>≤</w:t>
            </w:r>
            <w:r w:rsidR="00A02ED3" w:rsidRPr="00A02ED3">
              <w:rPr>
                <w:rFonts w:cs="宋体"/>
              </w:rPr>
              <w:t xml:space="preserve">100mg/ day, clopidogrel </w:t>
            </w:r>
            <w:r w:rsidR="00A02ED3" w:rsidRPr="00A02ED3">
              <w:rPr>
                <w:rFonts w:cs="宋体" w:hint="eastAsia"/>
              </w:rPr>
              <w:t>≤</w:t>
            </w:r>
            <w:r w:rsidR="00A02ED3" w:rsidRPr="00A02ED3">
              <w:rPr>
                <w:rFonts w:cs="宋体"/>
              </w:rPr>
              <w:t>75mg/ day)</w:t>
            </w:r>
            <w:r>
              <w:rPr>
                <w:rFonts w:cs="宋体"/>
              </w:rPr>
              <w:t>.</w:t>
            </w:r>
            <w:r w:rsidR="00A02ED3" w:rsidRPr="00A02ED3">
              <w:rPr>
                <w:rFonts w:cs="宋体"/>
              </w:rPr>
              <w:t xml:space="preserve"> </w:t>
            </w:r>
            <w:r>
              <w:rPr>
                <w:rFonts w:cs="宋体"/>
              </w:rPr>
              <w:t>O</w:t>
            </w:r>
            <w:r w:rsidR="00A02ED3" w:rsidRPr="00A02ED3">
              <w:rPr>
                <w:rFonts w:cs="宋体"/>
              </w:rPr>
              <w:t>r patients with any evidence of bleeding or a medical history judged by the investigator to be ineligible for enrollment;</w:t>
            </w:r>
          </w:p>
          <w:p w14:paraId="4C3F87BB" w14:textId="59B5C1E3" w:rsidR="00A02ED3" w:rsidRDefault="00EF7C63" w:rsidP="006D1B06">
            <w:pPr>
              <w:pStyle w:val="affff0"/>
              <w:numPr>
                <w:ilvl w:val="0"/>
                <w:numId w:val="19"/>
              </w:numPr>
              <w:spacing w:before="60" w:after="60"/>
              <w:rPr>
                <w:rFonts w:cs="宋体"/>
              </w:rPr>
            </w:pPr>
            <w:r>
              <w:rPr>
                <w:rFonts w:cs="宋体"/>
              </w:rPr>
              <w:t xml:space="preserve">Patients with </w:t>
            </w:r>
            <w:r w:rsidR="00A02ED3" w:rsidRPr="00A02ED3">
              <w:rPr>
                <w:rFonts w:cs="宋体"/>
              </w:rPr>
              <w:t>unhealed wounds, ulcers, or fractures</w:t>
            </w:r>
            <w:r w:rsidR="00A02ED3">
              <w:rPr>
                <w:rFonts w:cs="宋体"/>
              </w:rPr>
              <w:t>;</w:t>
            </w:r>
          </w:p>
          <w:p w14:paraId="4069C63C" w14:textId="7B7B0FE5" w:rsidR="00A02ED3" w:rsidRPr="00A02ED3" w:rsidRDefault="00EF7C63" w:rsidP="006D1B06">
            <w:pPr>
              <w:pStyle w:val="affff0"/>
              <w:numPr>
                <w:ilvl w:val="0"/>
                <w:numId w:val="19"/>
              </w:numPr>
              <w:spacing w:before="60" w:after="60"/>
              <w:rPr>
                <w:rFonts w:cs="宋体"/>
              </w:rPr>
            </w:pPr>
            <w:r>
              <w:rPr>
                <w:rFonts w:cs="宋体"/>
              </w:rPr>
              <w:t xml:space="preserve">Patients who </w:t>
            </w:r>
            <w:r w:rsidR="00A02ED3">
              <w:rPr>
                <w:rFonts w:cs="宋体"/>
              </w:rPr>
              <w:t>o</w:t>
            </w:r>
            <w:r w:rsidR="00A02ED3" w:rsidRPr="00A02ED3">
              <w:rPr>
                <w:rFonts w:cs="宋体"/>
              </w:rPr>
              <w:t>ccur</w:t>
            </w:r>
            <w:r>
              <w:rPr>
                <w:rFonts w:cs="宋体"/>
              </w:rPr>
              <w:t>ed</w:t>
            </w:r>
            <w:r w:rsidR="00A02ED3" w:rsidRPr="00A02ED3">
              <w:rPr>
                <w:rFonts w:cs="宋体"/>
              </w:rPr>
              <w:t xml:space="preserve"> arterial/venous thrombosis events within 6 months, such as cerebrovascular accident (including transient ischemic attack, cerebral hemorrhage, cerebral infarction), deep vein thrombosis and pulmonary embolism;</w:t>
            </w:r>
          </w:p>
          <w:p w14:paraId="13B1CCF9" w14:textId="3B1DC080" w:rsidR="00A02ED3" w:rsidRPr="00384EEC" w:rsidRDefault="00EF7C63" w:rsidP="006D1B06">
            <w:pPr>
              <w:pStyle w:val="affff0"/>
              <w:numPr>
                <w:ilvl w:val="0"/>
                <w:numId w:val="19"/>
              </w:numPr>
              <w:spacing w:before="60" w:after="60"/>
              <w:rPr>
                <w:rFonts w:cs="宋体"/>
              </w:rPr>
            </w:pPr>
            <w:r>
              <w:rPr>
                <w:rFonts w:cs="宋体"/>
              </w:rPr>
              <w:t>P</w:t>
            </w:r>
            <w:r w:rsidR="00A02ED3" w:rsidRPr="00384EEC">
              <w:rPr>
                <w:rFonts w:cs="宋体"/>
              </w:rPr>
              <w:t>atients with a history of psychotropic drug abuse and unable to abstain;</w:t>
            </w:r>
          </w:p>
          <w:p w14:paraId="471764E1" w14:textId="7F6EAF29" w:rsidR="00A02ED3" w:rsidRDefault="00EF7C63" w:rsidP="006D1B06">
            <w:pPr>
              <w:pStyle w:val="affff0"/>
              <w:numPr>
                <w:ilvl w:val="0"/>
                <w:numId w:val="19"/>
              </w:numPr>
              <w:spacing w:before="60" w:after="60"/>
              <w:rPr>
                <w:rFonts w:cs="宋体"/>
              </w:rPr>
            </w:pPr>
            <w:r>
              <w:rPr>
                <w:rFonts w:cs="宋体"/>
              </w:rPr>
              <w:t>Patients</w:t>
            </w:r>
            <w:r w:rsidRPr="00384EEC">
              <w:rPr>
                <w:rFonts w:cs="宋体"/>
              </w:rPr>
              <w:t xml:space="preserve"> </w:t>
            </w:r>
            <w:r w:rsidR="00A02ED3" w:rsidRPr="00384EEC">
              <w:rPr>
                <w:rFonts w:cs="宋体"/>
              </w:rPr>
              <w:t xml:space="preserve">with any severe and/or uncontrolled </w:t>
            </w:r>
            <w:r w:rsidR="00A02ED3">
              <w:rPr>
                <w:rFonts w:cs="宋体"/>
              </w:rPr>
              <w:t>disease</w:t>
            </w:r>
            <w:r w:rsidR="00A02ED3" w:rsidRPr="00384EEC">
              <w:rPr>
                <w:rFonts w:cs="宋体"/>
              </w:rPr>
              <w:t>s, including:</w:t>
            </w:r>
            <w:r w:rsidR="00A02ED3" w:rsidRPr="00384EEC" w:rsidDel="00EB5E62">
              <w:rPr>
                <w:rFonts w:cs="宋体"/>
              </w:rPr>
              <w:t xml:space="preserve"> </w:t>
            </w:r>
          </w:p>
          <w:p w14:paraId="048394AA" w14:textId="53C92BE2" w:rsidR="00A02ED3" w:rsidRPr="00230470" w:rsidRDefault="00A02ED3" w:rsidP="006D1B06">
            <w:pPr>
              <w:pStyle w:val="affff0"/>
              <w:numPr>
                <w:ilvl w:val="0"/>
                <w:numId w:val="40"/>
              </w:numPr>
              <w:spacing w:before="60" w:after="60"/>
              <w:rPr>
                <w:rFonts w:cs="宋体"/>
              </w:rPr>
            </w:pPr>
            <w:r w:rsidRPr="00A02ED3">
              <w:rPr>
                <w:rFonts w:cs="宋体"/>
              </w:rPr>
              <w:t xml:space="preserve">Uncontrolled Hypertension (systolic blood pressure </w:t>
            </w:r>
            <w:r w:rsidRPr="00A02ED3">
              <w:rPr>
                <w:rFonts w:cs="宋体" w:hint="eastAsia"/>
              </w:rPr>
              <w:t>≥</w:t>
            </w:r>
            <w:r w:rsidRPr="00A02ED3">
              <w:rPr>
                <w:rFonts w:cs="宋体"/>
              </w:rPr>
              <w:t xml:space="preserve"> 150 mmHg and diastolic blood pressure </w:t>
            </w:r>
            <w:r w:rsidRPr="00A02ED3">
              <w:rPr>
                <w:rFonts w:cs="宋体" w:hint="eastAsia"/>
              </w:rPr>
              <w:t>≥</w:t>
            </w:r>
            <w:r w:rsidRPr="00A02ED3">
              <w:rPr>
                <w:rFonts w:cs="宋体"/>
              </w:rPr>
              <w:t xml:space="preserve"> 100 mmHg</w:t>
            </w:r>
            <w:r w:rsidR="002574D8">
              <w:t xml:space="preserve"> </w:t>
            </w:r>
            <w:r w:rsidR="002574D8" w:rsidRPr="002574D8">
              <w:rPr>
                <w:rFonts w:cs="宋体"/>
              </w:rPr>
              <w:t>despite standard antihypertensive treatment</w:t>
            </w:r>
            <w:r w:rsidRPr="00A02ED3">
              <w:rPr>
                <w:rFonts w:cs="宋体"/>
              </w:rPr>
              <w:t>)</w:t>
            </w:r>
            <w:r w:rsidR="002574D8">
              <w:rPr>
                <w:rFonts w:cs="宋体"/>
              </w:rPr>
              <w:t>;</w:t>
            </w:r>
          </w:p>
          <w:p w14:paraId="04BBE487" w14:textId="5442AEBB" w:rsidR="002574D8" w:rsidRDefault="002574D8" w:rsidP="006D1B06">
            <w:pPr>
              <w:pStyle w:val="affff0"/>
              <w:numPr>
                <w:ilvl w:val="0"/>
                <w:numId w:val="40"/>
              </w:numPr>
              <w:spacing w:before="60" w:after="60"/>
              <w:rPr>
                <w:rFonts w:cs="宋体"/>
              </w:rPr>
            </w:pPr>
            <w:r>
              <w:rPr>
                <w:rFonts w:cs="宋体"/>
              </w:rPr>
              <w:t xml:space="preserve">Unstable angina pectoris or </w:t>
            </w:r>
            <w:r w:rsidRPr="002574D8">
              <w:rPr>
                <w:rFonts w:cs="宋体"/>
              </w:rPr>
              <w:t xml:space="preserve">class II or more cardiogenic chest pain; Myocardial infarction </w:t>
            </w:r>
            <w:r w:rsidR="00EF7C63">
              <w:rPr>
                <w:rFonts w:cs="宋体"/>
              </w:rPr>
              <w:t xml:space="preserve">within </w:t>
            </w:r>
            <w:r w:rsidRPr="002574D8">
              <w:rPr>
                <w:rFonts w:cs="宋体"/>
              </w:rPr>
              <w:t>12 months before randomization;</w:t>
            </w:r>
            <w:r>
              <w:t xml:space="preserve"> </w:t>
            </w:r>
            <w:r>
              <w:rPr>
                <w:rFonts w:cs="宋体"/>
              </w:rPr>
              <w:t>class I</w:t>
            </w:r>
            <w:r w:rsidRPr="002574D8">
              <w:rPr>
                <w:rFonts w:cs="宋体"/>
              </w:rPr>
              <w:t xml:space="preserve"> or more heart failure (New York Heart Association (NYHA) classification); Restrictive cardiomyopathy; class II or more atrioventricular block, arrhythmias that could not be stably controlled with drugs (including QTc </w:t>
            </w:r>
            <w:r w:rsidRPr="002574D8">
              <w:rPr>
                <w:rFonts w:cs="宋体" w:hint="eastAsia"/>
              </w:rPr>
              <w:t>≥</w:t>
            </w:r>
            <w:r w:rsidRPr="002574D8">
              <w:rPr>
                <w:rFonts w:cs="宋体"/>
              </w:rPr>
              <w:t xml:space="preserve">450ms in men and QTc </w:t>
            </w:r>
            <w:r w:rsidRPr="002574D8">
              <w:rPr>
                <w:rFonts w:cs="宋体" w:hint="eastAsia"/>
              </w:rPr>
              <w:lastRenderedPageBreak/>
              <w:t>≥</w:t>
            </w:r>
            <w:r w:rsidRPr="002574D8">
              <w:rPr>
                <w:rFonts w:cs="宋体"/>
              </w:rPr>
              <w:t>470ms in women), and arrhythmias that might have a potential effect on the trial treatment;</w:t>
            </w:r>
          </w:p>
          <w:p w14:paraId="619949EB" w14:textId="36C20DED" w:rsidR="002574D8" w:rsidRPr="00384EEC" w:rsidRDefault="002574D8" w:rsidP="006D1B06">
            <w:pPr>
              <w:pStyle w:val="affff0"/>
              <w:numPr>
                <w:ilvl w:val="0"/>
                <w:numId w:val="40"/>
              </w:numPr>
              <w:spacing w:before="60" w:after="60"/>
              <w:rPr>
                <w:rFonts w:cs="宋体"/>
              </w:rPr>
            </w:pPr>
            <w:r w:rsidRPr="002574D8">
              <w:rPr>
                <w:rFonts w:cs="宋体"/>
              </w:rPr>
              <w:t>Active infection (</w:t>
            </w:r>
            <w:r w:rsidRPr="002574D8">
              <w:rPr>
                <w:rFonts w:cs="宋体" w:hint="eastAsia"/>
              </w:rPr>
              <w:t>≥</w:t>
            </w:r>
            <w:r w:rsidRPr="002574D8">
              <w:rPr>
                <w:rFonts w:cs="宋体"/>
              </w:rPr>
              <w:t>CTC AE grade 2);</w:t>
            </w:r>
          </w:p>
          <w:p w14:paraId="1B1A42D9" w14:textId="77777777" w:rsidR="002574D8" w:rsidRDefault="002574D8" w:rsidP="006D1B06">
            <w:pPr>
              <w:pStyle w:val="affff0"/>
              <w:numPr>
                <w:ilvl w:val="0"/>
                <w:numId w:val="40"/>
              </w:numPr>
              <w:spacing w:before="60" w:after="60"/>
              <w:rPr>
                <w:rFonts w:cs="宋体"/>
              </w:rPr>
            </w:pPr>
            <w:r w:rsidRPr="002574D8">
              <w:rPr>
                <w:rFonts w:cs="宋体"/>
              </w:rPr>
              <w:t xml:space="preserve">Decompensated cirrhosis, active hepatitis *; </w:t>
            </w:r>
          </w:p>
          <w:p w14:paraId="649201C8" w14:textId="5B23064A" w:rsidR="002574D8" w:rsidRPr="00384EEC" w:rsidRDefault="002574D8" w:rsidP="00384EEC">
            <w:pPr>
              <w:pStyle w:val="affff0"/>
              <w:spacing w:before="60" w:after="60"/>
              <w:ind w:left="1080" w:firstLine="0"/>
              <w:rPr>
                <w:rFonts w:cs="宋体"/>
              </w:rPr>
            </w:pPr>
            <w:r w:rsidRPr="002574D8">
              <w:rPr>
                <w:rFonts w:cs="宋体"/>
              </w:rPr>
              <w:t>(* Active hepatitis [hepatitis B reference: HBsAg positive and HBV DNA positive (&gt;2500 copies /mL or &gt;500IU/mL); hepatitis C reference: HCV antibody positive and HCV virus titer test value above the upper limit of normal]</w:t>
            </w:r>
            <w:r w:rsidR="005268FA">
              <w:rPr>
                <w:rFonts w:cs="宋体"/>
              </w:rPr>
              <w:t>.</w:t>
            </w:r>
            <w:r w:rsidRPr="002574D8">
              <w:rPr>
                <w:rFonts w:cs="宋体"/>
              </w:rPr>
              <w:t xml:space="preserve"> </w:t>
            </w:r>
            <w:r w:rsidR="00205066" w:rsidRPr="005268FA">
              <w:rPr>
                <w:rFonts w:cs="宋体"/>
              </w:rPr>
              <w:t xml:space="preserve">Note: </w:t>
            </w:r>
            <w:r w:rsidRPr="005268FA">
              <w:rPr>
                <w:rFonts w:cs="宋体"/>
              </w:rPr>
              <w:t>Eli</w:t>
            </w:r>
            <w:r w:rsidRPr="002574D8">
              <w:rPr>
                <w:rFonts w:cs="宋体"/>
              </w:rPr>
              <w:t>gible subjects with positive hepatitis B surface antigen or hepatitis C core antibody and patients with hepatitis C need to continue antiviral therap</w:t>
            </w:r>
            <w:r>
              <w:rPr>
                <w:rFonts w:cs="宋体"/>
              </w:rPr>
              <w:t>y to prevent viral reactivation</w:t>
            </w:r>
            <w:r w:rsidRPr="002574D8">
              <w:rPr>
                <w:rFonts w:cs="宋体"/>
              </w:rPr>
              <w:t>)</w:t>
            </w:r>
          </w:p>
          <w:p w14:paraId="5A083575" w14:textId="2874ECDD" w:rsidR="002574D8" w:rsidRPr="00384EEC" w:rsidRDefault="002574D8" w:rsidP="006D1B06">
            <w:pPr>
              <w:pStyle w:val="affff0"/>
              <w:numPr>
                <w:ilvl w:val="0"/>
                <w:numId w:val="40"/>
              </w:numPr>
              <w:spacing w:before="60" w:after="60"/>
              <w:rPr>
                <w:rFonts w:cs="宋体"/>
              </w:rPr>
            </w:pPr>
            <w:r w:rsidRPr="002574D8">
              <w:rPr>
                <w:rFonts w:cs="宋体"/>
              </w:rPr>
              <w:t>Renal failure requiring hemodialysis or peritoneal dialysis;</w:t>
            </w:r>
          </w:p>
          <w:p w14:paraId="425377DD" w14:textId="142C5BA7" w:rsidR="002574D8" w:rsidRPr="00384EEC" w:rsidRDefault="002574D8" w:rsidP="006D1B06">
            <w:pPr>
              <w:pStyle w:val="affff0"/>
              <w:numPr>
                <w:ilvl w:val="0"/>
                <w:numId w:val="40"/>
              </w:numPr>
              <w:spacing w:before="60" w:after="60"/>
              <w:rPr>
                <w:rFonts w:cs="宋体"/>
              </w:rPr>
            </w:pPr>
            <w:r w:rsidRPr="002574D8">
              <w:rPr>
                <w:rFonts w:cs="宋体"/>
              </w:rPr>
              <w:t>A history of immunodeficiency, including HIV positivity or other acquired or congenital immunodeficiency disorders, or a history of organ transplantation;</w:t>
            </w:r>
          </w:p>
          <w:p w14:paraId="4AF20D89" w14:textId="1D361912" w:rsidR="002574D8" w:rsidRPr="00384EEC" w:rsidRDefault="002574D8" w:rsidP="006D1B06">
            <w:pPr>
              <w:pStyle w:val="affff0"/>
              <w:numPr>
                <w:ilvl w:val="0"/>
                <w:numId w:val="40"/>
              </w:numPr>
              <w:spacing w:before="60" w:after="60"/>
              <w:rPr>
                <w:rFonts w:cs="宋体"/>
              </w:rPr>
            </w:pPr>
            <w:r w:rsidRPr="002574D8">
              <w:rPr>
                <w:rFonts w:cs="宋体"/>
              </w:rPr>
              <w:t>Poor</w:t>
            </w:r>
            <w:r w:rsidR="00EF7C63">
              <w:rPr>
                <w:rFonts w:cs="宋体"/>
              </w:rPr>
              <w:t>ly</w:t>
            </w:r>
            <w:r w:rsidRPr="002574D8">
              <w:rPr>
                <w:rFonts w:cs="宋体"/>
              </w:rPr>
              <w:t xml:space="preserve"> control</w:t>
            </w:r>
            <w:r w:rsidR="00EF7C63">
              <w:rPr>
                <w:rFonts w:cs="宋体"/>
              </w:rPr>
              <w:t>led</w:t>
            </w:r>
            <w:r w:rsidRPr="002574D8">
              <w:rPr>
                <w:rFonts w:cs="宋体"/>
              </w:rPr>
              <w:t xml:space="preserve"> diabetes (fasting blood glucose (FBG) &gt; 10mmol/L);</w:t>
            </w:r>
          </w:p>
          <w:p w14:paraId="29C85EEA" w14:textId="0831A39D" w:rsidR="002574D8" w:rsidRPr="00384EEC" w:rsidRDefault="002574D8" w:rsidP="006D1B06">
            <w:pPr>
              <w:pStyle w:val="affff0"/>
              <w:numPr>
                <w:ilvl w:val="0"/>
                <w:numId w:val="40"/>
              </w:numPr>
              <w:spacing w:before="60" w:after="60"/>
              <w:rPr>
                <w:rFonts w:cs="宋体"/>
              </w:rPr>
            </w:pPr>
            <w:r w:rsidRPr="002574D8">
              <w:rPr>
                <w:rFonts w:cs="宋体"/>
              </w:rPr>
              <w:t xml:space="preserve">Patients with urinary protein </w:t>
            </w:r>
            <w:r w:rsidRPr="002574D8">
              <w:rPr>
                <w:rFonts w:cs="宋体" w:hint="eastAsia"/>
              </w:rPr>
              <w:t>≥</w:t>
            </w:r>
            <w:r w:rsidRPr="002574D8">
              <w:rPr>
                <w:rFonts w:cs="宋体"/>
              </w:rPr>
              <w:t xml:space="preserve">++ and confirmed 24-hour </w:t>
            </w:r>
            <w:r w:rsidRPr="00F94C48">
              <w:rPr>
                <w:rFonts w:cs="宋体"/>
              </w:rPr>
              <w:t>urinary</w:t>
            </w:r>
            <w:r w:rsidRPr="002574D8">
              <w:rPr>
                <w:rFonts w:cs="宋体"/>
              </w:rPr>
              <w:t xml:space="preserve"> protein quantitation &gt; 1.0 g;</w:t>
            </w:r>
          </w:p>
          <w:p w14:paraId="779F076A" w14:textId="5DCD3163" w:rsidR="002574D8" w:rsidRDefault="002574D8" w:rsidP="006D1B06">
            <w:pPr>
              <w:pStyle w:val="affff0"/>
              <w:numPr>
                <w:ilvl w:val="0"/>
                <w:numId w:val="40"/>
              </w:numPr>
              <w:spacing w:before="60" w:after="60"/>
              <w:rPr>
                <w:rFonts w:cs="宋体"/>
              </w:rPr>
            </w:pPr>
            <w:r w:rsidRPr="002574D8">
              <w:rPr>
                <w:rFonts w:cs="宋体"/>
              </w:rPr>
              <w:t>Patients with a definite history of a neurological or mental disorder, including epilepsy or dementia, requiring treatment.</w:t>
            </w:r>
          </w:p>
          <w:p w14:paraId="47032585" w14:textId="39765BA4" w:rsidR="009D6452" w:rsidRPr="005268FA" w:rsidRDefault="007D60C8" w:rsidP="007D60C8">
            <w:pPr>
              <w:pStyle w:val="affff0"/>
              <w:numPr>
                <w:ilvl w:val="0"/>
                <w:numId w:val="39"/>
              </w:numPr>
              <w:tabs>
                <w:tab w:val="left" w:pos="704"/>
              </w:tabs>
            </w:pPr>
            <w:r w:rsidRPr="005268FA">
              <w:t>Cancer-related symptoms and treatment</w:t>
            </w:r>
            <w:r w:rsidR="009D6452" w:rsidRPr="005268FA">
              <w:t xml:space="preserve">: </w:t>
            </w:r>
          </w:p>
          <w:p w14:paraId="6D9FB150" w14:textId="3F6C98E9" w:rsidR="002574D8" w:rsidRPr="00384EEC" w:rsidRDefault="002574D8" w:rsidP="006D1B06">
            <w:pPr>
              <w:pStyle w:val="affff0"/>
              <w:numPr>
                <w:ilvl w:val="0"/>
                <w:numId w:val="20"/>
              </w:numPr>
              <w:spacing w:before="60" w:after="60"/>
              <w:rPr>
                <w:rFonts w:cs="宋体"/>
              </w:rPr>
            </w:pPr>
            <w:r w:rsidRPr="002574D8">
              <w:rPr>
                <w:rFonts w:cs="宋体"/>
              </w:rPr>
              <w:t>Surgery (other than previous diagnostic biopsy), radiotherapy, chemotherapy, or other anticancer therap</w:t>
            </w:r>
            <w:r w:rsidR="002D54C6">
              <w:rPr>
                <w:rFonts w:cs="宋体"/>
              </w:rPr>
              <w:t>ies</w:t>
            </w:r>
            <w:r w:rsidRPr="002574D8">
              <w:rPr>
                <w:rFonts w:cs="宋体"/>
              </w:rPr>
              <w:t xml:space="preserve"> within 4 weeks before the initiation of study treatment (with a washout period from the end of the last treatment);</w:t>
            </w:r>
          </w:p>
          <w:p w14:paraId="22148D6B" w14:textId="2E875542" w:rsidR="009753A7" w:rsidRDefault="00584C4F" w:rsidP="00384EEC">
            <w:pPr>
              <w:pStyle w:val="affff0"/>
              <w:spacing w:before="60" w:after="60"/>
              <w:ind w:left="660" w:firstLine="0"/>
              <w:rPr>
                <w:rFonts w:cs="宋体"/>
              </w:rPr>
            </w:pPr>
            <w:r>
              <w:rPr>
                <w:rFonts w:cs="宋体"/>
              </w:rPr>
              <w:t>Note: Patients who</w:t>
            </w:r>
            <w:r w:rsidRPr="00FF79F2">
              <w:rPr>
                <w:rFonts w:cs="宋体"/>
              </w:rPr>
              <w:t xml:space="preserve"> have</w:t>
            </w:r>
            <w:r w:rsidR="002574D8" w:rsidRPr="00FF79F2">
              <w:rPr>
                <w:rFonts w:cs="宋体"/>
              </w:rPr>
              <w:t xml:space="preserve"> previously received local radiotherapy are eligible if they me</w:t>
            </w:r>
            <w:r w:rsidRPr="00FF79F2">
              <w:rPr>
                <w:rFonts w:cs="宋体"/>
              </w:rPr>
              <w:t>e</w:t>
            </w:r>
            <w:r w:rsidR="002574D8" w:rsidRPr="00FF79F2">
              <w:rPr>
                <w:rFonts w:cs="宋体"/>
              </w:rPr>
              <w:t>t the</w:t>
            </w:r>
            <w:r w:rsidR="002574D8" w:rsidRPr="002574D8">
              <w:rPr>
                <w:rFonts w:cs="宋体"/>
              </w:rPr>
              <w:t xml:space="preserve"> following criteria: the interval between the end of radiotherapy and the start of study treatment </w:t>
            </w:r>
            <w:r w:rsidR="002574D8">
              <w:rPr>
                <w:rFonts w:cs="宋体"/>
              </w:rPr>
              <w:t>i</w:t>
            </w:r>
            <w:r w:rsidR="002574D8" w:rsidRPr="002574D8">
              <w:rPr>
                <w:rFonts w:cs="宋体"/>
              </w:rPr>
              <w:t>s more than 4 weeks (or more than 2 weeks for brain radiotherapy), and the target lesion</w:t>
            </w:r>
            <w:r w:rsidR="002D54C6">
              <w:rPr>
                <w:rFonts w:cs="宋体"/>
              </w:rPr>
              <w:t>s</w:t>
            </w:r>
            <w:r w:rsidR="002574D8" w:rsidRPr="002574D8">
              <w:rPr>
                <w:rFonts w:cs="宋体"/>
              </w:rPr>
              <w:t xml:space="preserve"> selected for this study </w:t>
            </w:r>
            <w:r w:rsidR="002D54C6">
              <w:rPr>
                <w:rFonts w:cs="宋体"/>
              </w:rPr>
              <w:t>had not been treated by</w:t>
            </w:r>
            <w:r w:rsidR="002574D8">
              <w:rPr>
                <w:rFonts w:cs="宋体"/>
              </w:rPr>
              <w:t>radiotherapy; o</w:t>
            </w:r>
            <w:r w:rsidR="002574D8" w:rsidRPr="002574D8">
              <w:rPr>
                <w:rFonts w:cs="宋体"/>
              </w:rPr>
              <w:t xml:space="preserve">r the </w:t>
            </w:r>
            <w:r w:rsidR="002D54C6">
              <w:rPr>
                <w:rFonts w:cs="宋体"/>
              </w:rPr>
              <w:t xml:space="preserve">radiotherapy </w:t>
            </w:r>
            <w:r w:rsidR="002D54C6">
              <w:rPr>
                <w:rFonts w:cs="宋体"/>
              </w:rPr>
              <w:lastRenderedPageBreak/>
              <w:t xml:space="preserve">treated </w:t>
            </w:r>
            <w:r w:rsidR="002574D8" w:rsidRPr="002574D8">
              <w:rPr>
                <w:rFonts w:cs="宋体"/>
              </w:rPr>
              <w:t>target lesion</w:t>
            </w:r>
            <w:r w:rsidR="002D54C6">
              <w:rPr>
                <w:rFonts w:cs="宋体"/>
              </w:rPr>
              <w:t>s had confirmedly disease progression</w:t>
            </w:r>
            <w:r w:rsidR="002574D8" w:rsidRPr="002574D8">
              <w:rPr>
                <w:rFonts w:cs="宋体"/>
              </w:rPr>
              <w:t>;</w:t>
            </w:r>
          </w:p>
          <w:p w14:paraId="7823F308" w14:textId="18DE82A5" w:rsidR="002574D8" w:rsidRPr="00384EEC" w:rsidRDefault="002574D8" w:rsidP="006D1B06">
            <w:pPr>
              <w:pStyle w:val="affff0"/>
              <w:numPr>
                <w:ilvl w:val="0"/>
                <w:numId w:val="20"/>
              </w:numPr>
              <w:spacing w:before="60" w:after="60"/>
              <w:rPr>
                <w:rFonts w:cs="宋体"/>
              </w:rPr>
            </w:pPr>
            <w:r>
              <w:rPr>
                <w:rFonts w:cs="宋体"/>
              </w:rPr>
              <w:t>Received</w:t>
            </w:r>
            <w:r w:rsidRPr="002574D8">
              <w:rPr>
                <w:rFonts w:cs="宋体"/>
              </w:rPr>
              <w:t xml:space="preserve"> Chinese </w:t>
            </w:r>
            <w:r w:rsidR="002D54C6">
              <w:rPr>
                <w:rFonts w:cs="宋体"/>
              </w:rPr>
              <w:t>traditional herbal</w:t>
            </w:r>
            <w:r w:rsidR="002D54C6" w:rsidRPr="002574D8">
              <w:rPr>
                <w:rFonts w:cs="宋体"/>
              </w:rPr>
              <w:t xml:space="preserve"> </w:t>
            </w:r>
            <w:r w:rsidRPr="002574D8">
              <w:rPr>
                <w:rFonts w:cs="宋体"/>
              </w:rPr>
              <w:t>medicines (including compound cantharis capsule, Kangai injection, Kanglaite capsule/injection, Aodi injection, Brucea javanica oil injection/capsule, Xiaoaiping tablet/injection, cinobufoin capsule, etc.) with anti-tumor indications in the NMPA approved drug package insert within 2 weeks before the study treatment.</w:t>
            </w:r>
          </w:p>
          <w:p w14:paraId="36B152D1" w14:textId="2B46BA3A" w:rsidR="002574D8" w:rsidRPr="00384EEC" w:rsidRDefault="00DF5B1D" w:rsidP="006D1B06">
            <w:pPr>
              <w:pStyle w:val="affff0"/>
              <w:numPr>
                <w:ilvl w:val="0"/>
                <w:numId w:val="20"/>
              </w:numPr>
              <w:spacing w:before="60" w:after="60"/>
              <w:rPr>
                <w:rFonts w:cs="宋体"/>
              </w:rPr>
            </w:pPr>
            <w:r>
              <w:rPr>
                <w:rFonts w:cs="宋体"/>
              </w:rPr>
              <w:t>P</w:t>
            </w:r>
            <w:r w:rsidRPr="002574D8">
              <w:rPr>
                <w:rFonts w:cs="宋体"/>
              </w:rPr>
              <w:t xml:space="preserve">rior </w:t>
            </w:r>
            <w:r w:rsidR="002574D8" w:rsidRPr="002574D8">
              <w:rPr>
                <w:rFonts w:cs="宋体"/>
              </w:rPr>
              <w:t xml:space="preserve">postoperative adjuvant therapy containing </w:t>
            </w:r>
            <w:r w:rsidR="00032890" w:rsidRPr="00032890">
              <w:rPr>
                <w:rFonts w:cs="宋体"/>
              </w:rPr>
              <w:t>anti-angiogenesis</w:t>
            </w:r>
            <w:r w:rsidR="002574D8" w:rsidRPr="002574D8">
              <w:rPr>
                <w:rFonts w:cs="宋体"/>
              </w:rPr>
              <w:t xml:space="preserve"> or anti-EGFR targeted drugs (including but not limited to bevacizumab, cetuximab, panitumumab, aflibercept, regorafenib, etc.);</w:t>
            </w:r>
          </w:p>
          <w:p w14:paraId="0F026CE8" w14:textId="00601741" w:rsidR="002574D8" w:rsidRPr="00384EEC" w:rsidRDefault="00DF5B1D" w:rsidP="006D1B06">
            <w:pPr>
              <w:pStyle w:val="affff0"/>
              <w:numPr>
                <w:ilvl w:val="0"/>
                <w:numId w:val="20"/>
              </w:numPr>
              <w:spacing w:before="60" w:after="60"/>
              <w:rPr>
                <w:rFonts w:cs="宋体"/>
              </w:rPr>
            </w:pPr>
            <w:r>
              <w:rPr>
                <w:rFonts w:cs="宋体"/>
              </w:rPr>
              <w:t>R</w:t>
            </w:r>
            <w:r w:rsidRPr="002574D8">
              <w:rPr>
                <w:rFonts w:cs="宋体"/>
              </w:rPr>
              <w:t xml:space="preserve">eceived </w:t>
            </w:r>
            <w:r w:rsidR="002574D8" w:rsidRPr="002574D8">
              <w:rPr>
                <w:rFonts w:cs="宋体"/>
              </w:rPr>
              <w:t>prior systemic therap</w:t>
            </w:r>
            <w:r w:rsidR="002D54C6">
              <w:rPr>
                <w:rFonts w:cs="宋体"/>
              </w:rPr>
              <w:t>ies</w:t>
            </w:r>
            <w:r w:rsidR="002574D8" w:rsidRPr="002574D8">
              <w:rPr>
                <w:rFonts w:cs="宋体"/>
              </w:rPr>
              <w:t xml:space="preserve"> for advanced colorectal cancer. </w:t>
            </w:r>
            <w:r w:rsidR="002D54C6">
              <w:rPr>
                <w:rFonts w:cs="宋体"/>
              </w:rPr>
              <w:t>Patients who relapsed from a</w:t>
            </w:r>
            <w:r w:rsidR="002574D8" w:rsidRPr="002574D8">
              <w:rPr>
                <w:rFonts w:cs="宋体"/>
              </w:rPr>
              <w:t xml:space="preserve">djuvant therapy more than 12 months (with oxaliplatin-containing chemotherapy) or more than 6 months (without oxaliplatin-containing chemotherapy) </w:t>
            </w:r>
            <w:r w:rsidR="002D54C6">
              <w:rPr>
                <w:rFonts w:cs="宋体"/>
              </w:rPr>
              <w:t>befor initiation of study treatment could be</w:t>
            </w:r>
            <w:r w:rsidR="002574D8" w:rsidRPr="002574D8">
              <w:rPr>
                <w:rFonts w:cs="宋体"/>
              </w:rPr>
              <w:t xml:space="preserve"> </w:t>
            </w:r>
            <w:r w:rsidR="002D54C6">
              <w:rPr>
                <w:rFonts w:cs="宋体"/>
              </w:rPr>
              <w:t>in</w:t>
            </w:r>
            <w:r w:rsidR="002574D8" w:rsidRPr="002574D8">
              <w:rPr>
                <w:rFonts w:cs="宋体"/>
              </w:rPr>
              <w:t>cluded.</w:t>
            </w:r>
          </w:p>
          <w:p w14:paraId="37B92EC9" w14:textId="67B16315" w:rsidR="002574D8" w:rsidRDefault="002574D8" w:rsidP="006D1B06">
            <w:pPr>
              <w:pStyle w:val="affff0"/>
              <w:numPr>
                <w:ilvl w:val="0"/>
                <w:numId w:val="20"/>
              </w:numPr>
              <w:spacing w:before="60" w:after="60"/>
              <w:rPr>
                <w:rFonts w:cs="宋体"/>
              </w:rPr>
            </w:pPr>
            <w:r w:rsidRPr="002574D8">
              <w:rPr>
                <w:rFonts w:cs="宋体"/>
              </w:rPr>
              <w:t>CNS metastases with symptoms or symptoms controlled for less than 2 months;</w:t>
            </w:r>
          </w:p>
          <w:p w14:paraId="353B2FA6" w14:textId="0168CB45" w:rsidR="00DF55EA" w:rsidRDefault="009D6452" w:rsidP="006D1B06">
            <w:pPr>
              <w:pStyle w:val="affff0"/>
              <w:numPr>
                <w:ilvl w:val="0"/>
                <w:numId w:val="39"/>
              </w:numPr>
              <w:tabs>
                <w:tab w:val="left" w:pos="704"/>
              </w:tabs>
            </w:pPr>
            <w:r w:rsidRPr="009D6452">
              <w:t xml:space="preserve">Participation in other clinical trials within </w:t>
            </w:r>
            <w:r w:rsidR="00DF55EA">
              <w:t>4 weeks</w:t>
            </w:r>
            <w:r w:rsidRPr="009D6452">
              <w:t xml:space="preserve"> prior to </w:t>
            </w:r>
            <w:r w:rsidR="003C4E63">
              <w:t>randomization</w:t>
            </w:r>
            <w:r w:rsidR="00DF55EA">
              <w:t xml:space="preserve"> (the washout period is calculated from the end of the last treatment);</w:t>
            </w:r>
          </w:p>
          <w:p w14:paraId="619F835A" w14:textId="7BF0B0CB" w:rsidR="00D45C54" w:rsidRDefault="00DF55EA" w:rsidP="006D1B06">
            <w:pPr>
              <w:pStyle w:val="affff0"/>
              <w:numPr>
                <w:ilvl w:val="0"/>
                <w:numId w:val="39"/>
              </w:numPr>
              <w:tabs>
                <w:tab w:val="left" w:pos="704"/>
              </w:tabs>
              <w:rPr>
                <w:rFonts w:cs="Times New Roman"/>
              </w:rPr>
            </w:pPr>
            <w:r>
              <w:t>Subjects with concomitant diseases that seriously endanger the safety or affect the completion of the study according to the judgment of the investigators, or subjects who are considered to be unsuitable for enrollment for other reasons.</w:t>
            </w:r>
          </w:p>
        </w:tc>
      </w:tr>
      <w:tr w:rsidR="00D45C54" w14:paraId="0109EAF0" w14:textId="77777777">
        <w:trPr>
          <w:trHeight w:val="138"/>
          <w:jc w:val="center"/>
        </w:trPr>
        <w:tc>
          <w:tcPr>
            <w:tcW w:w="1560" w:type="dxa"/>
            <w:vAlign w:val="center"/>
          </w:tcPr>
          <w:p w14:paraId="086A98E5" w14:textId="76699D97" w:rsidR="00D45C54" w:rsidRDefault="00897D78">
            <w:pPr>
              <w:pStyle w:val="P68B1DB1-119"/>
              <w:suppressAutoHyphens w:val="0"/>
              <w:topLinePunct w:val="0"/>
              <w:spacing w:line="240" w:lineRule="auto"/>
              <w:rPr>
                <w:rFonts w:hint="default"/>
              </w:rPr>
            </w:pPr>
            <w:r>
              <w:rPr>
                <w:rFonts w:hint="default"/>
              </w:rPr>
              <w:lastRenderedPageBreak/>
              <w:t>D</w:t>
            </w:r>
            <w:r w:rsidR="003E0392">
              <w:t>rug</w:t>
            </w:r>
            <w:r w:rsidRPr="003127AF">
              <w:rPr>
                <w:rFonts w:eastAsiaTheme="minorEastAsia" w:hint="default"/>
              </w:rPr>
              <w:t>s</w:t>
            </w:r>
            <w:r w:rsidR="003E0392" w:rsidRPr="00897D78">
              <w:rPr>
                <w:rFonts w:hint="default"/>
              </w:rPr>
              <w:t xml:space="preserve"> </w:t>
            </w:r>
          </w:p>
        </w:tc>
        <w:tc>
          <w:tcPr>
            <w:tcW w:w="7761" w:type="dxa"/>
            <w:vAlign w:val="center"/>
          </w:tcPr>
          <w:p w14:paraId="6DB2D7B3" w14:textId="32F3F89E" w:rsidR="00D45C54" w:rsidRDefault="003E0392" w:rsidP="00C200C4">
            <w:pPr>
              <w:pStyle w:val="P68B1DB1-15621"/>
              <w:numPr>
                <w:ilvl w:val="0"/>
                <w:numId w:val="0"/>
              </w:numPr>
              <w:spacing w:before="120"/>
              <w:ind w:left="420" w:hanging="420"/>
              <w:jc w:val="both"/>
              <w:rPr>
                <w:rFonts w:hint="default"/>
              </w:rPr>
            </w:pPr>
            <w:r w:rsidRPr="00C200C4">
              <w:rPr>
                <w:rFonts w:hint="default"/>
                <w:b w:val="0"/>
              </w:rPr>
              <w:t>Anlotinib Hydrochloride Capsules</w:t>
            </w:r>
            <w:r w:rsidR="001D6E2D" w:rsidRPr="00C200C4">
              <w:rPr>
                <w:rFonts w:hint="default"/>
                <w:b w:val="0"/>
              </w:rPr>
              <w:t>,</w:t>
            </w:r>
            <w:r w:rsidR="001D6E2D" w:rsidRPr="00C200C4">
              <w:rPr>
                <w:b w:val="0"/>
              </w:rPr>
              <w:t xml:space="preserve"> </w:t>
            </w:r>
            <w:r w:rsidR="001D6E2D" w:rsidRPr="00384EEC">
              <w:rPr>
                <w:b w:val="0"/>
              </w:rPr>
              <w:t>Bevacizumab injection, oxaliplatin,</w:t>
            </w:r>
            <w:r w:rsidR="00C200C4">
              <w:rPr>
                <w:rFonts w:hint="default"/>
                <w:b w:val="0"/>
              </w:rPr>
              <w:t xml:space="preserve"> </w:t>
            </w:r>
            <w:r w:rsidR="001D6E2D" w:rsidRPr="00384EEC">
              <w:rPr>
                <w:b w:val="0"/>
              </w:rPr>
              <w:t>capecitabine</w:t>
            </w:r>
            <w:r w:rsidRPr="00384EEC">
              <w:rPr>
                <w:rFonts w:hint="default"/>
              </w:rPr>
              <w:t xml:space="preserve"> </w:t>
            </w:r>
          </w:p>
        </w:tc>
      </w:tr>
      <w:tr w:rsidR="00D45C54" w14:paraId="765BECD3" w14:textId="77777777">
        <w:trPr>
          <w:trHeight w:val="565"/>
          <w:jc w:val="center"/>
        </w:trPr>
        <w:tc>
          <w:tcPr>
            <w:tcW w:w="1560" w:type="dxa"/>
            <w:vAlign w:val="center"/>
          </w:tcPr>
          <w:p w14:paraId="7486A4DE" w14:textId="18E1DA8D" w:rsidR="00D45C54" w:rsidRDefault="00D76E35">
            <w:pPr>
              <w:pStyle w:val="P68B1DB1-119"/>
              <w:suppressAutoHyphens w:val="0"/>
              <w:topLinePunct w:val="0"/>
              <w:spacing w:line="240" w:lineRule="auto"/>
              <w:rPr>
                <w:rFonts w:hint="default"/>
              </w:rPr>
            </w:pPr>
            <w:r>
              <w:t>Dos</w:t>
            </w:r>
            <w:r>
              <w:rPr>
                <w:rFonts w:hint="default"/>
              </w:rPr>
              <w:t>e</w:t>
            </w:r>
            <w:r>
              <w:t xml:space="preserve"> </w:t>
            </w:r>
            <w:r w:rsidR="003E0392">
              <w:t xml:space="preserve">Regimen </w:t>
            </w:r>
          </w:p>
        </w:tc>
        <w:tc>
          <w:tcPr>
            <w:tcW w:w="7761" w:type="dxa"/>
            <w:vAlign w:val="center"/>
          </w:tcPr>
          <w:p w14:paraId="21F232C1" w14:textId="77777777" w:rsidR="00FB2B63" w:rsidRPr="00384EEC" w:rsidRDefault="001348B8" w:rsidP="00384EEC">
            <w:pPr>
              <w:pStyle w:val="a0"/>
              <w:numPr>
                <w:ilvl w:val="0"/>
                <w:numId w:val="0"/>
              </w:numPr>
              <w:spacing w:beforeLines="25" w:before="60" w:line="400" w:lineRule="exact"/>
              <w:ind w:left="420" w:hanging="420"/>
            </w:pPr>
            <w:r w:rsidRPr="00384EEC">
              <w:t xml:space="preserve">Exprimental </w:t>
            </w:r>
            <w:r w:rsidR="003E0392" w:rsidRPr="00384EEC">
              <w:t>group</w:t>
            </w:r>
          </w:p>
          <w:p w14:paraId="1946A743" w14:textId="3F5E5A65" w:rsidR="00D45C54" w:rsidRDefault="00FB2B63" w:rsidP="00384EEC">
            <w:pPr>
              <w:pStyle w:val="a0"/>
              <w:numPr>
                <w:ilvl w:val="0"/>
                <w:numId w:val="0"/>
              </w:numPr>
              <w:spacing w:beforeLines="25" w:before="60" w:line="400" w:lineRule="exact"/>
              <w:ind w:left="420" w:hanging="420"/>
              <w:rPr>
                <w:b w:val="0"/>
              </w:rPr>
            </w:pPr>
            <w:r>
              <w:rPr>
                <w:b w:val="0"/>
              </w:rPr>
              <w:t>I</w:t>
            </w:r>
            <w:r w:rsidRPr="00FB2B63">
              <w:rPr>
                <w:b w:val="0"/>
              </w:rPr>
              <w:t>nduction treatment</w:t>
            </w:r>
            <w:r>
              <w:rPr>
                <w:b w:val="0"/>
              </w:rPr>
              <w:t xml:space="preserve"> (4-8 cycles)</w:t>
            </w:r>
          </w:p>
          <w:p w14:paraId="76DDCEF4" w14:textId="2C4AC174" w:rsidR="00FB2B63" w:rsidRDefault="003E0392" w:rsidP="006D1B06">
            <w:pPr>
              <w:pStyle w:val="afffb"/>
              <w:numPr>
                <w:ilvl w:val="0"/>
                <w:numId w:val="41"/>
              </w:numPr>
              <w:ind w:firstLineChars="0"/>
            </w:pPr>
            <w:r w:rsidRPr="003127AF">
              <w:t>Anlotinib</w:t>
            </w:r>
            <w:r w:rsidR="001348B8" w:rsidRPr="003127AF">
              <w:t>:</w:t>
            </w:r>
            <w:r w:rsidRPr="003127AF">
              <w:t xml:space="preserve"> </w:t>
            </w:r>
            <w:r w:rsidR="00FB2B63" w:rsidRPr="00FB2B63">
              <w:t>12 mg</w:t>
            </w:r>
            <w:r w:rsidR="004739A4">
              <w:t xml:space="preserve">, </w:t>
            </w:r>
            <w:r w:rsidR="00FB2B63">
              <w:t>oral</w:t>
            </w:r>
            <w:r w:rsidR="004739A4">
              <w:t>,</w:t>
            </w:r>
            <w:r w:rsidR="00FB2B63">
              <w:t xml:space="preserve"> </w:t>
            </w:r>
            <w:r w:rsidR="00FB2B63" w:rsidRPr="00FB2B63">
              <w:t>once daily</w:t>
            </w:r>
            <w:r w:rsidR="004739A4">
              <w:t>,</w:t>
            </w:r>
            <w:r w:rsidR="00FB2B63" w:rsidRPr="00FB2B63">
              <w:t xml:space="preserve"> on days 1-14</w:t>
            </w:r>
            <w:r w:rsidR="004739A4">
              <w:t>,</w:t>
            </w:r>
            <w:r w:rsidR="00FB2B63">
              <w:t xml:space="preserve"> </w:t>
            </w:r>
            <w:r w:rsidR="00FB2B63" w:rsidRPr="00BB4C71">
              <w:rPr>
                <w:szCs w:val="21"/>
              </w:rPr>
              <w:t>every 3 weeks</w:t>
            </w:r>
            <w:r w:rsidR="00FB2B63">
              <w:rPr>
                <w:szCs w:val="21"/>
              </w:rPr>
              <w:t>.</w:t>
            </w:r>
          </w:p>
          <w:p w14:paraId="4FDC0605" w14:textId="71BB4B4E" w:rsidR="00FB2B63" w:rsidRDefault="00FB2B63" w:rsidP="006D1B06">
            <w:pPr>
              <w:pStyle w:val="afffb"/>
              <w:numPr>
                <w:ilvl w:val="0"/>
                <w:numId w:val="41"/>
              </w:numPr>
              <w:ind w:firstLineChars="0"/>
            </w:pPr>
            <w:r w:rsidRPr="00FB2B63">
              <w:t>CapeOX</w:t>
            </w:r>
            <w:r>
              <w:t>:</w:t>
            </w:r>
            <w:r w:rsidRPr="00EC673C">
              <w:t xml:space="preserve"> </w:t>
            </w:r>
            <w:r w:rsidRPr="00FB2B63">
              <w:t>every 3 weeks</w:t>
            </w:r>
          </w:p>
          <w:p w14:paraId="3137A085" w14:textId="7C0D8BE6" w:rsidR="00FB2B63" w:rsidRDefault="00FB2B63" w:rsidP="006D1B06">
            <w:pPr>
              <w:pStyle w:val="afffb"/>
              <w:numPr>
                <w:ilvl w:val="0"/>
                <w:numId w:val="42"/>
              </w:numPr>
              <w:ind w:firstLineChars="0"/>
            </w:pPr>
            <w:r w:rsidRPr="00FB2B63">
              <w:t>Oxaliplatin</w:t>
            </w:r>
            <w:r>
              <w:t>:</w:t>
            </w:r>
            <w:r w:rsidRPr="00FB2B63">
              <w:t xml:space="preserve"> 130 mg/m</w:t>
            </w:r>
            <w:r w:rsidRPr="00384EEC">
              <w:rPr>
                <w:vertAlign w:val="superscript"/>
              </w:rPr>
              <w:t>2</w:t>
            </w:r>
            <w:r w:rsidR="004739A4" w:rsidRPr="00F94C48">
              <w:t>,</w:t>
            </w:r>
            <w:r>
              <w:t xml:space="preserve"> </w:t>
            </w:r>
            <w:r w:rsidRPr="00FB2B63">
              <w:t>intravenous</w:t>
            </w:r>
            <w:r>
              <w:t>ly on day 1</w:t>
            </w:r>
            <w:r w:rsidRPr="00FB2B63">
              <w:t xml:space="preserve"> </w:t>
            </w:r>
          </w:p>
          <w:p w14:paraId="477519F3" w14:textId="4AEC4782" w:rsidR="00FB2B63" w:rsidRDefault="00FB2B63" w:rsidP="006D1B06">
            <w:pPr>
              <w:pStyle w:val="afffb"/>
              <w:numPr>
                <w:ilvl w:val="0"/>
                <w:numId w:val="42"/>
              </w:numPr>
              <w:ind w:firstLineChars="0"/>
            </w:pPr>
            <w:r w:rsidRPr="00FB2B63">
              <w:t>Capecitabine</w:t>
            </w:r>
            <w:r>
              <w:t xml:space="preserve">: </w:t>
            </w:r>
            <w:r w:rsidRPr="00FB2B63">
              <w:t>850 mg/m</w:t>
            </w:r>
            <w:r w:rsidRPr="00D67CC7">
              <w:rPr>
                <w:vertAlign w:val="superscript"/>
              </w:rPr>
              <w:t>2</w:t>
            </w:r>
            <w:r w:rsidR="004739A4">
              <w:t xml:space="preserve">, </w:t>
            </w:r>
            <w:r w:rsidRPr="00FB2B63">
              <w:t>oral</w:t>
            </w:r>
            <w:r>
              <w:t>,</w:t>
            </w:r>
            <w:r w:rsidRPr="00FB2B63">
              <w:t xml:space="preserve"> </w:t>
            </w:r>
            <w:r>
              <w:t>twice daily</w:t>
            </w:r>
            <w:r w:rsidR="004739A4">
              <w:t>,</w:t>
            </w:r>
            <w:r>
              <w:t xml:space="preserve"> on days 1-14</w:t>
            </w:r>
          </w:p>
          <w:p w14:paraId="2B9BDE39" w14:textId="6699A31B" w:rsidR="00FB2B63" w:rsidRDefault="00FB2B63" w:rsidP="00384EEC">
            <w:pPr>
              <w:pStyle w:val="afffb"/>
              <w:ind w:firstLineChars="0" w:firstLine="0"/>
            </w:pPr>
            <w:r>
              <w:t>M</w:t>
            </w:r>
            <w:r w:rsidRPr="00FB2B63">
              <w:t>aintenance treatment</w:t>
            </w:r>
          </w:p>
          <w:p w14:paraId="35FABB51" w14:textId="3828FB08" w:rsidR="00F30213" w:rsidRDefault="00F30213" w:rsidP="006D1B06">
            <w:pPr>
              <w:pStyle w:val="afffb"/>
              <w:numPr>
                <w:ilvl w:val="0"/>
                <w:numId w:val="41"/>
              </w:numPr>
              <w:ind w:firstLineChars="0"/>
            </w:pPr>
            <w:r w:rsidRPr="003127AF">
              <w:lastRenderedPageBreak/>
              <w:t xml:space="preserve">Anlotinib: </w:t>
            </w:r>
            <w:r w:rsidRPr="00FB2B63">
              <w:t>12 mg</w:t>
            </w:r>
            <w:r w:rsidR="004739A4">
              <w:t>,</w:t>
            </w:r>
            <w:r w:rsidRPr="00FB2B63">
              <w:t xml:space="preserve"> </w:t>
            </w:r>
            <w:r>
              <w:t>oral</w:t>
            </w:r>
            <w:r w:rsidR="004739A4">
              <w:t>,</w:t>
            </w:r>
            <w:r>
              <w:t xml:space="preserve"> </w:t>
            </w:r>
            <w:r w:rsidRPr="00FB2B63">
              <w:t>once daily</w:t>
            </w:r>
            <w:r w:rsidR="004739A4">
              <w:t>,</w:t>
            </w:r>
            <w:r w:rsidRPr="00FB2B63">
              <w:t xml:space="preserve"> on days 1-14</w:t>
            </w:r>
            <w:r w:rsidR="004739A4">
              <w:t>,</w:t>
            </w:r>
            <w:r>
              <w:t xml:space="preserve"> </w:t>
            </w:r>
            <w:r w:rsidRPr="00BB4C71">
              <w:rPr>
                <w:szCs w:val="21"/>
              </w:rPr>
              <w:t>every 3 weeks</w:t>
            </w:r>
            <w:r w:rsidR="004739A4">
              <w:rPr>
                <w:szCs w:val="21"/>
              </w:rPr>
              <w:t>,</w:t>
            </w:r>
            <w:r>
              <w:rPr>
                <w:szCs w:val="21"/>
              </w:rPr>
              <w:t xml:space="preserve"> </w:t>
            </w:r>
            <w:r w:rsidRPr="008A2717">
              <w:t>until disease progression or unacceptable toxicity.</w:t>
            </w:r>
          </w:p>
          <w:p w14:paraId="4200FD2A" w14:textId="65802682" w:rsidR="00F30213" w:rsidRPr="00F30213" w:rsidRDefault="00F30213" w:rsidP="006D1B06">
            <w:pPr>
              <w:pStyle w:val="affff0"/>
              <w:numPr>
                <w:ilvl w:val="0"/>
                <w:numId w:val="41"/>
              </w:numPr>
              <w:rPr>
                <w:rFonts w:eastAsia="宋体" w:cs="Times New Roman"/>
              </w:rPr>
            </w:pPr>
            <w:r w:rsidRPr="00FB2B63">
              <w:t>Capecitabine</w:t>
            </w:r>
            <w:r>
              <w:t xml:space="preserve">: </w:t>
            </w:r>
            <w:r w:rsidRPr="00FB2B63">
              <w:t>850 mg/m</w:t>
            </w:r>
            <w:r w:rsidRPr="00F30213">
              <w:rPr>
                <w:vertAlign w:val="superscript"/>
              </w:rPr>
              <w:t>2</w:t>
            </w:r>
            <w:r w:rsidR="004739A4">
              <w:t xml:space="preserve">, </w:t>
            </w:r>
            <w:r w:rsidRPr="00FB2B63">
              <w:t>oral</w:t>
            </w:r>
            <w:r>
              <w:t>,</w:t>
            </w:r>
            <w:r w:rsidRPr="00FB2B63">
              <w:t xml:space="preserve"> </w:t>
            </w:r>
            <w:r>
              <w:t>twice daily</w:t>
            </w:r>
            <w:r w:rsidR="004739A4">
              <w:t>,</w:t>
            </w:r>
            <w:r>
              <w:t xml:space="preserve"> on days 1-14</w:t>
            </w:r>
            <w:r w:rsidR="004739A4">
              <w:t>,</w:t>
            </w:r>
            <w:r>
              <w:t xml:space="preserve"> </w:t>
            </w:r>
            <w:r w:rsidRPr="00F30213">
              <w:rPr>
                <w:rFonts w:eastAsia="宋体" w:cs="Times New Roman"/>
              </w:rPr>
              <w:t>every 3 weeks</w:t>
            </w:r>
            <w:r w:rsidR="004739A4">
              <w:rPr>
                <w:rFonts w:eastAsia="宋体" w:cs="Times New Roman"/>
              </w:rPr>
              <w:t>,</w:t>
            </w:r>
            <w:r w:rsidRPr="00F30213">
              <w:rPr>
                <w:rFonts w:eastAsia="宋体" w:cs="Times New Roman"/>
              </w:rPr>
              <w:t xml:space="preserve"> until disease progression or unacceptable toxicity.</w:t>
            </w:r>
          </w:p>
          <w:p w14:paraId="6E271E57" w14:textId="3897662F" w:rsidR="00F30213" w:rsidRPr="003353E5" w:rsidRDefault="00F30213" w:rsidP="00F30213">
            <w:pPr>
              <w:pStyle w:val="a0"/>
              <w:numPr>
                <w:ilvl w:val="0"/>
                <w:numId w:val="0"/>
              </w:numPr>
              <w:spacing w:beforeLines="25" w:before="60" w:line="400" w:lineRule="exact"/>
              <w:ind w:left="420" w:hanging="420"/>
            </w:pPr>
            <w:r>
              <w:t>Control</w:t>
            </w:r>
            <w:r w:rsidRPr="003353E5">
              <w:t xml:space="preserve"> group</w:t>
            </w:r>
          </w:p>
          <w:p w14:paraId="6DC3E1CB" w14:textId="77777777" w:rsidR="00F30213" w:rsidRDefault="00F30213" w:rsidP="00F30213">
            <w:pPr>
              <w:pStyle w:val="a0"/>
              <w:numPr>
                <w:ilvl w:val="0"/>
                <w:numId w:val="0"/>
              </w:numPr>
              <w:spacing w:beforeLines="25" w:before="60" w:line="400" w:lineRule="exact"/>
              <w:ind w:left="420" w:hanging="420"/>
              <w:rPr>
                <w:b w:val="0"/>
              </w:rPr>
            </w:pPr>
            <w:r>
              <w:rPr>
                <w:b w:val="0"/>
              </w:rPr>
              <w:t>I</w:t>
            </w:r>
            <w:r w:rsidRPr="00FB2B63">
              <w:rPr>
                <w:b w:val="0"/>
              </w:rPr>
              <w:t>nduction treatment</w:t>
            </w:r>
            <w:r>
              <w:rPr>
                <w:b w:val="0"/>
              </w:rPr>
              <w:t xml:space="preserve"> (4-8 cycles)</w:t>
            </w:r>
          </w:p>
          <w:p w14:paraId="0EBA220F" w14:textId="3ADB6341" w:rsidR="00F30213" w:rsidRDefault="005607E6" w:rsidP="006D1B06">
            <w:pPr>
              <w:pStyle w:val="afffb"/>
              <w:numPr>
                <w:ilvl w:val="0"/>
                <w:numId w:val="41"/>
              </w:numPr>
              <w:ind w:firstLineChars="0"/>
            </w:pPr>
            <w:r w:rsidRPr="005607E6">
              <w:t>Bevacizumab</w:t>
            </w:r>
            <w:r w:rsidR="00F30213" w:rsidRPr="003127AF">
              <w:t xml:space="preserve">: </w:t>
            </w:r>
            <w:r>
              <w:t>7.5 mg/kg</w:t>
            </w:r>
            <w:r w:rsidR="009B1561">
              <w:t>,</w:t>
            </w:r>
            <w:r w:rsidRPr="005607E6">
              <w:t xml:space="preserve"> intravenously</w:t>
            </w:r>
            <w:r w:rsidR="009B1561">
              <w:t>,</w:t>
            </w:r>
            <w:r w:rsidRPr="005607E6">
              <w:t xml:space="preserve"> on day 1</w:t>
            </w:r>
            <w:r w:rsidR="009B1561">
              <w:t>,</w:t>
            </w:r>
            <w:r w:rsidR="00F30213">
              <w:t xml:space="preserve"> </w:t>
            </w:r>
            <w:r w:rsidR="00F30213" w:rsidRPr="00BB4C71">
              <w:rPr>
                <w:szCs w:val="21"/>
              </w:rPr>
              <w:t>every 3 weeks</w:t>
            </w:r>
            <w:r w:rsidR="00F30213">
              <w:rPr>
                <w:szCs w:val="21"/>
              </w:rPr>
              <w:t>.</w:t>
            </w:r>
          </w:p>
          <w:p w14:paraId="15B94FED" w14:textId="77777777" w:rsidR="00F30213" w:rsidRDefault="00F30213" w:rsidP="006D1B06">
            <w:pPr>
              <w:pStyle w:val="afffb"/>
              <w:numPr>
                <w:ilvl w:val="0"/>
                <w:numId w:val="41"/>
              </w:numPr>
              <w:ind w:firstLineChars="0"/>
            </w:pPr>
            <w:r w:rsidRPr="00FB2B63">
              <w:t>CapeOX</w:t>
            </w:r>
            <w:r>
              <w:t>:</w:t>
            </w:r>
            <w:r w:rsidRPr="00EC673C">
              <w:t xml:space="preserve"> </w:t>
            </w:r>
            <w:r w:rsidRPr="00FB2B63">
              <w:t>every 3 weeks</w:t>
            </w:r>
          </w:p>
          <w:p w14:paraId="013BEC9A" w14:textId="005232BB" w:rsidR="00F30213" w:rsidRDefault="00F30213" w:rsidP="006D1B06">
            <w:pPr>
              <w:pStyle w:val="afffb"/>
              <w:numPr>
                <w:ilvl w:val="0"/>
                <w:numId w:val="42"/>
              </w:numPr>
              <w:ind w:firstLineChars="0"/>
            </w:pPr>
            <w:r w:rsidRPr="00FB2B63">
              <w:t>Oxaliplatin</w:t>
            </w:r>
            <w:r>
              <w:t>:</w:t>
            </w:r>
            <w:r w:rsidRPr="00FB2B63">
              <w:t xml:space="preserve"> 130 mg/m</w:t>
            </w:r>
            <w:r w:rsidRPr="003353E5">
              <w:rPr>
                <w:vertAlign w:val="superscript"/>
              </w:rPr>
              <w:t>2</w:t>
            </w:r>
            <w:r w:rsidR="009B1561">
              <w:t xml:space="preserve">, </w:t>
            </w:r>
            <w:r w:rsidRPr="00FB2B63">
              <w:t>intravenous</w:t>
            </w:r>
            <w:r>
              <w:t>ly on day 1</w:t>
            </w:r>
            <w:r w:rsidRPr="00FB2B63">
              <w:t xml:space="preserve"> </w:t>
            </w:r>
          </w:p>
          <w:p w14:paraId="72F07794" w14:textId="6C70D9D1" w:rsidR="00F30213" w:rsidRDefault="00F30213" w:rsidP="006D1B06">
            <w:pPr>
              <w:pStyle w:val="afffb"/>
              <w:numPr>
                <w:ilvl w:val="0"/>
                <w:numId w:val="42"/>
              </w:numPr>
              <w:ind w:firstLineChars="0"/>
            </w:pPr>
            <w:r w:rsidRPr="00FB2B63">
              <w:t>Capecitabine</w:t>
            </w:r>
            <w:r>
              <w:t>: 1000</w:t>
            </w:r>
            <w:r w:rsidRPr="00FB2B63">
              <w:t xml:space="preserve"> mg/m</w:t>
            </w:r>
            <w:r w:rsidRPr="00D67CC7">
              <w:rPr>
                <w:vertAlign w:val="superscript"/>
              </w:rPr>
              <w:t>2</w:t>
            </w:r>
            <w:r w:rsidR="009B1561">
              <w:t xml:space="preserve">, </w:t>
            </w:r>
            <w:r w:rsidRPr="00FB2B63">
              <w:t>oral</w:t>
            </w:r>
            <w:r>
              <w:t>,</w:t>
            </w:r>
            <w:r w:rsidRPr="00FB2B63">
              <w:t xml:space="preserve"> </w:t>
            </w:r>
            <w:r>
              <w:t>twice daily</w:t>
            </w:r>
            <w:r w:rsidR="009B1561">
              <w:t>,</w:t>
            </w:r>
            <w:r>
              <w:t xml:space="preserve"> on days 1-14</w:t>
            </w:r>
            <w:r w:rsidR="003F396A">
              <w:t>.</w:t>
            </w:r>
          </w:p>
          <w:p w14:paraId="0E286C58" w14:textId="77777777" w:rsidR="00F30213" w:rsidRDefault="00F30213" w:rsidP="00F30213">
            <w:pPr>
              <w:pStyle w:val="afffb"/>
              <w:ind w:firstLineChars="0" w:firstLine="0"/>
            </w:pPr>
            <w:r>
              <w:t>M</w:t>
            </w:r>
            <w:r w:rsidRPr="00FB2B63">
              <w:t>aintenance treatment</w:t>
            </w:r>
          </w:p>
          <w:p w14:paraId="3FD1297C" w14:textId="48ADEBDB" w:rsidR="00F30213" w:rsidRDefault="005607E6" w:rsidP="006D1B06">
            <w:pPr>
              <w:pStyle w:val="afffb"/>
              <w:numPr>
                <w:ilvl w:val="0"/>
                <w:numId w:val="41"/>
              </w:numPr>
              <w:ind w:firstLineChars="0"/>
            </w:pPr>
            <w:r w:rsidRPr="005607E6">
              <w:t>Bevacizumab: 7.5 mg/kg</w:t>
            </w:r>
            <w:r w:rsidR="009B1561">
              <w:t>,</w:t>
            </w:r>
            <w:r w:rsidRPr="005607E6">
              <w:t xml:space="preserve"> intravenously</w:t>
            </w:r>
            <w:r w:rsidR="009B1561">
              <w:t>,</w:t>
            </w:r>
            <w:r w:rsidRPr="005607E6">
              <w:t xml:space="preserve"> on day 1</w:t>
            </w:r>
            <w:r w:rsidR="009B1561">
              <w:t>,</w:t>
            </w:r>
            <w:r w:rsidRPr="005607E6">
              <w:t xml:space="preserve"> every 3 weeks</w:t>
            </w:r>
            <w:r w:rsidR="009B1561">
              <w:t>,</w:t>
            </w:r>
            <w:r w:rsidR="00F30213">
              <w:rPr>
                <w:szCs w:val="21"/>
              </w:rPr>
              <w:t xml:space="preserve"> </w:t>
            </w:r>
            <w:r w:rsidR="00F30213" w:rsidRPr="008A2717">
              <w:t>until disease progression or unacceptable toxicity.</w:t>
            </w:r>
          </w:p>
          <w:p w14:paraId="01DC2AA0" w14:textId="4061155F" w:rsidR="00D45C54" w:rsidRDefault="00E6726B" w:rsidP="000359D0">
            <w:pPr>
              <w:pStyle w:val="afffb"/>
              <w:numPr>
                <w:ilvl w:val="0"/>
                <w:numId w:val="41"/>
              </w:numPr>
              <w:ind w:firstLineChars="0"/>
            </w:pPr>
            <w:r w:rsidRPr="00FB2B63">
              <w:t>Capecitabine</w:t>
            </w:r>
            <w:r>
              <w:t>: 1000</w:t>
            </w:r>
            <w:r w:rsidRPr="00FB2B63">
              <w:t xml:space="preserve"> mg/m</w:t>
            </w:r>
            <w:r w:rsidRPr="00F94C48">
              <w:rPr>
                <w:vertAlign w:val="superscript"/>
              </w:rPr>
              <w:t>2</w:t>
            </w:r>
            <w:r w:rsidR="009B1561">
              <w:t xml:space="preserve">, </w:t>
            </w:r>
            <w:r w:rsidRPr="00FB2B63">
              <w:t>oral</w:t>
            </w:r>
            <w:r>
              <w:t>,</w:t>
            </w:r>
            <w:r w:rsidRPr="00FB2B63">
              <w:t xml:space="preserve"> </w:t>
            </w:r>
            <w:r>
              <w:t>twice daily</w:t>
            </w:r>
            <w:r w:rsidR="009B1561">
              <w:t>,</w:t>
            </w:r>
            <w:r>
              <w:t xml:space="preserve"> on days 1-14</w:t>
            </w:r>
            <w:r w:rsidR="009B1561">
              <w:t>,</w:t>
            </w:r>
            <w:r>
              <w:t xml:space="preserve"> </w:t>
            </w:r>
            <w:r w:rsidRPr="00F30213">
              <w:t>every 3 weeks until disease progression or unacceptable toxicity</w:t>
            </w:r>
            <w:r>
              <w:t>.</w:t>
            </w:r>
          </w:p>
        </w:tc>
      </w:tr>
      <w:tr w:rsidR="00D45C54" w14:paraId="383BBD5B" w14:textId="77777777">
        <w:trPr>
          <w:trHeight w:val="541"/>
          <w:jc w:val="center"/>
        </w:trPr>
        <w:tc>
          <w:tcPr>
            <w:tcW w:w="1560" w:type="dxa"/>
            <w:vAlign w:val="center"/>
          </w:tcPr>
          <w:p w14:paraId="3F995D68" w14:textId="3CFEF78B" w:rsidR="00D45C54" w:rsidRDefault="003E0392">
            <w:pPr>
              <w:pStyle w:val="P68B1DB1-119"/>
              <w:suppressAutoHyphens w:val="0"/>
              <w:topLinePunct w:val="0"/>
              <w:spacing w:line="240" w:lineRule="auto"/>
              <w:rPr>
                <w:rFonts w:hint="default"/>
              </w:rPr>
            </w:pPr>
            <w:r>
              <w:lastRenderedPageBreak/>
              <w:t xml:space="preserve">Efficacy evaluation </w:t>
            </w:r>
          </w:p>
        </w:tc>
        <w:tc>
          <w:tcPr>
            <w:tcW w:w="7761" w:type="dxa"/>
            <w:vAlign w:val="center"/>
          </w:tcPr>
          <w:p w14:paraId="36821A67" w14:textId="677DBBB2" w:rsidR="00D45C54" w:rsidRDefault="003E0392" w:rsidP="009B1561">
            <w:pPr>
              <w:pStyle w:val="P68B1DB1-17420"/>
              <w:ind w:firstLineChars="0" w:firstLine="0"/>
              <w:rPr>
                <w:rFonts w:hint="default"/>
              </w:rPr>
            </w:pPr>
            <w:r>
              <w:t xml:space="preserve">RECIST 1.1 criteria. </w:t>
            </w:r>
          </w:p>
        </w:tc>
      </w:tr>
      <w:tr w:rsidR="00D45C54" w14:paraId="65623991" w14:textId="77777777">
        <w:trPr>
          <w:trHeight w:val="541"/>
          <w:jc w:val="center"/>
        </w:trPr>
        <w:tc>
          <w:tcPr>
            <w:tcW w:w="1560" w:type="dxa"/>
            <w:vAlign w:val="center"/>
          </w:tcPr>
          <w:p w14:paraId="66DC2106" w14:textId="1C1D02DA" w:rsidR="00D45C54" w:rsidRDefault="003E0392">
            <w:pPr>
              <w:pStyle w:val="P68B1DB1-119"/>
              <w:suppressAutoHyphens w:val="0"/>
              <w:topLinePunct w:val="0"/>
              <w:spacing w:line="240" w:lineRule="auto"/>
              <w:rPr>
                <w:rFonts w:hint="default"/>
              </w:rPr>
            </w:pPr>
            <w:r>
              <w:t xml:space="preserve">Safety evaluation </w:t>
            </w:r>
          </w:p>
        </w:tc>
        <w:tc>
          <w:tcPr>
            <w:tcW w:w="7761" w:type="dxa"/>
            <w:vAlign w:val="center"/>
          </w:tcPr>
          <w:p w14:paraId="25EBE2A2" w14:textId="5D9681DD" w:rsidR="00D45C54" w:rsidRDefault="00606DD2" w:rsidP="00384EEC">
            <w:pPr>
              <w:pStyle w:val="P68B1DB1-17420"/>
              <w:ind w:firstLineChars="0" w:firstLine="0"/>
              <w:rPr>
                <w:rFonts w:hint="default"/>
              </w:rPr>
            </w:pPr>
            <w:r w:rsidRPr="00606DD2">
              <w:t xml:space="preserve">NCI-CTC AE 5.0 criteria </w:t>
            </w:r>
            <w:r>
              <w:rPr>
                <w:rFonts w:hint="default"/>
              </w:rPr>
              <w:t>i</w:t>
            </w:r>
            <w:r w:rsidRPr="00606DD2">
              <w:t>s used to determine the severity of adverse events. During the trial, the adverse event record form should be faithfully filled out, including the time of occurrence, severity, correlation with study treatment, duration, measure</w:t>
            </w:r>
            <w:r w:rsidR="009B1561">
              <w:rPr>
                <w:rFonts w:hint="default"/>
              </w:rPr>
              <w:t>ments</w:t>
            </w:r>
            <w:r w:rsidRPr="00606DD2">
              <w:t xml:space="preserve"> taken, and outcom</w:t>
            </w:r>
            <w:r w:rsidR="009B1561">
              <w:rPr>
                <w:rFonts w:hint="default"/>
              </w:rPr>
              <w:t>e</w:t>
            </w:r>
            <w:r w:rsidRPr="00606DD2">
              <w:t>s.</w:t>
            </w:r>
            <w:r w:rsidR="003E0392">
              <w:t xml:space="preserve"> </w:t>
            </w:r>
          </w:p>
        </w:tc>
      </w:tr>
      <w:tr w:rsidR="00D45C54" w14:paraId="7824B8E3" w14:textId="77777777">
        <w:trPr>
          <w:trHeight w:val="541"/>
          <w:jc w:val="center"/>
        </w:trPr>
        <w:tc>
          <w:tcPr>
            <w:tcW w:w="1560" w:type="dxa"/>
            <w:vAlign w:val="center"/>
          </w:tcPr>
          <w:p w14:paraId="37F4EDC1" w14:textId="3352A977" w:rsidR="00D45C54" w:rsidRDefault="003E0392">
            <w:pPr>
              <w:pStyle w:val="P68B1DB1-119"/>
              <w:suppressAutoHyphens w:val="0"/>
              <w:topLinePunct w:val="0"/>
              <w:spacing w:line="240" w:lineRule="auto"/>
              <w:rPr>
                <w:rFonts w:hint="default"/>
              </w:rPr>
            </w:pPr>
            <w:r>
              <w:t xml:space="preserve">Statistical analysis </w:t>
            </w:r>
            <w:r w:rsidR="00687299">
              <w:rPr>
                <w:rFonts w:hint="default"/>
              </w:rPr>
              <w:t>plan</w:t>
            </w:r>
            <w:r>
              <w:t xml:space="preserve"> </w:t>
            </w:r>
          </w:p>
        </w:tc>
        <w:tc>
          <w:tcPr>
            <w:tcW w:w="7761" w:type="dxa"/>
            <w:vAlign w:val="center"/>
          </w:tcPr>
          <w:p w14:paraId="3F87F0A6" w14:textId="0BA2887E" w:rsidR="00621771" w:rsidRPr="00F94C48" w:rsidRDefault="00621771" w:rsidP="003127AF">
            <w:pPr>
              <w:pStyle w:val="afffb"/>
              <w:ind w:firstLineChars="0" w:firstLine="0"/>
              <w:rPr>
                <w:b/>
              </w:rPr>
            </w:pPr>
            <w:r w:rsidRPr="00F94C48">
              <w:rPr>
                <w:b/>
              </w:rPr>
              <w:t>Primary endpoint:</w:t>
            </w:r>
          </w:p>
          <w:p w14:paraId="54042C4B" w14:textId="3B6D00BA" w:rsidR="0094741E" w:rsidRDefault="003E0392" w:rsidP="003127AF">
            <w:pPr>
              <w:pStyle w:val="afffb"/>
              <w:ind w:firstLineChars="0" w:firstLine="0"/>
            </w:pPr>
            <w:r>
              <w:rPr>
                <w:rFonts w:hint="eastAsia"/>
              </w:rPr>
              <w:t xml:space="preserve">The primary endpoint </w:t>
            </w:r>
            <w:r w:rsidR="0044035C">
              <w:t>is</w:t>
            </w:r>
            <w:r w:rsidR="0044035C">
              <w:rPr>
                <w:rFonts w:hint="eastAsia"/>
              </w:rPr>
              <w:t xml:space="preserve"> P</w:t>
            </w:r>
            <w:r w:rsidR="0044035C">
              <w:t>FS</w:t>
            </w:r>
            <w:r w:rsidR="0044035C">
              <w:rPr>
                <w:rFonts w:hint="eastAsia"/>
              </w:rPr>
              <w:t xml:space="preserve"> assessed </w:t>
            </w:r>
            <w:r w:rsidR="0044035C">
              <w:t xml:space="preserve">by </w:t>
            </w:r>
            <w:r>
              <w:rPr>
                <w:rFonts w:hint="eastAsia"/>
              </w:rPr>
              <w:t>IRC</w:t>
            </w:r>
            <w:r w:rsidR="00F27C54">
              <w:t xml:space="preserve">, </w:t>
            </w:r>
            <w:r w:rsidR="00F27C54" w:rsidRPr="00F27C54">
              <w:t xml:space="preserve">which </w:t>
            </w:r>
            <w:r w:rsidR="00F27C54">
              <w:t>i</w:t>
            </w:r>
            <w:r w:rsidR="00F27C54" w:rsidRPr="00F27C54">
              <w:t>s analyzed based on both the</w:t>
            </w:r>
            <w:r w:rsidR="00F23690">
              <w:t xml:space="preserve"> intent to treat (</w:t>
            </w:r>
            <w:r w:rsidR="00F27C54" w:rsidRPr="00F27C54">
              <w:t>ITT</w:t>
            </w:r>
            <w:r w:rsidR="00F23690">
              <w:t>)</w:t>
            </w:r>
            <w:r w:rsidR="00F27C54" w:rsidRPr="00F27C54">
              <w:t xml:space="preserve"> and per-protocol sets. The median </w:t>
            </w:r>
            <w:r w:rsidR="00F27C54">
              <w:t>PFS</w:t>
            </w:r>
            <w:r w:rsidR="00F27C54" w:rsidRPr="00F27C54">
              <w:t xml:space="preserve"> and 95% confidence interval (CI) </w:t>
            </w:r>
            <w:r w:rsidR="00F27C54">
              <w:t>are</w:t>
            </w:r>
            <w:r w:rsidR="00F27C54" w:rsidRPr="00F27C54">
              <w:t xml:space="preserve"> estimated by Kaplan-Meier method, and the survival curve </w:t>
            </w:r>
            <w:r w:rsidR="00F27C54">
              <w:t>i</w:t>
            </w:r>
            <w:r w:rsidR="00F27C54" w:rsidRPr="00F27C54">
              <w:t xml:space="preserve">s drawn. The Hazard Ratio (HR) and 95% </w:t>
            </w:r>
            <w:r w:rsidR="00F27C54">
              <w:t>CI</w:t>
            </w:r>
            <w:r w:rsidR="00F27C54" w:rsidRPr="00F27C54">
              <w:t xml:space="preserve"> of PFS </w:t>
            </w:r>
            <w:r w:rsidR="00F27C54">
              <w:t>are</w:t>
            </w:r>
            <w:r w:rsidR="00F27C54" w:rsidRPr="00F27C54">
              <w:t xml:space="preserve"> estimated by COX proportional hazards model. Stratification factors </w:t>
            </w:r>
            <w:r w:rsidR="00F27C54">
              <w:t>are</w:t>
            </w:r>
            <w:r w:rsidR="00F27C54" w:rsidRPr="00F27C54">
              <w:t xml:space="preserve">: primary tumor site (right/left); </w:t>
            </w:r>
            <w:r w:rsidR="00F23690">
              <w:t>prior</w:t>
            </w:r>
            <w:r w:rsidR="00F23690" w:rsidRPr="00F27C54">
              <w:t xml:space="preserve"> </w:t>
            </w:r>
            <w:r w:rsidR="00F27C54" w:rsidRPr="00F27C54">
              <w:t xml:space="preserve">adjuvant chemotherapy (yes/no). If the upper limit of 95% </w:t>
            </w:r>
            <w:r w:rsidR="00F27C54">
              <w:t>CI</w:t>
            </w:r>
            <w:r w:rsidR="00F27C54" w:rsidRPr="00F27C54">
              <w:t xml:space="preserve"> of HR in ITT set </w:t>
            </w:r>
            <w:r w:rsidR="00F27C54">
              <w:t>i</w:t>
            </w:r>
            <w:r w:rsidR="00F27C54" w:rsidRPr="00F27C54">
              <w:t>s less than the non-inferiority margin of 1.09, the efficacy of anlotinib combined with CapeO</w:t>
            </w:r>
            <w:r w:rsidR="002518B4">
              <w:t>X</w:t>
            </w:r>
            <w:r w:rsidR="00F27C54" w:rsidRPr="00F27C54">
              <w:t xml:space="preserve"> chemotherapy regimen in the first-line treatment of mCRC </w:t>
            </w:r>
            <w:r w:rsidR="00F27C54">
              <w:t>i</w:t>
            </w:r>
            <w:r w:rsidR="00F27C54" w:rsidRPr="00F27C54">
              <w:t>s non-inferior to that of bevacizumab combined with CapeO</w:t>
            </w:r>
            <w:r w:rsidR="002518B4">
              <w:t>X</w:t>
            </w:r>
            <w:r w:rsidR="00F27C54" w:rsidRPr="00F27C54">
              <w:t xml:space="preserve"> chemotherapy.</w:t>
            </w:r>
            <w:r w:rsidR="0094741E">
              <w:t xml:space="preserve"> </w:t>
            </w:r>
          </w:p>
          <w:p w14:paraId="30A380D4" w14:textId="7304AEC3" w:rsidR="00406DF9" w:rsidRPr="00F94C48" w:rsidRDefault="00406DF9" w:rsidP="003127AF">
            <w:pPr>
              <w:pStyle w:val="afffb"/>
              <w:ind w:firstLineChars="0" w:firstLine="0"/>
              <w:rPr>
                <w:b/>
              </w:rPr>
            </w:pPr>
            <w:r w:rsidRPr="00F94C48">
              <w:rPr>
                <w:b/>
              </w:rPr>
              <w:t>Secondary endpoints:</w:t>
            </w:r>
          </w:p>
          <w:p w14:paraId="1FD5FED4" w14:textId="591F2756" w:rsidR="00357CF5" w:rsidRPr="00384EEC" w:rsidRDefault="00357CF5" w:rsidP="00384EEC">
            <w:pPr>
              <w:pStyle w:val="afffb"/>
              <w:ind w:firstLineChars="0" w:firstLine="0"/>
            </w:pPr>
            <w:r>
              <w:t xml:space="preserve">Analyses of secondary </w:t>
            </w:r>
            <w:r w:rsidR="00065848" w:rsidRPr="00065848">
              <w:t>endpoints</w:t>
            </w:r>
            <w:r>
              <w:t xml:space="preserve"> </w:t>
            </w:r>
            <w:r w:rsidR="00065848">
              <w:rPr>
                <w:rFonts w:hint="eastAsia"/>
              </w:rPr>
              <w:t>are</w:t>
            </w:r>
            <w:r>
              <w:t xml:space="preserve"> based on the </w:t>
            </w:r>
            <w:r w:rsidR="00065848">
              <w:t>ITT</w:t>
            </w:r>
            <w:r>
              <w:t xml:space="preserve"> and the per-protocol set. </w:t>
            </w:r>
            <w:r>
              <w:lastRenderedPageBreak/>
              <w:t>For</w:t>
            </w:r>
            <w:r w:rsidRPr="00F94C48">
              <w:rPr>
                <w:color w:val="000000" w:themeColor="text1"/>
              </w:rPr>
              <w:t xml:space="preserve"> </w:t>
            </w:r>
            <w:r w:rsidR="002518B4" w:rsidRPr="00F94C48">
              <w:rPr>
                <w:color w:val="000000" w:themeColor="text1"/>
              </w:rPr>
              <w:t xml:space="preserve">investigator accessed </w:t>
            </w:r>
            <w:r w:rsidRPr="00F94C48">
              <w:rPr>
                <w:color w:val="000000" w:themeColor="text1"/>
              </w:rPr>
              <w:t xml:space="preserve">PFS, </w:t>
            </w:r>
            <w:r w:rsidR="00065848" w:rsidRPr="00F94C48">
              <w:rPr>
                <w:color w:val="000000" w:themeColor="text1"/>
              </w:rPr>
              <w:t>OS</w:t>
            </w:r>
            <w:r>
              <w:t xml:space="preserve">, and DOR, the same method </w:t>
            </w:r>
            <w:r w:rsidR="00065848">
              <w:t>i</w:t>
            </w:r>
            <w:r>
              <w:t>s used</w:t>
            </w:r>
            <w:r w:rsidR="00065848">
              <w:t xml:space="preserve"> as</w:t>
            </w:r>
            <w:r>
              <w:t xml:space="preserve"> </w:t>
            </w:r>
            <w:r w:rsidR="00065848">
              <w:t xml:space="preserve">the </w:t>
            </w:r>
            <w:r>
              <w:t>primary</w:t>
            </w:r>
            <w:r w:rsidR="00065848">
              <w:t xml:space="preserve"> endpoint</w:t>
            </w:r>
            <w:r>
              <w:t>.</w:t>
            </w:r>
          </w:p>
          <w:p w14:paraId="132E679A" w14:textId="1F5E052C" w:rsidR="00357CF5" w:rsidRDefault="00357CF5" w:rsidP="00384EEC">
            <w:pPr>
              <w:pStyle w:val="afffb"/>
              <w:ind w:firstLineChars="0" w:firstLine="0"/>
            </w:pPr>
            <w:r>
              <w:t xml:space="preserve">ORR and DCR </w:t>
            </w:r>
            <w:r w:rsidR="00065848">
              <w:t>are</w:t>
            </w:r>
            <w:r>
              <w:t xml:space="preserve"> compared between groups by </w:t>
            </w:r>
            <w:r w:rsidR="00135748" w:rsidRPr="00374520">
              <w:rPr>
                <w:color w:val="000000"/>
              </w:rPr>
              <w:t>stratified Mantel-Haenszel test</w:t>
            </w:r>
            <w:r>
              <w:t xml:space="preserve">. </w:t>
            </w:r>
            <w:r w:rsidR="00135748" w:rsidRPr="00374520">
              <w:rPr>
                <w:color w:val="000000"/>
              </w:rPr>
              <w:t>The 95% CI were computed by the exact binomial method based on F-distribution.</w:t>
            </w:r>
            <w:r>
              <w:t>.</w:t>
            </w:r>
          </w:p>
          <w:p w14:paraId="42059A9F" w14:textId="7E533B7F" w:rsidR="00135748" w:rsidRPr="00384EEC" w:rsidRDefault="00135748" w:rsidP="00384EEC">
            <w:pPr>
              <w:pStyle w:val="afffb"/>
              <w:ind w:firstLineChars="0" w:firstLine="0"/>
              <w:rPr>
                <w:rFonts w:hint="eastAsia"/>
              </w:rPr>
            </w:pPr>
            <w:r>
              <w:rPr>
                <w:rFonts w:hint="eastAsia"/>
              </w:rPr>
              <w:t>Resection</w:t>
            </w:r>
            <w:r>
              <w:t xml:space="preserve"> </w:t>
            </w:r>
            <w:r>
              <w:rPr>
                <w:rFonts w:hint="eastAsia"/>
              </w:rPr>
              <w:t>rate</w:t>
            </w:r>
            <w:r>
              <w:t xml:space="preserve"> </w:t>
            </w:r>
            <w:r>
              <w:rPr>
                <w:rFonts w:hint="eastAsia"/>
              </w:rPr>
              <w:t>o</w:t>
            </w:r>
            <w:r>
              <w:t xml:space="preserve">f liver metastasis are compared between group using </w:t>
            </w:r>
            <w:r w:rsidRPr="00374520">
              <w:rPr>
                <w:color w:val="000000"/>
              </w:rPr>
              <w:t>chi-square test or Fisher’s exact test</w:t>
            </w:r>
            <w:r>
              <w:rPr>
                <w:color w:val="000000"/>
              </w:rPr>
              <w:t xml:space="preserve">. </w:t>
            </w:r>
            <w:r w:rsidRPr="00374520">
              <w:rPr>
                <w:color w:val="000000"/>
              </w:rPr>
              <w:t>The 95% CI was computed using the exact binomial method based on F-distribution.</w:t>
            </w:r>
          </w:p>
          <w:p w14:paraId="44321949" w14:textId="41FACBBC" w:rsidR="00D45C54" w:rsidRDefault="00357CF5" w:rsidP="00357CF5">
            <w:pPr>
              <w:pStyle w:val="afffb"/>
              <w:ind w:firstLineChars="0" w:firstLine="0"/>
            </w:pPr>
            <w:r>
              <w:t xml:space="preserve">EQ-5D </w:t>
            </w:r>
            <w:r w:rsidR="00F23690">
              <w:t>qualiy of life</w:t>
            </w:r>
            <w:r>
              <w:t xml:space="preserve"> description </w:t>
            </w:r>
            <w:r w:rsidR="00F23690" w:rsidRPr="00F94C48">
              <w:rPr>
                <w:color w:val="212121"/>
                <w:szCs w:val="24"/>
                <w:shd w:val="clear" w:color="auto" w:fill="FFFFFF"/>
              </w:rPr>
              <w:t>questionnaire</w:t>
            </w:r>
            <w:r>
              <w:t xml:space="preserve">: the number and percentage of subjects with different levels of each dimension in the two groups </w:t>
            </w:r>
            <w:r w:rsidR="00065848">
              <w:t>are</w:t>
            </w:r>
            <w:r>
              <w:t xml:space="preserve"> calculated, and Wilcoxon rank sum test </w:t>
            </w:r>
            <w:r w:rsidR="00065848">
              <w:t>i</w:t>
            </w:r>
            <w:r>
              <w:t xml:space="preserve">s used for comparison between groups. EORTC QLQ-C30: The standardized scores of each dimension or item </w:t>
            </w:r>
            <w:r w:rsidR="00065848">
              <w:t>are</w:t>
            </w:r>
            <w:r>
              <w:t xml:space="preserve"> calculated, and the mean, standard deviation, median, minimum and maximum values </w:t>
            </w:r>
            <w:r w:rsidR="00065848">
              <w:t>are</w:t>
            </w:r>
            <w:r>
              <w:t xml:space="preserve"> used for descri</w:t>
            </w:r>
            <w:r w:rsidR="00065848">
              <w:t>ption. Wilcoxon rank sum test i</w:t>
            </w:r>
            <w:r>
              <w:t>s used for comparison between groups.</w:t>
            </w:r>
          </w:p>
          <w:p w14:paraId="5100DD2F" w14:textId="40F2DD19" w:rsidR="00D45C54" w:rsidRPr="00F94C48" w:rsidRDefault="003E0392" w:rsidP="00384EEC">
            <w:pPr>
              <w:pStyle w:val="P68B1DB1-15621"/>
              <w:numPr>
                <w:ilvl w:val="0"/>
                <w:numId w:val="0"/>
              </w:numPr>
              <w:spacing w:beforeLines="25" w:before="60" w:line="400" w:lineRule="exact"/>
              <w:ind w:left="420" w:hanging="420"/>
              <w:rPr>
                <w:rFonts w:hint="default"/>
              </w:rPr>
            </w:pPr>
            <w:r w:rsidRPr="00F94C48">
              <w:rPr>
                <w:rFonts w:hint="default"/>
              </w:rPr>
              <w:t>Safety analysis</w:t>
            </w:r>
            <w:r w:rsidR="00F057BC" w:rsidRPr="00F94C48">
              <w:rPr>
                <w:rFonts w:hint="default"/>
              </w:rPr>
              <w:t>:</w:t>
            </w:r>
          </w:p>
          <w:p w14:paraId="1530471C" w14:textId="729D67D6" w:rsidR="00D45C54" w:rsidRDefault="00A7204D" w:rsidP="00384EEC">
            <w:pPr>
              <w:pStyle w:val="afffb"/>
              <w:ind w:firstLineChars="0" w:firstLine="0"/>
            </w:pPr>
            <w:r w:rsidRPr="00A7204D">
              <w:t xml:space="preserve">Descriptive statistical analysis </w:t>
            </w:r>
            <w:r w:rsidR="00B754B7">
              <w:t>i</w:t>
            </w:r>
            <w:r w:rsidRPr="00A7204D">
              <w:t xml:space="preserve">s used to describe the AE in the two groups, and Fisher's exact test </w:t>
            </w:r>
            <w:r w:rsidR="00B754B7">
              <w:t>i</w:t>
            </w:r>
            <w:r w:rsidRPr="00A7204D">
              <w:t xml:space="preserve">s used to compare the incidence of AE in each group when necessary. For laboratory test results, physical examination, electrocardiogram and other examination results, the mean value, standard deviation, maximum value, minimum value, and median </w:t>
            </w:r>
            <w:r w:rsidR="00B754B7">
              <w:t>are</w:t>
            </w:r>
            <w:r w:rsidRPr="00A7204D">
              <w:t xml:space="preserve"> used to describe the measured values and changes before and after treatment in the two groups. Lists describe occurrences of normal before treatment but abnormal after treatment, as well as subjects who </w:t>
            </w:r>
            <w:r w:rsidR="00B754B7">
              <w:t>are</w:t>
            </w:r>
            <w:r w:rsidRPr="00A7204D">
              <w:t xml:space="preserve"> abnormal before treatment but worsen after treatment. The proportion of participants with abnormal changes that </w:t>
            </w:r>
            <w:r w:rsidR="00B754B7">
              <w:t>a</w:t>
            </w:r>
            <w:r w:rsidRPr="00A7204D">
              <w:t xml:space="preserve"> "abnormal and clinically significant" was described, with the clinical significance of the abnormality determined by the investigator.</w:t>
            </w:r>
            <w:r w:rsidR="003E0392">
              <w:rPr>
                <w:rFonts w:hint="eastAsia"/>
              </w:rPr>
              <w:t xml:space="preserve"> </w:t>
            </w:r>
            <w:r w:rsidR="003E0392">
              <w:t xml:space="preserve"> </w:t>
            </w:r>
          </w:p>
        </w:tc>
      </w:tr>
      <w:tr w:rsidR="00D45C54" w14:paraId="2482D526" w14:textId="77777777">
        <w:trPr>
          <w:trHeight w:val="541"/>
          <w:jc w:val="center"/>
        </w:trPr>
        <w:tc>
          <w:tcPr>
            <w:tcW w:w="1560" w:type="dxa"/>
            <w:vAlign w:val="center"/>
          </w:tcPr>
          <w:p w14:paraId="33D5D3C0" w14:textId="77777777" w:rsidR="00D45C54" w:rsidRDefault="003E0392">
            <w:pPr>
              <w:pStyle w:val="P68B1DB1-119"/>
              <w:suppressAutoHyphens w:val="0"/>
              <w:topLinePunct w:val="0"/>
              <w:spacing w:line="240" w:lineRule="auto"/>
              <w:rPr>
                <w:rFonts w:hint="default"/>
              </w:rPr>
            </w:pPr>
            <w:r>
              <w:lastRenderedPageBreak/>
              <w:t xml:space="preserve">Estimated Progress </w:t>
            </w:r>
          </w:p>
        </w:tc>
        <w:tc>
          <w:tcPr>
            <w:tcW w:w="7761" w:type="dxa"/>
            <w:vAlign w:val="center"/>
          </w:tcPr>
          <w:p w14:paraId="2D294D2F" w14:textId="339AE58F" w:rsidR="00D45C54" w:rsidRDefault="004210CF">
            <w:pPr>
              <w:pStyle w:val="afffb"/>
              <w:ind w:firstLineChars="0" w:firstLine="0"/>
            </w:pPr>
            <w:r>
              <w:t xml:space="preserve">May </w:t>
            </w:r>
            <w:r w:rsidR="003E0392">
              <w:rPr>
                <w:rFonts w:hint="eastAsia"/>
              </w:rPr>
              <w:t>202</w:t>
            </w:r>
            <w:r w:rsidR="00740F62">
              <w:t>1</w:t>
            </w:r>
            <w:r w:rsidR="003E0392">
              <w:rPr>
                <w:rFonts w:hint="eastAsia"/>
              </w:rPr>
              <w:t xml:space="preserve"> to </w:t>
            </w:r>
            <w:r w:rsidR="00740F62" w:rsidRPr="00740F62">
              <w:t>December</w:t>
            </w:r>
            <w:r>
              <w:rPr>
                <w:rFonts w:hint="eastAsia"/>
              </w:rPr>
              <w:t xml:space="preserve"> </w:t>
            </w:r>
            <w:r w:rsidR="003E0392">
              <w:rPr>
                <w:rFonts w:hint="eastAsia"/>
              </w:rPr>
              <w:t>202</w:t>
            </w:r>
            <w:r>
              <w:t>3</w:t>
            </w:r>
            <w:r w:rsidR="003E0392">
              <w:rPr>
                <w:rFonts w:hint="eastAsia"/>
              </w:rPr>
              <w:t xml:space="preserve"> </w:t>
            </w:r>
          </w:p>
        </w:tc>
      </w:tr>
    </w:tbl>
    <w:p w14:paraId="4A37DACF" w14:textId="77777777" w:rsidR="00D45C54" w:rsidRDefault="00D45C54">
      <w:pPr>
        <w:ind w:firstLine="480"/>
        <w:sectPr w:rsidR="00D45C54">
          <w:pgSz w:w="11906" w:h="16838"/>
          <w:pgMar w:top="1559" w:right="1418" w:bottom="1418" w:left="1418" w:header="851" w:footer="567" w:gutter="0"/>
          <w:pgNumType w:fmt="numberInDash"/>
          <w:cols w:space="720"/>
          <w:docGrid w:linePitch="326"/>
        </w:sectPr>
      </w:pPr>
    </w:p>
    <w:p w14:paraId="1179379A" w14:textId="32D0AD3C" w:rsidR="0025058B" w:rsidRDefault="003E0392" w:rsidP="00BA0EE8">
      <w:pPr>
        <w:pStyle w:val="P68B1DB1-215"/>
        <w:jc w:val="center"/>
        <w:rPr>
          <w:rFonts w:hint="default"/>
        </w:rPr>
      </w:pPr>
      <w:bookmarkStart w:id="8" w:name="_Toc35946247"/>
      <w:r w:rsidRPr="00044401">
        <w:rPr>
          <w:rFonts w:hint="default"/>
        </w:rPr>
        <w:lastRenderedPageBreak/>
        <w:t xml:space="preserve">Trial flow chart </w:t>
      </w:r>
      <w:bookmarkStart w:id="9" w:name="_Toc35946248"/>
      <w:bookmarkEnd w:id="8"/>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0"/>
        <w:gridCol w:w="786"/>
        <w:gridCol w:w="692"/>
        <w:gridCol w:w="820"/>
        <w:gridCol w:w="790"/>
        <w:gridCol w:w="910"/>
        <w:gridCol w:w="910"/>
        <w:gridCol w:w="790"/>
        <w:gridCol w:w="790"/>
        <w:gridCol w:w="910"/>
        <w:gridCol w:w="910"/>
        <w:gridCol w:w="1445"/>
        <w:gridCol w:w="1445"/>
        <w:gridCol w:w="911"/>
        <w:gridCol w:w="1100"/>
      </w:tblGrid>
      <w:tr w:rsidR="0025058B" w:rsidRPr="00E247FD" w14:paraId="11FCBEFD" w14:textId="77777777" w:rsidTr="00384EEC">
        <w:trPr>
          <w:trHeight w:val="329"/>
          <w:jc w:val="center"/>
        </w:trPr>
        <w:tc>
          <w:tcPr>
            <w:tcW w:w="1670" w:type="dxa"/>
            <w:vMerge w:val="restart"/>
          </w:tcPr>
          <w:p w14:paraId="51106585" w14:textId="77777777" w:rsidR="0025058B" w:rsidRPr="00384EEC" w:rsidRDefault="0025058B" w:rsidP="00E247FD">
            <w:pPr>
              <w:pStyle w:val="P68B1DB1-TableParagraph18"/>
              <w:spacing w:before="323"/>
              <w:ind w:left="10" w:right="3"/>
              <w:rPr>
                <w:rFonts w:ascii="Times New Roman" w:hAnsi="Times New Roman" w:cs="Times New Roman"/>
                <w:sz w:val="18"/>
                <w:szCs w:val="18"/>
              </w:rPr>
            </w:pPr>
            <w:r w:rsidRPr="00384EEC">
              <w:rPr>
                <w:rFonts w:ascii="Times New Roman" w:hAnsi="Times New Roman" w:cs="Times New Roman"/>
                <w:sz w:val="18"/>
                <w:szCs w:val="18"/>
              </w:rPr>
              <w:t xml:space="preserve">Item </w:t>
            </w:r>
          </w:p>
        </w:tc>
        <w:tc>
          <w:tcPr>
            <w:tcW w:w="1478" w:type="dxa"/>
            <w:gridSpan w:val="2"/>
            <w:vMerge w:val="restart"/>
          </w:tcPr>
          <w:p w14:paraId="7D137555" w14:textId="77777777" w:rsidR="0025058B" w:rsidRPr="00384EEC" w:rsidRDefault="0025058B" w:rsidP="00E247FD">
            <w:pPr>
              <w:pStyle w:val="P68B1DB1-TableParagraph6"/>
              <w:spacing w:before="168"/>
              <w:ind w:left="379"/>
              <w:jc w:val="left"/>
              <w:rPr>
                <w:rFonts w:ascii="Times New Roman" w:hAnsi="Times New Roman" w:cs="Times New Roman"/>
                <w:sz w:val="18"/>
                <w:szCs w:val="18"/>
              </w:rPr>
            </w:pPr>
            <w:r w:rsidRPr="00384EEC">
              <w:rPr>
                <w:rFonts w:ascii="Times New Roman" w:hAnsi="Times New Roman" w:cs="Times New Roman"/>
                <w:sz w:val="18"/>
                <w:szCs w:val="18"/>
              </w:rPr>
              <w:t xml:space="preserve">Screening Period </w:t>
            </w:r>
          </w:p>
        </w:tc>
        <w:tc>
          <w:tcPr>
            <w:tcW w:w="10631" w:type="dxa"/>
            <w:gridSpan w:val="11"/>
          </w:tcPr>
          <w:p w14:paraId="6E892BCC" w14:textId="77777777" w:rsidR="0025058B" w:rsidRPr="00384EEC" w:rsidRDefault="0025058B" w:rsidP="00E247FD">
            <w:pPr>
              <w:pStyle w:val="P68B1DB1-TableParagraph6"/>
              <w:spacing w:line="310" w:lineRule="exact"/>
              <w:ind w:left="7"/>
              <w:rPr>
                <w:rFonts w:ascii="Times New Roman" w:hAnsi="Times New Roman" w:cs="Times New Roman"/>
                <w:sz w:val="18"/>
                <w:szCs w:val="18"/>
              </w:rPr>
            </w:pPr>
            <w:r w:rsidRPr="00384EEC">
              <w:rPr>
                <w:rFonts w:ascii="Times New Roman" w:hAnsi="Times New Roman" w:cs="Times New Roman"/>
                <w:sz w:val="18"/>
                <w:szCs w:val="18"/>
              </w:rPr>
              <w:t xml:space="preserve">Treatment period </w:t>
            </w:r>
          </w:p>
        </w:tc>
        <w:tc>
          <w:tcPr>
            <w:tcW w:w="1100" w:type="dxa"/>
            <w:vMerge w:val="restart"/>
          </w:tcPr>
          <w:p w14:paraId="1F621CEF" w14:textId="77777777" w:rsidR="0025058B" w:rsidRPr="00384EEC" w:rsidRDefault="0025058B" w:rsidP="00E247FD">
            <w:pPr>
              <w:pStyle w:val="P68B1DB1-TableParagraph6"/>
              <w:spacing w:before="168"/>
              <w:ind w:left="188"/>
              <w:jc w:val="left"/>
              <w:rPr>
                <w:rFonts w:ascii="Times New Roman" w:hAnsi="Times New Roman" w:cs="Times New Roman"/>
                <w:sz w:val="18"/>
                <w:szCs w:val="18"/>
              </w:rPr>
            </w:pPr>
            <w:r w:rsidRPr="00384EEC">
              <w:rPr>
                <w:rFonts w:ascii="Times New Roman" w:hAnsi="Times New Roman" w:cs="Times New Roman"/>
                <w:sz w:val="18"/>
                <w:szCs w:val="18"/>
              </w:rPr>
              <w:t xml:space="preserve">Follow-up Period </w:t>
            </w:r>
          </w:p>
        </w:tc>
      </w:tr>
      <w:tr w:rsidR="0025058B" w:rsidRPr="00E247FD" w14:paraId="6C240F99" w14:textId="77777777" w:rsidTr="00384EEC">
        <w:trPr>
          <w:trHeight w:val="330"/>
          <w:jc w:val="center"/>
        </w:trPr>
        <w:tc>
          <w:tcPr>
            <w:tcW w:w="1670" w:type="dxa"/>
            <w:vMerge/>
            <w:tcBorders>
              <w:top w:val="nil"/>
            </w:tcBorders>
          </w:tcPr>
          <w:p w14:paraId="2837B24C" w14:textId="77777777" w:rsidR="0025058B" w:rsidRPr="00384EEC" w:rsidRDefault="0025058B" w:rsidP="00E247FD">
            <w:pPr>
              <w:rPr>
                <w:rFonts w:cs="Times New Roman"/>
                <w:sz w:val="18"/>
                <w:szCs w:val="18"/>
              </w:rPr>
            </w:pPr>
          </w:p>
        </w:tc>
        <w:tc>
          <w:tcPr>
            <w:tcW w:w="1478" w:type="dxa"/>
            <w:gridSpan w:val="2"/>
            <w:vMerge/>
            <w:tcBorders>
              <w:top w:val="nil"/>
            </w:tcBorders>
          </w:tcPr>
          <w:p w14:paraId="7BBFE4E6" w14:textId="77777777" w:rsidR="0025058B" w:rsidRPr="00384EEC" w:rsidRDefault="0025058B" w:rsidP="00E247FD">
            <w:pPr>
              <w:rPr>
                <w:rFonts w:cs="Times New Roman"/>
                <w:sz w:val="18"/>
                <w:szCs w:val="18"/>
              </w:rPr>
            </w:pPr>
          </w:p>
        </w:tc>
        <w:tc>
          <w:tcPr>
            <w:tcW w:w="3430" w:type="dxa"/>
            <w:gridSpan w:val="4"/>
          </w:tcPr>
          <w:p w14:paraId="0BBD3CDA" w14:textId="45BC42AF" w:rsidR="0025058B" w:rsidRPr="00384EEC" w:rsidRDefault="0025058B" w:rsidP="0025058B">
            <w:pPr>
              <w:pStyle w:val="P68B1DB1-TableParagraph6"/>
              <w:spacing w:line="308" w:lineRule="exact"/>
              <w:ind w:left="8"/>
              <w:rPr>
                <w:rFonts w:ascii="Times New Roman" w:hAnsi="Times New Roman" w:cs="Times New Roman"/>
                <w:sz w:val="18"/>
                <w:szCs w:val="18"/>
              </w:rPr>
            </w:pPr>
            <w:r w:rsidRPr="00384EEC">
              <w:rPr>
                <w:rFonts w:ascii="Times New Roman" w:hAnsi="Times New Roman" w:cs="Times New Roman"/>
                <w:sz w:val="18"/>
                <w:szCs w:val="18"/>
              </w:rPr>
              <w:t xml:space="preserve">Cycle </w:t>
            </w:r>
            <w:r w:rsidRPr="00384EEC">
              <w:rPr>
                <w:rFonts w:ascii="Times New Roman" w:eastAsia="Times New Roman" w:hAnsi="Times New Roman" w:cs="Times New Roman"/>
                <w:sz w:val="18"/>
                <w:szCs w:val="18"/>
              </w:rPr>
              <w:t>1</w:t>
            </w:r>
          </w:p>
        </w:tc>
        <w:tc>
          <w:tcPr>
            <w:tcW w:w="3400" w:type="dxa"/>
            <w:gridSpan w:val="4"/>
          </w:tcPr>
          <w:p w14:paraId="75D41CE2" w14:textId="25C48766" w:rsidR="0025058B" w:rsidRPr="00384EEC" w:rsidRDefault="0025058B" w:rsidP="0025058B">
            <w:pPr>
              <w:pStyle w:val="P68B1DB1-TableParagraph6"/>
              <w:spacing w:line="308" w:lineRule="exact"/>
              <w:ind w:left="8"/>
              <w:rPr>
                <w:rFonts w:ascii="Times New Roman" w:hAnsi="Times New Roman" w:cs="Times New Roman"/>
                <w:sz w:val="18"/>
                <w:szCs w:val="18"/>
              </w:rPr>
            </w:pPr>
            <w:r w:rsidRPr="00384EEC">
              <w:rPr>
                <w:rFonts w:ascii="Times New Roman" w:hAnsi="Times New Roman" w:cs="Times New Roman"/>
                <w:sz w:val="18"/>
                <w:szCs w:val="18"/>
              </w:rPr>
              <w:t xml:space="preserve">Cycle </w:t>
            </w:r>
            <w:r w:rsidRPr="00384EEC">
              <w:rPr>
                <w:rFonts w:ascii="Times New Roman" w:eastAsia="Times New Roman" w:hAnsi="Times New Roman" w:cs="Times New Roman"/>
                <w:sz w:val="18"/>
                <w:szCs w:val="18"/>
              </w:rPr>
              <w:t>2</w:t>
            </w:r>
          </w:p>
        </w:tc>
        <w:tc>
          <w:tcPr>
            <w:tcW w:w="1445" w:type="dxa"/>
          </w:tcPr>
          <w:p w14:paraId="6564F1F3" w14:textId="77777777" w:rsidR="0025058B" w:rsidRPr="00384EEC" w:rsidRDefault="0025058B" w:rsidP="00E247FD">
            <w:pPr>
              <w:pStyle w:val="P68B1DB1-TableParagraph6"/>
              <w:spacing w:line="310" w:lineRule="exact"/>
              <w:ind w:left="11" w:right="5"/>
              <w:rPr>
                <w:rFonts w:ascii="Times New Roman" w:hAnsi="Times New Roman" w:cs="Times New Roman"/>
                <w:sz w:val="18"/>
                <w:szCs w:val="18"/>
              </w:rPr>
            </w:pPr>
            <w:r w:rsidRPr="00384EEC">
              <w:rPr>
                <w:rFonts w:ascii="Times New Roman" w:hAnsi="Times New Roman" w:cs="Times New Roman"/>
                <w:sz w:val="18"/>
                <w:szCs w:val="18"/>
              </w:rPr>
              <w:t xml:space="preserve">Odd Cycle </w:t>
            </w:r>
          </w:p>
        </w:tc>
        <w:tc>
          <w:tcPr>
            <w:tcW w:w="1445" w:type="dxa"/>
          </w:tcPr>
          <w:p w14:paraId="6CA2EE30" w14:textId="77777777" w:rsidR="0025058B" w:rsidRPr="00384EEC" w:rsidRDefault="0025058B" w:rsidP="00E247FD">
            <w:pPr>
              <w:pStyle w:val="P68B1DB1-TableParagraph6"/>
              <w:spacing w:line="310" w:lineRule="exact"/>
              <w:ind w:left="11" w:right="5"/>
              <w:rPr>
                <w:rFonts w:ascii="Times New Roman" w:hAnsi="Times New Roman" w:cs="Times New Roman"/>
                <w:sz w:val="18"/>
                <w:szCs w:val="18"/>
              </w:rPr>
            </w:pPr>
            <w:r w:rsidRPr="00384EEC">
              <w:rPr>
                <w:rFonts w:ascii="Times New Roman" w:hAnsi="Times New Roman" w:cs="Times New Roman"/>
                <w:sz w:val="18"/>
                <w:szCs w:val="18"/>
              </w:rPr>
              <w:t xml:space="preserve">Even Cycles </w:t>
            </w:r>
          </w:p>
        </w:tc>
        <w:tc>
          <w:tcPr>
            <w:tcW w:w="911" w:type="dxa"/>
          </w:tcPr>
          <w:p w14:paraId="41988B64" w14:textId="77777777" w:rsidR="0025058B" w:rsidRPr="00384EEC" w:rsidRDefault="0025058B" w:rsidP="00E247FD">
            <w:pPr>
              <w:pStyle w:val="P68B1DB1-TableParagraph7"/>
              <w:spacing w:before="26"/>
              <w:ind w:left="13"/>
              <w:rPr>
                <w:rFonts w:hAnsi="Times New Roman" w:cs="Times New Roman"/>
                <w:sz w:val="18"/>
                <w:szCs w:val="18"/>
              </w:rPr>
            </w:pPr>
            <w:r w:rsidRPr="00384EEC">
              <w:rPr>
                <w:rFonts w:hAnsi="Times New Roman" w:cs="Times New Roman"/>
                <w:sz w:val="18"/>
                <w:szCs w:val="18"/>
              </w:rPr>
              <w:t xml:space="preserve">EOT </w:t>
            </w:r>
          </w:p>
        </w:tc>
        <w:tc>
          <w:tcPr>
            <w:tcW w:w="1100" w:type="dxa"/>
            <w:vMerge/>
            <w:tcBorders>
              <w:top w:val="nil"/>
            </w:tcBorders>
          </w:tcPr>
          <w:p w14:paraId="14286129" w14:textId="77777777" w:rsidR="0025058B" w:rsidRPr="00384EEC" w:rsidRDefault="0025058B" w:rsidP="00E247FD">
            <w:pPr>
              <w:rPr>
                <w:rFonts w:cs="Times New Roman"/>
                <w:sz w:val="18"/>
                <w:szCs w:val="18"/>
              </w:rPr>
            </w:pPr>
          </w:p>
        </w:tc>
      </w:tr>
      <w:tr w:rsidR="0025058B" w:rsidRPr="00E247FD" w14:paraId="40B31C70" w14:textId="77777777" w:rsidTr="00384EEC">
        <w:trPr>
          <w:trHeight w:val="330"/>
          <w:jc w:val="center"/>
        </w:trPr>
        <w:tc>
          <w:tcPr>
            <w:tcW w:w="1670" w:type="dxa"/>
            <w:vMerge/>
            <w:tcBorders>
              <w:top w:val="nil"/>
            </w:tcBorders>
          </w:tcPr>
          <w:p w14:paraId="3E775924" w14:textId="77777777" w:rsidR="0025058B" w:rsidRPr="00384EEC" w:rsidRDefault="0025058B" w:rsidP="00E247FD">
            <w:pPr>
              <w:rPr>
                <w:rFonts w:cs="Times New Roman"/>
                <w:sz w:val="18"/>
                <w:szCs w:val="18"/>
              </w:rPr>
            </w:pPr>
          </w:p>
        </w:tc>
        <w:tc>
          <w:tcPr>
            <w:tcW w:w="786" w:type="dxa"/>
          </w:tcPr>
          <w:p w14:paraId="03A39DF6" w14:textId="5BA04BEE" w:rsidR="0025058B" w:rsidRPr="00384EEC" w:rsidRDefault="0025058B" w:rsidP="0025058B">
            <w:pPr>
              <w:pStyle w:val="P68B1DB1-TableParagraph7"/>
              <w:spacing w:before="26"/>
              <w:ind w:left="10"/>
              <w:rPr>
                <w:rFonts w:hAnsi="Times New Roman" w:cs="Times New Roman"/>
                <w:sz w:val="18"/>
                <w:szCs w:val="18"/>
              </w:rPr>
            </w:pPr>
            <w:r w:rsidRPr="00384EEC">
              <w:rPr>
                <w:rFonts w:hAnsi="Times New Roman" w:cs="Times New Roman"/>
                <w:sz w:val="18"/>
                <w:szCs w:val="18"/>
              </w:rPr>
              <w:t xml:space="preserve">-14~0 </w:t>
            </w:r>
          </w:p>
        </w:tc>
        <w:tc>
          <w:tcPr>
            <w:tcW w:w="692" w:type="dxa"/>
          </w:tcPr>
          <w:p w14:paraId="36EF9EB7" w14:textId="6088F326" w:rsidR="0025058B" w:rsidRPr="00384EEC" w:rsidRDefault="0025058B" w:rsidP="0025058B">
            <w:pPr>
              <w:pStyle w:val="P68B1DB1-TableParagraph7"/>
              <w:spacing w:before="26"/>
              <w:ind w:left="10"/>
              <w:rPr>
                <w:rFonts w:hAnsi="Times New Roman" w:cs="Times New Roman"/>
                <w:sz w:val="18"/>
                <w:szCs w:val="18"/>
              </w:rPr>
            </w:pPr>
            <w:r w:rsidRPr="00384EEC">
              <w:rPr>
                <w:rFonts w:hAnsi="Times New Roman" w:cs="Times New Roman"/>
                <w:sz w:val="18"/>
                <w:szCs w:val="18"/>
              </w:rPr>
              <w:t xml:space="preserve">-7~0 </w:t>
            </w:r>
          </w:p>
        </w:tc>
        <w:tc>
          <w:tcPr>
            <w:tcW w:w="820" w:type="dxa"/>
          </w:tcPr>
          <w:p w14:paraId="21A89CBD" w14:textId="77777777" w:rsidR="0025058B" w:rsidRPr="00384EEC" w:rsidRDefault="0025058B" w:rsidP="00E247FD">
            <w:pPr>
              <w:pStyle w:val="P68B1DB1-TableParagraph7"/>
              <w:spacing w:before="26"/>
              <w:ind w:left="9"/>
              <w:rPr>
                <w:rFonts w:hAnsi="Times New Roman" w:cs="Times New Roman"/>
                <w:sz w:val="18"/>
                <w:szCs w:val="18"/>
              </w:rPr>
            </w:pPr>
            <w:r w:rsidRPr="00384EEC">
              <w:rPr>
                <w:rFonts w:hAnsi="Times New Roman" w:cs="Times New Roman"/>
                <w:sz w:val="18"/>
                <w:szCs w:val="18"/>
              </w:rPr>
              <w:t xml:space="preserve">C1D1 </w:t>
            </w:r>
          </w:p>
        </w:tc>
        <w:tc>
          <w:tcPr>
            <w:tcW w:w="790" w:type="dxa"/>
          </w:tcPr>
          <w:p w14:paraId="5C91B25C" w14:textId="77777777" w:rsidR="0025058B" w:rsidRPr="00384EEC" w:rsidRDefault="0025058B" w:rsidP="00E247FD">
            <w:pPr>
              <w:pStyle w:val="P68B1DB1-TableParagraph7"/>
              <w:spacing w:before="26"/>
              <w:ind w:left="10" w:right="3"/>
              <w:rPr>
                <w:rFonts w:hAnsi="Times New Roman" w:cs="Times New Roman"/>
                <w:sz w:val="18"/>
                <w:szCs w:val="18"/>
              </w:rPr>
            </w:pPr>
            <w:r w:rsidRPr="00384EEC">
              <w:rPr>
                <w:rFonts w:hAnsi="Times New Roman" w:cs="Times New Roman"/>
                <w:sz w:val="18"/>
                <w:szCs w:val="18"/>
              </w:rPr>
              <w:t xml:space="preserve">C1D8 </w:t>
            </w:r>
          </w:p>
        </w:tc>
        <w:tc>
          <w:tcPr>
            <w:tcW w:w="910" w:type="dxa"/>
          </w:tcPr>
          <w:p w14:paraId="5C7459FF" w14:textId="77777777" w:rsidR="0025058B" w:rsidRPr="00384EEC" w:rsidRDefault="0025058B" w:rsidP="00E247FD">
            <w:pPr>
              <w:pStyle w:val="P68B1DB1-TableParagraph7"/>
              <w:spacing w:before="26"/>
              <w:ind w:left="10" w:right="4"/>
              <w:rPr>
                <w:rFonts w:hAnsi="Times New Roman" w:cs="Times New Roman"/>
                <w:sz w:val="18"/>
                <w:szCs w:val="18"/>
              </w:rPr>
            </w:pPr>
            <w:r w:rsidRPr="00384EEC">
              <w:rPr>
                <w:rFonts w:hAnsi="Times New Roman" w:cs="Times New Roman"/>
                <w:sz w:val="18"/>
                <w:szCs w:val="18"/>
              </w:rPr>
              <w:t xml:space="preserve">C1D15 </w:t>
            </w:r>
          </w:p>
        </w:tc>
        <w:tc>
          <w:tcPr>
            <w:tcW w:w="910" w:type="dxa"/>
          </w:tcPr>
          <w:p w14:paraId="76AD7F06" w14:textId="77777777" w:rsidR="0025058B" w:rsidRPr="00384EEC" w:rsidRDefault="0025058B" w:rsidP="00E247FD">
            <w:pPr>
              <w:pStyle w:val="P68B1DB1-TableParagraph7"/>
              <w:spacing w:before="26"/>
              <w:ind w:left="10"/>
              <w:rPr>
                <w:rFonts w:hAnsi="Times New Roman" w:cs="Times New Roman"/>
                <w:sz w:val="18"/>
                <w:szCs w:val="18"/>
              </w:rPr>
            </w:pPr>
            <w:r w:rsidRPr="00384EEC">
              <w:rPr>
                <w:rFonts w:hAnsi="Times New Roman" w:cs="Times New Roman"/>
                <w:sz w:val="18"/>
                <w:szCs w:val="18"/>
              </w:rPr>
              <w:t xml:space="preserve">C1D21 </w:t>
            </w:r>
          </w:p>
        </w:tc>
        <w:tc>
          <w:tcPr>
            <w:tcW w:w="790" w:type="dxa"/>
          </w:tcPr>
          <w:p w14:paraId="78EEFEE4" w14:textId="77777777" w:rsidR="0025058B" w:rsidRPr="00384EEC" w:rsidRDefault="0025058B" w:rsidP="00E247FD">
            <w:pPr>
              <w:pStyle w:val="P68B1DB1-TableParagraph7"/>
              <w:spacing w:before="26"/>
              <w:ind w:left="10" w:right="1"/>
              <w:rPr>
                <w:rFonts w:hAnsi="Times New Roman" w:cs="Times New Roman"/>
                <w:sz w:val="18"/>
                <w:szCs w:val="18"/>
              </w:rPr>
            </w:pPr>
            <w:r w:rsidRPr="00384EEC">
              <w:rPr>
                <w:rFonts w:hAnsi="Times New Roman" w:cs="Times New Roman"/>
                <w:sz w:val="18"/>
                <w:szCs w:val="18"/>
              </w:rPr>
              <w:t xml:space="preserve">C2D1 </w:t>
            </w:r>
          </w:p>
        </w:tc>
        <w:tc>
          <w:tcPr>
            <w:tcW w:w="790" w:type="dxa"/>
          </w:tcPr>
          <w:p w14:paraId="03B55875" w14:textId="77777777" w:rsidR="0025058B" w:rsidRPr="00384EEC" w:rsidRDefault="0025058B" w:rsidP="00E247FD">
            <w:pPr>
              <w:pStyle w:val="P68B1DB1-TableParagraph7"/>
              <w:spacing w:before="26"/>
              <w:ind w:left="10" w:right="2"/>
              <w:rPr>
                <w:rFonts w:hAnsi="Times New Roman" w:cs="Times New Roman"/>
                <w:sz w:val="18"/>
                <w:szCs w:val="18"/>
              </w:rPr>
            </w:pPr>
            <w:r w:rsidRPr="00384EEC">
              <w:rPr>
                <w:rFonts w:hAnsi="Times New Roman" w:cs="Times New Roman"/>
                <w:sz w:val="18"/>
                <w:szCs w:val="18"/>
              </w:rPr>
              <w:t xml:space="preserve">C2D8 </w:t>
            </w:r>
          </w:p>
        </w:tc>
        <w:tc>
          <w:tcPr>
            <w:tcW w:w="910" w:type="dxa"/>
          </w:tcPr>
          <w:p w14:paraId="5F0F3C12" w14:textId="77777777" w:rsidR="0025058B" w:rsidRPr="00384EEC" w:rsidRDefault="0025058B" w:rsidP="00E247FD">
            <w:pPr>
              <w:pStyle w:val="P68B1DB1-TableParagraph7"/>
              <w:spacing w:before="26"/>
              <w:ind w:left="10" w:right="2"/>
              <w:rPr>
                <w:rFonts w:hAnsi="Times New Roman" w:cs="Times New Roman"/>
                <w:sz w:val="18"/>
                <w:szCs w:val="18"/>
              </w:rPr>
            </w:pPr>
            <w:r w:rsidRPr="00384EEC">
              <w:rPr>
                <w:rFonts w:hAnsi="Times New Roman" w:cs="Times New Roman"/>
                <w:sz w:val="18"/>
                <w:szCs w:val="18"/>
              </w:rPr>
              <w:t xml:space="preserve">C2D15 </w:t>
            </w:r>
          </w:p>
        </w:tc>
        <w:tc>
          <w:tcPr>
            <w:tcW w:w="910" w:type="dxa"/>
          </w:tcPr>
          <w:p w14:paraId="668067E3" w14:textId="77777777" w:rsidR="0025058B" w:rsidRPr="00384EEC" w:rsidRDefault="0025058B" w:rsidP="00E247FD">
            <w:pPr>
              <w:pStyle w:val="P68B1DB1-TableParagraph7"/>
              <w:spacing w:before="26"/>
              <w:ind w:left="10" w:right="3"/>
              <w:rPr>
                <w:rFonts w:hAnsi="Times New Roman" w:cs="Times New Roman"/>
                <w:sz w:val="18"/>
                <w:szCs w:val="18"/>
              </w:rPr>
            </w:pPr>
            <w:r w:rsidRPr="00384EEC">
              <w:rPr>
                <w:rFonts w:hAnsi="Times New Roman" w:cs="Times New Roman"/>
                <w:sz w:val="18"/>
                <w:szCs w:val="18"/>
              </w:rPr>
              <w:t xml:space="preserve">C2D21 </w:t>
            </w:r>
          </w:p>
        </w:tc>
        <w:tc>
          <w:tcPr>
            <w:tcW w:w="1445" w:type="dxa"/>
          </w:tcPr>
          <w:p w14:paraId="671E5823" w14:textId="77777777" w:rsidR="0025058B" w:rsidRPr="00384EEC" w:rsidRDefault="0025058B" w:rsidP="00E247FD">
            <w:pPr>
              <w:pStyle w:val="P68B1DB1-TableParagraph7"/>
              <w:spacing w:before="26"/>
              <w:ind w:left="11"/>
              <w:rPr>
                <w:rFonts w:hAnsi="Times New Roman" w:cs="Times New Roman"/>
                <w:sz w:val="18"/>
                <w:szCs w:val="18"/>
              </w:rPr>
            </w:pPr>
            <w:r w:rsidRPr="00384EEC">
              <w:rPr>
                <w:rFonts w:hAnsi="Times New Roman" w:cs="Times New Roman"/>
                <w:sz w:val="18"/>
                <w:szCs w:val="18"/>
              </w:rPr>
              <w:t xml:space="preserve">C (2n + 1) D21 </w:t>
            </w:r>
          </w:p>
        </w:tc>
        <w:tc>
          <w:tcPr>
            <w:tcW w:w="1445" w:type="dxa"/>
          </w:tcPr>
          <w:p w14:paraId="12282D68" w14:textId="77777777" w:rsidR="0025058B" w:rsidRPr="00384EEC" w:rsidRDefault="0025058B" w:rsidP="00E247FD">
            <w:pPr>
              <w:pStyle w:val="P68B1DB1-TableParagraph7"/>
              <w:spacing w:before="26"/>
              <w:ind w:left="11"/>
              <w:rPr>
                <w:rFonts w:hAnsi="Times New Roman" w:cs="Times New Roman"/>
                <w:sz w:val="18"/>
                <w:szCs w:val="18"/>
              </w:rPr>
            </w:pPr>
            <w:r w:rsidRPr="00384EEC">
              <w:rPr>
                <w:rFonts w:hAnsi="Times New Roman" w:cs="Times New Roman"/>
                <w:sz w:val="18"/>
                <w:szCs w:val="18"/>
              </w:rPr>
              <w:t xml:space="preserve">C (2n + 2) D21 </w:t>
            </w:r>
          </w:p>
        </w:tc>
        <w:tc>
          <w:tcPr>
            <w:tcW w:w="911" w:type="dxa"/>
          </w:tcPr>
          <w:p w14:paraId="2A629778" w14:textId="77777777" w:rsidR="0025058B" w:rsidRPr="00384EEC" w:rsidRDefault="0025058B" w:rsidP="00E247FD">
            <w:pPr>
              <w:pStyle w:val="TableParagraph"/>
              <w:rPr>
                <w:rFonts w:ascii="Times New Roman" w:hAnsi="Times New Roman" w:cs="Times New Roman"/>
                <w:sz w:val="18"/>
                <w:szCs w:val="18"/>
              </w:rPr>
            </w:pPr>
          </w:p>
        </w:tc>
        <w:tc>
          <w:tcPr>
            <w:tcW w:w="1100" w:type="dxa"/>
          </w:tcPr>
          <w:p w14:paraId="2359A246"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6585A806" w14:textId="77777777" w:rsidTr="00384EEC">
        <w:trPr>
          <w:trHeight w:val="330"/>
          <w:jc w:val="center"/>
        </w:trPr>
        <w:tc>
          <w:tcPr>
            <w:tcW w:w="1670" w:type="dxa"/>
          </w:tcPr>
          <w:p w14:paraId="3256D9B1" w14:textId="77777777" w:rsidR="0025058B" w:rsidRPr="00384EEC" w:rsidRDefault="0025058B" w:rsidP="00E247FD">
            <w:pPr>
              <w:pStyle w:val="P68B1DB1-TableParagraph18"/>
              <w:spacing w:line="310" w:lineRule="exact"/>
              <w:ind w:left="10"/>
              <w:rPr>
                <w:rFonts w:ascii="Times New Roman" w:hAnsi="Times New Roman" w:cs="Times New Roman"/>
                <w:sz w:val="18"/>
                <w:szCs w:val="18"/>
              </w:rPr>
            </w:pPr>
            <w:r w:rsidRPr="00384EEC">
              <w:rPr>
                <w:rFonts w:ascii="Times New Roman" w:hAnsi="Times New Roman" w:cs="Times New Roman"/>
                <w:sz w:val="18"/>
                <w:szCs w:val="18"/>
              </w:rPr>
              <w:t xml:space="preserve">Informed Consent </w:t>
            </w:r>
          </w:p>
        </w:tc>
        <w:tc>
          <w:tcPr>
            <w:tcW w:w="786" w:type="dxa"/>
          </w:tcPr>
          <w:p w14:paraId="48EA2F72" w14:textId="77777777" w:rsidR="0025058B" w:rsidRPr="00384EEC" w:rsidRDefault="0025058B" w:rsidP="00E247FD">
            <w:pPr>
              <w:pStyle w:val="P68B1DB1-TableParagraph19"/>
              <w:spacing w:before="27"/>
              <w:ind w:left="10" w:right="3"/>
              <w:rPr>
                <w:rFonts w:cs="Times New Roman"/>
                <w:sz w:val="18"/>
                <w:szCs w:val="18"/>
              </w:rPr>
            </w:pPr>
            <w:r w:rsidRPr="00384EEC">
              <w:rPr>
                <w:rFonts w:cs="Times New Roman"/>
                <w:sz w:val="18"/>
                <w:szCs w:val="18"/>
              </w:rPr>
              <w:t xml:space="preserve">× </w:t>
            </w:r>
          </w:p>
        </w:tc>
        <w:tc>
          <w:tcPr>
            <w:tcW w:w="692" w:type="dxa"/>
          </w:tcPr>
          <w:p w14:paraId="5B2B0194" w14:textId="77777777" w:rsidR="0025058B" w:rsidRPr="00384EEC" w:rsidRDefault="0025058B" w:rsidP="00E247FD">
            <w:pPr>
              <w:pStyle w:val="TableParagraph"/>
              <w:rPr>
                <w:rFonts w:ascii="Times New Roman" w:hAnsi="Times New Roman" w:cs="Times New Roman"/>
                <w:sz w:val="18"/>
                <w:szCs w:val="18"/>
              </w:rPr>
            </w:pPr>
          </w:p>
        </w:tc>
        <w:tc>
          <w:tcPr>
            <w:tcW w:w="820" w:type="dxa"/>
          </w:tcPr>
          <w:p w14:paraId="1BE86A74"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3E4895E5"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01AB3D0D"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2151BA72"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576A6D06"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28E56635"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038ECFBB"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18C3EF8F" w14:textId="77777777" w:rsidR="0025058B" w:rsidRPr="00384EEC" w:rsidRDefault="0025058B" w:rsidP="00E247FD">
            <w:pPr>
              <w:pStyle w:val="TableParagraph"/>
              <w:rPr>
                <w:rFonts w:ascii="Times New Roman" w:hAnsi="Times New Roman" w:cs="Times New Roman"/>
                <w:sz w:val="18"/>
                <w:szCs w:val="18"/>
              </w:rPr>
            </w:pPr>
          </w:p>
        </w:tc>
        <w:tc>
          <w:tcPr>
            <w:tcW w:w="1445" w:type="dxa"/>
          </w:tcPr>
          <w:p w14:paraId="2FCA0463" w14:textId="77777777" w:rsidR="0025058B" w:rsidRPr="00384EEC" w:rsidRDefault="0025058B" w:rsidP="00E247FD">
            <w:pPr>
              <w:pStyle w:val="TableParagraph"/>
              <w:rPr>
                <w:rFonts w:ascii="Times New Roman" w:hAnsi="Times New Roman" w:cs="Times New Roman"/>
                <w:sz w:val="18"/>
                <w:szCs w:val="18"/>
              </w:rPr>
            </w:pPr>
          </w:p>
        </w:tc>
        <w:tc>
          <w:tcPr>
            <w:tcW w:w="1445" w:type="dxa"/>
          </w:tcPr>
          <w:p w14:paraId="74170FB8" w14:textId="77777777" w:rsidR="0025058B" w:rsidRPr="00384EEC" w:rsidRDefault="0025058B" w:rsidP="00E247FD">
            <w:pPr>
              <w:pStyle w:val="TableParagraph"/>
              <w:rPr>
                <w:rFonts w:ascii="Times New Roman" w:hAnsi="Times New Roman" w:cs="Times New Roman"/>
                <w:sz w:val="18"/>
                <w:szCs w:val="18"/>
              </w:rPr>
            </w:pPr>
          </w:p>
        </w:tc>
        <w:tc>
          <w:tcPr>
            <w:tcW w:w="911" w:type="dxa"/>
          </w:tcPr>
          <w:p w14:paraId="33C30A2B" w14:textId="77777777" w:rsidR="0025058B" w:rsidRPr="00384EEC" w:rsidRDefault="0025058B" w:rsidP="00E247FD">
            <w:pPr>
              <w:pStyle w:val="TableParagraph"/>
              <w:rPr>
                <w:rFonts w:ascii="Times New Roman" w:hAnsi="Times New Roman" w:cs="Times New Roman"/>
                <w:sz w:val="18"/>
                <w:szCs w:val="18"/>
              </w:rPr>
            </w:pPr>
          </w:p>
        </w:tc>
        <w:tc>
          <w:tcPr>
            <w:tcW w:w="1100" w:type="dxa"/>
          </w:tcPr>
          <w:p w14:paraId="5C69E511"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3A87FD5C" w14:textId="77777777" w:rsidTr="00384EEC">
        <w:trPr>
          <w:trHeight w:val="752"/>
          <w:jc w:val="center"/>
        </w:trPr>
        <w:tc>
          <w:tcPr>
            <w:tcW w:w="1670" w:type="dxa"/>
          </w:tcPr>
          <w:p w14:paraId="538BC8C4" w14:textId="55A4A2D4" w:rsidR="0025058B" w:rsidRPr="00384EEC" w:rsidRDefault="0005340F" w:rsidP="00384EEC">
            <w:pPr>
              <w:pStyle w:val="P68B1DB1-TableParagraph18"/>
              <w:spacing w:before="53" w:line="218" w:lineRule="auto"/>
              <w:ind w:left="414" w:right="299" w:hanging="106"/>
              <w:rPr>
                <w:rFonts w:ascii="Times New Roman" w:hAnsi="Times New Roman" w:cs="Times New Roman"/>
                <w:sz w:val="18"/>
                <w:szCs w:val="18"/>
              </w:rPr>
            </w:pPr>
            <w:r>
              <w:rPr>
                <w:rFonts w:ascii="Times New Roman" w:hAnsi="Times New Roman" w:cs="Times New Roman"/>
                <w:sz w:val="18"/>
                <w:szCs w:val="18"/>
              </w:rPr>
              <w:t>Demographic</w:t>
            </w:r>
            <w:r w:rsidRPr="0005340F">
              <w:rPr>
                <w:rFonts w:ascii="Times New Roman" w:hAnsi="Times New Roman" w:cs="Times New Roman"/>
                <w:sz w:val="18"/>
                <w:szCs w:val="18"/>
              </w:rPr>
              <w:t>data</w:t>
            </w:r>
            <w:r>
              <w:rPr>
                <w:rFonts w:ascii="Times New Roman" w:hAnsi="Times New Roman" w:cs="Times New Roman"/>
                <w:sz w:val="18"/>
                <w:szCs w:val="18"/>
              </w:rPr>
              <w:t>/medica</w:t>
            </w:r>
            <w:r w:rsidR="0025058B" w:rsidRPr="00384EEC">
              <w:rPr>
                <w:rFonts w:ascii="Times New Roman" w:hAnsi="Times New Roman" w:cs="Times New Roman"/>
                <w:sz w:val="18"/>
                <w:szCs w:val="18"/>
              </w:rPr>
              <w:t>l history</w:t>
            </w:r>
          </w:p>
        </w:tc>
        <w:tc>
          <w:tcPr>
            <w:tcW w:w="786" w:type="dxa"/>
          </w:tcPr>
          <w:p w14:paraId="34A1F832" w14:textId="77777777" w:rsidR="0025058B" w:rsidRPr="00384EEC" w:rsidRDefault="0025058B" w:rsidP="00E247FD">
            <w:pPr>
              <w:pStyle w:val="P68B1DB1-TableParagraph19"/>
              <w:spacing w:before="237"/>
              <w:ind w:left="10" w:right="3"/>
              <w:rPr>
                <w:rFonts w:cs="Times New Roman"/>
                <w:sz w:val="18"/>
                <w:szCs w:val="18"/>
              </w:rPr>
            </w:pPr>
            <w:r w:rsidRPr="00384EEC">
              <w:rPr>
                <w:rFonts w:cs="Times New Roman"/>
                <w:sz w:val="18"/>
                <w:szCs w:val="18"/>
              </w:rPr>
              <w:t xml:space="preserve">× </w:t>
            </w:r>
          </w:p>
        </w:tc>
        <w:tc>
          <w:tcPr>
            <w:tcW w:w="692" w:type="dxa"/>
          </w:tcPr>
          <w:p w14:paraId="44BB6CB5" w14:textId="77777777" w:rsidR="0025058B" w:rsidRPr="00384EEC" w:rsidRDefault="0025058B" w:rsidP="00E247FD">
            <w:pPr>
              <w:pStyle w:val="TableParagraph"/>
              <w:rPr>
                <w:rFonts w:ascii="Times New Roman" w:hAnsi="Times New Roman" w:cs="Times New Roman"/>
                <w:sz w:val="18"/>
                <w:szCs w:val="18"/>
              </w:rPr>
            </w:pPr>
          </w:p>
        </w:tc>
        <w:tc>
          <w:tcPr>
            <w:tcW w:w="820" w:type="dxa"/>
          </w:tcPr>
          <w:p w14:paraId="65462DB9"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50550778"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690C6AB2"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1C662248"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153DE20D"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0215C18D"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17AEF3E0"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2DCE8DF4" w14:textId="77777777" w:rsidR="0025058B" w:rsidRPr="00384EEC" w:rsidRDefault="0025058B" w:rsidP="00E247FD">
            <w:pPr>
              <w:pStyle w:val="TableParagraph"/>
              <w:rPr>
                <w:rFonts w:ascii="Times New Roman" w:hAnsi="Times New Roman" w:cs="Times New Roman"/>
                <w:sz w:val="18"/>
                <w:szCs w:val="18"/>
              </w:rPr>
            </w:pPr>
          </w:p>
        </w:tc>
        <w:tc>
          <w:tcPr>
            <w:tcW w:w="1445" w:type="dxa"/>
          </w:tcPr>
          <w:p w14:paraId="68288F3F" w14:textId="77777777" w:rsidR="0025058B" w:rsidRPr="00384EEC" w:rsidRDefault="0025058B" w:rsidP="00E247FD">
            <w:pPr>
              <w:pStyle w:val="TableParagraph"/>
              <w:rPr>
                <w:rFonts w:ascii="Times New Roman" w:hAnsi="Times New Roman" w:cs="Times New Roman"/>
                <w:sz w:val="18"/>
                <w:szCs w:val="18"/>
              </w:rPr>
            </w:pPr>
          </w:p>
        </w:tc>
        <w:tc>
          <w:tcPr>
            <w:tcW w:w="1445" w:type="dxa"/>
          </w:tcPr>
          <w:p w14:paraId="770C5A45" w14:textId="77777777" w:rsidR="0025058B" w:rsidRPr="00384EEC" w:rsidRDefault="0025058B" w:rsidP="00E247FD">
            <w:pPr>
              <w:pStyle w:val="TableParagraph"/>
              <w:rPr>
                <w:rFonts w:ascii="Times New Roman" w:hAnsi="Times New Roman" w:cs="Times New Roman"/>
                <w:sz w:val="18"/>
                <w:szCs w:val="18"/>
              </w:rPr>
            </w:pPr>
          </w:p>
        </w:tc>
        <w:tc>
          <w:tcPr>
            <w:tcW w:w="911" w:type="dxa"/>
          </w:tcPr>
          <w:p w14:paraId="2FF008F8" w14:textId="77777777" w:rsidR="0025058B" w:rsidRPr="00384EEC" w:rsidRDefault="0025058B" w:rsidP="00E247FD">
            <w:pPr>
              <w:pStyle w:val="TableParagraph"/>
              <w:rPr>
                <w:rFonts w:ascii="Times New Roman" w:hAnsi="Times New Roman" w:cs="Times New Roman"/>
                <w:sz w:val="18"/>
                <w:szCs w:val="18"/>
              </w:rPr>
            </w:pPr>
          </w:p>
        </w:tc>
        <w:tc>
          <w:tcPr>
            <w:tcW w:w="1100" w:type="dxa"/>
          </w:tcPr>
          <w:p w14:paraId="2694EE55"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2D712AAF" w14:textId="77777777" w:rsidTr="00384EEC">
        <w:trPr>
          <w:trHeight w:val="330"/>
          <w:jc w:val="center"/>
        </w:trPr>
        <w:tc>
          <w:tcPr>
            <w:tcW w:w="1670" w:type="dxa"/>
          </w:tcPr>
          <w:p w14:paraId="0E0F7B08" w14:textId="77777777" w:rsidR="0025058B" w:rsidRPr="00384EEC" w:rsidRDefault="0025058B" w:rsidP="00E247FD">
            <w:pPr>
              <w:pStyle w:val="P68B1DB1-TableParagraph18"/>
              <w:spacing w:line="310" w:lineRule="exact"/>
              <w:ind w:left="10"/>
              <w:rPr>
                <w:rFonts w:ascii="Times New Roman" w:hAnsi="Times New Roman" w:cs="Times New Roman"/>
                <w:sz w:val="18"/>
                <w:szCs w:val="18"/>
              </w:rPr>
            </w:pPr>
            <w:r w:rsidRPr="00384EEC">
              <w:rPr>
                <w:rFonts w:ascii="Times New Roman" w:hAnsi="Times New Roman" w:cs="Times New Roman"/>
                <w:sz w:val="18"/>
                <w:szCs w:val="18"/>
              </w:rPr>
              <w:t xml:space="preserve">Physical examination </w:t>
            </w:r>
          </w:p>
        </w:tc>
        <w:tc>
          <w:tcPr>
            <w:tcW w:w="786" w:type="dxa"/>
          </w:tcPr>
          <w:p w14:paraId="02EF95C3" w14:textId="77777777" w:rsidR="0025058B" w:rsidRPr="00384EEC" w:rsidRDefault="0025058B" w:rsidP="00E247FD">
            <w:pPr>
              <w:pStyle w:val="TableParagraph"/>
              <w:rPr>
                <w:rFonts w:ascii="Times New Roman" w:hAnsi="Times New Roman" w:cs="Times New Roman"/>
                <w:sz w:val="18"/>
                <w:szCs w:val="18"/>
              </w:rPr>
            </w:pPr>
          </w:p>
        </w:tc>
        <w:tc>
          <w:tcPr>
            <w:tcW w:w="692" w:type="dxa"/>
          </w:tcPr>
          <w:p w14:paraId="3C5101A1" w14:textId="77777777" w:rsidR="0025058B" w:rsidRPr="00384EEC" w:rsidRDefault="0025058B" w:rsidP="00E247FD">
            <w:pPr>
              <w:pStyle w:val="P68B1DB1-TableParagraph19"/>
              <w:spacing w:before="27"/>
              <w:ind w:left="10" w:right="2"/>
              <w:rPr>
                <w:rFonts w:cs="Times New Roman"/>
                <w:sz w:val="18"/>
                <w:szCs w:val="18"/>
              </w:rPr>
            </w:pPr>
            <w:r w:rsidRPr="00384EEC">
              <w:rPr>
                <w:rFonts w:cs="Times New Roman"/>
                <w:sz w:val="18"/>
                <w:szCs w:val="18"/>
              </w:rPr>
              <w:t xml:space="preserve">× </w:t>
            </w:r>
          </w:p>
        </w:tc>
        <w:tc>
          <w:tcPr>
            <w:tcW w:w="820" w:type="dxa"/>
          </w:tcPr>
          <w:p w14:paraId="0AB84247" w14:textId="77777777" w:rsidR="0025058B" w:rsidRPr="00384EEC" w:rsidRDefault="0025058B" w:rsidP="00E247FD">
            <w:pPr>
              <w:pStyle w:val="P68B1DB1-TableParagraph19"/>
              <w:spacing w:before="24"/>
              <w:ind w:left="9" w:right="1"/>
              <w:rPr>
                <w:rFonts w:cs="Times New Roman"/>
                <w:sz w:val="18"/>
                <w:szCs w:val="18"/>
              </w:rPr>
            </w:pPr>
            <w:r w:rsidRPr="00384EEC">
              <w:rPr>
                <w:rFonts w:cs="Times New Roman"/>
                <w:sz w:val="18"/>
                <w:szCs w:val="18"/>
              </w:rPr>
              <w:t xml:space="preserve">× </w:t>
            </w:r>
          </w:p>
        </w:tc>
        <w:tc>
          <w:tcPr>
            <w:tcW w:w="790" w:type="dxa"/>
          </w:tcPr>
          <w:p w14:paraId="59D35E88" w14:textId="77777777" w:rsidR="0025058B" w:rsidRPr="00384EEC" w:rsidRDefault="0025058B" w:rsidP="00E247FD">
            <w:pPr>
              <w:pStyle w:val="P68B1DB1-TableParagraph19"/>
              <w:spacing w:before="27"/>
              <w:ind w:left="10"/>
              <w:rPr>
                <w:rFonts w:cs="Times New Roman"/>
                <w:sz w:val="18"/>
                <w:szCs w:val="18"/>
              </w:rPr>
            </w:pPr>
            <w:r w:rsidRPr="00384EEC">
              <w:rPr>
                <w:rFonts w:cs="Times New Roman"/>
                <w:sz w:val="18"/>
                <w:szCs w:val="18"/>
              </w:rPr>
              <w:t xml:space="preserve">× </w:t>
            </w:r>
          </w:p>
        </w:tc>
        <w:tc>
          <w:tcPr>
            <w:tcW w:w="910" w:type="dxa"/>
          </w:tcPr>
          <w:p w14:paraId="1CDE5EDA" w14:textId="77777777" w:rsidR="0025058B" w:rsidRPr="00384EEC" w:rsidRDefault="0025058B" w:rsidP="00E247FD">
            <w:pPr>
              <w:pStyle w:val="P68B1DB1-TableParagraph19"/>
              <w:spacing w:before="27"/>
              <w:ind w:left="10"/>
              <w:rPr>
                <w:rFonts w:cs="Times New Roman"/>
                <w:sz w:val="18"/>
                <w:szCs w:val="18"/>
              </w:rPr>
            </w:pPr>
            <w:r w:rsidRPr="00384EEC">
              <w:rPr>
                <w:rFonts w:cs="Times New Roman"/>
                <w:sz w:val="18"/>
                <w:szCs w:val="18"/>
              </w:rPr>
              <w:t xml:space="preserve">× </w:t>
            </w:r>
          </w:p>
        </w:tc>
        <w:tc>
          <w:tcPr>
            <w:tcW w:w="910" w:type="dxa"/>
          </w:tcPr>
          <w:p w14:paraId="19E983B3" w14:textId="77777777" w:rsidR="0025058B" w:rsidRPr="00384EEC" w:rsidRDefault="0025058B" w:rsidP="00E247FD">
            <w:pPr>
              <w:pStyle w:val="P68B1DB1-TableParagraph19"/>
              <w:spacing w:before="27"/>
              <w:ind w:left="10" w:right="1"/>
              <w:rPr>
                <w:rFonts w:cs="Times New Roman"/>
                <w:sz w:val="18"/>
                <w:szCs w:val="18"/>
              </w:rPr>
            </w:pPr>
            <w:r w:rsidRPr="00384EEC">
              <w:rPr>
                <w:rFonts w:cs="Times New Roman"/>
                <w:sz w:val="18"/>
                <w:szCs w:val="18"/>
              </w:rPr>
              <w:t xml:space="preserve">× </w:t>
            </w:r>
          </w:p>
        </w:tc>
        <w:tc>
          <w:tcPr>
            <w:tcW w:w="790" w:type="dxa"/>
          </w:tcPr>
          <w:p w14:paraId="2E6E2DD7" w14:textId="77777777" w:rsidR="0025058B" w:rsidRPr="00384EEC" w:rsidRDefault="0025058B" w:rsidP="00E247FD">
            <w:pPr>
              <w:pStyle w:val="P68B1DB1-TableParagraph19"/>
              <w:spacing w:before="24"/>
              <w:ind w:left="10" w:right="2"/>
              <w:rPr>
                <w:rFonts w:cs="Times New Roman"/>
                <w:sz w:val="18"/>
                <w:szCs w:val="18"/>
              </w:rPr>
            </w:pPr>
            <w:r w:rsidRPr="00384EEC">
              <w:rPr>
                <w:rFonts w:cs="Times New Roman"/>
                <w:sz w:val="18"/>
                <w:szCs w:val="18"/>
              </w:rPr>
              <w:t xml:space="preserve">× </w:t>
            </w:r>
          </w:p>
        </w:tc>
        <w:tc>
          <w:tcPr>
            <w:tcW w:w="790" w:type="dxa"/>
          </w:tcPr>
          <w:p w14:paraId="53E15357" w14:textId="77777777" w:rsidR="0025058B" w:rsidRPr="00384EEC" w:rsidRDefault="0025058B" w:rsidP="00E247FD">
            <w:pPr>
              <w:pStyle w:val="P68B1DB1-TableParagraph19"/>
              <w:spacing w:before="27"/>
              <w:ind w:left="10" w:right="3"/>
              <w:rPr>
                <w:rFonts w:cs="Times New Roman"/>
                <w:sz w:val="18"/>
                <w:szCs w:val="18"/>
              </w:rPr>
            </w:pPr>
            <w:r w:rsidRPr="00384EEC">
              <w:rPr>
                <w:rFonts w:cs="Times New Roman"/>
                <w:sz w:val="18"/>
                <w:szCs w:val="18"/>
              </w:rPr>
              <w:t xml:space="preserve">× </w:t>
            </w:r>
          </w:p>
        </w:tc>
        <w:tc>
          <w:tcPr>
            <w:tcW w:w="910" w:type="dxa"/>
          </w:tcPr>
          <w:p w14:paraId="06472054" w14:textId="77777777" w:rsidR="0025058B" w:rsidRPr="00384EEC" w:rsidRDefault="0025058B" w:rsidP="00E247FD">
            <w:pPr>
              <w:pStyle w:val="P68B1DB1-TableParagraph19"/>
              <w:spacing w:before="27"/>
              <w:ind w:left="10" w:right="4"/>
              <w:rPr>
                <w:rFonts w:cs="Times New Roman"/>
                <w:sz w:val="18"/>
                <w:szCs w:val="18"/>
              </w:rPr>
            </w:pPr>
            <w:r w:rsidRPr="00384EEC">
              <w:rPr>
                <w:rFonts w:cs="Times New Roman"/>
                <w:sz w:val="18"/>
                <w:szCs w:val="18"/>
              </w:rPr>
              <w:t xml:space="preserve">× </w:t>
            </w:r>
          </w:p>
        </w:tc>
        <w:tc>
          <w:tcPr>
            <w:tcW w:w="910" w:type="dxa"/>
          </w:tcPr>
          <w:p w14:paraId="71AFE352" w14:textId="77777777" w:rsidR="0025058B" w:rsidRPr="00384EEC" w:rsidRDefault="0025058B" w:rsidP="00E247FD">
            <w:pPr>
              <w:pStyle w:val="P68B1DB1-TableParagraph19"/>
              <w:spacing w:before="27"/>
              <w:ind w:left="10"/>
              <w:rPr>
                <w:rFonts w:cs="Times New Roman"/>
                <w:sz w:val="18"/>
                <w:szCs w:val="18"/>
              </w:rPr>
            </w:pPr>
            <w:r w:rsidRPr="00384EEC">
              <w:rPr>
                <w:rFonts w:cs="Times New Roman"/>
                <w:sz w:val="18"/>
                <w:szCs w:val="18"/>
              </w:rPr>
              <w:t xml:space="preserve">× </w:t>
            </w:r>
          </w:p>
        </w:tc>
        <w:tc>
          <w:tcPr>
            <w:tcW w:w="1445" w:type="dxa"/>
          </w:tcPr>
          <w:p w14:paraId="03B0B276" w14:textId="77777777" w:rsidR="0025058B" w:rsidRPr="00384EEC" w:rsidRDefault="0025058B" w:rsidP="00E247FD">
            <w:pPr>
              <w:pStyle w:val="P68B1DB1-TableParagraph19"/>
              <w:spacing w:before="27"/>
              <w:ind w:left="11" w:right="4"/>
              <w:rPr>
                <w:rFonts w:cs="Times New Roman"/>
                <w:sz w:val="18"/>
                <w:szCs w:val="18"/>
              </w:rPr>
            </w:pPr>
            <w:r w:rsidRPr="00384EEC">
              <w:rPr>
                <w:rFonts w:cs="Times New Roman"/>
                <w:sz w:val="18"/>
                <w:szCs w:val="18"/>
              </w:rPr>
              <w:t xml:space="preserve">× </w:t>
            </w:r>
          </w:p>
        </w:tc>
        <w:tc>
          <w:tcPr>
            <w:tcW w:w="1445" w:type="dxa"/>
          </w:tcPr>
          <w:p w14:paraId="2CBAFB1C" w14:textId="77777777" w:rsidR="0025058B" w:rsidRPr="00384EEC" w:rsidRDefault="0025058B" w:rsidP="00E247FD">
            <w:pPr>
              <w:pStyle w:val="P68B1DB1-TableParagraph19"/>
              <w:spacing w:before="27"/>
              <w:ind w:left="11" w:right="4"/>
              <w:rPr>
                <w:rFonts w:cs="Times New Roman"/>
                <w:sz w:val="18"/>
                <w:szCs w:val="18"/>
              </w:rPr>
            </w:pPr>
            <w:r w:rsidRPr="00384EEC">
              <w:rPr>
                <w:rFonts w:cs="Times New Roman"/>
                <w:sz w:val="18"/>
                <w:szCs w:val="18"/>
              </w:rPr>
              <w:t xml:space="preserve">× </w:t>
            </w:r>
          </w:p>
        </w:tc>
        <w:tc>
          <w:tcPr>
            <w:tcW w:w="911" w:type="dxa"/>
          </w:tcPr>
          <w:p w14:paraId="1C403B63" w14:textId="77777777" w:rsidR="0025058B" w:rsidRPr="00384EEC" w:rsidRDefault="0025058B" w:rsidP="00E247FD">
            <w:pPr>
              <w:pStyle w:val="P68B1DB1-TableParagraph19"/>
              <w:spacing w:before="27"/>
              <w:ind w:left="13" w:right="5"/>
              <w:rPr>
                <w:rFonts w:cs="Times New Roman"/>
                <w:sz w:val="18"/>
                <w:szCs w:val="18"/>
              </w:rPr>
            </w:pPr>
            <w:r w:rsidRPr="00384EEC">
              <w:rPr>
                <w:rFonts w:cs="Times New Roman"/>
                <w:sz w:val="18"/>
                <w:szCs w:val="18"/>
              </w:rPr>
              <w:t xml:space="preserve">× </w:t>
            </w:r>
          </w:p>
        </w:tc>
        <w:tc>
          <w:tcPr>
            <w:tcW w:w="1100" w:type="dxa"/>
          </w:tcPr>
          <w:p w14:paraId="6733131D"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45629902" w14:textId="77777777" w:rsidTr="00384EEC">
        <w:trPr>
          <w:trHeight w:val="330"/>
          <w:jc w:val="center"/>
        </w:trPr>
        <w:tc>
          <w:tcPr>
            <w:tcW w:w="1670" w:type="dxa"/>
          </w:tcPr>
          <w:p w14:paraId="697F4BAC" w14:textId="77777777" w:rsidR="0025058B" w:rsidRPr="00384EEC" w:rsidRDefault="0025058B" w:rsidP="00E247FD">
            <w:pPr>
              <w:pStyle w:val="P68B1DB1-TableParagraph18"/>
              <w:spacing w:line="310" w:lineRule="exact"/>
              <w:ind w:left="10"/>
              <w:rPr>
                <w:rFonts w:ascii="Times New Roman" w:hAnsi="Times New Roman" w:cs="Times New Roman"/>
                <w:sz w:val="18"/>
                <w:szCs w:val="18"/>
              </w:rPr>
            </w:pPr>
            <w:r w:rsidRPr="00384EEC">
              <w:rPr>
                <w:rFonts w:ascii="Times New Roman" w:hAnsi="Times New Roman" w:cs="Times New Roman"/>
                <w:sz w:val="18"/>
                <w:szCs w:val="18"/>
              </w:rPr>
              <w:t xml:space="preserve">Vital Signs </w:t>
            </w:r>
          </w:p>
        </w:tc>
        <w:tc>
          <w:tcPr>
            <w:tcW w:w="786" w:type="dxa"/>
          </w:tcPr>
          <w:p w14:paraId="5386E5FE" w14:textId="77777777" w:rsidR="0025058B" w:rsidRPr="00384EEC" w:rsidRDefault="0025058B" w:rsidP="00E247FD">
            <w:pPr>
              <w:pStyle w:val="TableParagraph"/>
              <w:rPr>
                <w:rFonts w:ascii="Times New Roman" w:hAnsi="Times New Roman" w:cs="Times New Roman"/>
                <w:sz w:val="18"/>
                <w:szCs w:val="18"/>
              </w:rPr>
            </w:pPr>
          </w:p>
        </w:tc>
        <w:tc>
          <w:tcPr>
            <w:tcW w:w="692" w:type="dxa"/>
          </w:tcPr>
          <w:p w14:paraId="79321950" w14:textId="77777777" w:rsidR="0025058B" w:rsidRPr="00384EEC" w:rsidRDefault="0025058B" w:rsidP="00E247FD">
            <w:pPr>
              <w:pStyle w:val="P68B1DB1-TableParagraph19"/>
              <w:spacing w:before="28"/>
              <w:ind w:left="10" w:right="2"/>
              <w:rPr>
                <w:rFonts w:cs="Times New Roman"/>
                <w:sz w:val="18"/>
                <w:szCs w:val="18"/>
              </w:rPr>
            </w:pPr>
            <w:r w:rsidRPr="00384EEC">
              <w:rPr>
                <w:rFonts w:cs="Times New Roman"/>
                <w:sz w:val="18"/>
                <w:szCs w:val="18"/>
              </w:rPr>
              <w:t xml:space="preserve">× </w:t>
            </w:r>
          </w:p>
        </w:tc>
        <w:tc>
          <w:tcPr>
            <w:tcW w:w="820" w:type="dxa"/>
          </w:tcPr>
          <w:p w14:paraId="1201FC50" w14:textId="77777777" w:rsidR="0025058B" w:rsidRPr="00384EEC" w:rsidRDefault="0025058B" w:rsidP="00E247FD">
            <w:pPr>
              <w:pStyle w:val="P68B1DB1-TableParagraph19"/>
              <w:spacing w:before="25"/>
              <w:ind w:left="9" w:right="1"/>
              <w:rPr>
                <w:rFonts w:cs="Times New Roman"/>
                <w:sz w:val="18"/>
                <w:szCs w:val="18"/>
              </w:rPr>
            </w:pPr>
            <w:r w:rsidRPr="00384EEC">
              <w:rPr>
                <w:rFonts w:cs="Times New Roman"/>
                <w:sz w:val="18"/>
                <w:szCs w:val="18"/>
              </w:rPr>
              <w:t xml:space="preserve">× </w:t>
            </w:r>
          </w:p>
        </w:tc>
        <w:tc>
          <w:tcPr>
            <w:tcW w:w="790" w:type="dxa"/>
          </w:tcPr>
          <w:p w14:paraId="7139526A" w14:textId="77777777" w:rsidR="0025058B" w:rsidRPr="00384EEC" w:rsidRDefault="0025058B" w:rsidP="00E247FD">
            <w:pPr>
              <w:pStyle w:val="P68B1DB1-TableParagraph19"/>
              <w:spacing w:before="28"/>
              <w:ind w:left="10"/>
              <w:rPr>
                <w:rFonts w:cs="Times New Roman"/>
                <w:sz w:val="18"/>
                <w:szCs w:val="18"/>
              </w:rPr>
            </w:pPr>
            <w:r w:rsidRPr="00384EEC">
              <w:rPr>
                <w:rFonts w:cs="Times New Roman"/>
                <w:sz w:val="18"/>
                <w:szCs w:val="18"/>
              </w:rPr>
              <w:t xml:space="preserve">× </w:t>
            </w:r>
          </w:p>
        </w:tc>
        <w:tc>
          <w:tcPr>
            <w:tcW w:w="910" w:type="dxa"/>
          </w:tcPr>
          <w:p w14:paraId="3F1BA60B" w14:textId="77777777" w:rsidR="0025058B" w:rsidRPr="00384EEC" w:rsidRDefault="0025058B" w:rsidP="00E247FD">
            <w:pPr>
              <w:pStyle w:val="P68B1DB1-TableParagraph19"/>
              <w:spacing w:before="28"/>
              <w:ind w:left="10"/>
              <w:rPr>
                <w:rFonts w:cs="Times New Roman"/>
                <w:sz w:val="18"/>
                <w:szCs w:val="18"/>
              </w:rPr>
            </w:pPr>
            <w:r w:rsidRPr="00384EEC">
              <w:rPr>
                <w:rFonts w:cs="Times New Roman"/>
                <w:sz w:val="18"/>
                <w:szCs w:val="18"/>
              </w:rPr>
              <w:t xml:space="preserve">× </w:t>
            </w:r>
          </w:p>
        </w:tc>
        <w:tc>
          <w:tcPr>
            <w:tcW w:w="910" w:type="dxa"/>
          </w:tcPr>
          <w:p w14:paraId="22BDBF73" w14:textId="77777777" w:rsidR="0025058B" w:rsidRPr="00384EEC" w:rsidRDefault="0025058B" w:rsidP="00E247FD">
            <w:pPr>
              <w:pStyle w:val="P68B1DB1-TableParagraph19"/>
              <w:spacing w:before="28"/>
              <w:ind w:left="10" w:right="1"/>
              <w:rPr>
                <w:rFonts w:cs="Times New Roman"/>
                <w:sz w:val="18"/>
                <w:szCs w:val="18"/>
              </w:rPr>
            </w:pPr>
            <w:r w:rsidRPr="00384EEC">
              <w:rPr>
                <w:rFonts w:cs="Times New Roman"/>
                <w:sz w:val="18"/>
                <w:szCs w:val="18"/>
              </w:rPr>
              <w:t xml:space="preserve">× </w:t>
            </w:r>
          </w:p>
        </w:tc>
        <w:tc>
          <w:tcPr>
            <w:tcW w:w="790" w:type="dxa"/>
          </w:tcPr>
          <w:p w14:paraId="6466753E" w14:textId="77777777" w:rsidR="0025058B" w:rsidRPr="00384EEC" w:rsidRDefault="0025058B" w:rsidP="00E247FD">
            <w:pPr>
              <w:pStyle w:val="P68B1DB1-TableParagraph19"/>
              <w:spacing w:before="25"/>
              <w:ind w:left="10" w:right="2"/>
              <w:rPr>
                <w:rFonts w:cs="Times New Roman"/>
                <w:sz w:val="18"/>
                <w:szCs w:val="18"/>
              </w:rPr>
            </w:pPr>
            <w:r w:rsidRPr="00384EEC">
              <w:rPr>
                <w:rFonts w:cs="Times New Roman"/>
                <w:sz w:val="18"/>
                <w:szCs w:val="18"/>
              </w:rPr>
              <w:t xml:space="preserve">× </w:t>
            </w:r>
          </w:p>
        </w:tc>
        <w:tc>
          <w:tcPr>
            <w:tcW w:w="790" w:type="dxa"/>
          </w:tcPr>
          <w:p w14:paraId="49ACBCE4" w14:textId="77777777" w:rsidR="0025058B" w:rsidRPr="00384EEC" w:rsidRDefault="0025058B" w:rsidP="00E247FD">
            <w:pPr>
              <w:pStyle w:val="P68B1DB1-TableParagraph19"/>
              <w:spacing w:before="28"/>
              <w:ind w:left="10" w:right="3"/>
              <w:rPr>
                <w:rFonts w:cs="Times New Roman"/>
                <w:sz w:val="18"/>
                <w:szCs w:val="18"/>
              </w:rPr>
            </w:pPr>
            <w:r w:rsidRPr="00384EEC">
              <w:rPr>
                <w:rFonts w:cs="Times New Roman"/>
                <w:sz w:val="18"/>
                <w:szCs w:val="18"/>
              </w:rPr>
              <w:t xml:space="preserve">× </w:t>
            </w:r>
          </w:p>
        </w:tc>
        <w:tc>
          <w:tcPr>
            <w:tcW w:w="910" w:type="dxa"/>
          </w:tcPr>
          <w:p w14:paraId="02D749DA" w14:textId="77777777" w:rsidR="0025058B" w:rsidRPr="00384EEC" w:rsidRDefault="0025058B" w:rsidP="00E247FD">
            <w:pPr>
              <w:pStyle w:val="P68B1DB1-TableParagraph19"/>
              <w:spacing w:before="28"/>
              <w:ind w:left="10" w:right="4"/>
              <w:rPr>
                <w:rFonts w:cs="Times New Roman"/>
                <w:sz w:val="18"/>
                <w:szCs w:val="18"/>
              </w:rPr>
            </w:pPr>
            <w:r w:rsidRPr="00384EEC">
              <w:rPr>
                <w:rFonts w:cs="Times New Roman"/>
                <w:sz w:val="18"/>
                <w:szCs w:val="18"/>
              </w:rPr>
              <w:t xml:space="preserve">× </w:t>
            </w:r>
          </w:p>
        </w:tc>
        <w:tc>
          <w:tcPr>
            <w:tcW w:w="910" w:type="dxa"/>
          </w:tcPr>
          <w:p w14:paraId="1838ED90" w14:textId="77777777" w:rsidR="0025058B" w:rsidRPr="00384EEC" w:rsidRDefault="0025058B" w:rsidP="00E247FD">
            <w:pPr>
              <w:pStyle w:val="P68B1DB1-TableParagraph19"/>
              <w:spacing w:before="28"/>
              <w:ind w:left="10"/>
              <w:rPr>
                <w:rFonts w:cs="Times New Roman"/>
                <w:sz w:val="18"/>
                <w:szCs w:val="18"/>
              </w:rPr>
            </w:pPr>
            <w:r w:rsidRPr="00384EEC">
              <w:rPr>
                <w:rFonts w:cs="Times New Roman"/>
                <w:sz w:val="18"/>
                <w:szCs w:val="18"/>
              </w:rPr>
              <w:t xml:space="preserve">× </w:t>
            </w:r>
          </w:p>
        </w:tc>
        <w:tc>
          <w:tcPr>
            <w:tcW w:w="1445" w:type="dxa"/>
          </w:tcPr>
          <w:p w14:paraId="5AFE7E16" w14:textId="77777777" w:rsidR="0025058B" w:rsidRPr="00384EEC" w:rsidRDefault="0025058B" w:rsidP="00E247FD">
            <w:pPr>
              <w:pStyle w:val="P68B1DB1-TableParagraph19"/>
              <w:spacing w:before="28"/>
              <w:ind w:left="11" w:right="4"/>
              <w:rPr>
                <w:rFonts w:cs="Times New Roman"/>
                <w:sz w:val="18"/>
                <w:szCs w:val="18"/>
              </w:rPr>
            </w:pPr>
            <w:r w:rsidRPr="00384EEC">
              <w:rPr>
                <w:rFonts w:cs="Times New Roman"/>
                <w:sz w:val="18"/>
                <w:szCs w:val="18"/>
              </w:rPr>
              <w:t xml:space="preserve">× </w:t>
            </w:r>
          </w:p>
        </w:tc>
        <w:tc>
          <w:tcPr>
            <w:tcW w:w="1445" w:type="dxa"/>
          </w:tcPr>
          <w:p w14:paraId="7037FB7D" w14:textId="77777777" w:rsidR="0025058B" w:rsidRPr="00384EEC" w:rsidRDefault="0025058B" w:rsidP="00E247FD">
            <w:pPr>
              <w:pStyle w:val="P68B1DB1-TableParagraph19"/>
              <w:spacing w:before="28"/>
              <w:ind w:left="11" w:right="4"/>
              <w:rPr>
                <w:rFonts w:cs="Times New Roman"/>
                <w:sz w:val="18"/>
                <w:szCs w:val="18"/>
              </w:rPr>
            </w:pPr>
            <w:r w:rsidRPr="00384EEC">
              <w:rPr>
                <w:rFonts w:cs="Times New Roman"/>
                <w:sz w:val="18"/>
                <w:szCs w:val="18"/>
              </w:rPr>
              <w:t xml:space="preserve">× </w:t>
            </w:r>
          </w:p>
        </w:tc>
        <w:tc>
          <w:tcPr>
            <w:tcW w:w="911" w:type="dxa"/>
          </w:tcPr>
          <w:p w14:paraId="2EB7E106" w14:textId="77777777" w:rsidR="0025058B" w:rsidRPr="00384EEC" w:rsidRDefault="0025058B" w:rsidP="00E247FD">
            <w:pPr>
              <w:pStyle w:val="P68B1DB1-TableParagraph19"/>
              <w:spacing w:before="28"/>
              <w:ind w:left="13" w:right="5"/>
              <w:rPr>
                <w:rFonts w:cs="Times New Roman"/>
                <w:sz w:val="18"/>
                <w:szCs w:val="18"/>
              </w:rPr>
            </w:pPr>
            <w:r w:rsidRPr="00384EEC">
              <w:rPr>
                <w:rFonts w:cs="Times New Roman"/>
                <w:sz w:val="18"/>
                <w:szCs w:val="18"/>
              </w:rPr>
              <w:t xml:space="preserve">× </w:t>
            </w:r>
          </w:p>
        </w:tc>
        <w:tc>
          <w:tcPr>
            <w:tcW w:w="1100" w:type="dxa"/>
          </w:tcPr>
          <w:p w14:paraId="5F406B56"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6CC7DDFF" w14:textId="77777777" w:rsidTr="00384EEC">
        <w:trPr>
          <w:trHeight w:val="330"/>
          <w:jc w:val="center"/>
        </w:trPr>
        <w:tc>
          <w:tcPr>
            <w:tcW w:w="1670" w:type="dxa"/>
          </w:tcPr>
          <w:p w14:paraId="7294C89A" w14:textId="77777777" w:rsidR="0025058B" w:rsidRPr="00384EEC" w:rsidRDefault="0025058B" w:rsidP="00E247FD">
            <w:pPr>
              <w:pStyle w:val="P68B1DB1-TableParagraph18"/>
              <w:spacing w:line="310" w:lineRule="exact"/>
              <w:ind w:left="10" w:right="3"/>
              <w:rPr>
                <w:rFonts w:ascii="Times New Roman" w:hAnsi="Times New Roman" w:cs="Times New Roman"/>
                <w:sz w:val="18"/>
                <w:szCs w:val="18"/>
              </w:rPr>
            </w:pPr>
            <w:r w:rsidRPr="00384EEC">
              <w:rPr>
                <w:rFonts w:ascii="Times New Roman" w:hAnsi="Times New Roman" w:cs="Times New Roman"/>
                <w:sz w:val="18"/>
                <w:szCs w:val="18"/>
              </w:rPr>
              <w:t xml:space="preserve">Quality of Life Questionnaires </w:t>
            </w:r>
          </w:p>
        </w:tc>
        <w:tc>
          <w:tcPr>
            <w:tcW w:w="786" w:type="dxa"/>
          </w:tcPr>
          <w:p w14:paraId="50E0A4D8" w14:textId="77777777" w:rsidR="0025058B" w:rsidRPr="00384EEC" w:rsidRDefault="0025058B" w:rsidP="00E247FD">
            <w:pPr>
              <w:pStyle w:val="P68B1DB1-TableParagraph19"/>
              <w:spacing w:before="26"/>
              <w:ind w:left="10" w:right="3"/>
              <w:rPr>
                <w:rFonts w:cs="Times New Roman"/>
                <w:sz w:val="18"/>
                <w:szCs w:val="18"/>
              </w:rPr>
            </w:pPr>
            <w:r w:rsidRPr="00384EEC">
              <w:rPr>
                <w:rFonts w:cs="Times New Roman"/>
                <w:sz w:val="18"/>
                <w:szCs w:val="18"/>
              </w:rPr>
              <w:t xml:space="preserve">× </w:t>
            </w:r>
          </w:p>
        </w:tc>
        <w:tc>
          <w:tcPr>
            <w:tcW w:w="692" w:type="dxa"/>
          </w:tcPr>
          <w:p w14:paraId="5520D7B2" w14:textId="77777777" w:rsidR="0025058B" w:rsidRPr="00384EEC" w:rsidRDefault="0025058B" w:rsidP="00E247FD">
            <w:pPr>
              <w:pStyle w:val="TableParagraph"/>
              <w:rPr>
                <w:rFonts w:ascii="Times New Roman" w:hAnsi="Times New Roman" w:cs="Times New Roman"/>
                <w:sz w:val="18"/>
                <w:szCs w:val="18"/>
              </w:rPr>
            </w:pPr>
          </w:p>
        </w:tc>
        <w:tc>
          <w:tcPr>
            <w:tcW w:w="820" w:type="dxa"/>
          </w:tcPr>
          <w:p w14:paraId="67FFB0B6"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572B2948"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2DDB8FF7"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5B2EC448" w14:textId="77777777" w:rsidR="0025058B" w:rsidRPr="00384EEC" w:rsidRDefault="0025058B" w:rsidP="00E247FD">
            <w:pPr>
              <w:pStyle w:val="P68B1DB1-TableParagraph19"/>
              <w:spacing w:before="26"/>
              <w:ind w:left="10" w:right="1"/>
              <w:rPr>
                <w:rFonts w:cs="Times New Roman"/>
                <w:sz w:val="18"/>
                <w:szCs w:val="18"/>
              </w:rPr>
            </w:pPr>
            <w:r w:rsidRPr="00384EEC">
              <w:rPr>
                <w:rFonts w:cs="Times New Roman"/>
                <w:sz w:val="18"/>
                <w:szCs w:val="18"/>
              </w:rPr>
              <w:t xml:space="preserve">× </w:t>
            </w:r>
          </w:p>
        </w:tc>
        <w:tc>
          <w:tcPr>
            <w:tcW w:w="790" w:type="dxa"/>
          </w:tcPr>
          <w:p w14:paraId="2C2CD7EC"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4F644370"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547BFD32"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33AD5B61" w14:textId="77777777" w:rsidR="0025058B" w:rsidRPr="00384EEC" w:rsidRDefault="0025058B" w:rsidP="00E247FD">
            <w:pPr>
              <w:pStyle w:val="P68B1DB1-TableParagraph19"/>
              <w:spacing w:before="26"/>
              <w:ind w:left="10"/>
              <w:rPr>
                <w:rFonts w:cs="Times New Roman"/>
                <w:sz w:val="18"/>
                <w:szCs w:val="18"/>
              </w:rPr>
            </w:pPr>
            <w:r w:rsidRPr="00384EEC">
              <w:rPr>
                <w:rFonts w:cs="Times New Roman"/>
                <w:sz w:val="18"/>
                <w:szCs w:val="18"/>
              </w:rPr>
              <w:t xml:space="preserve">× </w:t>
            </w:r>
          </w:p>
        </w:tc>
        <w:tc>
          <w:tcPr>
            <w:tcW w:w="1445" w:type="dxa"/>
          </w:tcPr>
          <w:p w14:paraId="1C976784" w14:textId="77777777" w:rsidR="0025058B" w:rsidRPr="00384EEC" w:rsidRDefault="0025058B" w:rsidP="00E247FD">
            <w:pPr>
              <w:pStyle w:val="P68B1DB1-TableParagraph19"/>
              <w:spacing w:before="26"/>
              <w:ind w:left="11" w:right="4"/>
              <w:rPr>
                <w:rFonts w:cs="Times New Roman"/>
                <w:sz w:val="18"/>
                <w:szCs w:val="18"/>
              </w:rPr>
            </w:pPr>
            <w:r w:rsidRPr="00384EEC">
              <w:rPr>
                <w:rFonts w:cs="Times New Roman"/>
                <w:sz w:val="18"/>
                <w:szCs w:val="18"/>
              </w:rPr>
              <w:t xml:space="preserve">× </w:t>
            </w:r>
          </w:p>
        </w:tc>
        <w:tc>
          <w:tcPr>
            <w:tcW w:w="1445" w:type="dxa"/>
          </w:tcPr>
          <w:p w14:paraId="776AED2B" w14:textId="77777777" w:rsidR="0025058B" w:rsidRPr="00384EEC" w:rsidRDefault="0025058B" w:rsidP="00E247FD">
            <w:pPr>
              <w:pStyle w:val="P68B1DB1-TableParagraph19"/>
              <w:spacing w:before="26"/>
              <w:ind w:left="11" w:right="4"/>
              <w:rPr>
                <w:rFonts w:cs="Times New Roman"/>
                <w:sz w:val="18"/>
                <w:szCs w:val="18"/>
              </w:rPr>
            </w:pPr>
            <w:r w:rsidRPr="00384EEC">
              <w:rPr>
                <w:rFonts w:cs="Times New Roman"/>
                <w:sz w:val="18"/>
                <w:szCs w:val="18"/>
              </w:rPr>
              <w:t xml:space="preserve">× </w:t>
            </w:r>
          </w:p>
        </w:tc>
        <w:tc>
          <w:tcPr>
            <w:tcW w:w="911" w:type="dxa"/>
          </w:tcPr>
          <w:p w14:paraId="5C198FFE" w14:textId="77777777" w:rsidR="0025058B" w:rsidRPr="00384EEC" w:rsidRDefault="0025058B" w:rsidP="00E247FD">
            <w:pPr>
              <w:pStyle w:val="P68B1DB1-TableParagraph19"/>
              <w:spacing w:before="26"/>
              <w:ind w:left="13" w:right="5"/>
              <w:rPr>
                <w:rFonts w:cs="Times New Roman"/>
                <w:sz w:val="18"/>
                <w:szCs w:val="18"/>
              </w:rPr>
            </w:pPr>
            <w:r w:rsidRPr="00384EEC">
              <w:rPr>
                <w:rFonts w:cs="Times New Roman"/>
                <w:sz w:val="18"/>
                <w:szCs w:val="18"/>
              </w:rPr>
              <w:t xml:space="preserve">× </w:t>
            </w:r>
          </w:p>
        </w:tc>
        <w:tc>
          <w:tcPr>
            <w:tcW w:w="1100" w:type="dxa"/>
          </w:tcPr>
          <w:p w14:paraId="5BB5E966"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0D0A6055" w14:textId="77777777" w:rsidTr="00384EEC">
        <w:trPr>
          <w:trHeight w:val="330"/>
          <w:jc w:val="center"/>
        </w:trPr>
        <w:tc>
          <w:tcPr>
            <w:tcW w:w="1670" w:type="dxa"/>
          </w:tcPr>
          <w:p w14:paraId="4A9C67B6" w14:textId="7C059A4D" w:rsidR="0025058B" w:rsidRPr="00384EEC" w:rsidRDefault="0025058B" w:rsidP="00E247FD">
            <w:pPr>
              <w:pStyle w:val="P68B1DB1-TableParagraph20"/>
              <w:spacing w:before="43"/>
              <w:ind w:left="10" w:right="2"/>
              <w:rPr>
                <w:rFonts w:hAnsi="Times New Roman" w:cs="Times New Roman"/>
                <w:sz w:val="18"/>
                <w:szCs w:val="18"/>
              </w:rPr>
            </w:pPr>
            <w:r w:rsidRPr="00384EEC">
              <w:rPr>
                <w:rFonts w:hAnsi="Times New Roman" w:cs="Times New Roman"/>
                <w:sz w:val="18"/>
                <w:szCs w:val="18"/>
              </w:rPr>
              <w:t xml:space="preserve">ECOG </w:t>
            </w:r>
            <w:r w:rsidR="00CA2DB7">
              <w:rPr>
                <w:rFonts w:hAnsi="Times New Roman" w:cs="Times New Roman"/>
                <w:sz w:val="18"/>
                <w:szCs w:val="18"/>
              </w:rPr>
              <w:t>PS</w:t>
            </w:r>
          </w:p>
        </w:tc>
        <w:tc>
          <w:tcPr>
            <w:tcW w:w="786" w:type="dxa"/>
          </w:tcPr>
          <w:p w14:paraId="6D43967E" w14:textId="77777777" w:rsidR="0025058B" w:rsidRPr="00384EEC" w:rsidRDefault="0025058B" w:rsidP="00E247FD">
            <w:pPr>
              <w:pStyle w:val="TableParagraph"/>
              <w:rPr>
                <w:rFonts w:ascii="Times New Roman" w:hAnsi="Times New Roman" w:cs="Times New Roman"/>
                <w:sz w:val="18"/>
                <w:szCs w:val="18"/>
              </w:rPr>
            </w:pPr>
          </w:p>
        </w:tc>
        <w:tc>
          <w:tcPr>
            <w:tcW w:w="692" w:type="dxa"/>
          </w:tcPr>
          <w:p w14:paraId="54F156C2" w14:textId="77777777" w:rsidR="0025058B" w:rsidRPr="00384EEC" w:rsidRDefault="0025058B" w:rsidP="00E247FD">
            <w:pPr>
              <w:pStyle w:val="P68B1DB1-TableParagraph19"/>
              <w:spacing w:before="27"/>
              <w:ind w:left="10" w:right="2"/>
              <w:rPr>
                <w:rFonts w:cs="Times New Roman"/>
                <w:sz w:val="18"/>
                <w:szCs w:val="18"/>
              </w:rPr>
            </w:pPr>
            <w:r w:rsidRPr="00384EEC">
              <w:rPr>
                <w:rFonts w:cs="Times New Roman"/>
                <w:sz w:val="18"/>
                <w:szCs w:val="18"/>
              </w:rPr>
              <w:t xml:space="preserve">× </w:t>
            </w:r>
          </w:p>
        </w:tc>
        <w:tc>
          <w:tcPr>
            <w:tcW w:w="820" w:type="dxa"/>
          </w:tcPr>
          <w:p w14:paraId="499A3B66"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3CE5999D"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4F42E28B"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53F9C569" w14:textId="77777777" w:rsidR="0025058B" w:rsidRPr="00384EEC" w:rsidRDefault="0025058B" w:rsidP="00E247FD">
            <w:pPr>
              <w:pStyle w:val="P68B1DB1-TableParagraph19"/>
              <w:spacing w:before="27"/>
              <w:ind w:left="10" w:right="1"/>
              <w:rPr>
                <w:rFonts w:cs="Times New Roman"/>
                <w:sz w:val="18"/>
                <w:szCs w:val="18"/>
              </w:rPr>
            </w:pPr>
            <w:r w:rsidRPr="00384EEC">
              <w:rPr>
                <w:rFonts w:cs="Times New Roman"/>
                <w:sz w:val="18"/>
                <w:szCs w:val="18"/>
              </w:rPr>
              <w:t xml:space="preserve">× </w:t>
            </w:r>
          </w:p>
        </w:tc>
        <w:tc>
          <w:tcPr>
            <w:tcW w:w="790" w:type="dxa"/>
          </w:tcPr>
          <w:p w14:paraId="301741F6"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074A34AA"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44D31D5F"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721AA784" w14:textId="77777777" w:rsidR="0025058B" w:rsidRPr="00384EEC" w:rsidRDefault="0025058B" w:rsidP="00E247FD">
            <w:pPr>
              <w:pStyle w:val="P68B1DB1-TableParagraph19"/>
              <w:spacing w:before="27"/>
              <w:ind w:left="10"/>
              <w:rPr>
                <w:rFonts w:cs="Times New Roman"/>
                <w:sz w:val="18"/>
                <w:szCs w:val="18"/>
              </w:rPr>
            </w:pPr>
            <w:r w:rsidRPr="00384EEC">
              <w:rPr>
                <w:rFonts w:cs="Times New Roman"/>
                <w:sz w:val="18"/>
                <w:szCs w:val="18"/>
              </w:rPr>
              <w:t xml:space="preserve">× </w:t>
            </w:r>
          </w:p>
        </w:tc>
        <w:tc>
          <w:tcPr>
            <w:tcW w:w="1445" w:type="dxa"/>
          </w:tcPr>
          <w:p w14:paraId="03996346" w14:textId="77777777" w:rsidR="0025058B" w:rsidRPr="00384EEC" w:rsidRDefault="0025058B" w:rsidP="00E247FD">
            <w:pPr>
              <w:pStyle w:val="P68B1DB1-TableParagraph19"/>
              <w:spacing w:before="27"/>
              <w:ind w:left="11" w:right="4"/>
              <w:rPr>
                <w:rFonts w:cs="Times New Roman"/>
                <w:sz w:val="18"/>
                <w:szCs w:val="18"/>
              </w:rPr>
            </w:pPr>
            <w:r w:rsidRPr="00384EEC">
              <w:rPr>
                <w:rFonts w:cs="Times New Roman"/>
                <w:sz w:val="18"/>
                <w:szCs w:val="18"/>
              </w:rPr>
              <w:t xml:space="preserve">× </w:t>
            </w:r>
          </w:p>
        </w:tc>
        <w:tc>
          <w:tcPr>
            <w:tcW w:w="1445" w:type="dxa"/>
          </w:tcPr>
          <w:p w14:paraId="2E8232B2" w14:textId="77777777" w:rsidR="0025058B" w:rsidRPr="00384EEC" w:rsidRDefault="0025058B" w:rsidP="00E247FD">
            <w:pPr>
              <w:pStyle w:val="P68B1DB1-TableParagraph19"/>
              <w:spacing w:before="27"/>
              <w:ind w:left="11" w:right="4"/>
              <w:rPr>
                <w:rFonts w:cs="Times New Roman"/>
                <w:sz w:val="18"/>
                <w:szCs w:val="18"/>
              </w:rPr>
            </w:pPr>
            <w:r w:rsidRPr="00384EEC">
              <w:rPr>
                <w:rFonts w:cs="Times New Roman"/>
                <w:sz w:val="18"/>
                <w:szCs w:val="18"/>
              </w:rPr>
              <w:t xml:space="preserve">× </w:t>
            </w:r>
          </w:p>
        </w:tc>
        <w:tc>
          <w:tcPr>
            <w:tcW w:w="911" w:type="dxa"/>
          </w:tcPr>
          <w:p w14:paraId="53DFAE54" w14:textId="77777777" w:rsidR="0025058B" w:rsidRPr="00384EEC" w:rsidRDefault="0025058B" w:rsidP="00E247FD">
            <w:pPr>
              <w:pStyle w:val="P68B1DB1-TableParagraph19"/>
              <w:spacing w:before="27"/>
              <w:ind w:left="13" w:right="5"/>
              <w:rPr>
                <w:rFonts w:cs="Times New Roman"/>
                <w:sz w:val="18"/>
                <w:szCs w:val="18"/>
              </w:rPr>
            </w:pPr>
            <w:r w:rsidRPr="00384EEC">
              <w:rPr>
                <w:rFonts w:cs="Times New Roman"/>
                <w:sz w:val="18"/>
                <w:szCs w:val="18"/>
              </w:rPr>
              <w:t xml:space="preserve">× </w:t>
            </w:r>
          </w:p>
        </w:tc>
        <w:tc>
          <w:tcPr>
            <w:tcW w:w="1100" w:type="dxa"/>
          </w:tcPr>
          <w:p w14:paraId="472FBA49"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36331B65" w14:textId="77777777" w:rsidTr="00384EEC">
        <w:trPr>
          <w:trHeight w:val="330"/>
          <w:jc w:val="center"/>
        </w:trPr>
        <w:tc>
          <w:tcPr>
            <w:tcW w:w="1670" w:type="dxa"/>
          </w:tcPr>
          <w:p w14:paraId="621E603D" w14:textId="77777777" w:rsidR="0025058B" w:rsidRPr="00384EEC" w:rsidRDefault="0025058B" w:rsidP="00E247FD">
            <w:pPr>
              <w:pStyle w:val="P68B1DB1-TableParagraph18"/>
              <w:spacing w:line="310" w:lineRule="exact"/>
              <w:ind w:left="10" w:right="3"/>
              <w:rPr>
                <w:rFonts w:ascii="Times New Roman" w:hAnsi="Times New Roman" w:cs="Times New Roman"/>
                <w:sz w:val="18"/>
                <w:szCs w:val="18"/>
              </w:rPr>
            </w:pPr>
            <w:r w:rsidRPr="00384EEC">
              <w:rPr>
                <w:rFonts w:ascii="Times New Roman" w:hAnsi="Times New Roman" w:cs="Times New Roman"/>
                <w:sz w:val="18"/>
                <w:szCs w:val="18"/>
              </w:rPr>
              <w:t xml:space="preserve">Serum pregnancy test </w:t>
            </w:r>
          </w:p>
        </w:tc>
        <w:tc>
          <w:tcPr>
            <w:tcW w:w="786" w:type="dxa"/>
          </w:tcPr>
          <w:p w14:paraId="425EE950" w14:textId="77777777" w:rsidR="0025058B" w:rsidRPr="00384EEC" w:rsidRDefault="0025058B" w:rsidP="00E247FD">
            <w:pPr>
              <w:pStyle w:val="TableParagraph"/>
              <w:rPr>
                <w:rFonts w:ascii="Times New Roman" w:hAnsi="Times New Roman" w:cs="Times New Roman"/>
                <w:sz w:val="18"/>
                <w:szCs w:val="18"/>
              </w:rPr>
            </w:pPr>
          </w:p>
        </w:tc>
        <w:tc>
          <w:tcPr>
            <w:tcW w:w="692" w:type="dxa"/>
          </w:tcPr>
          <w:p w14:paraId="4E298425" w14:textId="77777777" w:rsidR="0025058B" w:rsidRPr="00384EEC" w:rsidRDefault="0025058B" w:rsidP="00E247FD">
            <w:pPr>
              <w:pStyle w:val="P68B1DB1-TableParagraph19"/>
              <w:spacing w:before="28"/>
              <w:ind w:left="10" w:right="2"/>
              <w:rPr>
                <w:rFonts w:cs="Times New Roman"/>
                <w:sz w:val="18"/>
                <w:szCs w:val="18"/>
              </w:rPr>
            </w:pPr>
            <w:r w:rsidRPr="00384EEC">
              <w:rPr>
                <w:rFonts w:cs="Times New Roman"/>
                <w:sz w:val="18"/>
                <w:szCs w:val="18"/>
              </w:rPr>
              <w:t xml:space="preserve">× </w:t>
            </w:r>
          </w:p>
        </w:tc>
        <w:tc>
          <w:tcPr>
            <w:tcW w:w="820" w:type="dxa"/>
          </w:tcPr>
          <w:p w14:paraId="29BF505E"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2B7AE038"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23F8956B"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1288F1E1"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2AB40D92"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587962CB"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43CFEDE6"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1AE65677" w14:textId="77777777" w:rsidR="0025058B" w:rsidRPr="00384EEC" w:rsidRDefault="0025058B" w:rsidP="00E247FD">
            <w:pPr>
              <w:pStyle w:val="TableParagraph"/>
              <w:rPr>
                <w:rFonts w:ascii="Times New Roman" w:hAnsi="Times New Roman" w:cs="Times New Roman"/>
                <w:sz w:val="18"/>
                <w:szCs w:val="18"/>
              </w:rPr>
            </w:pPr>
          </w:p>
        </w:tc>
        <w:tc>
          <w:tcPr>
            <w:tcW w:w="1445" w:type="dxa"/>
          </w:tcPr>
          <w:p w14:paraId="118FD8C4" w14:textId="77777777" w:rsidR="0025058B" w:rsidRPr="00384EEC" w:rsidRDefault="0025058B" w:rsidP="00E247FD">
            <w:pPr>
              <w:pStyle w:val="TableParagraph"/>
              <w:rPr>
                <w:rFonts w:ascii="Times New Roman" w:hAnsi="Times New Roman" w:cs="Times New Roman"/>
                <w:sz w:val="18"/>
                <w:szCs w:val="18"/>
              </w:rPr>
            </w:pPr>
          </w:p>
        </w:tc>
        <w:tc>
          <w:tcPr>
            <w:tcW w:w="1445" w:type="dxa"/>
          </w:tcPr>
          <w:p w14:paraId="567BA042" w14:textId="77777777" w:rsidR="0025058B" w:rsidRPr="00384EEC" w:rsidRDefault="0025058B" w:rsidP="00E247FD">
            <w:pPr>
              <w:pStyle w:val="TableParagraph"/>
              <w:rPr>
                <w:rFonts w:ascii="Times New Roman" w:hAnsi="Times New Roman" w:cs="Times New Roman"/>
                <w:sz w:val="18"/>
                <w:szCs w:val="18"/>
              </w:rPr>
            </w:pPr>
          </w:p>
        </w:tc>
        <w:tc>
          <w:tcPr>
            <w:tcW w:w="911" w:type="dxa"/>
          </w:tcPr>
          <w:p w14:paraId="5FBFE1A3" w14:textId="77777777" w:rsidR="0025058B" w:rsidRPr="00384EEC" w:rsidRDefault="0025058B" w:rsidP="00E247FD">
            <w:pPr>
              <w:pStyle w:val="TableParagraph"/>
              <w:rPr>
                <w:rFonts w:ascii="Times New Roman" w:hAnsi="Times New Roman" w:cs="Times New Roman"/>
                <w:sz w:val="18"/>
                <w:szCs w:val="18"/>
              </w:rPr>
            </w:pPr>
          </w:p>
        </w:tc>
        <w:tc>
          <w:tcPr>
            <w:tcW w:w="1100" w:type="dxa"/>
          </w:tcPr>
          <w:p w14:paraId="5F400600"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659E8B23" w14:textId="77777777" w:rsidTr="00384EEC">
        <w:trPr>
          <w:trHeight w:val="330"/>
          <w:jc w:val="center"/>
        </w:trPr>
        <w:tc>
          <w:tcPr>
            <w:tcW w:w="1670" w:type="dxa"/>
          </w:tcPr>
          <w:p w14:paraId="61AED306" w14:textId="77777777" w:rsidR="0025058B" w:rsidRPr="00384EEC" w:rsidRDefault="0025058B" w:rsidP="00E247FD">
            <w:pPr>
              <w:pStyle w:val="P68B1DB1-TableParagraph18"/>
              <w:spacing w:line="310" w:lineRule="exact"/>
              <w:ind w:left="10"/>
              <w:rPr>
                <w:rFonts w:ascii="Times New Roman" w:hAnsi="Times New Roman" w:cs="Times New Roman"/>
                <w:sz w:val="18"/>
                <w:szCs w:val="18"/>
              </w:rPr>
            </w:pPr>
            <w:r w:rsidRPr="00384EEC">
              <w:rPr>
                <w:rFonts w:ascii="Times New Roman" w:hAnsi="Times New Roman" w:cs="Times New Roman"/>
                <w:sz w:val="18"/>
                <w:szCs w:val="18"/>
              </w:rPr>
              <w:t xml:space="preserve">Infection Screening </w:t>
            </w:r>
          </w:p>
        </w:tc>
        <w:tc>
          <w:tcPr>
            <w:tcW w:w="786" w:type="dxa"/>
          </w:tcPr>
          <w:p w14:paraId="0AE26526" w14:textId="77777777" w:rsidR="0025058B" w:rsidRPr="00384EEC" w:rsidRDefault="0025058B" w:rsidP="00E247FD">
            <w:pPr>
              <w:pStyle w:val="P68B1DB1-TableParagraph19"/>
              <w:spacing w:before="26"/>
              <w:ind w:left="10" w:right="3"/>
              <w:rPr>
                <w:rFonts w:cs="Times New Roman"/>
                <w:sz w:val="18"/>
                <w:szCs w:val="18"/>
              </w:rPr>
            </w:pPr>
            <w:r w:rsidRPr="00384EEC">
              <w:rPr>
                <w:rFonts w:cs="Times New Roman"/>
                <w:sz w:val="18"/>
                <w:szCs w:val="18"/>
              </w:rPr>
              <w:t xml:space="preserve">× </w:t>
            </w:r>
          </w:p>
        </w:tc>
        <w:tc>
          <w:tcPr>
            <w:tcW w:w="692" w:type="dxa"/>
          </w:tcPr>
          <w:p w14:paraId="2A4F1FB9" w14:textId="77777777" w:rsidR="0025058B" w:rsidRPr="00384EEC" w:rsidRDefault="0025058B" w:rsidP="00E247FD">
            <w:pPr>
              <w:pStyle w:val="TableParagraph"/>
              <w:rPr>
                <w:rFonts w:ascii="Times New Roman" w:hAnsi="Times New Roman" w:cs="Times New Roman"/>
                <w:sz w:val="18"/>
                <w:szCs w:val="18"/>
              </w:rPr>
            </w:pPr>
          </w:p>
        </w:tc>
        <w:tc>
          <w:tcPr>
            <w:tcW w:w="820" w:type="dxa"/>
          </w:tcPr>
          <w:p w14:paraId="3880C989"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3FC051A1"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5008648E"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6D0677F8"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2C3563E0"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174548BE"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5804559F"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3955A23C" w14:textId="77777777" w:rsidR="0025058B" w:rsidRPr="00384EEC" w:rsidRDefault="0025058B" w:rsidP="00E247FD">
            <w:pPr>
              <w:pStyle w:val="TableParagraph"/>
              <w:rPr>
                <w:rFonts w:ascii="Times New Roman" w:hAnsi="Times New Roman" w:cs="Times New Roman"/>
                <w:sz w:val="18"/>
                <w:szCs w:val="18"/>
              </w:rPr>
            </w:pPr>
          </w:p>
        </w:tc>
        <w:tc>
          <w:tcPr>
            <w:tcW w:w="1445" w:type="dxa"/>
          </w:tcPr>
          <w:p w14:paraId="253D99BC" w14:textId="77777777" w:rsidR="0025058B" w:rsidRPr="00384EEC" w:rsidRDefault="0025058B" w:rsidP="00E247FD">
            <w:pPr>
              <w:pStyle w:val="TableParagraph"/>
              <w:rPr>
                <w:rFonts w:ascii="Times New Roman" w:hAnsi="Times New Roman" w:cs="Times New Roman"/>
                <w:sz w:val="18"/>
                <w:szCs w:val="18"/>
              </w:rPr>
            </w:pPr>
          </w:p>
        </w:tc>
        <w:tc>
          <w:tcPr>
            <w:tcW w:w="1445" w:type="dxa"/>
          </w:tcPr>
          <w:p w14:paraId="473F9524" w14:textId="77777777" w:rsidR="0025058B" w:rsidRPr="00384EEC" w:rsidRDefault="0025058B" w:rsidP="00E247FD">
            <w:pPr>
              <w:pStyle w:val="TableParagraph"/>
              <w:rPr>
                <w:rFonts w:ascii="Times New Roman" w:hAnsi="Times New Roman" w:cs="Times New Roman"/>
                <w:sz w:val="18"/>
                <w:szCs w:val="18"/>
              </w:rPr>
            </w:pPr>
          </w:p>
        </w:tc>
        <w:tc>
          <w:tcPr>
            <w:tcW w:w="911" w:type="dxa"/>
          </w:tcPr>
          <w:p w14:paraId="6D4969BB" w14:textId="77777777" w:rsidR="0025058B" w:rsidRPr="00384EEC" w:rsidRDefault="0025058B" w:rsidP="00E247FD">
            <w:pPr>
              <w:pStyle w:val="TableParagraph"/>
              <w:rPr>
                <w:rFonts w:ascii="Times New Roman" w:hAnsi="Times New Roman" w:cs="Times New Roman"/>
                <w:sz w:val="18"/>
                <w:szCs w:val="18"/>
              </w:rPr>
            </w:pPr>
          </w:p>
        </w:tc>
        <w:tc>
          <w:tcPr>
            <w:tcW w:w="1100" w:type="dxa"/>
          </w:tcPr>
          <w:p w14:paraId="346A1B1A"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49656C63" w14:textId="77777777" w:rsidTr="00384EEC">
        <w:trPr>
          <w:trHeight w:val="638"/>
          <w:jc w:val="center"/>
        </w:trPr>
        <w:tc>
          <w:tcPr>
            <w:tcW w:w="1670" w:type="dxa"/>
          </w:tcPr>
          <w:p w14:paraId="0E4C9DA0" w14:textId="77777777" w:rsidR="0025058B" w:rsidRPr="00384EEC" w:rsidRDefault="0025058B" w:rsidP="00E247FD">
            <w:pPr>
              <w:pStyle w:val="P68B1DB1-TableParagraph18"/>
              <w:spacing w:before="137"/>
              <w:ind w:left="10"/>
              <w:rPr>
                <w:rFonts w:ascii="Times New Roman" w:hAnsi="Times New Roman" w:cs="Times New Roman"/>
                <w:sz w:val="18"/>
                <w:szCs w:val="18"/>
              </w:rPr>
            </w:pPr>
            <w:r w:rsidRPr="00384EEC">
              <w:rPr>
                <w:rFonts w:ascii="Times New Roman" w:hAnsi="Times New Roman" w:cs="Times New Roman"/>
                <w:sz w:val="18"/>
                <w:szCs w:val="18"/>
              </w:rPr>
              <w:t xml:space="preserve">Imaging </w:t>
            </w:r>
          </w:p>
        </w:tc>
        <w:tc>
          <w:tcPr>
            <w:tcW w:w="786" w:type="dxa"/>
          </w:tcPr>
          <w:p w14:paraId="2C47C9C9" w14:textId="77777777" w:rsidR="0025058B" w:rsidRPr="00384EEC" w:rsidRDefault="0025058B" w:rsidP="00E247FD">
            <w:pPr>
              <w:pStyle w:val="P68B1DB1-TableParagraph19"/>
              <w:spacing w:before="180"/>
              <w:ind w:left="10" w:right="3"/>
              <w:rPr>
                <w:rFonts w:cs="Times New Roman"/>
                <w:sz w:val="18"/>
                <w:szCs w:val="18"/>
              </w:rPr>
            </w:pPr>
            <w:r w:rsidRPr="00384EEC">
              <w:rPr>
                <w:rFonts w:cs="Times New Roman"/>
                <w:sz w:val="18"/>
                <w:szCs w:val="18"/>
              </w:rPr>
              <w:t xml:space="preserve">× </w:t>
            </w:r>
          </w:p>
        </w:tc>
        <w:tc>
          <w:tcPr>
            <w:tcW w:w="692" w:type="dxa"/>
          </w:tcPr>
          <w:p w14:paraId="5914E282" w14:textId="77777777" w:rsidR="0025058B" w:rsidRPr="00384EEC" w:rsidRDefault="0025058B" w:rsidP="00E247FD">
            <w:pPr>
              <w:pStyle w:val="TableParagraph"/>
              <w:rPr>
                <w:rFonts w:ascii="Times New Roman" w:hAnsi="Times New Roman" w:cs="Times New Roman"/>
                <w:sz w:val="18"/>
                <w:szCs w:val="18"/>
              </w:rPr>
            </w:pPr>
          </w:p>
        </w:tc>
        <w:tc>
          <w:tcPr>
            <w:tcW w:w="820" w:type="dxa"/>
          </w:tcPr>
          <w:p w14:paraId="114281CD"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3F7A5084"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526FB6E3"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22C801A0"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6DF324D3"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23D89A5B"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47A65785"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53786793" w14:textId="77777777" w:rsidR="0025058B" w:rsidRPr="00384EEC" w:rsidRDefault="0025058B" w:rsidP="00E247FD">
            <w:pPr>
              <w:pStyle w:val="P68B1DB1-TableParagraph19"/>
              <w:spacing w:before="180"/>
              <w:ind w:left="10"/>
              <w:rPr>
                <w:rFonts w:cs="Times New Roman"/>
                <w:sz w:val="18"/>
                <w:szCs w:val="18"/>
              </w:rPr>
            </w:pPr>
            <w:r w:rsidRPr="00384EEC">
              <w:rPr>
                <w:rFonts w:cs="Times New Roman"/>
                <w:sz w:val="18"/>
                <w:szCs w:val="18"/>
              </w:rPr>
              <w:t xml:space="preserve">× </w:t>
            </w:r>
          </w:p>
        </w:tc>
        <w:tc>
          <w:tcPr>
            <w:tcW w:w="1445" w:type="dxa"/>
          </w:tcPr>
          <w:p w14:paraId="4D2A5F93" w14:textId="77777777" w:rsidR="0025058B" w:rsidRPr="00384EEC" w:rsidRDefault="0025058B" w:rsidP="00E247FD">
            <w:pPr>
              <w:pStyle w:val="TableParagraph"/>
              <w:rPr>
                <w:rFonts w:ascii="Times New Roman" w:hAnsi="Times New Roman" w:cs="Times New Roman"/>
                <w:sz w:val="18"/>
                <w:szCs w:val="18"/>
              </w:rPr>
            </w:pPr>
          </w:p>
        </w:tc>
        <w:tc>
          <w:tcPr>
            <w:tcW w:w="1445" w:type="dxa"/>
          </w:tcPr>
          <w:p w14:paraId="6DA156D4" w14:textId="77777777" w:rsidR="0025058B" w:rsidRPr="00384EEC" w:rsidRDefault="0025058B" w:rsidP="00E247FD">
            <w:pPr>
              <w:pStyle w:val="P68B1DB1-TableParagraph19"/>
              <w:spacing w:before="180"/>
              <w:ind w:left="11" w:right="4"/>
              <w:rPr>
                <w:rFonts w:cs="Times New Roman"/>
                <w:sz w:val="18"/>
                <w:szCs w:val="18"/>
              </w:rPr>
            </w:pPr>
            <w:r w:rsidRPr="00384EEC">
              <w:rPr>
                <w:rFonts w:cs="Times New Roman"/>
                <w:sz w:val="18"/>
                <w:szCs w:val="18"/>
              </w:rPr>
              <w:t xml:space="preserve">× </w:t>
            </w:r>
          </w:p>
        </w:tc>
        <w:tc>
          <w:tcPr>
            <w:tcW w:w="911" w:type="dxa"/>
          </w:tcPr>
          <w:p w14:paraId="618CE758" w14:textId="77777777" w:rsidR="0025058B" w:rsidRPr="00384EEC" w:rsidRDefault="0025058B" w:rsidP="00E247FD">
            <w:pPr>
              <w:pStyle w:val="P68B1DB1-TableParagraph19"/>
              <w:spacing w:before="180"/>
              <w:ind w:left="13" w:right="5"/>
              <w:rPr>
                <w:rFonts w:cs="Times New Roman"/>
                <w:sz w:val="18"/>
                <w:szCs w:val="18"/>
              </w:rPr>
            </w:pPr>
            <w:r w:rsidRPr="00384EEC">
              <w:rPr>
                <w:rFonts w:cs="Times New Roman"/>
                <w:sz w:val="18"/>
                <w:szCs w:val="18"/>
              </w:rPr>
              <w:t xml:space="preserve">× </w:t>
            </w:r>
          </w:p>
        </w:tc>
        <w:tc>
          <w:tcPr>
            <w:tcW w:w="1100" w:type="dxa"/>
          </w:tcPr>
          <w:p w14:paraId="7593FD32" w14:textId="77777777" w:rsidR="0025058B" w:rsidRPr="00384EEC" w:rsidRDefault="0025058B" w:rsidP="00E247FD">
            <w:pPr>
              <w:pStyle w:val="P68B1DB1-TableParagraph19"/>
              <w:spacing w:before="180"/>
              <w:ind w:left="8"/>
              <w:rPr>
                <w:rFonts w:cs="Times New Roman"/>
                <w:sz w:val="18"/>
                <w:szCs w:val="18"/>
              </w:rPr>
            </w:pPr>
            <w:r w:rsidRPr="00384EEC">
              <w:rPr>
                <w:rFonts w:cs="Times New Roman"/>
                <w:sz w:val="18"/>
                <w:szCs w:val="18"/>
              </w:rPr>
              <w:t xml:space="preserve">× </w:t>
            </w:r>
          </w:p>
        </w:tc>
      </w:tr>
      <w:tr w:rsidR="0025058B" w:rsidRPr="00E247FD" w14:paraId="6BFC97B7" w14:textId="77777777" w:rsidTr="00384EEC">
        <w:trPr>
          <w:trHeight w:val="330"/>
          <w:jc w:val="center"/>
        </w:trPr>
        <w:tc>
          <w:tcPr>
            <w:tcW w:w="1670" w:type="dxa"/>
          </w:tcPr>
          <w:p w14:paraId="52FBEA4E" w14:textId="77777777" w:rsidR="0025058B" w:rsidRPr="00384EEC" w:rsidRDefault="0025058B" w:rsidP="00E247FD">
            <w:pPr>
              <w:pStyle w:val="P68B1DB1-TableParagraph18"/>
              <w:spacing w:line="310" w:lineRule="exact"/>
              <w:ind w:left="10" w:right="3"/>
              <w:rPr>
                <w:rFonts w:ascii="Times New Roman" w:hAnsi="Times New Roman" w:cs="Times New Roman"/>
                <w:sz w:val="18"/>
                <w:szCs w:val="18"/>
              </w:rPr>
            </w:pPr>
            <w:r w:rsidRPr="00384EEC">
              <w:rPr>
                <w:rFonts w:ascii="Times New Roman" w:hAnsi="Times New Roman" w:cs="Times New Roman"/>
                <w:sz w:val="18"/>
                <w:szCs w:val="18"/>
              </w:rPr>
              <w:t xml:space="preserve">Tumor markers </w:t>
            </w:r>
          </w:p>
        </w:tc>
        <w:tc>
          <w:tcPr>
            <w:tcW w:w="786" w:type="dxa"/>
          </w:tcPr>
          <w:p w14:paraId="25589219" w14:textId="77777777" w:rsidR="0025058B" w:rsidRPr="00384EEC" w:rsidRDefault="0025058B" w:rsidP="00E247FD">
            <w:pPr>
              <w:pStyle w:val="TableParagraph"/>
              <w:rPr>
                <w:rFonts w:ascii="Times New Roman" w:hAnsi="Times New Roman" w:cs="Times New Roman"/>
                <w:sz w:val="18"/>
                <w:szCs w:val="18"/>
              </w:rPr>
            </w:pPr>
          </w:p>
        </w:tc>
        <w:tc>
          <w:tcPr>
            <w:tcW w:w="692" w:type="dxa"/>
          </w:tcPr>
          <w:p w14:paraId="51E981CD" w14:textId="77777777" w:rsidR="0025058B" w:rsidRPr="00384EEC" w:rsidRDefault="0025058B" w:rsidP="00E247FD">
            <w:pPr>
              <w:pStyle w:val="P68B1DB1-TableParagraph19"/>
              <w:spacing w:before="26"/>
              <w:ind w:left="10" w:right="2"/>
              <w:rPr>
                <w:rFonts w:cs="Times New Roman"/>
                <w:sz w:val="18"/>
                <w:szCs w:val="18"/>
              </w:rPr>
            </w:pPr>
            <w:r w:rsidRPr="00384EEC">
              <w:rPr>
                <w:rFonts w:cs="Times New Roman"/>
                <w:sz w:val="18"/>
                <w:szCs w:val="18"/>
              </w:rPr>
              <w:t xml:space="preserve">× </w:t>
            </w:r>
          </w:p>
        </w:tc>
        <w:tc>
          <w:tcPr>
            <w:tcW w:w="820" w:type="dxa"/>
          </w:tcPr>
          <w:p w14:paraId="06258292"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680EE07F"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1DC75097"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026B6C47"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6E2594D7"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32CBED07"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5450E5C1"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3E8B1081" w14:textId="77777777" w:rsidR="0025058B" w:rsidRPr="00384EEC" w:rsidRDefault="0025058B" w:rsidP="00E247FD">
            <w:pPr>
              <w:pStyle w:val="P68B1DB1-TableParagraph19"/>
              <w:spacing w:before="26"/>
              <w:ind w:left="10"/>
              <w:rPr>
                <w:rFonts w:cs="Times New Roman"/>
                <w:sz w:val="18"/>
                <w:szCs w:val="18"/>
              </w:rPr>
            </w:pPr>
            <w:r w:rsidRPr="00384EEC">
              <w:rPr>
                <w:rFonts w:cs="Times New Roman"/>
                <w:sz w:val="18"/>
                <w:szCs w:val="18"/>
              </w:rPr>
              <w:t xml:space="preserve">× </w:t>
            </w:r>
          </w:p>
        </w:tc>
        <w:tc>
          <w:tcPr>
            <w:tcW w:w="1445" w:type="dxa"/>
          </w:tcPr>
          <w:p w14:paraId="7804F436" w14:textId="77777777" w:rsidR="0025058B" w:rsidRPr="00384EEC" w:rsidRDefault="0025058B" w:rsidP="00E247FD">
            <w:pPr>
              <w:pStyle w:val="TableParagraph"/>
              <w:rPr>
                <w:rFonts w:ascii="Times New Roman" w:hAnsi="Times New Roman" w:cs="Times New Roman"/>
                <w:sz w:val="18"/>
                <w:szCs w:val="18"/>
              </w:rPr>
            </w:pPr>
          </w:p>
        </w:tc>
        <w:tc>
          <w:tcPr>
            <w:tcW w:w="1445" w:type="dxa"/>
          </w:tcPr>
          <w:p w14:paraId="7119A32A" w14:textId="77777777" w:rsidR="0025058B" w:rsidRPr="00384EEC" w:rsidRDefault="0025058B" w:rsidP="00E247FD">
            <w:pPr>
              <w:pStyle w:val="P68B1DB1-TableParagraph19"/>
              <w:spacing w:before="26"/>
              <w:ind w:left="11" w:right="4"/>
              <w:rPr>
                <w:rFonts w:cs="Times New Roman"/>
                <w:sz w:val="18"/>
                <w:szCs w:val="18"/>
              </w:rPr>
            </w:pPr>
            <w:r w:rsidRPr="00384EEC">
              <w:rPr>
                <w:rFonts w:cs="Times New Roman"/>
                <w:sz w:val="18"/>
                <w:szCs w:val="18"/>
              </w:rPr>
              <w:t xml:space="preserve">× </w:t>
            </w:r>
          </w:p>
        </w:tc>
        <w:tc>
          <w:tcPr>
            <w:tcW w:w="911" w:type="dxa"/>
          </w:tcPr>
          <w:p w14:paraId="7F9583A8" w14:textId="77777777" w:rsidR="0025058B" w:rsidRPr="00384EEC" w:rsidRDefault="0025058B" w:rsidP="00E247FD">
            <w:pPr>
              <w:pStyle w:val="P68B1DB1-TableParagraph19"/>
              <w:spacing w:before="26"/>
              <w:ind w:left="13" w:right="5"/>
              <w:rPr>
                <w:rFonts w:cs="Times New Roman"/>
                <w:sz w:val="18"/>
                <w:szCs w:val="18"/>
              </w:rPr>
            </w:pPr>
            <w:r w:rsidRPr="00384EEC">
              <w:rPr>
                <w:rFonts w:cs="Times New Roman"/>
                <w:sz w:val="18"/>
                <w:szCs w:val="18"/>
              </w:rPr>
              <w:t xml:space="preserve">× </w:t>
            </w:r>
          </w:p>
        </w:tc>
        <w:tc>
          <w:tcPr>
            <w:tcW w:w="1100" w:type="dxa"/>
          </w:tcPr>
          <w:p w14:paraId="25E8B88C"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7599701C" w14:textId="77777777" w:rsidTr="00384EEC">
        <w:trPr>
          <w:trHeight w:val="330"/>
          <w:jc w:val="center"/>
        </w:trPr>
        <w:tc>
          <w:tcPr>
            <w:tcW w:w="1670" w:type="dxa"/>
          </w:tcPr>
          <w:p w14:paraId="545544E9" w14:textId="77777777" w:rsidR="0025058B" w:rsidRPr="00384EEC" w:rsidRDefault="0025058B" w:rsidP="00E247FD">
            <w:pPr>
              <w:pStyle w:val="P68B1DB1-TableParagraph18"/>
              <w:spacing w:line="310" w:lineRule="exact"/>
              <w:ind w:left="10"/>
              <w:rPr>
                <w:rFonts w:ascii="Times New Roman" w:hAnsi="Times New Roman" w:cs="Times New Roman"/>
                <w:sz w:val="18"/>
                <w:szCs w:val="18"/>
              </w:rPr>
            </w:pPr>
            <w:r w:rsidRPr="00384EEC">
              <w:rPr>
                <w:rFonts w:ascii="Times New Roman" w:hAnsi="Times New Roman" w:cs="Times New Roman"/>
                <w:sz w:val="18"/>
                <w:szCs w:val="18"/>
              </w:rPr>
              <w:t xml:space="preserve">Echocardiography </w:t>
            </w:r>
          </w:p>
        </w:tc>
        <w:tc>
          <w:tcPr>
            <w:tcW w:w="786" w:type="dxa"/>
          </w:tcPr>
          <w:p w14:paraId="66417B2E" w14:textId="77777777" w:rsidR="0025058B" w:rsidRPr="00384EEC" w:rsidRDefault="0025058B" w:rsidP="00E247FD">
            <w:pPr>
              <w:pStyle w:val="TableParagraph"/>
              <w:rPr>
                <w:rFonts w:ascii="Times New Roman" w:hAnsi="Times New Roman" w:cs="Times New Roman"/>
                <w:sz w:val="18"/>
                <w:szCs w:val="18"/>
              </w:rPr>
            </w:pPr>
          </w:p>
        </w:tc>
        <w:tc>
          <w:tcPr>
            <w:tcW w:w="692" w:type="dxa"/>
          </w:tcPr>
          <w:p w14:paraId="791F7A0F" w14:textId="77777777" w:rsidR="0025058B" w:rsidRPr="00384EEC" w:rsidRDefault="0025058B" w:rsidP="00E247FD">
            <w:pPr>
              <w:pStyle w:val="P68B1DB1-TableParagraph19"/>
              <w:spacing w:before="27"/>
              <w:ind w:left="10" w:right="2"/>
              <w:rPr>
                <w:rFonts w:cs="Times New Roman"/>
                <w:sz w:val="18"/>
                <w:szCs w:val="18"/>
              </w:rPr>
            </w:pPr>
            <w:r w:rsidRPr="00384EEC">
              <w:rPr>
                <w:rFonts w:cs="Times New Roman"/>
                <w:sz w:val="18"/>
                <w:szCs w:val="18"/>
              </w:rPr>
              <w:t xml:space="preserve">× </w:t>
            </w:r>
          </w:p>
        </w:tc>
        <w:tc>
          <w:tcPr>
            <w:tcW w:w="820" w:type="dxa"/>
          </w:tcPr>
          <w:p w14:paraId="479A964C"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1084BD66"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4F62B916"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19636254"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14BFE21F"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20527C2E"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1772BE0A"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27F14A7E" w14:textId="77777777" w:rsidR="0025058B" w:rsidRPr="00384EEC" w:rsidRDefault="0025058B" w:rsidP="00E247FD">
            <w:pPr>
              <w:pStyle w:val="TableParagraph"/>
              <w:rPr>
                <w:rFonts w:ascii="Times New Roman" w:hAnsi="Times New Roman" w:cs="Times New Roman"/>
                <w:sz w:val="18"/>
                <w:szCs w:val="18"/>
              </w:rPr>
            </w:pPr>
          </w:p>
        </w:tc>
        <w:tc>
          <w:tcPr>
            <w:tcW w:w="1445" w:type="dxa"/>
          </w:tcPr>
          <w:p w14:paraId="6EC39AD6" w14:textId="77777777" w:rsidR="0025058B" w:rsidRPr="00384EEC" w:rsidRDefault="0025058B" w:rsidP="00E247FD">
            <w:pPr>
              <w:pStyle w:val="TableParagraph"/>
              <w:rPr>
                <w:rFonts w:ascii="Times New Roman" w:hAnsi="Times New Roman" w:cs="Times New Roman"/>
                <w:sz w:val="18"/>
                <w:szCs w:val="18"/>
              </w:rPr>
            </w:pPr>
          </w:p>
        </w:tc>
        <w:tc>
          <w:tcPr>
            <w:tcW w:w="1445" w:type="dxa"/>
          </w:tcPr>
          <w:p w14:paraId="6118067E" w14:textId="77777777" w:rsidR="0025058B" w:rsidRPr="00384EEC" w:rsidRDefault="0025058B" w:rsidP="00E247FD">
            <w:pPr>
              <w:pStyle w:val="TableParagraph"/>
              <w:rPr>
                <w:rFonts w:ascii="Times New Roman" w:hAnsi="Times New Roman" w:cs="Times New Roman"/>
                <w:sz w:val="18"/>
                <w:szCs w:val="18"/>
              </w:rPr>
            </w:pPr>
          </w:p>
        </w:tc>
        <w:tc>
          <w:tcPr>
            <w:tcW w:w="911" w:type="dxa"/>
          </w:tcPr>
          <w:p w14:paraId="71BDE843" w14:textId="77777777" w:rsidR="0025058B" w:rsidRPr="00384EEC" w:rsidRDefault="0025058B" w:rsidP="00E247FD">
            <w:pPr>
              <w:pStyle w:val="TableParagraph"/>
              <w:rPr>
                <w:rFonts w:ascii="Times New Roman" w:hAnsi="Times New Roman" w:cs="Times New Roman"/>
                <w:sz w:val="18"/>
                <w:szCs w:val="18"/>
              </w:rPr>
            </w:pPr>
          </w:p>
        </w:tc>
        <w:tc>
          <w:tcPr>
            <w:tcW w:w="1100" w:type="dxa"/>
          </w:tcPr>
          <w:p w14:paraId="1D84400A"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5060638B" w14:textId="77777777" w:rsidTr="00384EEC">
        <w:trPr>
          <w:trHeight w:val="596"/>
          <w:jc w:val="center"/>
        </w:trPr>
        <w:tc>
          <w:tcPr>
            <w:tcW w:w="1670" w:type="dxa"/>
          </w:tcPr>
          <w:p w14:paraId="1A6ED005" w14:textId="789214F3" w:rsidR="0025058B" w:rsidRPr="00384EEC" w:rsidRDefault="0025058B" w:rsidP="00384EEC">
            <w:pPr>
              <w:pStyle w:val="P68B1DB1-TableParagraph21"/>
              <w:spacing w:before="116"/>
              <w:ind w:right="3"/>
              <w:jc w:val="both"/>
              <w:rPr>
                <w:rFonts w:hAnsi="Times New Roman" w:cs="Times New Roman"/>
                <w:sz w:val="18"/>
                <w:szCs w:val="18"/>
              </w:rPr>
            </w:pPr>
            <w:r w:rsidRPr="00384EEC">
              <w:rPr>
                <w:rFonts w:hAnsi="Times New Roman" w:cs="Times New Roman"/>
                <w:sz w:val="18"/>
                <w:szCs w:val="18"/>
              </w:rPr>
              <w:t xml:space="preserve">12-Electrocardiogram </w:t>
            </w:r>
          </w:p>
        </w:tc>
        <w:tc>
          <w:tcPr>
            <w:tcW w:w="786" w:type="dxa"/>
          </w:tcPr>
          <w:p w14:paraId="282F0E62" w14:textId="77777777" w:rsidR="0025058B" w:rsidRPr="00384EEC" w:rsidRDefault="0025058B" w:rsidP="00E247FD">
            <w:pPr>
              <w:pStyle w:val="TableParagraph"/>
              <w:rPr>
                <w:rFonts w:ascii="Times New Roman" w:hAnsi="Times New Roman" w:cs="Times New Roman"/>
                <w:sz w:val="18"/>
                <w:szCs w:val="18"/>
              </w:rPr>
            </w:pPr>
          </w:p>
        </w:tc>
        <w:tc>
          <w:tcPr>
            <w:tcW w:w="692" w:type="dxa"/>
          </w:tcPr>
          <w:p w14:paraId="304792C7" w14:textId="77777777" w:rsidR="0025058B" w:rsidRPr="00384EEC" w:rsidRDefault="0025058B" w:rsidP="00E247FD">
            <w:pPr>
              <w:pStyle w:val="P68B1DB1-TableParagraph19"/>
              <w:spacing w:before="159"/>
              <w:ind w:left="10" w:right="2"/>
              <w:rPr>
                <w:rFonts w:cs="Times New Roman"/>
                <w:sz w:val="18"/>
                <w:szCs w:val="18"/>
              </w:rPr>
            </w:pPr>
            <w:r w:rsidRPr="00384EEC">
              <w:rPr>
                <w:rFonts w:cs="Times New Roman"/>
                <w:sz w:val="18"/>
                <w:szCs w:val="18"/>
              </w:rPr>
              <w:t xml:space="preserve">× </w:t>
            </w:r>
          </w:p>
        </w:tc>
        <w:tc>
          <w:tcPr>
            <w:tcW w:w="820" w:type="dxa"/>
          </w:tcPr>
          <w:p w14:paraId="44D6B994"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7C9A4212" w14:textId="77777777" w:rsidR="0025058B" w:rsidRPr="00384EEC" w:rsidRDefault="0025058B" w:rsidP="00E247FD">
            <w:pPr>
              <w:pStyle w:val="P68B1DB1-TableParagraph19"/>
              <w:spacing w:before="159"/>
              <w:ind w:left="10"/>
              <w:rPr>
                <w:rFonts w:cs="Times New Roman"/>
                <w:sz w:val="18"/>
                <w:szCs w:val="18"/>
              </w:rPr>
            </w:pPr>
            <w:r w:rsidRPr="00384EEC">
              <w:rPr>
                <w:rFonts w:cs="Times New Roman"/>
                <w:sz w:val="18"/>
                <w:szCs w:val="18"/>
              </w:rPr>
              <w:t xml:space="preserve">× </w:t>
            </w:r>
          </w:p>
        </w:tc>
        <w:tc>
          <w:tcPr>
            <w:tcW w:w="910" w:type="dxa"/>
          </w:tcPr>
          <w:p w14:paraId="44E5AE8A" w14:textId="77777777" w:rsidR="0025058B" w:rsidRPr="00384EEC" w:rsidRDefault="0025058B" w:rsidP="00E247FD">
            <w:pPr>
              <w:pStyle w:val="P68B1DB1-TableParagraph19"/>
              <w:spacing w:before="159"/>
              <w:ind w:left="10"/>
              <w:rPr>
                <w:rFonts w:cs="Times New Roman"/>
                <w:sz w:val="18"/>
                <w:szCs w:val="18"/>
              </w:rPr>
            </w:pPr>
            <w:r w:rsidRPr="00384EEC">
              <w:rPr>
                <w:rFonts w:cs="Times New Roman"/>
                <w:sz w:val="18"/>
                <w:szCs w:val="18"/>
              </w:rPr>
              <w:t xml:space="preserve">× </w:t>
            </w:r>
          </w:p>
        </w:tc>
        <w:tc>
          <w:tcPr>
            <w:tcW w:w="910" w:type="dxa"/>
          </w:tcPr>
          <w:p w14:paraId="3A65C3AB" w14:textId="77777777" w:rsidR="0025058B" w:rsidRPr="00384EEC" w:rsidRDefault="0025058B" w:rsidP="00E247FD">
            <w:pPr>
              <w:pStyle w:val="P68B1DB1-TableParagraph19"/>
              <w:spacing w:before="159"/>
              <w:ind w:left="10" w:right="1"/>
              <w:rPr>
                <w:rFonts w:cs="Times New Roman"/>
                <w:sz w:val="18"/>
                <w:szCs w:val="18"/>
              </w:rPr>
            </w:pPr>
            <w:r w:rsidRPr="00384EEC">
              <w:rPr>
                <w:rFonts w:cs="Times New Roman"/>
                <w:sz w:val="18"/>
                <w:szCs w:val="18"/>
              </w:rPr>
              <w:t xml:space="preserve">× </w:t>
            </w:r>
          </w:p>
        </w:tc>
        <w:tc>
          <w:tcPr>
            <w:tcW w:w="790" w:type="dxa"/>
          </w:tcPr>
          <w:p w14:paraId="6D10414C"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23A5FA12" w14:textId="77777777" w:rsidR="0025058B" w:rsidRPr="00384EEC" w:rsidRDefault="0025058B" w:rsidP="00E247FD">
            <w:pPr>
              <w:pStyle w:val="P68B1DB1-TableParagraph19"/>
              <w:spacing w:before="159"/>
              <w:ind w:left="10" w:right="3"/>
              <w:rPr>
                <w:rFonts w:cs="Times New Roman"/>
                <w:sz w:val="18"/>
                <w:szCs w:val="18"/>
              </w:rPr>
            </w:pPr>
            <w:r w:rsidRPr="00384EEC">
              <w:rPr>
                <w:rFonts w:cs="Times New Roman"/>
                <w:sz w:val="18"/>
                <w:szCs w:val="18"/>
              </w:rPr>
              <w:t xml:space="preserve">× </w:t>
            </w:r>
          </w:p>
        </w:tc>
        <w:tc>
          <w:tcPr>
            <w:tcW w:w="910" w:type="dxa"/>
          </w:tcPr>
          <w:p w14:paraId="317748F3" w14:textId="77777777" w:rsidR="0025058B" w:rsidRPr="00384EEC" w:rsidRDefault="0025058B" w:rsidP="00E247FD">
            <w:pPr>
              <w:pStyle w:val="P68B1DB1-TableParagraph19"/>
              <w:spacing w:before="159"/>
              <w:ind w:left="10" w:right="4"/>
              <w:rPr>
                <w:rFonts w:cs="Times New Roman"/>
                <w:sz w:val="18"/>
                <w:szCs w:val="18"/>
              </w:rPr>
            </w:pPr>
            <w:r w:rsidRPr="00384EEC">
              <w:rPr>
                <w:rFonts w:cs="Times New Roman"/>
                <w:sz w:val="18"/>
                <w:szCs w:val="18"/>
              </w:rPr>
              <w:t xml:space="preserve">× </w:t>
            </w:r>
          </w:p>
        </w:tc>
        <w:tc>
          <w:tcPr>
            <w:tcW w:w="910" w:type="dxa"/>
          </w:tcPr>
          <w:p w14:paraId="483665E6" w14:textId="77777777" w:rsidR="0025058B" w:rsidRPr="00384EEC" w:rsidRDefault="0025058B" w:rsidP="00E247FD">
            <w:pPr>
              <w:pStyle w:val="P68B1DB1-TableParagraph19"/>
              <w:spacing w:before="159"/>
              <w:ind w:left="10"/>
              <w:rPr>
                <w:rFonts w:cs="Times New Roman"/>
                <w:sz w:val="18"/>
                <w:szCs w:val="18"/>
              </w:rPr>
            </w:pPr>
            <w:r w:rsidRPr="00384EEC">
              <w:rPr>
                <w:rFonts w:cs="Times New Roman"/>
                <w:sz w:val="18"/>
                <w:szCs w:val="18"/>
              </w:rPr>
              <w:t xml:space="preserve">× </w:t>
            </w:r>
          </w:p>
        </w:tc>
        <w:tc>
          <w:tcPr>
            <w:tcW w:w="1445" w:type="dxa"/>
          </w:tcPr>
          <w:p w14:paraId="69EFF74D" w14:textId="77777777" w:rsidR="0025058B" w:rsidRPr="00384EEC" w:rsidRDefault="0025058B" w:rsidP="00E247FD">
            <w:pPr>
              <w:pStyle w:val="P68B1DB1-TableParagraph19"/>
              <w:spacing w:before="159"/>
              <w:ind w:left="11" w:right="4"/>
              <w:rPr>
                <w:rFonts w:cs="Times New Roman"/>
                <w:sz w:val="18"/>
                <w:szCs w:val="18"/>
              </w:rPr>
            </w:pPr>
            <w:r w:rsidRPr="00384EEC">
              <w:rPr>
                <w:rFonts w:cs="Times New Roman"/>
                <w:sz w:val="18"/>
                <w:szCs w:val="18"/>
              </w:rPr>
              <w:t xml:space="preserve">× </w:t>
            </w:r>
          </w:p>
        </w:tc>
        <w:tc>
          <w:tcPr>
            <w:tcW w:w="1445" w:type="dxa"/>
          </w:tcPr>
          <w:p w14:paraId="35EF4181" w14:textId="77777777" w:rsidR="0025058B" w:rsidRPr="00384EEC" w:rsidRDefault="0025058B" w:rsidP="00E247FD">
            <w:pPr>
              <w:pStyle w:val="P68B1DB1-TableParagraph19"/>
              <w:spacing w:before="159"/>
              <w:ind w:left="11" w:right="4"/>
              <w:rPr>
                <w:rFonts w:cs="Times New Roman"/>
                <w:sz w:val="18"/>
                <w:szCs w:val="18"/>
              </w:rPr>
            </w:pPr>
            <w:r w:rsidRPr="00384EEC">
              <w:rPr>
                <w:rFonts w:cs="Times New Roman"/>
                <w:sz w:val="18"/>
                <w:szCs w:val="18"/>
              </w:rPr>
              <w:t xml:space="preserve">× </w:t>
            </w:r>
          </w:p>
        </w:tc>
        <w:tc>
          <w:tcPr>
            <w:tcW w:w="911" w:type="dxa"/>
          </w:tcPr>
          <w:p w14:paraId="36B0C75B" w14:textId="77777777" w:rsidR="0025058B" w:rsidRPr="00384EEC" w:rsidRDefault="0025058B" w:rsidP="00E247FD">
            <w:pPr>
              <w:pStyle w:val="P68B1DB1-TableParagraph19"/>
              <w:spacing w:before="159"/>
              <w:ind w:left="13" w:right="5"/>
              <w:rPr>
                <w:rFonts w:cs="Times New Roman"/>
                <w:sz w:val="18"/>
                <w:szCs w:val="18"/>
              </w:rPr>
            </w:pPr>
            <w:r w:rsidRPr="00384EEC">
              <w:rPr>
                <w:rFonts w:cs="Times New Roman"/>
                <w:sz w:val="18"/>
                <w:szCs w:val="18"/>
              </w:rPr>
              <w:t xml:space="preserve">× </w:t>
            </w:r>
          </w:p>
        </w:tc>
        <w:tc>
          <w:tcPr>
            <w:tcW w:w="1100" w:type="dxa"/>
          </w:tcPr>
          <w:p w14:paraId="36DCD190"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6ED63857" w14:textId="77777777" w:rsidTr="00384EEC">
        <w:trPr>
          <w:trHeight w:val="330"/>
          <w:jc w:val="center"/>
        </w:trPr>
        <w:tc>
          <w:tcPr>
            <w:tcW w:w="1670" w:type="dxa"/>
          </w:tcPr>
          <w:p w14:paraId="1CD7AA5C" w14:textId="510CD4CE" w:rsidR="0025058B" w:rsidRPr="00384EEC" w:rsidRDefault="0025058B" w:rsidP="00384EEC">
            <w:pPr>
              <w:pStyle w:val="P68B1DB1-TableParagraph18"/>
              <w:spacing w:line="310" w:lineRule="exact"/>
              <w:ind w:left="10"/>
              <w:jc w:val="both"/>
              <w:rPr>
                <w:rFonts w:ascii="Times New Roman" w:hAnsi="Times New Roman" w:cs="Times New Roman"/>
                <w:sz w:val="18"/>
                <w:szCs w:val="18"/>
              </w:rPr>
            </w:pPr>
            <w:r w:rsidRPr="00384EEC">
              <w:rPr>
                <w:rFonts w:ascii="Times New Roman" w:hAnsi="Times New Roman" w:cs="Times New Roman"/>
                <w:sz w:val="18"/>
                <w:szCs w:val="18"/>
              </w:rPr>
              <w:t>Blood biochemistry</w:t>
            </w:r>
          </w:p>
        </w:tc>
        <w:tc>
          <w:tcPr>
            <w:tcW w:w="786" w:type="dxa"/>
          </w:tcPr>
          <w:p w14:paraId="18AF3D40" w14:textId="77777777" w:rsidR="0025058B" w:rsidRPr="00384EEC" w:rsidRDefault="0025058B" w:rsidP="00E247FD">
            <w:pPr>
              <w:pStyle w:val="TableParagraph"/>
              <w:rPr>
                <w:rFonts w:ascii="Times New Roman" w:hAnsi="Times New Roman" w:cs="Times New Roman"/>
                <w:sz w:val="18"/>
                <w:szCs w:val="18"/>
              </w:rPr>
            </w:pPr>
          </w:p>
        </w:tc>
        <w:tc>
          <w:tcPr>
            <w:tcW w:w="692" w:type="dxa"/>
          </w:tcPr>
          <w:p w14:paraId="15CD9213" w14:textId="77777777" w:rsidR="0025058B" w:rsidRPr="00384EEC" w:rsidRDefault="0025058B" w:rsidP="00E247FD">
            <w:pPr>
              <w:pStyle w:val="P68B1DB1-TableParagraph19"/>
              <w:spacing w:before="26"/>
              <w:ind w:left="10" w:right="2"/>
              <w:rPr>
                <w:rFonts w:cs="Times New Roman"/>
                <w:sz w:val="18"/>
                <w:szCs w:val="18"/>
              </w:rPr>
            </w:pPr>
            <w:r w:rsidRPr="00384EEC">
              <w:rPr>
                <w:rFonts w:cs="Times New Roman"/>
                <w:sz w:val="18"/>
                <w:szCs w:val="18"/>
              </w:rPr>
              <w:t xml:space="preserve">× </w:t>
            </w:r>
          </w:p>
        </w:tc>
        <w:tc>
          <w:tcPr>
            <w:tcW w:w="820" w:type="dxa"/>
          </w:tcPr>
          <w:p w14:paraId="0A69A3DE"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11C041A2" w14:textId="77777777" w:rsidR="0025058B" w:rsidRPr="00384EEC" w:rsidRDefault="0025058B" w:rsidP="00E247FD">
            <w:pPr>
              <w:pStyle w:val="P68B1DB1-TableParagraph19"/>
              <w:spacing w:before="26"/>
              <w:ind w:left="10"/>
              <w:rPr>
                <w:rFonts w:cs="Times New Roman"/>
                <w:sz w:val="18"/>
                <w:szCs w:val="18"/>
              </w:rPr>
            </w:pPr>
            <w:r w:rsidRPr="00384EEC">
              <w:rPr>
                <w:rFonts w:cs="Times New Roman"/>
                <w:sz w:val="18"/>
                <w:szCs w:val="18"/>
              </w:rPr>
              <w:t xml:space="preserve">× </w:t>
            </w:r>
          </w:p>
        </w:tc>
        <w:tc>
          <w:tcPr>
            <w:tcW w:w="910" w:type="dxa"/>
          </w:tcPr>
          <w:p w14:paraId="17A2B05B" w14:textId="77777777" w:rsidR="0025058B" w:rsidRPr="00384EEC" w:rsidRDefault="0025058B" w:rsidP="00E247FD">
            <w:pPr>
              <w:pStyle w:val="P68B1DB1-TableParagraph19"/>
              <w:spacing w:before="26"/>
              <w:ind w:left="10"/>
              <w:rPr>
                <w:rFonts w:cs="Times New Roman"/>
                <w:sz w:val="18"/>
                <w:szCs w:val="18"/>
              </w:rPr>
            </w:pPr>
            <w:r w:rsidRPr="00384EEC">
              <w:rPr>
                <w:rFonts w:cs="Times New Roman"/>
                <w:sz w:val="18"/>
                <w:szCs w:val="18"/>
              </w:rPr>
              <w:t xml:space="preserve">× </w:t>
            </w:r>
          </w:p>
        </w:tc>
        <w:tc>
          <w:tcPr>
            <w:tcW w:w="910" w:type="dxa"/>
          </w:tcPr>
          <w:p w14:paraId="575457FE" w14:textId="77777777" w:rsidR="0025058B" w:rsidRPr="00384EEC" w:rsidRDefault="0025058B" w:rsidP="00E247FD">
            <w:pPr>
              <w:pStyle w:val="P68B1DB1-TableParagraph19"/>
              <w:spacing w:before="26"/>
              <w:ind w:left="10" w:right="1"/>
              <w:rPr>
                <w:rFonts w:cs="Times New Roman"/>
                <w:sz w:val="18"/>
                <w:szCs w:val="18"/>
              </w:rPr>
            </w:pPr>
            <w:r w:rsidRPr="00384EEC">
              <w:rPr>
                <w:rFonts w:cs="Times New Roman"/>
                <w:sz w:val="18"/>
                <w:szCs w:val="18"/>
              </w:rPr>
              <w:t xml:space="preserve">× </w:t>
            </w:r>
          </w:p>
        </w:tc>
        <w:tc>
          <w:tcPr>
            <w:tcW w:w="790" w:type="dxa"/>
          </w:tcPr>
          <w:p w14:paraId="59C0894F"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4A6073F7" w14:textId="77777777" w:rsidR="0025058B" w:rsidRPr="00384EEC" w:rsidRDefault="0025058B" w:rsidP="00E247FD">
            <w:pPr>
              <w:pStyle w:val="P68B1DB1-TableParagraph19"/>
              <w:spacing w:before="26"/>
              <w:ind w:left="10" w:right="3"/>
              <w:rPr>
                <w:rFonts w:cs="Times New Roman"/>
                <w:sz w:val="18"/>
                <w:szCs w:val="18"/>
              </w:rPr>
            </w:pPr>
            <w:r w:rsidRPr="00384EEC">
              <w:rPr>
                <w:rFonts w:cs="Times New Roman"/>
                <w:sz w:val="18"/>
                <w:szCs w:val="18"/>
              </w:rPr>
              <w:t xml:space="preserve">× </w:t>
            </w:r>
          </w:p>
        </w:tc>
        <w:tc>
          <w:tcPr>
            <w:tcW w:w="910" w:type="dxa"/>
          </w:tcPr>
          <w:p w14:paraId="714DA385" w14:textId="77777777" w:rsidR="0025058B" w:rsidRPr="00384EEC" w:rsidRDefault="0025058B" w:rsidP="00E247FD">
            <w:pPr>
              <w:pStyle w:val="P68B1DB1-TableParagraph19"/>
              <w:spacing w:before="26"/>
              <w:ind w:left="10" w:right="4"/>
              <w:rPr>
                <w:rFonts w:cs="Times New Roman"/>
                <w:sz w:val="18"/>
                <w:szCs w:val="18"/>
              </w:rPr>
            </w:pPr>
            <w:r w:rsidRPr="00384EEC">
              <w:rPr>
                <w:rFonts w:cs="Times New Roman"/>
                <w:sz w:val="18"/>
                <w:szCs w:val="18"/>
              </w:rPr>
              <w:t xml:space="preserve">× </w:t>
            </w:r>
          </w:p>
        </w:tc>
        <w:tc>
          <w:tcPr>
            <w:tcW w:w="910" w:type="dxa"/>
          </w:tcPr>
          <w:p w14:paraId="4A870885" w14:textId="77777777" w:rsidR="0025058B" w:rsidRPr="00384EEC" w:rsidRDefault="0025058B" w:rsidP="00E247FD">
            <w:pPr>
              <w:pStyle w:val="P68B1DB1-TableParagraph19"/>
              <w:spacing w:before="26"/>
              <w:ind w:left="10"/>
              <w:rPr>
                <w:rFonts w:cs="Times New Roman"/>
                <w:sz w:val="18"/>
                <w:szCs w:val="18"/>
              </w:rPr>
            </w:pPr>
            <w:r w:rsidRPr="00384EEC">
              <w:rPr>
                <w:rFonts w:cs="Times New Roman"/>
                <w:sz w:val="18"/>
                <w:szCs w:val="18"/>
              </w:rPr>
              <w:t xml:space="preserve">× </w:t>
            </w:r>
          </w:p>
        </w:tc>
        <w:tc>
          <w:tcPr>
            <w:tcW w:w="1445" w:type="dxa"/>
          </w:tcPr>
          <w:p w14:paraId="395EC30A" w14:textId="77777777" w:rsidR="0025058B" w:rsidRPr="00384EEC" w:rsidRDefault="0025058B" w:rsidP="00E247FD">
            <w:pPr>
              <w:pStyle w:val="P68B1DB1-TableParagraph19"/>
              <w:spacing w:before="26"/>
              <w:ind w:left="11" w:right="4"/>
              <w:rPr>
                <w:rFonts w:cs="Times New Roman"/>
                <w:sz w:val="18"/>
                <w:szCs w:val="18"/>
              </w:rPr>
            </w:pPr>
            <w:r w:rsidRPr="00384EEC">
              <w:rPr>
                <w:rFonts w:cs="Times New Roman"/>
                <w:sz w:val="18"/>
                <w:szCs w:val="18"/>
              </w:rPr>
              <w:t xml:space="preserve">× </w:t>
            </w:r>
          </w:p>
        </w:tc>
        <w:tc>
          <w:tcPr>
            <w:tcW w:w="1445" w:type="dxa"/>
          </w:tcPr>
          <w:p w14:paraId="036D1F9E" w14:textId="77777777" w:rsidR="0025058B" w:rsidRPr="00384EEC" w:rsidRDefault="0025058B" w:rsidP="00E247FD">
            <w:pPr>
              <w:pStyle w:val="P68B1DB1-TableParagraph19"/>
              <w:spacing w:before="26"/>
              <w:ind w:left="11" w:right="4"/>
              <w:rPr>
                <w:rFonts w:cs="Times New Roman"/>
                <w:sz w:val="18"/>
                <w:szCs w:val="18"/>
              </w:rPr>
            </w:pPr>
            <w:r w:rsidRPr="00384EEC">
              <w:rPr>
                <w:rFonts w:cs="Times New Roman"/>
                <w:sz w:val="18"/>
                <w:szCs w:val="18"/>
              </w:rPr>
              <w:t xml:space="preserve">× </w:t>
            </w:r>
          </w:p>
        </w:tc>
        <w:tc>
          <w:tcPr>
            <w:tcW w:w="911" w:type="dxa"/>
          </w:tcPr>
          <w:p w14:paraId="0C62A0BB" w14:textId="77777777" w:rsidR="0025058B" w:rsidRPr="00384EEC" w:rsidRDefault="0025058B" w:rsidP="00E247FD">
            <w:pPr>
              <w:pStyle w:val="P68B1DB1-TableParagraph19"/>
              <w:spacing w:before="26"/>
              <w:ind w:left="13" w:right="5"/>
              <w:rPr>
                <w:rFonts w:cs="Times New Roman"/>
                <w:sz w:val="18"/>
                <w:szCs w:val="18"/>
              </w:rPr>
            </w:pPr>
            <w:r w:rsidRPr="00384EEC">
              <w:rPr>
                <w:rFonts w:cs="Times New Roman"/>
                <w:sz w:val="18"/>
                <w:szCs w:val="18"/>
              </w:rPr>
              <w:t xml:space="preserve">× </w:t>
            </w:r>
          </w:p>
        </w:tc>
        <w:tc>
          <w:tcPr>
            <w:tcW w:w="1100" w:type="dxa"/>
          </w:tcPr>
          <w:p w14:paraId="3EBCDF7B"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4CEC4AD2" w14:textId="77777777" w:rsidTr="00384EEC">
        <w:trPr>
          <w:trHeight w:val="330"/>
          <w:jc w:val="center"/>
        </w:trPr>
        <w:tc>
          <w:tcPr>
            <w:tcW w:w="1670" w:type="dxa"/>
          </w:tcPr>
          <w:p w14:paraId="2B3C4676" w14:textId="77777777" w:rsidR="0025058B" w:rsidRPr="00384EEC" w:rsidRDefault="0025058B" w:rsidP="00E247FD">
            <w:pPr>
              <w:pStyle w:val="P68B1DB1-TableParagraph18"/>
              <w:spacing w:line="310" w:lineRule="exact"/>
              <w:ind w:left="10"/>
              <w:rPr>
                <w:rFonts w:ascii="Times New Roman" w:hAnsi="Times New Roman" w:cs="Times New Roman"/>
                <w:sz w:val="18"/>
                <w:szCs w:val="18"/>
              </w:rPr>
            </w:pPr>
            <w:r w:rsidRPr="00384EEC">
              <w:rPr>
                <w:rFonts w:ascii="Times New Roman" w:hAnsi="Times New Roman" w:cs="Times New Roman"/>
                <w:sz w:val="18"/>
                <w:szCs w:val="18"/>
              </w:rPr>
              <w:t xml:space="preserve">Blood routine </w:t>
            </w:r>
          </w:p>
        </w:tc>
        <w:tc>
          <w:tcPr>
            <w:tcW w:w="786" w:type="dxa"/>
          </w:tcPr>
          <w:p w14:paraId="4267E33A" w14:textId="77777777" w:rsidR="0025058B" w:rsidRPr="00384EEC" w:rsidRDefault="0025058B" w:rsidP="00E247FD">
            <w:pPr>
              <w:pStyle w:val="TableParagraph"/>
              <w:rPr>
                <w:rFonts w:ascii="Times New Roman" w:hAnsi="Times New Roman" w:cs="Times New Roman"/>
                <w:sz w:val="18"/>
                <w:szCs w:val="18"/>
              </w:rPr>
            </w:pPr>
          </w:p>
        </w:tc>
        <w:tc>
          <w:tcPr>
            <w:tcW w:w="692" w:type="dxa"/>
          </w:tcPr>
          <w:p w14:paraId="2684F10D" w14:textId="77777777" w:rsidR="0025058B" w:rsidRPr="00384EEC" w:rsidRDefault="0025058B" w:rsidP="00E247FD">
            <w:pPr>
              <w:pStyle w:val="P68B1DB1-TableParagraph19"/>
              <w:spacing w:before="27"/>
              <w:ind w:left="10" w:right="2"/>
              <w:rPr>
                <w:rFonts w:cs="Times New Roman"/>
                <w:sz w:val="18"/>
                <w:szCs w:val="18"/>
              </w:rPr>
            </w:pPr>
            <w:r w:rsidRPr="00384EEC">
              <w:rPr>
                <w:rFonts w:cs="Times New Roman"/>
                <w:sz w:val="18"/>
                <w:szCs w:val="18"/>
              </w:rPr>
              <w:t xml:space="preserve">× </w:t>
            </w:r>
          </w:p>
        </w:tc>
        <w:tc>
          <w:tcPr>
            <w:tcW w:w="820" w:type="dxa"/>
          </w:tcPr>
          <w:p w14:paraId="5520566A"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54A0006A" w14:textId="77777777" w:rsidR="0025058B" w:rsidRPr="00384EEC" w:rsidRDefault="0025058B" w:rsidP="00E247FD">
            <w:pPr>
              <w:pStyle w:val="P68B1DB1-TableParagraph19"/>
              <w:spacing w:before="27"/>
              <w:ind w:left="10"/>
              <w:rPr>
                <w:rFonts w:cs="Times New Roman"/>
                <w:sz w:val="18"/>
                <w:szCs w:val="18"/>
              </w:rPr>
            </w:pPr>
            <w:r w:rsidRPr="00384EEC">
              <w:rPr>
                <w:rFonts w:cs="Times New Roman"/>
                <w:sz w:val="18"/>
                <w:szCs w:val="18"/>
              </w:rPr>
              <w:t xml:space="preserve">× </w:t>
            </w:r>
          </w:p>
        </w:tc>
        <w:tc>
          <w:tcPr>
            <w:tcW w:w="910" w:type="dxa"/>
          </w:tcPr>
          <w:p w14:paraId="193CCF88" w14:textId="77777777" w:rsidR="0025058B" w:rsidRPr="00384EEC" w:rsidRDefault="0025058B" w:rsidP="00E247FD">
            <w:pPr>
              <w:pStyle w:val="P68B1DB1-TableParagraph19"/>
              <w:spacing w:before="27"/>
              <w:ind w:left="10"/>
              <w:rPr>
                <w:rFonts w:cs="Times New Roman"/>
                <w:sz w:val="18"/>
                <w:szCs w:val="18"/>
              </w:rPr>
            </w:pPr>
            <w:r w:rsidRPr="00384EEC">
              <w:rPr>
                <w:rFonts w:cs="Times New Roman"/>
                <w:sz w:val="18"/>
                <w:szCs w:val="18"/>
              </w:rPr>
              <w:t xml:space="preserve">× </w:t>
            </w:r>
          </w:p>
        </w:tc>
        <w:tc>
          <w:tcPr>
            <w:tcW w:w="910" w:type="dxa"/>
          </w:tcPr>
          <w:p w14:paraId="4CF252E5" w14:textId="77777777" w:rsidR="0025058B" w:rsidRPr="00384EEC" w:rsidRDefault="0025058B" w:rsidP="00E247FD">
            <w:pPr>
              <w:pStyle w:val="P68B1DB1-TableParagraph19"/>
              <w:spacing w:before="27"/>
              <w:ind w:left="10" w:right="1"/>
              <w:rPr>
                <w:rFonts w:cs="Times New Roman"/>
                <w:sz w:val="18"/>
                <w:szCs w:val="18"/>
              </w:rPr>
            </w:pPr>
            <w:r w:rsidRPr="00384EEC">
              <w:rPr>
                <w:rFonts w:cs="Times New Roman"/>
                <w:sz w:val="18"/>
                <w:szCs w:val="18"/>
              </w:rPr>
              <w:t xml:space="preserve">× </w:t>
            </w:r>
          </w:p>
        </w:tc>
        <w:tc>
          <w:tcPr>
            <w:tcW w:w="790" w:type="dxa"/>
          </w:tcPr>
          <w:p w14:paraId="076307C4"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7D2DA53E" w14:textId="77777777" w:rsidR="0025058B" w:rsidRPr="00384EEC" w:rsidRDefault="0025058B" w:rsidP="00E247FD">
            <w:pPr>
              <w:pStyle w:val="P68B1DB1-TableParagraph19"/>
              <w:spacing w:before="27"/>
              <w:ind w:left="10" w:right="3"/>
              <w:rPr>
                <w:rFonts w:cs="Times New Roman"/>
                <w:sz w:val="18"/>
                <w:szCs w:val="18"/>
              </w:rPr>
            </w:pPr>
            <w:r w:rsidRPr="00384EEC">
              <w:rPr>
                <w:rFonts w:cs="Times New Roman"/>
                <w:sz w:val="18"/>
                <w:szCs w:val="18"/>
              </w:rPr>
              <w:t xml:space="preserve">× </w:t>
            </w:r>
          </w:p>
        </w:tc>
        <w:tc>
          <w:tcPr>
            <w:tcW w:w="910" w:type="dxa"/>
          </w:tcPr>
          <w:p w14:paraId="5B2940D2" w14:textId="77777777" w:rsidR="0025058B" w:rsidRPr="00384EEC" w:rsidRDefault="0025058B" w:rsidP="00E247FD">
            <w:pPr>
              <w:pStyle w:val="P68B1DB1-TableParagraph19"/>
              <w:spacing w:before="27"/>
              <w:ind w:left="10" w:right="4"/>
              <w:rPr>
                <w:rFonts w:cs="Times New Roman"/>
                <w:sz w:val="18"/>
                <w:szCs w:val="18"/>
              </w:rPr>
            </w:pPr>
            <w:r w:rsidRPr="00384EEC">
              <w:rPr>
                <w:rFonts w:cs="Times New Roman"/>
                <w:sz w:val="18"/>
                <w:szCs w:val="18"/>
              </w:rPr>
              <w:t xml:space="preserve">× </w:t>
            </w:r>
          </w:p>
        </w:tc>
        <w:tc>
          <w:tcPr>
            <w:tcW w:w="910" w:type="dxa"/>
          </w:tcPr>
          <w:p w14:paraId="58A89786" w14:textId="77777777" w:rsidR="0025058B" w:rsidRPr="00384EEC" w:rsidRDefault="0025058B" w:rsidP="00E247FD">
            <w:pPr>
              <w:pStyle w:val="P68B1DB1-TableParagraph19"/>
              <w:spacing w:before="27"/>
              <w:ind w:left="10"/>
              <w:rPr>
                <w:rFonts w:cs="Times New Roman"/>
                <w:sz w:val="18"/>
                <w:szCs w:val="18"/>
              </w:rPr>
            </w:pPr>
            <w:r w:rsidRPr="00384EEC">
              <w:rPr>
                <w:rFonts w:cs="Times New Roman"/>
                <w:sz w:val="18"/>
                <w:szCs w:val="18"/>
              </w:rPr>
              <w:t xml:space="preserve">× </w:t>
            </w:r>
          </w:p>
        </w:tc>
        <w:tc>
          <w:tcPr>
            <w:tcW w:w="1445" w:type="dxa"/>
          </w:tcPr>
          <w:p w14:paraId="56C9C459" w14:textId="77777777" w:rsidR="0025058B" w:rsidRPr="00384EEC" w:rsidRDefault="0025058B" w:rsidP="00E247FD">
            <w:pPr>
              <w:pStyle w:val="P68B1DB1-TableParagraph19"/>
              <w:spacing w:before="27"/>
              <w:ind w:left="11" w:right="4"/>
              <w:rPr>
                <w:rFonts w:cs="Times New Roman"/>
                <w:sz w:val="18"/>
                <w:szCs w:val="18"/>
              </w:rPr>
            </w:pPr>
            <w:r w:rsidRPr="00384EEC">
              <w:rPr>
                <w:rFonts w:cs="Times New Roman"/>
                <w:sz w:val="18"/>
                <w:szCs w:val="18"/>
              </w:rPr>
              <w:t xml:space="preserve">× </w:t>
            </w:r>
          </w:p>
        </w:tc>
        <w:tc>
          <w:tcPr>
            <w:tcW w:w="1445" w:type="dxa"/>
          </w:tcPr>
          <w:p w14:paraId="157E6DEA" w14:textId="77777777" w:rsidR="0025058B" w:rsidRPr="00384EEC" w:rsidRDefault="0025058B" w:rsidP="00E247FD">
            <w:pPr>
              <w:pStyle w:val="P68B1DB1-TableParagraph19"/>
              <w:spacing w:before="27"/>
              <w:ind w:left="11" w:right="4"/>
              <w:rPr>
                <w:rFonts w:cs="Times New Roman"/>
                <w:sz w:val="18"/>
                <w:szCs w:val="18"/>
              </w:rPr>
            </w:pPr>
            <w:r w:rsidRPr="00384EEC">
              <w:rPr>
                <w:rFonts w:cs="Times New Roman"/>
                <w:sz w:val="18"/>
                <w:szCs w:val="18"/>
              </w:rPr>
              <w:t xml:space="preserve">× </w:t>
            </w:r>
          </w:p>
        </w:tc>
        <w:tc>
          <w:tcPr>
            <w:tcW w:w="911" w:type="dxa"/>
          </w:tcPr>
          <w:p w14:paraId="2E4B6CD8" w14:textId="77777777" w:rsidR="0025058B" w:rsidRPr="00384EEC" w:rsidRDefault="0025058B" w:rsidP="00E247FD">
            <w:pPr>
              <w:pStyle w:val="P68B1DB1-TableParagraph19"/>
              <w:spacing w:before="27"/>
              <w:ind w:left="13" w:right="5"/>
              <w:rPr>
                <w:rFonts w:cs="Times New Roman"/>
                <w:sz w:val="18"/>
                <w:szCs w:val="18"/>
              </w:rPr>
            </w:pPr>
            <w:r w:rsidRPr="00384EEC">
              <w:rPr>
                <w:rFonts w:cs="Times New Roman"/>
                <w:sz w:val="18"/>
                <w:szCs w:val="18"/>
              </w:rPr>
              <w:t xml:space="preserve">× </w:t>
            </w:r>
          </w:p>
        </w:tc>
        <w:tc>
          <w:tcPr>
            <w:tcW w:w="1100" w:type="dxa"/>
          </w:tcPr>
          <w:p w14:paraId="1E9B7536"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65CB86EE" w14:textId="77777777" w:rsidTr="00384EEC">
        <w:trPr>
          <w:trHeight w:val="330"/>
          <w:jc w:val="center"/>
        </w:trPr>
        <w:tc>
          <w:tcPr>
            <w:tcW w:w="1670" w:type="dxa"/>
          </w:tcPr>
          <w:p w14:paraId="1FFF2897" w14:textId="77777777" w:rsidR="0025058B" w:rsidRPr="00384EEC" w:rsidRDefault="0025058B" w:rsidP="00E247FD">
            <w:pPr>
              <w:pStyle w:val="P68B1DB1-TableParagraph18"/>
              <w:spacing w:line="310" w:lineRule="exact"/>
              <w:ind w:left="10"/>
              <w:rPr>
                <w:rFonts w:ascii="Times New Roman" w:hAnsi="Times New Roman" w:cs="Times New Roman"/>
                <w:sz w:val="18"/>
                <w:szCs w:val="18"/>
              </w:rPr>
            </w:pPr>
            <w:r w:rsidRPr="00384EEC">
              <w:rPr>
                <w:rFonts w:ascii="Times New Roman" w:hAnsi="Times New Roman" w:cs="Times New Roman"/>
                <w:sz w:val="18"/>
                <w:szCs w:val="18"/>
              </w:rPr>
              <w:t xml:space="preserve">Urine routine </w:t>
            </w:r>
          </w:p>
        </w:tc>
        <w:tc>
          <w:tcPr>
            <w:tcW w:w="786" w:type="dxa"/>
          </w:tcPr>
          <w:p w14:paraId="1AC4FB94" w14:textId="77777777" w:rsidR="0025058B" w:rsidRPr="00384EEC" w:rsidRDefault="0025058B" w:rsidP="00E247FD">
            <w:pPr>
              <w:pStyle w:val="TableParagraph"/>
              <w:rPr>
                <w:rFonts w:ascii="Times New Roman" w:hAnsi="Times New Roman" w:cs="Times New Roman"/>
                <w:sz w:val="18"/>
                <w:szCs w:val="18"/>
              </w:rPr>
            </w:pPr>
          </w:p>
        </w:tc>
        <w:tc>
          <w:tcPr>
            <w:tcW w:w="692" w:type="dxa"/>
          </w:tcPr>
          <w:p w14:paraId="11F424A0" w14:textId="77777777" w:rsidR="0025058B" w:rsidRPr="00384EEC" w:rsidRDefault="0025058B" w:rsidP="00E247FD">
            <w:pPr>
              <w:pStyle w:val="P68B1DB1-TableParagraph19"/>
              <w:spacing w:before="28"/>
              <w:ind w:left="10" w:right="2"/>
              <w:rPr>
                <w:rFonts w:cs="Times New Roman"/>
                <w:sz w:val="18"/>
                <w:szCs w:val="18"/>
              </w:rPr>
            </w:pPr>
            <w:r w:rsidRPr="00384EEC">
              <w:rPr>
                <w:rFonts w:cs="Times New Roman"/>
                <w:sz w:val="18"/>
                <w:szCs w:val="18"/>
              </w:rPr>
              <w:t xml:space="preserve">× </w:t>
            </w:r>
          </w:p>
        </w:tc>
        <w:tc>
          <w:tcPr>
            <w:tcW w:w="820" w:type="dxa"/>
          </w:tcPr>
          <w:p w14:paraId="5E2DC904"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1D8595D1"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28D133F7"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7CC357AE" w14:textId="77777777" w:rsidR="0025058B" w:rsidRPr="00384EEC" w:rsidRDefault="0025058B" w:rsidP="00E247FD">
            <w:pPr>
              <w:pStyle w:val="P68B1DB1-TableParagraph19"/>
              <w:spacing w:before="28"/>
              <w:ind w:left="10" w:right="1"/>
              <w:rPr>
                <w:rFonts w:cs="Times New Roman"/>
                <w:sz w:val="18"/>
                <w:szCs w:val="18"/>
              </w:rPr>
            </w:pPr>
            <w:r w:rsidRPr="00384EEC">
              <w:rPr>
                <w:rFonts w:cs="Times New Roman"/>
                <w:sz w:val="18"/>
                <w:szCs w:val="18"/>
              </w:rPr>
              <w:t xml:space="preserve">× </w:t>
            </w:r>
          </w:p>
        </w:tc>
        <w:tc>
          <w:tcPr>
            <w:tcW w:w="790" w:type="dxa"/>
          </w:tcPr>
          <w:p w14:paraId="6D079CF4"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581D2876"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71A61F64"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0D0F2815" w14:textId="77777777" w:rsidR="0025058B" w:rsidRPr="00384EEC" w:rsidRDefault="0025058B" w:rsidP="00E247FD">
            <w:pPr>
              <w:pStyle w:val="P68B1DB1-TableParagraph19"/>
              <w:spacing w:before="28"/>
              <w:ind w:left="10"/>
              <w:rPr>
                <w:rFonts w:cs="Times New Roman"/>
                <w:sz w:val="18"/>
                <w:szCs w:val="18"/>
              </w:rPr>
            </w:pPr>
            <w:r w:rsidRPr="00384EEC">
              <w:rPr>
                <w:rFonts w:cs="Times New Roman"/>
                <w:sz w:val="18"/>
                <w:szCs w:val="18"/>
              </w:rPr>
              <w:t xml:space="preserve">× </w:t>
            </w:r>
          </w:p>
        </w:tc>
        <w:tc>
          <w:tcPr>
            <w:tcW w:w="1445" w:type="dxa"/>
          </w:tcPr>
          <w:p w14:paraId="19815EB6" w14:textId="77777777" w:rsidR="0025058B" w:rsidRPr="00384EEC" w:rsidRDefault="0025058B" w:rsidP="00E247FD">
            <w:pPr>
              <w:pStyle w:val="P68B1DB1-TableParagraph19"/>
              <w:spacing w:before="28"/>
              <w:ind w:left="11" w:right="4"/>
              <w:rPr>
                <w:rFonts w:cs="Times New Roman"/>
                <w:sz w:val="18"/>
                <w:szCs w:val="18"/>
              </w:rPr>
            </w:pPr>
            <w:r w:rsidRPr="00384EEC">
              <w:rPr>
                <w:rFonts w:cs="Times New Roman"/>
                <w:sz w:val="18"/>
                <w:szCs w:val="18"/>
              </w:rPr>
              <w:t xml:space="preserve">× </w:t>
            </w:r>
          </w:p>
        </w:tc>
        <w:tc>
          <w:tcPr>
            <w:tcW w:w="1445" w:type="dxa"/>
          </w:tcPr>
          <w:p w14:paraId="131B1E9F" w14:textId="77777777" w:rsidR="0025058B" w:rsidRPr="00384EEC" w:rsidRDefault="0025058B" w:rsidP="00E247FD">
            <w:pPr>
              <w:pStyle w:val="P68B1DB1-TableParagraph19"/>
              <w:spacing w:before="28"/>
              <w:ind w:left="11" w:right="4"/>
              <w:rPr>
                <w:rFonts w:cs="Times New Roman"/>
                <w:sz w:val="18"/>
                <w:szCs w:val="18"/>
              </w:rPr>
            </w:pPr>
            <w:r w:rsidRPr="00384EEC">
              <w:rPr>
                <w:rFonts w:cs="Times New Roman"/>
                <w:sz w:val="18"/>
                <w:szCs w:val="18"/>
              </w:rPr>
              <w:t xml:space="preserve">× </w:t>
            </w:r>
          </w:p>
        </w:tc>
        <w:tc>
          <w:tcPr>
            <w:tcW w:w="911" w:type="dxa"/>
          </w:tcPr>
          <w:p w14:paraId="12727D93" w14:textId="77777777" w:rsidR="0025058B" w:rsidRPr="00384EEC" w:rsidRDefault="0025058B" w:rsidP="00E247FD">
            <w:pPr>
              <w:pStyle w:val="P68B1DB1-TableParagraph19"/>
              <w:spacing w:before="28"/>
              <w:ind w:left="13" w:right="5"/>
              <w:rPr>
                <w:rFonts w:cs="Times New Roman"/>
                <w:sz w:val="18"/>
                <w:szCs w:val="18"/>
              </w:rPr>
            </w:pPr>
            <w:r w:rsidRPr="00384EEC">
              <w:rPr>
                <w:rFonts w:cs="Times New Roman"/>
                <w:sz w:val="18"/>
                <w:szCs w:val="18"/>
              </w:rPr>
              <w:t xml:space="preserve">× </w:t>
            </w:r>
          </w:p>
        </w:tc>
        <w:tc>
          <w:tcPr>
            <w:tcW w:w="1100" w:type="dxa"/>
          </w:tcPr>
          <w:p w14:paraId="4D4832A3"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6C9B12BB" w14:textId="77777777" w:rsidTr="00384EEC">
        <w:trPr>
          <w:trHeight w:val="328"/>
          <w:jc w:val="center"/>
        </w:trPr>
        <w:tc>
          <w:tcPr>
            <w:tcW w:w="1670" w:type="dxa"/>
          </w:tcPr>
          <w:p w14:paraId="4C0451FF" w14:textId="77777777" w:rsidR="0025058B" w:rsidRPr="00384EEC" w:rsidRDefault="0025058B" w:rsidP="00E247FD">
            <w:pPr>
              <w:pStyle w:val="P68B1DB1-TableParagraph18"/>
              <w:spacing w:line="308" w:lineRule="exact"/>
              <w:ind w:left="10"/>
              <w:rPr>
                <w:rFonts w:ascii="Times New Roman" w:hAnsi="Times New Roman" w:cs="Times New Roman"/>
                <w:sz w:val="18"/>
                <w:szCs w:val="18"/>
              </w:rPr>
            </w:pPr>
            <w:r w:rsidRPr="00384EEC">
              <w:rPr>
                <w:rFonts w:ascii="Times New Roman" w:hAnsi="Times New Roman" w:cs="Times New Roman"/>
                <w:sz w:val="18"/>
                <w:szCs w:val="18"/>
              </w:rPr>
              <w:t xml:space="preserve">Stool routine </w:t>
            </w:r>
          </w:p>
        </w:tc>
        <w:tc>
          <w:tcPr>
            <w:tcW w:w="786" w:type="dxa"/>
          </w:tcPr>
          <w:p w14:paraId="5CCA6EF0" w14:textId="77777777" w:rsidR="0025058B" w:rsidRPr="00384EEC" w:rsidRDefault="0025058B" w:rsidP="00E247FD">
            <w:pPr>
              <w:pStyle w:val="TableParagraph"/>
              <w:rPr>
                <w:rFonts w:ascii="Times New Roman" w:hAnsi="Times New Roman" w:cs="Times New Roman"/>
                <w:sz w:val="18"/>
                <w:szCs w:val="18"/>
              </w:rPr>
            </w:pPr>
          </w:p>
        </w:tc>
        <w:tc>
          <w:tcPr>
            <w:tcW w:w="692" w:type="dxa"/>
          </w:tcPr>
          <w:p w14:paraId="5D0EDC14" w14:textId="77777777" w:rsidR="0025058B" w:rsidRPr="00384EEC" w:rsidRDefault="0025058B" w:rsidP="00E247FD">
            <w:pPr>
              <w:pStyle w:val="P68B1DB1-TableParagraph19"/>
              <w:spacing w:before="26"/>
              <w:ind w:left="10" w:right="2"/>
              <w:rPr>
                <w:rFonts w:cs="Times New Roman"/>
                <w:sz w:val="18"/>
                <w:szCs w:val="18"/>
              </w:rPr>
            </w:pPr>
            <w:r w:rsidRPr="00384EEC">
              <w:rPr>
                <w:rFonts w:cs="Times New Roman"/>
                <w:sz w:val="18"/>
                <w:szCs w:val="18"/>
              </w:rPr>
              <w:t xml:space="preserve">× </w:t>
            </w:r>
          </w:p>
        </w:tc>
        <w:tc>
          <w:tcPr>
            <w:tcW w:w="820" w:type="dxa"/>
          </w:tcPr>
          <w:p w14:paraId="1E1DE4E0"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7BE237A5"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307D9FB7"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5E65032D" w14:textId="77777777" w:rsidR="0025058B" w:rsidRPr="00384EEC" w:rsidRDefault="0025058B" w:rsidP="00E247FD">
            <w:pPr>
              <w:pStyle w:val="P68B1DB1-TableParagraph19"/>
              <w:spacing w:before="26"/>
              <w:ind w:left="10" w:right="1"/>
              <w:rPr>
                <w:rFonts w:cs="Times New Roman"/>
                <w:sz w:val="18"/>
                <w:szCs w:val="18"/>
              </w:rPr>
            </w:pPr>
            <w:r w:rsidRPr="00384EEC">
              <w:rPr>
                <w:rFonts w:cs="Times New Roman"/>
                <w:sz w:val="18"/>
                <w:szCs w:val="18"/>
              </w:rPr>
              <w:t xml:space="preserve">× </w:t>
            </w:r>
          </w:p>
        </w:tc>
        <w:tc>
          <w:tcPr>
            <w:tcW w:w="790" w:type="dxa"/>
          </w:tcPr>
          <w:p w14:paraId="6437AB10"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46AA7D39"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1592C994"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3B4BEC63" w14:textId="77777777" w:rsidR="0025058B" w:rsidRPr="00384EEC" w:rsidRDefault="0025058B" w:rsidP="00E247FD">
            <w:pPr>
              <w:pStyle w:val="P68B1DB1-TableParagraph19"/>
              <w:spacing w:before="26"/>
              <w:ind w:left="10"/>
              <w:rPr>
                <w:rFonts w:cs="Times New Roman"/>
                <w:sz w:val="18"/>
                <w:szCs w:val="18"/>
              </w:rPr>
            </w:pPr>
            <w:r w:rsidRPr="00384EEC">
              <w:rPr>
                <w:rFonts w:cs="Times New Roman"/>
                <w:sz w:val="18"/>
                <w:szCs w:val="18"/>
              </w:rPr>
              <w:t xml:space="preserve">× </w:t>
            </w:r>
          </w:p>
        </w:tc>
        <w:tc>
          <w:tcPr>
            <w:tcW w:w="1445" w:type="dxa"/>
          </w:tcPr>
          <w:p w14:paraId="6AB85F97" w14:textId="77777777" w:rsidR="0025058B" w:rsidRPr="00384EEC" w:rsidRDefault="0025058B" w:rsidP="00E247FD">
            <w:pPr>
              <w:pStyle w:val="P68B1DB1-TableParagraph19"/>
              <w:spacing w:before="26"/>
              <w:ind w:left="11" w:right="4"/>
              <w:rPr>
                <w:rFonts w:cs="Times New Roman"/>
                <w:sz w:val="18"/>
                <w:szCs w:val="18"/>
              </w:rPr>
            </w:pPr>
            <w:r w:rsidRPr="00384EEC">
              <w:rPr>
                <w:rFonts w:cs="Times New Roman"/>
                <w:sz w:val="18"/>
                <w:szCs w:val="18"/>
              </w:rPr>
              <w:t xml:space="preserve">× </w:t>
            </w:r>
          </w:p>
        </w:tc>
        <w:tc>
          <w:tcPr>
            <w:tcW w:w="1445" w:type="dxa"/>
          </w:tcPr>
          <w:p w14:paraId="3E380497" w14:textId="77777777" w:rsidR="0025058B" w:rsidRPr="00384EEC" w:rsidRDefault="0025058B" w:rsidP="00E247FD">
            <w:pPr>
              <w:pStyle w:val="P68B1DB1-TableParagraph19"/>
              <w:spacing w:before="26"/>
              <w:ind w:left="11" w:right="4"/>
              <w:rPr>
                <w:rFonts w:cs="Times New Roman"/>
                <w:sz w:val="18"/>
                <w:szCs w:val="18"/>
              </w:rPr>
            </w:pPr>
            <w:r w:rsidRPr="00384EEC">
              <w:rPr>
                <w:rFonts w:cs="Times New Roman"/>
                <w:sz w:val="18"/>
                <w:szCs w:val="18"/>
              </w:rPr>
              <w:t xml:space="preserve">× </w:t>
            </w:r>
          </w:p>
        </w:tc>
        <w:tc>
          <w:tcPr>
            <w:tcW w:w="911" w:type="dxa"/>
          </w:tcPr>
          <w:p w14:paraId="0614DB71" w14:textId="77777777" w:rsidR="0025058B" w:rsidRPr="00384EEC" w:rsidRDefault="0025058B" w:rsidP="00E247FD">
            <w:pPr>
              <w:pStyle w:val="P68B1DB1-TableParagraph19"/>
              <w:spacing w:before="26"/>
              <w:ind w:left="13" w:right="5"/>
              <w:rPr>
                <w:rFonts w:cs="Times New Roman"/>
                <w:sz w:val="18"/>
                <w:szCs w:val="18"/>
              </w:rPr>
            </w:pPr>
            <w:r w:rsidRPr="00384EEC">
              <w:rPr>
                <w:rFonts w:cs="Times New Roman"/>
                <w:sz w:val="18"/>
                <w:szCs w:val="18"/>
              </w:rPr>
              <w:t xml:space="preserve">× </w:t>
            </w:r>
          </w:p>
        </w:tc>
        <w:tc>
          <w:tcPr>
            <w:tcW w:w="1100" w:type="dxa"/>
          </w:tcPr>
          <w:p w14:paraId="69333592" w14:textId="77777777" w:rsidR="0025058B" w:rsidRPr="00384EEC" w:rsidRDefault="0025058B" w:rsidP="00E247FD">
            <w:pPr>
              <w:pStyle w:val="TableParagraph"/>
              <w:rPr>
                <w:rFonts w:ascii="Times New Roman" w:hAnsi="Times New Roman" w:cs="Times New Roman"/>
                <w:sz w:val="18"/>
                <w:szCs w:val="18"/>
              </w:rPr>
            </w:pPr>
          </w:p>
        </w:tc>
      </w:tr>
    </w:tbl>
    <w:tbl>
      <w:tblPr>
        <w:tblStyle w:val="TableNormal1"/>
        <w:tblW w:w="14879" w:type="dxa"/>
        <w:tblInd w:w="-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0"/>
        <w:gridCol w:w="786"/>
        <w:gridCol w:w="692"/>
        <w:gridCol w:w="820"/>
        <w:gridCol w:w="790"/>
        <w:gridCol w:w="910"/>
        <w:gridCol w:w="910"/>
        <w:gridCol w:w="790"/>
        <w:gridCol w:w="790"/>
        <w:gridCol w:w="910"/>
        <w:gridCol w:w="910"/>
        <w:gridCol w:w="1445"/>
        <w:gridCol w:w="1445"/>
        <w:gridCol w:w="911"/>
        <w:gridCol w:w="1100"/>
      </w:tblGrid>
      <w:tr w:rsidR="0025058B" w:rsidRPr="00E247FD" w14:paraId="6CB98331" w14:textId="77777777" w:rsidTr="00384EEC">
        <w:trPr>
          <w:trHeight w:val="417"/>
        </w:trPr>
        <w:tc>
          <w:tcPr>
            <w:tcW w:w="1670" w:type="dxa"/>
          </w:tcPr>
          <w:p w14:paraId="1CEB6565" w14:textId="01C57B80" w:rsidR="0025058B" w:rsidRPr="00384EEC" w:rsidRDefault="0025058B">
            <w:pPr>
              <w:pStyle w:val="P68B1DB1-TableParagraph18"/>
              <w:spacing w:before="27"/>
              <w:ind w:left="10" w:right="3"/>
              <w:rPr>
                <w:rFonts w:ascii="Times New Roman" w:hAnsi="Times New Roman" w:cs="Times New Roman"/>
                <w:sz w:val="18"/>
                <w:szCs w:val="18"/>
              </w:rPr>
            </w:pPr>
            <w:r w:rsidRPr="00384EEC">
              <w:rPr>
                <w:rFonts w:ascii="Times New Roman" w:hAnsi="Times New Roman" w:cs="Times New Roman"/>
                <w:sz w:val="18"/>
                <w:szCs w:val="18"/>
              </w:rPr>
              <w:lastRenderedPageBreak/>
              <w:t xml:space="preserve">Thyroid </w:t>
            </w:r>
            <w:r w:rsidR="0005340F">
              <w:rPr>
                <w:rFonts w:ascii="Times New Roman" w:hAnsi="Times New Roman" w:cs="Times New Roman"/>
                <w:sz w:val="18"/>
                <w:szCs w:val="18"/>
              </w:rPr>
              <w:t>/</w:t>
            </w:r>
            <w:r w:rsidR="0005340F" w:rsidRPr="00776331">
              <w:rPr>
                <w:rFonts w:ascii="Times New Roman" w:hAnsi="Times New Roman" w:cs="Times New Roman"/>
                <w:sz w:val="18"/>
                <w:szCs w:val="18"/>
              </w:rPr>
              <w:t xml:space="preserve">coagulation </w:t>
            </w:r>
            <w:r w:rsidRPr="00384EEC">
              <w:rPr>
                <w:rFonts w:ascii="Times New Roman" w:hAnsi="Times New Roman" w:cs="Times New Roman"/>
                <w:sz w:val="18"/>
                <w:szCs w:val="18"/>
              </w:rPr>
              <w:t xml:space="preserve">function, </w:t>
            </w:r>
          </w:p>
        </w:tc>
        <w:tc>
          <w:tcPr>
            <w:tcW w:w="786" w:type="dxa"/>
          </w:tcPr>
          <w:p w14:paraId="0D9D8E5D" w14:textId="77777777" w:rsidR="0025058B" w:rsidRPr="00384EEC" w:rsidRDefault="0025058B" w:rsidP="00E247FD">
            <w:pPr>
              <w:pStyle w:val="TableParagraph"/>
              <w:rPr>
                <w:rFonts w:ascii="Times New Roman" w:hAnsi="Times New Roman" w:cs="Times New Roman"/>
                <w:sz w:val="18"/>
                <w:szCs w:val="18"/>
              </w:rPr>
            </w:pPr>
          </w:p>
        </w:tc>
        <w:tc>
          <w:tcPr>
            <w:tcW w:w="692" w:type="dxa"/>
          </w:tcPr>
          <w:p w14:paraId="706B41E0" w14:textId="77777777" w:rsidR="0025058B" w:rsidRPr="00384EEC" w:rsidRDefault="0025058B" w:rsidP="00E247FD">
            <w:pPr>
              <w:pStyle w:val="P68B1DB1-TableParagraph19"/>
              <w:spacing w:before="70"/>
              <w:ind w:left="10" w:right="2"/>
              <w:rPr>
                <w:rFonts w:cs="Times New Roman"/>
                <w:sz w:val="18"/>
                <w:szCs w:val="18"/>
              </w:rPr>
            </w:pPr>
            <w:r w:rsidRPr="00384EEC">
              <w:rPr>
                <w:rFonts w:cs="Times New Roman"/>
                <w:sz w:val="18"/>
                <w:szCs w:val="18"/>
              </w:rPr>
              <w:t xml:space="preserve">× </w:t>
            </w:r>
          </w:p>
        </w:tc>
        <w:tc>
          <w:tcPr>
            <w:tcW w:w="820" w:type="dxa"/>
          </w:tcPr>
          <w:p w14:paraId="5DCB2223"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54E98AFB"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1E85991A"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064F2CBA" w14:textId="77777777" w:rsidR="0025058B" w:rsidRPr="00384EEC" w:rsidRDefault="0025058B" w:rsidP="00E247FD">
            <w:pPr>
              <w:pStyle w:val="P68B1DB1-TableParagraph19"/>
              <w:spacing w:before="70"/>
              <w:ind w:left="10" w:right="1"/>
              <w:rPr>
                <w:rFonts w:cs="Times New Roman"/>
                <w:sz w:val="18"/>
                <w:szCs w:val="18"/>
              </w:rPr>
            </w:pPr>
            <w:r w:rsidRPr="00384EEC">
              <w:rPr>
                <w:rFonts w:cs="Times New Roman"/>
                <w:sz w:val="18"/>
                <w:szCs w:val="18"/>
              </w:rPr>
              <w:t xml:space="preserve">× </w:t>
            </w:r>
          </w:p>
        </w:tc>
        <w:tc>
          <w:tcPr>
            <w:tcW w:w="790" w:type="dxa"/>
          </w:tcPr>
          <w:p w14:paraId="26738A7A"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399438EC"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06587DF8"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0BE54A78" w14:textId="77777777" w:rsidR="0025058B" w:rsidRPr="00384EEC" w:rsidRDefault="0025058B" w:rsidP="00E247FD">
            <w:pPr>
              <w:pStyle w:val="P68B1DB1-TableParagraph19"/>
              <w:spacing w:before="70"/>
              <w:ind w:left="10"/>
              <w:rPr>
                <w:rFonts w:cs="Times New Roman"/>
                <w:sz w:val="18"/>
                <w:szCs w:val="18"/>
              </w:rPr>
            </w:pPr>
            <w:r w:rsidRPr="00384EEC">
              <w:rPr>
                <w:rFonts w:cs="Times New Roman"/>
                <w:sz w:val="18"/>
                <w:szCs w:val="18"/>
              </w:rPr>
              <w:t xml:space="preserve">× </w:t>
            </w:r>
          </w:p>
        </w:tc>
        <w:tc>
          <w:tcPr>
            <w:tcW w:w="1445" w:type="dxa"/>
          </w:tcPr>
          <w:p w14:paraId="766699FC" w14:textId="77777777" w:rsidR="0025058B" w:rsidRPr="00384EEC" w:rsidRDefault="0025058B" w:rsidP="00E247FD">
            <w:pPr>
              <w:pStyle w:val="TableParagraph"/>
              <w:rPr>
                <w:rFonts w:ascii="Times New Roman" w:hAnsi="Times New Roman" w:cs="Times New Roman"/>
                <w:sz w:val="18"/>
                <w:szCs w:val="18"/>
              </w:rPr>
            </w:pPr>
          </w:p>
        </w:tc>
        <w:tc>
          <w:tcPr>
            <w:tcW w:w="1445" w:type="dxa"/>
          </w:tcPr>
          <w:p w14:paraId="592E41D2" w14:textId="77777777" w:rsidR="0025058B" w:rsidRPr="00384EEC" w:rsidRDefault="0025058B" w:rsidP="00E247FD">
            <w:pPr>
              <w:pStyle w:val="P68B1DB1-TableParagraph19"/>
              <w:spacing w:before="70"/>
              <w:ind w:left="11" w:right="4"/>
              <w:rPr>
                <w:rFonts w:cs="Times New Roman"/>
                <w:sz w:val="18"/>
                <w:szCs w:val="18"/>
              </w:rPr>
            </w:pPr>
            <w:r w:rsidRPr="00384EEC">
              <w:rPr>
                <w:rFonts w:cs="Times New Roman"/>
                <w:sz w:val="18"/>
                <w:szCs w:val="18"/>
              </w:rPr>
              <w:t xml:space="preserve">× </w:t>
            </w:r>
          </w:p>
        </w:tc>
        <w:tc>
          <w:tcPr>
            <w:tcW w:w="911" w:type="dxa"/>
          </w:tcPr>
          <w:p w14:paraId="5E9FF712" w14:textId="77777777" w:rsidR="0025058B" w:rsidRPr="00384EEC" w:rsidRDefault="0025058B" w:rsidP="00E247FD">
            <w:pPr>
              <w:pStyle w:val="P68B1DB1-TableParagraph19"/>
              <w:spacing w:before="70"/>
              <w:ind w:left="13" w:right="5"/>
              <w:rPr>
                <w:rFonts w:cs="Times New Roman"/>
                <w:sz w:val="18"/>
                <w:szCs w:val="18"/>
              </w:rPr>
            </w:pPr>
            <w:r w:rsidRPr="00384EEC">
              <w:rPr>
                <w:rFonts w:cs="Times New Roman"/>
                <w:sz w:val="18"/>
                <w:szCs w:val="18"/>
              </w:rPr>
              <w:t xml:space="preserve">× </w:t>
            </w:r>
          </w:p>
        </w:tc>
        <w:tc>
          <w:tcPr>
            <w:tcW w:w="1100" w:type="dxa"/>
          </w:tcPr>
          <w:p w14:paraId="39D648F4"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4507FC93" w14:textId="77777777" w:rsidTr="00384EEC">
        <w:trPr>
          <w:trHeight w:val="547"/>
        </w:trPr>
        <w:tc>
          <w:tcPr>
            <w:tcW w:w="1670" w:type="dxa"/>
          </w:tcPr>
          <w:p w14:paraId="23EAE4BD" w14:textId="77777777" w:rsidR="0025058B" w:rsidRPr="00384EEC" w:rsidRDefault="0025058B" w:rsidP="00E247FD">
            <w:pPr>
              <w:pStyle w:val="P68B1DB1-TableParagraph18"/>
              <w:spacing w:before="91"/>
              <w:ind w:left="10" w:right="3"/>
              <w:rPr>
                <w:rFonts w:ascii="Times New Roman" w:hAnsi="Times New Roman" w:cs="Times New Roman"/>
                <w:sz w:val="18"/>
                <w:szCs w:val="18"/>
              </w:rPr>
            </w:pPr>
            <w:r w:rsidRPr="00384EEC">
              <w:rPr>
                <w:rFonts w:ascii="Times New Roman" w:hAnsi="Times New Roman" w:cs="Times New Roman"/>
                <w:sz w:val="18"/>
                <w:szCs w:val="18"/>
              </w:rPr>
              <w:t xml:space="preserve">Amylase, lipase </w:t>
            </w:r>
          </w:p>
        </w:tc>
        <w:tc>
          <w:tcPr>
            <w:tcW w:w="786" w:type="dxa"/>
          </w:tcPr>
          <w:p w14:paraId="0555FCE8" w14:textId="77777777" w:rsidR="0025058B" w:rsidRPr="00384EEC" w:rsidRDefault="0025058B" w:rsidP="00E247FD">
            <w:pPr>
              <w:pStyle w:val="TableParagraph"/>
              <w:rPr>
                <w:rFonts w:ascii="Times New Roman" w:hAnsi="Times New Roman" w:cs="Times New Roman"/>
                <w:sz w:val="18"/>
                <w:szCs w:val="18"/>
              </w:rPr>
            </w:pPr>
          </w:p>
        </w:tc>
        <w:tc>
          <w:tcPr>
            <w:tcW w:w="692" w:type="dxa"/>
          </w:tcPr>
          <w:p w14:paraId="4ED40661" w14:textId="77777777" w:rsidR="0025058B" w:rsidRPr="00384EEC" w:rsidRDefault="0025058B" w:rsidP="00E247FD">
            <w:pPr>
              <w:pStyle w:val="P68B1DB1-TableParagraph19"/>
              <w:spacing w:before="136"/>
              <w:ind w:left="10" w:right="2"/>
              <w:rPr>
                <w:rFonts w:cs="Times New Roman"/>
                <w:sz w:val="18"/>
                <w:szCs w:val="18"/>
              </w:rPr>
            </w:pPr>
            <w:r w:rsidRPr="00384EEC">
              <w:rPr>
                <w:rFonts w:cs="Times New Roman"/>
                <w:sz w:val="18"/>
                <w:szCs w:val="18"/>
              </w:rPr>
              <w:t xml:space="preserve">× </w:t>
            </w:r>
          </w:p>
        </w:tc>
        <w:tc>
          <w:tcPr>
            <w:tcW w:w="820" w:type="dxa"/>
          </w:tcPr>
          <w:p w14:paraId="3705969F"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6C70345D"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2795D57D"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3A2BE012" w14:textId="77777777" w:rsidR="0025058B" w:rsidRPr="00384EEC" w:rsidRDefault="0025058B" w:rsidP="00E247FD">
            <w:pPr>
              <w:pStyle w:val="P68B1DB1-TableParagraph19"/>
              <w:spacing w:before="136"/>
              <w:ind w:left="10" w:right="1"/>
              <w:rPr>
                <w:rFonts w:cs="Times New Roman"/>
                <w:sz w:val="18"/>
                <w:szCs w:val="18"/>
              </w:rPr>
            </w:pPr>
            <w:r w:rsidRPr="00384EEC">
              <w:rPr>
                <w:rFonts w:cs="Times New Roman"/>
                <w:sz w:val="18"/>
                <w:szCs w:val="18"/>
              </w:rPr>
              <w:t xml:space="preserve">× </w:t>
            </w:r>
          </w:p>
        </w:tc>
        <w:tc>
          <w:tcPr>
            <w:tcW w:w="790" w:type="dxa"/>
          </w:tcPr>
          <w:p w14:paraId="403FED34"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6F7BB57C"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77EE4ED4"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0C5313BB" w14:textId="77777777" w:rsidR="0025058B" w:rsidRPr="00384EEC" w:rsidRDefault="0025058B" w:rsidP="00E247FD">
            <w:pPr>
              <w:pStyle w:val="P68B1DB1-TableParagraph19"/>
              <w:spacing w:before="136"/>
              <w:ind w:left="10"/>
              <w:rPr>
                <w:rFonts w:cs="Times New Roman"/>
                <w:sz w:val="18"/>
                <w:szCs w:val="18"/>
              </w:rPr>
            </w:pPr>
            <w:r w:rsidRPr="00384EEC">
              <w:rPr>
                <w:rFonts w:cs="Times New Roman"/>
                <w:sz w:val="18"/>
                <w:szCs w:val="18"/>
              </w:rPr>
              <w:t xml:space="preserve">× </w:t>
            </w:r>
          </w:p>
        </w:tc>
        <w:tc>
          <w:tcPr>
            <w:tcW w:w="1445" w:type="dxa"/>
          </w:tcPr>
          <w:p w14:paraId="6A289205" w14:textId="77777777" w:rsidR="0025058B" w:rsidRPr="00384EEC" w:rsidRDefault="0025058B" w:rsidP="00E247FD">
            <w:pPr>
              <w:pStyle w:val="TableParagraph"/>
              <w:rPr>
                <w:rFonts w:ascii="Times New Roman" w:hAnsi="Times New Roman" w:cs="Times New Roman"/>
                <w:sz w:val="18"/>
                <w:szCs w:val="18"/>
              </w:rPr>
            </w:pPr>
          </w:p>
        </w:tc>
        <w:tc>
          <w:tcPr>
            <w:tcW w:w="1445" w:type="dxa"/>
          </w:tcPr>
          <w:p w14:paraId="3176C6A6" w14:textId="77777777" w:rsidR="0025058B" w:rsidRPr="00384EEC" w:rsidRDefault="0025058B" w:rsidP="00E247FD">
            <w:pPr>
              <w:pStyle w:val="P68B1DB1-TableParagraph19"/>
              <w:spacing w:before="136"/>
              <w:ind w:left="11" w:right="4"/>
              <w:rPr>
                <w:rFonts w:cs="Times New Roman"/>
                <w:sz w:val="18"/>
                <w:szCs w:val="18"/>
              </w:rPr>
            </w:pPr>
            <w:r w:rsidRPr="00384EEC">
              <w:rPr>
                <w:rFonts w:cs="Times New Roman"/>
                <w:sz w:val="18"/>
                <w:szCs w:val="18"/>
              </w:rPr>
              <w:t xml:space="preserve">× </w:t>
            </w:r>
          </w:p>
        </w:tc>
        <w:tc>
          <w:tcPr>
            <w:tcW w:w="911" w:type="dxa"/>
          </w:tcPr>
          <w:p w14:paraId="34AF994F" w14:textId="77777777" w:rsidR="0025058B" w:rsidRPr="00384EEC" w:rsidRDefault="0025058B" w:rsidP="00E247FD">
            <w:pPr>
              <w:pStyle w:val="P68B1DB1-TableParagraph19"/>
              <w:spacing w:before="136"/>
              <w:ind w:left="13" w:right="5"/>
              <w:rPr>
                <w:rFonts w:cs="Times New Roman"/>
                <w:sz w:val="18"/>
                <w:szCs w:val="18"/>
              </w:rPr>
            </w:pPr>
            <w:r w:rsidRPr="00384EEC">
              <w:rPr>
                <w:rFonts w:cs="Times New Roman"/>
                <w:sz w:val="18"/>
                <w:szCs w:val="18"/>
              </w:rPr>
              <w:t xml:space="preserve">× </w:t>
            </w:r>
          </w:p>
        </w:tc>
        <w:tc>
          <w:tcPr>
            <w:tcW w:w="1100" w:type="dxa"/>
          </w:tcPr>
          <w:p w14:paraId="4F993EB8"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7BA14E9D" w14:textId="77777777" w:rsidTr="00384EEC">
        <w:trPr>
          <w:trHeight w:val="330"/>
        </w:trPr>
        <w:tc>
          <w:tcPr>
            <w:tcW w:w="1670" w:type="dxa"/>
          </w:tcPr>
          <w:p w14:paraId="5E71642C" w14:textId="77777777" w:rsidR="0025058B" w:rsidRPr="00384EEC" w:rsidRDefault="0025058B" w:rsidP="00E247FD">
            <w:pPr>
              <w:pStyle w:val="P68B1DB1-TableParagraph18"/>
              <w:spacing w:line="310" w:lineRule="exact"/>
              <w:ind w:left="10"/>
              <w:rPr>
                <w:rFonts w:ascii="Times New Roman" w:hAnsi="Times New Roman" w:cs="Times New Roman"/>
                <w:sz w:val="18"/>
                <w:szCs w:val="18"/>
              </w:rPr>
            </w:pPr>
            <w:r w:rsidRPr="00384EEC">
              <w:rPr>
                <w:rFonts w:ascii="Times New Roman" w:hAnsi="Times New Roman" w:cs="Times New Roman"/>
                <w:sz w:val="18"/>
                <w:szCs w:val="18"/>
              </w:rPr>
              <w:t xml:space="preserve">Concomitant medication </w:t>
            </w:r>
          </w:p>
        </w:tc>
        <w:tc>
          <w:tcPr>
            <w:tcW w:w="786" w:type="dxa"/>
          </w:tcPr>
          <w:p w14:paraId="3F1CE4D8" w14:textId="77777777" w:rsidR="0025058B" w:rsidRPr="00384EEC" w:rsidRDefault="0025058B" w:rsidP="00E247FD">
            <w:pPr>
              <w:pStyle w:val="P68B1DB1-TableParagraph19"/>
              <w:spacing w:before="27"/>
              <w:ind w:left="10" w:right="3"/>
              <w:rPr>
                <w:rFonts w:cs="Times New Roman"/>
                <w:sz w:val="18"/>
                <w:szCs w:val="18"/>
              </w:rPr>
            </w:pPr>
            <w:r w:rsidRPr="00384EEC">
              <w:rPr>
                <w:rFonts w:cs="Times New Roman"/>
                <w:sz w:val="18"/>
                <w:szCs w:val="18"/>
              </w:rPr>
              <w:t xml:space="preserve">× </w:t>
            </w:r>
          </w:p>
        </w:tc>
        <w:tc>
          <w:tcPr>
            <w:tcW w:w="692" w:type="dxa"/>
          </w:tcPr>
          <w:p w14:paraId="52840BC8" w14:textId="77777777" w:rsidR="0025058B" w:rsidRPr="00384EEC" w:rsidRDefault="0025058B" w:rsidP="00E247FD">
            <w:pPr>
              <w:pStyle w:val="P68B1DB1-TableParagraph19"/>
              <w:spacing w:before="27"/>
              <w:ind w:left="10" w:right="2"/>
              <w:rPr>
                <w:rFonts w:cs="Times New Roman"/>
                <w:sz w:val="18"/>
                <w:szCs w:val="18"/>
              </w:rPr>
            </w:pPr>
            <w:r w:rsidRPr="00384EEC">
              <w:rPr>
                <w:rFonts w:cs="Times New Roman"/>
                <w:sz w:val="18"/>
                <w:szCs w:val="18"/>
              </w:rPr>
              <w:t xml:space="preserve">× </w:t>
            </w:r>
          </w:p>
        </w:tc>
        <w:tc>
          <w:tcPr>
            <w:tcW w:w="820" w:type="dxa"/>
          </w:tcPr>
          <w:p w14:paraId="2EC4E547" w14:textId="77777777" w:rsidR="0025058B" w:rsidRPr="00384EEC" w:rsidRDefault="0025058B" w:rsidP="00E247FD">
            <w:pPr>
              <w:pStyle w:val="P68B1DB1-TableParagraph19"/>
              <w:spacing w:before="25"/>
              <w:ind w:left="9" w:right="1"/>
              <w:rPr>
                <w:rFonts w:cs="Times New Roman"/>
                <w:sz w:val="18"/>
                <w:szCs w:val="18"/>
              </w:rPr>
            </w:pPr>
            <w:r w:rsidRPr="00384EEC">
              <w:rPr>
                <w:rFonts w:cs="Times New Roman"/>
                <w:sz w:val="18"/>
                <w:szCs w:val="18"/>
              </w:rPr>
              <w:t xml:space="preserve">× </w:t>
            </w:r>
          </w:p>
        </w:tc>
        <w:tc>
          <w:tcPr>
            <w:tcW w:w="790" w:type="dxa"/>
          </w:tcPr>
          <w:p w14:paraId="529CA4AA" w14:textId="77777777" w:rsidR="0025058B" w:rsidRPr="00384EEC" w:rsidRDefault="0025058B" w:rsidP="00E247FD">
            <w:pPr>
              <w:pStyle w:val="P68B1DB1-TableParagraph19"/>
              <w:spacing w:before="27"/>
              <w:ind w:left="10"/>
              <w:rPr>
                <w:rFonts w:cs="Times New Roman"/>
                <w:sz w:val="18"/>
                <w:szCs w:val="18"/>
              </w:rPr>
            </w:pPr>
            <w:r w:rsidRPr="00384EEC">
              <w:rPr>
                <w:rFonts w:cs="Times New Roman"/>
                <w:sz w:val="18"/>
                <w:szCs w:val="18"/>
              </w:rPr>
              <w:t xml:space="preserve">× </w:t>
            </w:r>
          </w:p>
        </w:tc>
        <w:tc>
          <w:tcPr>
            <w:tcW w:w="910" w:type="dxa"/>
          </w:tcPr>
          <w:p w14:paraId="5E65FFB9" w14:textId="77777777" w:rsidR="0025058B" w:rsidRPr="00384EEC" w:rsidRDefault="0025058B" w:rsidP="00E247FD">
            <w:pPr>
              <w:pStyle w:val="P68B1DB1-TableParagraph19"/>
              <w:spacing w:before="27"/>
              <w:ind w:left="10"/>
              <w:rPr>
                <w:rFonts w:cs="Times New Roman"/>
                <w:sz w:val="18"/>
                <w:szCs w:val="18"/>
              </w:rPr>
            </w:pPr>
            <w:r w:rsidRPr="00384EEC">
              <w:rPr>
                <w:rFonts w:cs="Times New Roman"/>
                <w:sz w:val="18"/>
                <w:szCs w:val="18"/>
              </w:rPr>
              <w:t xml:space="preserve">× </w:t>
            </w:r>
          </w:p>
        </w:tc>
        <w:tc>
          <w:tcPr>
            <w:tcW w:w="910" w:type="dxa"/>
          </w:tcPr>
          <w:p w14:paraId="0A10409D" w14:textId="77777777" w:rsidR="0025058B" w:rsidRPr="00384EEC" w:rsidRDefault="0025058B" w:rsidP="00E247FD">
            <w:pPr>
              <w:pStyle w:val="P68B1DB1-TableParagraph19"/>
              <w:spacing w:before="27"/>
              <w:ind w:left="10" w:right="1"/>
              <w:rPr>
                <w:rFonts w:cs="Times New Roman"/>
                <w:sz w:val="18"/>
                <w:szCs w:val="18"/>
              </w:rPr>
            </w:pPr>
            <w:r w:rsidRPr="00384EEC">
              <w:rPr>
                <w:rFonts w:cs="Times New Roman"/>
                <w:sz w:val="18"/>
                <w:szCs w:val="18"/>
              </w:rPr>
              <w:t xml:space="preserve">× </w:t>
            </w:r>
          </w:p>
        </w:tc>
        <w:tc>
          <w:tcPr>
            <w:tcW w:w="790" w:type="dxa"/>
          </w:tcPr>
          <w:p w14:paraId="2C8B89CC" w14:textId="77777777" w:rsidR="0025058B" w:rsidRPr="00384EEC" w:rsidRDefault="0025058B" w:rsidP="00E247FD">
            <w:pPr>
              <w:pStyle w:val="P68B1DB1-TableParagraph19"/>
              <w:spacing w:before="25"/>
              <w:ind w:left="10" w:right="2"/>
              <w:rPr>
                <w:rFonts w:cs="Times New Roman"/>
                <w:sz w:val="18"/>
                <w:szCs w:val="18"/>
              </w:rPr>
            </w:pPr>
            <w:r w:rsidRPr="00384EEC">
              <w:rPr>
                <w:rFonts w:cs="Times New Roman"/>
                <w:sz w:val="18"/>
                <w:szCs w:val="18"/>
              </w:rPr>
              <w:t xml:space="preserve">× </w:t>
            </w:r>
          </w:p>
        </w:tc>
        <w:tc>
          <w:tcPr>
            <w:tcW w:w="790" w:type="dxa"/>
          </w:tcPr>
          <w:p w14:paraId="00322AE2" w14:textId="77777777" w:rsidR="0025058B" w:rsidRPr="00384EEC" w:rsidRDefault="0025058B" w:rsidP="00E247FD">
            <w:pPr>
              <w:pStyle w:val="P68B1DB1-TableParagraph19"/>
              <w:spacing w:before="27"/>
              <w:ind w:left="10" w:right="3"/>
              <w:rPr>
                <w:rFonts w:cs="Times New Roman"/>
                <w:sz w:val="18"/>
                <w:szCs w:val="18"/>
              </w:rPr>
            </w:pPr>
            <w:r w:rsidRPr="00384EEC">
              <w:rPr>
                <w:rFonts w:cs="Times New Roman"/>
                <w:sz w:val="18"/>
                <w:szCs w:val="18"/>
              </w:rPr>
              <w:t xml:space="preserve">× </w:t>
            </w:r>
          </w:p>
        </w:tc>
        <w:tc>
          <w:tcPr>
            <w:tcW w:w="910" w:type="dxa"/>
          </w:tcPr>
          <w:p w14:paraId="1FA3D66D" w14:textId="77777777" w:rsidR="0025058B" w:rsidRPr="00384EEC" w:rsidRDefault="0025058B" w:rsidP="00E247FD">
            <w:pPr>
              <w:pStyle w:val="P68B1DB1-TableParagraph19"/>
              <w:spacing w:before="27"/>
              <w:ind w:left="10" w:right="4"/>
              <w:rPr>
                <w:rFonts w:cs="Times New Roman"/>
                <w:sz w:val="18"/>
                <w:szCs w:val="18"/>
              </w:rPr>
            </w:pPr>
            <w:r w:rsidRPr="00384EEC">
              <w:rPr>
                <w:rFonts w:cs="Times New Roman"/>
                <w:sz w:val="18"/>
                <w:szCs w:val="18"/>
              </w:rPr>
              <w:t xml:space="preserve">× </w:t>
            </w:r>
          </w:p>
        </w:tc>
        <w:tc>
          <w:tcPr>
            <w:tcW w:w="910" w:type="dxa"/>
          </w:tcPr>
          <w:p w14:paraId="6B65E186" w14:textId="77777777" w:rsidR="0025058B" w:rsidRPr="00384EEC" w:rsidRDefault="0025058B" w:rsidP="00E247FD">
            <w:pPr>
              <w:pStyle w:val="P68B1DB1-TableParagraph19"/>
              <w:spacing w:before="27"/>
              <w:ind w:left="10"/>
              <w:rPr>
                <w:rFonts w:cs="Times New Roman"/>
                <w:sz w:val="18"/>
                <w:szCs w:val="18"/>
              </w:rPr>
            </w:pPr>
            <w:r w:rsidRPr="00384EEC">
              <w:rPr>
                <w:rFonts w:cs="Times New Roman"/>
                <w:sz w:val="18"/>
                <w:szCs w:val="18"/>
              </w:rPr>
              <w:t xml:space="preserve">× </w:t>
            </w:r>
          </w:p>
        </w:tc>
        <w:tc>
          <w:tcPr>
            <w:tcW w:w="1445" w:type="dxa"/>
          </w:tcPr>
          <w:p w14:paraId="3E89B64F" w14:textId="77777777" w:rsidR="0025058B" w:rsidRPr="00384EEC" w:rsidRDefault="0025058B" w:rsidP="00E247FD">
            <w:pPr>
              <w:pStyle w:val="P68B1DB1-TableParagraph19"/>
              <w:spacing w:before="27"/>
              <w:ind w:left="11" w:right="4"/>
              <w:rPr>
                <w:rFonts w:cs="Times New Roman"/>
                <w:sz w:val="18"/>
                <w:szCs w:val="18"/>
              </w:rPr>
            </w:pPr>
            <w:r w:rsidRPr="00384EEC">
              <w:rPr>
                <w:rFonts w:cs="Times New Roman"/>
                <w:sz w:val="18"/>
                <w:szCs w:val="18"/>
              </w:rPr>
              <w:t xml:space="preserve">× </w:t>
            </w:r>
          </w:p>
        </w:tc>
        <w:tc>
          <w:tcPr>
            <w:tcW w:w="1445" w:type="dxa"/>
          </w:tcPr>
          <w:p w14:paraId="4423CC71" w14:textId="77777777" w:rsidR="0025058B" w:rsidRPr="00384EEC" w:rsidRDefault="0025058B" w:rsidP="00E247FD">
            <w:pPr>
              <w:pStyle w:val="P68B1DB1-TableParagraph19"/>
              <w:spacing w:before="27"/>
              <w:ind w:left="11" w:right="4"/>
              <w:rPr>
                <w:rFonts w:cs="Times New Roman"/>
                <w:sz w:val="18"/>
                <w:szCs w:val="18"/>
              </w:rPr>
            </w:pPr>
            <w:r w:rsidRPr="00384EEC">
              <w:rPr>
                <w:rFonts w:cs="Times New Roman"/>
                <w:sz w:val="18"/>
                <w:szCs w:val="18"/>
              </w:rPr>
              <w:t xml:space="preserve">× </w:t>
            </w:r>
          </w:p>
        </w:tc>
        <w:tc>
          <w:tcPr>
            <w:tcW w:w="911" w:type="dxa"/>
          </w:tcPr>
          <w:p w14:paraId="2C66D96D" w14:textId="77777777" w:rsidR="0025058B" w:rsidRPr="00384EEC" w:rsidRDefault="0025058B" w:rsidP="00E247FD">
            <w:pPr>
              <w:pStyle w:val="P68B1DB1-TableParagraph19"/>
              <w:spacing w:before="27"/>
              <w:ind w:left="13" w:right="5"/>
              <w:rPr>
                <w:rFonts w:cs="Times New Roman"/>
                <w:sz w:val="18"/>
                <w:szCs w:val="18"/>
              </w:rPr>
            </w:pPr>
            <w:r w:rsidRPr="00384EEC">
              <w:rPr>
                <w:rFonts w:cs="Times New Roman"/>
                <w:sz w:val="18"/>
                <w:szCs w:val="18"/>
              </w:rPr>
              <w:t xml:space="preserve">× </w:t>
            </w:r>
          </w:p>
        </w:tc>
        <w:tc>
          <w:tcPr>
            <w:tcW w:w="1100" w:type="dxa"/>
          </w:tcPr>
          <w:p w14:paraId="00B0044A"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549C24DF" w14:textId="77777777" w:rsidTr="00384EEC">
        <w:trPr>
          <w:trHeight w:val="330"/>
        </w:trPr>
        <w:tc>
          <w:tcPr>
            <w:tcW w:w="1670" w:type="dxa"/>
          </w:tcPr>
          <w:p w14:paraId="7651E507" w14:textId="77777777" w:rsidR="0025058B" w:rsidRPr="00384EEC" w:rsidRDefault="0025058B" w:rsidP="00E247FD">
            <w:pPr>
              <w:pStyle w:val="P68B1DB1-TableParagraph18"/>
              <w:spacing w:line="310" w:lineRule="exact"/>
              <w:ind w:left="10"/>
              <w:rPr>
                <w:rFonts w:ascii="Times New Roman" w:hAnsi="Times New Roman" w:cs="Times New Roman"/>
                <w:sz w:val="18"/>
                <w:szCs w:val="18"/>
              </w:rPr>
            </w:pPr>
            <w:r w:rsidRPr="00384EEC">
              <w:rPr>
                <w:rFonts w:ascii="Times New Roman" w:hAnsi="Times New Roman" w:cs="Times New Roman"/>
                <w:sz w:val="18"/>
                <w:szCs w:val="18"/>
              </w:rPr>
              <w:t xml:space="preserve">Adverse events </w:t>
            </w:r>
          </w:p>
        </w:tc>
        <w:tc>
          <w:tcPr>
            <w:tcW w:w="786" w:type="dxa"/>
          </w:tcPr>
          <w:p w14:paraId="3ECC3CFF" w14:textId="77777777" w:rsidR="0025058B" w:rsidRPr="00384EEC" w:rsidRDefault="0025058B" w:rsidP="00E247FD">
            <w:pPr>
              <w:pStyle w:val="P68B1DB1-TableParagraph19"/>
              <w:spacing w:before="28"/>
              <w:ind w:left="10" w:right="3"/>
              <w:rPr>
                <w:rFonts w:cs="Times New Roman"/>
                <w:sz w:val="18"/>
                <w:szCs w:val="18"/>
              </w:rPr>
            </w:pPr>
            <w:r w:rsidRPr="00384EEC">
              <w:rPr>
                <w:rFonts w:cs="Times New Roman"/>
                <w:sz w:val="18"/>
                <w:szCs w:val="18"/>
              </w:rPr>
              <w:t xml:space="preserve">× </w:t>
            </w:r>
          </w:p>
        </w:tc>
        <w:tc>
          <w:tcPr>
            <w:tcW w:w="692" w:type="dxa"/>
          </w:tcPr>
          <w:p w14:paraId="3C4CDB6D" w14:textId="77777777" w:rsidR="0025058B" w:rsidRPr="00384EEC" w:rsidRDefault="0025058B" w:rsidP="00E247FD">
            <w:pPr>
              <w:pStyle w:val="P68B1DB1-TableParagraph19"/>
              <w:spacing w:before="28"/>
              <w:ind w:left="10" w:right="2"/>
              <w:rPr>
                <w:rFonts w:cs="Times New Roman"/>
                <w:sz w:val="18"/>
                <w:szCs w:val="18"/>
              </w:rPr>
            </w:pPr>
            <w:r w:rsidRPr="00384EEC">
              <w:rPr>
                <w:rFonts w:cs="Times New Roman"/>
                <w:sz w:val="18"/>
                <w:szCs w:val="18"/>
              </w:rPr>
              <w:t xml:space="preserve">× </w:t>
            </w:r>
          </w:p>
        </w:tc>
        <w:tc>
          <w:tcPr>
            <w:tcW w:w="820" w:type="dxa"/>
          </w:tcPr>
          <w:p w14:paraId="6B8AC7CD" w14:textId="77777777" w:rsidR="0025058B" w:rsidRPr="00384EEC" w:rsidRDefault="0025058B" w:rsidP="00E247FD">
            <w:pPr>
              <w:pStyle w:val="P68B1DB1-TableParagraph19"/>
              <w:spacing w:before="25"/>
              <w:ind w:left="9" w:right="1"/>
              <w:rPr>
                <w:rFonts w:cs="Times New Roman"/>
                <w:sz w:val="18"/>
                <w:szCs w:val="18"/>
              </w:rPr>
            </w:pPr>
            <w:r w:rsidRPr="00384EEC">
              <w:rPr>
                <w:rFonts w:cs="Times New Roman"/>
                <w:sz w:val="18"/>
                <w:szCs w:val="18"/>
              </w:rPr>
              <w:t xml:space="preserve">× </w:t>
            </w:r>
          </w:p>
        </w:tc>
        <w:tc>
          <w:tcPr>
            <w:tcW w:w="790" w:type="dxa"/>
          </w:tcPr>
          <w:p w14:paraId="461FF032" w14:textId="77777777" w:rsidR="0025058B" w:rsidRPr="00384EEC" w:rsidRDefault="0025058B" w:rsidP="00E247FD">
            <w:pPr>
              <w:pStyle w:val="P68B1DB1-TableParagraph19"/>
              <w:spacing w:before="28"/>
              <w:ind w:left="10"/>
              <w:rPr>
                <w:rFonts w:cs="Times New Roman"/>
                <w:sz w:val="18"/>
                <w:szCs w:val="18"/>
              </w:rPr>
            </w:pPr>
            <w:r w:rsidRPr="00384EEC">
              <w:rPr>
                <w:rFonts w:cs="Times New Roman"/>
                <w:sz w:val="18"/>
                <w:szCs w:val="18"/>
              </w:rPr>
              <w:t xml:space="preserve">× </w:t>
            </w:r>
          </w:p>
        </w:tc>
        <w:tc>
          <w:tcPr>
            <w:tcW w:w="910" w:type="dxa"/>
          </w:tcPr>
          <w:p w14:paraId="524E7738" w14:textId="77777777" w:rsidR="0025058B" w:rsidRPr="00384EEC" w:rsidRDefault="0025058B" w:rsidP="00E247FD">
            <w:pPr>
              <w:pStyle w:val="P68B1DB1-TableParagraph19"/>
              <w:spacing w:before="28"/>
              <w:ind w:left="10"/>
              <w:rPr>
                <w:rFonts w:cs="Times New Roman"/>
                <w:sz w:val="18"/>
                <w:szCs w:val="18"/>
              </w:rPr>
            </w:pPr>
            <w:r w:rsidRPr="00384EEC">
              <w:rPr>
                <w:rFonts w:cs="Times New Roman"/>
                <w:sz w:val="18"/>
                <w:szCs w:val="18"/>
              </w:rPr>
              <w:t xml:space="preserve">× </w:t>
            </w:r>
          </w:p>
        </w:tc>
        <w:tc>
          <w:tcPr>
            <w:tcW w:w="910" w:type="dxa"/>
          </w:tcPr>
          <w:p w14:paraId="27407D02" w14:textId="77777777" w:rsidR="0025058B" w:rsidRPr="00384EEC" w:rsidRDefault="0025058B" w:rsidP="00E247FD">
            <w:pPr>
              <w:pStyle w:val="P68B1DB1-TableParagraph19"/>
              <w:spacing w:before="28"/>
              <w:ind w:left="10" w:right="1"/>
              <w:rPr>
                <w:rFonts w:cs="Times New Roman"/>
                <w:sz w:val="18"/>
                <w:szCs w:val="18"/>
              </w:rPr>
            </w:pPr>
            <w:r w:rsidRPr="00384EEC">
              <w:rPr>
                <w:rFonts w:cs="Times New Roman"/>
                <w:sz w:val="18"/>
                <w:szCs w:val="18"/>
              </w:rPr>
              <w:t xml:space="preserve">× </w:t>
            </w:r>
          </w:p>
        </w:tc>
        <w:tc>
          <w:tcPr>
            <w:tcW w:w="790" w:type="dxa"/>
          </w:tcPr>
          <w:p w14:paraId="70086B26" w14:textId="77777777" w:rsidR="0025058B" w:rsidRPr="00384EEC" w:rsidRDefault="0025058B" w:rsidP="00E247FD">
            <w:pPr>
              <w:pStyle w:val="P68B1DB1-TableParagraph19"/>
              <w:spacing w:before="25"/>
              <w:ind w:left="10" w:right="2"/>
              <w:rPr>
                <w:rFonts w:cs="Times New Roman"/>
                <w:sz w:val="18"/>
                <w:szCs w:val="18"/>
              </w:rPr>
            </w:pPr>
            <w:r w:rsidRPr="00384EEC">
              <w:rPr>
                <w:rFonts w:cs="Times New Roman"/>
                <w:sz w:val="18"/>
                <w:szCs w:val="18"/>
              </w:rPr>
              <w:t xml:space="preserve">× </w:t>
            </w:r>
          </w:p>
        </w:tc>
        <w:tc>
          <w:tcPr>
            <w:tcW w:w="790" w:type="dxa"/>
          </w:tcPr>
          <w:p w14:paraId="0E037E34" w14:textId="77777777" w:rsidR="0025058B" w:rsidRPr="00384EEC" w:rsidRDefault="0025058B" w:rsidP="00E247FD">
            <w:pPr>
              <w:pStyle w:val="P68B1DB1-TableParagraph19"/>
              <w:spacing w:before="28"/>
              <w:ind w:left="10" w:right="3"/>
              <w:rPr>
                <w:rFonts w:cs="Times New Roman"/>
                <w:sz w:val="18"/>
                <w:szCs w:val="18"/>
              </w:rPr>
            </w:pPr>
            <w:r w:rsidRPr="00384EEC">
              <w:rPr>
                <w:rFonts w:cs="Times New Roman"/>
                <w:sz w:val="18"/>
                <w:szCs w:val="18"/>
              </w:rPr>
              <w:t xml:space="preserve">× </w:t>
            </w:r>
          </w:p>
        </w:tc>
        <w:tc>
          <w:tcPr>
            <w:tcW w:w="910" w:type="dxa"/>
          </w:tcPr>
          <w:p w14:paraId="370D4BDC" w14:textId="77777777" w:rsidR="0025058B" w:rsidRPr="00384EEC" w:rsidRDefault="0025058B" w:rsidP="00E247FD">
            <w:pPr>
              <w:pStyle w:val="P68B1DB1-TableParagraph19"/>
              <w:spacing w:before="28"/>
              <w:ind w:left="10" w:right="4"/>
              <w:rPr>
                <w:rFonts w:cs="Times New Roman"/>
                <w:sz w:val="18"/>
                <w:szCs w:val="18"/>
              </w:rPr>
            </w:pPr>
            <w:r w:rsidRPr="00384EEC">
              <w:rPr>
                <w:rFonts w:cs="Times New Roman"/>
                <w:sz w:val="18"/>
                <w:szCs w:val="18"/>
              </w:rPr>
              <w:t xml:space="preserve">× </w:t>
            </w:r>
          </w:p>
        </w:tc>
        <w:tc>
          <w:tcPr>
            <w:tcW w:w="910" w:type="dxa"/>
          </w:tcPr>
          <w:p w14:paraId="14240EE4" w14:textId="77777777" w:rsidR="0025058B" w:rsidRPr="00384EEC" w:rsidRDefault="0025058B" w:rsidP="00E247FD">
            <w:pPr>
              <w:pStyle w:val="P68B1DB1-TableParagraph19"/>
              <w:spacing w:before="28"/>
              <w:ind w:left="10"/>
              <w:rPr>
                <w:rFonts w:cs="Times New Roman"/>
                <w:sz w:val="18"/>
                <w:szCs w:val="18"/>
              </w:rPr>
            </w:pPr>
            <w:r w:rsidRPr="00384EEC">
              <w:rPr>
                <w:rFonts w:cs="Times New Roman"/>
                <w:sz w:val="18"/>
                <w:szCs w:val="18"/>
              </w:rPr>
              <w:t xml:space="preserve">× </w:t>
            </w:r>
          </w:p>
        </w:tc>
        <w:tc>
          <w:tcPr>
            <w:tcW w:w="1445" w:type="dxa"/>
          </w:tcPr>
          <w:p w14:paraId="465BFDBF" w14:textId="77777777" w:rsidR="0025058B" w:rsidRPr="00384EEC" w:rsidRDefault="0025058B" w:rsidP="00E247FD">
            <w:pPr>
              <w:pStyle w:val="P68B1DB1-TableParagraph19"/>
              <w:spacing w:before="28"/>
              <w:ind w:left="11" w:right="4"/>
              <w:rPr>
                <w:rFonts w:cs="Times New Roman"/>
                <w:sz w:val="18"/>
                <w:szCs w:val="18"/>
              </w:rPr>
            </w:pPr>
            <w:r w:rsidRPr="00384EEC">
              <w:rPr>
                <w:rFonts w:cs="Times New Roman"/>
                <w:sz w:val="18"/>
                <w:szCs w:val="18"/>
              </w:rPr>
              <w:t xml:space="preserve">× </w:t>
            </w:r>
          </w:p>
        </w:tc>
        <w:tc>
          <w:tcPr>
            <w:tcW w:w="1445" w:type="dxa"/>
          </w:tcPr>
          <w:p w14:paraId="522255B6" w14:textId="77777777" w:rsidR="0025058B" w:rsidRPr="00384EEC" w:rsidRDefault="0025058B" w:rsidP="00E247FD">
            <w:pPr>
              <w:pStyle w:val="P68B1DB1-TableParagraph19"/>
              <w:spacing w:before="28"/>
              <w:ind w:left="11" w:right="4"/>
              <w:rPr>
                <w:rFonts w:cs="Times New Roman"/>
                <w:sz w:val="18"/>
                <w:szCs w:val="18"/>
              </w:rPr>
            </w:pPr>
            <w:r w:rsidRPr="00384EEC">
              <w:rPr>
                <w:rFonts w:cs="Times New Roman"/>
                <w:sz w:val="18"/>
                <w:szCs w:val="18"/>
              </w:rPr>
              <w:t xml:space="preserve">× </w:t>
            </w:r>
          </w:p>
        </w:tc>
        <w:tc>
          <w:tcPr>
            <w:tcW w:w="911" w:type="dxa"/>
          </w:tcPr>
          <w:p w14:paraId="0A3F1258" w14:textId="77777777" w:rsidR="0025058B" w:rsidRPr="00384EEC" w:rsidRDefault="0025058B" w:rsidP="00E247FD">
            <w:pPr>
              <w:pStyle w:val="P68B1DB1-TableParagraph19"/>
              <w:spacing w:before="28"/>
              <w:ind w:left="13" w:right="5"/>
              <w:rPr>
                <w:rFonts w:cs="Times New Roman"/>
                <w:sz w:val="18"/>
                <w:szCs w:val="18"/>
              </w:rPr>
            </w:pPr>
            <w:r w:rsidRPr="00384EEC">
              <w:rPr>
                <w:rFonts w:cs="Times New Roman"/>
                <w:sz w:val="18"/>
                <w:szCs w:val="18"/>
              </w:rPr>
              <w:t xml:space="preserve">× </w:t>
            </w:r>
          </w:p>
        </w:tc>
        <w:tc>
          <w:tcPr>
            <w:tcW w:w="1100" w:type="dxa"/>
          </w:tcPr>
          <w:p w14:paraId="30AF6AAC" w14:textId="77777777" w:rsidR="0025058B" w:rsidRPr="00384EEC" w:rsidRDefault="0025058B" w:rsidP="00E247FD">
            <w:pPr>
              <w:pStyle w:val="P68B1DB1-TableParagraph19"/>
              <w:spacing w:before="25"/>
              <w:ind w:left="8"/>
              <w:rPr>
                <w:rFonts w:cs="Times New Roman"/>
                <w:sz w:val="18"/>
                <w:szCs w:val="18"/>
              </w:rPr>
            </w:pPr>
            <w:r w:rsidRPr="00384EEC">
              <w:rPr>
                <w:rFonts w:cs="Times New Roman"/>
                <w:sz w:val="18"/>
                <w:szCs w:val="18"/>
              </w:rPr>
              <w:t xml:space="preserve">× </w:t>
            </w:r>
          </w:p>
        </w:tc>
      </w:tr>
      <w:tr w:rsidR="0025058B" w:rsidRPr="00E247FD" w14:paraId="1EFFFA5A" w14:textId="77777777" w:rsidTr="00384EEC">
        <w:trPr>
          <w:trHeight w:val="330"/>
        </w:trPr>
        <w:tc>
          <w:tcPr>
            <w:tcW w:w="1670" w:type="dxa"/>
          </w:tcPr>
          <w:p w14:paraId="053F576E" w14:textId="01C1E8C6" w:rsidR="0025058B" w:rsidRPr="00384EEC" w:rsidRDefault="0025058B">
            <w:pPr>
              <w:pStyle w:val="P68B1DB1-TableParagraph18"/>
              <w:spacing w:line="310" w:lineRule="exact"/>
              <w:ind w:left="10"/>
              <w:rPr>
                <w:rFonts w:ascii="Times New Roman" w:hAnsi="Times New Roman" w:cs="Times New Roman"/>
                <w:sz w:val="18"/>
                <w:szCs w:val="18"/>
              </w:rPr>
            </w:pPr>
            <w:r w:rsidRPr="00384EEC">
              <w:rPr>
                <w:rFonts w:ascii="Times New Roman" w:hAnsi="Times New Roman" w:cs="Times New Roman"/>
                <w:sz w:val="18"/>
                <w:szCs w:val="18"/>
              </w:rPr>
              <w:t>D</w:t>
            </w:r>
            <w:r w:rsidR="0005340F">
              <w:rPr>
                <w:rFonts w:ascii="Times New Roman" w:hAnsi="Times New Roman" w:cs="Times New Roman"/>
                <w:sz w:val="18"/>
                <w:szCs w:val="18"/>
              </w:rPr>
              <w:t>rug</w:t>
            </w:r>
            <w:r w:rsidRPr="00384EEC">
              <w:rPr>
                <w:rFonts w:ascii="Times New Roman" w:hAnsi="Times New Roman" w:cs="Times New Roman"/>
                <w:sz w:val="18"/>
                <w:szCs w:val="18"/>
              </w:rPr>
              <w:t xml:space="preserve"> </w:t>
            </w:r>
            <w:r w:rsidR="0005340F">
              <w:rPr>
                <w:rFonts w:ascii="Times New Roman" w:hAnsi="Times New Roman" w:cs="Times New Roman"/>
                <w:sz w:val="18"/>
                <w:szCs w:val="18"/>
              </w:rPr>
              <w:t>delivery</w:t>
            </w:r>
            <w:r w:rsidRPr="00384EEC">
              <w:rPr>
                <w:rFonts w:ascii="Times New Roman" w:hAnsi="Times New Roman" w:cs="Times New Roman"/>
                <w:sz w:val="18"/>
                <w:szCs w:val="18"/>
              </w:rPr>
              <w:t xml:space="preserve"> </w:t>
            </w:r>
          </w:p>
        </w:tc>
        <w:tc>
          <w:tcPr>
            <w:tcW w:w="1478" w:type="dxa"/>
            <w:gridSpan w:val="2"/>
          </w:tcPr>
          <w:p w14:paraId="6A09D752" w14:textId="77777777" w:rsidR="0025058B" w:rsidRPr="00384EEC" w:rsidRDefault="0025058B" w:rsidP="00E247FD">
            <w:pPr>
              <w:pStyle w:val="TableParagraph"/>
              <w:rPr>
                <w:rFonts w:ascii="Times New Roman" w:hAnsi="Times New Roman" w:cs="Times New Roman"/>
                <w:sz w:val="18"/>
                <w:szCs w:val="18"/>
              </w:rPr>
            </w:pPr>
          </w:p>
        </w:tc>
        <w:tc>
          <w:tcPr>
            <w:tcW w:w="820" w:type="dxa"/>
          </w:tcPr>
          <w:p w14:paraId="1696661E" w14:textId="77777777" w:rsidR="0025058B" w:rsidRPr="00384EEC" w:rsidRDefault="0025058B" w:rsidP="00E247FD">
            <w:pPr>
              <w:pStyle w:val="P68B1DB1-TableParagraph19"/>
              <w:spacing w:before="24"/>
              <w:ind w:left="9" w:right="1"/>
              <w:rPr>
                <w:rFonts w:cs="Times New Roman"/>
                <w:sz w:val="18"/>
                <w:szCs w:val="18"/>
              </w:rPr>
            </w:pPr>
            <w:r w:rsidRPr="00384EEC">
              <w:rPr>
                <w:rFonts w:cs="Times New Roman"/>
                <w:sz w:val="18"/>
                <w:szCs w:val="18"/>
              </w:rPr>
              <w:t xml:space="preserve">× </w:t>
            </w:r>
          </w:p>
        </w:tc>
        <w:tc>
          <w:tcPr>
            <w:tcW w:w="790" w:type="dxa"/>
          </w:tcPr>
          <w:p w14:paraId="22D85402"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601B92A9"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1CD6579B" w14:textId="77777777" w:rsidR="0025058B" w:rsidRPr="00384EEC" w:rsidRDefault="0025058B" w:rsidP="00E247FD">
            <w:pPr>
              <w:pStyle w:val="P68B1DB1-TableParagraph19"/>
              <w:spacing w:before="26"/>
              <w:ind w:left="10" w:right="1"/>
              <w:rPr>
                <w:rFonts w:cs="Times New Roman"/>
                <w:sz w:val="18"/>
                <w:szCs w:val="18"/>
              </w:rPr>
            </w:pPr>
            <w:r w:rsidRPr="00384EEC">
              <w:rPr>
                <w:rFonts w:cs="Times New Roman"/>
                <w:sz w:val="18"/>
                <w:szCs w:val="18"/>
              </w:rPr>
              <w:t xml:space="preserve">× </w:t>
            </w:r>
          </w:p>
        </w:tc>
        <w:tc>
          <w:tcPr>
            <w:tcW w:w="790" w:type="dxa"/>
          </w:tcPr>
          <w:p w14:paraId="65EB9299" w14:textId="77777777" w:rsidR="0025058B" w:rsidRPr="00384EEC" w:rsidRDefault="0025058B" w:rsidP="00E247FD">
            <w:pPr>
              <w:pStyle w:val="P68B1DB1-TableParagraph19"/>
              <w:spacing w:before="24"/>
              <w:ind w:left="10" w:right="2"/>
              <w:rPr>
                <w:rFonts w:cs="Times New Roman"/>
                <w:sz w:val="18"/>
                <w:szCs w:val="18"/>
              </w:rPr>
            </w:pPr>
            <w:r w:rsidRPr="00384EEC">
              <w:rPr>
                <w:rFonts w:cs="Times New Roman"/>
                <w:sz w:val="18"/>
                <w:szCs w:val="18"/>
              </w:rPr>
              <w:t xml:space="preserve">× </w:t>
            </w:r>
          </w:p>
        </w:tc>
        <w:tc>
          <w:tcPr>
            <w:tcW w:w="790" w:type="dxa"/>
          </w:tcPr>
          <w:p w14:paraId="1963E7C1"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28BE875E"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305BFA17" w14:textId="77777777" w:rsidR="0025058B" w:rsidRPr="00384EEC" w:rsidRDefault="0025058B" w:rsidP="00E247FD">
            <w:pPr>
              <w:pStyle w:val="P68B1DB1-TableParagraph19"/>
              <w:spacing w:before="26"/>
              <w:ind w:left="10"/>
              <w:rPr>
                <w:rFonts w:cs="Times New Roman"/>
                <w:sz w:val="18"/>
                <w:szCs w:val="18"/>
              </w:rPr>
            </w:pPr>
            <w:r w:rsidRPr="00384EEC">
              <w:rPr>
                <w:rFonts w:cs="Times New Roman"/>
                <w:sz w:val="18"/>
                <w:szCs w:val="18"/>
              </w:rPr>
              <w:t xml:space="preserve">× </w:t>
            </w:r>
          </w:p>
        </w:tc>
        <w:tc>
          <w:tcPr>
            <w:tcW w:w="1445" w:type="dxa"/>
          </w:tcPr>
          <w:p w14:paraId="53960F22" w14:textId="77777777" w:rsidR="0025058B" w:rsidRPr="00384EEC" w:rsidRDefault="0025058B" w:rsidP="00E247FD">
            <w:pPr>
              <w:pStyle w:val="P68B1DB1-TableParagraph19"/>
              <w:spacing w:before="26"/>
              <w:ind w:left="11" w:right="4"/>
              <w:rPr>
                <w:rFonts w:cs="Times New Roman"/>
                <w:sz w:val="18"/>
                <w:szCs w:val="18"/>
              </w:rPr>
            </w:pPr>
            <w:r w:rsidRPr="00384EEC">
              <w:rPr>
                <w:rFonts w:cs="Times New Roman"/>
                <w:sz w:val="18"/>
                <w:szCs w:val="18"/>
              </w:rPr>
              <w:t xml:space="preserve">× </w:t>
            </w:r>
          </w:p>
        </w:tc>
        <w:tc>
          <w:tcPr>
            <w:tcW w:w="1445" w:type="dxa"/>
          </w:tcPr>
          <w:p w14:paraId="3ECF6FD5" w14:textId="77777777" w:rsidR="0025058B" w:rsidRPr="00384EEC" w:rsidRDefault="0025058B" w:rsidP="00E247FD">
            <w:pPr>
              <w:pStyle w:val="P68B1DB1-TableParagraph19"/>
              <w:spacing w:before="26"/>
              <w:ind w:left="11" w:right="4"/>
              <w:rPr>
                <w:rFonts w:cs="Times New Roman"/>
                <w:sz w:val="18"/>
                <w:szCs w:val="18"/>
              </w:rPr>
            </w:pPr>
            <w:r w:rsidRPr="00384EEC">
              <w:rPr>
                <w:rFonts w:cs="Times New Roman"/>
                <w:sz w:val="18"/>
                <w:szCs w:val="18"/>
              </w:rPr>
              <w:t xml:space="preserve">× </w:t>
            </w:r>
          </w:p>
        </w:tc>
        <w:tc>
          <w:tcPr>
            <w:tcW w:w="911" w:type="dxa"/>
          </w:tcPr>
          <w:p w14:paraId="3702081C" w14:textId="77777777" w:rsidR="0025058B" w:rsidRPr="00384EEC" w:rsidRDefault="0025058B" w:rsidP="00E247FD">
            <w:pPr>
              <w:pStyle w:val="TableParagraph"/>
              <w:rPr>
                <w:rFonts w:ascii="Times New Roman" w:hAnsi="Times New Roman" w:cs="Times New Roman"/>
                <w:sz w:val="18"/>
                <w:szCs w:val="18"/>
              </w:rPr>
            </w:pPr>
          </w:p>
        </w:tc>
        <w:tc>
          <w:tcPr>
            <w:tcW w:w="1100" w:type="dxa"/>
          </w:tcPr>
          <w:p w14:paraId="63FDE9D2" w14:textId="77777777" w:rsidR="0025058B" w:rsidRPr="00384EEC" w:rsidRDefault="0025058B" w:rsidP="00E247FD">
            <w:pPr>
              <w:pStyle w:val="TableParagraph"/>
              <w:rPr>
                <w:rFonts w:ascii="Times New Roman" w:hAnsi="Times New Roman" w:cs="Times New Roman"/>
                <w:sz w:val="18"/>
                <w:szCs w:val="18"/>
              </w:rPr>
            </w:pPr>
          </w:p>
        </w:tc>
      </w:tr>
      <w:tr w:rsidR="0025058B" w:rsidRPr="00E247FD" w14:paraId="02745AA7" w14:textId="77777777" w:rsidTr="00384EEC">
        <w:trPr>
          <w:trHeight w:val="330"/>
        </w:trPr>
        <w:tc>
          <w:tcPr>
            <w:tcW w:w="1670" w:type="dxa"/>
          </w:tcPr>
          <w:p w14:paraId="5D341919" w14:textId="75FE348A" w:rsidR="0025058B" w:rsidRPr="00384EEC" w:rsidRDefault="0005340F">
            <w:pPr>
              <w:pStyle w:val="P68B1DB1-TableParagraph18"/>
              <w:spacing w:line="310" w:lineRule="exact"/>
              <w:ind w:left="10"/>
              <w:rPr>
                <w:rFonts w:ascii="Times New Roman" w:hAnsi="Times New Roman" w:cs="Times New Roman"/>
                <w:sz w:val="18"/>
                <w:szCs w:val="18"/>
              </w:rPr>
            </w:pPr>
            <w:r>
              <w:rPr>
                <w:rFonts w:ascii="Times New Roman" w:hAnsi="Times New Roman" w:cs="Times New Roman"/>
                <w:sz w:val="18"/>
                <w:szCs w:val="18"/>
              </w:rPr>
              <w:t>D</w:t>
            </w:r>
            <w:r w:rsidRPr="00FC53CE">
              <w:rPr>
                <w:rFonts w:ascii="Times New Roman" w:hAnsi="Times New Roman" w:cs="Times New Roman"/>
                <w:sz w:val="18"/>
                <w:szCs w:val="18"/>
              </w:rPr>
              <w:t>rug</w:t>
            </w:r>
            <w:r w:rsidRPr="00E247FD">
              <w:rPr>
                <w:rFonts w:ascii="Times New Roman" w:hAnsi="Times New Roman" w:cs="Times New Roman"/>
                <w:sz w:val="18"/>
                <w:szCs w:val="18"/>
              </w:rPr>
              <w:t xml:space="preserve"> </w:t>
            </w:r>
            <w:r>
              <w:rPr>
                <w:rFonts w:ascii="Times New Roman" w:hAnsi="Times New Roman" w:cs="Times New Roman"/>
                <w:sz w:val="18"/>
                <w:szCs w:val="18"/>
              </w:rPr>
              <w:t>r</w:t>
            </w:r>
            <w:r w:rsidR="0025058B" w:rsidRPr="00384EEC">
              <w:rPr>
                <w:rFonts w:ascii="Times New Roman" w:hAnsi="Times New Roman" w:cs="Times New Roman"/>
                <w:sz w:val="18"/>
                <w:szCs w:val="18"/>
              </w:rPr>
              <w:t>e</w:t>
            </w:r>
            <w:r>
              <w:rPr>
                <w:rFonts w:ascii="Times New Roman" w:hAnsi="Times New Roman" w:cs="Times New Roman"/>
                <w:sz w:val="18"/>
                <w:szCs w:val="18"/>
              </w:rPr>
              <w:t>cycles</w:t>
            </w:r>
          </w:p>
        </w:tc>
        <w:tc>
          <w:tcPr>
            <w:tcW w:w="1478" w:type="dxa"/>
            <w:gridSpan w:val="2"/>
          </w:tcPr>
          <w:p w14:paraId="32B3BC15" w14:textId="77777777" w:rsidR="0025058B" w:rsidRPr="00384EEC" w:rsidRDefault="0025058B" w:rsidP="00E247FD">
            <w:pPr>
              <w:pStyle w:val="TableParagraph"/>
              <w:rPr>
                <w:rFonts w:ascii="Times New Roman" w:hAnsi="Times New Roman" w:cs="Times New Roman"/>
                <w:sz w:val="18"/>
                <w:szCs w:val="18"/>
              </w:rPr>
            </w:pPr>
          </w:p>
        </w:tc>
        <w:tc>
          <w:tcPr>
            <w:tcW w:w="820" w:type="dxa"/>
          </w:tcPr>
          <w:p w14:paraId="34434FF7"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155F8482"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0C6B3789"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083E411D" w14:textId="77777777" w:rsidR="0025058B" w:rsidRPr="00384EEC" w:rsidRDefault="0025058B" w:rsidP="00E247FD">
            <w:pPr>
              <w:pStyle w:val="P68B1DB1-TableParagraph19"/>
              <w:spacing w:before="27"/>
              <w:ind w:left="10" w:right="1"/>
              <w:rPr>
                <w:rFonts w:cs="Times New Roman"/>
                <w:sz w:val="18"/>
                <w:szCs w:val="18"/>
              </w:rPr>
            </w:pPr>
            <w:r w:rsidRPr="00384EEC">
              <w:rPr>
                <w:rFonts w:cs="Times New Roman"/>
                <w:sz w:val="18"/>
                <w:szCs w:val="18"/>
              </w:rPr>
              <w:t xml:space="preserve">× </w:t>
            </w:r>
          </w:p>
        </w:tc>
        <w:tc>
          <w:tcPr>
            <w:tcW w:w="790" w:type="dxa"/>
          </w:tcPr>
          <w:p w14:paraId="5754ADCE" w14:textId="77777777" w:rsidR="0025058B" w:rsidRPr="00384EEC" w:rsidRDefault="0025058B" w:rsidP="00E247FD">
            <w:pPr>
              <w:pStyle w:val="TableParagraph"/>
              <w:rPr>
                <w:rFonts w:ascii="Times New Roman" w:hAnsi="Times New Roman" w:cs="Times New Roman"/>
                <w:sz w:val="18"/>
                <w:szCs w:val="18"/>
              </w:rPr>
            </w:pPr>
          </w:p>
        </w:tc>
        <w:tc>
          <w:tcPr>
            <w:tcW w:w="790" w:type="dxa"/>
          </w:tcPr>
          <w:p w14:paraId="669CA17C"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21EBF03C" w14:textId="77777777" w:rsidR="0025058B" w:rsidRPr="00384EEC" w:rsidRDefault="0025058B" w:rsidP="00E247FD">
            <w:pPr>
              <w:pStyle w:val="TableParagraph"/>
              <w:rPr>
                <w:rFonts w:ascii="Times New Roman" w:hAnsi="Times New Roman" w:cs="Times New Roman"/>
                <w:sz w:val="18"/>
                <w:szCs w:val="18"/>
              </w:rPr>
            </w:pPr>
          </w:p>
        </w:tc>
        <w:tc>
          <w:tcPr>
            <w:tcW w:w="910" w:type="dxa"/>
          </w:tcPr>
          <w:p w14:paraId="736BEDA2" w14:textId="77777777" w:rsidR="0025058B" w:rsidRPr="00384EEC" w:rsidRDefault="0025058B" w:rsidP="00E247FD">
            <w:pPr>
              <w:pStyle w:val="P68B1DB1-TableParagraph19"/>
              <w:spacing w:before="27"/>
              <w:ind w:left="10"/>
              <w:rPr>
                <w:rFonts w:cs="Times New Roman"/>
                <w:sz w:val="18"/>
                <w:szCs w:val="18"/>
              </w:rPr>
            </w:pPr>
            <w:r w:rsidRPr="00384EEC">
              <w:rPr>
                <w:rFonts w:cs="Times New Roman"/>
                <w:sz w:val="18"/>
                <w:szCs w:val="18"/>
              </w:rPr>
              <w:t xml:space="preserve">× </w:t>
            </w:r>
          </w:p>
        </w:tc>
        <w:tc>
          <w:tcPr>
            <w:tcW w:w="1445" w:type="dxa"/>
          </w:tcPr>
          <w:p w14:paraId="0E8856C4" w14:textId="77777777" w:rsidR="0025058B" w:rsidRPr="00384EEC" w:rsidRDefault="0025058B" w:rsidP="00E247FD">
            <w:pPr>
              <w:pStyle w:val="P68B1DB1-TableParagraph19"/>
              <w:spacing w:before="27"/>
              <w:ind w:left="11" w:right="4"/>
              <w:rPr>
                <w:rFonts w:cs="Times New Roman"/>
                <w:sz w:val="18"/>
                <w:szCs w:val="18"/>
              </w:rPr>
            </w:pPr>
            <w:r w:rsidRPr="00384EEC">
              <w:rPr>
                <w:rFonts w:cs="Times New Roman"/>
                <w:sz w:val="18"/>
                <w:szCs w:val="18"/>
              </w:rPr>
              <w:t xml:space="preserve">× </w:t>
            </w:r>
          </w:p>
        </w:tc>
        <w:tc>
          <w:tcPr>
            <w:tcW w:w="1445" w:type="dxa"/>
          </w:tcPr>
          <w:p w14:paraId="1F755ADF" w14:textId="77777777" w:rsidR="0025058B" w:rsidRPr="00384EEC" w:rsidRDefault="0025058B" w:rsidP="00E247FD">
            <w:pPr>
              <w:pStyle w:val="P68B1DB1-TableParagraph19"/>
              <w:spacing w:before="27"/>
              <w:ind w:left="11" w:right="4"/>
              <w:rPr>
                <w:rFonts w:cs="Times New Roman"/>
                <w:sz w:val="18"/>
                <w:szCs w:val="18"/>
              </w:rPr>
            </w:pPr>
            <w:r w:rsidRPr="00384EEC">
              <w:rPr>
                <w:rFonts w:cs="Times New Roman"/>
                <w:sz w:val="18"/>
                <w:szCs w:val="18"/>
              </w:rPr>
              <w:t xml:space="preserve">× </w:t>
            </w:r>
          </w:p>
        </w:tc>
        <w:tc>
          <w:tcPr>
            <w:tcW w:w="911" w:type="dxa"/>
          </w:tcPr>
          <w:p w14:paraId="742BE34B" w14:textId="77777777" w:rsidR="0025058B" w:rsidRPr="00384EEC" w:rsidRDefault="0025058B" w:rsidP="00E247FD">
            <w:pPr>
              <w:pStyle w:val="P68B1DB1-TableParagraph19"/>
              <w:spacing w:before="27"/>
              <w:ind w:left="13" w:right="5"/>
              <w:rPr>
                <w:rFonts w:cs="Times New Roman"/>
                <w:sz w:val="18"/>
                <w:szCs w:val="18"/>
              </w:rPr>
            </w:pPr>
            <w:r w:rsidRPr="00384EEC">
              <w:rPr>
                <w:rFonts w:cs="Times New Roman"/>
                <w:sz w:val="18"/>
                <w:szCs w:val="18"/>
              </w:rPr>
              <w:t xml:space="preserve">× </w:t>
            </w:r>
          </w:p>
        </w:tc>
        <w:tc>
          <w:tcPr>
            <w:tcW w:w="1100" w:type="dxa"/>
          </w:tcPr>
          <w:p w14:paraId="52BB9C9F" w14:textId="77777777" w:rsidR="0025058B" w:rsidRPr="00384EEC" w:rsidRDefault="0025058B" w:rsidP="00E247FD">
            <w:pPr>
              <w:pStyle w:val="TableParagraph"/>
              <w:rPr>
                <w:rFonts w:ascii="Times New Roman" w:hAnsi="Times New Roman" w:cs="Times New Roman"/>
                <w:sz w:val="18"/>
                <w:szCs w:val="18"/>
              </w:rPr>
            </w:pPr>
          </w:p>
        </w:tc>
      </w:tr>
    </w:tbl>
    <w:p w14:paraId="48443D85" w14:textId="525927A9" w:rsidR="00CA2DB7" w:rsidRPr="00384EEC" w:rsidRDefault="00CA2DB7" w:rsidP="00CA2DB7">
      <w:pPr>
        <w:pStyle w:val="afff8"/>
        <w:rPr>
          <w:rFonts w:eastAsiaTheme="minorEastAsia"/>
        </w:rPr>
      </w:pPr>
      <w:r>
        <w:t>1. The window period for visits was ±3 days, and the window period for OS follow-up after outgroup was ±7 days.</w:t>
      </w:r>
    </w:p>
    <w:p w14:paraId="77D4DFD8" w14:textId="5C4549D5" w:rsidR="00CA2DB7" w:rsidRPr="00384EEC" w:rsidRDefault="00CA2DB7" w:rsidP="00CA2DB7">
      <w:pPr>
        <w:pStyle w:val="afff8"/>
        <w:rPr>
          <w:rFonts w:eastAsiaTheme="minorEastAsia"/>
        </w:rPr>
      </w:pPr>
      <w:r>
        <w:t>2. Vital signs include blood pressure, pulse, respiratory rate, and temperature. If the participant was receiving antihypertensive medication at baseline, blood pressure was monitored for 3 hours (±2 hours) after taking the antihypertensive medication on the day of the visit. Patients should have their blood pressure checked daily or self-monitored and recorded when not in the hospital.</w:t>
      </w:r>
    </w:p>
    <w:p w14:paraId="54172F5B" w14:textId="396FA237" w:rsidR="00CA2DB7" w:rsidRPr="00384EEC" w:rsidRDefault="00CA2DB7" w:rsidP="00CA2DB7">
      <w:pPr>
        <w:pStyle w:val="afff8"/>
        <w:rPr>
          <w:rFonts w:eastAsiaTheme="minorEastAsia"/>
        </w:rPr>
      </w:pPr>
      <w:r>
        <w:t>3. Physical examination including height (screening only), weight, mental, respiratory, digestive, neurological, cardiovascular, skin, circulatory, urinary, lymph nodes and other systems. In particular, the sensory peripheral neurotoxicity of oxaliplatin should be carefully monitored, especially when combined with other drugs with specific neurological toxicity. A neurological examination was performed before each treatment and regularly thereafter.</w:t>
      </w:r>
    </w:p>
    <w:p w14:paraId="165CA4E5" w14:textId="27A2B730" w:rsidR="00CA2DB7" w:rsidRPr="00384EEC" w:rsidRDefault="005D64EE" w:rsidP="00CA2DB7">
      <w:pPr>
        <w:pStyle w:val="afff8"/>
        <w:rPr>
          <w:rFonts w:eastAsiaTheme="minorEastAsia"/>
        </w:rPr>
      </w:pPr>
      <w:r>
        <w:t xml:space="preserve">4. </w:t>
      </w:r>
      <w:r w:rsidR="00CA2DB7">
        <w:t>Quality-of-life questionnaires: All questionnaires were completed before the administration of the trial drug during the scheduled visit. The quality of life questionnaire was the same as the safety follow-up time point.</w:t>
      </w:r>
    </w:p>
    <w:p w14:paraId="46B4BD82" w14:textId="4897F605" w:rsidR="00CA2DB7" w:rsidRPr="00384EEC" w:rsidRDefault="00CA2DB7" w:rsidP="00CA2DB7">
      <w:pPr>
        <w:pStyle w:val="afff8"/>
        <w:rPr>
          <w:rFonts w:eastAsiaTheme="minorEastAsia"/>
        </w:rPr>
      </w:pPr>
      <w:r>
        <w:t>5. ECOG PS: All questionnaires were completed before the administration of the trial drug during the scheduled visit. ECOG score was the same as safety follow-up time point.</w:t>
      </w:r>
    </w:p>
    <w:p w14:paraId="37A17213" w14:textId="51614B86" w:rsidR="00CA2DB7" w:rsidRPr="00384EEC" w:rsidRDefault="00CA2DB7" w:rsidP="00CA2DB7">
      <w:pPr>
        <w:pStyle w:val="afff8"/>
        <w:rPr>
          <w:rFonts w:eastAsiaTheme="minorEastAsia"/>
        </w:rPr>
      </w:pPr>
      <w:r>
        <w:t>6. Women of childbearing age are required to undergo a blood pregnancy test during the screening period. A pregnancy test should be performed if pregnancy is suspected. Pregnancy testing was not available for women who were not of childbearing age, which was defined as having had a natural menopause for more than 24 consecutive months after total hysterectomy or total hysterectomy and oophorectomy.</w:t>
      </w:r>
    </w:p>
    <w:p w14:paraId="301603A1" w14:textId="4D66C30A" w:rsidR="00CA2DB7" w:rsidRPr="00384EEC" w:rsidRDefault="00CA2DB7" w:rsidP="00CA2DB7">
      <w:pPr>
        <w:pStyle w:val="afff8"/>
        <w:rPr>
          <w:rFonts w:eastAsiaTheme="minorEastAsia"/>
        </w:rPr>
      </w:pPr>
      <w:r>
        <w:t xml:space="preserve">7. Infection screening: including HIV test, HBV </w:t>
      </w:r>
      <w:r w:rsidR="005D64EE">
        <w:t xml:space="preserve">antibody </w:t>
      </w:r>
      <w:r>
        <w:t>tests (HBV DNA quantitative test if HBsAg positive), HCV antibody test (HCV RNA test if HCV antibody positive).</w:t>
      </w:r>
    </w:p>
    <w:p w14:paraId="3196E709" w14:textId="7A552501" w:rsidR="00CA2DB7" w:rsidRPr="00384EEC" w:rsidRDefault="00CA2DB7" w:rsidP="00CA2DB7">
      <w:pPr>
        <w:pStyle w:val="afff8"/>
        <w:rPr>
          <w:rFonts w:eastAsiaTheme="minorEastAsia"/>
        </w:rPr>
      </w:pPr>
      <w:r>
        <w:t>8.</w:t>
      </w:r>
      <w:r w:rsidR="005D64EE">
        <w:t>Medical</w:t>
      </w:r>
      <w:r>
        <w:t xml:space="preserve"> </w:t>
      </w:r>
      <w:r w:rsidR="005D64EE">
        <w:t>i</w:t>
      </w:r>
      <w:r>
        <w:t>maging and tumor markers: every 6 weeks during the treatment phase, and every 12 weeks (84 days) when patients entered maintenance therapy. Tumor markers included CEA and CA19-9. AFP detection is recommended for patients with liver metastasis. CA125 detection is recommended for patients with suspected peritoneal or ovarian metastasis. Tumor markers were examined at the same time points as imaging examinations.</w:t>
      </w:r>
    </w:p>
    <w:p w14:paraId="3ABDF642" w14:textId="15C10F54" w:rsidR="00CA2DB7" w:rsidRPr="00384EEC" w:rsidRDefault="00CA2DB7" w:rsidP="00CA2DB7">
      <w:pPr>
        <w:pStyle w:val="afff8"/>
        <w:rPr>
          <w:rFonts w:eastAsiaTheme="minorEastAsia"/>
        </w:rPr>
      </w:pPr>
      <w:r>
        <w:t>9. Blood biochemistry: Liver function (TP, A, G, ALT, AST, GGT, LDH, ALP, TBil, DBil, IBil), renal function (BUN or UREA, Cr, UA), four blood lipids (TC, TG, HDL, LDL), electrolytes (K, Na, CL, Ca, Mg, P), fasting blood glucose, etc. Blood biochemical tests were performed on the 8th, 15th and 21st day of the first and second cycle, and then at the end of each week. During the treatment period, patients with early symptoms of liver damage (such as loss of appetite, nausea, vomiting, discomfort in the right upper quadrant of the abdomen, fatigue, etc.) should immediately undergo blood biochemical examination, ALT or AST increased by 3 times ULN or baseline value, total bilirubin increased by 2 times ULN or baseline value. The frequency of examination should be increased (1-2 times/week is recommended).</w:t>
      </w:r>
    </w:p>
    <w:p w14:paraId="3BFB9EAF" w14:textId="713D85E4" w:rsidR="00CA2DB7" w:rsidRPr="00384EEC" w:rsidRDefault="00CA2DB7" w:rsidP="00CA2DB7">
      <w:pPr>
        <w:pStyle w:val="afff8"/>
        <w:rPr>
          <w:rFonts w:eastAsiaTheme="minorEastAsia"/>
        </w:rPr>
      </w:pPr>
      <w:r>
        <w:lastRenderedPageBreak/>
        <w:t xml:space="preserve">10. Blood routine: Results of red blood cell count, hemoglobin content, white blood cell count, platelet count, leukocyte differential count (neutrophil count (NEUT), lymphocyte count (LYM), eosinophil count (EOS), basophil count (BASO), and monocyte count (MONO)), etc., were required within 7 days before the first dose. The patients were checked weekly in the first and second cycles, and every 1 to 3 weeks as appropriate in the subsequent cycles. If the neutrophil count was </w:t>
      </w:r>
      <w:r>
        <w:rPr>
          <w:rFonts w:hint="eastAsia"/>
        </w:rPr>
        <w:t>≤</w:t>
      </w:r>
      <w:r>
        <w:t xml:space="preserve">1×109/L or the platelet count was </w:t>
      </w:r>
      <w:r>
        <w:rPr>
          <w:rFonts w:hint="eastAsia"/>
        </w:rPr>
        <w:t>≤</w:t>
      </w:r>
      <w:r>
        <w:t>50×109/L, the frequency of review (once every 2 to 3 days) should be increased. If the drug was delayed or the dose was adjusted due to hematologic toxicity, the blood routine should be reviewed weekly.</w:t>
      </w:r>
    </w:p>
    <w:p w14:paraId="00254DEA" w14:textId="2E9AB5BE" w:rsidR="00CA2DB7" w:rsidRPr="00384EEC" w:rsidRDefault="00CA2DB7" w:rsidP="00CA2DB7">
      <w:pPr>
        <w:pStyle w:val="afff8"/>
        <w:rPr>
          <w:rFonts w:eastAsiaTheme="minorEastAsia"/>
        </w:rPr>
      </w:pPr>
      <w:r>
        <w:t>11. Urine routine: including pH, urine white blood cells, urine protein, urine red blood cells, urine glucose, urine occult blood, etc. The final examination was performed once a week. If urine protein was ++ or above, 24-hour urine protein quantification should be measured within 3 days.</w:t>
      </w:r>
    </w:p>
    <w:p w14:paraId="29CE7117" w14:textId="152801A9" w:rsidR="00CA2DB7" w:rsidRPr="00384EEC" w:rsidRDefault="00CA2DB7" w:rsidP="00CA2DB7">
      <w:pPr>
        <w:pStyle w:val="afff8"/>
        <w:rPr>
          <w:rFonts w:eastAsiaTheme="minorEastAsia"/>
        </w:rPr>
      </w:pPr>
      <w:r>
        <w:t>12. Stool routine: fecal occult blood test is required. The final examination was performed once a week.</w:t>
      </w:r>
    </w:p>
    <w:p w14:paraId="617EE1E0" w14:textId="609A722D" w:rsidR="00CA2DB7" w:rsidRPr="00384EEC" w:rsidRDefault="00CA2DB7" w:rsidP="00CA2DB7">
      <w:pPr>
        <w:pStyle w:val="afff8"/>
        <w:rPr>
          <w:rFonts w:eastAsiaTheme="minorEastAsia"/>
        </w:rPr>
      </w:pPr>
      <w:r>
        <w:t>13. Thyroid function: T3, T4, FT3, FT4, TSH. The patients were examined once at the end of the first and second cycles, and then every two cycles.</w:t>
      </w:r>
    </w:p>
    <w:p w14:paraId="7A8EE99C" w14:textId="6F55C942" w:rsidR="00CA2DB7" w:rsidRPr="00384EEC" w:rsidRDefault="00CA2DB7" w:rsidP="00CA2DB7">
      <w:pPr>
        <w:pStyle w:val="afff8"/>
        <w:rPr>
          <w:rFonts w:eastAsiaTheme="minorEastAsia"/>
        </w:rPr>
      </w:pPr>
      <w:r>
        <w:t>14. Coagulation function: PT, APTT, TT, Fbg, D-dimer, INR. The patients were examined once at the end of the first and second cycles, and then every two cycles.</w:t>
      </w:r>
    </w:p>
    <w:p w14:paraId="6F6984EE" w14:textId="6BB43E4C" w:rsidR="00CA2DB7" w:rsidRPr="00384EEC" w:rsidRDefault="00CA2DB7" w:rsidP="00CA2DB7">
      <w:pPr>
        <w:pStyle w:val="afff8"/>
        <w:rPr>
          <w:rFonts w:eastAsiaTheme="minorEastAsia"/>
        </w:rPr>
      </w:pPr>
      <w:r>
        <w:t>15. Blood lipase and blood amylase were checked at the end of the first and second cycles, and then every two cycles.</w:t>
      </w:r>
    </w:p>
    <w:p w14:paraId="12230882" w14:textId="6575D3B3" w:rsidR="00CA2DB7" w:rsidRPr="00384EEC" w:rsidRDefault="00CA2DB7" w:rsidP="00CA2DB7">
      <w:pPr>
        <w:pStyle w:val="afff8"/>
        <w:rPr>
          <w:rFonts w:eastAsiaTheme="minorEastAsia"/>
        </w:rPr>
      </w:pPr>
      <w:r>
        <w:t>16. Echocardiography, including left ventricular ejection fraction (LVEF) and diagnostic results, was repeated during the trial as clinically indicated.</w:t>
      </w:r>
    </w:p>
    <w:p w14:paraId="5265C2E9" w14:textId="05CF5E62" w:rsidR="00CA2DB7" w:rsidRPr="00384EEC" w:rsidRDefault="00CA2DB7" w:rsidP="00CA2DB7">
      <w:pPr>
        <w:pStyle w:val="afff8"/>
        <w:rPr>
          <w:rFonts w:eastAsiaTheme="minorEastAsia"/>
        </w:rPr>
      </w:pPr>
      <w:r>
        <w:t>17. Follow-up period: For subjects who discontinued the study treatment due to intolerance or other reasons, and no imaging progression was observed, the original frequency of imaging evaluation was still needed until disease progression or the initiation of other anti-tumor therapy (except traditional Chinese medicine anti-tumor), and imaging evidence of disease progression in such subjects should be obtained as far as possible. The other cases did not require imaging follow-up.</w:t>
      </w:r>
    </w:p>
    <w:p w14:paraId="2468B8EF" w14:textId="1CC9C714" w:rsidR="00CA2DB7" w:rsidRPr="00384EEC" w:rsidRDefault="00CA2DB7" w:rsidP="00CA2DB7">
      <w:pPr>
        <w:pStyle w:val="afff8"/>
        <w:rPr>
          <w:rFonts w:eastAsiaTheme="minorEastAsia"/>
        </w:rPr>
      </w:pPr>
      <w:r>
        <w:t>Notes:</w:t>
      </w:r>
    </w:p>
    <w:p w14:paraId="608E430B" w14:textId="26E7CF4B" w:rsidR="00CA2DB7" w:rsidRPr="00384EEC" w:rsidRDefault="00CA2DB7" w:rsidP="00CA2DB7">
      <w:pPr>
        <w:pStyle w:val="afff8"/>
        <w:rPr>
          <w:rFonts w:eastAsiaTheme="minorEastAsia"/>
        </w:rPr>
      </w:pPr>
      <w:r>
        <w:t>a. On the first day of dosing in cycles 1-4, vital signs, physical examination were measured before dosing, and the remainder were measured on the day of visit.</w:t>
      </w:r>
    </w:p>
    <w:p w14:paraId="31142670" w14:textId="0A929BC6" w:rsidR="00D45C54" w:rsidRPr="00384EEC" w:rsidRDefault="00CA2DB7" w:rsidP="00384EEC">
      <w:pPr>
        <w:pStyle w:val="afff8"/>
      </w:pPr>
      <w:r>
        <w:t>b. If chest pain, palpitation and other symptoms occur, echocardiography, myocardial enzymes and troponin should be checked</w:t>
      </w:r>
      <w:bookmarkEnd w:id="9"/>
    </w:p>
    <w:p w14:paraId="053E68F0" w14:textId="77777777" w:rsidR="00D45C54" w:rsidRDefault="00D45C54">
      <w:pPr>
        <w:ind w:firstLine="480"/>
        <w:sectPr w:rsidR="00D45C54">
          <w:pgSz w:w="16838" w:h="11906" w:orient="landscape"/>
          <w:pgMar w:top="1418" w:right="1559" w:bottom="1418" w:left="1418" w:header="851" w:footer="567" w:gutter="0"/>
          <w:pgNumType w:fmt="numberInDash"/>
          <w:cols w:space="720"/>
          <w:docGrid w:linePitch="326"/>
        </w:sectPr>
      </w:pPr>
    </w:p>
    <w:p w14:paraId="464C6999" w14:textId="77777777" w:rsidR="00D45C54" w:rsidRDefault="003E0392">
      <w:pPr>
        <w:pStyle w:val="1"/>
      </w:pPr>
      <w:bookmarkStart w:id="10" w:name="_Toc196547958"/>
      <w:r>
        <w:rPr>
          <w:rFonts w:hint="eastAsia"/>
        </w:rPr>
        <w:lastRenderedPageBreak/>
        <w:t>1</w:t>
      </w:r>
      <w:r w:rsidR="0000636E">
        <w:t>.</w:t>
      </w:r>
      <w:r>
        <w:rPr>
          <w:rFonts w:hint="eastAsia"/>
        </w:rPr>
        <w:t xml:space="preserve"> Introduction</w:t>
      </w:r>
      <w:bookmarkEnd w:id="10"/>
      <w:r>
        <w:rPr>
          <w:rFonts w:hint="eastAsia"/>
        </w:rPr>
        <w:t xml:space="preserve"> </w:t>
      </w:r>
    </w:p>
    <w:p w14:paraId="7C7BE513" w14:textId="68AA2127" w:rsidR="00D45C54" w:rsidRDefault="003E0392">
      <w:pPr>
        <w:pStyle w:val="20"/>
      </w:pPr>
      <w:bookmarkStart w:id="11" w:name="_Toc196547959"/>
      <w:r>
        <w:rPr>
          <w:rFonts w:hint="eastAsia"/>
        </w:rPr>
        <w:t>1.1 Study background</w:t>
      </w:r>
      <w:bookmarkEnd w:id="11"/>
      <w:r>
        <w:rPr>
          <w:rFonts w:hint="eastAsia"/>
        </w:rPr>
        <w:t xml:space="preserve"> </w:t>
      </w:r>
    </w:p>
    <w:p w14:paraId="7592F009" w14:textId="263E80D0" w:rsidR="00E524A6" w:rsidRPr="00384EEC" w:rsidRDefault="00E524A6" w:rsidP="00384EEC">
      <w:pPr>
        <w:rPr>
          <w:rFonts w:eastAsiaTheme="minorEastAsia"/>
        </w:rPr>
      </w:pPr>
      <w:r w:rsidRPr="00E524A6">
        <w:t xml:space="preserve">The incidence and mortality of </w:t>
      </w:r>
      <w:r>
        <w:t>c</w:t>
      </w:r>
      <w:r w:rsidRPr="00E524A6">
        <w:t xml:space="preserve">olorectal cancer (CRC) in China have been increasing. According to China Cancer statistics in 2015, the incidence and mortality of colorectal cancer in China ranked the fifth among all malignant tumors, with 376 000 new cases and 191 000 deaths. Among them, the incidence of </w:t>
      </w:r>
      <w:r>
        <w:t>CRC</w:t>
      </w:r>
      <w:r w:rsidRPr="00E524A6">
        <w:t xml:space="preserve"> in urban areas was much higher than that in rural areas, and the incidence increased significantly. Most of the patients were diagnosed at an advanced stage. 5-fluorouracil-based chemotherapy is a classic treatment for colorectal cancer, which has become an internationally recognized standard treatment, mainly including FOLFOX, FOLFIRI, and CapeOx (also known as XELOX) regimen. At the same time, bevacizumab can be reasonably added to the chemotherapy regimen. As a first-line treatment for patients with metastatic colorectal cancer.</w:t>
      </w:r>
    </w:p>
    <w:p w14:paraId="5A4C6062" w14:textId="2E7111D0" w:rsidR="00D45C54" w:rsidRDefault="00E524A6" w:rsidP="0065000E">
      <w:r w:rsidRPr="00E524A6">
        <w:t xml:space="preserve">According to the 2019 </w:t>
      </w:r>
      <w:r w:rsidR="00B34331">
        <w:t>Chinese Society of</w:t>
      </w:r>
      <w:r w:rsidR="00B34331">
        <w:rPr>
          <w:rFonts w:eastAsiaTheme="minorEastAsia" w:hint="eastAsia"/>
        </w:rPr>
        <w:t xml:space="preserve"> </w:t>
      </w:r>
      <w:r w:rsidR="00B34331">
        <w:rPr>
          <w:rFonts w:eastAsiaTheme="minorEastAsia"/>
        </w:rPr>
        <w:t>clinical oncolgy</w:t>
      </w:r>
      <w:r w:rsidR="00B34331" w:rsidRPr="00E524A6">
        <w:t xml:space="preserve"> </w:t>
      </w:r>
      <w:r w:rsidRPr="00E524A6">
        <w:t xml:space="preserve">guideline for the diagnosis and treatment of colorectal cancer, the first-line regimen of palliative treatment for </w:t>
      </w:r>
      <w:r w:rsidR="00841493">
        <w:t>CRC</w:t>
      </w:r>
      <w:r w:rsidRPr="00E524A6">
        <w:t xml:space="preserve"> is mainly FOLFOX/FOLFIRI/CapeOx± bevacizumab. The efficacy and safety of CapeOx regimen are similar to those of FOLFOX regimen, but Capeox regimen has a lower incidence of grade 3-4 neutropenia (7%) and is more convenient to use. Capeox regimen can reduce the incidence of complications related to central venous catheterization, which plays an important role in the health and autonomy of patients. Oral administration of </w:t>
      </w:r>
      <w:r w:rsidR="00B86739">
        <w:rPr>
          <w:rFonts w:ascii="Arial" w:hAnsi="Arial" w:cs="Arial"/>
          <w:color w:val="444444"/>
          <w:sz w:val="21"/>
          <w:szCs w:val="21"/>
          <w:shd w:val="clear" w:color="auto" w:fill="FFFFFF"/>
        </w:rPr>
        <w:t>fluoropyrimidines</w:t>
      </w:r>
      <w:r w:rsidRPr="00E524A6">
        <w:t xml:space="preserve"> instead of intravenous administration</w:t>
      </w:r>
      <w:r w:rsidR="00B86739">
        <w:t xml:space="preserve"> </w:t>
      </w:r>
      <w:r w:rsidR="00B86739">
        <w:rPr>
          <w:rFonts w:asciiTheme="minorEastAsia" w:eastAsiaTheme="minorEastAsia" w:hAnsiTheme="minorEastAsia" w:hint="eastAsia"/>
        </w:rPr>
        <w:t>of</w:t>
      </w:r>
      <w:r w:rsidR="00B86739">
        <w:t xml:space="preserve"> 5-</w:t>
      </w:r>
      <w:r w:rsidR="00B86739">
        <w:rPr>
          <w:rFonts w:asciiTheme="minorEastAsia" w:eastAsiaTheme="minorEastAsia" w:hAnsiTheme="minorEastAsia" w:hint="eastAsia"/>
        </w:rPr>
        <w:t>Fu</w:t>
      </w:r>
      <w:r w:rsidRPr="00E524A6">
        <w:t xml:space="preserve"> can reduce the incidence of infusion-related adverse reactions. CapeOx regimen also shows high efficacy in older patients, and it provides a novel, aggressive and better tolerated first-line chemotherapy regimen for the treatment of metastatic colorectal cancer combined with novel targeted agents.</w:t>
      </w:r>
      <w:r w:rsidRPr="00E524A6" w:rsidDel="00E524A6">
        <w:t xml:space="preserve"> </w:t>
      </w:r>
      <w:r w:rsidR="003E0392">
        <w:t xml:space="preserve"> </w:t>
      </w:r>
    </w:p>
    <w:p w14:paraId="1B72D80B" w14:textId="09EFE2B0" w:rsidR="00841493" w:rsidRPr="00384EEC" w:rsidRDefault="00841493" w:rsidP="00841493">
      <w:pPr>
        <w:pStyle w:val="P68B1DB1-125"/>
        <w:rPr>
          <w:rFonts w:eastAsiaTheme="minorEastAsia" w:hint="default"/>
        </w:rPr>
      </w:pPr>
      <w:r>
        <w:t xml:space="preserve">In the phase III NO16966 study, a total of 1401 patients were enrolled and randomly divided into four groups: FOLFOX, XELOX, FOLFOX+ bevacizumab, and XELOX+ bevacizumab. The primary </w:t>
      </w:r>
      <w:r w:rsidR="00B86739">
        <w:rPr>
          <w:rFonts w:hint="default"/>
        </w:rPr>
        <w:t>endpoint</w:t>
      </w:r>
      <w:r w:rsidR="00B86739">
        <w:t xml:space="preserve"> </w:t>
      </w:r>
      <w:r>
        <w:t xml:space="preserve">of the study was PFS, which was significantly improved with the addition of bevacizumab (P=0.0023), with </w:t>
      </w:r>
      <w:r w:rsidR="00B86739">
        <w:rPr>
          <w:rFonts w:hint="default"/>
        </w:rPr>
        <w:t xml:space="preserve">median </w:t>
      </w:r>
      <w:r>
        <w:t xml:space="preserve">PFS of 9.6 and 8.0 months with FOLFOX/XELOX± bevacizumab, respectively. </w:t>
      </w:r>
      <w:r w:rsidR="00B86739">
        <w:rPr>
          <w:rFonts w:hint="default"/>
        </w:rPr>
        <w:t xml:space="preserve">The </w:t>
      </w:r>
      <w:r w:rsidR="00A229E5">
        <w:rPr>
          <w:rFonts w:hint="default"/>
        </w:rPr>
        <w:t>incidence</w:t>
      </w:r>
      <w:r w:rsidR="00B86739">
        <w:rPr>
          <w:rFonts w:hint="default"/>
        </w:rPr>
        <w:t xml:space="preserve"> of g</w:t>
      </w:r>
      <w:r>
        <w:t xml:space="preserve">rade 3-4 adverse events were 80% and 75%. The results of the N016966 trial demonstrated that oxaliplatin-based combination chemotherapy combined with bevacizumab can significantly improve PFS. The study also suggested that </w:t>
      </w:r>
      <w:r w:rsidR="00B86739">
        <w:rPr>
          <w:rFonts w:hint="default"/>
        </w:rPr>
        <w:t>bevacizumab</w:t>
      </w:r>
      <w:r>
        <w:t xml:space="preserve">+XELOX was noninferior to </w:t>
      </w:r>
      <w:r w:rsidR="00B86739">
        <w:rPr>
          <w:rFonts w:hint="default"/>
        </w:rPr>
        <w:t>bevacizumab</w:t>
      </w:r>
      <w:r>
        <w:t xml:space="preserve">+FOLFOX, with </w:t>
      </w:r>
      <w:r w:rsidR="00B86739">
        <w:rPr>
          <w:rFonts w:hint="default"/>
        </w:rPr>
        <w:t xml:space="preserve">a median </w:t>
      </w:r>
      <w:r>
        <w:t xml:space="preserve">PFS </w:t>
      </w:r>
      <w:r w:rsidR="00B86739">
        <w:rPr>
          <w:rFonts w:hint="default"/>
        </w:rPr>
        <w:t xml:space="preserve">of </w:t>
      </w:r>
      <w:r>
        <w:t xml:space="preserve">9.3 </w:t>
      </w:r>
      <w:r w:rsidR="00B86739">
        <w:rPr>
          <w:rFonts w:hint="default"/>
        </w:rPr>
        <w:t>versus</w:t>
      </w:r>
      <w:r>
        <w:t xml:space="preserve"> 9.4 months and </w:t>
      </w:r>
      <w:r w:rsidR="00B86739">
        <w:rPr>
          <w:rFonts w:hint="default"/>
        </w:rPr>
        <w:t xml:space="preserve">the median </w:t>
      </w:r>
      <w:r>
        <w:t>OS</w:t>
      </w:r>
      <w:r w:rsidR="00B86739">
        <w:rPr>
          <w:rFonts w:hint="default"/>
        </w:rPr>
        <w:t xml:space="preserve"> of </w:t>
      </w:r>
      <w:r>
        <w:t xml:space="preserve">21.4 </w:t>
      </w:r>
      <w:r w:rsidR="00B86739">
        <w:rPr>
          <w:rFonts w:hint="default"/>
        </w:rPr>
        <w:t>versus</w:t>
      </w:r>
      <w:r>
        <w:t xml:space="preserve"> 21.2 months. </w:t>
      </w:r>
      <w:r w:rsidR="00B86739">
        <w:rPr>
          <w:rFonts w:hint="default"/>
        </w:rPr>
        <w:t>bevacizumab</w:t>
      </w:r>
      <w:r>
        <w:t xml:space="preserve">+XELOX </w:t>
      </w:r>
      <w:r>
        <w:lastRenderedPageBreak/>
        <w:t>regimen was well tolerated by the patients, and the incidence of neutropenia and neutropenia fever was reduced. At the same time, the number of outpatient visits, travel time and treatment costs were also reduced. These results suggest that anti-angiogenic agents combined with chemotherapy have excellent efficacy in the treatment of patients with advanced CRC, and XELOX should be one of the ideal treatment options.</w:t>
      </w:r>
    </w:p>
    <w:p w14:paraId="4A2F4FA8" w14:textId="6DE4AE4A" w:rsidR="00D45C54" w:rsidRDefault="00841493" w:rsidP="00841493">
      <w:pPr>
        <w:pStyle w:val="P68B1DB1-125"/>
        <w:rPr>
          <w:rFonts w:hint="default"/>
        </w:rPr>
      </w:pPr>
      <w:r>
        <w:t xml:space="preserve">As an </w:t>
      </w:r>
      <w:r w:rsidR="00B86739">
        <w:rPr>
          <w:rFonts w:hint="default"/>
        </w:rPr>
        <w:t>antiangiogenic angent</w:t>
      </w:r>
      <w:r>
        <w:t>, the mechanism of action is to bind VEGF, and then inhibit its binding to receptors on the surface of endothelial cells, thereby inhibiting tumor angiogenesis. Anlotinib is a multi-targeted receptor tyrosine kinase inhibitor. Based on its good efficacy and safety, anlotinib has been approved for three indications in China. The safety study results were similar to those of other similar anti-angiogenesis targeted drugs in the market, and no other unexpected adverse reactions were found. The adverse reactions can be controlled by dose adjustment, drug suspension and symptomatic treatment, showing that anlotinib hydrochloride capsules have a good safety profile.</w:t>
      </w:r>
    </w:p>
    <w:p w14:paraId="68461757" w14:textId="5BEF85DF" w:rsidR="00841493" w:rsidRDefault="00841493" w:rsidP="00841493">
      <w:pPr>
        <w:pStyle w:val="P68B1DB1-125"/>
        <w:rPr>
          <w:rFonts w:hint="default"/>
        </w:rPr>
      </w:pPr>
      <w:r w:rsidRPr="00841493">
        <w:t>An oral presenta</w:t>
      </w:r>
      <w:r>
        <w:t>tion of the efficacy and safety</w:t>
      </w:r>
      <w:r>
        <w:rPr>
          <w:rFonts w:hint="default"/>
        </w:rPr>
        <w:t xml:space="preserve"> of</w:t>
      </w:r>
      <w:r w:rsidRPr="00841493">
        <w:t xml:space="preserve"> single-arm, phase II clinical study of anlotinib in </w:t>
      </w:r>
      <w:r>
        <w:t>mCRC</w:t>
      </w:r>
      <w:r w:rsidRPr="00841493">
        <w:t xml:space="preserve"> was presented at CSCO in 2018</w:t>
      </w:r>
      <w:r w:rsidR="00847547">
        <w:rPr>
          <w:rFonts w:hint="default"/>
        </w:rPr>
        <w:t xml:space="preserve">, </w:t>
      </w:r>
      <w:r w:rsidR="00B86739" w:rsidRPr="00841493">
        <w:t>enroll</w:t>
      </w:r>
      <w:r w:rsidR="00B86739">
        <w:rPr>
          <w:rFonts w:hint="default"/>
        </w:rPr>
        <w:t>ed</w:t>
      </w:r>
      <w:r w:rsidR="00B86739" w:rsidRPr="00841493">
        <w:t xml:space="preserve"> </w:t>
      </w:r>
      <w:r w:rsidRPr="00841493">
        <w:t xml:space="preserve">31 patients with mCRC who had failed </w:t>
      </w:r>
      <w:r w:rsidR="00A229E5">
        <w:rPr>
          <w:rFonts w:hint="default"/>
        </w:rPr>
        <w:t xml:space="preserve">to </w:t>
      </w:r>
      <w:r w:rsidRPr="00841493">
        <w:t xml:space="preserve">or lacked </w:t>
      </w:r>
      <w:r w:rsidR="00A229E5">
        <w:rPr>
          <w:rFonts w:hint="default"/>
        </w:rPr>
        <w:t xml:space="preserve">of </w:t>
      </w:r>
      <w:r w:rsidRPr="00841493">
        <w:t>standard treatment. Patients received anlotinib 12mg/ day for 2 weeks on and 1 week off in a 3-week treatment cycle until disease progression or investigator judgment. The primary endpoint was ORR. The secondary endpoints included PFS, DCR, and OS. Twenty-seven of these patients had received three or more lines of previous therapy by October 2016, and all had received chemotherapy with fluorouracil and oxaliplatin. The primary endpoint showed that the ORR of anlotinib monotherapy was 6.45%. Two patients achieved PR, 25 patients achieved SD, and the DCR was 87.1%. The median PFS was 5.62 months (95%CI: 3.80-7.32). The median OS was 9.33 months (95%CI: 8.64-10.21). Safety analysis showed that the adverse events in the anlotinib group were mainly grade 1-2, and the incidence of ≥ grade 3 adverse reactions was: hand-foot syndrome (6.45%), hypertension (3.23%), increased serum bilirubin (3.23%), proteinuria (3.23%) and increased alanine aminotransferase (3.23%). The results show that anlotinib hydrochloride is effective as a third-line and laterline treatment for advanced colorectal cancer, and the previous treatment with bevacizumab may not affect the PFS benefit of anlotinib. In addition, anlotinib had a favorable safety profile.</w:t>
      </w:r>
    </w:p>
    <w:p w14:paraId="20121B55" w14:textId="1E7B32A4" w:rsidR="00A0191C" w:rsidRDefault="00A0191C" w:rsidP="00841493">
      <w:pPr>
        <w:pStyle w:val="P68B1DB1-125"/>
        <w:rPr>
          <w:rFonts w:hint="default"/>
        </w:rPr>
      </w:pPr>
      <w:r w:rsidRPr="00A0191C">
        <w:t xml:space="preserve">Compared with bevacizumab and other drugs, anlotinib has the advantages of easy to use (oral administration) and can obtain survival benefits as a single agent. The aim of this study was to evaluate whether anlotinib combined with CapeOx chemotherapy is noninferior to bevacizumab combined with CapeOx chemotherapy in the first-line treatment of mCRC. We </w:t>
      </w:r>
      <w:r w:rsidRPr="00A0191C">
        <w:lastRenderedPageBreak/>
        <w:t xml:space="preserve">look forward to further research data of anlotinib in mCRC to provide a </w:t>
      </w:r>
      <w:r w:rsidR="00206DA0">
        <w:rPr>
          <w:rFonts w:hint="default"/>
        </w:rPr>
        <w:t>new regimen option</w:t>
      </w:r>
      <w:r w:rsidRPr="00A0191C">
        <w:t xml:space="preserve"> for the </w:t>
      </w:r>
      <w:r w:rsidR="00206DA0">
        <w:rPr>
          <w:rFonts w:hint="default"/>
        </w:rPr>
        <w:t xml:space="preserve">clinical treatment </w:t>
      </w:r>
      <w:r w:rsidRPr="00A0191C">
        <w:t>of mCRC</w:t>
      </w:r>
      <w:r w:rsidR="00206DA0">
        <w:rPr>
          <w:rFonts w:hint="default"/>
        </w:rPr>
        <w:t xml:space="preserve"> patients</w:t>
      </w:r>
      <w:r w:rsidRPr="00A0191C">
        <w:t>.</w:t>
      </w:r>
    </w:p>
    <w:p w14:paraId="140FB3CE" w14:textId="4A42150D" w:rsidR="00D45C54" w:rsidRDefault="003E0392">
      <w:pPr>
        <w:pStyle w:val="20"/>
      </w:pPr>
      <w:bookmarkStart w:id="12" w:name="_Toc196547960"/>
      <w:r>
        <w:rPr>
          <w:rFonts w:hint="eastAsia"/>
        </w:rPr>
        <w:t>1.2 Study Rational</w:t>
      </w:r>
      <w:r w:rsidR="00103C4D">
        <w:t>e</w:t>
      </w:r>
      <w:bookmarkEnd w:id="12"/>
    </w:p>
    <w:p w14:paraId="3D87FFE6" w14:textId="66D74055" w:rsidR="00D45C54" w:rsidRPr="00E559FD" w:rsidRDefault="00E559FD" w:rsidP="00E559FD">
      <w:pPr>
        <w:rPr>
          <w:b/>
        </w:rPr>
      </w:pPr>
      <w:r w:rsidRPr="00E559FD">
        <w:rPr>
          <w:b/>
        </w:rPr>
        <w:t xml:space="preserve">Basic </w:t>
      </w:r>
      <w:r w:rsidRPr="00E559FD">
        <w:rPr>
          <w:rFonts w:hint="eastAsia"/>
          <w:b/>
        </w:rPr>
        <w:t>information</w:t>
      </w:r>
      <w:r w:rsidR="007365CA" w:rsidRPr="00E559FD">
        <w:rPr>
          <w:b/>
        </w:rPr>
        <w:t xml:space="preserve"> </w:t>
      </w:r>
      <w:r w:rsidR="003E0392" w:rsidRPr="00E559FD">
        <w:rPr>
          <w:rFonts w:hint="eastAsia"/>
          <w:b/>
        </w:rPr>
        <w:t xml:space="preserve"> </w:t>
      </w:r>
    </w:p>
    <w:p w14:paraId="6F3375BC" w14:textId="77777777" w:rsidR="00E559FD" w:rsidRPr="00E559FD" w:rsidRDefault="00E559FD" w:rsidP="00E559FD">
      <w:pPr>
        <w:rPr>
          <w:rFonts w:eastAsiaTheme="minorEastAsia"/>
        </w:rPr>
      </w:pPr>
      <w:r w:rsidRPr="00E559FD">
        <w:rPr>
          <w:rFonts w:eastAsiaTheme="minorEastAsia"/>
        </w:rPr>
        <w:t>Generic name: Anlotinib hydrochloride capsules</w:t>
      </w:r>
    </w:p>
    <w:p w14:paraId="2438911A" w14:textId="77777777" w:rsidR="00E559FD" w:rsidRPr="00E559FD" w:rsidRDefault="00E559FD" w:rsidP="00E559FD">
      <w:pPr>
        <w:rPr>
          <w:rFonts w:eastAsiaTheme="minorEastAsia"/>
        </w:rPr>
      </w:pPr>
      <w:r w:rsidRPr="00E559FD">
        <w:rPr>
          <w:rFonts w:eastAsiaTheme="minorEastAsia"/>
        </w:rPr>
        <w:t>English name: Anlotinib Hydrochloride Capsules</w:t>
      </w:r>
    </w:p>
    <w:p w14:paraId="5CFF4525" w14:textId="77777777" w:rsidR="00E559FD" w:rsidRDefault="00E559FD" w:rsidP="00E559FD">
      <w:pPr>
        <w:rPr>
          <w:rFonts w:eastAsiaTheme="minorEastAsia"/>
        </w:rPr>
      </w:pPr>
      <w:r w:rsidRPr="00E559FD">
        <w:rPr>
          <w:rFonts w:eastAsiaTheme="minorEastAsia"/>
        </w:rPr>
        <w:t>Pinyin: Yansuan Anluotini Jiaonang</w:t>
      </w:r>
    </w:p>
    <w:p w14:paraId="210EDBEC" w14:textId="0935359E" w:rsidR="00E559FD" w:rsidRPr="00E559FD" w:rsidRDefault="00E559FD" w:rsidP="00E559FD">
      <w:pPr>
        <w:rPr>
          <w:rFonts w:eastAsiaTheme="minorEastAsia"/>
        </w:rPr>
      </w:pPr>
      <w:r w:rsidRPr="00E559FD">
        <w:rPr>
          <w:rFonts w:eastAsiaTheme="minorEastAsia"/>
        </w:rPr>
        <w:t>Anlotinib hydrochloride is a hard capsule. The chemical struct</w:t>
      </w:r>
      <w:r>
        <w:rPr>
          <w:rFonts w:eastAsiaTheme="minorEastAsia"/>
        </w:rPr>
        <w:t>ure of anlotinib is as follows:</w:t>
      </w:r>
    </w:p>
    <w:p w14:paraId="55AE4BB0" w14:textId="1C9E252F" w:rsidR="00E559FD" w:rsidRDefault="00E559FD" w:rsidP="00E559FD">
      <w:pPr>
        <w:rPr>
          <w:rFonts w:eastAsiaTheme="minorEastAsia"/>
        </w:rPr>
      </w:pPr>
      <w:r>
        <w:rPr>
          <w:rFonts w:eastAsiaTheme="minorEastAsia"/>
          <w:noProof/>
        </w:rPr>
        <w:drawing>
          <wp:inline distT="0" distB="0" distL="0" distR="0" wp14:anchorId="11526E5A" wp14:editId="2055F4D4">
            <wp:extent cx="1536065" cy="1207135"/>
            <wp:effectExtent l="0" t="0" r="698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36065" cy="1207135"/>
                    </a:xfrm>
                    <a:prstGeom prst="rect">
                      <a:avLst/>
                    </a:prstGeom>
                    <a:noFill/>
                  </pic:spPr>
                </pic:pic>
              </a:graphicData>
            </a:graphic>
          </wp:inline>
        </w:drawing>
      </w:r>
    </w:p>
    <w:p w14:paraId="5217B663" w14:textId="75F867AD" w:rsidR="00E559FD" w:rsidRPr="00E559FD" w:rsidRDefault="00E559FD" w:rsidP="00E559FD">
      <w:pPr>
        <w:rPr>
          <w:rFonts w:eastAsiaTheme="minorEastAsia"/>
        </w:rPr>
      </w:pPr>
      <w:r w:rsidRPr="00E559FD">
        <w:rPr>
          <w:rFonts w:eastAsiaTheme="minorEastAsia"/>
        </w:rPr>
        <w:t>Molecular formula: C</w:t>
      </w:r>
      <w:r w:rsidRPr="00384EEC">
        <w:rPr>
          <w:rFonts w:eastAsiaTheme="minorEastAsia"/>
          <w:vertAlign w:val="subscript"/>
        </w:rPr>
        <w:t>23</w:t>
      </w:r>
      <w:r w:rsidRPr="00E559FD">
        <w:rPr>
          <w:rFonts w:eastAsiaTheme="minorEastAsia"/>
        </w:rPr>
        <w:t>H</w:t>
      </w:r>
      <w:r w:rsidRPr="00384EEC">
        <w:rPr>
          <w:rFonts w:eastAsiaTheme="minorEastAsia"/>
          <w:vertAlign w:val="subscript"/>
        </w:rPr>
        <w:t>22</w:t>
      </w:r>
      <w:r w:rsidRPr="00E559FD">
        <w:rPr>
          <w:rFonts w:eastAsiaTheme="minorEastAsia"/>
        </w:rPr>
        <w:t>FN</w:t>
      </w:r>
      <w:r w:rsidRPr="00384EEC">
        <w:rPr>
          <w:rFonts w:eastAsiaTheme="minorEastAsia"/>
          <w:vertAlign w:val="subscript"/>
        </w:rPr>
        <w:t>3</w:t>
      </w:r>
      <w:r w:rsidRPr="00E559FD">
        <w:rPr>
          <w:rFonts w:eastAsiaTheme="minorEastAsia"/>
        </w:rPr>
        <w:t>O</w:t>
      </w:r>
      <w:r w:rsidRPr="00384EEC">
        <w:rPr>
          <w:rFonts w:eastAsiaTheme="minorEastAsia"/>
          <w:vertAlign w:val="subscript"/>
        </w:rPr>
        <w:t>3</w:t>
      </w:r>
      <w:r w:rsidRPr="00E559FD">
        <w:rPr>
          <w:rFonts w:eastAsiaTheme="minorEastAsia"/>
        </w:rPr>
        <w:t>·2HCl</w:t>
      </w:r>
    </w:p>
    <w:p w14:paraId="42F1AFD7" w14:textId="77A202D4" w:rsidR="00E559FD" w:rsidRDefault="00E559FD" w:rsidP="00E559FD">
      <w:pPr>
        <w:rPr>
          <w:rFonts w:eastAsiaTheme="minorEastAsia"/>
        </w:rPr>
      </w:pPr>
      <w:r w:rsidRPr="00E559FD">
        <w:rPr>
          <w:rFonts w:eastAsiaTheme="minorEastAsia"/>
        </w:rPr>
        <w:t>Molecular weight: 480.36</w:t>
      </w:r>
    </w:p>
    <w:p w14:paraId="1D5380DE" w14:textId="5E618CFC" w:rsidR="00E659CA" w:rsidRPr="00E559FD" w:rsidRDefault="00104103" w:rsidP="00E559FD">
      <w:pPr>
        <w:rPr>
          <w:rFonts w:eastAsiaTheme="minorEastAsia"/>
        </w:rPr>
      </w:pPr>
      <w:r w:rsidRPr="00104103">
        <w:rPr>
          <w:rFonts w:eastAsiaTheme="minorEastAsia"/>
        </w:rPr>
        <w:t xml:space="preserve">Anlotinib is a multi-targeted receptor tyrosine kinase inhibitor, which can </w:t>
      </w:r>
      <w:r w:rsidRPr="00384EEC">
        <w:rPr>
          <w:rFonts w:eastAsia="宋体" w:cs="Times New Roman"/>
        </w:rPr>
        <w:t>1)</w:t>
      </w:r>
      <w:r w:rsidRPr="00104103">
        <w:rPr>
          <w:rFonts w:eastAsiaTheme="minorEastAsia"/>
        </w:rPr>
        <w:t xml:space="preserve"> inhibit angiogenesis related kinases, such as VEGFR1/2/3, FGFR1/2/3, and other tumor related kinases such as cell proliferation, PDGFRα/β, c-Kit, Ret, etc. The inhibition spectrum of angiogenic kinase is b</w:t>
      </w:r>
      <w:r w:rsidR="00A751AA">
        <w:rPr>
          <w:rFonts w:eastAsiaTheme="minorEastAsia"/>
        </w:rPr>
        <w:t>roader (such as Met, FGFR1/2/3);</w:t>
      </w:r>
      <w:r w:rsidRPr="00104103">
        <w:rPr>
          <w:rFonts w:eastAsiaTheme="minorEastAsia"/>
        </w:rPr>
        <w:t xml:space="preserve"> </w:t>
      </w:r>
      <w:r w:rsidR="00A751AA">
        <w:rPr>
          <w:rFonts w:eastAsiaTheme="minorEastAsia" w:hint="eastAsia"/>
        </w:rPr>
        <w:t>2</w:t>
      </w:r>
      <w:r w:rsidR="00A751AA">
        <w:rPr>
          <w:rFonts w:eastAsiaTheme="minorEastAsia"/>
        </w:rPr>
        <w:t>)</w:t>
      </w:r>
      <w:r w:rsidRPr="00104103">
        <w:rPr>
          <w:rFonts w:eastAsiaTheme="minorEastAsia"/>
        </w:rPr>
        <w:t xml:space="preserve"> </w:t>
      </w:r>
      <w:r w:rsidR="00A751AA" w:rsidRPr="00104103">
        <w:rPr>
          <w:rFonts w:eastAsiaTheme="minorEastAsia"/>
        </w:rPr>
        <w:t xml:space="preserve">have significant inhibitory activity </w:t>
      </w:r>
      <w:r w:rsidR="00A751AA">
        <w:rPr>
          <w:rFonts w:eastAsiaTheme="minorEastAsia"/>
        </w:rPr>
        <w:t xml:space="preserve">targeting </w:t>
      </w:r>
      <w:r w:rsidRPr="00104103">
        <w:rPr>
          <w:rFonts w:eastAsiaTheme="minorEastAsia"/>
        </w:rPr>
        <w:t xml:space="preserve">Some kinase targets under </w:t>
      </w:r>
      <w:r w:rsidR="00A751AA">
        <w:rPr>
          <w:rFonts w:eastAsiaTheme="minorEastAsia"/>
        </w:rPr>
        <w:t>investigation</w:t>
      </w:r>
      <w:r w:rsidRPr="00104103">
        <w:rPr>
          <w:rFonts w:eastAsiaTheme="minorEastAsia"/>
        </w:rPr>
        <w:t>, such as Aurora-B, c-FMS, DDR1</w:t>
      </w:r>
      <w:r w:rsidR="00A751AA">
        <w:rPr>
          <w:rFonts w:eastAsiaTheme="minorEastAsia"/>
        </w:rPr>
        <w:t>;</w:t>
      </w:r>
      <w:r w:rsidRPr="00104103">
        <w:rPr>
          <w:rFonts w:eastAsiaTheme="minorEastAsia"/>
        </w:rPr>
        <w:t xml:space="preserve"> </w:t>
      </w:r>
      <w:r w:rsidR="00A751AA">
        <w:rPr>
          <w:rFonts w:eastAsiaTheme="minorEastAsia"/>
        </w:rPr>
        <w:t>3)</w:t>
      </w:r>
      <w:r w:rsidRPr="00104103">
        <w:rPr>
          <w:rFonts w:eastAsiaTheme="minorEastAsia"/>
        </w:rPr>
        <w:t xml:space="preserve"> has significant inhibitory activity on a variety of kinase mutants, such as PDGFRα, cKit, Met, EGFR, etc. The inhibitory activity of the mutants is even stronger than that of the wild type.</w:t>
      </w:r>
    </w:p>
    <w:p w14:paraId="2570FD76" w14:textId="2C041F78" w:rsidR="00D45C54" w:rsidRPr="0025058B" w:rsidRDefault="003E0392" w:rsidP="00384EEC">
      <w:bookmarkStart w:id="13" w:name="_Toc33516990"/>
      <w:r w:rsidRPr="00384EEC">
        <w:rPr>
          <w:b/>
        </w:rPr>
        <w:t xml:space="preserve">Pharmacology Studies </w:t>
      </w:r>
      <w:bookmarkEnd w:id="13"/>
    </w:p>
    <w:p w14:paraId="7AB868B6" w14:textId="57C88E47" w:rsidR="007365CA" w:rsidRPr="007365CA" w:rsidRDefault="007365CA" w:rsidP="007365CA">
      <w:pPr>
        <w:pStyle w:val="P68B1DB1-19"/>
        <w:rPr>
          <w:rFonts w:eastAsiaTheme="minorEastAsia"/>
        </w:rPr>
      </w:pPr>
      <w:r w:rsidRPr="007365CA">
        <w:rPr>
          <w:rFonts w:eastAsiaTheme="minorEastAsia"/>
        </w:rPr>
        <w:t>Anlotinib is a multi-targeted receptor tyrosine kinase (RTK) inhibitor. The results of the kinase inhibition assay showed that Anl</w:t>
      </w:r>
      <w:r w:rsidR="0056109E">
        <w:rPr>
          <w:rFonts w:eastAsiaTheme="minorEastAsia"/>
        </w:rPr>
        <w:t>otinib inhibited VEGFR1 (IC</w:t>
      </w:r>
      <w:r w:rsidR="0056109E" w:rsidRPr="00384EEC">
        <w:rPr>
          <w:rFonts w:eastAsiaTheme="minorEastAsia"/>
          <w:vertAlign w:val="subscript"/>
        </w:rPr>
        <w:t>50</w:t>
      </w:r>
      <w:r w:rsidR="0056109E">
        <w:rPr>
          <w:rFonts w:eastAsiaTheme="minorEastAsia"/>
        </w:rPr>
        <w:t xml:space="preserve">: </w:t>
      </w:r>
      <w:r w:rsidRPr="007365CA">
        <w:rPr>
          <w:rFonts w:eastAsiaTheme="minorEastAsia"/>
        </w:rPr>
        <w:t>26.9 nM), VEGFR2 (IC</w:t>
      </w:r>
      <w:r w:rsidRPr="00384EEC">
        <w:rPr>
          <w:rFonts w:eastAsiaTheme="minorEastAsia"/>
          <w:vertAlign w:val="subscript"/>
        </w:rPr>
        <w:t>50</w:t>
      </w:r>
      <w:r w:rsidR="000B6A45">
        <w:rPr>
          <w:rFonts w:eastAsiaTheme="minorEastAsia" w:hint="eastAsia"/>
        </w:rPr>
        <w:t>:</w:t>
      </w:r>
      <w:r w:rsidR="000B6A45">
        <w:rPr>
          <w:rFonts w:eastAsiaTheme="minorEastAsia"/>
        </w:rPr>
        <w:t xml:space="preserve"> </w:t>
      </w:r>
      <w:r w:rsidRPr="007365CA">
        <w:rPr>
          <w:rFonts w:eastAsiaTheme="minorEastAsia"/>
        </w:rPr>
        <w:t>0.2 nM), VEGFR3 (IC</w:t>
      </w:r>
      <w:r w:rsidRPr="00384EEC">
        <w:rPr>
          <w:rFonts w:eastAsiaTheme="minorEastAsia"/>
          <w:vertAlign w:val="subscript"/>
        </w:rPr>
        <w:t>50</w:t>
      </w:r>
      <w:r w:rsidRPr="007365CA">
        <w:rPr>
          <w:rFonts w:eastAsiaTheme="minorEastAsia"/>
        </w:rPr>
        <w:t>: 0.7 nM), c-Kit (IC</w:t>
      </w:r>
      <w:r w:rsidRPr="00384EEC">
        <w:rPr>
          <w:rFonts w:eastAsiaTheme="minorEastAsia"/>
          <w:vertAlign w:val="subscript"/>
        </w:rPr>
        <w:t>50</w:t>
      </w:r>
      <w:r w:rsidRPr="007365CA">
        <w:rPr>
          <w:rFonts w:eastAsiaTheme="minorEastAsia"/>
        </w:rPr>
        <w:t>: 14.8 nM), PDGFRβ (IC</w:t>
      </w:r>
      <w:r w:rsidRPr="00384EEC">
        <w:rPr>
          <w:rFonts w:eastAsiaTheme="minorEastAsia"/>
          <w:vertAlign w:val="subscript"/>
        </w:rPr>
        <w:t>50</w:t>
      </w:r>
      <w:r w:rsidRPr="007365CA">
        <w:rPr>
          <w:rFonts w:eastAsiaTheme="minorEastAsia"/>
        </w:rPr>
        <w:t xml:space="preserve">: 115 nM) of kinase activity. </w:t>
      </w:r>
    </w:p>
    <w:p w14:paraId="0F960DF3" w14:textId="77777777" w:rsidR="007365CA" w:rsidRPr="003127AF" w:rsidRDefault="007365CA" w:rsidP="003127AF">
      <w:pPr>
        <w:pStyle w:val="P68B1DB1-19"/>
        <w:rPr>
          <w:rFonts w:eastAsiaTheme="minorEastAsia"/>
        </w:rPr>
      </w:pPr>
      <w:r w:rsidRPr="007365CA">
        <w:rPr>
          <w:rFonts w:eastAsiaTheme="minorEastAsia"/>
        </w:rPr>
        <w:t>In vitro assays showed that anlotinib inhibited the proliferation of various tumor cell lines (786-O, A375, A549, Caki-1, U87MG, MDA-MB-231, HT-29, NCI-H526, HMC-1). IC</w:t>
      </w:r>
      <w:r w:rsidRPr="00384EEC">
        <w:rPr>
          <w:rFonts w:eastAsiaTheme="minorEastAsia"/>
          <w:vertAlign w:val="subscript"/>
        </w:rPr>
        <w:t>50</w:t>
      </w:r>
      <w:r w:rsidRPr="007365CA">
        <w:rPr>
          <w:rFonts w:eastAsiaTheme="minorEastAsia"/>
        </w:rPr>
        <w:t xml:space="preserve"> was between 3.0 μM and 12.5 μM. It can significantly inhibit the phosphorylation level of VEGFR2 and related downstream proteins in HUVECs cells, the phosphorylation level of c-Kit and related downstream proteins in Mo7e cells, and the phosphorylation level of PDGFR and related downstream proteins in U87MG cells. It can also significantly inhibit the proliferation, migration and tube formation of HUVECs stimulated by VEGF-A. It can inhibit the formation </w:t>
      </w:r>
      <w:r w:rsidRPr="007365CA">
        <w:rPr>
          <w:rFonts w:eastAsiaTheme="minorEastAsia"/>
        </w:rPr>
        <w:lastRenderedPageBreak/>
        <w:t>of microvessel-like structures in rat arterial rings.</w:t>
      </w:r>
    </w:p>
    <w:p w14:paraId="50F0D5F8" w14:textId="440722C5" w:rsidR="00D45C54" w:rsidRPr="0025058B" w:rsidRDefault="003E0392" w:rsidP="00384EEC">
      <w:bookmarkStart w:id="14" w:name="_Toc33516991"/>
      <w:r w:rsidRPr="00384EEC">
        <w:rPr>
          <w:b/>
        </w:rPr>
        <w:t xml:space="preserve">Toxicological studies </w:t>
      </w:r>
      <w:bookmarkEnd w:id="14"/>
    </w:p>
    <w:p w14:paraId="424D6947" w14:textId="56475A68" w:rsidR="00D45C54" w:rsidRDefault="003E0392" w:rsidP="00384EEC">
      <w:pPr>
        <w:pStyle w:val="a0"/>
        <w:numPr>
          <w:ilvl w:val="0"/>
          <w:numId w:val="0"/>
        </w:numPr>
        <w:spacing w:before="120"/>
        <w:ind w:left="420" w:hanging="420"/>
      </w:pPr>
      <w:r>
        <w:t xml:space="preserve">General Toxicology </w:t>
      </w:r>
    </w:p>
    <w:p w14:paraId="2ECCAEFF" w14:textId="77777777" w:rsidR="00B37DAE" w:rsidRPr="003127AF" w:rsidRDefault="00B37DAE" w:rsidP="003127AF">
      <w:pPr>
        <w:pStyle w:val="P68B1DB1-19"/>
        <w:rPr>
          <w:rFonts w:eastAsiaTheme="minorEastAsia"/>
        </w:rPr>
      </w:pPr>
      <w:r w:rsidRPr="00B37DAE">
        <w:rPr>
          <w:rFonts w:eastAsiaTheme="minorEastAsia"/>
        </w:rPr>
        <w:t xml:space="preserve">SD rats were administered the drug at 0.2, 0.8 and 3.0 mg/kg for 26 weeks; then, drug administration was discontinued for 6 weeks. The no-observed-adverse-effect level (NOAEL) was 0.25 mg/kg, about 0.65 times of the clinical dose (12 mg/person) based on body surface area; significant toxicity occurred at 3.0 mg/kg and the toxicity was targeted to the organs </w:t>
      </w:r>
      <w:r>
        <w:rPr>
          <w:rFonts w:eastAsiaTheme="minorEastAsia"/>
        </w:rPr>
        <w:t>such as were teeth and kidneys.</w:t>
      </w:r>
      <w:r>
        <w:rPr>
          <w:rFonts w:eastAsiaTheme="minorEastAsia" w:hint="eastAsia"/>
        </w:rPr>
        <w:t xml:space="preserve"> </w:t>
      </w:r>
      <w:r w:rsidRPr="00B37DAE">
        <w:rPr>
          <w:rFonts w:eastAsiaTheme="minorEastAsia"/>
        </w:rPr>
        <w:t>Beagle dogs were administered anlotinib at 0.02, 0.08 and 0.32 mg/kg for 39 weeks and recovered for 6 weeks after the treatment. The NOAEL was &lt; 0.02 mg/kg, about 0.05 times of the clinical dose (12 mg/person) based on body surface area, and the main toxic reactions were arteriolar/arteriolar arteritis and its secondary changes.</w:t>
      </w:r>
    </w:p>
    <w:p w14:paraId="3CD21807" w14:textId="77777777" w:rsidR="00D45C54" w:rsidRDefault="003E0392" w:rsidP="00384EEC">
      <w:pPr>
        <w:pStyle w:val="a0"/>
        <w:numPr>
          <w:ilvl w:val="0"/>
          <w:numId w:val="0"/>
        </w:numPr>
        <w:spacing w:before="120"/>
        <w:ind w:left="420" w:hanging="420"/>
      </w:pPr>
      <w:r>
        <w:t xml:space="preserve">Genotoxicity </w:t>
      </w:r>
    </w:p>
    <w:p w14:paraId="62F0AA5E" w14:textId="77777777" w:rsidR="00D45C54" w:rsidRDefault="003E0392" w:rsidP="00384EEC">
      <w:pPr>
        <w:pStyle w:val="P68B1DB1-19"/>
      </w:pPr>
      <w:r>
        <w:t xml:space="preserve">The results of Ames test, chromosomal aberration test in Chinese hamster lung fibroblasts (CHL) and mouse bone marrow micronucleus test were negative. </w:t>
      </w:r>
    </w:p>
    <w:p w14:paraId="45C4D295" w14:textId="77777777" w:rsidR="00D45C54" w:rsidRPr="0063371F" w:rsidRDefault="003E0392" w:rsidP="00384EEC">
      <w:pPr>
        <w:pStyle w:val="a0"/>
        <w:numPr>
          <w:ilvl w:val="0"/>
          <w:numId w:val="0"/>
        </w:numPr>
        <w:spacing w:before="120"/>
        <w:ind w:left="420" w:hanging="420"/>
      </w:pPr>
      <w:r w:rsidRPr="0063371F">
        <w:t xml:space="preserve">Reproductive toxicity </w:t>
      </w:r>
    </w:p>
    <w:p w14:paraId="46A75607" w14:textId="01CA1A82" w:rsidR="00381A4C" w:rsidRDefault="00381A4C" w:rsidP="003127AF">
      <w:pPr>
        <w:pStyle w:val="P68B1DB1-19"/>
      </w:pPr>
      <w:r w:rsidRPr="00381A4C">
        <w:t>In the fertility and early embryonic development toxicity test, oral administration of anlotinib at 0.25, 1.0, and 4.0 mg/kg resulted in bilateral epididymal volume reduction (1/24), mild prostatic atrophy (10/24), and mild to moderate seminal vesicle atrophy (13/24) in male rats. The number of corpus luteum, the number of implantation glands, the pregnancy rate, the conception rate, the weight or coefficient of placenta, uterus and ovary, the atrophy of uterine glands and pregnant corpus luteum and corpus luteum cysts, the number of absorbed fetuses, the pre-implantation/post-implantation/total loss rate, and the number of live fetuses were decreased in female rats. The NOAEL was 1 mg/kg (approximately 0.8 times the clinical dose of 12 mg/ person, based on body-surface area).</w:t>
      </w:r>
    </w:p>
    <w:p w14:paraId="6BA3DEA0" w14:textId="6B74CF7E" w:rsidR="00381A4C" w:rsidRDefault="00381A4C" w:rsidP="003127AF">
      <w:pPr>
        <w:pStyle w:val="P68B1DB1-19"/>
      </w:pPr>
      <w:r w:rsidRPr="00381A4C">
        <w:t xml:space="preserve">In the embryo-fetal developmental toxicity test, oral anlotinib at 0.3, 0.6 and 1.8 mg/kg in pregnant rats significantly reduced the placental weight of live fetuses, increased early absorption fetuses, increased post-implantation loss, reduced uterine weight, reduced fetal ontogenesis, and increased the number of teratogenic fetuses and the number of litters with deformed fetuses (179/200, 22/22 litter). The main malformations were edema, short tail or no tail, and curled tail. The incidence of fetal ventricular enlargement is increased. The incidence of ossification points of caudal vertebrae, manubrium sternum, xiphoid process, metacarpal bones and proximal finger (metatarsal) bones decreased, and the incidence of dysplasia of the </w:t>
      </w:r>
      <w:r w:rsidRPr="00381A4C">
        <w:lastRenderedPageBreak/>
        <w:t xml:space="preserve">III and IV sternum, skull, lumbar vertebrae and thoracic vertebrae </w:t>
      </w:r>
      <w:r w:rsidR="00C23FA7">
        <w:t xml:space="preserve">were </w:t>
      </w:r>
      <w:r w:rsidRPr="00381A4C">
        <w:t xml:space="preserve">increased, and the incidence of rib deformity </w:t>
      </w:r>
      <w:r w:rsidR="00C23FA7">
        <w:t xml:space="preserve">were </w:t>
      </w:r>
      <w:r w:rsidRPr="00381A4C">
        <w:t>incre</w:t>
      </w:r>
      <w:bookmarkStart w:id="15" w:name="_GoBack"/>
      <w:bookmarkEnd w:id="15"/>
      <w:r w:rsidRPr="00381A4C">
        <w:t>ased. The NOAEL in this trial was &lt;0.3 mg/kg (approximately 0.25 times the clinical dose of 12 mg/ person based on body surface area).</w:t>
      </w:r>
    </w:p>
    <w:p w14:paraId="0F634496" w14:textId="726295AB" w:rsidR="00381A4C" w:rsidRDefault="00381A4C" w:rsidP="00381A4C">
      <w:pPr>
        <w:pStyle w:val="P68B1DB1-19"/>
      </w:pPr>
      <w:r>
        <w:t>Oral administration of anlotinib at 0.15, 0.3, 0.9 mg/kg in pregnant rabbits significantly reduced the weight of pregnant uterus, placental weight and organ weight/coefficient of uterus and ovary, reduced the number of corpus luteum, the number of implantation glands, and the pregnancy rate, increased the percentage of absorbed fetuses, decreased the number of live fetuses, and increased the number of absorbed fetuses and loss rate. Fetal growth retardation (decreased weight, decreased number/degree of bone ossification) and increased rate of variation or deformity in appearance, viscera, and skeleton. The NOAEL was &lt;0.15 mg/kg (approximately 0.25 times the clinical dose of 12 mg/ person based on body surface area).</w:t>
      </w:r>
    </w:p>
    <w:p w14:paraId="7FC87F6C" w14:textId="6E4AEA6F" w:rsidR="00381A4C" w:rsidRDefault="00381A4C" w:rsidP="003127AF">
      <w:pPr>
        <w:pStyle w:val="P68B1DB1-19"/>
      </w:pPr>
      <w:r>
        <w:t>In the perinatal reproductive toxicity test, oral anlotinib at 0.3, 0.6 and 1.8 mg/kg resulted in the death of parental mothers, increased number of absorbed fetuses, number of stillborn fetuses and percentage of stillborn pregnant rats, and decreased body weight, food intake and pregnancy rate. The birth survival rate, feeding survival rate and body weight of offspring rats decreased. The NOAEL of parental mothers and F1 rats was 0.6 mg/kg (about 0.5 times the clinical dose of 12 mg/ person based on body surface area). Anlotinib can be secreted into breast milk, and its concentration in breast milk is about 30 to 50% of the blood concentration.</w:t>
      </w:r>
    </w:p>
    <w:p w14:paraId="1642C75E" w14:textId="47794DA1" w:rsidR="00BC419C" w:rsidRPr="0025058B" w:rsidRDefault="00BC419C" w:rsidP="00384EEC">
      <w:bookmarkStart w:id="16" w:name="_Toc33516992"/>
      <w:r w:rsidRPr="00384EEC">
        <w:rPr>
          <w:b/>
        </w:rPr>
        <w:t xml:space="preserve">Pharmacokinetics of Anlotinib and Safety and Tolerability </w:t>
      </w:r>
      <w:r w:rsidR="009A0B70" w:rsidRPr="009A0B70">
        <w:rPr>
          <w:b/>
        </w:rPr>
        <w:t>with consecutive 2 weeks and stop 1 week</w:t>
      </w:r>
      <w:r w:rsidRPr="00384EEC">
        <w:rPr>
          <w:b/>
        </w:rPr>
        <w:t xml:space="preserve"> </w:t>
      </w:r>
    </w:p>
    <w:p w14:paraId="4EA5B6EC" w14:textId="1AE727A9" w:rsidR="00BC419C" w:rsidRDefault="00BC419C" w:rsidP="00384EEC">
      <w:pPr>
        <w:pStyle w:val="a0"/>
        <w:numPr>
          <w:ilvl w:val="0"/>
          <w:numId w:val="0"/>
        </w:numPr>
        <w:spacing w:before="120"/>
        <w:ind w:left="420" w:hanging="420"/>
      </w:pPr>
      <w:r>
        <w:t xml:space="preserve">Pharmacokinetics of Anlotinib  </w:t>
      </w:r>
    </w:p>
    <w:bookmarkEnd w:id="16"/>
    <w:p w14:paraId="739FE72E" w14:textId="77777777" w:rsidR="00D45C54" w:rsidRDefault="003E0392" w:rsidP="00384EEC">
      <w:pPr>
        <w:pStyle w:val="a0"/>
        <w:numPr>
          <w:ilvl w:val="0"/>
          <w:numId w:val="0"/>
        </w:numPr>
        <w:spacing w:before="120"/>
        <w:ind w:left="420" w:hanging="420"/>
      </w:pPr>
      <w:r>
        <w:t xml:space="preserve">Absorption </w:t>
      </w:r>
    </w:p>
    <w:p w14:paraId="5874BFA7" w14:textId="77777777" w:rsidR="005249B6" w:rsidRPr="005249B6" w:rsidRDefault="005249B6" w:rsidP="005249B6">
      <w:pPr>
        <w:pStyle w:val="P68B1DB1-19"/>
        <w:rPr>
          <w:rFonts w:eastAsiaTheme="minorEastAsia"/>
        </w:rPr>
      </w:pPr>
      <w:r w:rsidRPr="005249B6">
        <w:rPr>
          <w:rFonts w:eastAsiaTheme="minorEastAsia"/>
        </w:rPr>
        <w:t>Following oral administration of anlotinib 5 mg to 12 healthy subjects in the fasted state, the mean time to peak plasma concentration of Anlotinib was 9.3 hours, and the elimination in vivo was slow, with a mean elimination half-life of 113 hours. A high-fat diet reduced the oral bioavailability of amlotinib, and the total in vivo exposure of amlotinib was approximately 80% of that of fasting administration. The effect of a low to medium fat diet on the bioavailability of amlotinib is unknown.</w:t>
      </w:r>
    </w:p>
    <w:p w14:paraId="11E951E5" w14:textId="0B2DAF69" w:rsidR="005249B6" w:rsidRPr="003127AF" w:rsidRDefault="005249B6" w:rsidP="003127AF">
      <w:pPr>
        <w:pStyle w:val="P68B1DB1-19"/>
        <w:rPr>
          <w:rFonts w:eastAsiaTheme="minorEastAsia"/>
        </w:rPr>
      </w:pPr>
      <w:r w:rsidRPr="005249B6">
        <w:rPr>
          <w:rFonts w:eastAsiaTheme="minorEastAsia"/>
        </w:rPr>
        <w:t>After oral administration of anlotinib 10, 12 and 16 mg to 19 subjects with solid tumors in the fasted state, the mean time to peak plasma concentration of</w:t>
      </w:r>
      <w:r w:rsidR="003B7D9B">
        <w:rPr>
          <w:rFonts w:eastAsiaTheme="minorEastAsia"/>
        </w:rPr>
        <w:t xml:space="preserve"> the unchanged drug was about 6~</w:t>
      </w:r>
      <w:r w:rsidRPr="005249B6">
        <w:rPr>
          <w:rFonts w:eastAsiaTheme="minorEastAsia"/>
        </w:rPr>
        <w:t>11 h; the me</w:t>
      </w:r>
      <w:r w:rsidR="003B7D9B">
        <w:rPr>
          <w:rFonts w:eastAsiaTheme="minorEastAsia"/>
        </w:rPr>
        <w:t>an elimination half-life was 95~</w:t>
      </w:r>
      <w:r w:rsidRPr="005249B6">
        <w:rPr>
          <w:rFonts w:eastAsiaTheme="minorEastAsia"/>
        </w:rPr>
        <w:t>116 h</w:t>
      </w:r>
      <w:r w:rsidR="003B7D9B">
        <w:rPr>
          <w:rFonts w:eastAsiaTheme="minorEastAsia"/>
        </w:rPr>
        <w:t>. Within the dose range of 10~</w:t>
      </w:r>
      <w:r w:rsidRPr="005249B6">
        <w:rPr>
          <w:rFonts w:eastAsiaTheme="minorEastAsia"/>
        </w:rPr>
        <w:t xml:space="preserve">16 mg, the in vivo exposure level of anlotinib was positively correlated with the administered dose, but the linear relationship was uncertain. There was no significant gender difference. Fifteen subjects with </w:t>
      </w:r>
      <w:r w:rsidRPr="005249B6">
        <w:rPr>
          <w:rFonts w:eastAsiaTheme="minorEastAsia"/>
        </w:rPr>
        <w:lastRenderedPageBreak/>
        <w:t>solid tumors were treated with 12 mg once a day for 2 weeks and 1 week off for a dosing cycle. The plasma drug concentration of the original drug in the subjects reached the peak on the 14th day of continuous dosing. The plasma concentration of anlotinib reached 21.1-121 ng/mL on day 14 of the first cycle, and decreased to 5.05-28.5 ng/mL one week after drug withdrawal. The blood concentration of anlotinib reached 22.1 to 101 ng/mL on day 14 of the second cycle. After two cycles of treatment, there was no significant change in plasma drug concentration between the second cycle and the first cycle.</w:t>
      </w:r>
    </w:p>
    <w:p w14:paraId="21DB4413" w14:textId="07754713" w:rsidR="00D45C54" w:rsidRDefault="003E0392" w:rsidP="00384EEC">
      <w:pPr>
        <w:pStyle w:val="a0"/>
        <w:numPr>
          <w:ilvl w:val="0"/>
          <w:numId w:val="0"/>
        </w:numPr>
        <w:spacing w:before="120"/>
        <w:ind w:left="420" w:hanging="420"/>
      </w:pPr>
      <w:r>
        <w:t>D</w:t>
      </w:r>
      <w:r w:rsidR="009A0B70">
        <w:t xml:space="preserve">istribution </w:t>
      </w:r>
    </w:p>
    <w:p w14:paraId="73CF40AD" w14:textId="7C521E2C" w:rsidR="00D45C54" w:rsidRDefault="005249B6" w:rsidP="003127AF">
      <w:r w:rsidRPr="005249B6">
        <w:t>After a single fasting oral administration of 12 mg and 16 mg anlotinib hydrochloride capsules in subjects with advanced cancer, the mean apparent volume of distribution ranged from 2061 to 3312L. The plasma protein binding rate of anlotinib was 93% by equilibrium dialysis (in vitro), and there was no concentration dependence in the range of 300~1200 ng/mL</w:t>
      </w:r>
      <w:r>
        <w:rPr>
          <w:rFonts w:asciiTheme="minorEastAsia" w:eastAsiaTheme="minorEastAsia" w:hAnsiTheme="minorEastAsia" w:hint="eastAsia"/>
        </w:rPr>
        <w:t>.</w:t>
      </w:r>
      <w:r w:rsidR="003E0392">
        <w:t xml:space="preserve"> </w:t>
      </w:r>
    </w:p>
    <w:p w14:paraId="70F11A64" w14:textId="77777777" w:rsidR="00D45C54" w:rsidRDefault="003E0392" w:rsidP="00384EEC">
      <w:pPr>
        <w:pStyle w:val="a0"/>
        <w:numPr>
          <w:ilvl w:val="0"/>
          <w:numId w:val="0"/>
        </w:numPr>
        <w:spacing w:before="120"/>
        <w:ind w:left="420" w:hanging="420"/>
      </w:pPr>
      <w:r>
        <w:t xml:space="preserve">Metabolism </w:t>
      </w:r>
    </w:p>
    <w:p w14:paraId="6C8E5DBE" w14:textId="755C7EA2" w:rsidR="00D45C54" w:rsidRPr="003127AF" w:rsidRDefault="005249B6" w:rsidP="003127AF">
      <w:pPr>
        <w:pStyle w:val="P68B1DB1-18"/>
        <w:rPr>
          <w:rFonts w:eastAsiaTheme="minorEastAsia" w:hint="default"/>
        </w:rPr>
      </w:pPr>
      <w:r w:rsidRPr="005249B6">
        <w:rPr>
          <w:rFonts w:eastAsiaTheme="minorEastAsia"/>
        </w:rPr>
        <w:t>Anlotinib is primarily metabolized by CYP1A2 and CYP3A4/5, followed by CYP2B6, CYP2C8, CYP2C9, CYP2C19, and CYP2D6; anlotinib is not a substrate of P-glycoprotein.</w:t>
      </w:r>
    </w:p>
    <w:p w14:paraId="2CAF4620" w14:textId="77777777" w:rsidR="00D45C54" w:rsidRDefault="003E0392" w:rsidP="00384EEC">
      <w:pPr>
        <w:pStyle w:val="a0"/>
        <w:numPr>
          <w:ilvl w:val="0"/>
          <w:numId w:val="0"/>
        </w:numPr>
        <w:spacing w:before="120"/>
        <w:ind w:left="420" w:hanging="420"/>
      </w:pPr>
      <w:r>
        <w:t xml:space="preserve">Excretion </w:t>
      </w:r>
    </w:p>
    <w:p w14:paraId="5B21F617" w14:textId="0FE40A38" w:rsidR="00D45C54" w:rsidRPr="003127AF" w:rsidRDefault="008D47CE" w:rsidP="003127AF">
      <w:pPr>
        <w:pStyle w:val="P68B1DB1-19"/>
        <w:rPr>
          <w:rFonts w:eastAsiaTheme="minorEastAsia"/>
        </w:rPr>
      </w:pPr>
      <w:r w:rsidRPr="008D47CE">
        <w:rPr>
          <w:rFonts w:eastAsiaTheme="minorEastAsia"/>
        </w:rPr>
        <w:t xml:space="preserve">In a </w:t>
      </w:r>
      <w:r w:rsidRPr="00384EEC">
        <w:rPr>
          <w:rFonts w:eastAsiaTheme="minorEastAsia"/>
          <w:vertAlign w:val="superscript"/>
        </w:rPr>
        <w:t>14</w:t>
      </w:r>
      <w:r w:rsidRPr="008D47CE">
        <w:rPr>
          <w:rFonts w:eastAsiaTheme="minorEastAsia"/>
        </w:rPr>
        <w:t>C-labeled human experiment on the balance of substances of amlotinib, cumulative excretion of amlotinib and its major metabolites via feces and urine was detected to be approximately 62.04% of the administered dose in tumor-bearing subjects after a single oral administration of 12 mg amlotinib for 2648 hours (110 days), with fecal excretion being 48.52% and urinary excretion being 13.52% of of the administered dose.</w:t>
      </w:r>
    </w:p>
    <w:p w14:paraId="40EAC099" w14:textId="77777777" w:rsidR="00D45C54" w:rsidRDefault="003E0392" w:rsidP="00384EEC">
      <w:pPr>
        <w:pStyle w:val="a0"/>
        <w:numPr>
          <w:ilvl w:val="0"/>
          <w:numId w:val="0"/>
        </w:numPr>
        <w:spacing w:before="120"/>
        <w:ind w:left="420" w:hanging="420"/>
      </w:pPr>
      <w:r>
        <w:t xml:space="preserve">Special Populations </w:t>
      </w:r>
    </w:p>
    <w:p w14:paraId="08EB8B2C" w14:textId="77777777" w:rsidR="00AC0842" w:rsidRDefault="00AC0842" w:rsidP="003127AF">
      <w:pPr>
        <w:pStyle w:val="P68B1DB1-19"/>
      </w:pPr>
      <w:r w:rsidRPr="00AC0842">
        <w:t>Pharmacokinetic studies have not been performed in special populations such as those with hepatic or renal insufficiency.</w:t>
      </w:r>
    </w:p>
    <w:p w14:paraId="69114B34" w14:textId="4A468B80" w:rsidR="00D45C54" w:rsidRPr="0025058B" w:rsidRDefault="003E0392" w:rsidP="00384EEC">
      <w:r w:rsidRPr="00384EEC">
        <w:rPr>
          <w:b/>
        </w:rPr>
        <w:t xml:space="preserve">Safety and tolerability </w:t>
      </w:r>
      <w:r w:rsidR="00AC0842" w:rsidRPr="00384EEC">
        <w:rPr>
          <w:b/>
        </w:rPr>
        <w:t xml:space="preserve">of anlotinib with consecutive 2 weeks and stop 1 week </w:t>
      </w:r>
      <w:r w:rsidRPr="00384EEC">
        <w:rPr>
          <w:b/>
        </w:rPr>
        <w:t xml:space="preserve"> </w:t>
      </w:r>
    </w:p>
    <w:p w14:paraId="577EEAD9" w14:textId="77777777" w:rsidR="00AC0842" w:rsidRDefault="00AC0842" w:rsidP="00AC0842">
      <w:r>
        <w:t xml:space="preserve">Twenty-two clinical trials have been conducted for amlotinib, involving 1788 patients with advanced tumors, including non-small cell lung cancer, soft tissue sarcoma, small cell lung cancer, clear cell renal cancer, colorectal cancer, medullary thyroid cancer, esophageal squamous cell cancer, hepatocellular cancer, neuroendocrine tumors, gastric cancer, and bone tumors. Anlotinib were initiated at a dose of 12 mg for 2 weeks and discontinued for 1 week. The adverse events with an incidence of </w:t>
      </w:r>
      <w:r>
        <w:rPr>
          <w:rFonts w:hint="eastAsia"/>
        </w:rPr>
        <w:t>≥</w:t>
      </w:r>
      <w:r>
        <w:t xml:space="preserve">10% included hypertension, fatigue, hand-foot syndrome, hypertriglyceridemia, proteinuria, diarrhea, loss of appetite, increased serum thyroid </w:t>
      </w:r>
      <w:r>
        <w:lastRenderedPageBreak/>
        <w:t xml:space="preserve">stimulating hormone, hypercholesterolemia, hypothyroidism, etc. </w:t>
      </w:r>
    </w:p>
    <w:p w14:paraId="3B046252" w14:textId="25112F74" w:rsidR="00AC0842" w:rsidRDefault="00AC0842" w:rsidP="003127AF">
      <w:r>
        <w:t>The table below summarizes the adverse reactions occurring in a total of 1788 subjects with advanced tumors from 22 clinical trials of anlotinib. They are presented by system organ and occurrence frequency.  Occurrence frequency: very common (</w:t>
      </w:r>
      <w:r>
        <w:rPr>
          <w:rFonts w:hint="eastAsia"/>
        </w:rPr>
        <w:t>≥</w:t>
      </w:r>
      <w:r w:rsidR="00C8223F">
        <w:t xml:space="preserve"> 10%), common (1%~</w:t>
      </w:r>
      <w:r>
        <w:t>10%, in</w:t>
      </w:r>
      <w:r w:rsidR="00C8223F">
        <w:t>cluding 1%), occasional (0.1%~</w:t>
      </w:r>
      <w:r>
        <w:t>1</w:t>
      </w:r>
      <w:r w:rsidR="00C8223F">
        <w:t>%, including 0.1%), rare (0.01%~</w:t>
      </w:r>
      <w:r>
        <w:t>0.1%, including 0.01%), very rare (&lt; 0.01%). Within each frequency grouping, these adverse events are presented in descending order of severity.</w:t>
      </w:r>
    </w:p>
    <w:p w14:paraId="6F1C636B" w14:textId="02D64F9A" w:rsidR="00D45C54" w:rsidRDefault="003E0392">
      <w:pPr>
        <w:pStyle w:val="afff2"/>
      </w:pPr>
      <w:r>
        <w:rPr>
          <w:rFonts w:hint="eastAsia"/>
        </w:rPr>
        <w:t xml:space="preserve">Table </w:t>
      </w:r>
      <w:bookmarkStart w:id="17" w:name="_Hlk35807868"/>
      <w:r>
        <w:rPr>
          <w:rFonts w:hint="eastAsia"/>
        </w:rPr>
        <w:t>1</w:t>
      </w:r>
      <w:r w:rsidR="00AC0842">
        <w:t>.</w:t>
      </w:r>
      <w:r>
        <w:t>2</w:t>
      </w:r>
      <w:r w:rsidR="00CF2355">
        <w:t>-</w:t>
      </w:r>
      <w:r>
        <w:t xml:space="preserve">1 </w:t>
      </w:r>
      <w:bookmarkEnd w:id="17"/>
      <w:r>
        <w:rPr>
          <w:rFonts w:hint="eastAsia"/>
        </w:rPr>
        <w:t xml:space="preserve">Summary of Adverse </w:t>
      </w:r>
      <w:r w:rsidR="00AC0842">
        <w:t>events of a</w:t>
      </w:r>
      <w:r>
        <w:rPr>
          <w:rFonts w:hint="eastAsia"/>
        </w:rPr>
        <w:t xml:space="preserve">nlotinib </w:t>
      </w:r>
    </w:p>
    <w:tbl>
      <w:tblPr>
        <w:tblW w:w="8522"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6679"/>
      </w:tblGrid>
      <w:tr w:rsidR="00D45C54" w14:paraId="51198441" w14:textId="77777777">
        <w:trPr>
          <w:jc w:val="center"/>
        </w:trPr>
        <w:tc>
          <w:tcPr>
            <w:tcW w:w="8522" w:type="dxa"/>
            <w:gridSpan w:val="2"/>
            <w:tcBorders>
              <w:top w:val="single" w:sz="4" w:space="0" w:color="auto"/>
              <w:bottom w:val="single" w:sz="4" w:space="0" w:color="auto"/>
            </w:tcBorders>
            <w:shd w:val="clear" w:color="auto" w:fill="E7E6E6" w:themeFill="background2"/>
          </w:tcPr>
          <w:p w14:paraId="2F1EF13D" w14:textId="77777777" w:rsidR="00D45C54" w:rsidRDefault="003E0392">
            <w:pPr>
              <w:pStyle w:val="P68B1DB1-15747"/>
              <w:jc w:val="center"/>
            </w:pPr>
            <w:r>
              <w:t xml:space="preserve">General disorders </w:t>
            </w:r>
          </w:p>
        </w:tc>
      </w:tr>
      <w:tr w:rsidR="00D45C54" w14:paraId="4870C05A" w14:textId="77777777">
        <w:trPr>
          <w:jc w:val="center"/>
        </w:trPr>
        <w:tc>
          <w:tcPr>
            <w:tcW w:w="1843" w:type="dxa"/>
            <w:shd w:val="clear" w:color="auto" w:fill="auto"/>
            <w:vAlign w:val="center"/>
          </w:tcPr>
          <w:p w14:paraId="5AF39C4F" w14:textId="77777777" w:rsidR="00D45C54" w:rsidRDefault="003E0392">
            <w:pPr>
              <w:pStyle w:val="afff0"/>
            </w:pPr>
            <w:r>
              <w:t xml:space="preserve">Very common </w:t>
            </w:r>
          </w:p>
        </w:tc>
        <w:tc>
          <w:tcPr>
            <w:tcW w:w="6679" w:type="dxa"/>
            <w:shd w:val="clear" w:color="auto" w:fill="auto"/>
            <w:vAlign w:val="center"/>
          </w:tcPr>
          <w:p w14:paraId="4EC075B7" w14:textId="77777777" w:rsidR="00D45C54" w:rsidRDefault="003E0392">
            <w:pPr>
              <w:pStyle w:val="afff0"/>
            </w:pPr>
            <w:r>
              <w:t xml:space="preserve">Fatigue, weight decreased </w:t>
            </w:r>
          </w:p>
        </w:tc>
      </w:tr>
      <w:tr w:rsidR="00D45C54" w14:paraId="49F60D58" w14:textId="77777777">
        <w:trPr>
          <w:jc w:val="center"/>
        </w:trPr>
        <w:tc>
          <w:tcPr>
            <w:tcW w:w="1843" w:type="dxa"/>
            <w:shd w:val="clear" w:color="auto" w:fill="auto"/>
            <w:vAlign w:val="center"/>
          </w:tcPr>
          <w:p w14:paraId="2890127D" w14:textId="77777777" w:rsidR="00D45C54" w:rsidRDefault="003E0392">
            <w:pPr>
              <w:pStyle w:val="afff0"/>
            </w:pPr>
            <w:r>
              <w:t xml:space="preserve">Common </w:t>
            </w:r>
          </w:p>
        </w:tc>
        <w:tc>
          <w:tcPr>
            <w:tcW w:w="6679" w:type="dxa"/>
            <w:shd w:val="clear" w:color="auto" w:fill="auto"/>
            <w:vAlign w:val="center"/>
          </w:tcPr>
          <w:p w14:paraId="3A221E6D" w14:textId="3BD4BFED" w:rsidR="00D45C54" w:rsidRDefault="003E0392">
            <w:pPr>
              <w:pStyle w:val="afff0"/>
            </w:pPr>
            <w:r>
              <w:t xml:space="preserve">Chest pain, fever, influenza-like reaction </w:t>
            </w:r>
            <w:r w:rsidR="008D597B">
              <w:rPr>
                <w:vertAlign w:val="superscript"/>
              </w:rPr>
              <w:t xml:space="preserve">a </w:t>
            </w:r>
            <w:r>
              <w:t xml:space="preserve">, edema </w:t>
            </w:r>
            <w:r w:rsidR="008D597B">
              <w:rPr>
                <w:vertAlign w:val="superscript"/>
              </w:rPr>
              <w:t xml:space="preserve">b </w:t>
            </w:r>
            <w:r>
              <w:t xml:space="preserve">, Cancer pain </w:t>
            </w:r>
          </w:p>
        </w:tc>
      </w:tr>
      <w:tr w:rsidR="00D45C54" w14:paraId="0FD950F8" w14:textId="77777777">
        <w:trPr>
          <w:jc w:val="center"/>
        </w:trPr>
        <w:tc>
          <w:tcPr>
            <w:tcW w:w="1843" w:type="dxa"/>
            <w:shd w:val="clear" w:color="auto" w:fill="auto"/>
            <w:vAlign w:val="center"/>
          </w:tcPr>
          <w:p w14:paraId="7F6AC953" w14:textId="77777777" w:rsidR="00D45C54" w:rsidRDefault="003E0392">
            <w:pPr>
              <w:pStyle w:val="afff0"/>
            </w:pPr>
            <w:r>
              <w:t xml:space="preserve">Occasional </w:t>
            </w:r>
          </w:p>
        </w:tc>
        <w:tc>
          <w:tcPr>
            <w:tcW w:w="6679" w:type="dxa"/>
            <w:shd w:val="clear" w:color="auto" w:fill="auto"/>
            <w:vAlign w:val="center"/>
          </w:tcPr>
          <w:p w14:paraId="3EBA659F" w14:textId="6BD3B0C0" w:rsidR="00D45C54" w:rsidRDefault="003E0392">
            <w:pPr>
              <w:pStyle w:val="afff0"/>
            </w:pPr>
            <w:r>
              <w:t xml:space="preserve">Hypersensitivity reaction </w:t>
            </w:r>
            <w:r w:rsidR="008D597B">
              <w:rPr>
                <w:vertAlign w:val="superscript"/>
              </w:rPr>
              <w:t xml:space="preserve">c </w:t>
            </w:r>
            <w:r>
              <w:t xml:space="preserve">, chills </w:t>
            </w:r>
          </w:p>
        </w:tc>
      </w:tr>
      <w:tr w:rsidR="00D45C54" w14:paraId="50015FB4" w14:textId="77777777">
        <w:trPr>
          <w:jc w:val="center"/>
        </w:trPr>
        <w:tc>
          <w:tcPr>
            <w:tcW w:w="1843" w:type="dxa"/>
            <w:shd w:val="clear" w:color="auto" w:fill="auto"/>
            <w:vAlign w:val="center"/>
          </w:tcPr>
          <w:p w14:paraId="1F03E328" w14:textId="77777777" w:rsidR="00D45C54" w:rsidRDefault="003E0392">
            <w:pPr>
              <w:pStyle w:val="afff0"/>
            </w:pPr>
            <w:r>
              <w:t xml:space="preserve">Rare </w:t>
            </w:r>
          </w:p>
        </w:tc>
        <w:tc>
          <w:tcPr>
            <w:tcW w:w="6679" w:type="dxa"/>
            <w:shd w:val="clear" w:color="auto" w:fill="auto"/>
            <w:vAlign w:val="center"/>
          </w:tcPr>
          <w:p w14:paraId="732E3DAF" w14:textId="3330A4CB" w:rsidR="00D45C54" w:rsidRDefault="003E0392">
            <w:pPr>
              <w:pStyle w:val="afff0"/>
            </w:pPr>
            <w:r>
              <w:t xml:space="preserve">Poor wound healing </w:t>
            </w:r>
            <w:r w:rsidR="008D597B">
              <w:rPr>
                <w:vertAlign w:val="superscript"/>
              </w:rPr>
              <w:t xml:space="preserve">d </w:t>
            </w:r>
          </w:p>
        </w:tc>
      </w:tr>
      <w:tr w:rsidR="00D45C54" w14:paraId="190FD059" w14:textId="77777777">
        <w:trPr>
          <w:jc w:val="center"/>
        </w:trPr>
        <w:tc>
          <w:tcPr>
            <w:tcW w:w="8522" w:type="dxa"/>
            <w:gridSpan w:val="2"/>
            <w:shd w:val="clear" w:color="auto" w:fill="E7E6E6" w:themeFill="background2"/>
          </w:tcPr>
          <w:p w14:paraId="5FC1636A" w14:textId="77777777" w:rsidR="00D45C54" w:rsidRDefault="003E0392">
            <w:pPr>
              <w:pStyle w:val="P68B1DB1-15747"/>
              <w:jc w:val="center"/>
            </w:pPr>
            <w:r>
              <w:t xml:space="preserve">Cardiovascular system disorders </w:t>
            </w:r>
          </w:p>
        </w:tc>
      </w:tr>
      <w:tr w:rsidR="00D45C54" w14:paraId="125182D0" w14:textId="77777777">
        <w:trPr>
          <w:jc w:val="center"/>
        </w:trPr>
        <w:tc>
          <w:tcPr>
            <w:tcW w:w="1843" w:type="dxa"/>
            <w:shd w:val="clear" w:color="auto" w:fill="auto"/>
            <w:vAlign w:val="center"/>
          </w:tcPr>
          <w:p w14:paraId="0EB89CF5" w14:textId="77777777" w:rsidR="00D45C54" w:rsidRDefault="003E0392">
            <w:pPr>
              <w:pStyle w:val="afff0"/>
            </w:pPr>
            <w:r>
              <w:t xml:space="preserve">Very common </w:t>
            </w:r>
          </w:p>
        </w:tc>
        <w:tc>
          <w:tcPr>
            <w:tcW w:w="6679" w:type="dxa"/>
            <w:shd w:val="clear" w:color="auto" w:fill="auto"/>
            <w:vAlign w:val="center"/>
          </w:tcPr>
          <w:p w14:paraId="5B6A2670" w14:textId="77777777" w:rsidR="00D45C54" w:rsidRDefault="003E0392">
            <w:pPr>
              <w:pStyle w:val="afff0"/>
            </w:pPr>
            <w:r>
              <w:t xml:space="preserve">Hypertension, sinus tachycardia </w:t>
            </w:r>
          </w:p>
        </w:tc>
      </w:tr>
      <w:tr w:rsidR="00D45C54" w14:paraId="09AF57B7" w14:textId="77777777">
        <w:trPr>
          <w:jc w:val="center"/>
        </w:trPr>
        <w:tc>
          <w:tcPr>
            <w:tcW w:w="1843" w:type="dxa"/>
            <w:shd w:val="clear" w:color="auto" w:fill="auto"/>
            <w:vAlign w:val="center"/>
          </w:tcPr>
          <w:p w14:paraId="5C141D28" w14:textId="77777777" w:rsidR="00D45C54" w:rsidRDefault="003E0392">
            <w:pPr>
              <w:pStyle w:val="afff0"/>
            </w:pPr>
            <w:r>
              <w:t xml:space="preserve">Common </w:t>
            </w:r>
          </w:p>
        </w:tc>
        <w:tc>
          <w:tcPr>
            <w:tcW w:w="6679" w:type="dxa"/>
            <w:shd w:val="clear" w:color="auto" w:fill="auto"/>
            <w:vAlign w:val="center"/>
          </w:tcPr>
          <w:p w14:paraId="0AAF7F32" w14:textId="77777777" w:rsidR="00D45C54" w:rsidRDefault="003E0392">
            <w:pPr>
              <w:pStyle w:val="afff0"/>
            </w:pPr>
            <w:r>
              <w:t xml:space="preserve">Sinus bradycardia, palpitations, myocardial ischemia, sinus arrhythmia </w:t>
            </w:r>
          </w:p>
        </w:tc>
      </w:tr>
      <w:tr w:rsidR="00D45C54" w14:paraId="7B1EDB1D" w14:textId="77777777">
        <w:trPr>
          <w:jc w:val="center"/>
        </w:trPr>
        <w:tc>
          <w:tcPr>
            <w:tcW w:w="1843" w:type="dxa"/>
            <w:shd w:val="clear" w:color="auto" w:fill="auto"/>
            <w:vAlign w:val="center"/>
          </w:tcPr>
          <w:p w14:paraId="26C4C3F3" w14:textId="77777777" w:rsidR="00D45C54" w:rsidRDefault="003E0392">
            <w:pPr>
              <w:pStyle w:val="afff0"/>
            </w:pPr>
            <w:r>
              <w:t xml:space="preserve">Occasional </w:t>
            </w:r>
          </w:p>
        </w:tc>
        <w:tc>
          <w:tcPr>
            <w:tcW w:w="6679" w:type="dxa"/>
            <w:shd w:val="clear" w:color="auto" w:fill="auto"/>
            <w:vAlign w:val="center"/>
          </w:tcPr>
          <w:p w14:paraId="659E0B28" w14:textId="77777777" w:rsidR="00D45C54" w:rsidRDefault="003E0392">
            <w:pPr>
              <w:pStyle w:val="afff0"/>
            </w:pPr>
            <w:r>
              <w:t xml:space="preserve">Cardiac failure, vena cava thrombosis, atrial fibrillation, pulmonary artery thrombosis, myocardial infarction, venous thrombosis limb, flushing </w:t>
            </w:r>
          </w:p>
        </w:tc>
      </w:tr>
      <w:tr w:rsidR="00D45C54" w14:paraId="723E5297" w14:textId="77777777">
        <w:trPr>
          <w:jc w:val="center"/>
        </w:trPr>
        <w:tc>
          <w:tcPr>
            <w:tcW w:w="1843" w:type="dxa"/>
            <w:shd w:val="clear" w:color="auto" w:fill="auto"/>
            <w:vAlign w:val="center"/>
          </w:tcPr>
          <w:p w14:paraId="69C8E2B7" w14:textId="77777777" w:rsidR="00D45C54" w:rsidRDefault="003E0392">
            <w:pPr>
              <w:pStyle w:val="afff0"/>
            </w:pPr>
            <w:r>
              <w:t xml:space="preserve">Rare </w:t>
            </w:r>
          </w:p>
        </w:tc>
        <w:tc>
          <w:tcPr>
            <w:tcW w:w="6679" w:type="dxa"/>
            <w:shd w:val="clear" w:color="auto" w:fill="auto"/>
            <w:vAlign w:val="center"/>
          </w:tcPr>
          <w:p w14:paraId="5AAE77FF" w14:textId="77777777" w:rsidR="00D45C54" w:rsidRDefault="003E0392">
            <w:pPr>
              <w:pStyle w:val="afff0"/>
            </w:pPr>
            <w:r>
              <w:t xml:space="preserve">Hot flushes </w:t>
            </w:r>
          </w:p>
        </w:tc>
      </w:tr>
      <w:tr w:rsidR="00D45C54" w14:paraId="249E2D5A" w14:textId="77777777">
        <w:trPr>
          <w:jc w:val="center"/>
        </w:trPr>
        <w:tc>
          <w:tcPr>
            <w:tcW w:w="8522" w:type="dxa"/>
            <w:gridSpan w:val="2"/>
            <w:shd w:val="clear" w:color="auto" w:fill="E7E6E6" w:themeFill="background2"/>
          </w:tcPr>
          <w:p w14:paraId="5BF36CB4" w14:textId="77777777" w:rsidR="00D45C54" w:rsidRDefault="003E0392">
            <w:pPr>
              <w:pStyle w:val="P68B1DB1-15747"/>
              <w:jc w:val="center"/>
            </w:pPr>
            <w:r>
              <w:t xml:space="preserve">Hemorrhage </w:t>
            </w:r>
          </w:p>
        </w:tc>
      </w:tr>
      <w:tr w:rsidR="00D45C54" w14:paraId="08A09145" w14:textId="77777777">
        <w:trPr>
          <w:jc w:val="center"/>
        </w:trPr>
        <w:tc>
          <w:tcPr>
            <w:tcW w:w="1843" w:type="dxa"/>
            <w:shd w:val="clear" w:color="auto" w:fill="auto"/>
            <w:vAlign w:val="center"/>
          </w:tcPr>
          <w:p w14:paraId="633EA81D" w14:textId="77777777" w:rsidR="00D45C54" w:rsidRDefault="003E0392">
            <w:pPr>
              <w:pStyle w:val="afff0"/>
            </w:pPr>
            <w:r>
              <w:t xml:space="preserve">Common </w:t>
            </w:r>
          </w:p>
        </w:tc>
        <w:tc>
          <w:tcPr>
            <w:tcW w:w="6679" w:type="dxa"/>
            <w:shd w:val="clear" w:color="auto" w:fill="auto"/>
            <w:vAlign w:val="center"/>
          </w:tcPr>
          <w:p w14:paraId="75C4593E" w14:textId="35AC7EDD" w:rsidR="00D45C54" w:rsidRDefault="003E0392">
            <w:pPr>
              <w:pStyle w:val="afff0"/>
            </w:pPr>
            <w:r>
              <w:t xml:space="preserve">Hemoptysis </w:t>
            </w:r>
            <w:r w:rsidR="008D597B">
              <w:rPr>
                <w:vertAlign w:val="superscript"/>
              </w:rPr>
              <w:t xml:space="preserve">e </w:t>
            </w:r>
            <w:r>
              <w:t xml:space="preserve">Gastrointestinal bleeding </w:t>
            </w:r>
            <w:r w:rsidR="008D597B">
              <w:rPr>
                <w:vertAlign w:val="superscript"/>
              </w:rPr>
              <w:t>f</w:t>
            </w:r>
            <w:r>
              <w:t xml:space="preserve">, Other haemorrhage </w:t>
            </w:r>
            <w:r w:rsidR="008D597B">
              <w:rPr>
                <w:vertAlign w:val="superscript"/>
              </w:rPr>
              <w:t xml:space="preserve">g </w:t>
            </w:r>
          </w:p>
        </w:tc>
      </w:tr>
      <w:tr w:rsidR="00D45C54" w14:paraId="5C9432C1" w14:textId="77777777">
        <w:trPr>
          <w:jc w:val="center"/>
        </w:trPr>
        <w:tc>
          <w:tcPr>
            <w:tcW w:w="8522" w:type="dxa"/>
            <w:gridSpan w:val="2"/>
            <w:shd w:val="clear" w:color="auto" w:fill="E7E6E6" w:themeFill="background2"/>
          </w:tcPr>
          <w:p w14:paraId="12F1AD5B" w14:textId="77777777" w:rsidR="00D45C54" w:rsidRDefault="003E0392">
            <w:pPr>
              <w:pStyle w:val="P68B1DB1-15747"/>
              <w:jc w:val="center"/>
            </w:pPr>
            <w:r>
              <w:t xml:space="preserve">Gastrointestinal disorders </w:t>
            </w:r>
          </w:p>
        </w:tc>
      </w:tr>
      <w:tr w:rsidR="00D45C54" w14:paraId="11F1A9FF" w14:textId="77777777">
        <w:trPr>
          <w:jc w:val="center"/>
        </w:trPr>
        <w:tc>
          <w:tcPr>
            <w:tcW w:w="1843" w:type="dxa"/>
            <w:shd w:val="clear" w:color="auto" w:fill="auto"/>
            <w:vAlign w:val="center"/>
          </w:tcPr>
          <w:p w14:paraId="3C6C06E2" w14:textId="77777777" w:rsidR="00D45C54" w:rsidRDefault="003E0392">
            <w:pPr>
              <w:pStyle w:val="afff0"/>
            </w:pPr>
            <w:r>
              <w:t xml:space="preserve">Very common </w:t>
            </w:r>
          </w:p>
        </w:tc>
        <w:tc>
          <w:tcPr>
            <w:tcW w:w="6679" w:type="dxa"/>
            <w:shd w:val="clear" w:color="auto" w:fill="auto"/>
            <w:vAlign w:val="center"/>
          </w:tcPr>
          <w:p w14:paraId="1750CDBE" w14:textId="77777777" w:rsidR="00D45C54" w:rsidRDefault="003E0392">
            <w:pPr>
              <w:pStyle w:val="afff0"/>
            </w:pPr>
            <w:r>
              <w:t xml:space="preserve">Diarrhoea, abdominal pain, oropharyngeal pain, vomiting, nausea, toothache, stomatitis </w:t>
            </w:r>
          </w:p>
        </w:tc>
      </w:tr>
      <w:tr w:rsidR="00D45C54" w14:paraId="27944358" w14:textId="77777777">
        <w:trPr>
          <w:jc w:val="center"/>
        </w:trPr>
        <w:tc>
          <w:tcPr>
            <w:tcW w:w="1843" w:type="dxa"/>
            <w:shd w:val="clear" w:color="auto" w:fill="auto"/>
            <w:vAlign w:val="center"/>
          </w:tcPr>
          <w:p w14:paraId="7F136969" w14:textId="77777777" w:rsidR="00D45C54" w:rsidRDefault="003E0392">
            <w:pPr>
              <w:pStyle w:val="afff0"/>
            </w:pPr>
            <w:r>
              <w:t xml:space="preserve">Common </w:t>
            </w:r>
          </w:p>
        </w:tc>
        <w:tc>
          <w:tcPr>
            <w:tcW w:w="6679" w:type="dxa"/>
            <w:shd w:val="clear" w:color="auto" w:fill="auto"/>
            <w:vAlign w:val="center"/>
          </w:tcPr>
          <w:p w14:paraId="26BFCFD1" w14:textId="77777777" w:rsidR="00D45C54" w:rsidRDefault="003E0392">
            <w:pPr>
              <w:pStyle w:val="afff0"/>
            </w:pPr>
            <w:r>
              <w:t xml:space="preserve">Abdominal distension, constipation, mouth ulceration, dry mouth, oral pain, gastroesophageal obstruction, intestinal obstruction </w:t>
            </w:r>
          </w:p>
        </w:tc>
      </w:tr>
      <w:tr w:rsidR="00D45C54" w14:paraId="1A8D8B4B" w14:textId="77777777">
        <w:trPr>
          <w:jc w:val="center"/>
        </w:trPr>
        <w:tc>
          <w:tcPr>
            <w:tcW w:w="1843" w:type="dxa"/>
            <w:shd w:val="clear" w:color="auto" w:fill="auto"/>
            <w:vAlign w:val="center"/>
          </w:tcPr>
          <w:p w14:paraId="7DE84634" w14:textId="77777777" w:rsidR="00D45C54" w:rsidRDefault="003E0392">
            <w:pPr>
              <w:pStyle w:val="afff0"/>
            </w:pPr>
            <w:r>
              <w:t xml:space="preserve">Occasional </w:t>
            </w:r>
          </w:p>
        </w:tc>
        <w:tc>
          <w:tcPr>
            <w:tcW w:w="6679" w:type="dxa"/>
            <w:shd w:val="clear" w:color="auto" w:fill="auto"/>
            <w:vAlign w:val="center"/>
          </w:tcPr>
          <w:p w14:paraId="52DA44C8" w14:textId="77777777" w:rsidR="00D45C54" w:rsidRDefault="003E0392">
            <w:pPr>
              <w:pStyle w:val="afff0"/>
            </w:pPr>
            <w:r>
              <w:t xml:space="preserve">Gastritis, pancreatitis, enteritis, melena </w:t>
            </w:r>
          </w:p>
        </w:tc>
      </w:tr>
      <w:tr w:rsidR="00D45C54" w14:paraId="109A6298" w14:textId="77777777">
        <w:trPr>
          <w:jc w:val="center"/>
        </w:trPr>
        <w:tc>
          <w:tcPr>
            <w:tcW w:w="8522" w:type="dxa"/>
            <w:gridSpan w:val="2"/>
            <w:shd w:val="clear" w:color="auto" w:fill="E7E6E6" w:themeFill="background2"/>
          </w:tcPr>
          <w:p w14:paraId="43257F88" w14:textId="77777777" w:rsidR="00D45C54" w:rsidRDefault="003E0392">
            <w:pPr>
              <w:pStyle w:val="P68B1DB1-15747"/>
              <w:jc w:val="center"/>
            </w:pPr>
            <w:r>
              <w:t xml:space="preserve">Skin and subcutaneous tissue disorders </w:t>
            </w:r>
          </w:p>
        </w:tc>
      </w:tr>
      <w:tr w:rsidR="00D45C54" w14:paraId="24097698" w14:textId="77777777">
        <w:trPr>
          <w:jc w:val="center"/>
        </w:trPr>
        <w:tc>
          <w:tcPr>
            <w:tcW w:w="1843" w:type="dxa"/>
            <w:shd w:val="clear" w:color="auto" w:fill="auto"/>
            <w:vAlign w:val="center"/>
          </w:tcPr>
          <w:p w14:paraId="0DC52110" w14:textId="77777777" w:rsidR="00D45C54" w:rsidRDefault="003E0392">
            <w:pPr>
              <w:pStyle w:val="afff0"/>
            </w:pPr>
            <w:r>
              <w:t xml:space="preserve">Very common </w:t>
            </w:r>
          </w:p>
        </w:tc>
        <w:tc>
          <w:tcPr>
            <w:tcW w:w="6679" w:type="dxa"/>
            <w:shd w:val="clear" w:color="auto" w:fill="auto"/>
            <w:vAlign w:val="center"/>
          </w:tcPr>
          <w:p w14:paraId="5E920CFF" w14:textId="77777777" w:rsidR="00D45C54" w:rsidRDefault="003E0392">
            <w:pPr>
              <w:pStyle w:val="afff0"/>
            </w:pPr>
            <w:r>
              <w:t xml:space="preserve">Hand-foot syndrome </w:t>
            </w:r>
            <w:r>
              <w:rPr>
                <w:vertAlign w:val="superscript"/>
              </w:rPr>
              <w:t xml:space="preserve">h </w:t>
            </w:r>
          </w:p>
        </w:tc>
      </w:tr>
      <w:tr w:rsidR="00D45C54" w14:paraId="44E7F55B" w14:textId="77777777">
        <w:trPr>
          <w:jc w:val="center"/>
        </w:trPr>
        <w:tc>
          <w:tcPr>
            <w:tcW w:w="1843" w:type="dxa"/>
            <w:shd w:val="clear" w:color="auto" w:fill="auto"/>
            <w:vAlign w:val="center"/>
          </w:tcPr>
          <w:p w14:paraId="1A176489" w14:textId="77777777" w:rsidR="00D45C54" w:rsidRDefault="003E0392">
            <w:pPr>
              <w:pStyle w:val="afff0"/>
            </w:pPr>
            <w:r>
              <w:t xml:space="preserve">Common </w:t>
            </w:r>
          </w:p>
        </w:tc>
        <w:tc>
          <w:tcPr>
            <w:tcW w:w="6679" w:type="dxa"/>
            <w:shd w:val="clear" w:color="auto" w:fill="auto"/>
            <w:vAlign w:val="center"/>
          </w:tcPr>
          <w:p w14:paraId="0E78A1E8" w14:textId="77777777" w:rsidR="00D45C54" w:rsidRDefault="003E0392">
            <w:pPr>
              <w:pStyle w:val="afff0"/>
            </w:pPr>
            <w:r>
              <w:t xml:space="preserve">Rash, alopecia, pruritus, skin exfoliation, congestion under finger/toenails, hyperhidrosis </w:t>
            </w:r>
          </w:p>
        </w:tc>
      </w:tr>
      <w:tr w:rsidR="00D45C54" w14:paraId="54351503" w14:textId="77777777">
        <w:trPr>
          <w:jc w:val="center"/>
        </w:trPr>
        <w:tc>
          <w:tcPr>
            <w:tcW w:w="1843" w:type="dxa"/>
            <w:shd w:val="clear" w:color="auto" w:fill="auto"/>
            <w:vAlign w:val="center"/>
          </w:tcPr>
          <w:p w14:paraId="11BC871E" w14:textId="77777777" w:rsidR="00D45C54" w:rsidRDefault="003E0392">
            <w:pPr>
              <w:pStyle w:val="afff0"/>
            </w:pPr>
            <w:r>
              <w:t xml:space="preserve">Occasional </w:t>
            </w:r>
          </w:p>
        </w:tc>
        <w:tc>
          <w:tcPr>
            <w:tcW w:w="6679" w:type="dxa"/>
            <w:shd w:val="clear" w:color="auto" w:fill="auto"/>
            <w:vAlign w:val="center"/>
          </w:tcPr>
          <w:p w14:paraId="08984253" w14:textId="77777777" w:rsidR="00D45C54" w:rsidRDefault="003E0392">
            <w:pPr>
              <w:pStyle w:val="afff0"/>
            </w:pPr>
            <w:r>
              <w:t xml:space="preserve">Skin pain, dermatitis acneiform, pigmentation disorder, dry skin, erythema, pustular rash, seborrheic dermatitis </w:t>
            </w:r>
          </w:p>
        </w:tc>
      </w:tr>
      <w:tr w:rsidR="00D45C54" w14:paraId="76C7906C" w14:textId="77777777">
        <w:trPr>
          <w:jc w:val="center"/>
        </w:trPr>
        <w:tc>
          <w:tcPr>
            <w:tcW w:w="1843" w:type="dxa"/>
            <w:shd w:val="clear" w:color="auto" w:fill="auto"/>
            <w:vAlign w:val="center"/>
          </w:tcPr>
          <w:p w14:paraId="1373EA09" w14:textId="77777777" w:rsidR="00D45C54" w:rsidRDefault="003E0392">
            <w:pPr>
              <w:pStyle w:val="afff0"/>
            </w:pPr>
            <w:r>
              <w:lastRenderedPageBreak/>
              <w:t xml:space="preserve">Rare </w:t>
            </w:r>
          </w:p>
        </w:tc>
        <w:tc>
          <w:tcPr>
            <w:tcW w:w="6679" w:type="dxa"/>
            <w:shd w:val="clear" w:color="auto" w:fill="auto"/>
            <w:vAlign w:val="center"/>
          </w:tcPr>
          <w:p w14:paraId="60E61BDB" w14:textId="77777777" w:rsidR="00D45C54" w:rsidRDefault="003E0392">
            <w:pPr>
              <w:pStyle w:val="afff0"/>
            </w:pPr>
            <w:r>
              <w:t xml:space="preserve">Eczema, dermatitis bullous, erythema generalised, dermatitis herpetiformis, herpes simplex, blister </w:t>
            </w:r>
          </w:p>
        </w:tc>
      </w:tr>
      <w:tr w:rsidR="00D45C54" w14:paraId="52C890D0" w14:textId="77777777">
        <w:trPr>
          <w:jc w:val="center"/>
        </w:trPr>
        <w:tc>
          <w:tcPr>
            <w:tcW w:w="8522" w:type="dxa"/>
            <w:gridSpan w:val="2"/>
            <w:shd w:val="clear" w:color="auto" w:fill="E7E6E6" w:themeFill="background2"/>
          </w:tcPr>
          <w:p w14:paraId="60FC86B4" w14:textId="77777777" w:rsidR="00D45C54" w:rsidRDefault="003E0392">
            <w:pPr>
              <w:pStyle w:val="P68B1DB1-15747"/>
              <w:jc w:val="center"/>
            </w:pPr>
            <w:r>
              <w:t xml:space="preserve">Renal and urinary disorders </w:t>
            </w:r>
          </w:p>
        </w:tc>
      </w:tr>
      <w:tr w:rsidR="00D45C54" w14:paraId="0EB00402" w14:textId="77777777">
        <w:trPr>
          <w:jc w:val="center"/>
        </w:trPr>
        <w:tc>
          <w:tcPr>
            <w:tcW w:w="1843" w:type="dxa"/>
            <w:shd w:val="clear" w:color="auto" w:fill="auto"/>
            <w:vAlign w:val="center"/>
          </w:tcPr>
          <w:p w14:paraId="73686B34" w14:textId="77777777" w:rsidR="00D45C54" w:rsidRDefault="003E0392">
            <w:pPr>
              <w:pStyle w:val="afff0"/>
            </w:pPr>
            <w:r>
              <w:t xml:space="preserve">Very common </w:t>
            </w:r>
          </w:p>
        </w:tc>
        <w:tc>
          <w:tcPr>
            <w:tcW w:w="6679" w:type="dxa"/>
            <w:shd w:val="clear" w:color="auto" w:fill="auto"/>
            <w:vAlign w:val="center"/>
          </w:tcPr>
          <w:p w14:paraId="07E59C76" w14:textId="77777777" w:rsidR="00D45C54" w:rsidRDefault="003E0392">
            <w:pPr>
              <w:pStyle w:val="afff0"/>
            </w:pPr>
            <w:r>
              <w:t xml:space="preserve">Proteinuria </w:t>
            </w:r>
          </w:p>
        </w:tc>
      </w:tr>
      <w:tr w:rsidR="00D45C54" w14:paraId="56370756" w14:textId="77777777">
        <w:trPr>
          <w:jc w:val="center"/>
        </w:trPr>
        <w:tc>
          <w:tcPr>
            <w:tcW w:w="1843" w:type="dxa"/>
            <w:shd w:val="clear" w:color="auto" w:fill="auto"/>
            <w:vAlign w:val="center"/>
          </w:tcPr>
          <w:p w14:paraId="1196697E" w14:textId="77777777" w:rsidR="00D45C54" w:rsidRDefault="003E0392">
            <w:pPr>
              <w:pStyle w:val="afff0"/>
            </w:pPr>
            <w:r>
              <w:t xml:space="preserve">Common </w:t>
            </w:r>
          </w:p>
        </w:tc>
        <w:tc>
          <w:tcPr>
            <w:tcW w:w="6679" w:type="dxa"/>
            <w:shd w:val="clear" w:color="auto" w:fill="auto"/>
            <w:vAlign w:val="center"/>
          </w:tcPr>
          <w:p w14:paraId="5259B30E" w14:textId="77777777" w:rsidR="00D45C54" w:rsidRDefault="003E0392">
            <w:pPr>
              <w:pStyle w:val="afff0"/>
            </w:pPr>
            <w:r>
              <w:t xml:space="preserve">Urinary tract infection </w:t>
            </w:r>
          </w:p>
        </w:tc>
      </w:tr>
      <w:tr w:rsidR="00D45C54" w14:paraId="5191CB62" w14:textId="77777777">
        <w:trPr>
          <w:jc w:val="center"/>
        </w:trPr>
        <w:tc>
          <w:tcPr>
            <w:tcW w:w="8522" w:type="dxa"/>
            <w:gridSpan w:val="2"/>
            <w:shd w:val="clear" w:color="auto" w:fill="E7E6E6" w:themeFill="background2"/>
          </w:tcPr>
          <w:p w14:paraId="1821539F" w14:textId="77777777" w:rsidR="00D45C54" w:rsidRDefault="003E0392">
            <w:pPr>
              <w:pStyle w:val="P68B1DB1-15747"/>
              <w:jc w:val="center"/>
            </w:pPr>
            <w:r>
              <w:t xml:space="preserve">Metabolism and nutrition disorders </w:t>
            </w:r>
          </w:p>
        </w:tc>
      </w:tr>
      <w:tr w:rsidR="00D45C54" w14:paraId="396229AB" w14:textId="77777777">
        <w:trPr>
          <w:jc w:val="center"/>
        </w:trPr>
        <w:tc>
          <w:tcPr>
            <w:tcW w:w="1843" w:type="dxa"/>
            <w:shd w:val="clear" w:color="auto" w:fill="auto"/>
            <w:vAlign w:val="center"/>
          </w:tcPr>
          <w:p w14:paraId="61345986" w14:textId="77777777" w:rsidR="00D45C54" w:rsidRDefault="003E0392">
            <w:pPr>
              <w:pStyle w:val="afff0"/>
            </w:pPr>
            <w:r>
              <w:t xml:space="preserve">Very common </w:t>
            </w:r>
          </w:p>
        </w:tc>
        <w:tc>
          <w:tcPr>
            <w:tcW w:w="6679" w:type="dxa"/>
            <w:shd w:val="clear" w:color="auto" w:fill="auto"/>
            <w:vAlign w:val="center"/>
          </w:tcPr>
          <w:p w14:paraId="305B4B3D" w14:textId="77777777" w:rsidR="00D45C54" w:rsidRDefault="003E0392">
            <w:pPr>
              <w:pStyle w:val="afff0"/>
            </w:pPr>
            <w:r>
              <w:t xml:space="preserve">Hypertriglyceridemia, decreased appetite, hypercholesterolemia, hyperglycemia, hyponatremia, hypoalbuminemia </w:t>
            </w:r>
          </w:p>
        </w:tc>
      </w:tr>
      <w:tr w:rsidR="00D45C54" w14:paraId="28D7984A" w14:textId="77777777">
        <w:trPr>
          <w:jc w:val="center"/>
        </w:trPr>
        <w:tc>
          <w:tcPr>
            <w:tcW w:w="1843" w:type="dxa"/>
            <w:shd w:val="clear" w:color="auto" w:fill="auto"/>
            <w:vAlign w:val="center"/>
          </w:tcPr>
          <w:p w14:paraId="05E55C0B" w14:textId="77777777" w:rsidR="00D45C54" w:rsidRDefault="003E0392">
            <w:pPr>
              <w:pStyle w:val="afff0"/>
            </w:pPr>
            <w:r>
              <w:t xml:space="preserve">Common </w:t>
            </w:r>
          </w:p>
        </w:tc>
        <w:tc>
          <w:tcPr>
            <w:tcW w:w="6679" w:type="dxa"/>
            <w:shd w:val="clear" w:color="auto" w:fill="auto"/>
            <w:vAlign w:val="center"/>
          </w:tcPr>
          <w:p w14:paraId="4B08BA15" w14:textId="77777777" w:rsidR="00D45C54" w:rsidRDefault="003E0392">
            <w:pPr>
              <w:pStyle w:val="afff0"/>
            </w:pPr>
            <w:r>
              <w:t xml:space="preserve">Hypokalemia, hypophosphatemia, hypocalcemia, hyperuricemia, hypomagnesemia </w:t>
            </w:r>
          </w:p>
        </w:tc>
      </w:tr>
      <w:tr w:rsidR="00D45C54" w14:paraId="210B0025" w14:textId="77777777">
        <w:trPr>
          <w:jc w:val="center"/>
        </w:trPr>
        <w:tc>
          <w:tcPr>
            <w:tcW w:w="8522" w:type="dxa"/>
            <w:gridSpan w:val="2"/>
            <w:shd w:val="clear" w:color="auto" w:fill="E7E6E6" w:themeFill="background2"/>
          </w:tcPr>
          <w:p w14:paraId="71FA0E7F" w14:textId="77777777" w:rsidR="00D45C54" w:rsidRDefault="003E0392">
            <w:pPr>
              <w:pStyle w:val="P68B1DB1-15747"/>
              <w:jc w:val="center"/>
            </w:pPr>
            <w:r>
              <w:t xml:space="preserve">Respiratory, thoracic and mediastinal disorders </w:t>
            </w:r>
          </w:p>
        </w:tc>
      </w:tr>
      <w:tr w:rsidR="00D45C54" w14:paraId="0FAB8996" w14:textId="77777777">
        <w:trPr>
          <w:jc w:val="center"/>
        </w:trPr>
        <w:tc>
          <w:tcPr>
            <w:tcW w:w="1843" w:type="dxa"/>
            <w:shd w:val="clear" w:color="auto" w:fill="auto"/>
            <w:vAlign w:val="center"/>
          </w:tcPr>
          <w:p w14:paraId="3E115565" w14:textId="77777777" w:rsidR="00D45C54" w:rsidRDefault="003E0392">
            <w:pPr>
              <w:pStyle w:val="afff0"/>
            </w:pPr>
            <w:r>
              <w:t xml:space="preserve">Very common </w:t>
            </w:r>
          </w:p>
        </w:tc>
        <w:tc>
          <w:tcPr>
            <w:tcW w:w="6679" w:type="dxa"/>
            <w:shd w:val="clear" w:color="auto" w:fill="auto"/>
            <w:vAlign w:val="center"/>
          </w:tcPr>
          <w:p w14:paraId="3A05E83F" w14:textId="77777777" w:rsidR="00D45C54" w:rsidRDefault="003E0392">
            <w:pPr>
              <w:pStyle w:val="afff0"/>
            </w:pPr>
            <w:r>
              <w:t xml:space="preserve">Dysphonia, cough </w:t>
            </w:r>
          </w:p>
        </w:tc>
      </w:tr>
      <w:tr w:rsidR="00D45C54" w14:paraId="4418307F" w14:textId="77777777">
        <w:trPr>
          <w:jc w:val="center"/>
        </w:trPr>
        <w:tc>
          <w:tcPr>
            <w:tcW w:w="1843" w:type="dxa"/>
            <w:shd w:val="clear" w:color="auto" w:fill="auto"/>
            <w:vAlign w:val="center"/>
          </w:tcPr>
          <w:p w14:paraId="42CA0B05" w14:textId="77777777" w:rsidR="00D45C54" w:rsidRDefault="003E0392">
            <w:pPr>
              <w:pStyle w:val="afff0"/>
            </w:pPr>
            <w:r>
              <w:t xml:space="preserve">Common </w:t>
            </w:r>
          </w:p>
        </w:tc>
        <w:tc>
          <w:tcPr>
            <w:tcW w:w="6679" w:type="dxa"/>
            <w:shd w:val="clear" w:color="auto" w:fill="auto"/>
            <w:vAlign w:val="center"/>
          </w:tcPr>
          <w:p w14:paraId="5C159C40" w14:textId="77777777" w:rsidR="00D45C54" w:rsidRDefault="003E0392">
            <w:pPr>
              <w:pStyle w:val="afff0"/>
            </w:pPr>
            <w:r>
              <w:t xml:space="preserve">Dyspnoea, upper respiratory tract infection, epistaxis, lung infection, pneumothorax, pleural effusion </w:t>
            </w:r>
          </w:p>
        </w:tc>
      </w:tr>
      <w:tr w:rsidR="00D45C54" w14:paraId="6589E990" w14:textId="77777777">
        <w:trPr>
          <w:jc w:val="center"/>
        </w:trPr>
        <w:tc>
          <w:tcPr>
            <w:tcW w:w="1843" w:type="dxa"/>
            <w:shd w:val="clear" w:color="auto" w:fill="auto"/>
            <w:vAlign w:val="center"/>
          </w:tcPr>
          <w:p w14:paraId="6F094B88" w14:textId="77777777" w:rsidR="00D45C54" w:rsidRDefault="003E0392">
            <w:pPr>
              <w:pStyle w:val="afff0"/>
            </w:pPr>
            <w:r>
              <w:t xml:space="preserve">Occasional </w:t>
            </w:r>
          </w:p>
        </w:tc>
        <w:tc>
          <w:tcPr>
            <w:tcW w:w="6679" w:type="dxa"/>
            <w:shd w:val="clear" w:color="auto" w:fill="auto"/>
            <w:vAlign w:val="center"/>
          </w:tcPr>
          <w:p w14:paraId="52A3809D" w14:textId="77777777" w:rsidR="00D45C54" w:rsidRDefault="003E0392">
            <w:pPr>
              <w:pStyle w:val="afff0"/>
            </w:pPr>
            <w:r>
              <w:t xml:space="preserve">Interstitial lung disease </w:t>
            </w:r>
          </w:p>
        </w:tc>
      </w:tr>
      <w:tr w:rsidR="00D45C54" w14:paraId="79237810" w14:textId="77777777">
        <w:trPr>
          <w:jc w:val="center"/>
        </w:trPr>
        <w:tc>
          <w:tcPr>
            <w:tcW w:w="8522" w:type="dxa"/>
            <w:gridSpan w:val="2"/>
            <w:shd w:val="clear" w:color="auto" w:fill="E7E6E6" w:themeFill="background2"/>
            <w:vAlign w:val="center"/>
          </w:tcPr>
          <w:p w14:paraId="76D2340B" w14:textId="77777777" w:rsidR="00D45C54" w:rsidRDefault="003E0392">
            <w:pPr>
              <w:pStyle w:val="P68B1DB1-15747"/>
              <w:jc w:val="center"/>
            </w:pPr>
            <w:r>
              <w:t xml:space="preserve">Blood and lymphatic system disorders </w:t>
            </w:r>
          </w:p>
        </w:tc>
      </w:tr>
      <w:tr w:rsidR="00D45C54" w14:paraId="14053F4B" w14:textId="77777777">
        <w:trPr>
          <w:jc w:val="center"/>
        </w:trPr>
        <w:tc>
          <w:tcPr>
            <w:tcW w:w="1843" w:type="dxa"/>
            <w:shd w:val="clear" w:color="auto" w:fill="auto"/>
            <w:vAlign w:val="center"/>
          </w:tcPr>
          <w:p w14:paraId="60C1F792" w14:textId="77777777" w:rsidR="00D45C54" w:rsidRDefault="003E0392">
            <w:pPr>
              <w:pStyle w:val="afff0"/>
            </w:pPr>
            <w:r>
              <w:t xml:space="preserve">Very common </w:t>
            </w:r>
          </w:p>
        </w:tc>
        <w:tc>
          <w:tcPr>
            <w:tcW w:w="6679" w:type="dxa"/>
            <w:shd w:val="clear" w:color="auto" w:fill="auto"/>
            <w:vAlign w:val="center"/>
          </w:tcPr>
          <w:p w14:paraId="0C437C53" w14:textId="77777777" w:rsidR="00D45C54" w:rsidRDefault="003E0392">
            <w:pPr>
              <w:pStyle w:val="afff0"/>
            </w:pPr>
            <w:r>
              <w:t xml:space="preserve">White blood cell count decreased, platelet count decreased, anaemia, neutrophil count decreased </w:t>
            </w:r>
          </w:p>
        </w:tc>
      </w:tr>
      <w:tr w:rsidR="00D45C54" w14:paraId="467D6C1F" w14:textId="77777777">
        <w:trPr>
          <w:jc w:val="center"/>
        </w:trPr>
        <w:tc>
          <w:tcPr>
            <w:tcW w:w="1843" w:type="dxa"/>
            <w:shd w:val="clear" w:color="auto" w:fill="auto"/>
            <w:vAlign w:val="center"/>
          </w:tcPr>
          <w:p w14:paraId="2859CA22" w14:textId="77777777" w:rsidR="00D45C54" w:rsidRDefault="003E0392">
            <w:pPr>
              <w:pStyle w:val="afff0"/>
            </w:pPr>
            <w:r>
              <w:t xml:space="preserve">Common </w:t>
            </w:r>
          </w:p>
        </w:tc>
        <w:tc>
          <w:tcPr>
            <w:tcW w:w="6679" w:type="dxa"/>
            <w:shd w:val="clear" w:color="auto" w:fill="auto"/>
            <w:vAlign w:val="center"/>
          </w:tcPr>
          <w:p w14:paraId="17AC426F" w14:textId="77777777" w:rsidR="00D45C54" w:rsidRDefault="003E0392">
            <w:pPr>
              <w:pStyle w:val="afff0"/>
            </w:pPr>
            <w:r>
              <w:t xml:space="preserve">Lymphocyte count decreased </w:t>
            </w:r>
          </w:p>
        </w:tc>
      </w:tr>
      <w:tr w:rsidR="00D45C54" w14:paraId="5D9D5F40" w14:textId="77777777">
        <w:trPr>
          <w:jc w:val="center"/>
        </w:trPr>
        <w:tc>
          <w:tcPr>
            <w:tcW w:w="1843" w:type="dxa"/>
            <w:shd w:val="clear" w:color="auto" w:fill="auto"/>
            <w:vAlign w:val="center"/>
          </w:tcPr>
          <w:p w14:paraId="54A9CC42" w14:textId="77777777" w:rsidR="00D45C54" w:rsidRDefault="003E0392">
            <w:pPr>
              <w:pStyle w:val="afff0"/>
            </w:pPr>
            <w:r>
              <w:t xml:space="preserve">Rare </w:t>
            </w:r>
          </w:p>
        </w:tc>
        <w:tc>
          <w:tcPr>
            <w:tcW w:w="6679" w:type="dxa"/>
            <w:shd w:val="clear" w:color="auto" w:fill="auto"/>
            <w:vAlign w:val="center"/>
          </w:tcPr>
          <w:p w14:paraId="110DE881" w14:textId="77777777" w:rsidR="00D45C54" w:rsidRDefault="003E0392">
            <w:pPr>
              <w:pStyle w:val="afff0"/>
            </w:pPr>
            <w:r>
              <w:t xml:space="preserve">Increased eosinophil count </w:t>
            </w:r>
          </w:p>
        </w:tc>
      </w:tr>
      <w:tr w:rsidR="00D45C54" w14:paraId="574E2C6C" w14:textId="77777777">
        <w:trPr>
          <w:jc w:val="center"/>
        </w:trPr>
        <w:tc>
          <w:tcPr>
            <w:tcW w:w="8522" w:type="dxa"/>
            <w:gridSpan w:val="2"/>
            <w:shd w:val="clear" w:color="auto" w:fill="E7E6E6" w:themeFill="background2"/>
            <w:vAlign w:val="center"/>
          </w:tcPr>
          <w:p w14:paraId="795BF18A" w14:textId="77777777" w:rsidR="00D45C54" w:rsidRDefault="003E0392">
            <w:pPr>
              <w:pStyle w:val="P68B1DB1-15747"/>
              <w:jc w:val="center"/>
            </w:pPr>
            <w:r>
              <w:t xml:space="preserve">Musculoskeletal and connective tissue disorders </w:t>
            </w:r>
          </w:p>
        </w:tc>
      </w:tr>
      <w:tr w:rsidR="00D45C54" w14:paraId="089F3C15" w14:textId="77777777">
        <w:trPr>
          <w:jc w:val="center"/>
        </w:trPr>
        <w:tc>
          <w:tcPr>
            <w:tcW w:w="1843" w:type="dxa"/>
            <w:shd w:val="clear" w:color="auto" w:fill="auto"/>
            <w:vAlign w:val="center"/>
          </w:tcPr>
          <w:p w14:paraId="6D0B1DA6" w14:textId="77777777" w:rsidR="00D45C54" w:rsidRDefault="003E0392">
            <w:pPr>
              <w:pStyle w:val="afff0"/>
            </w:pPr>
            <w:r>
              <w:t xml:space="preserve">Very common </w:t>
            </w:r>
          </w:p>
        </w:tc>
        <w:tc>
          <w:tcPr>
            <w:tcW w:w="6679" w:type="dxa"/>
            <w:shd w:val="clear" w:color="auto" w:fill="auto"/>
            <w:vAlign w:val="center"/>
          </w:tcPr>
          <w:p w14:paraId="5E7D5127" w14:textId="358BBF8C" w:rsidR="00D45C54" w:rsidRDefault="003E0392">
            <w:pPr>
              <w:pStyle w:val="afff0"/>
            </w:pPr>
            <w:r>
              <w:t xml:space="preserve">Musculoskeletal pain </w:t>
            </w:r>
            <w:r w:rsidR="008D597B">
              <w:rPr>
                <w:vertAlign w:val="superscript"/>
              </w:rPr>
              <w:t xml:space="preserve">i </w:t>
            </w:r>
          </w:p>
        </w:tc>
      </w:tr>
      <w:tr w:rsidR="00D45C54" w14:paraId="77D1F54F" w14:textId="77777777">
        <w:trPr>
          <w:jc w:val="center"/>
        </w:trPr>
        <w:tc>
          <w:tcPr>
            <w:tcW w:w="1843" w:type="dxa"/>
            <w:shd w:val="clear" w:color="auto" w:fill="auto"/>
            <w:vAlign w:val="center"/>
          </w:tcPr>
          <w:p w14:paraId="5FD0AF38" w14:textId="77777777" w:rsidR="00D45C54" w:rsidRDefault="003E0392">
            <w:pPr>
              <w:pStyle w:val="afff0"/>
            </w:pPr>
            <w:r>
              <w:t xml:space="preserve">Common </w:t>
            </w:r>
          </w:p>
        </w:tc>
        <w:tc>
          <w:tcPr>
            <w:tcW w:w="6679" w:type="dxa"/>
            <w:shd w:val="clear" w:color="auto" w:fill="auto"/>
            <w:vAlign w:val="center"/>
          </w:tcPr>
          <w:p w14:paraId="63DEDD05" w14:textId="77777777" w:rsidR="00D45C54" w:rsidRDefault="003E0392">
            <w:pPr>
              <w:pStyle w:val="afff0"/>
            </w:pPr>
            <w:r>
              <w:t xml:space="preserve">Arthralgia </w:t>
            </w:r>
          </w:p>
        </w:tc>
      </w:tr>
      <w:tr w:rsidR="00D45C54" w14:paraId="03CA89A2" w14:textId="77777777">
        <w:trPr>
          <w:jc w:val="center"/>
        </w:trPr>
        <w:tc>
          <w:tcPr>
            <w:tcW w:w="8522" w:type="dxa"/>
            <w:gridSpan w:val="2"/>
            <w:shd w:val="clear" w:color="auto" w:fill="E7E6E6" w:themeFill="background2"/>
            <w:vAlign w:val="center"/>
          </w:tcPr>
          <w:p w14:paraId="4CBCD880" w14:textId="77777777" w:rsidR="00D45C54" w:rsidRDefault="003E0392">
            <w:pPr>
              <w:pStyle w:val="P68B1DB1-15747"/>
              <w:jc w:val="center"/>
            </w:pPr>
            <w:r>
              <w:t xml:space="preserve">Endocrine disorders </w:t>
            </w:r>
          </w:p>
        </w:tc>
      </w:tr>
      <w:tr w:rsidR="00D45C54" w14:paraId="12118E72" w14:textId="77777777">
        <w:trPr>
          <w:jc w:val="center"/>
        </w:trPr>
        <w:tc>
          <w:tcPr>
            <w:tcW w:w="1843" w:type="dxa"/>
            <w:shd w:val="clear" w:color="auto" w:fill="auto"/>
            <w:vAlign w:val="center"/>
          </w:tcPr>
          <w:p w14:paraId="0C0ECB3F" w14:textId="77777777" w:rsidR="00D45C54" w:rsidRDefault="003E0392">
            <w:pPr>
              <w:pStyle w:val="afff0"/>
            </w:pPr>
            <w:r>
              <w:t xml:space="preserve">Very common </w:t>
            </w:r>
          </w:p>
        </w:tc>
        <w:tc>
          <w:tcPr>
            <w:tcW w:w="6679" w:type="dxa"/>
            <w:shd w:val="clear" w:color="auto" w:fill="auto"/>
            <w:vAlign w:val="center"/>
          </w:tcPr>
          <w:p w14:paraId="2E97D6A0" w14:textId="77777777" w:rsidR="00D45C54" w:rsidRDefault="003E0392">
            <w:pPr>
              <w:pStyle w:val="afff0"/>
            </w:pPr>
            <w:r>
              <w:t xml:space="preserve">Hypothyroidism </w:t>
            </w:r>
          </w:p>
        </w:tc>
      </w:tr>
      <w:tr w:rsidR="00D45C54" w14:paraId="322053E5" w14:textId="77777777">
        <w:trPr>
          <w:jc w:val="center"/>
        </w:trPr>
        <w:tc>
          <w:tcPr>
            <w:tcW w:w="1843" w:type="dxa"/>
            <w:shd w:val="clear" w:color="auto" w:fill="auto"/>
            <w:vAlign w:val="center"/>
          </w:tcPr>
          <w:p w14:paraId="4692687B" w14:textId="77777777" w:rsidR="00D45C54" w:rsidRDefault="003E0392">
            <w:pPr>
              <w:pStyle w:val="afff0"/>
            </w:pPr>
            <w:r>
              <w:t xml:space="preserve">Common </w:t>
            </w:r>
          </w:p>
        </w:tc>
        <w:tc>
          <w:tcPr>
            <w:tcW w:w="6679" w:type="dxa"/>
            <w:shd w:val="clear" w:color="auto" w:fill="auto"/>
            <w:vAlign w:val="center"/>
          </w:tcPr>
          <w:p w14:paraId="79BF11F1" w14:textId="77777777" w:rsidR="00D45C54" w:rsidRDefault="003E0392">
            <w:pPr>
              <w:pStyle w:val="afff0"/>
            </w:pPr>
            <w:r>
              <w:t xml:space="preserve">Hyperthyroidism </w:t>
            </w:r>
          </w:p>
        </w:tc>
      </w:tr>
      <w:tr w:rsidR="00D45C54" w14:paraId="20F011F1" w14:textId="77777777">
        <w:trPr>
          <w:jc w:val="center"/>
        </w:trPr>
        <w:tc>
          <w:tcPr>
            <w:tcW w:w="8522" w:type="dxa"/>
            <w:gridSpan w:val="2"/>
            <w:shd w:val="clear" w:color="auto" w:fill="E7E6E6" w:themeFill="background2"/>
            <w:vAlign w:val="center"/>
          </w:tcPr>
          <w:p w14:paraId="1D3F5016" w14:textId="77777777" w:rsidR="00D45C54" w:rsidRDefault="003E0392">
            <w:pPr>
              <w:pStyle w:val="P68B1DB1-15747"/>
              <w:jc w:val="center"/>
            </w:pPr>
            <w:r>
              <w:t xml:space="preserve">Mental and neurological disorders </w:t>
            </w:r>
          </w:p>
        </w:tc>
      </w:tr>
      <w:tr w:rsidR="00D45C54" w14:paraId="53B19FA2" w14:textId="77777777">
        <w:trPr>
          <w:jc w:val="center"/>
        </w:trPr>
        <w:tc>
          <w:tcPr>
            <w:tcW w:w="1843" w:type="dxa"/>
            <w:shd w:val="clear" w:color="auto" w:fill="auto"/>
            <w:vAlign w:val="center"/>
          </w:tcPr>
          <w:p w14:paraId="34ED1C00" w14:textId="77777777" w:rsidR="00D45C54" w:rsidRDefault="003E0392">
            <w:pPr>
              <w:pStyle w:val="afff0"/>
            </w:pPr>
            <w:r>
              <w:t xml:space="preserve">Common </w:t>
            </w:r>
          </w:p>
        </w:tc>
        <w:tc>
          <w:tcPr>
            <w:tcW w:w="6679" w:type="dxa"/>
            <w:shd w:val="clear" w:color="auto" w:fill="auto"/>
            <w:vAlign w:val="center"/>
          </w:tcPr>
          <w:p w14:paraId="0757F07D" w14:textId="77777777" w:rsidR="00D45C54" w:rsidRDefault="003E0392">
            <w:pPr>
              <w:pStyle w:val="afff0"/>
            </w:pPr>
            <w:r>
              <w:t xml:space="preserve">Headache, dizziness, insomnia, hypoesthesia </w:t>
            </w:r>
          </w:p>
        </w:tc>
      </w:tr>
      <w:tr w:rsidR="00D45C54" w14:paraId="76DAD00F" w14:textId="77777777">
        <w:trPr>
          <w:jc w:val="center"/>
        </w:trPr>
        <w:tc>
          <w:tcPr>
            <w:tcW w:w="1843" w:type="dxa"/>
            <w:shd w:val="clear" w:color="auto" w:fill="auto"/>
            <w:vAlign w:val="center"/>
          </w:tcPr>
          <w:p w14:paraId="6045FAD7" w14:textId="77777777" w:rsidR="00D45C54" w:rsidRDefault="003E0392">
            <w:pPr>
              <w:pStyle w:val="afff0"/>
            </w:pPr>
            <w:r>
              <w:t xml:space="preserve">Occasional </w:t>
            </w:r>
          </w:p>
        </w:tc>
        <w:tc>
          <w:tcPr>
            <w:tcW w:w="6679" w:type="dxa"/>
            <w:shd w:val="clear" w:color="auto" w:fill="auto"/>
            <w:vAlign w:val="center"/>
          </w:tcPr>
          <w:p w14:paraId="77B50702" w14:textId="4D4040D7" w:rsidR="00D45C54" w:rsidRDefault="003E0392">
            <w:pPr>
              <w:pStyle w:val="afff0"/>
            </w:pPr>
            <w:r>
              <w:t xml:space="preserve">Paraesthesia, somnolence, vertigo, hypoaesthesia oral, seizure </w:t>
            </w:r>
            <w:r w:rsidR="008D597B">
              <w:rPr>
                <w:vertAlign w:val="superscript"/>
              </w:rPr>
              <w:t xml:space="preserve">j </w:t>
            </w:r>
            <w:r>
              <w:t xml:space="preserve">, dysgeusia </w:t>
            </w:r>
          </w:p>
        </w:tc>
      </w:tr>
      <w:tr w:rsidR="00D45C54" w14:paraId="3EC91E0A" w14:textId="77777777">
        <w:trPr>
          <w:jc w:val="center"/>
        </w:trPr>
        <w:tc>
          <w:tcPr>
            <w:tcW w:w="8522" w:type="dxa"/>
            <w:gridSpan w:val="2"/>
            <w:shd w:val="clear" w:color="auto" w:fill="E7E6E6" w:themeFill="background2"/>
            <w:vAlign w:val="center"/>
          </w:tcPr>
          <w:p w14:paraId="436CC4DD" w14:textId="77777777" w:rsidR="00D45C54" w:rsidRDefault="003E0392">
            <w:pPr>
              <w:pStyle w:val="P68B1DB1-15747"/>
              <w:jc w:val="center"/>
            </w:pPr>
            <w:r>
              <w:t xml:space="preserve">Eye disorders </w:t>
            </w:r>
          </w:p>
        </w:tc>
      </w:tr>
      <w:tr w:rsidR="00D45C54" w14:paraId="2CE9321B" w14:textId="77777777">
        <w:trPr>
          <w:jc w:val="center"/>
        </w:trPr>
        <w:tc>
          <w:tcPr>
            <w:tcW w:w="1843" w:type="dxa"/>
            <w:shd w:val="clear" w:color="auto" w:fill="auto"/>
            <w:vAlign w:val="center"/>
          </w:tcPr>
          <w:p w14:paraId="4492319C" w14:textId="77777777" w:rsidR="00D45C54" w:rsidRDefault="003E0392">
            <w:pPr>
              <w:pStyle w:val="afff0"/>
            </w:pPr>
            <w:r>
              <w:t xml:space="preserve">Occasional </w:t>
            </w:r>
          </w:p>
        </w:tc>
        <w:tc>
          <w:tcPr>
            <w:tcW w:w="6679" w:type="dxa"/>
            <w:shd w:val="clear" w:color="auto" w:fill="auto"/>
            <w:vAlign w:val="center"/>
          </w:tcPr>
          <w:p w14:paraId="37860E8E" w14:textId="77777777" w:rsidR="00D45C54" w:rsidRDefault="003E0392">
            <w:pPr>
              <w:pStyle w:val="afff0"/>
            </w:pPr>
            <w:r>
              <w:t xml:space="preserve">Blurred vision, dry eye </w:t>
            </w:r>
          </w:p>
        </w:tc>
      </w:tr>
      <w:tr w:rsidR="00D45C54" w14:paraId="2CA82C38" w14:textId="77777777">
        <w:trPr>
          <w:jc w:val="center"/>
        </w:trPr>
        <w:tc>
          <w:tcPr>
            <w:tcW w:w="8522" w:type="dxa"/>
            <w:gridSpan w:val="2"/>
            <w:shd w:val="clear" w:color="auto" w:fill="E7E6E6" w:themeFill="background2"/>
            <w:vAlign w:val="center"/>
          </w:tcPr>
          <w:p w14:paraId="09340B75" w14:textId="77777777" w:rsidR="00D45C54" w:rsidRDefault="003E0392">
            <w:pPr>
              <w:pStyle w:val="P68B1DB1-15747"/>
              <w:jc w:val="center"/>
            </w:pPr>
            <w:r>
              <w:t xml:space="preserve">Hepatobiliary disorders </w:t>
            </w:r>
          </w:p>
        </w:tc>
      </w:tr>
      <w:tr w:rsidR="00D45C54" w14:paraId="7AB1C28E" w14:textId="77777777">
        <w:trPr>
          <w:jc w:val="center"/>
        </w:trPr>
        <w:tc>
          <w:tcPr>
            <w:tcW w:w="1843" w:type="dxa"/>
            <w:shd w:val="clear" w:color="auto" w:fill="auto"/>
            <w:vAlign w:val="center"/>
          </w:tcPr>
          <w:p w14:paraId="4AB53A55" w14:textId="77777777" w:rsidR="00D45C54" w:rsidRDefault="003E0392">
            <w:pPr>
              <w:pStyle w:val="afff0"/>
            </w:pPr>
            <w:r>
              <w:t xml:space="preserve">Common </w:t>
            </w:r>
          </w:p>
        </w:tc>
        <w:tc>
          <w:tcPr>
            <w:tcW w:w="6679" w:type="dxa"/>
            <w:shd w:val="clear" w:color="auto" w:fill="auto"/>
            <w:vAlign w:val="center"/>
          </w:tcPr>
          <w:p w14:paraId="258BAE7D" w14:textId="77777777" w:rsidR="00D45C54" w:rsidRDefault="003E0392">
            <w:pPr>
              <w:pStyle w:val="afff0"/>
            </w:pPr>
            <w:r>
              <w:t xml:space="preserve">Hyperbilirubinemia </w:t>
            </w:r>
          </w:p>
        </w:tc>
      </w:tr>
      <w:tr w:rsidR="00D45C54" w14:paraId="29A19C13" w14:textId="77777777">
        <w:trPr>
          <w:jc w:val="center"/>
        </w:trPr>
        <w:tc>
          <w:tcPr>
            <w:tcW w:w="1843" w:type="dxa"/>
            <w:shd w:val="clear" w:color="auto" w:fill="auto"/>
            <w:vAlign w:val="center"/>
          </w:tcPr>
          <w:p w14:paraId="1081B6ED" w14:textId="77777777" w:rsidR="00D45C54" w:rsidRDefault="003E0392">
            <w:pPr>
              <w:pStyle w:val="afff0"/>
            </w:pPr>
            <w:r>
              <w:lastRenderedPageBreak/>
              <w:t xml:space="preserve">Occasional </w:t>
            </w:r>
          </w:p>
        </w:tc>
        <w:tc>
          <w:tcPr>
            <w:tcW w:w="6679" w:type="dxa"/>
            <w:shd w:val="clear" w:color="auto" w:fill="auto"/>
            <w:vAlign w:val="center"/>
          </w:tcPr>
          <w:p w14:paraId="5B5366F5" w14:textId="77777777" w:rsidR="00D45C54" w:rsidRDefault="003E0392">
            <w:pPr>
              <w:pStyle w:val="afff0"/>
            </w:pPr>
            <w:r>
              <w:t xml:space="preserve">Cholecystitis, jaundice </w:t>
            </w:r>
          </w:p>
        </w:tc>
      </w:tr>
      <w:tr w:rsidR="00D45C54" w14:paraId="7C6E7E50" w14:textId="77777777">
        <w:trPr>
          <w:jc w:val="center"/>
        </w:trPr>
        <w:tc>
          <w:tcPr>
            <w:tcW w:w="1843" w:type="dxa"/>
            <w:shd w:val="clear" w:color="auto" w:fill="auto"/>
            <w:vAlign w:val="center"/>
          </w:tcPr>
          <w:p w14:paraId="37ED3AED" w14:textId="77777777" w:rsidR="00D45C54" w:rsidRDefault="003E0392">
            <w:pPr>
              <w:pStyle w:val="afff0"/>
            </w:pPr>
            <w:r>
              <w:t xml:space="preserve">Rare </w:t>
            </w:r>
          </w:p>
        </w:tc>
        <w:tc>
          <w:tcPr>
            <w:tcW w:w="6679" w:type="dxa"/>
            <w:shd w:val="clear" w:color="auto" w:fill="auto"/>
            <w:vAlign w:val="center"/>
          </w:tcPr>
          <w:p w14:paraId="22FA6E84" w14:textId="77777777" w:rsidR="00D45C54" w:rsidRDefault="003E0392">
            <w:pPr>
              <w:pStyle w:val="afff0"/>
            </w:pPr>
            <w:r>
              <w:t xml:space="preserve">Hepatic failure </w:t>
            </w:r>
          </w:p>
        </w:tc>
      </w:tr>
      <w:tr w:rsidR="00D45C54" w14:paraId="70AAF795" w14:textId="77777777">
        <w:trPr>
          <w:jc w:val="center"/>
        </w:trPr>
        <w:tc>
          <w:tcPr>
            <w:tcW w:w="8522" w:type="dxa"/>
            <w:gridSpan w:val="2"/>
            <w:shd w:val="clear" w:color="auto" w:fill="E7E6E6" w:themeFill="background2"/>
            <w:vAlign w:val="center"/>
          </w:tcPr>
          <w:p w14:paraId="35F0C464" w14:textId="77777777" w:rsidR="00D45C54" w:rsidRDefault="003E0392">
            <w:pPr>
              <w:pStyle w:val="P68B1DB1-15747"/>
              <w:jc w:val="center"/>
            </w:pPr>
            <w:r>
              <w:t xml:space="preserve">Ear and vagus </w:t>
            </w:r>
            <w:r>
              <w:rPr>
                <w:rFonts w:hint="eastAsia"/>
              </w:rPr>
              <w:t xml:space="preserve">Go </w:t>
            </w:r>
            <w:r>
              <w:t xml:space="preserve">Disease </w:t>
            </w:r>
          </w:p>
        </w:tc>
      </w:tr>
      <w:tr w:rsidR="00D45C54" w14:paraId="5CFF13E5" w14:textId="77777777">
        <w:trPr>
          <w:jc w:val="center"/>
        </w:trPr>
        <w:tc>
          <w:tcPr>
            <w:tcW w:w="1843" w:type="dxa"/>
            <w:shd w:val="clear" w:color="auto" w:fill="auto"/>
            <w:vAlign w:val="center"/>
          </w:tcPr>
          <w:p w14:paraId="69E9055D" w14:textId="77777777" w:rsidR="00D45C54" w:rsidRDefault="003E0392">
            <w:pPr>
              <w:pStyle w:val="afff0"/>
            </w:pPr>
            <w:r>
              <w:t xml:space="preserve">Common </w:t>
            </w:r>
          </w:p>
        </w:tc>
        <w:tc>
          <w:tcPr>
            <w:tcW w:w="6679" w:type="dxa"/>
            <w:shd w:val="clear" w:color="auto" w:fill="auto"/>
            <w:vAlign w:val="center"/>
          </w:tcPr>
          <w:p w14:paraId="2B7FB2E7" w14:textId="77777777" w:rsidR="00D45C54" w:rsidRDefault="003E0392">
            <w:pPr>
              <w:pStyle w:val="afff0"/>
            </w:pPr>
            <w:r>
              <w:t xml:space="preserve">Tinnitus </w:t>
            </w:r>
          </w:p>
        </w:tc>
      </w:tr>
      <w:tr w:rsidR="00D45C54" w14:paraId="7EEDC26B" w14:textId="77777777">
        <w:trPr>
          <w:jc w:val="center"/>
        </w:trPr>
        <w:tc>
          <w:tcPr>
            <w:tcW w:w="8522" w:type="dxa"/>
            <w:gridSpan w:val="2"/>
            <w:shd w:val="clear" w:color="auto" w:fill="E7E6E6" w:themeFill="background2"/>
            <w:vAlign w:val="center"/>
          </w:tcPr>
          <w:p w14:paraId="40AB1913" w14:textId="77777777" w:rsidR="00D45C54" w:rsidRDefault="003E0392">
            <w:pPr>
              <w:pStyle w:val="P68B1DB1-15747"/>
              <w:jc w:val="center"/>
            </w:pPr>
            <w:r>
              <w:t xml:space="preserve">Investigations </w:t>
            </w:r>
          </w:p>
        </w:tc>
      </w:tr>
      <w:tr w:rsidR="00D45C54" w14:paraId="345133CA" w14:textId="77777777">
        <w:trPr>
          <w:jc w:val="center"/>
        </w:trPr>
        <w:tc>
          <w:tcPr>
            <w:tcW w:w="1843" w:type="dxa"/>
            <w:shd w:val="clear" w:color="auto" w:fill="auto"/>
            <w:vAlign w:val="center"/>
          </w:tcPr>
          <w:p w14:paraId="02487EE2" w14:textId="77777777" w:rsidR="00D45C54" w:rsidRDefault="003E0392">
            <w:pPr>
              <w:pStyle w:val="afff0"/>
            </w:pPr>
            <w:r>
              <w:t xml:space="preserve">Very common </w:t>
            </w:r>
          </w:p>
        </w:tc>
        <w:tc>
          <w:tcPr>
            <w:tcW w:w="6679" w:type="dxa"/>
            <w:shd w:val="clear" w:color="auto" w:fill="auto"/>
            <w:vAlign w:val="center"/>
          </w:tcPr>
          <w:p w14:paraId="323848E4" w14:textId="77777777" w:rsidR="00D45C54" w:rsidRDefault="003E0392">
            <w:pPr>
              <w:pStyle w:val="afff0"/>
            </w:pPr>
            <w:r>
              <w:t xml:space="preserve">Blood thyroid stimulating hormone increased, aspartate aminotransferase increased, gamma-glutamyltransferase increased, blood bilirubin increased, alanine aminotransferase increased, electrocardiogram QT prolonged, low density lipoprotein increased, red blood cell urine positive, blood alkaline phosphatase increased, bilirubin conjugated increased, occult blood positive </w:t>
            </w:r>
          </w:p>
        </w:tc>
      </w:tr>
      <w:tr w:rsidR="00D45C54" w14:paraId="135C72A4" w14:textId="77777777">
        <w:trPr>
          <w:jc w:val="center"/>
        </w:trPr>
        <w:tc>
          <w:tcPr>
            <w:tcW w:w="1843" w:type="dxa"/>
            <w:shd w:val="clear" w:color="auto" w:fill="auto"/>
            <w:vAlign w:val="center"/>
          </w:tcPr>
          <w:p w14:paraId="2A3C9883" w14:textId="77777777" w:rsidR="00D45C54" w:rsidRDefault="003E0392">
            <w:pPr>
              <w:pStyle w:val="afff0"/>
            </w:pPr>
            <w:r>
              <w:t xml:space="preserve">Common </w:t>
            </w:r>
          </w:p>
        </w:tc>
        <w:tc>
          <w:tcPr>
            <w:tcW w:w="6679" w:type="dxa"/>
            <w:shd w:val="clear" w:color="auto" w:fill="auto"/>
            <w:vAlign w:val="center"/>
          </w:tcPr>
          <w:p w14:paraId="71B3A20B" w14:textId="77777777" w:rsidR="00D45C54" w:rsidRDefault="003E0392">
            <w:pPr>
              <w:pStyle w:val="afff0"/>
            </w:pPr>
            <w:r>
              <w:t xml:space="preserve">Lipase increased, Amylase increased, Blood creatinine increased, Activated partial thromboplastin time prolonged, Blood urea increased </w:t>
            </w:r>
          </w:p>
        </w:tc>
      </w:tr>
    </w:tbl>
    <w:p w14:paraId="5CA6ADC1" w14:textId="77777777" w:rsidR="00AC0842" w:rsidRPr="00AC0842" w:rsidRDefault="00AC0842" w:rsidP="00AC0842">
      <w:pPr>
        <w:widowControl/>
        <w:suppressAutoHyphens w:val="0"/>
        <w:topLinePunct w:val="0"/>
        <w:spacing w:line="240" w:lineRule="auto"/>
        <w:jc w:val="left"/>
        <w:rPr>
          <w:sz w:val="22"/>
        </w:rPr>
      </w:pPr>
      <w:r w:rsidRPr="00AC0842">
        <w:rPr>
          <w:sz w:val="22"/>
        </w:rPr>
        <w:t>a Influenza-like reaction mainly manifested as chills, nasal congestion, runny nose, muscle soreness, fatigue and other symptoms.</w:t>
      </w:r>
    </w:p>
    <w:p w14:paraId="0164BD74" w14:textId="77777777" w:rsidR="00AC0842" w:rsidRPr="00AC0842" w:rsidRDefault="00AC0842" w:rsidP="00AC0842">
      <w:pPr>
        <w:widowControl/>
        <w:suppressAutoHyphens w:val="0"/>
        <w:topLinePunct w:val="0"/>
        <w:spacing w:line="240" w:lineRule="auto"/>
        <w:jc w:val="left"/>
        <w:rPr>
          <w:sz w:val="22"/>
        </w:rPr>
      </w:pPr>
      <w:r w:rsidRPr="00AC0842">
        <w:rPr>
          <w:sz w:val="22"/>
        </w:rPr>
        <w:t>b Edema included peripheral edema, facial edema, local edema and generalized edema;</w:t>
      </w:r>
    </w:p>
    <w:p w14:paraId="10C4B3AE" w14:textId="77777777" w:rsidR="00AC0842" w:rsidRPr="00AC0842" w:rsidRDefault="00AC0842" w:rsidP="00AC0842">
      <w:pPr>
        <w:widowControl/>
        <w:suppressAutoHyphens w:val="0"/>
        <w:topLinePunct w:val="0"/>
        <w:spacing w:line="240" w:lineRule="auto"/>
        <w:jc w:val="left"/>
        <w:rPr>
          <w:sz w:val="22"/>
        </w:rPr>
      </w:pPr>
      <w:r w:rsidRPr="00AC0842">
        <w:rPr>
          <w:sz w:val="22"/>
        </w:rPr>
        <w:t>c Hypersensitivity reactions include systemic allergic reactions, upper respiratory tract hypersensitivity reactions, acute allergic reactions, etc.</w:t>
      </w:r>
    </w:p>
    <w:p w14:paraId="652DD7F3" w14:textId="77777777" w:rsidR="00AC0842" w:rsidRPr="00AC0842" w:rsidRDefault="00AC0842" w:rsidP="00AC0842">
      <w:pPr>
        <w:widowControl/>
        <w:suppressAutoHyphens w:val="0"/>
        <w:topLinePunct w:val="0"/>
        <w:spacing w:line="240" w:lineRule="auto"/>
        <w:jc w:val="left"/>
        <w:rPr>
          <w:sz w:val="22"/>
        </w:rPr>
      </w:pPr>
      <w:r w:rsidRPr="00AC0842">
        <w:rPr>
          <w:sz w:val="22"/>
        </w:rPr>
        <w:t>d clinical trial excluded subjects with non-healing wounds;</w:t>
      </w:r>
    </w:p>
    <w:p w14:paraId="2AC28465" w14:textId="77777777" w:rsidR="00AC0842" w:rsidRPr="00AC0842" w:rsidRDefault="00AC0842" w:rsidP="00AC0842">
      <w:pPr>
        <w:widowControl/>
        <w:suppressAutoHyphens w:val="0"/>
        <w:topLinePunct w:val="0"/>
        <w:spacing w:line="240" w:lineRule="auto"/>
        <w:jc w:val="left"/>
        <w:rPr>
          <w:sz w:val="22"/>
        </w:rPr>
      </w:pPr>
      <w:r w:rsidRPr="00AC0842">
        <w:rPr>
          <w:sz w:val="22"/>
        </w:rPr>
        <w:t>e Hemoptysis includes bleeding events of the lung and upper respiratory tract such as hemoptysis and bronchial hemorrhage;</w:t>
      </w:r>
    </w:p>
    <w:p w14:paraId="035DE346" w14:textId="77777777" w:rsidR="00AC0842" w:rsidRPr="00AC0842" w:rsidRDefault="00AC0842" w:rsidP="00AC0842">
      <w:pPr>
        <w:widowControl/>
        <w:suppressAutoHyphens w:val="0"/>
        <w:topLinePunct w:val="0"/>
        <w:spacing w:line="240" w:lineRule="auto"/>
        <w:jc w:val="left"/>
        <w:rPr>
          <w:sz w:val="22"/>
        </w:rPr>
      </w:pPr>
      <w:r w:rsidRPr="00AC0842">
        <w:rPr>
          <w:sz w:val="22"/>
        </w:rPr>
        <w:t>f Gastrointestinal bleeding includes gingival bleeding, oral bleeding, pharyngeal congestion, stomach bleeding, intestinal bleeding, anal bleeding, hemorrhoids bleeding, etc.</w:t>
      </w:r>
    </w:p>
    <w:p w14:paraId="43E499F8" w14:textId="77777777" w:rsidR="00AC0842" w:rsidRPr="00AC0842" w:rsidRDefault="00AC0842" w:rsidP="00AC0842">
      <w:pPr>
        <w:widowControl/>
        <w:suppressAutoHyphens w:val="0"/>
        <w:topLinePunct w:val="0"/>
        <w:spacing w:line="240" w:lineRule="auto"/>
        <w:jc w:val="left"/>
        <w:rPr>
          <w:sz w:val="22"/>
        </w:rPr>
      </w:pPr>
      <w:r w:rsidRPr="00AC0842">
        <w:rPr>
          <w:sz w:val="22"/>
        </w:rPr>
        <w:t>g Other bleeding including tumor bleeding, nail bed bleeding, wound bleeding, subcutaneous bleeding, vaginal bleeding, menorrhagia, uterine bleeding, retinal bleeding, conjunctival bleeding and cerebral hemorrhage;</w:t>
      </w:r>
    </w:p>
    <w:p w14:paraId="33F39902" w14:textId="77777777" w:rsidR="00AC0842" w:rsidRPr="00AC0842" w:rsidRDefault="00AC0842" w:rsidP="00AC0842">
      <w:pPr>
        <w:widowControl/>
        <w:suppressAutoHyphens w:val="0"/>
        <w:topLinePunct w:val="0"/>
        <w:spacing w:line="240" w:lineRule="auto"/>
        <w:jc w:val="left"/>
        <w:rPr>
          <w:sz w:val="22"/>
        </w:rPr>
      </w:pPr>
      <w:r w:rsidRPr="00AC0842">
        <w:rPr>
          <w:sz w:val="22"/>
        </w:rPr>
        <w:t>h The term for HFRS in MedDRA is palmoplantar redness and swelling syndrome.</w:t>
      </w:r>
    </w:p>
    <w:p w14:paraId="2341BA5E" w14:textId="77777777" w:rsidR="00AC0842" w:rsidRPr="00AC0842" w:rsidRDefault="00AC0842" w:rsidP="00AC0842">
      <w:pPr>
        <w:widowControl/>
        <w:suppressAutoHyphens w:val="0"/>
        <w:topLinePunct w:val="0"/>
        <w:spacing w:line="240" w:lineRule="auto"/>
        <w:jc w:val="left"/>
        <w:rPr>
          <w:sz w:val="22"/>
        </w:rPr>
      </w:pPr>
      <w:r w:rsidRPr="00AC0842">
        <w:rPr>
          <w:sz w:val="22"/>
        </w:rPr>
        <w:t>i Musculoskeletal pain included back pain, limb pain, myalgia, musculoskeletal pain, neck pain, bone pain, chest musculoskeletal pain and low back pain.</w:t>
      </w:r>
    </w:p>
    <w:p w14:paraId="49864C36" w14:textId="3A06A522" w:rsidR="00D45C54" w:rsidRDefault="00AC0842">
      <w:pPr>
        <w:pStyle w:val="afff8"/>
        <w:spacing w:afterLines="100" w:after="240"/>
      </w:pPr>
      <w:r w:rsidRPr="00AC0842">
        <w:t xml:space="preserve">j Epilepsy includes partial seizures. </w:t>
      </w:r>
      <w:r w:rsidR="003E0392">
        <w:t xml:space="preserve"> </w:t>
      </w:r>
    </w:p>
    <w:p w14:paraId="4FF5581C" w14:textId="19D87AD5" w:rsidR="00D45C54" w:rsidRDefault="003E0392">
      <w:pPr>
        <w:pStyle w:val="20"/>
      </w:pPr>
      <w:bookmarkStart w:id="18" w:name="_Toc31658033"/>
      <w:bookmarkStart w:id="19" w:name="_Toc196547961"/>
      <w:r w:rsidRPr="00384EEC">
        <w:t xml:space="preserve">1.3 </w:t>
      </w:r>
      <w:r w:rsidR="00886423">
        <w:t>P</w:t>
      </w:r>
      <w:r w:rsidRPr="00384EEC">
        <w:t>otential risks</w:t>
      </w:r>
      <w:r w:rsidRPr="00384EEC">
        <w:rPr>
          <w:rFonts w:hint="eastAsia"/>
        </w:rPr>
        <w:t xml:space="preserve"> </w:t>
      </w:r>
      <w:bookmarkEnd w:id="18"/>
      <w:r w:rsidR="00195796" w:rsidRPr="00384EEC">
        <w:t>a</w:t>
      </w:r>
      <w:r w:rsidR="00195796">
        <w:t>nd benefits</w:t>
      </w:r>
      <w:bookmarkEnd w:id="19"/>
    </w:p>
    <w:p w14:paraId="58F0AF6B" w14:textId="274250E9" w:rsidR="00195796" w:rsidRPr="00384EEC" w:rsidRDefault="00195796" w:rsidP="00384EEC">
      <w:pPr>
        <w:pStyle w:val="3"/>
      </w:pPr>
      <w:bookmarkStart w:id="20" w:name="_Toc196547962"/>
      <w:r w:rsidRPr="00384EEC">
        <w:rPr>
          <w:rFonts w:hint="eastAsia"/>
        </w:rPr>
        <w:t>1</w:t>
      </w:r>
      <w:r w:rsidRPr="00384EEC">
        <w:t>.3.1 Known potential risks</w:t>
      </w:r>
      <w:bookmarkEnd w:id="20"/>
    </w:p>
    <w:p w14:paraId="30134BBC" w14:textId="38E34F70" w:rsidR="00195796" w:rsidRPr="00384EEC" w:rsidRDefault="00195796" w:rsidP="00195796">
      <w:pPr>
        <w:pStyle w:val="P68B1DB1-125"/>
        <w:rPr>
          <w:rFonts w:eastAsiaTheme="minorEastAsia" w:hint="default"/>
        </w:rPr>
      </w:pPr>
      <w:r>
        <w:t>Any drug or therapy at any stage of research may have unforeseen and even serious toxic side effects.</w:t>
      </w:r>
    </w:p>
    <w:p w14:paraId="6F4D2CB5" w14:textId="77B56AFA" w:rsidR="00195796" w:rsidRDefault="00195796" w:rsidP="00195796">
      <w:pPr>
        <w:pStyle w:val="P68B1DB1-125"/>
        <w:rPr>
          <w:rFonts w:hint="default"/>
        </w:rPr>
      </w:pPr>
      <w:r>
        <w:t>According to previous studies, the following adverse effects may occur in the first-line treatment of colorectal cancer with CapeO</w:t>
      </w:r>
      <w:r w:rsidR="00EB1250">
        <w:rPr>
          <w:rFonts w:hint="default"/>
        </w:rPr>
        <w:t>X</w:t>
      </w:r>
      <w:r>
        <w:t xml:space="preserve"> chemotherapy ± bevacizumab: neurotoxicity, diarrhea, nausea, vomiting, stomatitis, neutropenia/neutropenia, febrile neutropenia, and hand-foot syndrome. The following adverse effects may occur in the first-line treatment of colorectal cancer with CapeO</w:t>
      </w:r>
      <w:r w:rsidR="00EB1250">
        <w:rPr>
          <w:rFonts w:hint="default"/>
        </w:rPr>
        <w:t>X</w:t>
      </w:r>
      <w:r>
        <w:t xml:space="preserve"> chemotherapy: neurotoxicity, diarrhea, nausea, vomiting, stomatitis, </w:t>
      </w:r>
      <w:r>
        <w:lastRenderedPageBreak/>
        <w:t>neutropenia/neutropenia, febrile neutropenia, and hand-foot syndrome.</w:t>
      </w:r>
    </w:p>
    <w:p w14:paraId="7F2004EF" w14:textId="77777777" w:rsidR="00195796" w:rsidRDefault="00195796" w:rsidP="00195796">
      <w:pPr>
        <w:pStyle w:val="P68B1DB1-125"/>
        <w:rPr>
          <w:rFonts w:hint="default"/>
        </w:rPr>
      </w:pPr>
      <w:r>
        <w:t xml:space="preserve">During this study, participants may experience the above adverse reactions, as well as undiscovered or unanticipated adverse events. </w:t>
      </w:r>
      <w:r w:rsidRPr="00195796">
        <w:t>Twenty-two clinical trials have been conducted for amlotinib, involving 1788 patients with advanced tumors, including non-small cell lung cancer, soft tissue sarcoma, small cell lung cancer, clear cell renal cancer, colorectal cancer, medullary thyroid cancer, esophageal squamous cell carcinoma, hepatocellular carcinoma, neuroendocrine tumor, gastric cancer and bone tumor subjects</w:t>
      </w:r>
      <w:r>
        <w:rPr>
          <w:rFonts w:eastAsiaTheme="minorEastAsia" w:hint="default"/>
        </w:rPr>
        <w:t xml:space="preserve">. </w:t>
      </w:r>
      <w:r>
        <w:t xml:space="preserve">The dose of </w:t>
      </w:r>
      <w:r>
        <w:rPr>
          <w:rFonts w:hint="default"/>
        </w:rPr>
        <w:t>anlotinib</w:t>
      </w:r>
      <w:r>
        <w:t xml:space="preserve"> was 12 mg for 2 weeks and 1 week off. The incidence of adverse reactions is shown in Table 1.2.1. The most common adverse reactions reported in these studies (≥20%) were hypertension, fatigue, hand-foot skin reaction, gastrointestinal reaction, liver dysfunction, thyroid dysfunction, hyperlipidemia and proteinuria. </w:t>
      </w:r>
    </w:p>
    <w:p w14:paraId="4381E0CC" w14:textId="0286C80B" w:rsidR="00195796" w:rsidRPr="00384EEC" w:rsidRDefault="00195796" w:rsidP="00195796">
      <w:pPr>
        <w:pStyle w:val="P68B1DB1-125"/>
        <w:rPr>
          <w:rFonts w:eastAsiaTheme="minorEastAsia" w:hint="default"/>
        </w:rPr>
      </w:pPr>
      <w:r>
        <w:t>There are few data on the safety of CapeO</w:t>
      </w:r>
      <w:r w:rsidR="00EB1250">
        <w:rPr>
          <w:rFonts w:hint="default"/>
        </w:rPr>
        <w:t>X</w:t>
      </w:r>
      <w:r>
        <w:t xml:space="preserve"> combined with anlotinib, and unexpected and even severe toxic side effects may also occur.</w:t>
      </w:r>
    </w:p>
    <w:p w14:paraId="67F15E87" w14:textId="6899D683" w:rsidR="00195796" w:rsidRDefault="00195796" w:rsidP="00195796">
      <w:pPr>
        <w:pStyle w:val="P68B1DB1-125"/>
        <w:rPr>
          <w:rFonts w:hint="default"/>
        </w:rPr>
      </w:pPr>
      <w:r>
        <w:t>Related medical examinations during the study may also pose a risk to the subjects. More frequent imaging examinations will expose subjects to low dose radiation more frequently, but subjects with advanced or metastatic ovarian cancer usually progress rapidly, and a certain frequency of imaging examinations is also an essential step to determine whether the subject's disease is progressing.</w:t>
      </w:r>
    </w:p>
    <w:p w14:paraId="395BA26B" w14:textId="24603F73" w:rsidR="00D45C54" w:rsidRDefault="003E0392" w:rsidP="00384EEC">
      <w:pPr>
        <w:pStyle w:val="3"/>
      </w:pPr>
      <w:bookmarkStart w:id="21" w:name="_Toc31658034"/>
      <w:bookmarkStart w:id="22" w:name="_Toc196547963"/>
      <w:r w:rsidRPr="00D33A67">
        <w:t>1.</w:t>
      </w:r>
      <w:r w:rsidR="00195796">
        <w:t>3.2</w:t>
      </w:r>
      <w:r w:rsidRPr="00D33A67">
        <w:t xml:space="preserve"> Known Possible Benefits</w:t>
      </w:r>
      <w:bookmarkEnd w:id="22"/>
      <w:r>
        <w:rPr>
          <w:rFonts w:hint="eastAsia"/>
        </w:rPr>
        <w:t xml:space="preserve"> </w:t>
      </w:r>
      <w:bookmarkEnd w:id="21"/>
    </w:p>
    <w:p w14:paraId="1B74BCD6" w14:textId="739BBECD" w:rsidR="00D47099" w:rsidRDefault="00D47099" w:rsidP="00A1402B">
      <w:pPr>
        <w:pStyle w:val="P68B1DB1-125"/>
        <w:rPr>
          <w:rFonts w:eastAsiaTheme="minorEastAsia" w:hint="default"/>
        </w:rPr>
      </w:pPr>
      <w:r w:rsidRPr="00D47099">
        <w:rPr>
          <w:rFonts w:eastAsiaTheme="minorEastAsia"/>
        </w:rPr>
        <w:t>CapeO</w:t>
      </w:r>
      <w:r w:rsidR="00EB1250">
        <w:rPr>
          <w:rFonts w:eastAsiaTheme="minorEastAsia" w:hint="default"/>
        </w:rPr>
        <w:t>X</w:t>
      </w:r>
      <w:r w:rsidRPr="00D47099">
        <w:rPr>
          <w:rFonts w:eastAsiaTheme="minorEastAsia"/>
        </w:rPr>
        <w:t>±</w:t>
      </w:r>
      <w:r w:rsidRPr="00D47099">
        <w:rPr>
          <w:rFonts w:eastAsiaTheme="minorEastAsia"/>
        </w:rPr>
        <w:t xml:space="preserve">bevacizumab is one of the standard first-line treatments for </w:t>
      </w:r>
      <w:r w:rsidR="00FD753A">
        <w:rPr>
          <w:rFonts w:eastAsiaTheme="minorEastAsia" w:hint="default"/>
        </w:rPr>
        <w:t>CRC</w:t>
      </w:r>
      <w:r w:rsidRPr="00D47099">
        <w:rPr>
          <w:rFonts w:eastAsiaTheme="minorEastAsia"/>
        </w:rPr>
        <w:t xml:space="preserve">, and all enrolled patients will receive the CapeOx chemotherapy regimen to ensure the possibility of </w:t>
      </w:r>
      <w:r w:rsidR="001D45FD">
        <w:rPr>
          <w:rFonts w:eastAsiaTheme="minorEastAsia" w:hint="default"/>
        </w:rPr>
        <w:t xml:space="preserve">clinical </w:t>
      </w:r>
      <w:r w:rsidRPr="00D47099">
        <w:rPr>
          <w:rFonts w:eastAsiaTheme="minorEastAsia"/>
        </w:rPr>
        <w:t>benefit</w:t>
      </w:r>
      <w:r w:rsidRPr="00384EEC">
        <w:rPr>
          <w:rFonts w:eastAsiaTheme="minorEastAsia"/>
        </w:rPr>
        <w:t xml:space="preserve">. </w:t>
      </w:r>
      <w:r w:rsidRPr="00384EEC">
        <w:rPr>
          <w:rFonts w:eastAsiaTheme="minorEastAsia" w:hint="default"/>
        </w:rPr>
        <w:t>The subjects in the control group received the first-line standard treatment of CRC, and the experimental group could benefit from anlotinib monotherapy in the treatment of patients with third-line colorectal cancer.</w:t>
      </w:r>
      <w:r w:rsidRPr="00D47099">
        <w:rPr>
          <w:rFonts w:eastAsiaTheme="minorEastAsia"/>
        </w:rPr>
        <w:t xml:space="preserve"> The subjects in the experimental group may achieve </w:t>
      </w:r>
      <w:r w:rsidR="00FD753A">
        <w:rPr>
          <w:rFonts w:eastAsiaTheme="minorEastAsia" w:hint="default"/>
        </w:rPr>
        <w:t>clinical benefits</w:t>
      </w:r>
      <w:r w:rsidRPr="00D47099">
        <w:rPr>
          <w:rFonts w:eastAsiaTheme="minorEastAsia"/>
        </w:rPr>
        <w:t xml:space="preserve"> that is not inferior to the control group. Anlotinib was administered orally in the experimental group, which </w:t>
      </w:r>
      <w:r w:rsidR="00FD753A">
        <w:rPr>
          <w:rFonts w:eastAsiaTheme="minorEastAsia" w:hint="default"/>
        </w:rPr>
        <w:t>is</w:t>
      </w:r>
      <w:r w:rsidRPr="00D47099">
        <w:rPr>
          <w:rFonts w:eastAsiaTheme="minorEastAsia"/>
        </w:rPr>
        <w:t xml:space="preserve"> convenient to take.</w:t>
      </w:r>
    </w:p>
    <w:p w14:paraId="0D34EF5B" w14:textId="6A98CE98" w:rsidR="00D45C54" w:rsidRDefault="003E0392">
      <w:pPr>
        <w:pStyle w:val="1"/>
      </w:pPr>
      <w:bookmarkStart w:id="23" w:name="_Toc13063612"/>
      <w:bookmarkStart w:id="24" w:name="_Toc455900139"/>
      <w:bookmarkStart w:id="25" w:name="_Toc502847593"/>
      <w:bookmarkStart w:id="26" w:name="_Toc219090636"/>
      <w:bookmarkStart w:id="27" w:name="_Toc445729709"/>
      <w:bookmarkStart w:id="28" w:name="_Toc31658035"/>
      <w:bookmarkStart w:id="29" w:name="_Toc196547964"/>
      <w:r>
        <w:rPr>
          <w:rFonts w:hint="eastAsia"/>
        </w:rPr>
        <w:t>2</w:t>
      </w:r>
      <w:r w:rsidR="006B3D33">
        <w:rPr>
          <w:rFonts w:hint="eastAsia"/>
        </w:rPr>
        <w:t>.</w:t>
      </w:r>
      <w:r>
        <w:rPr>
          <w:rFonts w:hint="eastAsia"/>
        </w:rPr>
        <w:t xml:space="preserve"> Study objectives </w:t>
      </w:r>
      <w:bookmarkEnd w:id="23"/>
      <w:bookmarkEnd w:id="24"/>
      <w:bookmarkEnd w:id="25"/>
      <w:bookmarkEnd w:id="26"/>
      <w:bookmarkEnd w:id="27"/>
      <w:r w:rsidR="001138F2">
        <w:t>a</w:t>
      </w:r>
      <w:r w:rsidR="001138F2">
        <w:rPr>
          <w:rFonts w:hint="eastAsia"/>
        </w:rPr>
        <w:t xml:space="preserve">nd </w:t>
      </w:r>
      <w:r>
        <w:rPr>
          <w:rFonts w:hint="eastAsia"/>
        </w:rPr>
        <w:t>endpoints</w:t>
      </w:r>
      <w:bookmarkEnd w:id="29"/>
      <w:r>
        <w:rPr>
          <w:rFonts w:hint="eastAsia"/>
        </w:rPr>
        <w:t xml:space="preserve"> </w:t>
      </w:r>
      <w:bookmarkEnd w:id="28"/>
    </w:p>
    <w:p w14:paraId="42CF3AC5" w14:textId="2F0D57E6" w:rsidR="00D45C54" w:rsidRDefault="003E0392">
      <w:pPr>
        <w:pStyle w:val="20"/>
      </w:pPr>
      <w:bookmarkStart w:id="30" w:name="_Toc31658036"/>
      <w:bookmarkStart w:id="31" w:name="_Toc196547965"/>
      <w:r>
        <w:rPr>
          <w:rFonts w:hint="eastAsia"/>
        </w:rPr>
        <w:t>2.1 Primary objective</w:t>
      </w:r>
      <w:bookmarkEnd w:id="31"/>
      <w:r>
        <w:rPr>
          <w:rFonts w:hint="eastAsia"/>
        </w:rPr>
        <w:t xml:space="preserve"> </w:t>
      </w:r>
      <w:bookmarkEnd w:id="30"/>
    </w:p>
    <w:p w14:paraId="230E60B3" w14:textId="3436B84D" w:rsidR="00D45C54" w:rsidRDefault="003E0392" w:rsidP="00384EEC">
      <w:r>
        <w:t xml:space="preserve">To evaluate the efficacy of </w:t>
      </w:r>
      <w:r w:rsidR="007E6A09" w:rsidRPr="007E6A09">
        <w:t>anlotinib</w:t>
      </w:r>
      <w:r w:rsidR="00383D36" w:rsidRPr="00383D36">
        <w:t xml:space="preserve"> versus</w:t>
      </w:r>
      <w:r w:rsidR="0042215A" w:rsidRPr="00383D36">
        <w:t xml:space="preserve"> </w:t>
      </w:r>
      <w:r w:rsidR="0042215A" w:rsidRPr="007E6A09">
        <w:t xml:space="preserve">bevacizumab </w:t>
      </w:r>
      <w:r w:rsidR="0042215A">
        <w:t xml:space="preserve">in </w:t>
      </w:r>
      <w:r w:rsidR="007E6A09" w:rsidRPr="007E6A09">
        <w:t>co</w:t>
      </w:r>
      <w:r w:rsidR="0042215A">
        <w:t>mbination</w:t>
      </w:r>
      <w:r w:rsidR="007E6A09" w:rsidRPr="007E6A09">
        <w:t xml:space="preserve"> with CapeO</w:t>
      </w:r>
      <w:r w:rsidR="00026C79">
        <w:t>X</w:t>
      </w:r>
      <w:r w:rsidR="007E6A09" w:rsidRPr="007E6A09">
        <w:t xml:space="preserve"> chemotherapy in first-line </w:t>
      </w:r>
      <w:r w:rsidR="007E6A09">
        <w:t xml:space="preserve">treatment of </w:t>
      </w:r>
      <w:r w:rsidR="007E6A09" w:rsidRPr="007E6A09">
        <w:t>RAS/BRAF wild-type mCRC</w:t>
      </w:r>
      <w:r>
        <w:t xml:space="preserve">. </w:t>
      </w:r>
    </w:p>
    <w:p w14:paraId="79A0714A" w14:textId="77777777" w:rsidR="00D45C54" w:rsidRDefault="003E0392">
      <w:pPr>
        <w:pStyle w:val="20"/>
      </w:pPr>
      <w:bookmarkStart w:id="32" w:name="_Toc31658037"/>
      <w:bookmarkStart w:id="33" w:name="_Toc196547966"/>
      <w:r>
        <w:rPr>
          <w:rFonts w:hint="eastAsia"/>
        </w:rPr>
        <w:t>2.2 Secondary objectives</w:t>
      </w:r>
      <w:bookmarkEnd w:id="33"/>
      <w:r>
        <w:rPr>
          <w:rFonts w:hint="eastAsia"/>
        </w:rPr>
        <w:t xml:space="preserve"> </w:t>
      </w:r>
      <w:bookmarkEnd w:id="32"/>
    </w:p>
    <w:p w14:paraId="1B2721EA" w14:textId="66336DDB" w:rsidR="00D45C54" w:rsidRDefault="00383D36" w:rsidP="00384EEC">
      <w:r w:rsidRPr="00383D36">
        <w:lastRenderedPageBreak/>
        <w:t>To evaluate the safety of anlotinib versus bevacizumab in combination with CapeO</w:t>
      </w:r>
      <w:r w:rsidR="00026C79">
        <w:t>X</w:t>
      </w:r>
      <w:r w:rsidRPr="00383D36">
        <w:t xml:space="preserve"> as first-line therapy for RAS/BRAF wild-type mCRC.</w:t>
      </w:r>
      <w:r w:rsidR="007E6A09" w:rsidRPr="007E6A09">
        <w:t xml:space="preserve"> </w:t>
      </w:r>
    </w:p>
    <w:p w14:paraId="352BDDEF" w14:textId="5EFD12B7" w:rsidR="00D45C54" w:rsidRDefault="003E0392">
      <w:pPr>
        <w:pStyle w:val="20"/>
      </w:pPr>
      <w:bookmarkStart w:id="34" w:name="_Toc31658038"/>
      <w:bookmarkStart w:id="35" w:name="_Toc196547967"/>
      <w:r>
        <w:rPr>
          <w:rFonts w:hint="eastAsia"/>
        </w:rPr>
        <w:t>2.3 Primary endpoint</w:t>
      </w:r>
      <w:bookmarkEnd w:id="34"/>
      <w:bookmarkEnd w:id="35"/>
    </w:p>
    <w:p w14:paraId="6EEDD95C" w14:textId="2515DAF7" w:rsidR="00D45C54" w:rsidRDefault="003E0392" w:rsidP="00384EEC">
      <w:pPr>
        <w:pStyle w:val="P68B1DB1-17748"/>
        <w:numPr>
          <w:ilvl w:val="0"/>
          <w:numId w:val="0"/>
        </w:numPr>
        <w:rPr>
          <w:rFonts w:hint="default"/>
        </w:rPr>
      </w:pPr>
      <w:r>
        <w:t xml:space="preserve">PFS </w:t>
      </w:r>
      <w:r w:rsidR="00C15794">
        <w:rPr>
          <w:rFonts w:hint="default"/>
        </w:rPr>
        <w:t>accessed by</w:t>
      </w:r>
      <w:r w:rsidR="00C15794">
        <w:t xml:space="preserve"> </w:t>
      </w:r>
      <w:r>
        <w:t xml:space="preserve">IRC. </w:t>
      </w:r>
    </w:p>
    <w:p w14:paraId="35B89FD3" w14:textId="527E0EAB" w:rsidR="00D45C54" w:rsidRDefault="003E0392">
      <w:pPr>
        <w:pStyle w:val="20"/>
      </w:pPr>
      <w:bookmarkStart w:id="36" w:name="_Toc31658039"/>
      <w:bookmarkStart w:id="37" w:name="_Toc196547968"/>
      <w:r>
        <w:rPr>
          <w:rFonts w:hint="eastAsia"/>
        </w:rPr>
        <w:t>2.4 Secondary endpoints</w:t>
      </w:r>
      <w:bookmarkEnd w:id="37"/>
      <w:r>
        <w:rPr>
          <w:rFonts w:hint="eastAsia"/>
        </w:rPr>
        <w:t xml:space="preserve"> </w:t>
      </w:r>
      <w:bookmarkEnd w:id="36"/>
    </w:p>
    <w:p w14:paraId="354FA620" w14:textId="77527745" w:rsidR="007A7452" w:rsidRDefault="007A7452" w:rsidP="00384EEC">
      <w:r w:rsidRPr="00384EEC">
        <w:t>Investigator assessed PFS, overall survival (OS), ob</w:t>
      </w:r>
      <w:r w:rsidR="00330A1A">
        <w:t>jective response rate (ORR=CR +</w:t>
      </w:r>
      <w:r w:rsidRPr="00384EEC">
        <w:t>PR), diseas</w:t>
      </w:r>
      <w:r w:rsidR="00330A1A">
        <w:t>e control rate (DCR=CR+PR +</w:t>
      </w:r>
      <w:r w:rsidRPr="00384EEC">
        <w:t xml:space="preserve">SD), </w:t>
      </w:r>
      <w:r w:rsidR="00330A1A">
        <w:t>duration of</w:t>
      </w:r>
      <w:r w:rsidRPr="00384EEC">
        <w:t xml:space="preserve"> response (DOR); resection rate of iver metastasis, </w:t>
      </w:r>
      <w:r w:rsidR="000402B5" w:rsidRPr="000402B5">
        <w:t>quality of life (QoL)</w:t>
      </w:r>
      <w:r w:rsidRPr="00384EEC">
        <w:t>.</w:t>
      </w:r>
    </w:p>
    <w:p w14:paraId="20B0AA42" w14:textId="259D3BBE" w:rsidR="00855332" w:rsidRPr="00384EEC" w:rsidRDefault="007A7452" w:rsidP="00384EEC">
      <w:r w:rsidRPr="007A7452">
        <w:t>Incidence and severity of AEs and SAEs, as well as laboratory abnormalties.</w:t>
      </w:r>
      <w:r w:rsidRPr="00384EEC" w:rsidDel="007A7452">
        <w:t xml:space="preserve"> </w:t>
      </w:r>
    </w:p>
    <w:p w14:paraId="2B895501" w14:textId="27E3BB01" w:rsidR="00D45C54" w:rsidRDefault="003E0392">
      <w:pPr>
        <w:pStyle w:val="1"/>
      </w:pPr>
      <w:bookmarkStart w:id="38" w:name="_Toc196547969"/>
      <w:r>
        <w:rPr>
          <w:rFonts w:hint="eastAsia"/>
        </w:rPr>
        <w:t>3</w:t>
      </w:r>
      <w:r w:rsidR="00B42EB5">
        <w:t>.</w:t>
      </w:r>
      <w:r>
        <w:rPr>
          <w:rFonts w:hint="eastAsia"/>
        </w:rPr>
        <w:t xml:space="preserve"> Study Design</w:t>
      </w:r>
      <w:bookmarkEnd w:id="38"/>
    </w:p>
    <w:p w14:paraId="4E8ECB3F" w14:textId="003069DC" w:rsidR="00D45C54" w:rsidRDefault="003E0392">
      <w:pPr>
        <w:pStyle w:val="20"/>
      </w:pPr>
      <w:bookmarkStart w:id="39" w:name="_Toc196547970"/>
      <w:r>
        <w:rPr>
          <w:rFonts w:hint="eastAsia"/>
        </w:rPr>
        <w:t xml:space="preserve">3.1 </w:t>
      </w:r>
      <w:r w:rsidRPr="005268FA">
        <w:t>Overall design</w:t>
      </w:r>
      <w:bookmarkEnd w:id="39"/>
    </w:p>
    <w:p w14:paraId="57181F74" w14:textId="11FA5CDA" w:rsidR="00D45C54" w:rsidRDefault="003E0392" w:rsidP="003127AF">
      <w:pPr>
        <w:pStyle w:val="P68B1DB1-125"/>
        <w:spacing w:beforeLines="100" w:before="240"/>
        <w:rPr>
          <w:rFonts w:hint="default"/>
        </w:rPr>
      </w:pPr>
      <w:r>
        <w:t>A randomized, open, parallel controlled, multicenter</w:t>
      </w:r>
      <w:r w:rsidR="00561985">
        <w:rPr>
          <w:rFonts w:hint="default"/>
        </w:rPr>
        <w:t>,</w:t>
      </w:r>
      <w:r>
        <w:t xml:space="preserve"> </w:t>
      </w:r>
      <w:r w:rsidR="00561985" w:rsidRPr="00561985">
        <w:t>non-inferiority</w:t>
      </w:r>
      <w:r w:rsidR="00561985" w:rsidRPr="00561985">
        <w:rPr>
          <w:rFonts w:hint="default"/>
        </w:rPr>
        <w:t xml:space="preserve"> </w:t>
      </w:r>
      <w:r w:rsidR="00A94F6E">
        <w:rPr>
          <w:rFonts w:hint="default"/>
        </w:rPr>
        <w:t>is</w:t>
      </w:r>
      <w:r w:rsidR="00A94F6E">
        <w:t xml:space="preserve"> </w:t>
      </w:r>
      <w:r>
        <w:t xml:space="preserve">used. </w:t>
      </w:r>
      <w:r w:rsidR="0068496B" w:rsidRPr="0068496B">
        <w:t xml:space="preserve">Stratification factors included primary tumor site and receipt of adjuvant chemotherapy. The experimental group </w:t>
      </w:r>
      <w:r w:rsidR="0068496B">
        <w:rPr>
          <w:rFonts w:hint="default"/>
        </w:rPr>
        <w:t>i</w:t>
      </w:r>
      <w:r w:rsidR="0068496B" w:rsidRPr="0068496B">
        <w:t>s given anlotinib and CapeO</w:t>
      </w:r>
      <w:r w:rsidR="00BF6502">
        <w:rPr>
          <w:rFonts w:hint="default"/>
        </w:rPr>
        <w:t>X</w:t>
      </w:r>
      <w:r w:rsidR="0068496B" w:rsidRPr="0068496B">
        <w:t xml:space="preserve"> chemotherapy regimen, anlotinib </w:t>
      </w:r>
      <w:r w:rsidR="0068496B">
        <w:rPr>
          <w:rFonts w:hint="default"/>
        </w:rPr>
        <w:t>i</w:t>
      </w:r>
      <w:r w:rsidR="0068496B" w:rsidRPr="0068496B">
        <w:t xml:space="preserve">s 12mg/ time; The control group </w:t>
      </w:r>
      <w:r w:rsidR="0068496B">
        <w:rPr>
          <w:rFonts w:hint="default"/>
        </w:rPr>
        <w:t>i</w:t>
      </w:r>
      <w:r w:rsidR="0068496B" w:rsidRPr="0068496B">
        <w:t>s given bevacizumab and CapeO</w:t>
      </w:r>
      <w:r w:rsidR="00BF6502">
        <w:rPr>
          <w:rFonts w:hint="default"/>
        </w:rPr>
        <w:t>X</w:t>
      </w:r>
      <w:r w:rsidR="0068496B" w:rsidRPr="0068496B">
        <w:t xml:space="preserve"> chemotherapy regimen, and the dose of bevacizumab injection </w:t>
      </w:r>
      <w:r w:rsidR="0068496B">
        <w:rPr>
          <w:rFonts w:hint="default"/>
        </w:rPr>
        <w:t>i</w:t>
      </w:r>
      <w:r w:rsidR="0068496B" w:rsidRPr="0068496B">
        <w:t xml:space="preserve">s 7.5mg/kg. All subjects </w:t>
      </w:r>
      <w:r w:rsidR="0068496B">
        <w:rPr>
          <w:rFonts w:hint="default"/>
        </w:rPr>
        <w:t>are</w:t>
      </w:r>
      <w:r w:rsidR="0068496B" w:rsidRPr="0068496B">
        <w:t xml:space="preserve"> treated with CapeO</w:t>
      </w:r>
      <w:r w:rsidR="00BF6502">
        <w:rPr>
          <w:rFonts w:hint="default"/>
        </w:rPr>
        <w:t>X</w:t>
      </w:r>
      <w:r w:rsidR="0068496B" w:rsidRPr="0068496B">
        <w:t xml:space="preserve"> chemotherapy, the experimental group </w:t>
      </w:r>
      <w:r w:rsidR="0068496B">
        <w:rPr>
          <w:rFonts w:hint="default"/>
        </w:rPr>
        <w:t>i</w:t>
      </w:r>
      <w:r w:rsidR="0068496B" w:rsidRPr="0068496B">
        <w:t>s treated with oxaliplatin 130mg/m</w:t>
      </w:r>
      <w:r w:rsidR="0068496B" w:rsidRPr="00384EEC">
        <w:rPr>
          <w:vertAlign w:val="superscript"/>
        </w:rPr>
        <w:t>2</w:t>
      </w:r>
      <w:r w:rsidR="0068496B" w:rsidRPr="0068496B">
        <w:t xml:space="preserve"> and capecitabine 850mg/m</w:t>
      </w:r>
      <w:r w:rsidR="0068496B" w:rsidRPr="00384EEC">
        <w:rPr>
          <w:vertAlign w:val="superscript"/>
        </w:rPr>
        <w:t>2</w:t>
      </w:r>
      <w:r w:rsidR="0068496B" w:rsidRPr="0068496B">
        <w:t xml:space="preserve">, and the control group </w:t>
      </w:r>
      <w:r w:rsidR="0068496B">
        <w:rPr>
          <w:rFonts w:hint="default"/>
        </w:rPr>
        <w:t>i</w:t>
      </w:r>
      <w:r w:rsidR="0068496B" w:rsidRPr="0068496B">
        <w:t>s treated with oxaliplatin 130mg/m</w:t>
      </w:r>
      <w:r w:rsidR="0068496B" w:rsidRPr="00384EEC">
        <w:rPr>
          <w:vertAlign w:val="superscript"/>
        </w:rPr>
        <w:t>2</w:t>
      </w:r>
      <w:r w:rsidR="0068496B" w:rsidRPr="0068496B">
        <w:t xml:space="preserve"> and capecitabine 1000 mg/m</w:t>
      </w:r>
      <w:r w:rsidR="0068496B" w:rsidRPr="00384EEC">
        <w:rPr>
          <w:vertAlign w:val="superscript"/>
        </w:rPr>
        <w:t>2</w:t>
      </w:r>
      <w:r w:rsidR="0068496B" w:rsidRPr="0068496B">
        <w:t>.</w:t>
      </w:r>
    </w:p>
    <w:p w14:paraId="6D520E8E" w14:textId="773CBF30" w:rsidR="00D45C54" w:rsidRDefault="003E0392">
      <w:pPr>
        <w:pStyle w:val="20"/>
      </w:pPr>
      <w:bookmarkStart w:id="40" w:name="_Toc196547971"/>
      <w:r w:rsidRPr="00384EEC">
        <w:t xml:space="preserve">3.2 </w:t>
      </w:r>
      <w:r w:rsidR="00CC7871" w:rsidRPr="00384EEC">
        <w:t xml:space="preserve">Sample size </w:t>
      </w:r>
      <w:r w:rsidRPr="00384EEC">
        <w:t>Estimation</w:t>
      </w:r>
      <w:bookmarkEnd w:id="40"/>
    </w:p>
    <w:p w14:paraId="24849196" w14:textId="434B7AA5" w:rsidR="00DE08F1" w:rsidRDefault="00FA41F1" w:rsidP="00384EEC">
      <w:r>
        <w:t>The non-inferiority margin i</w:t>
      </w:r>
      <w:r w:rsidR="00DE08F1" w:rsidRPr="00DE08F1">
        <w:t>s determined mainly according to the clinical definition, supplemented by the literature. Based on the literature: Bevacizumab in Combination With Oxaliplatin-Based Chemotherapy As First-Line Therapy in</w:t>
      </w:r>
      <w:r>
        <w:t xml:space="preserve"> Metastatic Colorectal Cancer: </w:t>
      </w:r>
      <w:r w:rsidR="00DE08F1" w:rsidRPr="00DE08F1">
        <w:t>A Randomized Phase III Study</w:t>
      </w:r>
      <w:r>
        <w:t>,</w:t>
      </w:r>
      <w:r w:rsidR="00DE08F1" w:rsidRPr="00DE08F1">
        <w:t xml:space="preserve"> the HR of PFS of bevacizumab combined with CapeOx chemotherapy regimen compared with CapeOx chemotherapy regimen was 0.77, 97.5% CI was 0.63,0.94, and the conversion to 70%</w:t>
      </w:r>
      <w:r>
        <w:t xml:space="preserve"> </w:t>
      </w:r>
      <w:r w:rsidR="00DE08F1" w:rsidRPr="00DE08F1">
        <w:t xml:space="preserve">CI was 0.70,0.84. The logarithm of the inverse of the upper limit of the 70% confidence interval </w:t>
      </w:r>
      <w:r>
        <w:t>i</w:t>
      </w:r>
      <w:r w:rsidR="00DE08F1" w:rsidRPr="00DE08F1">
        <w:t xml:space="preserve">s taken as M1=0.1686, and the 50% effect </w:t>
      </w:r>
      <w:r>
        <w:t>i</w:t>
      </w:r>
      <w:r w:rsidR="00DE08F1" w:rsidRPr="00DE08F1">
        <w:t xml:space="preserve">s taken as M2=0.0843, and then the base e </w:t>
      </w:r>
      <w:r>
        <w:t>i</w:t>
      </w:r>
      <w:r w:rsidR="00DE08F1" w:rsidRPr="00DE08F1">
        <w:t xml:space="preserve">s used as the transformation, which resulted in </w:t>
      </w:r>
      <w:r w:rsidR="00DE08F1">
        <w:t>a noninferiority margin of 1.09.</w:t>
      </w:r>
    </w:p>
    <w:p w14:paraId="18F47237" w14:textId="29AAC31E" w:rsidR="00DE08F1" w:rsidRDefault="00DE08F1" w:rsidP="00384EEC">
      <w:r w:rsidRPr="00DE08F1">
        <w:t xml:space="preserve">This is a randomized, open-label, parallel-controlled, multicenter study with IRC-assessed PFS as the primary endpoint. The trial is powered to assess non-inferiority in PFS between anlotinib </w:t>
      </w:r>
      <w:r w:rsidRPr="00DE08F1">
        <w:lastRenderedPageBreak/>
        <w:t>plus CapeOX and bevacizumab plus CapeOX. Based on the previous report, the PFS in control arm is assumed to be 9.5 months</w:t>
      </w:r>
      <w:r w:rsidR="00D054BF">
        <w:t xml:space="preserve">. </w:t>
      </w:r>
      <w:r w:rsidR="00DC2B9D" w:rsidRPr="00A703A0">
        <w:rPr>
          <w:szCs w:val="21"/>
        </w:rPr>
        <w:t xml:space="preserve">Cox proportional hazards regression model </w:t>
      </w:r>
      <w:r w:rsidR="00DC2B9D">
        <w:rPr>
          <w:szCs w:val="21"/>
        </w:rPr>
        <w:t>i</w:t>
      </w:r>
      <w:r w:rsidR="00DC2B9D" w:rsidRPr="00A703A0">
        <w:rPr>
          <w:szCs w:val="21"/>
        </w:rPr>
        <w:t>s used to calculate the hazard r</w:t>
      </w:r>
      <w:r w:rsidR="00DC2B9D">
        <w:rPr>
          <w:szCs w:val="21"/>
        </w:rPr>
        <w:t>atio HR of PFS in this study</w:t>
      </w:r>
      <w:r w:rsidR="00DC2B9D" w:rsidRPr="00A703A0">
        <w:rPr>
          <w:szCs w:val="21"/>
        </w:rPr>
        <w:t>.</w:t>
      </w:r>
      <w:r w:rsidR="00DC2B9D">
        <w:rPr>
          <w:szCs w:val="21"/>
        </w:rPr>
        <w:t xml:space="preserve"> </w:t>
      </w:r>
      <w:r w:rsidR="00DC2B9D" w:rsidRPr="00A703A0">
        <w:rPr>
          <w:szCs w:val="21"/>
        </w:rPr>
        <w:t xml:space="preserve">Assuming the </w:t>
      </w:r>
      <w:r w:rsidR="00DC2B9D">
        <w:rPr>
          <w:rFonts w:hint="eastAsia"/>
          <w:szCs w:val="21"/>
        </w:rPr>
        <w:t>sample</w:t>
      </w:r>
      <w:r w:rsidR="00DC2B9D">
        <w:rPr>
          <w:szCs w:val="21"/>
        </w:rPr>
        <w:t xml:space="preserve"> size ratio of the experiment and control group is 1:1, </w:t>
      </w:r>
      <w:r w:rsidR="00DC2B9D" w:rsidRPr="00A703A0">
        <w:rPr>
          <w:szCs w:val="21"/>
        </w:rPr>
        <w:t>non-inferiority margin HR</w:t>
      </w:r>
      <w:r w:rsidR="00DC2B9D" w:rsidRPr="006A7BB4">
        <w:rPr>
          <w:szCs w:val="21"/>
          <w:vertAlign w:val="subscript"/>
        </w:rPr>
        <w:t>0</w:t>
      </w:r>
      <w:r w:rsidR="00DC2B9D" w:rsidRPr="00A703A0">
        <w:rPr>
          <w:szCs w:val="21"/>
        </w:rPr>
        <w:t>=1.09, the true hazard ratio HR</w:t>
      </w:r>
      <w:r w:rsidR="00DC2B9D" w:rsidRPr="006A7BB4">
        <w:rPr>
          <w:szCs w:val="21"/>
          <w:vertAlign w:val="subscript"/>
        </w:rPr>
        <w:t>1</w:t>
      </w:r>
      <w:r w:rsidR="00DC2B9D" w:rsidRPr="00A703A0">
        <w:rPr>
          <w:szCs w:val="21"/>
        </w:rPr>
        <w:t xml:space="preserve"> of the </w:t>
      </w:r>
      <w:r w:rsidR="00DC2B9D">
        <w:rPr>
          <w:szCs w:val="21"/>
        </w:rPr>
        <w:t>experimental</w:t>
      </w:r>
      <w:r w:rsidR="00DC2B9D" w:rsidRPr="00A703A0">
        <w:rPr>
          <w:szCs w:val="21"/>
        </w:rPr>
        <w:t xml:space="preserve"> group </w:t>
      </w:r>
      <w:r w:rsidR="00DC2B9D">
        <w:rPr>
          <w:rFonts w:hint="eastAsia"/>
          <w:szCs w:val="21"/>
        </w:rPr>
        <w:t>versus</w:t>
      </w:r>
      <w:r w:rsidR="00DC2B9D" w:rsidRPr="00A703A0">
        <w:rPr>
          <w:szCs w:val="21"/>
        </w:rPr>
        <w:t xml:space="preserve"> the control group </w:t>
      </w:r>
      <w:r w:rsidR="00DC2B9D">
        <w:rPr>
          <w:szCs w:val="21"/>
        </w:rPr>
        <w:t>i</w:t>
      </w:r>
      <w:r w:rsidR="00DC2B9D" w:rsidRPr="00A703A0">
        <w:rPr>
          <w:szCs w:val="21"/>
        </w:rPr>
        <w:t>s 0.85, and the event rate</w:t>
      </w:r>
      <w:r w:rsidR="00DC2B9D">
        <w:rPr>
          <w:szCs w:val="21"/>
        </w:rPr>
        <w:t xml:space="preserve"> of both groups</w:t>
      </w:r>
      <w:r w:rsidR="00DC2B9D" w:rsidRPr="00A703A0">
        <w:rPr>
          <w:szCs w:val="21"/>
        </w:rPr>
        <w:t xml:space="preserve"> </w:t>
      </w:r>
      <w:r w:rsidR="00DC2B9D">
        <w:rPr>
          <w:szCs w:val="21"/>
        </w:rPr>
        <w:t>is 0.75. one-side p value of 0.025, 0.192 fo power.</w:t>
      </w:r>
      <w:r w:rsidR="00D054BF" w:rsidRPr="00A703A0">
        <w:rPr>
          <w:szCs w:val="21"/>
        </w:rPr>
        <w:t xml:space="preserve"> According to the above parameters,</w:t>
      </w:r>
      <w:r w:rsidR="00D054BF">
        <w:rPr>
          <w:szCs w:val="21"/>
        </w:rPr>
        <w:t xml:space="preserve"> </w:t>
      </w:r>
      <w:r w:rsidRPr="00DE08F1">
        <w:t>at least 698 patients (349 per group) are needed for 1:1 randomization to obtain 524 events calculated by PASS 2019 software.</w:t>
      </w:r>
    </w:p>
    <w:p w14:paraId="3C30EE71" w14:textId="6F0315D0" w:rsidR="00D45C54" w:rsidRDefault="003E0392">
      <w:pPr>
        <w:pStyle w:val="20"/>
      </w:pPr>
      <w:bookmarkStart w:id="41" w:name="_Toc196547972"/>
      <w:r w:rsidRPr="00384EEC">
        <w:t>3.</w:t>
      </w:r>
      <w:r w:rsidR="0061509F" w:rsidRPr="00384EEC">
        <w:t xml:space="preserve">3 </w:t>
      </w:r>
      <w:r w:rsidRPr="00384EEC">
        <w:t>Methods for reducing bias</w:t>
      </w:r>
      <w:bookmarkEnd w:id="41"/>
      <w:r>
        <w:rPr>
          <w:rFonts w:hint="eastAsia"/>
        </w:rPr>
        <w:t xml:space="preserve"> </w:t>
      </w:r>
    </w:p>
    <w:p w14:paraId="3C382FC1" w14:textId="4F0908DC" w:rsidR="00D45C54" w:rsidRDefault="003E0392">
      <w:pPr>
        <w:pStyle w:val="3"/>
      </w:pPr>
      <w:bookmarkStart w:id="42" w:name="_Toc196547973"/>
      <w:r>
        <w:rPr>
          <w:rFonts w:hint="eastAsia"/>
        </w:rPr>
        <w:t>3.</w:t>
      </w:r>
      <w:r w:rsidR="0061509F">
        <w:t>3</w:t>
      </w:r>
      <w:r>
        <w:rPr>
          <w:rFonts w:hint="eastAsia"/>
        </w:rPr>
        <w:t>.1 Random</w:t>
      </w:r>
      <w:r w:rsidR="00593CC9">
        <w:t>ization</w:t>
      </w:r>
      <w:r>
        <w:rPr>
          <w:rFonts w:hint="eastAsia"/>
        </w:rPr>
        <w:t xml:space="preserve"> </w:t>
      </w:r>
      <w:r w:rsidR="00593CC9">
        <w:t>and stratified factors</w:t>
      </w:r>
      <w:bookmarkEnd w:id="42"/>
      <w:r w:rsidR="00593CC9">
        <w:rPr>
          <w:rFonts w:hint="eastAsia"/>
        </w:rPr>
        <w:t xml:space="preserve"> </w:t>
      </w:r>
    </w:p>
    <w:p w14:paraId="7BFD6F11" w14:textId="1D79E85B" w:rsidR="000C15BF" w:rsidRDefault="000C15BF" w:rsidP="000C15BF">
      <w:pPr>
        <w:pStyle w:val="P68B1DB1-125"/>
        <w:rPr>
          <w:rFonts w:hint="default"/>
        </w:rPr>
      </w:pPr>
      <w:r>
        <w:t>This study adopte</w:t>
      </w:r>
      <w:r>
        <w:rPr>
          <w:rFonts w:hint="default"/>
        </w:rPr>
        <w:t>s</w:t>
      </w:r>
      <w:r>
        <w:t xml:space="preserve"> a randomized, open, parallel-controlled, multicenter design. The randomization method </w:t>
      </w:r>
      <w:r w:rsidR="00AA32D4">
        <w:rPr>
          <w:rFonts w:hint="default"/>
        </w:rPr>
        <w:t>is</w:t>
      </w:r>
      <w:r>
        <w:t xml:space="preserve"> central stratified randomization, and each center competed for enrollment. Subjects </w:t>
      </w:r>
      <w:r w:rsidR="00AA32D4">
        <w:rPr>
          <w:rFonts w:hint="default"/>
        </w:rPr>
        <w:t>are</w:t>
      </w:r>
      <w:r>
        <w:t xml:space="preserve"> randomized using the eRand central randomization system. For the subjects who signed the informed consent form and </w:t>
      </w:r>
      <w:r w:rsidR="00AA32D4">
        <w:rPr>
          <w:rFonts w:hint="default"/>
        </w:rPr>
        <w:t>are</w:t>
      </w:r>
      <w:r>
        <w:t xml:space="preserve"> successfully screened, the investigators </w:t>
      </w:r>
      <w:r w:rsidR="00AA32D4">
        <w:rPr>
          <w:rFonts w:hint="default"/>
        </w:rPr>
        <w:t>are</w:t>
      </w:r>
      <w:r>
        <w:t xml:space="preserve"> required to log in the central randomization system and input the basic information of the subjects, including the research center, the </w:t>
      </w:r>
      <w:r w:rsidR="00AA32D4">
        <w:t xml:space="preserve">name </w:t>
      </w:r>
      <w:r>
        <w:t>abbreviation, gender, birth</w:t>
      </w:r>
      <w:r w:rsidR="00AA32D4">
        <w:t xml:space="preserve"> date</w:t>
      </w:r>
      <w:r>
        <w:t>, stratification factors, etc. After confirming the accuracy of the basic information and stratification factors of the subjects, the investigators or their authorized personnel under</w:t>
      </w:r>
      <w:r w:rsidR="007F7CBD">
        <w:rPr>
          <w:rFonts w:hint="default"/>
        </w:rPr>
        <w:t>go</w:t>
      </w:r>
      <w:r>
        <w:t xml:space="preserve"> randomization. The central randomization system returns the randomization result for that subject, including the randomization number and the corresponding treatment group. The drug </w:t>
      </w:r>
      <w:r w:rsidR="001B5B9E">
        <w:rPr>
          <w:rFonts w:hint="default"/>
        </w:rPr>
        <w:t>keeper</w:t>
      </w:r>
      <w:r w:rsidR="001B5B9E">
        <w:t xml:space="preserve"> </w:t>
      </w:r>
      <w:r>
        <w:t xml:space="preserve">of the </w:t>
      </w:r>
      <w:r w:rsidR="001B5B9E">
        <w:rPr>
          <w:rFonts w:hint="default"/>
        </w:rPr>
        <w:t>study sites</w:t>
      </w:r>
      <w:r>
        <w:t xml:space="preserve"> will </w:t>
      </w:r>
      <w:r w:rsidR="001B5B9E">
        <w:rPr>
          <w:rFonts w:hint="default"/>
        </w:rPr>
        <w:t>send</w:t>
      </w:r>
      <w:r w:rsidR="001B5B9E">
        <w:t xml:space="preserve"> </w:t>
      </w:r>
      <w:r>
        <w:t>the corresponding drugs according to the treatment group. The random number of each successfully randomized subject is uniquely and permanently identified. If the patient under</w:t>
      </w:r>
      <w:r w:rsidR="007F7CBD">
        <w:rPr>
          <w:rFonts w:hint="default"/>
        </w:rPr>
        <w:t>go</w:t>
      </w:r>
      <w:r>
        <w:t xml:space="preserve"> randomization successfully but d</w:t>
      </w:r>
      <w:r w:rsidR="007F7CBD">
        <w:rPr>
          <w:rFonts w:hint="default"/>
        </w:rPr>
        <w:t>o</w:t>
      </w:r>
      <w:r>
        <w:t xml:space="preserve"> not receive the trial drug, the randomization number </w:t>
      </w:r>
      <w:r w:rsidR="007F7CBD">
        <w:rPr>
          <w:rFonts w:hint="default"/>
        </w:rPr>
        <w:t>is</w:t>
      </w:r>
      <w:r>
        <w:t xml:space="preserve"> invalided and could not be reassigned. The monitor could log in the system to verify the basic information of the subjects and the enrollment of treatment groups in each center, and send questions to the responsible person for the information in doubt.</w:t>
      </w:r>
    </w:p>
    <w:p w14:paraId="7F8530AB" w14:textId="0614F0B7" w:rsidR="000C15BF" w:rsidRPr="000C15BF" w:rsidRDefault="000C15BF" w:rsidP="003127AF">
      <w:pPr>
        <w:pStyle w:val="P68B1DB1-125"/>
        <w:rPr>
          <w:rFonts w:hint="default"/>
        </w:rPr>
      </w:pPr>
      <w:r>
        <w:t xml:space="preserve">After randomization, subjects had to start the study treatment within </w:t>
      </w:r>
      <w:r w:rsidR="0069729A">
        <w:rPr>
          <w:rFonts w:hint="default"/>
        </w:rPr>
        <w:t>2</w:t>
      </w:r>
      <w:r w:rsidR="0069729A">
        <w:t xml:space="preserve"> </w:t>
      </w:r>
      <w:r>
        <w:t>days.</w:t>
      </w:r>
    </w:p>
    <w:p w14:paraId="764E71FA" w14:textId="2ACB37F6" w:rsidR="003B5187" w:rsidRDefault="003B5187" w:rsidP="003B5187">
      <w:pPr>
        <w:rPr>
          <w:b/>
        </w:rPr>
      </w:pPr>
      <w:r w:rsidRPr="003B5187">
        <w:t xml:space="preserve">To ensure the balance between the experimental group and the control group, the following factors affecting the efficacy indicators </w:t>
      </w:r>
      <w:r>
        <w:t>are</w:t>
      </w:r>
      <w:r w:rsidRPr="003B5187">
        <w:t xml:space="preserve"> controlled:</w:t>
      </w:r>
    </w:p>
    <w:p w14:paraId="78EAC9EF" w14:textId="6908165A" w:rsidR="00856A11" w:rsidRPr="00384EEC" w:rsidRDefault="00856A11" w:rsidP="003B5187">
      <w:pPr>
        <w:pStyle w:val="P68B1DB1-15621"/>
        <w:numPr>
          <w:ilvl w:val="0"/>
          <w:numId w:val="43"/>
        </w:numPr>
        <w:spacing w:before="120"/>
        <w:rPr>
          <w:rFonts w:hint="default"/>
          <w:b w:val="0"/>
        </w:rPr>
      </w:pPr>
      <w:r w:rsidRPr="00384EEC">
        <w:rPr>
          <w:rFonts w:eastAsia="Times New Roman"/>
          <w:b w:val="0"/>
        </w:rPr>
        <w:t xml:space="preserve">primary tumor site (right/left); </w:t>
      </w:r>
    </w:p>
    <w:p w14:paraId="5F23724D" w14:textId="1E2A2942" w:rsidR="00D45C54" w:rsidRDefault="00307B4E" w:rsidP="006D1B06">
      <w:pPr>
        <w:pStyle w:val="P68B1DB1-15621"/>
        <w:numPr>
          <w:ilvl w:val="0"/>
          <w:numId w:val="43"/>
        </w:numPr>
        <w:spacing w:before="120"/>
        <w:rPr>
          <w:rFonts w:hint="default"/>
          <w:b w:val="0"/>
        </w:rPr>
      </w:pPr>
      <w:r w:rsidRPr="00F94C48">
        <w:rPr>
          <w:rFonts w:hint="default"/>
          <w:b w:val="0"/>
        </w:rPr>
        <w:t>prior</w:t>
      </w:r>
      <w:r w:rsidR="00856A11" w:rsidRPr="00384EEC">
        <w:rPr>
          <w:rFonts w:eastAsia="Times New Roman"/>
          <w:b w:val="0"/>
        </w:rPr>
        <w:t xml:space="preserve"> adjuvant chemotherapy (yes/no)</w:t>
      </w:r>
      <w:r w:rsidR="003E0392" w:rsidRPr="00384EEC">
        <w:rPr>
          <w:b w:val="0"/>
        </w:rPr>
        <w:t xml:space="preserve">. </w:t>
      </w:r>
    </w:p>
    <w:p w14:paraId="65D8DC4A" w14:textId="650C219B" w:rsidR="00856A11" w:rsidRPr="00384EEC" w:rsidRDefault="00856A11" w:rsidP="00384EEC">
      <w:pPr>
        <w:pStyle w:val="20"/>
      </w:pPr>
      <w:bookmarkStart w:id="43" w:name="_Toc196547974"/>
      <w:r w:rsidRPr="003353E5">
        <w:t>3.</w:t>
      </w:r>
      <w:r w:rsidR="007A7788">
        <w:t>4</w:t>
      </w:r>
      <w:r w:rsidRPr="003353E5">
        <w:t xml:space="preserve"> </w:t>
      </w:r>
      <w:r w:rsidR="007A7788">
        <w:t>Imaging evaluation</w:t>
      </w:r>
      <w:bookmarkEnd w:id="43"/>
    </w:p>
    <w:p w14:paraId="028F3536" w14:textId="6B88A5F6" w:rsidR="007A7788" w:rsidRPr="00384EEC" w:rsidRDefault="007A7788" w:rsidP="00384EEC">
      <w:pPr>
        <w:rPr>
          <w:rFonts w:eastAsiaTheme="minorEastAsia"/>
        </w:rPr>
      </w:pPr>
      <w:r w:rsidRPr="00384EEC">
        <w:lastRenderedPageBreak/>
        <w:t xml:space="preserve">The efficacy of this study </w:t>
      </w:r>
      <w:r w:rsidR="00923878">
        <w:t>i</w:t>
      </w:r>
      <w:r w:rsidRPr="00384EEC">
        <w:t>s evaluated by investigator</w:t>
      </w:r>
      <w:r w:rsidR="00923878">
        <w:t>s</w:t>
      </w:r>
      <w:r w:rsidRPr="00384EEC">
        <w:t xml:space="preserve"> and </w:t>
      </w:r>
      <w:r w:rsidR="00923878" w:rsidRPr="00923878">
        <w:t>an Independent Review Committee</w:t>
      </w:r>
      <w:r w:rsidRPr="00384EEC">
        <w:t xml:space="preserve"> (IRC). During the study, each </w:t>
      </w:r>
      <w:r w:rsidR="00923878" w:rsidRPr="00384EEC">
        <w:t>center evaluat</w:t>
      </w:r>
      <w:r w:rsidRPr="00384EEC">
        <w:t xml:space="preserve"> the efficacy according to the clinical situation, an</w:t>
      </w:r>
      <w:r w:rsidR="00923878" w:rsidRPr="00384EEC">
        <w:t>d whether the subjects continue</w:t>
      </w:r>
      <w:r w:rsidRPr="00384EEC">
        <w:t xml:space="preserve"> to use the drug </w:t>
      </w:r>
      <w:r w:rsidR="00923878">
        <w:t>i</w:t>
      </w:r>
      <w:r w:rsidRPr="00384EEC">
        <w:t>s evaluated by the authorized investigators</w:t>
      </w:r>
      <w:r w:rsidR="00923878" w:rsidRPr="00384EEC">
        <w:t>. IRC perform</w:t>
      </w:r>
      <w:r w:rsidRPr="00384EEC">
        <w:t xml:space="preserve"> blinded independent imaging evaluation, and the PFS results evaluated by IRC </w:t>
      </w:r>
      <w:r w:rsidR="00923878">
        <w:t>are</w:t>
      </w:r>
      <w:r w:rsidRPr="00384EEC">
        <w:t xml:space="preserve"> used as the primary endpoint.</w:t>
      </w:r>
    </w:p>
    <w:p w14:paraId="5103D2DD" w14:textId="3335BF95" w:rsidR="007A7788" w:rsidRPr="00384EEC" w:rsidRDefault="007A7788" w:rsidP="00384EEC">
      <w:pPr>
        <w:rPr>
          <w:rFonts w:eastAsiaTheme="minorEastAsia"/>
        </w:rPr>
      </w:pPr>
      <w:r w:rsidRPr="00384EEC">
        <w:t>Participants who withdr</w:t>
      </w:r>
      <w:r w:rsidR="00923878">
        <w:t>a</w:t>
      </w:r>
      <w:r w:rsidRPr="00384EEC">
        <w:t xml:space="preserve">w without the primary efficacy measure </w:t>
      </w:r>
      <w:r w:rsidR="00923878">
        <w:t>are</w:t>
      </w:r>
      <w:r w:rsidR="00923878" w:rsidRPr="00384EEC">
        <w:t xml:space="preserve"> followed for the primary end</w:t>
      </w:r>
      <w:r w:rsidRPr="00384EEC">
        <w:t>point (unl</w:t>
      </w:r>
      <w:r w:rsidR="00923878" w:rsidRPr="00384EEC">
        <w:t>ess they withdr</w:t>
      </w:r>
      <w:r w:rsidR="00923878">
        <w:t>a</w:t>
      </w:r>
      <w:r w:rsidR="00923878" w:rsidRPr="00384EEC">
        <w:t>w consent or ha</w:t>
      </w:r>
      <w:r w:rsidR="00923878">
        <w:t>ve</w:t>
      </w:r>
      <w:r w:rsidRPr="00384EEC">
        <w:t xml:space="preserve"> started another antitumor therapy).</w:t>
      </w:r>
    </w:p>
    <w:p w14:paraId="5B7ACF6E" w14:textId="65716EEF" w:rsidR="007A7788" w:rsidRPr="00384EEC" w:rsidRDefault="007A7788" w:rsidP="00384EEC">
      <w:r w:rsidRPr="00384EEC">
        <w:t>Additional details regarding independent central imaging procedures are provided in the Central Imaging Practices Manual, provided by the sponsor.</w:t>
      </w:r>
      <w:r w:rsidRPr="00384EEC" w:rsidDel="0061509F">
        <w:rPr>
          <w:rFonts w:hint="eastAsia"/>
        </w:rPr>
        <w:t xml:space="preserve"> </w:t>
      </w:r>
    </w:p>
    <w:p w14:paraId="071C1F1E" w14:textId="395EF6BE" w:rsidR="00D45C54" w:rsidRDefault="003E0392">
      <w:pPr>
        <w:pStyle w:val="1"/>
      </w:pPr>
      <w:bookmarkStart w:id="44" w:name="_Toc196547975"/>
      <w:r w:rsidRPr="00384EEC">
        <w:t>4</w:t>
      </w:r>
      <w:r w:rsidR="00EA7A66" w:rsidRPr="00384EEC">
        <w:t>.</w:t>
      </w:r>
      <w:r w:rsidRPr="00384EEC">
        <w:t xml:space="preserve"> S</w:t>
      </w:r>
      <w:r w:rsidR="00FE398C" w:rsidRPr="00384EEC">
        <w:t>ubject selection and withdrawal</w:t>
      </w:r>
      <w:bookmarkEnd w:id="44"/>
      <w:r>
        <w:rPr>
          <w:rFonts w:hint="eastAsia"/>
        </w:rPr>
        <w:t xml:space="preserve"> </w:t>
      </w:r>
    </w:p>
    <w:p w14:paraId="798F3515" w14:textId="74778A68" w:rsidR="00D45C54" w:rsidRDefault="003E0392">
      <w:pPr>
        <w:pStyle w:val="20"/>
      </w:pPr>
      <w:bookmarkStart w:id="45" w:name="_Toc196547976"/>
      <w:r>
        <w:rPr>
          <w:rFonts w:hint="eastAsia"/>
        </w:rPr>
        <w:t>4.1 Inclusion criteria</w:t>
      </w:r>
      <w:bookmarkEnd w:id="45"/>
      <w:r>
        <w:rPr>
          <w:rFonts w:hint="eastAsia"/>
        </w:rPr>
        <w:t xml:space="preserve"> </w:t>
      </w:r>
    </w:p>
    <w:p w14:paraId="7C296827" w14:textId="77777777" w:rsidR="0087104B" w:rsidRDefault="0087104B" w:rsidP="0087104B">
      <w:pPr>
        <w:pStyle w:val="P68B1DB1-17420"/>
        <w:ind w:firstLineChars="0" w:firstLine="0"/>
        <w:rPr>
          <w:rFonts w:hint="default"/>
        </w:rPr>
      </w:pPr>
      <w:r>
        <w:t xml:space="preserve">Subjects who meet all of the following inclusion criteria can be included in this trial: </w:t>
      </w:r>
    </w:p>
    <w:p w14:paraId="5B8DA23E" w14:textId="77777777" w:rsidR="0087104B" w:rsidRDefault="0087104B" w:rsidP="006D1B06">
      <w:pPr>
        <w:pStyle w:val="P68B1DB1-17420"/>
        <w:numPr>
          <w:ilvl w:val="0"/>
          <w:numId w:val="44"/>
        </w:numPr>
        <w:ind w:firstLineChars="0"/>
        <w:rPr>
          <w:rFonts w:hint="default"/>
        </w:rPr>
      </w:pPr>
      <w:r>
        <w:t>Be willing and able to provide written informed consent for the trial, and comply with all aspects of the protocol</w:t>
      </w:r>
      <w:r>
        <w:rPr>
          <w:rFonts w:hint="default"/>
        </w:rPr>
        <w:t>;</w:t>
      </w:r>
    </w:p>
    <w:p w14:paraId="63960AF3" w14:textId="77777777" w:rsidR="0087104B" w:rsidRDefault="0087104B" w:rsidP="006D1B06">
      <w:pPr>
        <w:pStyle w:val="P68B1DB1-17420"/>
        <w:numPr>
          <w:ilvl w:val="0"/>
          <w:numId w:val="44"/>
        </w:numPr>
        <w:ind w:firstLineChars="0"/>
        <w:rPr>
          <w:rFonts w:hint="default"/>
        </w:rPr>
      </w:pPr>
      <w:r>
        <w:t>Age 18-</w:t>
      </w:r>
      <w:r>
        <w:rPr>
          <w:rFonts w:hint="default"/>
        </w:rPr>
        <w:t>75</w:t>
      </w:r>
      <w:r>
        <w:t xml:space="preserve"> years (calculated on the date of signing the informed consent form); ECOG PS of 0-1</w:t>
      </w:r>
      <w:r>
        <w:rPr>
          <w:rFonts w:hint="default"/>
        </w:rPr>
        <w:t>;</w:t>
      </w:r>
      <w:r>
        <w:t xml:space="preserve"> predicted life expectancy of </w:t>
      </w:r>
      <w:r w:rsidRPr="003353E5">
        <w:rPr>
          <w:rFonts w:hint="default"/>
        </w:rPr>
        <w:t>≥</w:t>
      </w:r>
      <w:r>
        <w:t>3 months</w:t>
      </w:r>
      <w:r>
        <w:rPr>
          <w:rFonts w:hint="default"/>
        </w:rPr>
        <w:t>;</w:t>
      </w:r>
    </w:p>
    <w:p w14:paraId="0E2EF1BC" w14:textId="77777777" w:rsidR="0087104B" w:rsidRDefault="0087104B" w:rsidP="006D1B06">
      <w:pPr>
        <w:pStyle w:val="P68B1DB1-17420"/>
        <w:numPr>
          <w:ilvl w:val="0"/>
          <w:numId w:val="44"/>
        </w:numPr>
        <w:ind w:firstLineChars="0"/>
        <w:rPr>
          <w:rFonts w:hint="default"/>
        </w:rPr>
      </w:pPr>
      <w:r w:rsidRPr="00934EE2">
        <w:t xml:space="preserve">Pathologically confirmed unresectable metastatic colorectal adenocarcinoma </w:t>
      </w:r>
      <w:r>
        <w:rPr>
          <w:rFonts w:hint="default"/>
        </w:rPr>
        <w:t xml:space="preserve">and </w:t>
      </w:r>
      <w:r w:rsidRPr="00934EE2">
        <w:t>confirmed by MDT (UICC/AJCC colorectal cancer TNM staging system (8th edition, 2017));</w:t>
      </w:r>
      <w:r>
        <w:t xml:space="preserve"> </w:t>
      </w:r>
    </w:p>
    <w:p w14:paraId="39FC6A87" w14:textId="77777777" w:rsidR="0087104B" w:rsidRDefault="0087104B" w:rsidP="006D1B06">
      <w:pPr>
        <w:pStyle w:val="P68B1DB1-17420"/>
        <w:numPr>
          <w:ilvl w:val="0"/>
          <w:numId w:val="44"/>
        </w:numPr>
        <w:ind w:firstLineChars="0"/>
        <w:rPr>
          <w:rFonts w:hint="default"/>
        </w:rPr>
      </w:pPr>
      <w:r w:rsidRPr="00BC7438">
        <w:t>Patients with wild-type RAS (including KRAS and NRAS) and wild-type BRAF by genetic testing</w:t>
      </w:r>
      <w:r>
        <w:rPr>
          <w:rFonts w:hint="default"/>
        </w:rPr>
        <w:t>;</w:t>
      </w:r>
      <w:r>
        <w:t xml:space="preserve"> </w:t>
      </w:r>
    </w:p>
    <w:p w14:paraId="238F7D7C" w14:textId="77777777" w:rsidR="0087104B" w:rsidRDefault="0087104B" w:rsidP="006D1B06">
      <w:pPr>
        <w:pStyle w:val="P68B1DB1-17420"/>
        <w:numPr>
          <w:ilvl w:val="0"/>
          <w:numId w:val="44"/>
        </w:numPr>
        <w:ind w:firstLineChars="0"/>
        <w:rPr>
          <w:rFonts w:hint="default"/>
        </w:rPr>
      </w:pPr>
      <w:r>
        <w:rPr>
          <w:rFonts w:hint="default"/>
        </w:rPr>
        <w:t>A</w:t>
      </w:r>
      <w:r>
        <w:t xml:space="preserve">t least 1 measurable lesion by RECIST 1.1 criteria. </w:t>
      </w:r>
    </w:p>
    <w:p w14:paraId="52CDB99D" w14:textId="77777777" w:rsidR="0087104B" w:rsidRDefault="0087104B" w:rsidP="006D1B06">
      <w:pPr>
        <w:pStyle w:val="P68B1DB1-17420"/>
        <w:numPr>
          <w:ilvl w:val="0"/>
          <w:numId w:val="44"/>
        </w:numPr>
        <w:ind w:firstLineChars="0"/>
        <w:rPr>
          <w:rFonts w:hint="default"/>
        </w:rPr>
      </w:pPr>
      <w:r>
        <w:t xml:space="preserve">Adequate function of the important organs as evidenced by the following: </w:t>
      </w:r>
    </w:p>
    <w:p w14:paraId="3956A563" w14:textId="77777777" w:rsidR="0087104B" w:rsidRDefault="0087104B" w:rsidP="006D1B06">
      <w:pPr>
        <w:pStyle w:val="P68B1DB1-17420"/>
        <w:numPr>
          <w:ilvl w:val="0"/>
          <w:numId w:val="45"/>
        </w:numPr>
        <w:ind w:firstLineChars="0"/>
        <w:rPr>
          <w:rFonts w:hint="default"/>
        </w:rPr>
      </w:pPr>
      <w:r>
        <w:t xml:space="preserve">Hemanalysis (no blood transfusion within 7 days, no correction with hematopoietic stimulator drugs): </w:t>
      </w:r>
    </w:p>
    <w:p w14:paraId="4C138947" w14:textId="77777777" w:rsidR="0087104B" w:rsidRDefault="0087104B" w:rsidP="006D1B06">
      <w:pPr>
        <w:pStyle w:val="P68B1DB1-17420"/>
        <w:numPr>
          <w:ilvl w:val="0"/>
          <w:numId w:val="46"/>
        </w:numPr>
        <w:ind w:firstLineChars="0"/>
        <w:rPr>
          <w:rFonts w:hint="default"/>
        </w:rPr>
      </w:pPr>
      <w:r>
        <w:t>hemoglobin (H</w:t>
      </w:r>
      <w:r>
        <w:rPr>
          <w:rFonts w:hint="default"/>
        </w:rPr>
        <w:t>GB</w:t>
      </w:r>
      <w:r>
        <w:t xml:space="preserve">) </w:t>
      </w:r>
      <w:r w:rsidRPr="00D27CBC">
        <w:rPr>
          <w:rFonts w:hint="default"/>
        </w:rPr>
        <w:t>≥</w:t>
      </w:r>
      <w:r>
        <w:t>90 g/L</w:t>
      </w:r>
      <w:r>
        <w:rPr>
          <w:rFonts w:hint="default"/>
        </w:rPr>
        <w:t>,</w:t>
      </w:r>
      <w:r>
        <w:t xml:space="preserve"> </w:t>
      </w:r>
    </w:p>
    <w:p w14:paraId="2486391E" w14:textId="527D7BA1" w:rsidR="0087104B" w:rsidRDefault="0087104B" w:rsidP="006D1B06">
      <w:pPr>
        <w:pStyle w:val="P68B1DB1-17420"/>
        <w:numPr>
          <w:ilvl w:val="0"/>
          <w:numId w:val="46"/>
        </w:numPr>
        <w:ind w:firstLineChars="0"/>
        <w:rPr>
          <w:rFonts w:hint="default"/>
        </w:rPr>
      </w:pPr>
      <w:r>
        <w:t>absolute neutrophil count (</w:t>
      </w:r>
      <w:r>
        <w:rPr>
          <w:rFonts w:hint="default"/>
        </w:rPr>
        <w:t>NEUT</w:t>
      </w:r>
      <w:r>
        <w:t xml:space="preserve">) </w:t>
      </w:r>
      <w:r w:rsidRPr="003353E5">
        <w:rPr>
          <w:rFonts w:hint="default"/>
        </w:rPr>
        <w:t>≥</w:t>
      </w:r>
      <w:r>
        <w:t>1.5</w:t>
      </w:r>
      <w:r w:rsidRPr="005268FA">
        <w:rPr>
          <w:rFonts w:hint="default"/>
        </w:rPr>
        <w:t>×</w:t>
      </w:r>
      <w:r>
        <w:t>10</w:t>
      </w:r>
      <w:r w:rsidRPr="003353E5">
        <w:rPr>
          <w:vertAlign w:val="superscript"/>
        </w:rPr>
        <w:t>9</w:t>
      </w:r>
      <w:r>
        <w:t xml:space="preserve">/L; </w:t>
      </w:r>
    </w:p>
    <w:p w14:paraId="4C4A02F3" w14:textId="2CE770B8" w:rsidR="0087104B" w:rsidRDefault="0087104B" w:rsidP="006D1B06">
      <w:pPr>
        <w:pStyle w:val="P68B1DB1-17420"/>
        <w:numPr>
          <w:ilvl w:val="0"/>
          <w:numId w:val="46"/>
        </w:numPr>
        <w:ind w:firstLineChars="0"/>
        <w:rPr>
          <w:rFonts w:hint="default"/>
        </w:rPr>
      </w:pPr>
      <w:r>
        <w:t xml:space="preserve">platelets </w:t>
      </w:r>
      <w:r w:rsidR="00257844">
        <w:t>count</w:t>
      </w:r>
      <w:r w:rsidR="00257844">
        <w:rPr>
          <w:rFonts w:hint="default"/>
        </w:rPr>
        <w:t xml:space="preserve"> </w:t>
      </w:r>
      <w:r>
        <w:t xml:space="preserve">(PLT) </w:t>
      </w:r>
      <w:r w:rsidRPr="003353E5">
        <w:rPr>
          <w:rFonts w:hint="default"/>
        </w:rPr>
        <w:t>≥</w:t>
      </w:r>
      <w:r>
        <w:t>100</w:t>
      </w:r>
      <w:r w:rsidRPr="005268FA">
        <w:rPr>
          <w:rFonts w:hint="default"/>
        </w:rPr>
        <w:t>×</w:t>
      </w:r>
      <w:r>
        <w:t>10</w:t>
      </w:r>
      <w:r w:rsidRPr="003353E5">
        <w:rPr>
          <w:vertAlign w:val="superscript"/>
        </w:rPr>
        <w:t>9</w:t>
      </w:r>
      <w:r>
        <w:t>/L;</w:t>
      </w:r>
    </w:p>
    <w:p w14:paraId="4E5FEFF4" w14:textId="77777777" w:rsidR="0087104B" w:rsidRDefault="0087104B" w:rsidP="006D1B06">
      <w:pPr>
        <w:pStyle w:val="P68B1DB1-17420"/>
        <w:numPr>
          <w:ilvl w:val="0"/>
          <w:numId w:val="45"/>
        </w:numPr>
        <w:ind w:firstLineChars="0"/>
        <w:rPr>
          <w:rFonts w:hint="default"/>
        </w:rPr>
      </w:pPr>
      <w:r>
        <w:t xml:space="preserve">Biochemistry: </w:t>
      </w:r>
    </w:p>
    <w:p w14:paraId="51854F03" w14:textId="32FCA13C" w:rsidR="0087104B" w:rsidRDefault="0087104B" w:rsidP="006D1B06">
      <w:pPr>
        <w:pStyle w:val="P68B1DB1-17420"/>
        <w:numPr>
          <w:ilvl w:val="0"/>
          <w:numId w:val="47"/>
        </w:numPr>
        <w:ind w:firstLineChars="0"/>
        <w:rPr>
          <w:rFonts w:hint="default"/>
        </w:rPr>
      </w:pPr>
      <w:r>
        <w:t xml:space="preserve">total bilirubin (TBIL) </w:t>
      </w:r>
      <w:r w:rsidRPr="003353E5">
        <w:rPr>
          <w:rFonts w:hint="default"/>
        </w:rPr>
        <w:t>≤</w:t>
      </w:r>
      <w:r w:rsidR="00257844">
        <w:rPr>
          <w:rFonts w:hint="default"/>
        </w:rPr>
        <w:t>1.5</w:t>
      </w:r>
      <w:r w:rsidRPr="005268FA">
        <w:rPr>
          <w:rFonts w:hint="default"/>
        </w:rPr>
        <w:t>×</w:t>
      </w:r>
      <w:r>
        <w:t xml:space="preserve">upper limit of normal value </w:t>
      </w:r>
      <w:r>
        <w:rPr>
          <w:rFonts w:hint="default"/>
        </w:rPr>
        <w:t>(</w:t>
      </w:r>
      <w:r>
        <w:t>ULN</w:t>
      </w:r>
      <w:r>
        <w:rPr>
          <w:rFonts w:hint="default"/>
        </w:rPr>
        <w:t>)</w:t>
      </w:r>
      <w:r>
        <w:t xml:space="preserve"> or </w:t>
      </w:r>
      <w:r w:rsidRPr="003353E5">
        <w:rPr>
          <w:rFonts w:hint="default"/>
        </w:rPr>
        <w:t>≤</w:t>
      </w:r>
      <w:r>
        <w:t>3</w:t>
      </w:r>
      <w:r w:rsidRPr="005268FA">
        <w:rPr>
          <w:rFonts w:hint="default"/>
        </w:rPr>
        <w:t>×</w:t>
      </w:r>
      <w:r>
        <w:t>ULN for patients with Gilbert syndrome;</w:t>
      </w:r>
    </w:p>
    <w:p w14:paraId="02350B19" w14:textId="4B129CA1" w:rsidR="0087104B" w:rsidRDefault="0087104B" w:rsidP="006D1B06">
      <w:pPr>
        <w:pStyle w:val="P68B1DB1-17420"/>
        <w:numPr>
          <w:ilvl w:val="0"/>
          <w:numId w:val="47"/>
        </w:numPr>
        <w:ind w:firstLineChars="0"/>
        <w:rPr>
          <w:rFonts w:hint="default"/>
        </w:rPr>
      </w:pPr>
      <w:r>
        <w:t xml:space="preserve">alanine aminotransferase (ALT) and aspartate aminotransferase (AST) </w:t>
      </w:r>
      <w:r w:rsidRPr="003353E5">
        <w:rPr>
          <w:rFonts w:hint="default"/>
        </w:rPr>
        <w:t>≤</w:t>
      </w:r>
      <w:r>
        <w:t>2.5</w:t>
      </w:r>
      <w:r w:rsidRPr="005268FA">
        <w:rPr>
          <w:rFonts w:hint="default"/>
        </w:rPr>
        <w:t>×</w:t>
      </w:r>
      <w:r w:rsidR="005268FA">
        <w:t xml:space="preserve"> </w:t>
      </w:r>
      <w:r w:rsidR="005268FA">
        <w:lastRenderedPageBreak/>
        <w:t>ULN</w:t>
      </w:r>
      <w:r>
        <w:t xml:space="preserve"> or </w:t>
      </w:r>
      <w:r w:rsidRPr="003353E5">
        <w:rPr>
          <w:rFonts w:hint="default"/>
        </w:rPr>
        <w:t>≤</w:t>
      </w:r>
      <w:r>
        <w:t>5</w:t>
      </w:r>
      <w:r w:rsidRPr="005268FA">
        <w:rPr>
          <w:rFonts w:hint="default"/>
        </w:rPr>
        <w:t>×</w:t>
      </w:r>
      <w:r>
        <w:t xml:space="preserve">ULN for patients with liver metastases; </w:t>
      </w:r>
    </w:p>
    <w:p w14:paraId="47F76BDD" w14:textId="5B2FD7A2" w:rsidR="0087104B" w:rsidRDefault="0087104B" w:rsidP="006D1B06">
      <w:pPr>
        <w:pStyle w:val="P68B1DB1-17420"/>
        <w:numPr>
          <w:ilvl w:val="0"/>
          <w:numId w:val="47"/>
        </w:numPr>
        <w:ind w:firstLineChars="0"/>
        <w:rPr>
          <w:rFonts w:hint="default"/>
        </w:rPr>
      </w:pPr>
      <w:r>
        <w:t xml:space="preserve">Creatinine (Cr) </w:t>
      </w:r>
      <w:r w:rsidRPr="003353E5">
        <w:rPr>
          <w:rFonts w:hint="default"/>
        </w:rPr>
        <w:t>≤</w:t>
      </w:r>
      <w:r>
        <w:t>1.5</w:t>
      </w:r>
      <w:r w:rsidRPr="005268FA">
        <w:rPr>
          <w:rFonts w:hint="default"/>
        </w:rPr>
        <w:t>×</w:t>
      </w:r>
      <w:r>
        <w:t>ULN</w:t>
      </w:r>
      <w:r w:rsidR="00257844">
        <w:rPr>
          <w:rFonts w:hint="default"/>
        </w:rPr>
        <w:t>.</w:t>
      </w:r>
      <w:r>
        <w:rPr>
          <w:rFonts w:hint="default"/>
        </w:rPr>
        <w:t xml:space="preserve"> </w:t>
      </w:r>
      <w:r w:rsidR="00257844">
        <w:rPr>
          <w:rFonts w:hint="default"/>
        </w:rPr>
        <w:t>O</w:t>
      </w:r>
      <w:r w:rsidR="00257844" w:rsidRPr="006463AF">
        <w:t xml:space="preserve">r </w:t>
      </w:r>
      <w:r w:rsidRPr="006463AF">
        <w:t>creatinine clearance (CCR)</w:t>
      </w:r>
      <w:r w:rsidRPr="003353E5">
        <w:rPr>
          <w:rFonts w:hint="default"/>
        </w:rPr>
        <w:t>≥</w:t>
      </w:r>
      <w:r w:rsidRPr="006463AF">
        <w:t>50ml/min</w:t>
      </w:r>
      <w:r>
        <w:rPr>
          <w:rFonts w:hint="default"/>
        </w:rPr>
        <w:t>.</w:t>
      </w:r>
    </w:p>
    <w:p w14:paraId="79F1D673" w14:textId="77777777" w:rsidR="0087104B" w:rsidRDefault="0087104B" w:rsidP="006D1B06">
      <w:pPr>
        <w:pStyle w:val="P68B1DB1-17420"/>
        <w:numPr>
          <w:ilvl w:val="0"/>
          <w:numId w:val="45"/>
        </w:numPr>
        <w:ind w:firstLineChars="0"/>
        <w:rPr>
          <w:rFonts w:hint="default"/>
        </w:rPr>
      </w:pPr>
      <w:r w:rsidRPr="006463AF">
        <w:t xml:space="preserve">Coagulation or thyroid tests </w:t>
      </w:r>
      <w:r>
        <w:rPr>
          <w:rFonts w:hint="default"/>
        </w:rPr>
        <w:t>are</w:t>
      </w:r>
      <w:r w:rsidRPr="006463AF">
        <w:t xml:space="preserve"> required to meet the following criteria</w:t>
      </w:r>
      <w:r>
        <w:rPr>
          <w:rFonts w:hint="default"/>
        </w:rPr>
        <w:t>:</w:t>
      </w:r>
    </w:p>
    <w:p w14:paraId="4DBCF077" w14:textId="49B15F9D" w:rsidR="0087104B" w:rsidRDefault="0087104B" w:rsidP="006D1B06">
      <w:pPr>
        <w:pStyle w:val="P68B1DB1-17420"/>
        <w:numPr>
          <w:ilvl w:val="0"/>
          <w:numId w:val="48"/>
        </w:numPr>
        <w:ind w:firstLineChars="0"/>
        <w:rPr>
          <w:rFonts w:hint="default"/>
        </w:rPr>
      </w:pPr>
      <w:r>
        <w:t>prothrombin time (PT)</w:t>
      </w:r>
      <w:r>
        <w:rPr>
          <w:rFonts w:hint="default"/>
        </w:rPr>
        <w:t xml:space="preserve">, </w:t>
      </w:r>
      <w:r>
        <w:t>activated partial thromboplastin time (APTT)</w:t>
      </w:r>
      <w:r>
        <w:rPr>
          <w:rFonts w:hint="default"/>
        </w:rPr>
        <w:t xml:space="preserve"> and</w:t>
      </w:r>
      <w:r>
        <w:t xml:space="preserve"> international normalization ratio (INR) </w:t>
      </w:r>
      <w:r w:rsidRPr="003353E5">
        <w:rPr>
          <w:rFonts w:hint="default"/>
        </w:rPr>
        <w:t>≤</w:t>
      </w:r>
      <w:r>
        <w:t xml:space="preserve"> 1.5</w:t>
      </w:r>
      <w:r>
        <w:t>×</w:t>
      </w:r>
      <w:r>
        <w:t xml:space="preserve">ULN (no </w:t>
      </w:r>
      <w:r w:rsidR="00257844">
        <w:rPr>
          <w:rFonts w:hint="default"/>
        </w:rPr>
        <w:t xml:space="preserve">prior </w:t>
      </w:r>
      <w:r>
        <w:t>anticoagulant therapy)</w:t>
      </w:r>
    </w:p>
    <w:p w14:paraId="6461D447" w14:textId="55705457" w:rsidR="0087104B" w:rsidRDefault="0087104B" w:rsidP="005268FA">
      <w:pPr>
        <w:pStyle w:val="P68B1DB1-17420"/>
        <w:numPr>
          <w:ilvl w:val="0"/>
          <w:numId w:val="48"/>
        </w:numPr>
        <w:ind w:firstLineChars="0"/>
        <w:rPr>
          <w:rFonts w:hint="default"/>
        </w:rPr>
      </w:pPr>
      <w:r>
        <w:t xml:space="preserve">Thyroid stimulating hormone (TSH) </w:t>
      </w:r>
      <w:r w:rsidRPr="003353E5">
        <w:rPr>
          <w:rFonts w:hint="default"/>
        </w:rPr>
        <w:t>≤</w:t>
      </w:r>
      <w:r>
        <w:t xml:space="preserve"> ULN; If </w:t>
      </w:r>
      <w:r w:rsidR="00257844">
        <w:rPr>
          <w:rFonts w:hint="default"/>
        </w:rPr>
        <w:t>level of TSH was</w:t>
      </w:r>
      <w:r w:rsidR="00257844">
        <w:t xml:space="preserve"> </w:t>
      </w:r>
      <w:r>
        <w:t>abnormal, T3 and T4 should be investigated</w:t>
      </w:r>
      <w:r w:rsidR="005268FA">
        <w:rPr>
          <w:rFonts w:hint="default"/>
        </w:rPr>
        <w:t xml:space="preserve"> </w:t>
      </w:r>
      <w:r w:rsidR="005268FA" w:rsidRPr="005268FA">
        <w:t xml:space="preserve">(if there are no T3 and T4 in the </w:t>
      </w:r>
      <w:r w:rsidR="00257844">
        <w:rPr>
          <w:rFonts w:hint="default"/>
        </w:rPr>
        <w:t>-sites</w:t>
      </w:r>
      <w:r w:rsidR="005268FA" w:rsidRPr="005268FA">
        <w:t>, FT3 and FT4 could be used instead). If the levels of T3 and T4 are normal, the patients could be included</w:t>
      </w:r>
      <w:r>
        <w:rPr>
          <w:rFonts w:hint="default"/>
        </w:rPr>
        <w:t>.</w:t>
      </w:r>
    </w:p>
    <w:p w14:paraId="181999D6" w14:textId="51607C6C" w:rsidR="0087104B" w:rsidRDefault="00257844" w:rsidP="00257844">
      <w:pPr>
        <w:pStyle w:val="P68B1DB1-17420"/>
        <w:numPr>
          <w:ilvl w:val="0"/>
          <w:numId w:val="45"/>
        </w:numPr>
        <w:ind w:firstLineChars="0"/>
        <w:rPr>
          <w:rFonts w:hint="default"/>
        </w:rPr>
      </w:pPr>
      <w:r w:rsidRPr="00257844">
        <w:t>Ultrasonic cardiogram</w:t>
      </w:r>
      <w:r w:rsidR="0087104B">
        <w:t xml:space="preserve"> assessment: left ventricular ejection fraction (LVEF) </w:t>
      </w:r>
      <w:r w:rsidR="0087104B" w:rsidRPr="003353E5">
        <w:rPr>
          <w:rFonts w:hint="default"/>
        </w:rPr>
        <w:t>≥</w:t>
      </w:r>
      <w:r w:rsidR="0087104B">
        <w:t xml:space="preserve"> 50%;</w:t>
      </w:r>
    </w:p>
    <w:p w14:paraId="4A934EBC" w14:textId="744E09AC" w:rsidR="0087104B" w:rsidRPr="00384EEC" w:rsidRDefault="0087104B" w:rsidP="006D1B06">
      <w:pPr>
        <w:pStyle w:val="P68B1DB1-15621"/>
        <w:numPr>
          <w:ilvl w:val="0"/>
          <w:numId w:val="44"/>
        </w:numPr>
        <w:spacing w:before="120" w:after="60"/>
        <w:jc w:val="both"/>
        <w:rPr>
          <w:rFonts w:hint="default"/>
          <w:b w:val="0"/>
        </w:rPr>
      </w:pPr>
      <w:r w:rsidRPr="00384EEC">
        <w:rPr>
          <w:b w:val="0"/>
        </w:rPr>
        <w:t>Women of childbearing potential must agree to contraception for the duration of study treatment and 6 months after the last dose of study treatment</w:t>
      </w:r>
      <w:r w:rsidR="00257844">
        <w:rPr>
          <w:rFonts w:hint="default"/>
          <w:b w:val="0"/>
        </w:rPr>
        <w:t>.</w:t>
      </w:r>
      <w:r w:rsidR="00257844" w:rsidRPr="00257844">
        <w:rPr>
          <w:rFonts w:hint="default"/>
        </w:rPr>
        <w:t xml:space="preserve"> </w:t>
      </w:r>
      <w:r w:rsidR="00257844" w:rsidRPr="00F94C48">
        <w:rPr>
          <w:rFonts w:hint="default"/>
          <w:b w:val="0"/>
        </w:rPr>
        <w:t>Women must</w:t>
      </w:r>
      <w:r w:rsidRPr="00384EEC">
        <w:rPr>
          <w:b w:val="0"/>
        </w:rPr>
        <w:t xml:space="preserve"> have a negative serum pregnancy test within 7 days prior to the study </w:t>
      </w:r>
      <w:r w:rsidR="00257844">
        <w:rPr>
          <w:rFonts w:hint="default"/>
          <w:b w:val="0"/>
        </w:rPr>
        <w:t>enrollment</w:t>
      </w:r>
      <w:r w:rsidR="00257844" w:rsidRPr="00384EEC">
        <w:rPr>
          <w:b w:val="0"/>
        </w:rPr>
        <w:t xml:space="preserve"> </w:t>
      </w:r>
      <w:r w:rsidRPr="00384EEC">
        <w:rPr>
          <w:b w:val="0"/>
        </w:rPr>
        <w:t xml:space="preserve">and </w:t>
      </w:r>
      <w:r w:rsidR="00257844">
        <w:rPr>
          <w:rFonts w:hint="default"/>
          <w:b w:val="0"/>
        </w:rPr>
        <w:t xml:space="preserve">must not </w:t>
      </w:r>
      <w:r w:rsidRPr="00384EEC">
        <w:rPr>
          <w:b w:val="0"/>
        </w:rPr>
        <w:t>be on-lactating. Men should agree that effective contraception must be used during the study and for 6 months after the end of the study.</w:t>
      </w:r>
    </w:p>
    <w:p w14:paraId="4BD3BD96" w14:textId="77777777" w:rsidR="00D45C54" w:rsidRDefault="003E0392">
      <w:pPr>
        <w:pStyle w:val="P68B1DB1-354"/>
        <w:rPr>
          <w:rFonts w:hint="default"/>
        </w:rPr>
      </w:pPr>
      <w:bookmarkStart w:id="46" w:name="_Toc31658047"/>
      <w:bookmarkStart w:id="47" w:name="_Toc196547977"/>
      <w:r>
        <w:t>4.2 Exclusion criteria</w:t>
      </w:r>
      <w:bookmarkEnd w:id="47"/>
      <w:r>
        <w:t xml:space="preserve"> </w:t>
      </w:r>
      <w:bookmarkEnd w:id="46"/>
    </w:p>
    <w:p w14:paraId="765DA606" w14:textId="77777777" w:rsidR="00EF26BD" w:rsidRPr="003127AF" w:rsidRDefault="00EF26BD" w:rsidP="00EF26BD">
      <w:pPr>
        <w:rPr>
          <w:rFonts w:eastAsia="宋体"/>
        </w:rPr>
      </w:pPr>
      <w:r w:rsidRPr="003127AF">
        <w:rPr>
          <w:rFonts w:eastAsia="宋体"/>
        </w:rPr>
        <w:t>Subjects who meet any of the following exclusio</w:t>
      </w:r>
      <w:r>
        <w:rPr>
          <w:rFonts w:eastAsia="宋体"/>
        </w:rPr>
        <w:t xml:space="preserve">n criteria will not be enrolled </w:t>
      </w:r>
      <w:r w:rsidRPr="003127AF">
        <w:rPr>
          <w:rFonts w:eastAsia="宋体"/>
        </w:rPr>
        <w:t>in the study:</w:t>
      </w:r>
    </w:p>
    <w:p w14:paraId="01B73270" w14:textId="77777777" w:rsidR="00EF26BD" w:rsidRPr="003353E5" w:rsidRDefault="00EF26BD" w:rsidP="006D1B06">
      <w:pPr>
        <w:pStyle w:val="affff0"/>
        <w:numPr>
          <w:ilvl w:val="0"/>
          <w:numId w:val="49"/>
        </w:numPr>
        <w:tabs>
          <w:tab w:val="left" w:pos="704"/>
        </w:tabs>
        <w:rPr>
          <w:rFonts w:eastAsiaTheme="minorEastAsia"/>
        </w:rPr>
      </w:pPr>
      <w:r>
        <w:rPr>
          <w:rFonts w:eastAsiaTheme="minorEastAsia" w:hint="eastAsia"/>
        </w:rPr>
        <w:t>P</w:t>
      </w:r>
      <w:r>
        <w:rPr>
          <w:rFonts w:eastAsiaTheme="minorEastAsia"/>
        </w:rPr>
        <w:t>atients with MSI-H/dMMR;</w:t>
      </w:r>
    </w:p>
    <w:p w14:paraId="6C16A8B5" w14:textId="461CDF26" w:rsidR="00EF26BD" w:rsidRPr="009D6452" w:rsidRDefault="005268FA" w:rsidP="005268FA">
      <w:pPr>
        <w:pStyle w:val="affff0"/>
        <w:numPr>
          <w:ilvl w:val="0"/>
          <w:numId w:val="49"/>
        </w:numPr>
      </w:pPr>
      <w:r w:rsidRPr="005268FA">
        <w:t>Combined with the following diseases or medical history:</w:t>
      </w:r>
      <w:r w:rsidR="00EF26BD" w:rsidRPr="009D6452">
        <w:t xml:space="preserve"> </w:t>
      </w:r>
    </w:p>
    <w:p w14:paraId="3C532689" w14:textId="77777777" w:rsidR="00EF26BD" w:rsidRDefault="00EF26BD" w:rsidP="006D1B06">
      <w:pPr>
        <w:pStyle w:val="affff0"/>
        <w:numPr>
          <w:ilvl w:val="0"/>
          <w:numId w:val="50"/>
        </w:numPr>
        <w:spacing w:before="60" w:after="60"/>
        <w:rPr>
          <w:rFonts w:cs="宋体"/>
        </w:rPr>
      </w:pPr>
      <w:r w:rsidRPr="003127AF">
        <w:rPr>
          <w:rFonts w:cs="宋体"/>
        </w:rPr>
        <w:t xml:space="preserve">Patients with other malignancies within </w:t>
      </w:r>
      <w:r>
        <w:rPr>
          <w:rFonts w:cs="宋体"/>
        </w:rPr>
        <w:t>3</w:t>
      </w:r>
      <w:r w:rsidRPr="003127AF">
        <w:rPr>
          <w:rFonts w:cs="宋体"/>
        </w:rPr>
        <w:t xml:space="preserve"> years, other than cured </w:t>
      </w:r>
      <w:r w:rsidRPr="00EB5E62">
        <w:rPr>
          <w:rFonts w:cs="宋体"/>
        </w:rPr>
        <w:t>cervical carcinoma in situ, non-melanoma skin cancer and superficial bladder tumors [Ta (non-invasive tumor), Tis (carcinoma in situ) and T1 (tumor infiltrating basement membrane)];</w:t>
      </w:r>
      <w:r w:rsidRPr="003127AF">
        <w:rPr>
          <w:rFonts w:cs="宋体"/>
        </w:rPr>
        <w:t xml:space="preserve"> </w:t>
      </w:r>
    </w:p>
    <w:p w14:paraId="5CFA2D36" w14:textId="0D695B38" w:rsidR="00EF26BD" w:rsidRPr="003353E5" w:rsidRDefault="00226B7B" w:rsidP="006D1B06">
      <w:pPr>
        <w:pStyle w:val="affff0"/>
        <w:numPr>
          <w:ilvl w:val="0"/>
          <w:numId w:val="50"/>
        </w:numPr>
        <w:spacing w:before="60" w:after="60"/>
        <w:rPr>
          <w:rFonts w:cs="宋体"/>
        </w:rPr>
      </w:pPr>
      <w:r>
        <w:rPr>
          <w:rFonts w:cs="宋体"/>
        </w:rPr>
        <w:t>Patients with</w:t>
      </w:r>
      <w:r w:rsidRPr="00EB5E62">
        <w:rPr>
          <w:rFonts w:cs="宋体"/>
        </w:rPr>
        <w:t xml:space="preserve"> </w:t>
      </w:r>
      <w:r w:rsidR="00EF26BD" w:rsidRPr="00EB5E62">
        <w:rPr>
          <w:rFonts w:cs="宋体"/>
        </w:rPr>
        <w:t>multiple factors that affect oral medication (e.g. inability to swallow, chronic diarrhoea and bowel obstruction);</w:t>
      </w:r>
    </w:p>
    <w:p w14:paraId="04A5497C" w14:textId="77777777" w:rsidR="00EF26BD" w:rsidRPr="003353E5" w:rsidRDefault="00EF26BD" w:rsidP="006D1B06">
      <w:pPr>
        <w:pStyle w:val="affff0"/>
        <w:numPr>
          <w:ilvl w:val="0"/>
          <w:numId w:val="50"/>
        </w:numPr>
        <w:spacing w:before="60" w:after="60"/>
        <w:rPr>
          <w:rFonts w:cs="宋体"/>
        </w:rPr>
      </w:pPr>
      <w:r w:rsidRPr="00EB5E62">
        <w:rPr>
          <w:rFonts w:cs="宋体"/>
        </w:rPr>
        <w:t>Patients had or were likely to have gastrointestinal bleeding or perforation within 4 weeks before enrollment</w:t>
      </w:r>
      <w:r>
        <w:rPr>
          <w:rFonts w:cs="宋体"/>
        </w:rPr>
        <w:t>;</w:t>
      </w:r>
    </w:p>
    <w:p w14:paraId="5400DDDB" w14:textId="77777777" w:rsidR="00EF26BD" w:rsidRDefault="00EF26BD" w:rsidP="006D1B06">
      <w:pPr>
        <w:pStyle w:val="affff0"/>
        <w:numPr>
          <w:ilvl w:val="0"/>
          <w:numId w:val="50"/>
        </w:numPr>
        <w:spacing w:before="60" w:after="60"/>
        <w:rPr>
          <w:rFonts w:cs="宋体"/>
        </w:rPr>
      </w:pPr>
      <w:r w:rsidRPr="00EB5E62">
        <w:rPr>
          <w:rFonts w:cs="宋体"/>
        </w:rPr>
        <w:t>Patients with ulcerative colitis or Crohn's disease; Patients with active inflammatory bowel disease within 4 weeks before enrollment</w:t>
      </w:r>
      <w:r>
        <w:rPr>
          <w:rFonts w:cs="宋体"/>
        </w:rPr>
        <w:t>;</w:t>
      </w:r>
    </w:p>
    <w:p w14:paraId="404C0329" w14:textId="5F31E92F" w:rsidR="00EF26BD" w:rsidRDefault="00EF26BD" w:rsidP="006D1B06">
      <w:pPr>
        <w:pStyle w:val="affff0"/>
        <w:numPr>
          <w:ilvl w:val="0"/>
          <w:numId w:val="50"/>
        </w:numPr>
        <w:spacing w:before="60" w:after="60"/>
        <w:rPr>
          <w:rFonts w:cs="宋体"/>
        </w:rPr>
      </w:pPr>
      <w:r w:rsidRPr="00EB5E62">
        <w:rPr>
          <w:rFonts w:cs="宋体"/>
        </w:rPr>
        <w:t xml:space="preserve">Uncontrolled </w:t>
      </w:r>
      <w:r w:rsidR="00226B7B">
        <w:rPr>
          <w:rFonts w:cs="宋体"/>
        </w:rPr>
        <w:t xml:space="preserve">or requiring repeated drainaged </w:t>
      </w:r>
      <w:r w:rsidRPr="00EB5E62">
        <w:rPr>
          <w:rFonts w:cs="宋体"/>
        </w:rPr>
        <w:t>pleural effusion</w:t>
      </w:r>
      <w:r w:rsidR="00226B7B">
        <w:rPr>
          <w:rFonts w:cs="宋体"/>
        </w:rPr>
        <w:t xml:space="preserve"> and</w:t>
      </w:r>
      <w:r w:rsidRPr="00EB5E62">
        <w:rPr>
          <w:rFonts w:cs="宋体"/>
        </w:rPr>
        <w:t xml:space="preserve"> ascites and pericardial effusion of moderate or greater volume</w:t>
      </w:r>
      <w:r>
        <w:rPr>
          <w:rFonts w:cs="宋体"/>
        </w:rPr>
        <w:t>;</w:t>
      </w:r>
    </w:p>
    <w:p w14:paraId="3F220540" w14:textId="18CB87AB" w:rsidR="00EF26BD" w:rsidRDefault="00EF26BD" w:rsidP="006D1B06">
      <w:pPr>
        <w:pStyle w:val="affff0"/>
        <w:numPr>
          <w:ilvl w:val="0"/>
          <w:numId w:val="50"/>
        </w:numPr>
        <w:spacing w:before="60" w:after="60"/>
        <w:rPr>
          <w:rFonts w:cs="宋体"/>
        </w:rPr>
      </w:pPr>
      <w:r w:rsidRPr="00A02ED3">
        <w:rPr>
          <w:rFonts w:cs="宋体"/>
        </w:rPr>
        <w:t>Previous unrelieved treatment-related toxicity (&gt;grade 1) due to any previous anti</w:t>
      </w:r>
      <w:r>
        <w:rPr>
          <w:rFonts w:cs="宋体"/>
        </w:rPr>
        <w:t>-t</w:t>
      </w:r>
      <w:r w:rsidR="00865DCC">
        <w:rPr>
          <w:rFonts w:cs="宋体"/>
        </w:rPr>
        <w:t>u</w:t>
      </w:r>
      <w:r>
        <w:rPr>
          <w:rFonts w:cs="宋体"/>
        </w:rPr>
        <w:t xml:space="preserve">mor </w:t>
      </w:r>
      <w:r w:rsidRPr="00A02ED3">
        <w:rPr>
          <w:rFonts w:cs="宋体"/>
        </w:rPr>
        <w:lastRenderedPageBreak/>
        <w:t>therapy (excluding alopecia)</w:t>
      </w:r>
      <w:r>
        <w:rPr>
          <w:rFonts w:cs="宋体"/>
        </w:rPr>
        <w:t>;</w:t>
      </w:r>
    </w:p>
    <w:p w14:paraId="17303B6C" w14:textId="29E14B72" w:rsidR="00EF26BD" w:rsidRPr="003353E5" w:rsidRDefault="00EF26BD" w:rsidP="006D1B06">
      <w:pPr>
        <w:pStyle w:val="affff0"/>
        <w:numPr>
          <w:ilvl w:val="0"/>
          <w:numId w:val="50"/>
        </w:numPr>
        <w:spacing w:before="60" w:after="60"/>
        <w:rPr>
          <w:rFonts w:cs="宋体"/>
        </w:rPr>
      </w:pPr>
      <w:r w:rsidRPr="00A02ED3">
        <w:rPr>
          <w:rFonts w:cs="宋体"/>
        </w:rPr>
        <w:t xml:space="preserve">Major surgical treatment, open biopsy, or major traumatic injury (excluding </w:t>
      </w:r>
      <w:r w:rsidR="00865DCC">
        <w:rPr>
          <w:rFonts w:cs="宋体"/>
        </w:rPr>
        <w:t>gastrointestinal</w:t>
      </w:r>
      <w:r w:rsidR="00865DCC" w:rsidRPr="00A02ED3">
        <w:rPr>
          <w:rFonts w:cs="宋体"/>
        </w:rPr>
        <w:t xml:space="preserve"> </w:t>
      </w:r>
      <w:r w:rsidRPr="00A02ED3">
        <w:rPr>
          <w:rFonts w:cs="宋体"/>
        </w:rPr>
        <w:t>endoscopic tissue biopsy) within 28 days before the initiation of study treatment;</w:t>
      </w:r>
    </w:p>
    <w:p w14:paraId="3064698A" w14:textId="53206B8F" w:rsidR="00EF26BD" w:rsidRPr="003353E5" w:rsidRDefault="00865DCC" w:rsidP="006D1B06">
      <w:pPr>
        <w:pStyle w:val="affff0"/>
        <w:numPr>
          <w:ilvl w:val="0"/>
          <w:numId w:val="50"/>
        </w:numPr>
        <w:spacing w:before="60" w:after="60"/>
        <w:rPr>
          <w:rFonts w:cs="宋体"/>
        </w:rPr>
      </w:pPr>
      <w:r>
        <w:rPr>
          <w:rFonts w:cs="宋体"/>
        </w:rPr>
        <w:t xml:space="preserve">Medical </w:t>
      </w:r>
      <w:r w:rsidRPr="00A02ED3">
        <w:rPr>
          <w:rFonts w:cs="宋体"/>
        </w:rPr>
        <w:t>imaging</w:t>
      </w:r>
      <w:r>
        <w:rPr>
          <w:rFonts w:cs="宋体"/>
        </w:rPr>
        <w:t xml:space="preserve"> diagnosis</w:t>
      </w:r>
      <w:r w:rsidR="00EF26BD" w:rsidRPr="00A02ED3">
        <w:rPr>
          <w:rFonts w:cs="宋体"/>
        </w:rPr>
        <w:t xml:space="preserve"> (CT or MR</w:t>
      </w:r>
      <w:r w:rsidR="005268FA">
        <w:rPr>
          <w:rFonts w:cs="宋体"/>
        </w:rPr>
        <w:t>I) showed that the tumor invades</w:t>
      </w:r>
      <w:r w:rsidR="00EF26BD" w:rsidRPr="00A02ED3">
        <w:rPr>
          <w:rFonts w:cs="宋体"/>
        </w:rPr>
        <w:t xml:space="preserve"> the large blood vessels or ha</w:t>
      </w:r>
      <w:r w:rsidR="005268FA">
        <w:rPr>
          <w:rFonts w:cs="宋体"/>
        </w:rPr>
        <w:t>ve</w:t>
      </w:r>
      <w:r w:rsidR="00EF26BD" w:rsidRPr="00A02ED3">
        <w:rPr>
          <w:rFonts w:cs="宋体"/>
        </w:rPr>
        <w:t xml:space="preserve"> unclear boundaries with blood vessels;</w:t>
      </w:r>
    </w:p>
    <w:p w14:paraId="17319BAB" w14:textId="54760F90" w:rsidR="00EF26BD" w:rsidRDefault="00865DCC" w:rsidP="006D1B06">
      <w:pPr>
        <w:pStyle w:val="affff0"/>
        <w:numPr>
          <w:ilvl w:val="0"/>
          <w:numId w:val="50"/>
        </w:numPr>
        <w:spacing w:before="60" w:after="60"/>
        <w:rPr>
          <w:rFonts w:cs="宋体"/>
        </w:rPr>
      </w:pPr>
      <w:r>
        <w:rPr>
          <w:rFonts w:cs="宋体"/>
        </w:rPr>
        <w:t>P</w:t>
      </w:r>
      <w:r w:rsidRPr="00A02ED3">
        <w:rPr>
          <w:rFonts w:cs="宋体"/>
        </w:rPr>
        <w:t xml:space="preserve">atients </w:t>
      </w:r>
      <w:r w:rsidR="00EF26BD" w:rsidRPr="00A02ED3">
        <w:rPr>
          <w:rFonts w:cs="宋体"/>
        </w:rPr>
        <w:t>with hematemesis (</w:t>
      </w:r>
      <w:r w:rsidR="00EF26BD" w:rsidRPr="00A02ED3">
        <w:rPr>
          <w:rFonts w:cs="宋体" w:hint="eastAsia"/>
        </w:rPr>
        <w:t>≥</w:t>
      </w:r>
      <w:r w:rsidR="00EF26BD" w:rsidRPr="00A02ED3">
        <w:rPr>
          <w:rFonts w:cs="宋体"/>
        </w:rPr>
        <w:t xml:space="preserve">2.5mL) or clinically significant tumor bleeding within 1 month before screening, or any </w:t>
      </w:r>
      <w:r w:rsidRPr="00A02ED3">
        <w:rPr>
          <w:rFonts w:cs="宋体"/>
        </w:rPr>
        <w:t xml:space="preserve"> </w:t>
      </w:r>
      <w:r w:rsidRPr="00A02ED3">
        <w:rPr>
          <w:rFonts w:cs="宋体" w:hint="eastAsia"/>
        </w:rPr>
        <w:t>≥</w:t>
      </w:r>
      <w:r w:rsidRPr="00A02ED3">
        <w:rPr>
          <w:rFonts w:cs="宋体"/>
        </w:rPr>
        <w:t>CTCAE grade 3</w:t>
      </w:r>
      <w:r>
        <w:rPr>
          <w:rFonts w:cs="宋体"/>
        </w:rPr>
        <w:t xml:space="preserve"> </w:t>
      </w:r>
      <w:r w:rsidR="00EF26BD" w:rsidRPr="00A02ED3">
        <w:rPr>
          <w:rFonts w:cs="宋体"/>
        </w:rPr>
        <w:t>bleeding event</w:t>
      </w:r>
      <w:r>
        <w:rPr>
          <w:rFonts w:cs="宋体"/>
        </w:rPr>
        <w:t>.</w:t>
      </w:r>
      <w:r w:rsidR="00EF26BD" w:rsidRPr="00A02ED3">
        <w:rPr>
          <w:rFonts w:cs="宋体"/>
        </w:rPr>
        <w:t xml:space="preserve"> </w:t>
      </w:r>
      <w:r>
        <w:rPr>
          <w:rFonts w:cs="宋体"/>
        </w:rPr>
        <w:t>O</w:t>
      </w:r>
      <w:r w:rsidRPr="00A02ED3">
        <w:rPr>
          <w:rFonts w:cs="宋体"/>
        </w:rPr>
        <w:t xml:space="preserve">r </w:t>
      </w:r>
      <w:r w:rsidR="00EF26BD" w:rsidRPr="00A02ED3">
        <w:rPr>
          <w:rFonts w:cs="宋体"/>
        </w:rPr>
        <w:t>patients with bleeding, coagulation disorders who are taking warfarin, aspirin, or other antiplatelet agents (except maintenance dose</w:t>
      </w:r>
      <w:r w:rsidR="005268FA">
        <w:rPr>
          <w:rFonts w:cs="宋体"/>
        </w:rPr>
        <w:t>s):</w:t>
      </w:r>
      <w:r w:rsidR="00EF26BD" w:rsidRPr="00A02ED3">
        <w:rPr>
          <w:rFonts w:cs="宋体"/>
        </w:rPr>
        <w:t xml:space="preserve"> Aspirin </w:t>
      </w:r>
      <w:r w:rsidR="00EF26BD" w:rsidRPr="00A02ED3">
        <w:rPr>
          <w:rFonts w:cs="宋体" w:hint="eastAsia"/>
        </w:rPr>
        <w:t>≤</w:t>
      </w:r>
      <w:r w:rsidR="00EF26BD" w:rsidRPr="00A02ED3">
        <w:rPr>
          <w:rFonts w:cs="宋体"/>
        </w:rPr>
        <w:t xml:space="preserve">100mg/ day, clopidogrel </w:t>
      </w:r>
      <w:r w:rsidR="00EF26BD" w:rsidRPr="00A02ED3">
        <w:rPr>
          <w:rFonts w:cs="宋体" w:hint="eastAsia"/>
        </w:rPr>
        <w:t>≤</w:t>
      </w:r>
      <w:r w:rsidR="00EF26BD" w:rsidRPr="00A02ED3">
        <w:rPr>
          <w:rFonts w:cs="宋体"/>
        </w:rPr>
        <w:t>75mg/ day)</w:t>
      </w:r>
      <w:r>
        <w:rPr>
          <w:rFonts w:cs="宋体"/>
        </w:rPr>
        <w:t>.</w:t>
      </w:r>
      <w:r w:rsidR="00EF26BD" w:rsidRPr="00A02ED3">
        <w:rPr>
          <w:rFonts w:cs="宋体"/>
        </w:rPr>
        <w:t xml:space="preserve"> </w:t>
      </w:r>
      <w:r>
        <w:rPr>
          <w:rFonts w:cs="宋体"/>
        </w:rPr>
        <w:t>O</w:t>
      </w:r>
      <w:r w:rsidRPr="00A02ED3">
        <w:rPr>
          <w:rFonts w:cs="宋体"/>
        </w:rPr>
        <w:t xml:space="preserve">r </w:t>
      </w:r>
      <w:r w:rsidR="00EF26BD" w:rsidRPr="00A02ED3">
        <w:rPr>
          <w:rFonts w:cs="宋体"/>
        </w:rPr>
        <w:t>patients with any evidence of bleeding or a medical history judged by the investigator to be ineligible for enrollment;</w:t>
      </w:r>
    </w:p>
    <w:p w14:paraId="652D9C00" w14:textId="73FEE486" w:rsidR="00EF26BD" w:rsidRDefault="001F5019" w:rsidP="006D1B06">
      <w:pPr>
        <w:pStyle w:val="affff0"/>
        <w:numPr>
          <w:ilvl w:val="0"/>
          <w:numId w:val="50"/>
        </w:numPr>
        <w:spacing w:before="60" w:after="60"/>
        <w:rPr>
          <w:rFonts w:cs="宋体"/>
        </w:rPr>
      </w:pPr>
      <w:r>
        <w:rPr>
          <w:rFonts w:cs="宋体"/>
        </w:rPr>
        <w:t>Patients with</w:t>
      </w:r>
      <w:r w:rsidRPr="00A02ED3">
        <w:rPr>
          <w:rFonts w:cs="宋体"/>
        </w:rPr>
        <w:t xml:space="preserve"> </w:t>
      </w:r>
      <w:r w:rsidR="00EF26BD" w:rsidRPr="00A02ED3">
        <w:rPr>
          <w:rFonts w:cs="宋体"/>
        </w:rPr>
        <w:t>unhealed wounds, ulcers, or fractures</w:t>
      </w:r>
      <w:r w:rsidR="00EF26BD">
        <w:rPr>
          <w:rFonts w:cs="宋体"/>
        </w:rPr>
        <w:t>;</w:t>
      </w:r>
    </w:p>
    <w:p w14:paraId="21C6A4A3" w14:textId="2AC7C142" w:rsidR="00EF26BD" w:rsidRPr="00A02ED3" w:rsidRDefault="001F5019" w:rsidP="006D1B06">
      <w:pPr>
        <w:pStyle w:val="affff0"/>
        <w:numPr>
          <w:ilvl w:val="0"/>
          <w:numId w:val="50"/>
        </w:numPr>
        <w:spacing w:before="60" w:after="60"/>
        <w:rPr>
          <w:rFonts w:cs="宋体"/>
        </w:rPr>
      </w:pPr>
      <w:r>
        <w:rPr>
          <w:rFonts w:cs="宋体"/>
        </w:rPr>
        <w:t>Patients who o</w:t>
      </w:r>
      <w:r w:rsidRPr="00A02ED3">
        <w:rPr>
          <w:rFonts w:cs="宋体"/>
        </w:rPr>
        <w:t>ccurre</w:t>
      </w:r>
      <w:r>
        <w:rPr>
          <w:rFonts w:cs="宋体"/>
        </w:rPr>
        <w:t>d</w:t>
      </w:r>
      <w:r w:rsidRPr="00A02ED3">
        <w:rPr>
          <w:rFonts w:cs="宋体"/>
        </w:rPr>
        <w:t xml:space="preserve"> </w:t>
      </w:r>
      <w:r w:rsidR="00EF26BD" w:rsidRPr="00A02ED3">
        <w:rPr>
          <w:rFonts w:cs="宋体"/>
        </w:rPr>
        <w:t>arterial/venous thrombosis events within 6 months, such as cerebrovascular accident (including transient ischemic attack, cerebral hemorrhage, cerebral infarction), deep vein thrombosis and pulmonary embolism;</w:t>
      </w:r>
    </w:p>
    <w:p w14:paraId="5CA6C59F" w14:textId="4C4DDAF7" w:rsidR="00EF26BD" w:rsidRPr="003353E5" w:rsidRDefault="00167375" w:rsidP="006D1B06">
      <w:pPr>
        <w:pStyle w:val="affff0"/>
        <w:numPr>
          <w:ilvl w:val="0"/>
          <w:numId w:val="50"/>
        </w:numPr>
        <w:spacing w:before="60" w:after="60"/>
        <w:rPr>
          <w:rFonts w:cs="宋体"/>
        </w:rPr>
      </w:pPr>
      <w:r>
        <w:rPr>
          <w:rFonts w:cs="宋体"/>
        </w:rPr>
        <w:t>P</w:t>
      </w:r>
      <w:r w:rsidRPr="003353E5">
        <w:rPr>
          <w:rFonts w:cs="宋体"/>
        </w:rPr>
        <w:t xml:space="preserve">atients </w:t>
      </w:r>
      <w:r w:rsidR="00EF26BD" w:rsidRPr="003353E5">
        <w:rPr>
          <w:rFonts w:cs="宋体"/>
        </w:rPr>
        <w:t>with a history of psychotropic drug abuse and unable to abstain;</w:t>
      </w:r>
    </w:p>
    <w:p w14:paraId="04F85EC0" w14:textId="61D61556" w:rsidR="00EF26BD" w:rsidRDefault="00167375" w:rsidP="006D1B06">
      <w:pPr>
        <w:pStyle w:val="affff0"/>
        <w:numPr>
          <w:ilvl w:val="0"/>
          <w:numId w:val="50"/>
        </w:numPr>
        <w:spacing w:before="60" w:after="60"/>
        <w:rPr>
          <w:rFonts w:cs="宋体"/>
        </w:rPr>
      </w:pPr>
      <w:r>
        <w:rPr>
          <w:rFonts w:cs="宋体"/>
        </w:rPr>
        <w:t>P</w:t>
      </w:r>
      <w:r w:rsidRPr="003353E5">
        <w:rPr>
          <w:rFonts w:cs="宋体"/>
        </w:rPr>
        <w:t>atients</w:t>
      </w:r>
      <w:r w:rsidRPr="003353E5" w:rsidDel="00167375">
        <w:rPr>
          <w:rFonts w:cs="宋体"/>
        </w:rPr>
        <w:t xml:space="preserve"> </w:t>
      </w:r>
      <w:r w:rsidR="00EF26BD" w:rsidRPr="003353E5">
        <w:rPr>
          <w:rFonts w:cs="宋体"/>
        </w:rPr>
        <w:t xml:space="preserve">s with any severe and/or uncontrolled </w:t>
      </w:r>
      <w:r w:rsidR="00EF26BD">
        <w:rPr>
          <w:rFonts w:cs="宋体"/>
        </w:rPr>
        <w:t>disease</w:t>
      </w:r>
      <w:r w:rsidR="00EF26BD" w:rsidRPr="003353E5">
        <w:rPr>
          <w:rFonts w:cs="宋体"/>
        </w:rPr>
        <w:t>s, including:</w:t>
      </w:r>
      <w:r w:rsidR="00EF26BD" w:rsidRPr="003353E5" w:rsidDel="00EB5E62">
        <w:rPr>
          <w:rFonts w:cs="宋体"/>
        </w:rPr>
        <w:t xml:space="preserve"> </w:t>
      </w:r>
    </w:p>
    <w:p w14:paraId="47579423" w14:textId="77777777" w:rsidR="00EF26BD" w:rsidRPr="00230470" w:rsidRDefault="00EF26BD" w:rsidP="006D1B06">
      <w:pPr>
        <w:pStyle w:val="affff0"/>
        <w:numPr>
          <w:ilvl w:val="0"/>
          <w:numId w:val="40"/>
        </w:numPr>
        <w:spacing w:before="60" w:after="60"/>
        <w:rPr>
          <w:rFonts w:cs="宋体"/>
        </w:rPr>
      </w:pPr>
      <w:r w:rsidRPr="00A02ED3">
        <w:rPr>
          <w:rFonts w:cs="宋体"/>
        </w:rPr>
        <w:t xml:space="preserve">Uncontrolled Hypertension (systolic blood pressure </w:t>
      </w:r>
      <w:r w:rsidRPr="00A02ED3">
        <w:rPr>
          <w:rFonts w:cs="宋体" w:hint="eastAsia"/>
        </w:rPr>
        <w:t>≥</w:t>
      </w:r>
      <w:r w:rsidRPr="00A02ED3">
        <w:rPr>
          <w:rFonts w:cs="宋体"/>
        </w:rPr>
        <w:t xml:space="preserve"> 150 mmHg and diastolic blood pressure </w:t>
      </w:r>
      <w:r w:rsidRPr="00A02ED3">
        <w:rPr>
          <w:rFonts w:cs="宋体" w:hint="eastAsia"/>
        </w:rPr>
        <w:t>≥</w:t>
      </w:r>
      <w:r w:rsidRPr="00A02ED3">
        <w:rPr>
          <w:rFonts w:cs="宋体"/>
        </w:rPr>
        <w:t xml:space="preserve"> 100 mmHg</w:t>
      </w:r>
      <w:r>
        <w:t xml:space="preserve"> </w:t>
      </w:r>
      <w:r w:rsidRPr="002574D8">
        <w:rPr>
          <w:rFonts w:cs="宋体"/>
        </w:rPr>
        <w:t>despite standard antihypertensive treatment</w:t>
      </w:r>
      <w:r w:rsidRPr="00A02ED3">
        <w:rPr>
          <w:rFonts w:cs="宋体"/>
        </w:rPr>
        <w:t>)</w:t>
      </w:r>
      <w:r>
        <w:rPr>
          <w:rFonts w:cs="宋体"/>
        </w:rPr>
        <w:t>;</w:t>
      </w:r>
    </w:p>
    <w:p w14:paraId="05DAD8E3" w14:textId="6CFD7BC0" w:rsidR="00EF26BD" w:rsidRDefault="00EF26BD" w:rsidP="006D1B06">
      <w:pPr>
        <w:pStyle w:val="affff0"/>
        <w:numPr>
          <w:ilvl w:val="0"/>
          <w:numId w:val="40"/>
        </w:numPr>
        <w:spacing w:before="60" w:after="60"/>
        <w:rPr>
          <w:rFonts w:cs="宋体"/>
        </w:rPr>
      </w:pPr>
      <w:r>
        <w:rPr>
          <w:rFonts w:cs="宋体"/>
        </w:rPr>
        <w:t xml:space="preserve">Unstable angina pectoris or </w:t>
      </w:r>
      <w:r w:rsidRPr="002574D8">
        <w:rPr>
          <w:rFonts w:cs="宋体"/>
        </w:rPr>
        <w:t xml:space="preserve">class II or more cardiogenic chest pain; Myocardial infarction </w:t>
      </w:r>
      <w:r w:rsidR="00167375">
        <w:rPr>
          <w:rFonts w:cs="宋体"/>
        </w:rPr>
        <w:t xml:space="preserve">within </w:t>
      </w:r>
      <w:r w:rsidRPr="002574D8">
        <w:rPr>
          <w:rFonts w:cs="宋体"/>
        </w:rPr>
        <w:t>12 months before randomization;</w:t>
      </w:r>
      <w:r>
        <w:t xml:space="preserve"> </w:t>
      </w:r>
      <w:r>
        <w:rPr>
          <w:rFonts w:cs="宋体"/>
        </w:rPr>
        <w:t>class I</w:t>
      </w:r>
      <w:r w:rsidRPr="002574D8">
        <w:rPr>
          <w:rFonts w:cs="宋体"/>
        </w:rPr>
        <w:t xml:space="preserve"> or more heart failure (New York Heart Association (NYHA) classification); Restrictive cardiomyopathy; class II or more atrioventricular block, arrhythmias that could not be stably controlled with drugs (including QTc </w:t>
      </w:r>
      <w:r w:rsidRPr="002574D8">
        <w:rPr>
          <w:rFonts w:cs="宋体" w:hint="eastAsia"/>
        </w:rPr>
        <w:t>≥</w:t>
      </w:r>
      <w:r w:rsidRPr="002574D8">
        <w:rPr>
          <w:rFonts w:cs="宋体"/>
        </w:rPr>
        <w:t xml:space="preserve">450ms in men and QTc </w:t>
      </w:r>
      <w:r w:rsidRPr="002574D8">
        <w:rPr>
          <w:rFonts w:cs="宋体" w:hint="eastAsia"/>
        </w:rPr>
        <w:t>≥</w:t>
      </w:r>
      <w:r w:rsidRPr="002574D8">
        <w:rPr>
          <w:rFonts w:cs="宋体"/>
        </w:rPr>
        <w:t>470ms in women), and arrhythmias that might have a potential effect on the trial treatment;</w:t>
      </w:r>
    </w:p>
    <w:p w14:paraId="37BF2B98" w14:textId="77777777" w:rsidR="00EF26BD" w:rsidRPr="003353E5" w:rsidRDefault="00EF26BD" w:rsidP="006D1B06">
      <w:pPr>
        <w:pStyle w:val="affff0"/>
        <w:numPr>
          <w:ilvl w:val="0"/>
          <w:numId w:val="40"/>
        </w:numPr>
        <w:spacing w:before="60" w:after="60"/>
        <w:rPr>
          <w:rFonts w:cs="宋体"/>
        </w:rPr>
      </w:pPr>
      <w:r w:rsidRPr="002574D8">
        <w:rPr>
          <w:rFonts w:cs="宋体"/>
        </w:rPr>
        <w:t>Active infection (</w:t>
      </w:r>
      <w:r w:rsidRPr="002574D8">
        <w:rPr>
          <w:rFonts w:cs="宋体" w:hint="eastAsia"/>
        </w:rPr>
        <w:t>≥</w:t>
      </w:r>
      <w:r w:rsidRPr="002574D8">
        <w:rPr>
          <w:rFonts w:cs="宋体"/>
        </w:rPr>
        <w:t>CTC AE grade 2);</w:t>
      </w:r>
    </w:p>
    <w:p w14:paraId="3BF849B9" w14:textId="77777777" w:rsidR="00EF26BD" w:rsidRDefault="00EF26BD" w:rsidP="006D1B06">
      <w:pPr>
        <w:pStyle w:val="affff0"/>
        <w:numPr>
          <w:ilvl w:val="0"/>
          <w:numId w:val="40"/>
        </w:numPr>
        <w:spacing w:before="60" w:after="60"/>
        <w:rPr>
          <w:rFonts w:cs="宋体"/>
        </w:rPr>
      </w:pPr>
      <w:r w:rsidRPr="002574D8">
        <w:rPr>
          <w:rFonts w:cs="宋体"/>
        </w:rPr>
        <w:t xml:space="preserve">Decompensated cirrhosis, active hepatitis *; </w:t>
      </w:r>
    </w:p>
    <w:p w14:paraId="3F312070" w14:textId="04901941" w:rsidR="00EF26BD" w:rsidRPr="003353E5" w:rsidRDefault="00EF26BD" w:rsidP="00EF26BD">
      <w:pPr>
        <w:pStyle w:val="affff0"/>
        <w:spacing w:before="60" w:after="60"/>
        <w:ind w:left="1080" w:firstLine="0"/>
        <w:rPr>
          <w:rFonts w:cs="宋体"/>
        </w:rPr>
      </w:pPr>
      <w:r w:rsidRPr="002574D8">
        <w:rPr>
          <w:rFonts w:cs="宋体"/>
        </w:rPr>
        <w:t>(* Active hepatitis [hepatitis B reference: HBsAg positive and HBV DNA positive (&gt;2500 copies /mL or &gt;500IU/mL); hepatitis C reference: HCV antibody positive and HCV virus titer test value above the upper limit of normal]</w:t>
      </w:r>
      <w:r w:rsidR="005268FA">
        <w:rPr>
          <w:rFonts w:cs="宋体"/>
        </w:rPr>
        <w:t>. Note:</w:t>
      </w:r>
      <w:r w:rsidRPr="002574D8">
        <w:rPr>
          <w:rFonts w:cs="宋体"/>
        </w:rPr>
        <w:t xml:space="preserve"> Eligible subjects with positive hepatitis B surface antigen or hepatitis C core antibody and </w:t>
      </w:r>
      <w:r w:rsidRPr="002574D8">
        <w:rPr>
          <w:rFonts w:cs="宋体"/>
        </w:rPr>
        <w:lastRenderedPageBreak/>
        <w:t>patients with hepatitis C need to continue antiviral therap</w:t>
      </w:r>
      <w:r>
        <w:rPr>
          <w:rFonts w:cs="宋体"/>
        </w:rPr>
        <w:t>y to prevent viral reactivation</w:t>
      </w:r>
      <w:r w:rsidRPr="002574D8">
        <w:rPr>
          <w:rFonts w:cs="宋体"/>
        </w:rPr>
        <w:t>)</w:t>
      </w:r>
    </w:p>
    <w:p w14:paraId="5AB6478C" w14:textId="77777777" w:rsidR="00EF26BD" w:rsidRPr="003353E5" w:rsidRDefault="00EF26BD" w:rsidP="006D1B06">
      <w:pPr>
        <w:pStyle w:val="affff0"/>
        <w:numPr>
          <w:ilvl w:val="0"/>
          <w:numId w:val="40"/>
        </w:numPr>
        <w:spacing w:before="60" w:after="60"/>
        <w:rPr>
          <w:rFonts w:cs="宋体"/>
        </w:rPr>
      </w:pPr>
      <w:r w:rsidRPr="002574D8">
        <w:rPr>
          <w:rFonts w:cs="宋体"/>
        </w:rPr>
        <w:t>Renal failure requiring hemodialysis or peritoneal dialysis;</w:t>
      </w:r>
    </w:p>
    <w:p w14:paraId="1DE39E0D" w14:textId="77777777" w:rsidR="00EF26BD" w:rsidRPr="003353E5" w:rsidRDefault="00EF26BD" w:rsidP="006D1B06">
      <w:pPr>
        <w:pStyle w:val="affff0"/>
        <w:numPr>
          <w:ilvl w:val="0"/>
          <w:numId w:val="40"/>
        </w:numPr>
        <w:spacing w:before="60" w:after="60"/>
        <w:rPr>
          <w:rFonts w:cs="宋体"/>
        </w:rPr>
      </w:pPr>
      <w:r w:rsidRPr="002574D8">
        <w:rPr>
          <w:rFonts w:cs="宋体"/>
        </w:rPr>
        <w:t>A history of immunodeficiency, including HIV positivity or other acquired or congenital immunodeficiency disorders, or a history of organ transplantation;</w:t>
      </w:r>
    </w:p>
    <w:p w14:paraId="40332A8B" w14:textId="53816A16" w:rsidR="00EF26BD" w:rsidRPr="003353E5" w:rsidRDefault="00EF26BD" w:rsidP="006D1B06">
      <w:pPr>
        <w:pStyle w:val="affff0"/>
        <w:numPr>
          <w:ilvl w:val="0"/>
          <w:numId w:val="40"/>
        </w:numPr>
        <w:spacing w:before="60" w:after="60"/>
        <w:rPr>
          <w:rFonts w:cs="宋体"/>
        </w:rPr>
      </w:pPr>
      <w:r w:rsidRPr="002574D8">
        <w:rPr>
          <w:rFonts w:cs="宋体"/>
        </w:rPr>
        <w:t>Poor</w:t>
      </w:r>
      <w:r w:rsidR="004506F3">
        <w:rPr>
          <w:rFonts w:cs="宋体"/>
        </w:rPr>
        <w:t>ly</w:t>
      </w:r>
      <w:r w:rsidRPr="002574D8">
        <w:rPr>
          <w:rFonts w:cs="宋体"/>
        </w:rPr>
        <w:t xml:space="preserve"> control</w:t>
      </w:r>
      <w:r w:rsidR="004506F3">
        <w:rPr>
          <w:rFonts w:cs="宋体"/>
        </w:rPr>
        <w:t>led</w:t>
      </w:r>
      <w:r w:rsidRPr="002574D8">
        <w:rPr>
          <w:rFonts w:cs="宋体"/>
        </w:rPr>
        <w:t xml:space="preserve"> diabetes (fasting blood glucose (FBG) &gt; 10mmol/L);</w:t>
      </w:r>
    </w:p>
    <w:p w14:paraId="05F3FDD3" w14:textId="77777777" w:rsidR="00EF26BD" w:rsidRPr="003353E5" w:rsidRDefault="00EF26BD" w:rsidP="006D1B06">
      <w:pPr>
        <w:pStyle w:val="affff0"/>
        <w:numPr>
          <w:ilvl w:val="0"/>
          <w:numId w:val="40"/>
        </w:numPr>
        <w:spacing w:before="60" w:after="60"/>
        <w:rPr>
          <w:rFonts w:cs="宋体"/>
        </w:rPr>
      </w:pPr>
      <w:r w:rsidRPr="002574D8">
        <w:rPr>
          <w:rFonts w:cs="宋体"/>
        </w:rPr>
        <w:t xml:space="preserve">Patients with urinary protein </w:t>
      </w:r>
      <w:r w:rsidRPr="002574D8">
        <w:rPr>
          <w:rFonts w:cs="宋体" w:hint="eastAsia"/>
        </w:rPr>
        <w:t>≥</w:t>
      </w:r>
      <w:r w:rsidRPr="002574D8">
        <w:rPr>
          <w:rFonts w:cs="宋体"/>
        </w:rPr>
        <w:t>++ and confirmed 24-hour urinary protein quantitation &gt; 1.0 g;</w:t>
      </w:r>
    </w:p>
    <w:p w14:paraId="7C5D4DA2" w14:textId="77777777" w:rsidR="00EF26BD" w:rsidRDefault="00EF26BD" w:rsidP="006D1B06">
      <w:pPr>
        <w:pStyle w:val="affff0"/>
        <w:numPr>
          <w:ilvl w:val="0"/>
          <w:numId w:val="40"/>
        </w:numPr>
        <w:spacing w:before="60" w:after="60"/>
        <w:rPr>
          <w:rFonts w:cs="宋体"/>
        </w:rPr>
      </w:pPr>
      <w:r w:rsidRPr="002574D8">
        <w:rPr>
          <w:rFonts w:cs="宋体"/>
        </w:rPr>
        <w:t>Patients with a definite history of a neurological or mental disorder, including epilepsy or dementia, requiring treatment.</w:t>
      </w:r>
    </w:p>
    <w:p w14:paraId="227832B8" w14:textId="14E626B2" w:rsidR="00EF26BD" w:rsidRPr="009D6452" w:rsidRDefault="005268FA" w:rsidP="005268FA">
      <w:pPr>
        <w:pStyle w:val="affff0"/>
        <w:numPr>
          <w:ilvl w:val="0"/>
          <w:numId w:val="49"/>
        </w:numPr>
      </w:pPr>
      <w:r w:rsidRPr="005268FA">
        <w:t>Cancer-related symptoms and treatment:</w:t>
      </w:r>
      <w:r w:rsidR="00EF26BD" w:rsidRPr="009D6452">
        <w:t xml:space="preserve"> </w:t>
      </w:r>
    </w:p>
    <w:p w14:paraId="783E81D9" w14:textId="77777777" w:rsidR="00EF26BD" w:rsidRPr="003353E5" w:rsidRDefault="00EF26BD" w:rsidP="006D1B06">
      <w:pPr>
        <w:pStyle w:val="affff0"/>
        <w:numPr>
          <w:ilvl w:val="0"/>
          <w:numId w:val="51"/>
        </w:numPr>
        <w:spacing w:before="60" w:after="60"/>
        <w:rPr>
          <w:rFonts w:cs="宋体"/>
        </w:rPr>
      </w:pPr>
      <w:r w:rsidRPr="002574D8">
        <w:rPr>
          <w:rFonts w:cs="宋体"/>
        </w:rPr>
        <w:t>Surgery (other than previous diagnostic biopsy), radiotherapy, chemotherapy, or other anticancer therapy within 4 weeks before the initiation of study treatment (with a washout period from the end of the last treatment);</w:t>
      </w:r>
    </w:p>
    <w:p w14:paraId="11086D34" w14:textId="26EE9FE2" w:rsidR="00EF26BD" w:rsidRDefault="005268FA" w:rsidP="00EF26BD">
      <w:pPr>
        <w:pStyle w:val="affff0"/>
        <w:spacing w:before="60" w:after="60"/>
        <w:ind w:left="660" w:firstLine="0"/>
        <w:rPr>
          <w:rFonts w:cs="宋体"/>
        </w:rPr>
      </w:pPr>
      <w:r>
        <w:rPr>
          <w:rFonts w:cs="宋体"/>
        </w:rPr>
        <w:t>Note: Patients who have</w:t>
      </w:r>
      <w:r w:rsidR="00EF26BD" w:rsidRPr="002574D8">
        <w:rPr>
          <w:rFonts w:cs="宋体"/>
        </w:rPr>
        <w:t xml:space="preserve"> previously received local radiotherapy </w:t>
      </w:r>
      <w:r w:rsidR="00EF26BD">
        <w:rPr>
          <w:rFonts w:cs="宋体"/>
        </w:rPr>
        <w:t>are</w:t>
      </w:r>
      <w:r w:rsidR="00EF26BD" w:rsidRPr="002574D8">
        <w:rPr>
          <w:rFonts w:cs="宋体"/>
        </w:rPr>
        <w:t xml:space="preserve"> eligible if they met the following criteria: the interval between the end of radiotherapy and the start of study treatment </w:t>
      </w:r>
      <w:r w:rsidR="00EF26BD">
        <w:rPr>
          <w:rFonts w:cs="宋体"/>
        </w:rPr>
        <w:t>i</w:t>
      </w:r>
      <w:r w:rsidR="00EF26BD" w:rsidRPr="002574D8">
        <w:rPr>
          <w:rFonts w:cs="宋体"/>
        </w:rPr>
        <w:t>s more than 4 weeks (or more than 2 weeks for brain radiotherapy), and the target lesion selected for this study</w:t>
      </w:r>
      <w:r w:rsidR="004506F3">
        <w:rPr>
          <w:rFonts w:cs="宋体"/>
        </w:rPr>
        <w:t xml:space="preserve"> </w:t>
      </w:r>
      <w:r w:rsidR="004506F3" w:rsidRPr="004506F3">
        <w:rPr>
          <w:rFonts w:cs="宋体"/>
        </w:rPr>
        <w:t>had not been treated by</w:t>
      </w:r>
      <w:r w:rsidR="00EF26BD">
        <w:rPr>
          <w:rFonts w:cs="宋体"/>
        </w:rPr>
        <w:t xml:space="preserve"> radiotherapy; o</w:t>
      </w:r>
      <w:r w:rsidR="00EF26BD" w:rsidRPr="002574D8">
        <w:rPr>
          <w:rFonts w:cs="宋体"/>
        </w:rPr>
        <w:t xml:space="preserve">r the </w:t>
      </w:r>
      <w:r w:rsidR="004506F3" w:rsidRPr="004506F3">
        <w:rPr>
          <w:rFonts w:cs="宋体"/>
        </w:rPr>
        <w:t>radiotherapy treated target lesions had confirmedly disease progression</w:t>
      </w:r>
      <w:r w:rsidR="00EF26BD" w:rsidRPr="002574D8">
        <w:rPr>
          <w:rFonts w:cs="宋体"/>
        </w:rPr>
        <w:t>;</w:t>
      </w:r>
    </w:p>
    <w:p w14:paraId="0B5211AD" w14:textId="2B78630A" w:rsidR="00EF26BD" w:rsidRPr="003353E5" w:rsidRDefault="00EF26BD" w:rsidP="004506F3">
      <w:pPr>
        <w:pStyle w:val="affff0"/>
        <w:numPr>
          <w:ilvl w:val="0"/>
          <w:numId w:val="51"/>
        </w:numPr>
        <w:spacing w:before="60" w:after="60"/>
        <w:rPr>
          <w:rFonts w:cs="宋体"/>
        </w:rPr>
      </w:pPr>
      <w:r>
        <w:rPr>
          <w:rFonts w:cs="宋体"/>
        </w:rPr>
        <w:t>Received</w:t>
      </w:r>
      <w:r w:rsidRPr="002574D8">
        <w:rPr>
          <w:rFonts w:cs="宋体"/>
        </w:rPr>
        <w:t xml:space="preserve"> Chinese </w:t>
      </w:r>
      <w:r w:rsidR="004506F3" w:rsidRPr="004506F3">
        <w:rPr>
          <w:rFonts w:cs="宋体"/>
        </w:rPr>
        <w:t>traditional herbal</w:t>
      </w:r>
      <w:r w:rsidRPr="002574D8">
        <w:rPr>
          <w:rFonts w:cs="宋体"/>
        </w:rPr>
        <w:t xml:space="preserve"> medicines (including compound cantharis capsule, Kangai injection, Kanglaite capsule/injection, Aodi injection, Brucea javanica oil injection/capsule, Xiaoaiping tablet/injection, cinobufoin capsule, etc.) with anti-tumor indications in the NMPA approved drug package insert within 2 weeks before the study treatment.</w:t>
      </w:r>
    </w:p>
    <w:p w14:paraId="667CCCA6" w14:textId="447C4A7A" w:rsidR="00EF26BD" w:rsidRPr="003353E5" w:rsidRDefault="00DF5B1D" w:rsidP="006D1B06">
      <w:pPr>
        <w:pStyle w:val="affff0"/>
        <w:numPr>
          <w:ilvl w:val="0"/>
          <w:numId w:val="51"/>
        </w:numPr>
        <w:spacing w:before="60" w:after="60"/>
        <w:rPr>
          <w:rFonts w:cs="宋体"/>
        </w:rPr>
      </w:pPr>
      <w:r>
        <w:rPr>
          <w:rFonts w:cs="宋体"/>
        </w:rPr>
        <w:t>P</w:t>
      </w:r>
      <w:r w:rsidRPr="002574D8">
        <w:rPr>
          <w:rFonts w:cs="宋体"/>
        </w:rPr>
        <w:t xml:space="preserve">rior </w:t>
      </w:r>
      <w:r w:rsidR="00EF26BD" w:rsidRPr="002574D8">
        <w:rPr>
          <w:rFonts w:cs="宋体"/>
        </w:rPr>
        <w:t xml:space="preserve">postoperative adjuvant therapy containing </w:t>
      </w:r>
      <w:r w:rsidR="00EF26BD" w:rsidRPr="00032890">
        <w:rPr>
          <w:rFonts w:cs="宋体"/>
        </w:rPr>
        <w:t>anti-angiogenesis</w:t>
      </w:r>
      <w:r w:rsidR="00EF26BD" w:rsidRPr="002574D8">
        <w:rPr>
          <w:rFonts w:cs="宋体"/>
        </w:rPr>
        <w:t xml:space="preserve"> or anti-EGFR targeted drugs (including but not limited to bevacizumab, cetuximab, panitumumab, aflibercept, regorafenib, etc.);</w:t>
      </w:r>
    </w:p>
    <w:p w14:paraId="5CC3DBFD" w14:textId="308EEB9A" w:rsidR="00EF26BD" w:rsidRPr="003353E5" w:rsidRDefault="00DF5B1D" w:rsidP="005B5F90">
      <w:pPr>
        <w:pStyle w:val="affff0"/>
        <w:numPr>
          <w:ilvl w:val="0"/>
          <w:numId w:val="51"/>
        </w:numPr>
        <w:spacing w:before="60" w:after="60"/>
        <w:rPr>
          <w:rFonts w:cs="宋体"/>
        </w:rPr>
      </w:pPr>
      <w:r>
        <w:rPr>
          <w:rFonts w:cs="宋体"/>
        </w:rPr>
        <w:t>R</w:t>
      </w:r>
      <w:r w:rsidRPr="002574D8">
        <w:rPr>
          <w:rFonts w:cs="宋体"/>
        </w:rPr>
        <w:t xml:space="preserve">eceived </w:t>
      </w:r>
      <w:r w:rsidR="00EF26BD" w:rsidRPr="002574D8">
        <w:rPr>
          <w:rFonts w:cs="宋体"/>
        </w:rPr>
        <w:t>prior systemic therap</w:t>
      </w:r>
      <w:r w:rsidR="005B5F90">
        <w:rPr>
          <w:rFonts w:cs="宋体"/>
        </w:rPr>
        <w:t>ies</w:t>
      </w:r>
      <w:r w:rsidR="00EF26BD" w:rsidRPr="002574D8">
        <w:rPr>
          <w:rFonts w:cs="宋体"/>
        </w:rPr>
        <w:t xml:space="preserve"> for advanced colorectal cancer. </w:t>
      </w:r>
      <w:r w:rsidR="005B5F90" w:rsidRPr="005B5F90">
        <w:rPr>
          <w:rFonts w:cs="宋体"/>
        </w:rPr>
        <w:t xml:space="preserve">Patients who relapsed from </w:t>
      </w:r>
      <w:r w:rsidR="005B5F90">
        <w:rPr>
          <w:rFonts w:cs="宋体"/>
        </w:rPr>
        <w:t>a</w:t>
      </w:r>
      <w:r w:rsidR="005B5F90" w:rsidRPr="002574D8">
        <w:rPr>
          <w:rFonts w:cs="宋体"/>
        </w:rPr>
        <w:t xml:space="preserve">djuvant </w:t>
      </w:r>
      <w:r w:rsidR="00EF26BD" w:rsidRPr="002574D8">
        <w:rPr>
          <w:rFonts w:cs="宋体"/>
        </w:rPr>
        <w:t xml:space="preserve">therapy more than 12 months (with oxaliplatin-containing chemotherapy) or more than 6 months (without oxaliplatin-containing chemotherapy) </w:t>
      </w:r>
      <w:r w:rsidR="005B5F90" w:rsidRPr="005B5F90">
        <w:rPr>
          <w:rFonts w:cs="宋体"/>
        </w:rPr>
        <w:t>befor initiation of</w:t>
      </w:r>
      <w:r w:rsidR="00A26A01">
        <w:rPr>
          <w:rFonts w:cs="宋体"/>
        </w:rPr>
        <w:t xml:space="preserve"> study treatment could be in</w:t>
      </w:r>
      <w:r w:rsidR="005B5F90" w:rsidRPr="005B5F90">
        <w:rPr>
          <w:rFonts w:cs="宋体"/>
        </w:rPr>
        <w:t>cluded</w:t>
      </w:r>
      <w:r w:rsidR="00EF26BD" w:rsidRPr="002574D8">
        <w:rPr>
          <w:rFonts w:cs="宋体"/>
        </w:rPr>
        <w:t>.</w:t>
      </w:r>
    </w:p>
    <w:p w14:paraId="60DB5106" w14:textId="77777777" w:rsidR="00EF26BD" w:rsidRDefault="00EF26BD" w:rsidP="006D1B06">
      <w:pPr>
        <w:pStyle w:val="affff0"/>
        <w:numPr>
          <w:ilvl w:val="0"/>
          <w:numId w:val="51"/>
        </w:numPr>
        <w:spacing w:before="60" w:after="60"/>
        <w:rPr>
          <w:rFonts w:cs="宋体"/>
        </w:rPr>
      </w:pPr>
      <w:r w:rsidRPr="002574D8">
        <w:rPr>
          <w:rFonts w:cs="宋体"/>
        </w:rPr>
        <w:t>CNS metastases with symptoms or symptoms controlled for less than 2 months;</w:t>
      </w:r>
    </w:p>
    <w:p w14:paraId="524E74F4" w14:textId="75F151E0" w:rsidR="00EF26BD" w:rsidRDefault="00EF26BD" w:rsidP="006D1B06">
      <w:pPr>
        <w:pStyle w:val="affff0"/>
        <w:numPr>
          <w:ilvl w:val="0"/>
          <w:numId w:val="49"/>
        </w:numPr>
        <w:tabs>
          <w:tab w:val="left" w:pos="704"/>
        </w:tabs>
      </w:pPr>
      <w:r w:rsidRPr="009D6452">
        <w:lastRenderedPageBreak/>
        <w:t xml:space="preserve">Participation in other clinical trials within </w:t>
      </w:r>
      <w:r>
        <w:t>4 weeks</w:t>
      </w:r>
      <w:r w:rsidRPr="009D6452">
        <w:t xml:space="preserve"> prior to </w:t>
      </w:r>
      <w:r w:rsidR="00FA5C92">
        <w:t>randomization</w:t>
      </w:r>
      <w:r>
        <w:t xml:space="preserve"> (the washout period is calculated from the end of the last treatment);</w:t>
      </w:r>
    </w:p>
    <w:p w14:paraId="053D085D" w14:textId="4DE374B9" w:rsidR="00D45C54" w:rsidRPr="0055585E" w:rsidRDefault="00EF26BD" w:rsidP="0055585E">
      <w:pPr>
        <w:pStyle w:val="affff0"/>
        <w:numPr>
          <w:ilvl w:val="0"/>
          <w:numId w:val="49"/>
        </w:numPr>
        <w:tabs>
          <w:tab w:val="left" w:pos="704"/>
        </w:tabs>
      </w:pPr>
      <w:r>
        <w:t>Subjects with concomitant diseases that seriously endanger the safety or affect the completion of the study according to the judgment of the investigators, or subjects who are considered to be unsuitable for enrollment for other reasons.</w:t>
      </w:r>
    </w:p>
    <w:p w14:paraId="11768C17" w14:textId="3A67A13C" w:rsidR="00D45C54" w:rsidRDefault="003E0392">
      <w:pPr>
        <w:pStyle w:val="20"/>
      </w:pPr>
      <w:bookmarkStart w:id="48" w:name="_Toc196547978"/>
      <w:r>
        <w:rPr>
          <w:rFonts w:hint="eastAsia"/>
        </w:rPr>
        <w:t xml:space="preserve">4.3 </w:t>
      </w:r>
      <w:r w:rsidR="002E79CB" w:rsidRPr="002E79CB">
        <w:t xml:space="preserve">Participant </w:t>
      </w:r>
      <w:r w:rsidR="00754771" w:rsidRPr="002E79CB">
        <w:t>withdrawal or termination</w:t>
      </w:r>
      <w:bookmarkEnd w:id="48"/>
      <w:r w:rsidR="00754771" w:rsidRPr="002E79CB" w:rsidDel="002E79CB">
        <w:t xml:space="preserve"> </w:t>
      </w:r>
      <w:r>
        <w:rPr>
          <w:rFonts w:hint="eastAsia"/>
        </w:rPr>
        <w:t xml:space="preserve"> </w:t>
      </w:r>
    </w:p>
    <w:p w14:paraId="0BE8F998" w14:textId="183317CF" w:rsidR="00D45C54" w:rsidRDefault="003E0392">
      <w:pPr>
        <w:pStyle w:val="3"/>
      </w:pPr>
      <w:bookmarkStart w:id="49" w:name="_Toc35622137"/>
      <w:bookmarkStart w:id="50" w:name="_Toc196547979"/>
      <w:r>
        <w:rPr>
          <w:rFonts w:hint="eastAsia"/>
        </w:rPr>
        <w:t xml:space="preserve">4.3.1 </w:t>
      </w:r>
      <w:r w:rsidR="002E79CB">
        <w:rPr>
          <w:rFonts w:hint="eastAsia"/>
        </w:rPr>
        <w:t xml:space="preserve">Withdrawal </w:t>
      </w:r>
      <w:r w:rsidR="00195937">
        <w:t>c</w:t>
      </w:r>
      <w:r>
        <w:rPr>
          <w:rFonts w:hint="eastAsia"/>
        </w:rPr>
        <w:t>riteria</w:t>
      </w:r>
      <w:bookmarkEnd w:id="50"/>
      <w:r>
        <w:rPr>
          <w:rFonts w:hint="eastAsia"/>
        </w:rPr>
        <w:t xml:space="preserve"> </w:t>
      </w:r>
      <w:bookmarkEnd w:id="49"/>
    </w:p>
    <w:p w14:paraId="423C9210" w14:textId="6AB8784D" w:rsidR="008A0027" w:rsidRDefault="00A03115" w:rsidP="003127AF">
      <w:pPr>
        <w:pStyle w:val="P68B1DB1-125"/>
        <w:rPr>
          <w:rFonts w:hint="default"/>
        </w:rPr>
      </w:pPr>
      <w:r>
        <w:rPr>
          <w:rFonts w:hint="default"/>
        </w:rPr>
        <w:t>S</w:t>
      </w:r>
      <w:r w:rsidRPr="00A03115">
        <w:t>ubject</w:t>
      </w:r>
      <w:r>
        <w:rPr>
          <w:rFonts w:hint="default"/>
        </w:rPr>
        <w:t>s</w:t>
      </w:r>
      <w:r w:rsidRPr="00A03115">
        <w:t xml:space="preserve"> could withdraw from the trial at any time or at the request of the investigator or sponsor for safety or administrative reasons or because the subject </w:t>
      </w:r>
      <w:r>
        <w:rPr>
          <w:rFonts w:hint="default"/>
        </w:rPr>
        <w:t>is</w:t>
      </w:r>
      <w:r w:rsidRPr="00A03115">
        <w:t xml:space="preserve"> unable to adhere to the treatment </w:t>
      </w:r>
      <w:r>
        <w:rPr>
          <w:rFonts w:hint="default"/>
        </w:rPr>
        <w:t>or</w:t>
      </w:r>
      <w:r w:rsidRPr="00A03115">
        <w:t xml:space="preserve"> visits</w:t>
      </w:r>
      <w:r>
        <w:rPr>
          <w:rFonts w:hint="default"/>
        </w:rPr>
        <w:t xml:space="preserve"> </w:t>
      </w:r>
      <w:r w:rsidRPr="00A03115">
        <w:t>protocol</w:t>
      </w:r>
      <w:r>
        <w:rPr>
          <w:rFonts w:hint="default"/>
        </w:rPr>
        <w:t>.</w:t>
      </w:r>
    </w:p>
    <w:p w14:paraId="5ACABE23" w14:textId="5190493B" w:rsidR="00D45C54" w:rsidRDefault="008A0027" w:rsidP="003127AF">
      <w:pPr>
        <w:pStyle w:val="P68B1DB1-125"/>
        <w:rPr>
          <w:rFonts w:hint="default"/>
        </w:rPr>
      </w:pPr>
      <w:r>
        <w:rPr>
          <w:rFonts w:hint="default"/>
        </w:rPr>
        <w:t xml:space="preserve">Reasons for </w:t>
      </w:r>
      <w:r w:rsidRPr="008A0027">
        <w:t>withdraw</w:t>
      </w:r>
      <w:r>
        <w:rPr>
          <w:rFonts w:hint="default"/>
        </w:rPr>
        <w:t xml:space="preserve"> includes:</w:t>
      </w:r>
    </w:p>
    <w:p w14:paraId="72FC21B4" w14:textId="3335F88A" w:rsidR="00A07A8A" w:rsidRDefault="00A07A8A" w:rsidP="006D1B06">
      <w:pPr>
        <w:pStyle w:val="P68B1DB1-10455"/>
        <w:numPr>
          <w:ilvl w:val="0"/>
          <w:numId w:val="14"/>
        </w:numPr>
        <w:rPr>
          <w:rFonts w:hint="default"/>
        </w:rPr>
      </w:pPr>
      <w:r>
        <w:t>Patients withdr</w:t>
      </w:r>
      <w:r>
        <w:rPr>
          <w:rFonts w:hint="default"/>
        </w:rPr>
        <w:t>a</w:t>
      </w:r>
      <w:r>
        <w:t xml:space="preserve">w </w:t>
      </w:r>
      <w:r w:rsidRPr="00A07A8A">
        <w:t>informed c</w:t>
      </w:r>
      <w:r>
        <w:t>onsent;</w:t>
      </w:r>
    </w:p>
    <w:p w14:paraId="4AC63A7D" w14:textId="2BE2889C" w:rsidR="00A07A8A" w:rsidRDefault="00A07A8A" w:rsidP="00384EEC">
      <w:pPr>
        <w:pStyle w:val="P68B1DB1-10455"/>
        <w:ind w:left="425" w:firstLine="0"/>
        <w:rPr>
          <w:rFonts w:hint="default"/>
        </w:rPr>
      </w:pPr>
      <w:r>
        <w:rPr>
          <w:rFonts w:hint="default"/>
        </w:rPr>
        <w:t xml:space="preserve">Note: </w:t>
      </w:r>
      <w:r w:rsidR="00C76530" w:rsidRPr="00C76530">
        <w:t>Withdrawal of informed consent mean</w:t>
      </w:r>
      <w:r w:rsidR="00C76530">
        <w:rPr>
          <w:rFonts w:hint="default"/>
        </w:rPr>
        <w:t xml:space="preserve">s </w:t>
      </w:r>
      <w:r w:rsidR="00C76530" w:rsidRPr="00C76530">
        <w:t xml:space="preserve">that the subject could no longer be followed up. Subjects </w:t>
      </w:r>
      <w:r w:rsidR="00C76530">
        <w:rPr>
          <w:rFonts w:hint="default"/>
        </w:rPr>
        <w:t>could</w:t>
      </w:r>
      <w:r w:rsidR="00C76530" w:rsidRPr="00C76530">
        <w:t xml:space="preserve"> discontinu</w:t>
      </w:r>
      <w:r w:rsidR="00C76530">
        <w:rPr>
          <w:rFonts w:hint="default"/>
        </w:rPr>
        <w:t>e</w:t>
      </w:r>
      <w:r w:rsidR="00C76530" w:rsidRPr="00C76530">
        <w:t xml:space="preserve"> the study treatment and remaining in the study for </w:t>
      </w:r>
      <w:r w:rsidR="00C76530" w:rsidRPr="00384EEC">
        <w:rPr>
          <w:rFonts w:hint="default"/>
        </w:rPr>
        <w:t>efficacy</w:t>
      </w:r>
      <w:r w:rsidR="00C76530">
        <w:rPr>
          <w:rFonts w:hint="default"/>
        </w:rPr>
        <w:t xml:space="preserve"> and </w:t>
      </w:r>
      <w:r w:rsidR="00C76530" w:rsidRPr="00C76530">
        <w:t>survival follow-up according to the schedule.</w:t>
      </w:r>
    </w:p>
    <w:p w14:paraId="211F1597" w14:textId="3509EF38" w:rsidR="00A07A8A" w:rsidRDefault="00A07A8A" w:rsidP="006D1B06">
      <w:pPr>
        <w:pStyle w:val="P68B1DB1-10428"/>
        <w:numPr>
          <w:ilvl w:val="0"/>
          <w:numId w:val="14"/>
        </w:numPr>
        <w:rPr>
          <w:rFonts w:ascii="Times New Roman" w:hAnsi="Times New Roman" w:cs="Times New Roman" w:hint="default"/>
        </w:rPr>
      </w:pPr>
      <w:r w:rsidRPr="00A07A8A">
        <w:rPr>
          <w:rFonts w:ascii="Times New Roman" w:hAnsi="Times New Roman" w:cs="Times New Roman"/>
        </w:rPr>
        <w:t>Patients die;</w:t>
      </w:r>
    </w:p>
    <w:p w14:paraId="5AFF3121" w14:textId="267EA1EC" w:rsidR="00A07A8A" w:rsidRPr="00A07A8A" w:rsidRDefault="00A07A8A" w:rsidP="006D1B06">
      <w:pPr>
        <w:pStyle w:val="P68B1DB1-10428"/>
        <w:numPr>
          <w:ilvl w:val="0"/>
          <w:numId w:val="14"/>
        </w:numPr>
        <w:rPr>
          <w:rFonts w:ascii="Times New Roman" w:hAnsi="Times New Roman" w:cs="Times New Roman" w:hint="default"/>
        </w:rPr>
      </w:pPr>
      <w:r w:rsidRPr="003127AF">
        <w:rPr>
          <w:rFonts w:ascii="Times New Roman" w:hAnsi="Times New Roman" w:cs="Times New Roman" w:hint="default"/>
        </w:rPr>
        <w:t>Poor compliance</w:t>
      </w:r>
      <w:r w:rsidRPr="00A07A8A">
        <w:rPr>
          <w:rFonts w:ascii="Times New Roman" w:hAnsi="Times New Roman" w:cs="Times New Roman" w:hint="default"/>
        </w:rPr>
        <w:t xml:space="preserve"> or </w:t>
      </w:r>
      <w:r w:rsidRPr="00384EEC">
        <w:rPr>
          <w:rFonts w:ascii="Times New Roman" w:hAnsi="Times New Roman" w:cs="Times New Roman" w:hint="default"/>
        </w:rPr>
        <w:t>failure to follow up for any reason</w:t>
      </w:r>
      <w:r w:rsidRPr="00A07A8A">
        <w:rPr>
          <w:rFonts w:ascii="Times New Roman" w:hAnsi="Times New Roman" w:cs="Times New Roman" w:hint="default"/>
        </w:rPr>
        <w:t>;</w:t>
      </w:r>
    </w:p>
    <w:p w14:paraId="3940537D" w14:textId="08A5AF32" w:rsidR="00D45C54" w:rsidRPr="003127AF" w:rsidRDefault="00A07A8A" w:rsidP="006D1B06">
      <w:pPr>
        <w:pStyle w:val="P68B1DB1-10428"/>
        <w:numPr>
          <w:ilvl w:val="0"/>
          <w:numId w:val="14"/>
        </w:numPr>
        <w:rPr>
          <w:rFonts w:ascii="Times New Roman" w:hAnsi="Times New Roman" w:cs="Times New Roman" w:hint="default"/>
        </w:rPr>
      </w:pPr>
      <w:r w:rsidRPr="00A07A8A">
        <w:rPr>
          <w:rFonts w:ascii="Times New Roman" w:hAnsi="Times New Roman" w:cs="Times New Roman"/>
        </w:rPr>
        <w:t>Termination by the sponsors</w:t>
      </w:r>
      <w:r>
        <w:rPr>
          <w:rFonts w:ascii="Times New Roman" w:hAnsi="Times New Roman" w:cs="Times New Roman" w:hint="default"/>
        </w:rPr>
        <w:t>;</w:t>
      </w:r>
    </w:p>
    <w:p w14:paraId="0261C157" w14:textId="5FD2FBE0" w:rsidR="00D45C54" w:rsidRDefault="003E0392" w:rsidP="006D1B06">
      <w:pPr>
        <w:pStyle w:val="P68B1DB1-10428"/>
        <w:numPr>
          <w:ilvl w:val="0"/>
          <w:numId w:val="14"/>
        </w:numPr>
        <w:rPr>
          <w:rFonts w:hint="default"/>
        </w:rPr>
      </w:pPr>
      <w:r w:rsidRPr="003127AF">
        <w:rPr>
          <w:rFonts w:ascii="Times New Roman" w:hAnsi="Times New Roman" w:cs="Times New Roman" w:hint="default"/>
        </w:rPr>
        <w:t>Other conditions that the investigator considers</w:t>
      </w:r>
      <w:r w:rsidR="00950E7E" w:rsidRPr="00950E7E">
        <w:rPr>
          <w:rFonts w:ascii="Times New Roman" w:hAnsi="Times New Roman" w:cs="Times New Roman"/>
        </w:rPr>
        <w:t xml:space="preserve"> </w:t>
      </w:r>
      <w:r w:rsidR="00A07A8A">
        <w:rPr>
          <w:rFonts w:ascii="Times New Roman" w:hAnsi="Times New Roman" w:cs="Times New Roman" w:hint="default"/>
        </w:rPr>
        <w:t>necessary</w:t>
      </w:r>
      <w:r w:rsidRPr="003127AF">
        <w:rPr>
          <w:rFonts w:ascii="Times New Roman" w:hAnsi="Times New Roman" w:cs="Times New Roman" w:hint="default"/>
        </w:rPr>
        <w:t xml:space="preserve">. </w:t>
      </w:r>
    </w:p>
    <w:p w14:paraId="53B2EF69" w14:textId="5BAD7016" w:rsidR="00D45C54" w:rsidRDefault="003E0392">
      <w:pPr>
        <w:pStyle w:val="3"/>
      </w:pPr>
      <w:bookmarkStart w:id="51" w:name="_Toc35622138"/>
      <w:bookmarkStart w:id="52" w:name="_Hlk31787977"/>
      <w:bookmarkStart w:id="53" w:name="_Toc196547980"/>
      <w:r>
        <w:rPr>
          <w:rFonts w:hint="eastAsia"/>
        </w:rPr>
        <w:t xml:space="preserve">4.3.2 </w:t>
      </w:r>
      <w:r w:rsidR="00A07A8A" w:rsidRPr="00CC6219">
        <w:t>Termination</w:t>
      </w:r>
      <w:r w:rsidR="00A07A8A" w:rsidRPr="00CC6219" w:rsidDel="00CC6219">
        <w:rPr>
          <w:rFonts w:hint="eastAsia"/>
        </w:rPr>
        <w:t xml:space="preserve"> </w:t>
      </w:r>
      <w:r w:rsidR="00A07A8A">
        <w:t>c</w:t>
      </w:r>
      <w:r w:rsidR="00A07A8A" w:rsidRPr="00CC6219">
        <w:t>riteria</w:t>
      </w:r>
      <w:bookmarkEnd w:id="53"/>
      <w:r w:rsidR="00A07A8A" w:rsidRPr="00CC6219">
        <w:t xml:space="preserve"> </w:t>
      </w:r>
      <w:bookmarkEnd w:id="51"/>
    </w:p>
    <w:p w14:paraId="1C69C291" w14:textId="7D0B2AFA" w:rsidR="00CC6219" w:rsidRPr="003127AF" w:rsidRDefault="00CC6219" w:rsidP="003127AF">
      <w:pPr>
        <w:pStyle w:val="P68B1DB1-125"/>
        <w:rPr>
          <w:rFonts w:eastAsiaTheme="minorEastAsia" w:hint="default"/>
        </w:rPr>
      </w:pPr>
      <w:r w:rsidRPr="00CC6219">
        <w:rPr>
          <w:rFonts w:eastAsiaTheme="minorEastAsia"/>
        </w:rPr>
        <w:t>Termination of trial treatment does not mean dropping out of the study. Participants who terminate trial treatment must continue to complete the remaining visits as required by the protocol. The study treat</w:t>
      </w:r>
      <w:r w:rsidR="008976BF">
        <w:rPr>
          <w:rFonts w:eastAsiaTheme="minorEastAsia"/>
        </w:rPr>
        <w:t xml:space="preserve">ment must be terminated </w:t>
      </w:r>
      <w:r w:rsidRPr="00CC6219">
        <w:rPr>
          <w:rFonts w:eastAsiaTheme="minorEastAsia"/>
        </w:rPr>
        <w:t>if the subject meets any of the following criteria:</w:t>
      </w:r>
    </w:p>
    <w:p w14:paraId="54C3274E" w14:textId="5B3E0DBA" w:rsidR="00D45C54" w:rsidRDefault="003E0392" w:rsidP="006D1B06">
      <w:pPr>
        <w:pStyle w:val="P68B1DB1-10426"/>
        <w:numPr>
          <w:ilvl w:val="0"/>
          <w:numId w:val="15"/>
        </w:numPr>
        <w:rPr>
          <w:rFonts w:hint="default"/>
        </w:rPr>
      </w:pPr>
      <w:r>
        <w:t>The subject requests</w:t>
      </w:r>
      <w:r w:rsidR="003B30A5" w:rsidRPr="003B30A5">
        <w:t xml:space="preserve"> termination</w:t>
      </w:r>
      <w:r>
        <w:t xml:space="preserve">; </w:t>
      </w:r>
    </w:p>
    <w:p w14:paraId="5DC7C343" w14:textId="7BC7FA37" w:rsidR="00D45C54" w:rsidRDefault="003E0392" w:rsidP="006D1B06">
      <w:pPr>
        <w:pStyle w:val="P68B1DB1-10426"/>
        <w:numPr>
          <w:ilvl w:val="0"/>
          <w:numId w:val="15"/>
        </w:numPr>
        <w:rPr>
          <w:rFonts w:hint="default"/>
        </w:rPr>
      </w:pPr>
      <w:r>
        <w:t xml:space="preserve">The efficacy evaluation of the control group conforms to the PD defined by RECIST 1.1; </w:t>
      </w:r>
    </w:p>
    <w:p w14:paraId="7F102101" w14:textId="076E5CD4" w:rsidR="00D45C54" w:rsidRDefault="003E0392" w:rsidP="006D1B06">
      <w:pPr>
        <w:pStyle w:val="P68B1DB1-10426"/>
        <w:numPr>
          <w:ilvl w:val="0"/>
          <w:numId w:val="15"/>
        </w:numPr>
        <w:rPr>
          <w:rFonts w:hint="default"/>
        </w:rPr>
      </w:pPr>
      <w:r>
        <w:t xml:space="preserve">The subject </w:t>
      </w:r>
      <w:r w:rsidR="0027020F">
        <w:rPr>
          <w:rFonts w:hint="default"/>
        </w:rPr>
        <w:t xml:space="preserve">or his </w:t>
      </w:r>
      <w:r w:rsidR="0027020F" w:rsidRPr="0027020F">
        <w:t xml:space="preserve">companion </w:t>
      </w:r>
      <w:r>
        <w:t xml:space="preserve">experiences a pregnancy event during the study; </w:t>
      </w:r>
    </w:p>
    <w:p w14:paraId="28CF2C1C" w14:textId="7D8F3D0C" w:rsidR="00D45C54" w:rsidRDefault="003E0392" w:rsidP="006D1B06">
      <w:pPr>
        <w:pStyle w:val="P68B1DB1-10426"/>
        <w:numPr>
          <w:ilvl w:val="0"/>
          <w:numId w:val="15"/>
        </w:numPr>
        <w:rPr>
          <w:rFonts w:hint="default"/>
        </w:rPr>
      </w:pPr>
      <w:r>
        <w:t xml:space="preserve">The subject is still unable to tolerate the toxicity after dose adjustment, or develops </w:t>
      </w:r>
      <w:r w:rsidR="00030FD7">
        <w:rPr>
          <w:rFonts w:hint="default"/>
        </w:rPr>
        <w:t>AE</w:t>
      </w:r>
      <w:r>
        <w:t xml:space="preserve">s, laboratory abnormalities or concurrent diseases, etc., and continues to participate in the study is not in the best interest of the subject as judged by the investigator; </w:t>
      </w:r>
    </w:p>
    <w:p w14:paraId="2EDBF4AE" w14:textId="7B25F33C" w:rsidR="00D45C54" w:rsidRDefault="003E0392" w:rsidP="006D1B06">
      <w:pPr>
        <w:pStyle w:val="P68B1DB1-10426"/>
        <w:numPr>
          <w:ilvl w:val="0"/>
          <w:numId w:val="15"/>
        </w:numPr>
        <w:rPr>
          <w:rFonts w:hint="default"/>
        </w:rPr>
      </w:pPr>
      <w:r>
        <w:t xml:space="preserve">Deterioration of the state, impossible to continue the trial; </w:t>
      </w:r>
    </w:p>
    <w:p w14:paraId="47468E21" w14:textId="77777777" w:rsidR="00D45C54" w:rsidRDefault="003E0392" w:rsidP="006D1B06">
      <w:pPr>
        <w:pStyle w:val="P68B1DB1-10426"/>
        <w:numPr>
          <w:ilvl w:val="0"/>
          <w:numId w:val="15"/>
        </w:numPr>
        <w:rPr>
          <w:rFonts w:hint="default"/>
        </w:rPr>
      </w:pPr>
      <w:r>
        <w:t xml:space="preserve">Significant protocol deviations such as subject ineligibility are found after enrollment and </w:t>
      </w:r>
      <w:r>
        <w:lastRenderedPageBreak/>
        <w:t xml:space="preserve">confirmed by the sponsor; </w:t>
      </w:r>
    </w:p>
    <w:p w14:paraId="78C7566F" w14:textId="77777777" w:rsidR="00D45C54" w:rsidRDefault="003E0392" w:rsidP="006D1B06">
      <w:pPr>
        <w:pStyle w:val="P68B1DB1-10426"/>
        <w:numPr>
          <w:ilvl w:val="0"/>
          <w:numId w:val="15"/>
        </w:numPr>
        <w:rPr>
          <w:rFonts w:hint="default"/>
        </w:rPr>
      </w:pPr>
      <w:r>
        <w:t xml:space="preserve">Study termination by sponsor; </w:t>
      </w:r>
    </w:p>
    <w:p w14:paraId="058E4045" w14:textId="38D6D867" w:rsidR="00030FD7" w:rsidRDefault="003E0392" w:rsidP="006D1B06">
      <w:pPr>
        <w:pStyle w:val="P68B1DB1-10426"/>
        <w:numPr>
          <w:ilvl w:val="0"/>
          <w:numId w:val="15"/>
        </w:numPr>
        <w:rPr>
          <w:rFonts w:hint="default"/>
        </w:rPr>
      </w:pPr>
      <w:r>
        <w:t xml:space="preserve">Subjects who, in the opinion of the investigator, are noncompliant with study procedures or drug administration should consult with the sponsor for instruction on handling the subject; </w:t>
      </w:r>
    </w:p>
    <w:p w14:paraId="04F7011A" w14:textId="77777777" w:rsidR="00D45C54" w:rsidRDefault="003E0392" w:rsidP="006D1B06">
      <w:pPr>
        <w:pStyle w:val="P68B1DB1-10426"/>
        <w:numPr>
          <w:ilvl w:val="0"/>
          <w:numId w:val="15"/>
        </w:numPr>
        <w:rPr>
          <w:rFonts w:hint="default"/>
        </w:rPr>
      </w:pPr>
      <w:r>
        <w:t xml:space="preserve">Other reasons that, in the opinion of the investigator, make continuation of study treatment impossible. </w:t>
      </w:r>
    </w:p>
    <w:p w14:paraId="12F1E5AA" w14:textId="6AB5EEEA" w:rsidR="00D45C54" w:rsidRDefault="003E0392">
      <w:pPr>
        <w:pStyle w:val="3"/>
      </w:pPr>
      <w:bookmarkStart w:id="54" w:name="_Toc35622139"/>
      <w:bookmarkStart w:id="55" w:name="_Toc196547981"/>
      <w:r>
        <w:rPr>
          <w:rFonts w:hint="eastAsia"/>
        </w:rPr>
        <w:t xml:space="preserve">4.3.3 Procedures for </w:t>
      </w:r>
      <w:r w:rsidR="00FD0D9A">
        <w:t>w</w:t>
      </w:r>
      <w:r>
        <w:rPr>
          <w:rFonts w:hint="eastAsia"/>
        </w:rPr>
        <w:t xml:space="preserve">ithdrawal or </w:t>
      </w:r>
      <w:r w:rsidR="00D232F4" w:rsidRPr="00D232F4">
        <w:t>termination</w:t>
      </w:r>
      <w:bookmarkEnd w:id="55"/>
      <w:r w:rsidR="00D232F4" w:rsidRPr="00D232F4">
        <w:t xml:space="preserve"> </w:t>
      </w:r>
      <w:r>
        <w:rPr>
          <w:rFonts w:hint="eastAsia"/>
        </w:rPr>
        <w:t xml:space="preserve"> </w:t>
      </w:r>
      <w:bookmarkEnd w:id="54"/>
    </w:p>
    <w:p w14:paraId="0A8C8AE2" w14:textId="1433069F" w:rsidR="00D232F4" w:rsidRDefault="00C86B9A" w:rsidP="003127AF">
      <w:pPr>
        <w:pStyle w:val="P68B1DB1-125"/>
        <w:rPr>
          <w:rFonts w:hint="default"/>
        </w:rPr>
      </w:pPr>
      <w:r>
        <w:t>If a patient</w:t>
      </w:r>
      <w:r w:rsidR="00D232F4">
        <w:t xml:space="preserve"> </w:t>
      </w:r>
      <w:r>
        <w:rPr>
          <w:rFonts w:hint="default"/>
        </w:rPr>
        <w:t>i</w:t>
      </w:r>
      <w:r w:rsidR="00D232F4">
        <w:t>s withdrawn from the study o</w:t>
      </w:r>
      <w:r>
        <w:t>r terminate</w:t>
      </w:r>
      <w:r w:rsidR="00D232F4">
        <w:t xml:space="preserve"> study treatment, the following steps </w:t>
      </w:r>
      <w:r>
        <w:rPr>
          <w:rFonts w:hint="default"/>
        </w:rPr>
        <w:t>are</w:t>
      </w:r>
      <w:r w:rsidR="00D232F4">
        <w:t xml:space="preserve"> taken:</w:t>
      </w:r>
      <w:r w:rsidR="003E0392">
        <w:t xml:space="preserve"> </w:t>
      </w:r>
    </w:p>
    <w:p w14:paraId="4CB8C39D" w14:textId="7BACCF04" w:rsidR="00D232F4" w:rsidRDefault="00D232F4" w:rsidP="00D232F4">
      <w:pPr>
        <w:pStyle w:val="P68B1DB1-17748"/>
        <w:rPr>
          <w:rFonts w:hint="default"/>
        </w:rPr>
      </w:pPr>
      <w:r>
        <w:t>The reason must be documented in the medical documentation and eCRF;</w:t>
      </w:r>
    </w:p>
    <w:p w14:paraId="67352AC2" w14:textId="622E1ED3" w:rsidR="00D232F4" w:rsidRDefault="00D232F4" w:rsidP="00D232F4">
      <w:pPr>
        <w:pStyle w:val="P68B1DB1-17748"/>
        <w:rPr>
          <w:rFonts w:hint="default"/>
        </w:rPr>
      </w:pPr>
      <w:r>
        <w:t>An end-of-treatment (EOT) visit should be performed. Such examinations need not be performed at the EOT visit if part of the examination program is completed within 7 days prior to withdrawal from treatment;</w:t>
      </w:r>
    </w:p>
    <w:p w14:paraId="7DB654AD" w14:textId="1C8CCE0A" w:rsidR="00D232F4" w:rsidRDefault="00D232F4" w:rsidP="00D232F4">
      <w:pPr>
        <w:pStyle w:val="P68B1DB1-17748"/>
        <w:rPr>
          <w:rFonts w:hint="default"/>
        </w:rPr>
      </w:pPr>
      <w:r>
        <w:t xml:space="preserve">The patient must be followed </w:t>
      </w:r>
      <w:r w:rsidR="0035314F">
        <w:rPr>
          <w:rFonts w:hint="default"/>
        </w:rPr>
        <w:t xml:space="preserve">for at least </w:t>
      </w:r>
      <w:r>
        <w:rPr>
          <w:rFonts w:hint="default"/>
        </w:rPr>
        <w:t xml:space="preserve">30 days </w:t>
      </w:r>
      <w:r>
        <w:t>for safety after the EOT visit or until the toxicity subsides, returns to baseline levels or preadverse event status, or is deemed irreversible (whichever is the longest)</w:t>
      </w:r>
      <w:r>
        <w:rPr>
          <w:rFonts w:hint="default"/>
        </w:rPr>
        <w:t>;</w:t>
      </w:r>
    </w:p>
    <w:p w14:paraId="56DB68E2" w14:textId="23031844" w:rsidR="00D232F4" w:rsidRDefault="00D232F4" w:rsidP="00D232F4">
      <w:pPr>
        <w:pStyle w:val="P68B1DB1-17748"/>
        <w:rPr>
          <w:rFonts w:hint="default"/>
        </w:rPr>
      </w:pPr>
      <w:r>
        <w:t>Non-disease progression patients are required to continue imaging evaluations at the planned frequency and duration until the patient begins new antitumor therapy or the disease progresses. Imaging evidence of disease progression should be obtained as much as possible in these patients;</w:t>
      </w:r>
    </w:p>
    <w:p w14:paraId="757C05DF" w14:textId="1D1E2929" w:rsidR="00D232F4" w:rsidRPr="0035314F" w:rsidRDefault="0035314F" w:rsidP="00D232F4">
      <w:pPr>
        <w:pStyle w:val="P68B1DB1-17748"/>
        <w:rPr>
          <w:rFonts w:hint="default"/>
        </w:rPr>
      </w:pPr>
      <w:r w:rsidRPr="00384EEC">
        <w:rPr>
          <w:rFonts w:hint="default"/>
        </w:rPr>
        <w:t>C</w:t>
      </w:r>
      <w:r w:rsidR="00D232F4" w:rsidRPr="0035314F">
        <w:rPr>
          <w:rFonts w:hint="default"/>
        </w:rPr>
        <w:t>ontinue to tracke</w:t>
      </w:r>
      <w:r w:rsidRPr="00384EEC">
        <w:rPr>
          <w:rFonts w:hint="default"/>
        </w:rPr>
        <w:t xml:space="preserve"> the patients</w:t>
      </w:r>
      <w:r w:rsidR="00D232F4" w:rsidRPr="0035314F">
        <w:rPr>
          <w:rFonts w:hint="default"/>
        </w:rPr>
        <w:t xml:space="preserve"> and have their survival status documented in accordance with the protocol.</w:t>
      </w:r>
    </w:p>
    <w:p w14:paraId="37AFE9A8" w14:textId="77777777" w:rsidR="00D45C54" w:rsidRPr="00384EEC" w:rsidRDefault="003E0392">
      <w:pPr>
        <w:pStyle w:val="3"/>
        <w:rPr>
          <w:color w:val="000000" w:themeColor="text1"/>
        </w:rPr>
      </w:pPr>
      <w:bookmarkStart w:id="56" w:name="_Toc35622140"/>
      <w:bookmarkStart w:id="57" w:name="_Toc196547982"/>
      <w:r w:rsidRPr="00384EEC">
        <w:rPr>
          <w:color w:val="000000" w:themeColor="text1"/>
        </w:rPr>
        <w:t>4.3.4 Handling of lost to follow-up</w:t>
      </w:r>
      <w:bookmarkEnd w:id="57"/>
      <w:r w:rsidRPr="00384EEC">
        <w:rPr>
          <w:color w:val="000000" w:themeColor="text1"/>
        </w:rPr>
        <w:t xml:space="preserve"> </w:t>
      </w:r>
      <w:bookmarkEnd w:id="56"/>
    </w:p>
    <w:p w14:paraId="755D1693" w14:textId="39C28713" w:rsidR="00D232F4" w:rsidRPr="00D232F4" w:rsidRDefault="00D232F4" w:rsidP="003127AF">
      <w:pPr>
        <w:pStyle w:val="P68B1DB1-125"/>
        <w:rPr>
          <w:rFonts w:hint="default"/>
        </w:rPr>
      </w:pPr>
      <w:r w:rsidRPr="00D232F4">
        <w:t>If a patient does not report back to the research center for a scheduled visit and cannot be contacted by research center staff on at least 3 occasions, the visit will be considered a lost visit. Contact methods include: phone calls, faxes, text messages, social media tools, and emails. All such attempts to contact the patient shall be documented in the patient's medical record or study file. If it is determined that the patient has died, the research center will attempt to obtain as much information about the death as possible, as well as the cause of death, e.g., by using public resources such as community health registries and databases. If all attempts have been made and the patient's status cannot be obtained, the investigator shall report the date the patient was last known to be alive and document it in the patient's medical history.</w:t>
      </w:r>
    </w:p>
    <w:p w14:paraId="0984D491" w14:textId="17A55C68" w:rsidR="00D45C54" w:rsidRDefault="003E0392" w:rsidP="00384EEC">
      <w:pPr>
        <w:pStyle w:val="1"/>
      </w:pPr>
      <w:bookmarkStart w:id="58" w:name="_Toc196547983"/>
      <w:bookmarkEnd w:id="52"/>
      <w:r>
        <w:lastRenderedPageBreak/>
        <w:t>5</w:t>
      </w:r>
      <w:r w:rsidR="0000323A">
        <w:t>.</w:t>
      </w:r>
      <w:r>
        <w:t xml:space="preserve"> </w:t>
      </w:r>
      <w:r w:rsidR="00657F9F">
        <w:t>procedure and treatment</w:t>
      </w:r>
      <w:bookmarkEnd w:id="58"/>
      <w:r>
        <w:t xml:space="preserve"> </w:t>
      </w:r>
    </w:p>
    <w:p w14:paraId="47DB66C3" w14:textId="2934044B" w:rsidR="00D45C54" w:rsidRDefault="003E0392">
      <w:pPr>
        <w:pStyle w:val="20"/>
      </w:pPr>
      <w:bookmarkStart w:id="59" w:name="_Toc455900162"/>
      <w:bookmarkStart w:id="60" w:name="_Toc502847616"/>
      <w:bookmarkStart w:id="61" w:name="_Toc445729731"/>
      <w:bookmarkStart w:id="62" w:name="_Toc13063632"/>
      <w:bookmarkStart w:id="63" w:name="_Toc35622145"/>
      <w:bookmarkStart w:id="64" w:name="_Toc196547984"/>
      <w:r>
        <w:rPr>
          <w:rFonts w:hint="eastAsia"/>
        </w:rPr>
        <w:t>5</w:t>
      </w:r>
      <w:r>
        <w:t xml:space="preserve">.1 </w:t>
      </w:r>
      <w:bookmarkEnd w:id="59"/>
      <w:bookmarkEnd w:id="60"/>
      <w:bookmarkEnd w:id="61"/>
      <w:bookmarkEnd w:id="62"/>
      <w:r w:rsidR="00657F9F">
        <w:t>Basic information of</w:t>
      </w:r>
      <w:r w:rsidR="00657F9F">
        <w:rPr>
          <w:rFonts w:hint="eastAsia"/>
        </w:rPr>
        <w:t xml:space="preserve"> </w:t>
      </w:r>
      <w:r w:rsidR="00657F9F">
        <w:t xml:space="preserve">study </w:t>
      </w:r>
      <w:r w:rsidR="000723BF">
        <w:t>drug</w:t>
      </w:r>
      <w:r w:rsidR="00657F9F">
        <w:t>s</w:t>
      </w:r>
      <w:bookmarkEnd w:id="64"/>
      <w:r w:rsidR="000723BF">
        <w:rPr>
          <w:rFonts w:hint="eastAsia"/>
        </w:rPr>
        <w:t xml:space="preserve"> </w:t>
      </w:r>
      <w:bookmarkEnd w:id="63"/>
    </w:p>
    <w:p w14:paraId="5C747EF4" w14:textId="438A06A0" w:rsidR="00C479FE" w:rsidRDefault="00C479FE" w:rsidP="003127AF">
      <w:pPr>
        <w:pStyle w:val="P68B1DB1-15621"/>
        <w:numPr>
          <w:ilvl w:val="0"/>
          <w:numId w:val="0"/>
        </w:numPr>
        <w:spacing w:before="120"/>
        <w:rPr>
          <w:rFonts w:hint="default"/>
          <w:b w:val="0"/>
        </w:rPr>
      </w:pPr>
      <w:bookmarkStart w:id="65" w:name="_Toc35622146"/>
      <w:r w:rsidRPr="00384EEC">
        <w:rPr>
          <w:b w:val="0"/>
        </w:rPr>
        <w:t xml:space="preserve">All study drugs </w:t>
      </w:r>
      <w:r>
        <w:rPr>
          <w:rFonts w:hint="default"/>
          <w:b w:val="0"/>
        </w:rPr>
        <w:t>are</w:t>
      </w:r>
      <w:r w:rsidRPr="00384EEC">
        <w:rPr>
          <w:b w:val="0"/>
        </w:rPr>
        <w:t xml:space="preserve"> provided by the sponsor, and the specific batch number </w:t>
      </w:r>
      <w:r>
        <w:rPr>
          <w:rFonts w:hint="default"/>
          <w:b w:val="0"/>
        </w:rPr>
        <w:t>i</w:t>
      </w:r>
      <w:r w:rsidRPr="00384EEC">
        <w:rPr>
          <w:b w:val="0"/>
        </w:rPr>
        <w:t>s based on the test report and packaging.</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2268"/>
        <w:gridCol w:w="1309"/>
        <w:gridCol w:w="2314"/>
      </w:tblGrid>
      <w:tr w:rsidR="00C479FE" w:rsidRPr="00BE5811" w14:paraId="741DF4AD" w14:textId="77777777" w:rsidTr="00BE5811">
        <w:trPr>
          <w:trHeight w:val="468"/>
        </w:trPr>
        <w:tc>
          <w:tcPr>
            <w:tcW w:w="2405" w:type="dxa"/>
          </w:tcPr>
          <w:p w14:paraId="0A7868BA" w14:textId="5D922825" w:rsidR="00C479FE" w:rsidRPr="00BE5811" w:rsidRDefault="00C479FE" w:rsidP="00BE5811">
            <w:pPr>
              <w:pStyle w:val="P68B1DB1-15621"/>
              <w:numPr>
                <w:ilvl w:val="0"/>
                <w:numId w:val="0"/>
              </w:numPr>
              <w:spacing w:before="120"/>
              <w:jc w:val="center"/>
              <w:rPr>
                <w:rFonts w:cs="Times New Roman" w:hint="default"/>
                <w:b w:val="0"/>
                <w:sz w:val="21"/>
                <w:szCs w:val="21"/>
              </w:rPr>
            </w:pPr>
            <w:r w:rsidRPr="00BE5811">
              <w:rPr>
                <w:rFonts w:cs="Times New Roman" w:hint="default"/>
                <w:b w:val="0"/>
                <w:sz w:val="21"/>
                <w:szCs w:val="21"/>
              </w:rPr>
              <w:t>Drug name</w:t>
            </w:r>
          </w:p>
        </w:tc>
        <w:tc>
          <w:tcPr>
            <w:tcW w:w="2268" w:type="dxa"/>
          </w:tcPr>
          <w:p w14:paraId="485661A4" w14:textId="4B1B0ABA" w:rsidR="00C479FE" w:rsidRPr="00BE5811" w:rsidRDefault="00C479FE" w:rsidP="00BE5811">
            <w:pPr>
              <w:pStyle w:val="P68B1DB1-15621"/>
              <w:numPr>
                <w:ilvl w:val="0"/>
                <w:numId w:val="0"/>
              </w:numPr>
              <w:spacing w:before="120"/>
              <w:jc w:val="center"/>
              <w:rPr>
                <w:rFonts w:cs="Times New Roman" w:hint="default"/>
                <w:b w:val="0"/>
                <w:sz w:val="21"/>
                <w:szCs w:val="21"/>
              </w:rPr>
            </w:pPr>
            <w:r w:rsidRPr="00BE5811">
              <w:rPr>
                <w:rFonts w:cs="Times New Roman" w:hint="default"/>
                <w:b w:val="0"/>
                <w:sz w:val="21"/>
                <w:szCs w:val="21"/>
              </w:rPr>
              <w:t>Origin</w:t>
            </w:r>
          </w:p>
        </w:tc>
        <w:tc>
          <w:tcPr>
            <w:tcW w:w="1309" w:type="dxa"/>
          </w:tcPr>
          <w:p w14:paraId="34ECA1A7" w14:textId="67776200" w:rsidR="00C479FE" w:rsidRPr="00BE5811" w:rsidRDefault="00C479FE" w:rsidP="00BE5811">
            <w:pPr>
              <w:pStyle w:val="P68B1DB1-15621"/>
              <w:numPr>
                <w:ilvl w:val="0"/>
                <w:numId w:val="0"/>
              </w:numPr>
              <w:spacing w:before="120"/>
              <w:jc w:val="center"/>
              <w:rPr>
                <w:rFonts w:cs="Times New Roman" w:hint="default"/>
                <w:b w:val="0"/>
                <w:sz w:val="21"/>
                <w:szCs w:val="21"/>
              </w:rPr>
            </w:pPr>
            <w:r w:rsidRPr="00BE5811">
              <w:rPr>
                <w:rFonts w:cs="Times New Roman" w:hint="default"/>
                <w:b w:val="0"/>
                <w:sz w:val="21"/>
                <w:szCs w:val="21"/>
              </w:rPr>
              <w:t>Strength</w:t>
            </w:r>
          </w:p>
        </w:tc>
        <w:tc>
          <w:tcPr>
            <w:tcW w:w="2314" w:type="dxa"/>
          </w:tcPr>
          <w:p w14:paraId="75024BAC" w14:textId="69F7916F" w:rsidR="00C479FE" w:rsidRPr="00BE5811" w:rsidRDefault="00C479FE" w:rsidP="00BE5811">
            <w:pPr>
              <w:pStyle w:val="P68B1DB1-15621"/>
              <w:numPr>
                <w:ilvl w:val="0"/>
                <w:numId w:val="0"/>
              </w:numPr>
              <w:spacing w:before="120"/>
              <w:jc w:val="center"/>
              <w:rPr>
                <w:rFonts w:cs="Times New Roman" w:hint="default"/>
                <w:b w:val="0"/>
                <w:sz w:val="21"/>
                <w:szCs w:val="21"/>
              </w:rPr>
            </w:pPr>
            <w:r w:rsidRPr="00BE5811">
              <w:rPr>
                <w:rFonts w:cs="Times New Roman" w:hint="default"/>
                <w:b w:val="0"/>
                <w:sz w:val="21"/>
                <w:szCs w:val="21"/>
              </w:rPr>
              <w:t>Storage conditions</w:t>
            </w:r>
          </w:p>
        </w:tc>
      </w:tr>
      <w:tr w:rsidR="00C479FE" w:rsidRPr="00BE5811" w14:paraId="749DD44E" w14:textId="77777777" w:rsidTr="00BE5811">
        <w:trPr>
          <w:trHeight w:val="943"/>
        </w:trPr>
        <w:tc>
          <w:tcPr>
            <w:tcW w:w="2405" w:type="dxa"/>
          </w:tcPr>
          <w:p w14:paraId="117A0EF5" w14:textId="680AF036" w:rsidR="00C479FE" w:rsidRPr="00BE5811" w:rsidRDefault="00C479FE" w:rsidP="00BE5811">
            <w:pPr>
              <w:pStyle w:val="P68B1DB1-15621"/>
              <w:numPr>
                <w:ilvl w:val="0"/>
                <w:numId w:val="0"/>
              </w:numPr>
              <w:spacing w:before="120"/>
              <w:jc w:val="center"/>
              <w:rPr>
                <w:rFonts w:cs="Times New Roman" w:hint="default"/>
                <w:b w:val="0"/>
                <w:sz w:val="21"/>
                <w:szCs w:val="21"/>
              </w:rPr>
            </w:pPr>
            <w:r w:rsidRPr="00BE5811">
              <w:rPr>
                <w:rFonts w:cs="Times New Roman" w:hint="default"/>
                <w:b w:val="0"/>
                <w:sz w:val="21"/>
                <w:szCs w:val="21"/>
              </w:rPr>
              <w:t>Anlotinib Hydrochloride Capsules</w:t>
            </w:r>
          </w:p>
        </w:tc>
        <w:tc>
          <w:tcPr>
            <w:tcW w:w="2268" w:type="dxa"/>
          </w:tcPr>
          <w:p w14:paraId="1CC83484" w14:textId="6C999A86" w:rsidR="00C479FE" w:rsidRPr="00BE5811" w:rsidRDefault="00C479FE" w:rsidP="00BE5811">
            <w:pPr>
              <w:pStyle w:val="P68B1DB1-15621"/>
              <w:numPr>
                <w:ilvl w:val="0"/>
                <w:numId w:val="0"/>
              </w:numPr>
              <w:spacing w:before="120"/>
              <w:rPr>
                <w:rFonts w:cs="Times New Roman" w:hint="default"/>
                <w:b w:val="0"/>
                <w:sz w:val="21"/>
                <w:szCs w:val="21"/>
              </w:rPr>
            </w:pPr>
            <w:r w:rsidRPr="00BE5811">
              <w:rPr>
                <w:rFonts w:cs="Times New Roman" w:hint="default"/>
                <w:b w:val="0"/>
                <w:sz w:val="21"/>
                <w:szCs w:val="21"/>
              </w:rPr>
              <w:t>Supplied by Chia Tai Tianqing Pharmaceutical Group Co., Ltd.</w:t>
            </w:r>
          </w:p>
        </w:tc>
        <w:tc>
          <w:tcPr>
            <w:tcW w:w="1309" w:type="dxa"/>
          </w:tcPr>
          <w:p w14:paraId="47937562" w14:textId="7B8D2227" w:rsidR="00C479FE" w:rsidRPr="00BE5811" w:rsidRDefault="00BE5811" w:rsidP="00BE5811">
            <w:pPr>
              <w:pStyle w:val="P68B1DB1-15621"/>
              <w:numPr>
                <w:ilvl w:val="0"/>
                <w:numId w:val="0"/>
              </w:numPr>
              <w:spacing w:before="120"/>
              <w:rPr>
                <w:rFonts w:cs="Times New Roman" w:hint="default"/>
                <w:b w:val="0"/>
                <w:sz w:val="21"/>
                <w:szCs w:val="21"/>
              </w:rPr>
            </w:pPr>
            <w:r w:rsidRPr="00BE5811">
              <w:rPr>
                <w:rFonts w:cs="Times New Roman" w:hint="default"/>
                <w:b w:val="0"/>
                <w:sz w:val="21"/>
                <w:szCs w:val="21"/>
              </w:rPr>
              <w:t>12 mg, 10 mg</w:t>
            </w:r>
            <w:r w:rsidR="00C479FE" w:rsidRPr="00BE5811">
              <w:rPr>
                <w:rFonts w:cs="Times New Roman" w:hint="default"/>
                <w:b w:val="0"/>
                <w:sz w:val="21"/>
                <w:szCs w:val="21"/>
              </w:rPr>
              <w:t>, 8 mg</w:t>
            </w:r>
          </w:p>
        </w:tc>
        <w:tc>
          <w:tcPr>
            <w:tcW w:w="2314" w:type="dxa"/>
          </w:tcPr>
          <w:p w14:paraId="65A7E234" w14:textId="3ADCDB2E" w:rsidR="00C479FE" w:rsidRPr="00BE5811" w:rsidRDefault="00C479FE" w:rsidP="00BE5811">
            <w:pPr>
              <w:jc w:val="center"/>
              <w:rPr>
                <w:rFonts w:eastAsia="宋体"/>
                <w:sz w:val="21"/>
                <w:szCs w:val="21"/>
              </w:rPr>
            </w:pPr>
            <w:r w:rsidRPr="00BE5811">
              <w:rPr>
                <w:rFonts w:eastAsia="宋体"/>
                <w:sz w:val="21"/>
                <w:szCs w:val="21"/>
              </w:rPr>
              <w:t>Protected from light, sealed,</w:t>
            </w:r>
            <w:r w:rsidRPr="00BE5811">
              <w:rPr>
                <w:sz w:val="21"/>
                <w:szCs w:val="21"/>
              </w:rPr>
              <w:t xml:space="preserve"> </w:t>
            </w:r>
            <w:r w:rsidR="00BE5811" w:rsidRPr="00BE5811">
              <w:rPr>
                <w:rFonts w:cs="Times New Roman"/>
                <w:sz w:val="21"/>
                <w:szCs w:val="21"/>
              </w:rPr>
              <w:t>stored below 25 °</w:t>
            </w:r>
            <w:r w:rsidRPr="00BE5811">
              <w:rPr>
                <w:rFonts w:cs="Times New Roman"/>
                <w:sz w:val="21"/>
                <w:szCs w:val="21"/>
              </w:rPr>
              <w:t>C</w:t>
            </w:r>
          </w:p>
        </w:tc>
      </w:tr>
      <w:tr w:rsidR="00C479FE" w:rsidRPr="00BE5811" w14:paraId="6BAB9769" w14:textId="77777777" w:rsidTr="00BE5811">
        <w:trPr>
          <w:trHeight w:val="936"/>
        </w:trPr>
        <w:tc>
          <w:tcPr>
            <w:tcW w:w="2405" w:type="dxa"/>
          </w:tcPr>
          <w:p w14:paraId="5F3B7D5B" w14:textId="16E894A5" w:rsidR="00C479FE" w:rsidRPr="00BE5811" w:rsidRDefault="00C479FE" w:rsidP="00BE5811">
            <w:pPr>
              <w:pStyle w:val="P68B1DB1-15621"/>
              <w:numPr>
                <w:ilvl w:val="0"/>
                <w:numId w:val="0"/>
              </w:numPr>
              <w:spacing w:before="120"/>
              <w:rPr>
                <w:rFonts w:cs="Times New Roman" w:hint="default"/>
                <w:b w:val="0"/>
                <w:sz w:val="21"/>
                <w:szCs w:val="21"/>
              </w:rPr>
            </w:pPr>
            <w:r w:rsidRPr="00BE5811">
              <w:rPr>
                <w:rFonts w:cs="Times New Roman" w:hint="default"/>
                <w:b w:val="0"/>
                <w:sz w:val="21"/>
                <w:szCs w:val="21"/>
              </w:rPr>
              <w:t xml:space="preserve">Bevacizumab Injection </w:t>
            </w:r>
          </w:p>
        </w:tc>
        <w:tc>
          <w:tcPr>
            <w:tcW w:w="2268" w:type="dxa"/>
          </w:tcPr>
          <w:p w14:paraId="5B39606B" w14:textId="456FB981" w:rsidR="00C479FE" w:rsidRPr="00BE5811" w:rsidRDefault="00C479FE" w:rsidP="00BE5811">
            <w:pPr>
              <w:pStyle w:val="P68B1DB1-15621"/>
              <w:numPr>
                <w:ilvl w:val="0"/>
                <w:numId w:val="0"/>
              </w:numPr>
              <w:spacing w:before="120"/>
              <w:rPr>
                <w:rFonts w:cs="Times New Roman" w:hint="default"/>
                <w:b w:val="0"/>
                <w:sz w:val="21"/>
                <w:szCs w:val="21"/>
              </w:rPr>
            </w:pPr>
            <w:r w:rsidRPr="00BE5811">
              <w:rPr>
                <w:rFonts w:cs="Times New Roman" w:hint="default"/>
                <w:b w:val="0"/>
                <w:sz w:val="21"/>
                <w:szCs w:val="21"/>
              </w:rPr>
              <w:t>Supplied by Chia Tai Tianqing Pharmaceutical Group Co., Ltd.</w:t>
            </w:r>
          </w:p>
        </w:tc>
        <w:tc>
          <w:tcPr>
            <w:tcW w:w="1309" w:type="dxa"/>
          </w:tcPr>
          <w:p w14:paraId="4334C196" w14:textId="204EC1E7" w:rsidR="00C479FE" w:rsidRPr="00BE5811" w:rsidRDefault="00BE5811" w:rsidP="00BE5811">
            <w:pPr>
              <w:pStyle w:val="P68B1DB1-15621"/>
              <w:numPr>
                <w:ilvl w:val="0"/>
                <w:numId w:val="0"/>
              </w:numPr>
              <w:tabs>
                <w:tab w:val="left" w:pos="360"/>
              </w:tabs>
              <w:spacing w:before="120"/>
              <w:ind w:left="420" w:hanging="420"/>
              <w:rPr>
                <w:rFonts w:cs="Times New Roman" w:hint="default"/>
                <w:b w:val="0"/>
                <w:sz w:val="21"/>
                <w:szCs w:val="21"/>
              </w:rPr>
            </w:pPr>
            <w:r w:rsidRPr="00BE5811">
              <w:rPr>
                <w:rFonts w:cs="Times New Roman" w:hint="default"/>
                <w:b w:val="0"/>
                <w:sz w:val="21"/>
                <w:szCs w:val="21"/>
              </w:rPr>
              <w:t>100</w:t>
            </w:r>
            <w:r w:rsidR="00C479FE" w:rsidRPr="00BE5811">
              <w:rPr>
                <w:rFonts w:cs="Times New Roman" w:hint="default"/>
                <w:b w:val="0"/>
                <w:sz w:val="21"/>
                <w:szCs w:val="21"/>
              </w:rPr>
              <w:t xml:space="preserve">mg/4ml </w:t>
            </w:r>
          </w:p>
        </w:tc>
        <w:tc>
          <w:tcPr>
            <w:tcW w:w="2314" w:type="dxa"/>
          </w:tcPr>
          <w:p w14:paraId="59F373BA" w14:textId="23630605" w:rsidR="00C479FE" w:rsidRPr="00BE5811" w:rsidRDefault="00C479FE" w:rsidP="00BE5811">
            <w:pPr>
              <w:pStyle w:val="P68B1DB1-15621"/>
              <w:numPr>
                <w:ilvl w:val="0"/>
                <w:numId w:val="0"/>
              </w:numPr>
              <w:spacing w:before="120"/>
              <w:rPr>
                <w:rFonts w:cs="Times New Roman" w:hint="default"/>
                <w:b w:val="0"/>
                <w:sz w:val="21"/>
                <w:szCs w:val="21"/>
              </w:rPr>
            </w:pPr>
            <w:r w:rsidRPr="00BE5811">
              <w:rPr>
                <w:rFonts w:cs="Times New Roman" w:hint="default"/>
                <w:b w:val="0"/>
                <w:sz w:val="21"/>
                <w:szCs w:val="21"/>
              </w:rPr>
              <w:t xml:space="preserve">Protect from light at </w:t>
            </w:r>
            <w:r w:rsidR="00BE5811" w:rsidRPr="00BE5811">
              <w:rPr>
                <w:rFonts w:cs="Times New Roman" w:hint="default"/>
                <w:b w:val="0"/>
                <w:sz w:val="21"/>
                <w:szCs w:val="21"/>
              </w:rPr>
              <w:t>2-8 °</w:t>
            </w:r>
            <w:r w:rsidRPr="00BE5811">
              <w:rPr>
                <w:rFonts w:cs="Times New Roman" w:hint="default"/>
                <w:b w:val="0"/>
                <w:sz w:val="21"/>
                <w:szCs w:val="21"/>
              </w:rPr>
              <w:t>C</w:t>
            </w:r>
          </w:p>
        </w:tc>
      </w:tr>
      <w:tr w:rsidR="00C479FE" w:rsidRPr="00BE5811" w14:paraId="6D54D652" w14:textId="77777777" w:rsidTr="00BE5811">
        <w:trPr>
          <w:trHeight w:val="943"/>
        </w:trPr>
        <w:tc>
          <w:tcPr>
            <w:tcW w:w="2405" w:type="dxa"/>
          </w:tcPr>
          <w:p w14:paraId="30DC861D" w14:textId="40326B85" w:rsidR="00C479FE" w:rsidRPr="00BE5811" w:rsidRDefault="00C479FE" w:rsidP="00BE5811">
            <w:pPr>
              <w:pStyle w:val="P68B1DB1-15621"/>
              <w:numPr>
                <w:ilvl w:val="0"/>
                <w:numId w:val="0"/>
              </w:numPr>
              <w:spacing w:before="120"/>
              <w:rPr>
                <w:rFonts w:cs="Times New Roman" w:hint="default"/>
                <w:b w:val="0"/>
                <w:sz w:val="21"/>
                <w:szCs w:val="21"/>
              </w:rPr>
            </w:pPr>
            <w:r w:rsidRPr="00BE5811">
              <w:rPr>
                <w:rFonts w:cs="Times New Roman" w:hint="default"/>
                <w:b w:val="0"/>
                <w:sz w:val="21"/>
                <w:szCs w:val="21"/>
              </w:rPr>
              <w:t xml:space="preserve">Capecitabine tablet </w:t>
            </w:r>
          </w:p>
        </w:tc>
        <w:tc>
          <w:tcPr>
            <w:tcW w:w="2268" w:type="dxa"/>
          </w:tcPr>
          <w:p w14:paraId="23EAD3C6" w14:textId="5DAAE215" w:rsidR="00C479FE" w:rsidRPr="00BE5811" w:rsidRDefault="00C479FE" w:rsidP="00BE5811">
            <w:pPr>
              <w:pStyle w:val="P68B1DB1-15621"/>
              <w:numPr>
                <w:ilvl w:val="0"/>
                <w:numId w:val="0"/>
              </w:numPr>
              <w:spacing w:before="120"/>
              <w:rPr>
                <w:rFonts w:cs="Times New Roman" w:hint="default"/>
                <w:b w:val="0"/>
                <w:sz w:val="21"/>
                <w:szCs w:val="21"/>
              </w:rPr>
            </w:pPr>
            <w:r w:rsidRPr="00BE5811">
              <w:rPr>
                <w:rFonts w:cs="Times New Roman" w:hint="default"/>
                <w:b w:val="0"/>
                <w:sz w:val="21"/>
                <w:szCs w:val="21"/>
              </w:rPr>
              <w:t xml:space="preserve">Supplied by Chia Tai Tianqing Pharmaceutical Group Co., Ltd. </w:t>
            </w:r>
          </w:p>
        </w:tc>
        <w:tc>
          <w:tcPr>
            <w:tcW w:w="1309" w:type="dxa"/>
          </w:tcPr>
          <w:p w14:paraId="02CB1399" w14:textId="3F11462D" w:rsidR="00C479FE" w:rsidRPr="00BE5811" w:rsidRDefault="00BE5811" w:rsidP="00BE5811">
            <w:pPr>
              <w:pStyle w:val="P68B1DB1-15621"/>
              <w:numPr>
                <w:ilvl w:val="0"/>
                <w:numId w:val="0"/>
              </w:numPr>
              <w:tabs>
                <w:tab w:val="left" w:pos="360"/>
              </w:tabs>
              <w:spacing w:before="120"/>
              <w:ind w:left="420" w:hanging="420"/>
              <w:rPr>
                <w:rFonts w:cs="Times New Roman" w:hint="default"/>
                <w:b w:val="0"/>
                <w:sz w:val="21"/>
                <w:szCs w:val="21"/>
              </w:rPr>
            </w:pPr>
            <w:r w:rsidRPr="00BE5811">
              <w:rPr>
                <w:rFonts w:cs="Times New Roman" w:hint="default"/>
                <w:b w:val="0"/>
                <w:sz w:val="21"/>
                <w:szCs w:val="21"/>
              </w:rPr>
              <w:t>0.5 g</w:t>
            </w:r>
          </w:p>
        </w:tc>
        <w:tc>
          <w:tcPr>
            <w:tcW w:w="2314" w:type="dxa"/>
          </w:tcPr>
          <w:p w14:paraId="0AF8294B" w14:textId="7944DAD5" w:rsidR="00C479FE" w:rsidRPr="00BE5811" w:rsidRDefault="00C479FE" w:rsidP="00BD3083">
            <w:pPr>
              <w:rPr>
                <w:rFonts w:eastAsia="宋体"/>
                <w:sz w:val="21"/>
                <w:szCs w:val="21"/>
              </w:rPr>
            </w:pPr>
            <w:r w:rsidRPr="00BE5811">
              <w:rPr>
                <w:rFonts w:eastAsia="宋体"/>
                <w:sz w:val="21"/>
                <w:szCs w:val="21"/>
              </w:rPr>
              <w:t xml:space="preserve">Sealed, </w:t>
            </w:r>
            <w:r w:rsidRPr="00BE5811">
              <w:rPr>
                <w:sz w:val="21"/>
                <w:szCs w:val="21"/>
              </w:rPr>
              <w:t>stored</w:t>
            </w:r>
            <w:r w:rsidRPr="00BE5811">
              <w:rPr>
                <w:b/>
                <w:sz w:val="21"/>
                <w:szCs w:val="21"/>
              </w:rPr>
              <w:t xml:space="preserve"> </w:t>
            </w:r>
            <w:r w:rsidRPr="00BE5811">
              <w:rPr>
                <w:sz w:val="21"/>
                <w:szCs w:val="21"/>
              </w:rPr>
              <w:t>at</w:t>
            </w:r>
            <w:r w:rsidRPr="00BE5811">
              <w:rPr>
                <w:b/>
                <w:sz w:val="21"/>
                <w:szCs w:val="21"/>
              </w:rPr>
              <w:t xml:space="preserve"> </w:t>
            </w:r>
            <w:r w:rsidR="00BD3083">
              <w:rPr>
                <w:rFonts w:eastAsia="宋体"/>
                <w:sz w:val="21"/>
                <w:szCs w:val="21"/>
              </w:rPr>
              <w:t>10-</w:t>
            </w:r>
            <w:r w:rsidR="00BE5811" w:rsidRPr="00BE5811">
              <w:rPr>
                <w:rFonts w:eastAsia="宋体"/>
                <w:sz w:val="21"/>
                <w:szCs w:val="21"/>
              </w:rPr>
              <w:t>30℃</w:t>
            </w:r>
          </w:p>
        </w:tc>
      </w:tr>
      <w:tr w:rsidR="00C479FE" w:rsidRPr="0096116B" w14:paraId="358D6CC3" w14:textId="77777777" w:rsidTr="00BE5811">
        <w:trPr>
          <w:trHeight w:val="943"/>
        </w:trPr>
        <w:tc>
          <w:tcPr>
            <w:tcW w:w="2405" w:type="dxa"/>
          </w:tcPr>
          <w:p w14:paraId="53743F67" w14:textId="749B013B" w:rsidR="00C479FE" w:rsidRPr="00BE5811" w:rsidRDefault="00C479FE" w:rsidP="00BE5811">
            <w:pPr>
              <w:pStyle w:val="P68B1DB1-15621"/>
              <w:numPr>
                <w:ilvl w:val="0"/>
                <w:numId w:val="0"/>
              </w:numPr>
              <w:spacing w:before="120"/>
              <w:rPr>
                <w:rFonts w:cs="Times New Roman" w:hint="default"/>
                <w:sz w:val="21"/>
                <w:szCs w:val="21"/>
              </w:rPr>
            </w:pPr>
            <w:r w:rsidRPr="00BE5811">
              <w:rPr>
                <w:rFonts w:cs="Times New Roman"/>
                <w:b w:val="0"/>
                <w:sz w:val="21"/>
                <w:szCs w:val="21"/>
              </w:rPr>
              <w:t>Oxaliplatin for Injection</w:t>
            </w:r>
            <w:r w:rsidRPr="00BE5811">
              <w:rPr>
                <w:rFonts w:cs="Times New Roman" w:hint="default"/>
                <w:sz w:val="21"/>
                <w:szCs w:val="21"/>
              </w:rPr>
              <w:t xml:space="preserve"> </w:t>
            </w:r>
          </w:p>
        </w:tc>
        <w:tc>
          <w:tcPr>
            <w:tcW w:w="2268" w:type="dxa"/>
          </w:tcPr>
          <w:p w14:paraId="01C7C878" w14:textId="059E9DEE" w:rsidR="00C479FE" w:rsidRPr="00BE5811" w:rsidRDefault="00C479FE" w:rsidP="00BE5811">
            <w:pPr>
              <w:pStyle w:val="P68B1DB1-15621"/>
              <w:numPr>
                <w:ilvl w:val="0"/>
                <w:numId w:val="0"/>
              </w:numPr>
              <w:spacing w:before="120"/>
              <w:rPr>
                <w:rFonts w:cs="Times New Roman" w:hint="default"/>
                <w:b w:val="0"/>
                <w:sz w:val="21"/>
                <w:szCs w:val="21"/>
              </w:rPr>
            </w:pPr>
            <w:r w:rsidRPr="00BE5811">
              <w:rPr>
                <w:rFonts w:cs="Times New Roman" w:hint="default"/>
                <w:b w:val="0"/>
                <w:sz w:val="21"/>
                <w:szCs w:val="21"/>
              </w:rPr>
              <w:t xml:space="preserve">Supplied by Chia Tai Tianqing Pharmaceutical Group Co., Ltd. </w:t>
            </w:r>
          </w:p>
        </w:tc>
        <w:tc>
          <w:tcPr>
            <w:tcW w:w="1309" w:type="dxa"/>
          </w:tcPr>
          <w:p w14:paraId="686264EE" w14:textId="77777777" w:rsidR="00C479FE" w:rsidRPr="00BE5811" w:rsidRDefault="00C479FE" w:rsidP="00BE5811">
            <w:pPr>
              <w:pStyle w:val="P68B1DB1-15621"/>
              <w:numPr>
                <w:ilvl w:val="0"/>
                <w:numId w:val="0"/>
              </w:numPr>
              <w:tabs>
                <w:tab w:val="left" w:pos="360"/>
              </w:tabs>
              <w:spacing w:before="120"/>
              <w:ind w:left="420" w:hanging="420"/>
              <w:rPr>
                <w:rFonts w:cs="Times New Roman" w:hint="default"/>
                <w:b w:val="0"/>
                <w:sz w:val="21"/>
                <w:szCs w:val="21"/>
              </w:rPr>
            </w:pPr>
            <w:r w:rsidRPr="00BE5811">
              <w:rPr>
                <w:rFonts w:cs="Times New Roman" w:hint="default"/>
                <w:b w:val="0"/>
                <w:sz w:val="21"/>
                <w:szCs w:val="21"/>
              </w:rPr>
              <w:t xml:space="preserve">50 mg </w:t>
            </w:r>
          </w:p>
        </w:tc>
        <w:tc>
          <w:tcPr>
            <w:tcW w:w="2314" w:type="dxa"/>
          </w:tcPr>
          <w:p w14:paraId="66A3D0C8" w14:textId="37FCBC2F" w:rsidR="00C479FE" w:rsidRPr="00BE5811" w:rsidRDefault="00C479FE" w:rsidP="00384EEC">
            <w:pPr>
              <w:rPr>
                <w:rFonts w:eastAsia="宋体"/>
                <w:sz w:val="21"/>
                <w:szCs w:val="21"/>
              </w:rPr>
            </w:pPr>
            <w:r w:rsidRPr="00BE5811">
              <w:rPr>
                <w:sz w:val="21"/>
                <w:szCs w:val="21"/>
              </w:rPr>
              <w:t>Protected from l</w:t>
            </w:r>
            <w:r w:rsidR="0096116B">
              <w:rPr>
                <w:sz w:val="21"/>
                <w:szCs w:val="21"/>
              </w:rPr>
              <w:t>ight, sealed, stored below 25 °</w:t>
            </w:r>
            <w:r w:rsidRPr="00BE5811">
              <w:rPr>
                <w:sz w:val="21"/>
                <w:szCs w:val="21"/>
              </w:rPr>
              <w:t>C</w:t>
            </w:r>
          </w:p>
        </w:tc>
      </w:tr>
    </w:tbl>
    <w:p w14:paraId="6C92CA69" w14:textId="640EFB15" w:rsidR="00D45C54" w:rsidRPr="00384EEC" w:rsidRDefault="003E0392">
      <w:pPr>
        <w:pStyle w:val="20"/>
      </w:pPr>
      <w:bookmarkStart w:id="66" w:name="_Toc35622148"/>
      <w:bookmarkStart w:id="67" w:name="_Toc196547985"/>
      <w:bookmarkEnd w:id="65"/>
      <w:r w:rsidRPr="00384EEC">
        <w:t xml:space="preserve">5.2 </w:t>
      </w:r>
      <w:r w:rsidR="003E626F" w:rsidRPr="00384EEC">
        <w:t xml:space="preserve">Drug </w:t>
      </w:r>
      <w:r w:rsidRPr="00384EEC">
        <w:t>Management</w:t>
      </w:r>
      <w:bookmarkEnd w:id="67"/>
      <w:r w:rsidRPr="00384EEC">
        <w:rPr>
          <w:rFonts w:hint="eastAsia"/>
        </w:rPr>
        <w:t xml:space="preserve"> </w:t>
      </w:r>
      <w:bookmarkEnd w:id="66"/>
    </w:p>
    <w:p w14:paraId="7D93FB86" w14:textId="64F61A46" w:rsidR="00062691" w:rsidRDefault="004B1BC6" w:rsidP="003127AF">
      <w:pPr>
        <w:pStyle w:val="P68B1DB1-125"/>
        <w:rPr>
          <w:rFonts w:eastAsiaTheme="minorEastAsia" w:hint="default"/>
        </w:rPr>
      </w:pPr>
      <w:r w:rsidRPr="004B1BC6">
        <w:rPr>
          <w:rFonts w:eastAsiaTheme="minorEastAsia"/>
        </w:rPr>
        <w:t>According to the requirements of GCP, the study drugs are kept</w:t>
      </w:r>
      <w:r w:rsidR="00062691">
        <w:rPr>
          <w:rFonts w:eastAsiaTheme="minorEastAsia" w:hint="default"/>
        </w:rPr>
        <w:t xml:space="preserve">, </w:t>
      </w:r>
      <w:r w:rsidR="00B73DD8" w:rsidRPr="00B73DD8">
        <w:rPr>
          <w:rFonts w:eastAsiaTheme="minorEastAsia"/>
        </w:rPr>
        <w:t>distributed</w:t>
      </w:r>
      <w:r w:rsidR="00062691" w:rsidRPr="00B73DD8">
        <w:rPr>
          <w:rFonts w:eastAsiaTheme="minorEastAsia" w:hint="default"/>
        </w:rPr>
        <w:t>, and recycled</w:t>
      </w:r>
      <w:r w:rsidRPr="00062691">
        <w:rPr>
          <w:rFonts w:eastAsiaTheme="minorEastAsia"/>
        </w:rPr>
        <w:t xml:space="preserve"> </w:t>
      </w:r>
      <w:r w:rsidRPr="004B1BC6">
        <w:rPr>
          <w:rFonts w:eastAsiaTheme="minorEastAsia"/>
        </w:rPr>
        <w:t>by the drug administrator</w:t>
      </w:r>
      <w:r w:rsidR="00062691">
        <w:rPr>
          <w:rFonts w:eastAsiaTheme="minorEastAsia" w:hint="default"/>
        </w:rPr>
        <w:t xml:space="preserve"> in the hospital</w:t>
      </w:r>
      <w:r w:rsidRPr="004B1BC6">
        <w:rPr>
          <w:rFonts w:eastAsiaTheme="minorEastAsia"/>
        </w:rPr>
        <w:t xml:space="preserve">. </w:t>
      </w:r>
    </w:p>
    <w:p w14:paraId="0BF7B81E" w14:textId="4F9BEEC3" w:rsidR="00D45C54" w:rsidRDefault="00B73DD8" w:rsidP="003127AF">
      <w:pPr>
        <w:pStyle w:val="P68B1DB1-125"/>
        <w:rPr>
          <w:rFonts w:hint="default"/>
        </w:rPr>
      </w:pPr>
      <w:r w:rsidRPr="00B73DD8">
        <w:t xml:space="preserve">Anlotinib </w:t>
      </w:r>
      <w:r w:rsidRPr="00B73DD8">
        <w:rPr>
          <w:rFonts w:hint="default"/>
        </w:rPr>
        <w:t>hydrochloride caps</w:t>
      </w:r>
      <w:r w:rsidRPr="00B73DD8">
        <w:t>ules</w:t>
      </w:r>
      <w:r w:rsidRPr="00B73DD8" w:rsidDel="00B73DD8">
        <w:t xml:space="preserve"> </w:t>
      </w:r>
      <w:r>
        <w:rPr>
          <w:rFonts w:hint="default"/>
        </w:rPr>
        <w:t>and c</w:t>
      </w:r>
      <w:r w:rsidRPr="00B73DD8">
        <w:t xml:space="preserve">apecitabine </w:t>
      </w:r>
      <w:r>
        <w:rPr>
          <w:rFonts w:hint="default"/>
        </w:rPr>
        <w:t>t</w:t>
      </w:r>
      <w:r w:rsidRPr="00B73DD8">
        <w:t>ablets are distributed and recycled according to the cycle</w:t>
      </w:r>
      <w:r>
        <w:rPr>
          <w:rFonts w:hint="default"/>
        </w:rPr>
        <w:t>.</w:t>
      </w:r>
      <w:r w:rsidRPr="00B73DD8">
        <w:t xml:space="preserve"> Oxaliplatin and bevacizumab injection</w:t>
      </w:r>
      <w:r w:rsidRPr="00B73DD8" w:rsidDel="00B73DD8">
        <w:t xml:space="preserve"> </w:t>
      </w:r>
      <w:r>
        <w:rPr>
          <w:rFonts w:hint="default"/>
        </w:rPr>
        <w:t>are</w:t>
      </w:r>
      <w:r w:rsidR="004B1BC6" w:rsidRPr="004B1BC6">
        <w:t xml:space="preserve"> used at the hospitals and is administrated, prepared, injected, and recycled by the major investigator's authorized personnel. Used or partially used drug containers, infusion bags, and syringes can be destroyed on-site according to guidelines and operating procedures established by the research center and local institutions. Unused drugs are returned to the sponsor unless the drug has serious safety problems that require immediate destruction in accordance with local laws and regulations.</w:t>
      </w:r>
      <w:r w:rsidR="003E0392">
        <w:t xml:space="preserve"> </w:t>
      </w:r>
    </w:p>
    <w:p w14:paraId="1D0F7A7A" w14:textId="048D6626" w:rsidR="00D375DC" w:rsidRDefault="00D375DC" w:rsidP="003127AF">
      <w:pPr>
        <w:pStyle w:val="P68B1DB1-125"/>
        <w:rPr>
          <w:rFonts w:eastAsiaTheme="minorEastAsia" w:hint="default"/>
        </w:rPr>
      </w:pPr>
      <w:r w:rsidRPr="00D375DC">
        <w:rPr>
          <w:rFonts w:eastAsiaTheme="minorEastAsia"/>
        </w:rPr>
        <w:t xml:space="preserve">Oxaliplatin injection is a cytotoxic drug. </w:t>
      </w:r>
      <w:r w:rsidR="0094393B">
        <w:rPr>
          <w:rFonts w:eastAsiaTheme="minorEastAsia" w:hint="default"/>
        </w:rPr>
        <w:t>T</w:t>
      </w:r>
      <w:r w:rsidRPr="00D375DC">
        <w:rPr>
          <w:rFonts w:eastAsiaTheme="minorEastAsia"/>
        </w:rPr>
        <w:t xml:space="preserve">he </w:t>
      </w:r>
      <w:r w:rsidR="0094393B" w:rsidRPr="00D375DC">
        <w:rPr>
          <w:rFonts w:eastAsiaTheme="minorEastAsia"/>
        </w:rPr>
        <w:t xml:space="preserve">opened </w:t>
      </w:r>
      <w:r w:rsidRPr="00D375DC">
        <w:rPr>
          <w:rFonts w:eastAsiaTheme="minorEastAsia"/>
        </w:rPr>
        <w:t xml:space="preserve">drug bottles </w:t>
      </w:r>
      <w:r w:rsidR="0094393B">
        <w:rPr>
          <w:rFonts w:eastAsiaTheme="minorEastAsia" w:hint="default"/>
        </w:rPr>
        <w:t>shoule be</w:t>
      </w:r>
      <w:r w:rsidRPr="00D375DC">
        <w:rPr>
          <w:rFonts w:eastAsiaTheme="minorEastAsia"/>
        </w:rPr>
        <w:t xml:space="preserve"> disposed with </w:t>
      </w:r>
      <w:r w:rsidRPr="00D375DC">
        <w:rPr>
          <w:rFonts w:eastAsiaTheme="minorEastAsia"/>
        </w:rPr>
        <w:lastRenderedPageBreak/>
        <w:t xml:space="preserve">medical waste in </w:t>
      </w:r>
      <w:r w:rsidR="0094393B">
        <w:rPr>
          <w:rFonts w:eastAsiaTheme="minorEastAsia" w:hint="default"/>
        </w:rPr>
        <w:t>the</w:t>
      </w:r>
      <w:r w:rsidRPr="00D375DC">
        <w:rPr>
          <w:rFonts w:eastAsiaTheme="minorEastAsia"/>
        </w:rPr>
        <w:t xml:space="preserve"> hospital, </w:t>
      </w:r>
      <w:r w:rsidR="0094393B">
        <w:rPr>
          <w:rFonts w:eastAsiaTheme="minorEastAsia" w:hint="default"/>
        </w:rPr>
        <w:t xml:space="preserve">and </w:t>
      </w:r>
      <w:r w:rsidRPr="00D375DC">
        <w:rPr>
          <w:rFonts w:eastAsiaTheme="minorEastAsia"/>
        </w:rPr>
        <w:t xml:space="preserve">researchers should keep corresponding disposal/destruction records, </w:t>
      </w:r>
      <w:r w:rsidR="0094393B">
        <w:rPr>
          <w:rFonts w:eastAsiaTheme="minorEastAsia" w:hint="default"/>
        </w:rPr>
        <w:t>including</w:t>
      </w:r>
      <w:r w:rsidRPr="00D375DC">
        <w:rPr>
          <w:rFonts w:eastAsiaTheme="minorEastAsia"/>
        </w:rPr>
        <w:t xml:space="preserve"> the proof and quantity of each batch. The outer packing</w:t>
      </w:r>
      <w:r w:rsidR="0094393B">
        <w:rPr>
          <w:rFonts w:eastAsiaTheme="minorEastAsia"/>
        </w:rPr>
        <w:t xml:space="preserve"> box should be recycled in time</w:t>
      </w:r>
      <w:r w:rsidR="0094393B">
        <w:rPr>
          <w:rFonts w:eastAsiaTheme="minorEastAsia" w:hint="default"/>
        </w:rPr>
        <w:t>.</w:t>
      </w:r>
      <w:r w:rsidRPr="00D375DC">
        <w:rPr>
          <w:rFonts w:eastAsiaTheme="minorEastAsia"/>
        </w:rPr>
        <w:t xml:space="preserve"> Unopened drugs </w:t>
      </w:r>
      <w:r w:rsidR="0094393B">
        <w:rPr>
          <w:rFonts w:eastAsiaTheme="minorEastAsia" w:hint="default"/>
        </w:rPr>
        <w:t>shoule be</w:t>
      </w:r>
      <w:r w:rsidRPr="00D375DC">
        <w:rPr>
          <w:rFonts w:eastAsiaTheme="minorEastAsia"/>
        </w:rPr>
        <w:t xml:space="preserve"> returned to the sponsor for disposal/destruction at the end of the trial.</w:t>
      </w:r>
    </w:p>
    <w:p w14:paraId="06A6BD5B" w14:textId="5D5C8AC2" w:rsidR="00D45C54" w:rsidRPr="003127AF" w:rsidRDefault="009E4316" w:rsidP="003127AF">
      <w:pPr>
        <w:pStyle w:val="P68B1DB1-125"/>
        <w:rPr>
          <w:rFonts w:eastAsiaTheme="minorEastAsia" w:hint="default"/>
        </w:rPr>
      </w:pPr>
      <w:r w:rsidRPr="009E4316">
        <w:rPr>
          <w:rFonts w:eastAsiaTheme="minorEastAsia"/>
        </w:rPr>
        <w:t xml:space="preserve">Drug </w:t>
      </w:r>
      <w:r w:rsidR="008A3B3D">
        <w:rPr>
          <w:rFonts w:eastAsiaTheme="minorEastAsia" w:hint="default"/>
        </w:rPr>
        <w:t>m</w:t>
      </w:r>
      <w:r w:rsidR="008A3B3D" w:rsidRPr="008A3B3D">
        <w:rPr>
          <w:rFonts w:eastAsiaTheme="minorEastAsia"/>
        </w:rPr>
        <w:t>anagement</w:t>
      </w:r>
      <w:r w:rsidR="008A3B3D" w:rsidRPr="008A3B3D" w:rsidDel="008A3B3D">
        <w:rPr>
          <w:rFonts w:eastAsiaTheme="minorEastAsia"/>
        </w:rPr>
        <w:t xml:space="preserve"> </w:t>
      </w:r>
      <w:r w:rsidRPr="009E4316">
        <w:rPr>
          <w:rFonts w:eastAsiaTheme="minorEastAsia"/>
        </w:rPr>
        <w:t xml:space="preserve">such as </w:t>
      </w:r>
      <w:r w:rsidR="008A3B3D" w:rsidRPr="008A3B3D">
        <w:rPr>
          <w:rFonts w:eastAsiaTheme="minorEastAsia"/>
        </w:rPr>
        <w:t>distribut</w:t>
      </w:r>
      <w:r w:rsidR="008A3B3D">
        <w:rPr>
          <w:rFonts w:eastAsiaTheme="minorEastAsia" w:hint="default"/>
        </w:rPr>
        <w:t>ion</w:t>
      </w:r>
      <w:r w:rsidR="008A3B3D" w:rsidRPr="008A3B3D">
        <w:rPr>
          <w:rFonts w:eastAsiaTheme="minorEastAsia"/>
        </w:rPr>
        <w:t>, and recycl</w:t>
      </w:r>
      <w:r w:rsidR="008A3B3D">
        <w:rPr>
          <w:rFonts w:eastAsiaTheme="minorEastAsia" w:hint="default"/>
        </w:rPr>
        <w:t>ing</w:t>
      </w:r>
      <w:r w:rsidR="008A3B3D" w:rsidRPr="008A3B3D" w:rsidDel="008A3B3D">
        <w:rPr>
          <w:rFonts w:eastAsiaTheme="minorEastAsia"/>
        </w:rPr>
        <w:t xml:space="preserve"> </w:t>
      </w:r>
      <w:r w:rsidRPr="009E4316">
        <w:rPr>
          <w:rFonts w:eastAsiaTheme="minorEastAsia"/>
        </w:rPr>
        <w:t xml:space="preserve">requires complete records. The </w:t>
      </w:r>
      <w:r w:rsidR="00AE1415" w:rsidRPr="00AE1415">
        <w:rPr>
          <w:rFonts w:eastAsiaTheme="minorEastAsia"/>
        </w:rPr>
        <w:t>recycled</w:t>
      </w:r>
      <w:r w:rsidRPr="009E4316">
        <w:rPr>
          <w:rFonts w:eastAsiaTheme="minorEastAsia"/>
        </w:rPr>
        <w:t xml:space="preserve"> drugs should be regularly monitored by the sponsor. Inspectors regularly check the usage and record of the drugs.</w:t>
      </w:r>
    </w:p>
    <w:p w14:paraId="56C19206" w14:textId="5B1F00BC" w:rsidR="00D45C54" w:rsidRDefault="003E0392" w:rsidP="00384EEC">
      <w:pPr>
        <w:pStyle w:val="3"/>
      </w:pPr>
      <w:bookmarkStart w:id="68" w:name="_Toc35622150"/>
      <w:bookmarkStart w:id="69" w:name="_Toc196547986"/>
      <w:r>
        <w:rPr>
          <w:rFonts w:hint="eastAsia"/>
        </w:rPr>
        <w:t>5.</w:t>
      </w:r>
      <w:r w:rsidR="00256443">
        <w:t>2.1</w:t>
      </w:r>
      <w:r>
        <w:t xml:space="preserve"> </w:t>
      </w:r>
      <w:bookmarkStart w:id="70" w:name="_Hlk31391094"/>
      <w:r w:rsidR="00256443" w:rsidRPr="00256443">
        <w:t>Administration Schedule</w:t>
      </w:r>
      <w:bookmarkEnd w:id="69"/>
      <w:r w:rsidR="00256443" w:rsidRPr="00256443" w:rsidDel="00256443">
        <w:rPr>
          <w:rFonts w:hint="eastAsia"/>
        </w:rPr>
        <w:t xml:space="preserve"> </w:t>
      </w:r>
      <w:bookmarkEnd w:id="68"/>
      <w:bookmarkEnd w:id="70"/>
    </w:p>
    <w:p w14:paraId="5F2D0888" w14:textId="5DFE3D8E" w:rsidR="007A0DBD" w:rsidRDefault="007A0DBD" w:rsidP="003127AF">
      <w:pPr>
        <w:pStyle w:val="P68B1DB1-125"/>
        <w:rPr>
          <w:rFonts w:hint="default"/>
          <w:b/>
        </w:rPr>
      </w:pPr>
      <w:r w:rsidRPr="00384EEC">
        <w:rPr>
          <w:rFonts w:hint="default"/>
          <w:b/>
        </w:rPr>
        <w:t>Over</w:t>
      </w:r>
      <w:r w:rsidR="00150ABA">
        <w:rPr>
          <w:rFonts w:hint="default"/>
          <w:b/>
        </w:rPr>
        <w:t>view</w:t>
      </w:r>
    </w:p>
    <w:p w14:paraId="725CC4EE" w14:textId="4C348684" w:rsidR="00D45C54" w:rsidRDefault="007A0DBD" w:rsidP="0018014E">
      <w:pPr>
        <w:pStyle w:val="P68B1DB1-125"/>
        <w:rPr>
          <w:rFonts w:hint="default"/>
        </w:rPr>
      </w:pPr>
      <w:r>
        <w:rPr>
          <w:rFonts w:hint="default"/>
        </w:rPr>
        <w:t>T</w:t>
      </w:r>
      <w:r w:rsidRPr="007A0DBD">
        <w:t>he experimental group and the control group receive a minimum of 4 cycles and a maximum of 8 cycl</w:t>
      </w:r>
      <w:r w:rsidRPr="00C52487">
        <w:rPr>
          <w:rFonts w:hint="default"/>
        </w:rPr>
        <w:t xml:space="preserve">es of </w:t>
      </w:r>
      <w:r w:rsidR="00B4663B" w:rsidRPr="00C52487">
        <w:rPr>
          <w:rFonts w:hint="default"/>
        </w:rPr>
        <w:t xml:space="preserve">induction </w:t>
      </w:r>
      <w:r w:rsidR="00D66452" w:rsidRPr="00C52487">
        <w:rPr>
          <w:rFonts w:hint="default"/>
        </w:rPr>
        <w:t>treatment</w:t>
      </w:r>
      <w:r w:rsidRPr="00C52487">
        <w:rPr>
          <w:rFonts w:hint="default"/>
        </w:rPr>
        <w:t xml:space="preserve"> according to the tolerance, and then entered the maintenance </w:t>
      </w:r>
      <w:r w:rsidR="00D66452" w:rsidRPr="00C52487">
        <w:rPr>
          <w:rFonts w:hint="default"/>
        </w:rPr>
        <w:t>treatment</w:t>
      </w:r>
      <w:r w:rsidR="00D66452" w:rsidRPr="00C52487" w:rsidDel="0018014E">
        <w:rPr>
          <w:rFonts w:hint="default"/>
        </w:rPr>
        <w:t xml:space="preserve"> </w:t>
      </w:r>
      <w:r w:rsidR="003E0392" w:rsidRPr="00C52487">
        <w:rPr>
          <w:rFonts w:hint="default"/>
        </w:rPr>
        <w:t xml:space="preserve">until loss of clinical benefit, unacceptable toxicity, PD </w:t>
      </w:r>
      <w:r w:rsidR="00672047" w:rsidRPr="00C52487">
        <w:rPr>
          <w:rFonts w:hint="default"/>
        </w:rPr>
        <w:t>or</w:t>
      </w:r>
      <w:r w:rsidR="003E0392" w:rsidRPr="00C52487">
        <w:rPr>
          <w:rFonts w:hint="default"/>
        </w:rPr>
        <w:t xml:space="preserve"> the investigator considers it inappropriate to continue treatment. </w:t>
      </w:r>
      <w:r w:rsidR="0018014E" w:rsidRPr="00C52487">
        <w:rPr>
          <w:rFonts w:hint="default"/>
        </w:rPr>
        <w:t xml:space="preserve">For patients whose treatment period are less than 4-8 cycles in the </w:t>
      </w:r>
      <w:r w:rsidR="00B4663B" w:rsidRPr="00C52487">
        <w:rPr>
          <w:rFonts w:hint="default"/>
        </w:rPr>
        <w:t xml:space="preserve">induction </w:t>
      </w:r>
      <w:r w:rsidR="00D66452" w:rsidRPr="00C52487">
        <w:rPr>
          <w:rFonts w:hint="default"/>
        </w:rPr>
        <w:t>treatment</w:t>
      </w:r>
      <w:r w:rsidR="0018014E" w:rsidRPr="00C52487">
        <w:rPr>
          <w:rFonts w:hint="default"/>
        </w:rPr>
        <w:t xml:space="preserve"> du</w:t>
      </w:r>
      <w:r w:rsidR="0018014E" w:rsidRPr="0018014E">
        <w:t xml:space="preserve">e to objective </w:t>
      </w:r>
      <w:r w:rsidR="0018014E" w:rsidRPr="00C52487">
        <w:rPr>
          <w:rFonts w:hint="default"/>
        </w:rPr>
        <w:t xml:space="preserve">factors, they could still enter the </w:t>
      </w:r>
      <w:r w:rsidR="00B4663B" w:rsidRPr="00C52487">
        <w:rPr>
          <w:rFonts w:hint="default"/>
        </w:rPr>
        <w:t xml:space="preserve">maintenance </w:t>
      </w:r>
      <w:r w:rsidR="00D66452" w:rsidRPr="00D66452">
        <w:t>treatment</w:t>
      </w:r>
      <w:r w:rsidR="0018014E" w:rsidRPr="0018014E">
        <w:t xml:space="preserve"> and continue to be followed up.</w:t>
      </w:r>
    </w:p>
    <w:p w14:paraId="6BFBC470" w14:textId="0A3FEBD8" w:rsidR="00D45C54" w:rsidRPr="0025058B" w:rsidRDefault="00054AC7" w:rsidP="00384EEC">
      <w:r>
        <w:rPr>
          <w:b/>
        </w:rPr>
        <w:t>E</w:t>
      </w:r>
      <w:r w:rsidR="00AB3E82" w:rsidRPr="00384EEC">
        <w:rPr>
          <w:b/>
        </w:rPr>
        <w:t xml:space="preserve">xperimental </w:t>
      </w:r>
      <w:r w:rsidR="003E0392" w:rsidRPr="00384EEC">
        <w:rPr>
          <w:b/>
        </w:rPr>
        <w:t xml:space="preserve">group </w:t>
      </w:r>
    </w:p>
    <w:p w14:paraId="5A507B2B" w14:textId="77777777" w:rsidR="00BE5925" w:rsidRDefault="00BE5925" w:rsidP="00BE5925">
      <w:pPr>
        <w:pStyle w:val="a0"/>
        <w:numPr>
          <w:ilvl w:val="0"/>
          <w:numId w:val="0"/>
        </w:numPr>
        <w:spacing w:beforeLines="25" w:before="60" w:line="400" w:lineRule="exact"/>
        <w:ind w:left="420" w:hanging="420"/>
        <w:rPr>
          <w:b w:val="0"/>
        </w:rPr>
      </w:pPr>
      <w:r>
        <w:rPr>
          <w:b w:val="0"/>
        </w:rPr>
        <w:t>I</w:t>
      </w:r>
      <w:r w:rsidRPr="00FB2B63">
        <w:rPr>
          <w:b w:val="0"/>
        </w:rPr>
        <w:t>nduction treatment</w:t>
      </w:r>
      <w:r>
        <w:rPr>
          <w:b w:val="0"/>
        </w:rPr>
        <w:t xml:space="preserve"> (4-8 cycles)</w:t>
      </w:r>
    </w:p>
    <w:p w14:paraId="5C921489" w14:textId="77777777" w:rsidR="00BE5925" w:rsidRDefault="00BE5925" w:rsidP="00BE5925">
      <w:pPr>
        <w:pStyle w:val="afffb"/>
        <w:numPr>
          <w:ilvl w:val="0"/>
          <w:numId w:val="41"/>
        </w:numPr>
        <w:ind w:firstLineChars="0"/>
      </w:pPr>
      <w:r w:rsidRPr="003127AF">
        <w:t xml:space="preserve">Anlotinib: </w:t>
      </w:r>
      <w:r w:rsidRPr="00FB2B63">
        <w:t>12 mg</w:t>
      </w:r>
      <w:r>
        <w:t xml:space="preserve">, oral, </w:t>
      </w:r>
      <w:r w:rsidRPr="00FB2B63">
        <w:t>once daily</w:t>
      </w:r>
      <w:r>
        <w:t>,</w:t>
      </w:r>
      <w:r w:rsidRPr="00FB2B63">
        <w:t xml:space="preserve"> on days 1-14</w:t>
      </w:r>
      <w:r>
        <w:t xml:space="preserve">, </w:t>
      </w:r>
      <w:r w:rsidRPr="00BB4C71">
        <w:rPr>
          <w:szCs w:val="21"/>
        </w:rPr>
        <w:t>every 3 weeks</w:t>
      </w:r>
      <w:r>
        <w:rPr>
          <w:szCs w:val="21"/>
        </w:rPr>
        <w:t>.</w:t>
      </w:r>
    </w:p>
    <w:p w14:paraId="6B2AA588" w14:textId="77777777" w:rsidR="00BE5925" w:rsidRDefault="00BE5925" w:rsidP="00BE5925">
      <w:pPr>
        <w:pStyle w:val="afffb"/>
        <w:numPr>
          <w:ilvl w:val="0"/>
          <w:numId w:val="41"/>
        </w:numPr>
        <w:ind w:firstLineChars="0"/>
      </w:pPr>
      <w:r w:rsidRPr="00FB2B63">
        <w:t>CapeOX</w:t>
      </w:r>
      <w:r>
        <w:t>:</w:t>
      </w:r>
      <w:r w:rsidRPr="00EC673C">
        <w:t xml:space="preserve"> </w:t>
      </w:r>
      <w:r w:rsidRPr="00FB2B63">
        <w:t>every 3 weeks</w:t>
      </w:r>
    </w:p>
    <w:p w14:paraId="5E1D4379" w14:textId="77777777" w:rsidR="00BE5925" w:rsidRDefault="00BE5925" w:rsidP="00BE5925">
      <w:pPr>
        <w:pStyle w:val="afffb"/>
        <w:numPr>
          <w:ilvl w:val="0"/>
          <w:numId w:val="42"/>
        </w:numPr>
        <w:ind w:firstLineChars="0"/>
      </w:pPr>
      <w:r w:rsidRPr="00FB2B63">
        <w:t>Oxaliplatin</w:t>
      </w:r>
      <w:r>
        <w:t>:</w:t>
      </w:r>
      <w:r w:rsidRPr="00FB2B63">
        <w:t xml:space="preserve"> 130 mg/m</w:t>
      </w:r>
      <w:r w:rsidRPr="00384EEC">
        <w:rPr>
          <w:vertAlign w:val="superscript"/>
        </w:rPr>
        <w:t>2</w:t>
      </w:r>
      <w:r w:rsidRPr="007252F8">
        <w:t>,</w:t>
      </w:r>
      <w:r>
        <w:t xml:space="preserve"> </w:t>
      </w:r>
      <w:r w:rsidRPr="00FB2B63">
        <w:t>intravenous</w:t>
      </w:r>
      <w:r>
        <w:t>ly on day 1</w:t>
      </w:r>
      <w:r w:rsidRPr="00FB2B63">
        <w:t xml:space="preserve"> </w:t>
      </w:r>
    </w:p>
    <w:p w14:paraId="23B2568B" w14:textId="77777777" w:rsidR="00BE5925" w:rsidRDefault="00BE5925" w:rsidP="00BE5925">
      <w:pPr>
        <w:pStyle w:val="afffb"/>
        <w:numPr>
          <w:ilvl w:val="0"/>
          <w:numId w:val="42"/>
        </w:numPr>
        <w:ind w:firstLineChars="0"/>
      </w:pPr>
      <w:r w:rsidRPr="00FB2B63">
        <w:t>Capecitabine</w:t>
      </w:r>
      <w:r>
        <w:t xml:space="preserve">: </w:t>
      </w:r>
      <w:r w:rsidRPr="00FB2B63">
        <w:t>850 mg/m</w:t>
      </w:r>
      <w:r w:rsidRPr="00D67CC7">
        <w:rPr>
          <w:vertAlign w:val="superscript"/>
        </w:rPr>
        <w:t>2</w:t>
      </w:r>
      <w:r>
        <w:t xml:space="preserve">, </w:t>
      </w:r>
      <w:r w:rsidRPr="00FB2B63">
        <w:t>oral</w:t>
      </w:r>
      <w:r>
        <w:t>,</w:t>
      </w:r>
      <w:r w:rsidRPr="00FB2B63">
        <w:t xml:space="preserve"> </w:t>
      </w:r>
      <w:r>
        <w:t>twice daily, on days 1-14</w:t>
      </w:r>
    </w:p>
    <w:p w14:paraId="0BAEE752" w14:textId="77777777" w:rsidR="00BE5925" w:rsidRDefault="00BE5925" w:rsidP="00BE5925">
      <w:pPr>
        <w:pStyle w:val="afffb"/>
        <w:ind w:firstLineChars="0" w:firstLine="0"/>
      </w:pPr>
      <w:r>
        <w:t>M</w:t>
      </w:r>
      <w:r w:rsidRPr="00FB2B63">
        <w:t>aintenance treatment</w:t>
      </w:r>
    </w:p>
    <w:p w14:paraId="4FECD994" w14:textId="77777777" w:rsidR="00BE5925" w:rsidRDefault="00BE5925" w:rsidP="00BE5925">
      <w:pPr>
        <w:pStyle w:val="afffb"/>
        <w:numPr>
          <w:ilvl w:val="0"/>
          <w:numId w:val="41"/>
        </w:numPr>
        <w:ind w:firstLineChars="0"/>
      </w:pPr>
      <w:r w:rsidRPr="003127AF">
        <w:t xml:space="preserve">Anlotinib: </w:t>
      </w:r>
      <w:r w:rsidRPr="00FB2B63">
        <w:t>12 mg</w:t>
      </w:r>
      <w:r>
        <w:t>,</w:t>
      </w:r>
      <w:r w:rsidRPr="00FB2B63">
        <w:t xml:space="preserve"> </w:t>
      </w:r>
      <w:r>
        <w:t xml:space="preserve">oral, </w:t>
      </w:r>
      <w:r w:rsidRPr="00FB2B63">
        <w:t>once daily</w:t>
      </w:r>
      <w:r>
        <w:t>,</w:t>
      </w:r>
      <w:r w:rsidRPr="00FB2B63">
        <w:t xml:space="preserve"> on days 1-14</w:t>
      </w:r>
      <w:r>
        <w:t xml:space="preserve">, </w:t>
      </w:r>
      <w:r w:rsidRPr="00BB4C71">
        <w:rPr>
          <w:szCs w:val="21"/>
        </w:rPr>
        <w:t>every 3 weeks</w:t>
      </w:r>
      <w:r>
        <w:rPr>
          <w:szCs w:val="21"/>
        </w:rPr>
        <w:t xml:space="preserve">, </w:t>
      </w:r>
      <w:r w:rsidRPr="008A2717">
        <w:t>until disease progression or unacceptable toxicity.</w:t>
      </w:r>
    </w:p>
    <w:p w14:paraId="4C63E3B9" w14:textId="77777777" w:rsidR="00BE5925" w:rsidRPr="00F30213" w:rsidRDefault="00BE5925" w:rsidP="00BE5925">
      <w:pPr>
        <w:pStyle w:val="affff0"/>
        <w:numPr>
          <w:ilvl w:val="0"/>
          <w:numId w:val="41"/>
        </w:numPr>
        <w:rPr>
          <w:rFonts w:eastAsia="宋体" w:cs="Times New Roman"/>
        </w:rPr>
      </w:pPr>
      <w:r w:rsidRPr="00FB2B63">
        <w:t>Capecitabine</w:t>
      </w:r>
      <w:r>
        <w:t xml:space="preserve">: </w:t>
      </w:r>
      <w:r w:rsidRPr="00FB2B63">
        <w:t>850 mg/m</w:t>
      </w:r>
      <w:r w:rsidRPr="00F30213">
        <w:rPr>
          <w:vertAlign w:val="superscript"/>
        </w:rPr>
        <w:t>2</w:t>
      </w:r>
      <w:r>
        <w:t xml:space="preserve">, </w:t>
      </w:r>
      <w:r w:rsidRPr="00FB2B63">
        <w:t>oral</w:t>
      </w:r>
      <w:r>
        <w:t>,</w:t>
      </w:r>
      <w:r w:rsidRPr="00FB2B63">
        <w:t xml:space="preserve"> </w:t>
      </w:r>
      <w:r>
        <w:t xml:space="preserve">twice daily, on days 1-14, </w:t>
      </w:r>
      <w:r w:rsidRPr="00F30213">
        <w:rPr>
          <w:rFonts w:eastAsia="宋体" w:cs="Times New Roman"/>
        </w:rPr>
        <w:t>every 3 weeks</w:t>
      </w:r>
      <w:r>
        <w:rPr>
          <w:rFonts w:eastAsia="宋体" w:cs="Times New Roman"/>
        </w:rPr>
        <w:t>,</w:t>
      </w:r>
      <w:r w:rsidRPr="00F30213">
        <w:rPr>
          <w:rFonts w:eastAsia="宋体" w:cs="Times New Roman"/>
        </w:rPr>
        <w:t xml:space="preserve"> until disease progression or unacceptable toxicity.</w:t>
      </w:r>
    </w:p>
    <w:p w14:paraId="2F240BB2" w14:textId="77777777" w:rsidR="00BE5925" w:rsidRPr="003353E5" w:rsidRDefault="00BE5925" w:rsidP="00BE5925">
      <w:pPr>
        <w:pStyle w:val="a0"/>
        <w:numPr>
          <w:ilvl w:val="0"/>
          <w:numId w:val="0"/>
        </w:numPr>
        <w:spacing w:beforeLines="25" w:before="60" w:line="400" w:lineRule="exact"/>
        <w:ind w:left="420" w:hanging="420"/>
      </w:pPr>
      <w:r>
        <w:t>Control</w:t>
      </w:r>
      <w:r w:rsidRPr="003353E5">
        <w:t xml:space="preserve"> group</w:t>
      </w:r>
    </w:p>
    <w:p w14:paraId="14E17D30" w14:textId="77777777" w:rsidR="00BE5925" w:rsidRDefault="00BE5925" w:rsidP="00BE5925">
      <w:pPr>
        <w:pStyle w:val="a0"/>
        <w:numPr>
          <w:ilvl w:val="0"/>
          <w:numId w:val="0"/>
        </w:numPr>
        <w:spacing w:beforeLines="25" w:before="60" w:line="400" w:lineRule="exact"/>
        <w:ind w:left="420" w:hanging="420"/>
        <w:rPr>
          <w:b w:val="0"/>
        </w:rPr>
      </w:pPr>
      <w:r>
        <w:rPr>
          <w:b w:val="0"/>
        </w:rPr>
        <w:t>I</w:t>
      </w:r>
      <w:r w:rsidRPr="00FB2B63">
        <w:rPr>
          <w:b w:val="0"/>
        </w:rPr>
        <w:t>nduction treatment</w:t>
      </w:r>
      <w:r>
        <w:rPr>
          <w:b w:val="0"/>
        </w:rPr>
        <w:t xml:space="preserve"> (4-8 cycles)</w:t>
      </w:r>
    </w:p>
    <w:p w14:paraId="298C65E4" w14:textId="77777777" w:rsidR="00BE5925" w:rsidRDefault="00BE5925" w:rsidP="00BE5925">
      <w:pPr>
        <w:pStyle w:val="afffb"/>
        <w:numPr>
          <w:ilvl w:val="0"/>
          <w:numId w:val="41"/>
        </w:numPr>
        <w:ind w:firstLineChars="0"/>
      </w:pPr>
      <w:r w:rsidRPr="005607E6">
        <w:t>Bevacizumab</w:t>
      </w:r>
      <w:r w:rsidRPr="003127AF">
        <w:t xml:space="preserve">: </w:t>
      </w:r>
      <w:r>
        <w:t>7.5 mg/kg,</w:t>
      </w:r>
      <w:r w:rsidRPr="005607E6">
        <w:t xml:space="preserve"> intravenously</w:t>
      </w:r>
      <w:r>
        <w:t>,</w:t>
      </w:r>
      <w:r w:rsidRPr="005607E6">
        <w:t xml:space="preserve"> on day 1</w:t>
      </w:r>
      <w:r>
        <w:t xml:space="preserve">, </w:t>
      </w:r>
      <w:r w:rsidRPr="00BB4C71">
        <w:rPr>
          <w:szCs w:val="21"/>
        </w:rPr>
        <w:t>every 3 weeks</w:t>
      </w:r>
      <w:r>
        <w:rPr>
          <w:szCs w:val="21"/>
        </w:rPr>
        <w:t>.</w:t>
      </w:r>
    </w:p>
    <w:p w14:paraId="0A2DB24D" w14:textId="77777777" w:rsidR="00BE5925" w:rsidRDefault="00BE5925" w:rsidP="00BE5925">
      <w:pPr>
        <w:pStyle w:val="afffb"/>
        <w:numPr>
          <w:ilvl w:val="0"/>
          <w:numId w:val="41"/>
        </w:numPr>
        <w:ind w:firstLineChars="0"/>
      </w:pPr>
      <w:r w:rsidRPr="00FB2B63">
        <w:t>CapeOX</w:t>
      </w:r>
      <w:r>
        <w:t>:</w:t>
      </w:r>
      <w:r w:rsidRPr="00EC673C">
        <w:t xml:space="preserve"> </w:t>
      </w:r>
      <w:r w:rsidRPr="00FB2B63">
        <w:t>every 3 weeks</w:t>
      </w:r>
    </w:p>
    <w:p w14:paraId="161DD89E" w14:textId="77777777" w:rsidR="00BE5925" w:rsidRDefault="00BE5925" w:rsidP="00BE5925">
      <w:pPr>
        <w:pStyle w:val="afffb"/>
        <w:numPr>
          <w:ilvl w:val="0"/>
          <w:numId w:val="42"/>
        </w:numPr>
        <w:ind w:firstLineChars="0"/>
      </w:pPr>
      <w:r w:rsidRPr="00FB2B63">
        <w:t>Oxaliplatin</w:t>
      </w:r>
      <w:r>
        <w:t>:</w:t>
      </w:r>
      <w:r w:rsidRPr="00FB2B63">
        <w:t xml:space="preserve"> 130 mg/m</w:t>
      </w:r>
      <w:r w:rsidRPr="003353E5">
        <w:rPr>
          <w:vertAlign w:val="superscript"/>
        </w:rPr>
        <w:t>2</w:t>
      </w:r>
      <w:r>
        <w:t xml:space="preserve">, </w:t>
      </w:r>
      <w:r w:rsidRPr="00FB2B63">
        <w:t>intravenous</w:t>
      </w:r>
      <w:r>
        <w:t>ly on day 1</w:t>
      </w:r>
      <w:r w:rsidRPr="00FB2B63">
        <w:t xml:space="preserve"> </w:t>
      </w:r>
    </w:p>
    <w:p w14:paraId="120BD20F" w14:textId="77777777" w:rsidR="00BE5925" w:rsidRDefault="00BE5925" w:rsidP="00BE5925">
      <w:pPr>
        <w:pStyle w:val="afffb"/>
        <w:numPr>
          <w:ilvl w:val="0"/>
          <w:numId w:val="42"/>
        </w:numPr>
        <w:ind w:firstLineChars="0"/>
      </w:pPr>
      <w:r w:rsidRPr="00FB2B63">
        <w:t>Capecitabine</w:t>
      </w:r>
      <w:r>
        <w:t>: 1000</w:t>
      </w:r>
      <w:r w:rsidRPr="00FB2B63">
        <w:t xml:space="preserve"> mg/m</w:t>
      </w:r>
      <w:r w:rsidRPr="00D67CC7">
        <w:rPr>
          <w:vertAlign w:val="superscript"/>
        </w:rPr>
        <w:t>2</w:t>
      </w:r>
      <w:r>
        <w:t xml:space="preserve">, </w:t>
      </w:r>
      <w:r w:rsidRPr="00FB2B63">
        <w:t>oral</w:t>
      </w:r>
      <w:r>
        <w:t>,</w:t>
      </w:r>
      <w:r w:rsidRPr="00FB2B63">
        <w:t xml:space="preserve"> </w:t>
      </w:r>
      <w:r>
        <w:t>twice daily, on days 1-14.</w:t>
      </w:r>
    </w:p>
    <w:p w14:paraId="6A8646D0" w14:textId="77777777" w:rsidR="00BE5925" w:rsidRDefault="00BE5925" w:rsidP="00BE5925">
      <w:pPr>
        <w:pStyle w:val="afffb"/>
        <w:ind w:firstLineChars="0" w:firstLine="0"/>
      </w:pPr>
      <w:r>
        <w:t>M</w:t>
      </w:r>
      <w:r w:rsidRPr="00FB2B63">
        <w:t>aintenance treatment</w:t>
      </w:r>
    </w:p>
    <w:p w14:paraId="3C5790B3" w14:textId="77777777" w:rsidR="00BE5925" w:rsidRDefault="00BE5925" w:rsidP="00BE5925">
      <w:pPr>
        <w:pStyle w:val="afffb"/>
        <w:numPr>
          <w:ilvl w:val="0"/>
          <w:numId w:val="41"/>
        </w:numPr>
        <w:ind w:firstLineChars="0"/>
      </w:pPr>
      <w:r w:rsidRPr="005607E6">
        <w:lastRenderedPageBreak/>
        <w:t>Bevacizumab: 7.5 mg/kg</w:t>
      </w:r>
      <w:r>
        <w:t>,</w:t>
      </w:r>
      <w:r w:rsidRPr="005607E6">
        <w:t xml:space="preserve"> intravenously</w:t>
      </w:r>
      <w:r>
        <w:t>,</w:t>
      </w:r>
      <w:r w:rsidRPr="005607E6">
        <w:t xml:space="preserve"> on day 1</w:t>
      </w:r>
      <w:r>
        <w:t>,</w:t>
      </w:r>
      <w:r w:rsidRPr="005607E6">
        <w:t xml:space="preserve"> every 3 weeks</w:t>
      </w:r>
      <w:r>
        <w:t>,</w:t>
      </w:r>
      <w:r>
        <w:rPr>
          <w:szCs w:val="21"/>
        </w:rPr>
        <w:t xml:space="preserve"> </w:t>
      </w:r>
      <w:r w:rsidRPr="008A2717">
        <w:t>until disease progression or unacceptable toxicity.</w:t>
      </w:r>
    </w:p>
    <w:p w14:paraId="1B5D22F3" w14:textId="35C1D879" w:rsidR="00054AC7" w:rsidRDefault="00BE5925" w:rsidP="006D1B06">
      <w:pPr>
        <w:pStyle w:val="afffb"/>
        <w:numPr>
          <w:ilvl w:val="0"/>
          <w:numId w:val="41"/>
        </w:numPr>
        <w:ind w:firstLineChars="0"/>
      </w:pPr>
      <w:r w:rsidRPr="00FB2B63">
        <w:t>Capecitabine</w:t>
      </w:r>
      <w:r>
        <w:t>: 1000</w:t>
      </w:r>
      <w:r w:rsidRPr="00FB2B63">
        <w:t xml:space="preserve"> mg/m</w:t>
      </w:r>
      <w:r w:rsidRPr="007252F8">
        <w:rPr>
          <w:vertAlign w:val="superscript"/>
        </w:rPr>
        <w:t>2</w:t>
      </w:r>
      <w:r>
        <w:t xml:space="preserve">, </w:t>
      </w:r>
      <w:r w:rsidRPr="00FB2B63">
        <w:t>oral</w:t>
      </w:r>
      <w:r>
        <w:t>,</w:t>
      </w:r>
      <w:r w:rsidRPr="00FB2B63">
        <w:t xml:space="preserve"> </w:t>
      </w:r>
      <w:r>
        <w:t xml:space="preserve">twice daily, on days 1-14, </w:t>
      </w:r>
      <w:r w:rsidRPr="00F30213">
        <w:t>every 3 weeks until disease progression or unacceptable toxicity</w:t>
      </w:r>
      <w:r>
        <w:t>.</w:t>
      </w:r>
    </w:p>
    <w:p w14:paraId="6282658C" w14:textId="2B1A09C0" w:rsidR="00C52487" w:rsidRDefault="00D66452" w:rsidP="00384EEC">
      <w:pPr>
        <w:pStyle w:val="P68B1DB1-125"/>
        <w:rPr>
          <w:rFonts w:hint="default"/>
          <w:b/>
        </w:rPr>
      </w:pPr>
      <w:r w:rsidRPr="00384EEC">
        <w:rPr>
          <w:rFonts w:hint="default"/>
          <w:b/>
        </w:rPr>
        <w:t>Administration</w:t>
      </w:r>
      <w:r w:rsidRPr="00384EEC" w:rsidDel="00F00440">
        <w:rPr>
          <w:rFonts w:hint="default"/>
          <w:b/>
        </w:rPr>
        <w:t xml:space="preserve"> </w:t>
      </w:r>
      <w:r w:rsidR="00C52487">
        <w:rPr>
          <w:rFonts w:hint="default"/>
          <w:b/>
        </w:rPr>
        <w:t>s</w:t>
      </w:r>
      <w:r w:rsidR="00C52487" w:rsidRPr="008468F9">
        <w:rPr>
          <w:b/>
        </w:rPr>
        <w:t>equence</w:t>
      </w:r>
    </w:p>
    <w:p w14:paraId="018DB778" w14:textId="689A7571" w:rsidR="00355262" w:rsidRDefault="00C52487" w:rsidP="00384EEC">
      <w:pPr>
        <w:pStyle w:val="P68B1DB1-125"/>
        <w:rPr>
          <w:rFonts w:hint="default"/>
        </w:rPr>
      </w:pPr>
      <w:r w:rsidRPr="00C52487">
        <w:t xml:space="preserve">In the experimental group, anlotinib </w:t>
      </w:r>
      <w:r>
        <w:rPr>
          <w:rFonts w:hint="default"/>
        </w:rPr>
        <w:t>is</w:t>
      </w:r>
      <w:r w:rsidRPr="00C52487">
        <w:t xml:space="preserve"> first given orally on the morning of each cycle, then oxaliplatin </w:t>
      </w:r>
      <w:r>
        <w:rPr>
          <w:rFonts w:hint="default"/>
        </w:rPr>
        <w:t>is</w:t>
      </w:r>
      <w:r w:rsidRPr="00C52487">
        <w:t xml:space="preserve"> injected, </w:t>
      </w:r>
      <w:r>
        <w:rPr>
          <w:rFonts w:hint="default"/>
        </w:rPr>
        <w:t>and</w:t>
      </w:r>
      <w:r w:rsidRPr="00C52487">
        <w:t xml:space="preserve"> capecitab</w:t>
      </w:r>
      <w:r>
        <w:t xml:space="preserve">ine </w:t>
      </w:r>
      <w:r>
        <w:rPr>
          <w:rFonts w:hint="default"/>
        </w:rPr>
        <w:t>is</w:t>
      </w:r>
      <w:r w:rsidRPr="00C52487">
        <w:t xml:space="preserve"> given orally (within 30 minutes after dinner</w:t>
      </w:r>
      <w:r w:rsidR="00792C80" w:rsidRPr="00792C80">
        <w:t xml:space="preserve"> </w:t>
      </w:r>
      <w:r w:rsidR="00792C80">
        <w:rPr>
          <w:rFonts w:hint="default"/>
        </w:rPr>
        <w:t xml:space="preserve">for </w:t>
      </w:r>
      <w:r w:rsidR="00792C80">
        <w:t>the first time of the day</w:t>
      </w:r>
      <w:r w:rsidRPr="00C52487">
        <w:t xml:space="preserve">). Capecitabine </w:t>
      </w:r>
      <w:r>
        <w:rPr>
          <w:rFonts w:hint="default"/>
        </w:rPr>
        <w:t>is</w:t>
      </w:r>
      <w:r w:rsidRPr="00C52487">
        <w:t xml:space="preserve"> given orally within 30 minutes after dinner on q12h from the second day, and the last </w:t>
      </w:r>
      <w:r w:rsidR="00F13962">
        <w:rPr>
          <w:rFonts w:hint="default"/>
        </w:rPr>
        <w:t>dose</w:t>
      </w:r>
      <w:r w:rsidRPr="00C52487">
        <w:t xml:space="preserve"> </w:t>
      </w:r>
      <w:r w:rsidR="00F13962">
        <w:rPr>
          <w:rFonts w:hint="default"/>
        </w:rPr>
        <w:t>is</w:t>
      </w:r>
      <w:r w:rsidRPr="00C52487">
        <w:t xml:space="preserve"> given orally 30 minutes after breakfast on </w:t>
      </w:r>
      <w:r w:rsidR="00792C80">
        <w:rPr>
          <w:rFonts w:hint="default"/>
        </w:rPr>
        <w:t>day</w:t>
      </w:r>
      <w:r w:rsidR="00F13962">
        <w:rPr>
          <w:rFonts w:hint="default"/>
        </w:rPr>
        <w:t xml:space="preserve"> </w:t>
      </w:r>
      <w:r w:rsidRPr="00C52487">
        <w:t xml:space="preserve">15. </w:t>
      </w:r>
      <w:r w:rsidR="00F13962">
        <w:rPr>
          <w:rFonts w:hint="default"/>
        </w:rPr>
        <w:t>That is, a</w:t>
      </w:r>
      <w:r w:rsidRPr="00C52487">
        <w:t xml:space="preserve">nlotinib </w:t>
      </w:r>
      <w:r w:rsidR="00F13962">
        <w:rPr>
          <w:rFonts w:hint="default"/>
        </w:rPr>
        <w:t>is</w:t>
      </w:r>
      <w:r w:rsidRPr="00C52487">
        <w:t xml:space="preserve"> given before breakfast </w:t>
      </w:r>
      <w:r w:rsidR="00F13962" w:rsidRPr="00C52487">
        <w:t xml:space="preserve">on days </w:t>
      </w:r>
      <w:r w:rsidR="00150ABA">
        <w:rPr>
          <w:rFonts w:hint="default"/>
        </w:rPr>
        <w:t>2</w:t>
      </w:r>
      <w:r w:rsidR="00F13962" w:rsidRPr="00C52487">
        <w:t>-14</w:t>
      </w:r>
      <w:r w:rsidR="00F13962">
        <w:rPr>
          <w:rFonts w:hint="default"/>
        </w:rPr>
        <w:t xml:space="preserve"> </w:t>
      </w:r>
      <w:r w:rsidRPr="00C52487">
        <w:t xml:space="preserve">and capecitabine twice a day (within 30 minutes after breakfast and dinner) of each cycle. </w:t>
      </w:r>
    </w:p>
    <w:p w14:paraId="747857C0" w14:textId="59D82DA4" w:rsidR="00A85F59" w:rsidRDefault="00C52487" w:rsidP="00384EEC">
      <w:pPr>
        <w:pStyle w:val="P68B1DB1-125"/>
        <w:rPr>
          <w:rFonts w:hint="default"/>
        </w:rPr>
      </w:pPr>
      <w:r w:rsidRPr="00C52487">
        <w:t>The</w:t>
      </w:r>
      <w:r w:rsidRPr="0025058B">
        <w:rPr>
          <w:rFonts w:cs="Times New Roman" w:hint="default"/>
        </w:rPr>
        <w:t xml:space="preserve"> </w:t>
      </w:r>
      <w:r w:rsidR="00355262" w:rsidRPr="00384EEC">
        <w:rPr>
          <w:rFonts w:eastAsiaTheme="minorEastAsia" w:cs="Times New Roman" w:hint="default"/>
        </w:rPr>
        <w:t xml:space="preserve">drugs in the </w:t>
      </w:r>
      <w:r w:rsidRPr="00C52487">
        <w:t xml:space="preserve">control group should </w:t>
      </w:r>
      <w:r w:rsidR="00355262">
        <w:rPr>
          <w:rFonts w:hint="default"/>
        </w:rPr>
        <w:t xml:space="preserve">be </w:t>
      </w:r>
      <w:r w:rsidR="00355262" w:rsidRPr="00C52487">
        <w:t>administrat</w:t>
      </w:r>
      <w:r w:rsidR="00355262">
        <w:rPr>
          <w:rFonts w:hint="default"/>
        </w:rPr>
        <w:t>ed</w:t>
      </w:r>
      <w:r w:rsidR="00355262" w:rsidRPr="00C52487">
        <w:t xml:space="preserve"> </w:t>
      </w:r>
      <w:r w:rsidR="00355262">
        <w:rPr>
          <w:rFonts w:hint="default"/>
        </w:rPr>
        <w:t xml:space="preserve">according </w:t>
      </w:r>
      <w:r w:rsidRPr="00C52487">
        <w:t>the following order in each cycle:</w:t>
      </w:r>
      <w:r w:rsidR="00792C80" w:rsidRPr="00792C80">
        <w:t xml:space="preserve"> oxaliplatin is injected </w:t>
      </w:r>
      <w:r w:rsidR="00792C80" w:rsidRPr="00C52487">
        <w:t>first</w:t>
      </w:r>
      <w:r w:rsidR="00792C80" w:rsidRPr="00792C80">
        <w:t xml:space="preserve">, and capecitabine is given orally (within 30 minutes after dinner </w:t>
      </w:r>
      <w:r w:rsidR="00792C80">
        <w:rPr>
          <w:rFonts w:hint="default"/>
        </w:rPr>
        <w:t xml:space="preserve">for </w:t>
      </w:r>
      <w:r w:rsidR="00792C80" w:rsidRPr="00792C80">
        <w:t xml:space="preserve">the first time of the day). Capecitabine is given orally within 30 minutes after dinner on q12h from the second day, and the last dose is given orally 30 minutes after breakfast on </w:t>
      </w:r>
      <w:r w:rsidR="00792C80">
        <w:rPr>
          <w:rFonts w:hint="default"/>
        </w:rPr>
        <w:t>day</w:t>
      </w:r>
      <w:r w:rsidR="00792C80" w:rsidRPr="00792C80">
        <w:t xml:space="preserve"> 15. </w:t>
      </w:r>
      <w:r w:rsidRPr="00C52487">
        <w:t xml:space="preserve">The </w:t>
      </w:r>
      <w:r w:rsidR="00792C80" w:rsidRPr="00C52487">
        <w:t xml:space="preserve">administration </w:t>
      </w:r>
      <w:r w:rsidRPr="00C52487">
        <w:t xml:space="preserve">sequence of bevacizumab could be </w:t>
      </w:r>
      <w:r w:rsidR="00792C80" w:rsidRPr="00792C80">
        <w:t xml:space="preserve">performed </w:t>
      </w:r>
      <w:r w:rsidRPr="00792C80">
        <w:t>a</w:t>
      </w:r>
      <w:r w:rsidRPr="00C52487">
        <w:t>ccording to the instructions and clinical practice.</w:t>
      </w:r>
      <w:r w:rsidRPr="00C52487" w:rsidDel="00F00440">
        <w:rPr>
          <w:rFonts w:hint="default"/>
        </w:rPr>
        <w:t xml:space="preserve"> </w:t>
      </w:r>
    </w:p>
    <w:p w14:paraId="68A22A38" w14:textId="77777777" w:rsidR="00A85F59" w:rsidRPr="00384EEC" w:rsidRDefault="00A85F59" w:rsidP="00384EEC">
      <w:pPr>
        <w:pStyle w:val="P68B1DB1-125"/>
        <w:rPr>
          <w:rFonts w:hint="default"/>
          <w:b/>
        </w:rPr>
      </w:pPr>
      <w:r w:rsidRPr="00384EEC">
        <w:rPr>
          <w:rFonts w:hint="default"/>
          <w:b/>
        </w:rPr>
        <w:t>Treatment cycle (induction treatment)</w:t>
      </w:r>
    </w:p>
    <w:p w14:paraId="291F5AA2" w14:textId="2E673E3A" w:rsidR="004F718F" w:rsidRDefault="004F718F">
      <w:pPr>
        <w:pStyle w:val="P68B1DB1-125"/>
        <w:rPr>
          <w:rFonts w:hint="default"/>
        </w:rPr>
      </w:pPr>
      <w:r>
        <w:t xml:space="preserve">Every 21 days </w:t>
      </w:r>
      <w:r>
        <w:rPr>
          <w:rFonts w:hint="default"/>
        </w:rPr>
        <w:t>is</w:t>
      </w:r>
      <w:r>
        <w:t xml:space="preserve">s a treatment cycle, and no other anti-tumor therapy </w:t>
      </w:r>
      <w:r>
        <w:rPr>
          <w:rFonts w:hint="default"/>
        </w:rPr>
        <w:t>is</w:t>
      </w:r>
      <w:r>
        <w:t xml:space="preserve"> </w:t>
      </w:r>
      <w:r>
        <w:rPr>
          <w:rFonts w:hint="default"/>
        </w:rPr>
        <w:t>allowed</w:t>
      </w:r>
      <w:r>
        <w:t xml:space="preserve"> </w:t>
      </w:r>
      <w:r w:rsidRPr="00384EEC">
        <w:t xml:space="preserve">until </w:t>
      </w:r>
      <w:r w:rsidRPr="00384EEC">
        <w:rPr>
          <w:rFonts w:hint="default"/>
        </w:rPr>
        <w:t>loss of clinical benefit</w:t>
      </w:r>
      <w:r w:rsidR="00CD362D" w:rsidRPr="00384EEC">
        <w:rPr>
          <w:rFonts w:hint="default"/>
        </w:rPr>
        <w:t>,</w:t>
      </w:r>
      <w:r w:rsidRPr="00384EEC">
        <w:t xml:space="preserve"> unacce</w:t>
      </w:r>
      <w:r>
        <w:t>ptable toxicity, PD, or</w:t>
      </w:r>
      <w:r>
        <w:rPr>
          <w:rFonts w:eastAsiaTheme="minorEastAsia"/>
        </w:rPr>
        <w:t xml:space="preserve"> </w:t>
      </w:r>
      <w:r>
        <w:t>the investigator’s decision.</w:t>
      </w:r>
    </w:p>
    <w:p w14:paraId="7820870F" w14:textId="77777777" w:rsidR="001C4065" w:rsidRPr="00384EEC" w:rsidRDefault="001C4065">
      <w:pPr>
        <w:pStyle w:val="P68B1DB1-125"/>
        <w:rPr>
          <w:rFonts w:hint="default"/>
          <w:b/>
        </w:rPr>
      </w:pPr>
      <w:r w:rsidRPr="00384EEC">
        <w:rPr>
          <w:rFonts w:hint="default"/>
          <w:b/>
        </w:rPr>
        <w:t>Oxaliplatin</w:t>
      </w:r>
    </w:p>
    <w:p w14:paraId="26D11145" w14:textId="30ADBA8F" w:rsidR="00683FD5" w:rsidRDefault="001C4065">
      <w:pPr>
        <w:pStyle w:val="P68B1DB1-125"/>
        <w:rPr>
          <w:rFonts w:hint="default"/>
        </w:rPr>
      </w:pPr>
      <w:r>
        <w:t>130 mg/</w:t>
      </w:r>
      <w:r w:rsidRPr="001C4065">
        <w:t>m²</w:t>
      </w:r>
      <w:r w:rsidR="001F268B">
        <w:rPr>
          <w:rFonts w:hint="default"/>
        </w:rPr>
        <w:t>,</w:t>
      </w:r>
      <w:r w:rsidRPr="001C4065">
        <w:t xml:space="preserve"> </w:t>
      </w:r>
      <w:r w:rsidR="001F268B" w:rsidRPr="001F268B">
        <w:t xml:space="preserve">ivgtt. </w:t>
      </w:r>
      <w:r w:rsidR="001F268B">
        <w:t>for more than 2 hours</w:t>
      </w:r>
      <w:r w:rsidR="001F268B" w:rsidRPr="001F268B">
        <w:t xml:space="preserve"> </w:t>
      </w:r>
      <w:r w:rsidRPr="001C4065">
        <w:t xml:space="preserve">on day 1 of each </w:t>
      </w:r>
      <w:r>
        <w:rPr>
          <w:rFonts w:hint="default"/>
        </w:rPr>
        <w:t xml:space="preserve">21-day </w:t>
      </w:r>
      <w:r w:rsidRPr="001C4065">
        <w:t xml:space="preserve">cycle. </w:t>
      </w:r>
      <w:r w:rsidR="008950E9">
        <w:rPr>
          <w:rFonts w:hint="default"/>
        </w:rPr>
        <w:t>T</w:t>
      </w:r>
      <w:r w:rsidRPr="001C4065">
        <w:t xml:space="preserve">he subjects </w:t>
      </w:r>
      <w:r w:rsidR="005C2303">
        <w:rPr>
          <w:rFonts w:hint="default"/>
        </w:rPr>
        <w:t>have</w:t>
      </w:r>
      <w:r w:rsidRPr="001C4065">
        <w:t xml:space="preserve"> to complete clinical examinations within 3 days before each dose to assess the </w:t>
      </w:r>
      <w:r w:rsidR="005C2303">
        <w:rPr>
          <w:rFonts w:hint="default"/>
        </w:rPr>
        <w:t xml:space="preserve">drug </w:t>
      </w:r>
      <w:r w:rsidRPr="001C4065">
        <w:t>tolerance</w:t>
      </w:r>
      <w:r w:rsidR="002A27EA">
        <w:rPr>
          <w:rFonts w:hint="default"/>
        </w:rPr>
        <w:t xml:space="preserve"> and are</w:t>
      </w:r>
      <w:r w:rsidRPr="001C4065">
        <w:t xml:space="preserve"> advised to stay in the hospital for</w:t>
      </w:r>
      <w:r w:rsidR="002A27EA">
        <w:t>24</w:t>
      </w:r>
      <w:r w:rsidR="002A27EA">
        <w:rPr>
          <w:rFonts w:hint="default"/>
        </w:rPr>
        <w:t>-</w:t>
      </w:r>
      <w:r w:rsidR="002A27EA" w:rsidRPr="001C4065">
        <w:t>hour</w:t>
      </w:r>
      <w:r w:rsidRPr="001C4065">
        <w:t xml:space="preserve"> observation after the first administration. Avoid cold exposure, unprocessed/cold food or/and cold drinks during or several hours after oxaliplatin administration.</w:t>
      </w:r>
    </w:p>
    <w:p w14:paraId="741241EE" w14:textId="19792241" w:rsidR="00346EC4" w:rsidRPr="00384EEC" w:rsidRDefault="00346EC4" w:rsidP="00346EC4">
      <w:pPr>
        <w:pStyle w:val="P68B1DB1-125"/>
        <w:rPr>
          <w:rFonts w:hint="default"/>
          <w:b/>
        </w:rPr>
      </w:pPr>
      <w:r w:rsidRPr="00384EEC">
        <w:rPr>
          <w:rFonts w:hint="default"/>
          <w:b/>
        </w:rPr>
        <w:t>Capecitabine</w:t>
      </w:r>
    </w:p>
    <w:p w14:paraId="0715BA48" w14:textId="1AA9F7CE" w:rsidR="00346EC4" w:rsidRDefault="00346EC4">
      <w:pPr>
        <w:pStyle w:val="P68B1DB1-125"/>
        <w:rPr>
          <w:rFonts w:hint="default"/>
        </w:rPr>
      </w:pPr>
      <w:r>
        <w:t>850mg/ m² in the experimental group and 1000 mg/m² in the control group. Oral administration within 30 minutes after meals twice a day</w:t>
      </w:r>
      <w:r w:rsidRPr="00346EC4">
        <w:t xml:space="preserve"> (once in the morning and once in the evening, for 2 weeks and stopped for 1 week). As a single tablet can not be divided, the experimental group could take 2 pills in the morning and 1 pill in the evening (</w:t>
      </w:r>
      <w:r w:rsidR="000C6F10">
        <w:rPr>
          <w:rFonts w:hint="default"/>
        </w:rPr>
        <w:t xml:space="preserve">take </w:t>
      </w:r>
      <w:r w:rsidRPr="00346EC4">
        <w:t>750mg</w:t>
      </w:r>
      <w:r w:rsidR="000C6F10" w:rsidRPr="000C6F10">
        <w:t xml:space="preserve"> tablet</w:t>
      </w:r>
      <w:r w:rsidRPr="00346EC4">
        <w:t xml:space="preserve"> as example). </w:t>
      </w:r>
    </w:p>
    <w:p w14:paraId="13DABD9E" w14:textId="57EEA2C6" w:rsidR="00346EC4" w:rsidRDefault="000C6F10">
      <w:pPr>
        <w:pStyle w:val="P68B1DB1-125"/>
        <w:rPr>
          <w:rFonts w:hint="default"/>
        </w:rPr>
      </w:pPr>
      <w:r>
        <w:rPr>
          <w:rFonts w:hint="default"/>
        </w:rPr>
        <w:t>O</w:t>
      </w:r>
      <w:r>
        <w:t>xaliplatin</w:t>
      </w:r>
      <w:r>
        <w:rPr>
          <w:rFonts w:hint="default"/>
        </w:rPr>
        <w:t xml:space="preserve"> and</w:t>
      </w:r>
      <w:r w:rsidR="00346EC4">
        <w:t xml:space="preserve"> cap</w:t>
      </w:r>
      <w:r>
        <w:t>ecitabine</w:t>
      </w:r>
      <w:r w:rsidR="00346EC4">
        <w:t xml:space="preserve"> should be calculated based on the body surface area (BSA) of the subject (see table</w:t>
      </w:r>
      <w:r w:rsidR="00735226">
        <w:rPr>
          <w:rFonts w:hint="default"/>
        </w:rPr>
        <w:t>s</w:t>
      </w:r>
      <w:r w:rsidR="00346EC4">
        <w:t xml:space="preserve"> below for details), and the specific usage is detailed in the instructions.</w:t>
      </w:r>
    </w:p>
    <w:p w14:paraId="1A9DCA3F" w14:textId="08AAC4BA" w:rsidR="00735226" w:rsidRPr="00384EEC" w:rsidRDefault="00735226" w:rsidP="00384EEC">
      <w:pPr>
        <w:pStyle w:val="P68B1DB1-Normal36"/>
        <w:spacing w:line="370" w:lineRule="exact"/>
        <w:ind w:left="172" w:right="567"/>
        <w:jc w:val="center"/>
        <w:rPr>
          <w:rFonts w:ascii="Times New Roman" w:eastAsia="微软雅黑" w:hAnsi="Times New Roman" w:cs="Times New Roman"/>
          <w:b w:val="0"/>
          <w:szCs w:val="24"/>
        </w:rPr>
      </w:pPr>
      <w:r w:rsidRPr="00384EEC">
        <w:rPr>
          <w:rFonts w:ascii="Times New Roman" w:eastAsia="微软雅黑" w:hAnsi="Times New Roman" w:cs="Times New Roman"/>
          <w:b w:val="0"/>
          <w:szCs w:val="24"/>
        </w:rPr>
        <w:lastRenderedPageBreak/>
        <w:t xml:space="preserve">Table 5.2-1 Recommended dose of capecitabine (strength: 0.5 g/tablet) </w:t>
      </w:r>
    </w:p>
    <w:tbl>
      <w:tblPr>
        <w:tblStyle w:val="TableNormal"/>
        <w:tblW w:w="912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2126"/>
        <w:gridCol w:w="1418"/>
        <w:gridCol w:w="1701"/>
        <w:gridCol w:w="1337"/>
      </w:tblGrid>
      <w:tr w:rsidR="00735226" w:rsidRPr="00735226" w14:paraId="42F3EB9F" w14:textId="77777777" w:rsidTr="00384EEC">
        <w:trPr>
          <w:trHeight w:val="623"/>
          <w:jc w:val="center"/>
        </w:trPr>
        <w:tc>
          <w:tcPr>
            <w:tcW w:w="2547" w:type="dxa"/>
            <w:vMerge w:val="restart"/>
          </w:tcPr>
          <w:p w14:paraId="57077DFF" w14:textId="0F06A17A" w:rsidR="00735226" w:rsidRPr="00384EEC" w:rsidRDefault="00735226" w:rsidP="00384EEC">
            <w:pPr>
              <w:pStyle w:val="P68B1DB1-TableParagraph16"/>
              <w:spacing w:before="109" w:line="362" w:lineRule="exact"/>
              <w:ind w:left="164"/>
              <w:rPr>
                <w:rFonts w:ascii="Times New Roman" w:hAnsi="Times New Roman" w:cs="Times New Roman"/>
                <w:b w:val="0"/>
                <w:szCs w:val="24"/>
              </w:rPr>
            </w:pPr>
            <w:r w:rsidRPr="00384EEC">
              <w:rPr>
                <w:rFonts w:ascii="Times New Roman" w:hAnsi="Times New Roman" w:cs="Times New Roman"/>
                <w:b w:val="0"/>
                <w:szCs w:val="24"/>
              </w:rPr>
              <w:t xml:space="preserve">Body surface area </w:t>
            </w:r>
            <w:r>
              <w:rPr>
                <w:rFonts w:ascii="Times New Roman" w:hAnsi="Times New Roman" w:cs="Times New Roman"/>
                <w:b w:val="0"/>
                <w:szCs w:val="24"/>
              </w:rPr>
              <w:t>(m</w:t>
            </w:r>
            <w:r w:rsidRPr="00384EEC">
              <w:rPr>
                <w:rFonts w:ascii="Times New Roman" w:hAnsi="Times New Roman" w:cs="Times New Roman"/>
                <w:b w:val="0"/>
                <w:szCs w:val="24"/>
                <w:vertAlign w:val="superscript"/>
              </w:rPr>
              <w:t>2</w:t>
            </w:r>
            <w:r w:rsidRPr="00384EEC">
              <w:rPr>
                <w:rFonts w:ascii="Times New Roman" w:eastAsia="Times New Roman" w:hAnsi="Times New Roman" w:cs="Times New Roman"/>
                <w:b w:val="0"/>
                <w:position w:val="8"/>
                <w:szCs w:val="24"/>
              </w:rPr>
              <w:t xml:space="preserve"> </w:t>
            </w:r>
            <w:r w:rsidRPr="00384EEC">
              <w:rPr>
                <w:rFonts w:ascii="Times New Roman" w:hAnsi="Times New Roman" w:cs="Times New Roman"/>
                <w:b w:val="0"/>
                <w:szCs w:val="24"/>
              </w:rPr>
              <w:t>)</w:t>
            </w:r>
          </w:p>
        </w:tc>
        <w:tc>
          <w:tcPr>
            <w:tcW w:w="2126" w:type="dxa"/>
          </w:tcPr>
          <w:p w14:paraId="55798C22" w14:textId="366AF552" w:rsidR="00735226" w:rsidRPr="00384EEC" w:rsidRDefault="00735226" w:rsidP="00646849">
            <w:pPr>
              <w:pStyle w:val="P68B1DB1-TableParagraph16"/>
              <w:spacing w:line="310" w:lineRule="exact"/>
              <w:ind w:left="12" w:right="5"/>
              <w:rPr>
                <w:rFonts w:ascii="Times New Roman" w:hAnsi="Times New Roman" w:cs="Times New Roman"/>
                <w:b w:val="0"/>
                <w:szCs w:val="24"/>
              </w:rPr>
            </w:pPr>
            <w:r w:rsidRPr="00384EEC">
              <w:rPr>
                <w:rFonts w:ascii="Times New Roman" w:hAnsi="Times New Roman" w:cs="Times New Roman"/>
                <w:b w:val="0"/>
                <w:szCs w:val="24"/>
              </w:rPr>
              <w:t xml:space="preserve">Dose </w:t>
            </w:r>
            <w:r w:rsidR="00033221">
              <w:rPr>
                <w:rFonts w:ascii="Times New Roman" w:hAnsi="Times New Roman" w:cs="Times New Roman"/>
                <w:b w:val="0"/>
                <w:szCs w:val="24"/>
              </w:rPr>
              <w:t>l</w:t>
            </w:r>
            <w:r w:rsidRPr="00384EEC">
              <w:rPr>
                <w:rFonts w:ascii="Times New Roman" w:hAnsi="Times New Roman" w:cs="Times New Roman"/>
                <w:b w:val="0"/>
                <w:szCs w:val="24"/>
              </w:rPr>
              <w:t xml:space="preserve">evel </w:t>
            </w:r>
          </w:p>
          <w:p w14:paraId="3301CECB" w14:textId="08DD700B" w:rsidR="00735226" w:rsidRPr="00384EEC" w:rsidRDefault="00735226" w:rsidP="00646849">
            <w:pPr>
              <w:pStyle w:val="P68B1DB1-TableParagraph37"/>
              <w:spacing w:line="294" w:lineRule="exact"/>
              <w:ind w:left="12"/>
              <w:rPr>
                <w:rFonts w:ascii="Times New Roman" w:eastAsia="微软雅黑" w:hAnsi="Times New Roman" w:cs="Times New Roman"/>
                <w:b w:val="0"/>
                <w:sz w:val="24"/>
                <w:szCs w:val="24"/>
              </w:rPr>
            </w:pPr>
            <w:r w:rsidRPr="00384EEC">
              <w:rPr>
                <w:rFonts w:ascii="Times New Roman" w:eastAsia="微软雅黑" w:hAnsi="Times New Roman" w:cs="Times New Roman"/>
                <w:b w:val="0"/>
                <w:sz w:val="24"/>
                <w:szCs w:val="24"/>
              </w:rPr>
              <w:t>(1000 mg/</w:t>
            </w:r>
            <w:r w:rsidRPr="00C969E2">
              <w:rPr>
                <w:rFonts w:ascii="Times New Roman" w:eastAsia="微软雅黑" w:hAnsi="Times New Roman" w:cs="Times New Roman"/>
                <w:b w:val="0"/>
                <w:sz w:val="24"/>
                <w:szCs w:val="24"/>
              </w:rPr>
              <w:t xml:space="preserve"> m</w:t>
            </w:r>
            <w:r w:rsidRPr="00C969E2">
              <w:rPr>
                <w:rFonts w:ascii="Times New Roman" w:eastAsia="微软雅黑" w:hAnsi="Times New Roman" w:cs="Times New Roman"/>
                <w:b w:val="0"/>
                <w:sz w:val="24"/>
                <w:szCs w:val="24"/>
                <w:vertAlign w:val="superscript"/>
              </w:rPr>
              <w:t>2</w:t>
            </w:r>
            <w:r w:rsidRPr="00384EEC">
              <w:rPr>
                <w:rFonts w:ascii="Times New Roman" w:eastAsia="Times New Roman" w:hAnsi="Times New Roman" w:cs="Times New Roman"/>
                <w:b w:val="0"/>
                <w:position w:val="8"/>
                <w:sz w:val="24"/>
                <w:szCs w:val="24"/>
              </w:rPr>
              <w:t xml:space="preserve"> </w:t>
            </w:r>
            <w:r w:rsidRPr="00384EEC">
              <w:rPr>
                <w:rFonts w:ascii="Times New Roman" w:eastAsia="微软雅黑" w:hAnsi="Times New Roman" w:cs="Times New Roman"/>
                <w:b w:val="0"/>
                <w:sz w:val="24"/>
                <w:szCs w:val="24"/>
              </w:rPr>
              <w:t xml:space="preserve">) </w:t>
            </w:r>
          </w:p>
        </w:tc>
        <w:tc>
          <w:tcPr>
            <w:tcW w:w="1418" w:type="dxa"/>
          </w:tcPr>
          <w:p w14:paraId="6766FE70" w14:textId="77777777" w:rsidR="00735226" w:rsidRPr="00384EEC" w:rsidRDefault="00735226" w:rsidP="00646849">
            <w:pPr>
              <w:pStyle w:val="P68B1DB1-TableParagraph16"/>
              <w:spacing w:before="104"/>
              <w:ind w:left="10"/>
              <w:rPr>
                <w:rFonts w:ascii="Times New Roman" w:hAnsi="Times New Roman" w:cs="Times New Roman"/>
                <w:b w:val="0"/>
                <w:szCs w:val="24"/>
              </w:rPr>
            </w:pPr>
            <w:r w:rsidRPr="00384EEC">
              <w:rPr>
                <w:rFonts w:ascii="Times New Roman" w:hAnsi="Times New Roman" w:cs="Times New Roman"/>
                <w:b w:val="0"/>
                <w:szCs w:val="24"/>
              </w:rPr>
              <w:t xml:space="preserve">Medication </w:t>
            </w:r>
          </w:p>
        </w:tc>
        <w:tc>
          <w:tcPr>
            <w:tcW w:w="1701" w:type="dxa"/>
          </w:tcPr>
          <w:p w14:paraId="753BED78" w14:textId="1A3BE69F" w:rsidR="00735226" w:rsidRPr="00384EEC" w:rsidRDefault="00735226" w:rsidP="00646849">
            <w:pPr>
              <w:pStyle w:val="P68B1DB1-TableParagraph16"/>
              <w:spacing w:line="310" w:lineRule="exact"/>
              <w:ind w:left="13" w:right="5"/>
              <w:rPr>
                <w:rFonts w:ascii="Times New Roman" w:hAnsi="Times New Roman" w:cs="Times New Roman"/>
                <w:b w:val="0"/>
                <w:szCs w:val="24"/>
              </w:rPr>
            </w:pPr>
            <w:r w:rsidRPr="00384EEC">
              <w:rPr>
                <w:rFonts w:ascii="Times New Roman" w:hAnsi="Times New Roman" w:cs="Times New Roman"/>
                <w:b w:val="0"/>
                <w:szCs w:val="24"/>
              </w:rPr>
              <w:t xml:space="preserve">Dose </w:t>
            </w:r>
            <w:r w:rsidR="00033221">
              <w:rPr>
                <w:rFonts w:ascii="Times New Roman" w:hAnsi="Times New Roman" w:cs="Times New Roman"/>
                <w:b w:val="0"/>
                <w:szCs w:val="24"/>
              </w:rPr>
              <w:t>l</w:t>
            </w:r>
            <w:r w:rsidRPr="00384EEC">
              <w:rPr>
                <w:rFonts w:ascii="Times New Roman" w:hAnsi="Times New Roman" w:cs="Times New Roman"/>
                <w:b w:val="0"/>
                <w:szCs w:val="24"/>
              </w:rPr>
              <w:t xml:space="preserve">evel </w:t>
            </w:r>
          </w:p>
          <w:p w14:paraId="17120C2F" w14:textId="7C2088C4" w:rsidR="00735226" w:rsidRPr="00384EEC" w:rsidRDefault="00735226" w:rsidP="00646849">
            <w:pPr>
              <w:pStyle w:val="P68B1DB1-TableParagraph37"/>
              <w:spacing w:line="294" w:lineRule="exact"/>
              <w:ind w:left="13"/>
              <w:rPr>
                <w:rFonts w:ascii="Times New Roman" w:eastAsia="微软雅黑" w:hAnsi="Times New Roman" w:cs="Times New Roman"/>
                <w:b w:val="0"/>
                <w:sz w:val="24"/>
                <w:szCs w:val="24"/>
              </w:rPr>
            </w:pPr>
            <w:r w:rsidRPr="00384EEC">
              <w:rPr>
                <w:rFonts w:ascii="Times New Roman" w:eastAsia="微软雅黑" w:hAnsi="Times New Roman" w:cs="Times New Roman"/>
                <w:b w:val="0"/>
                <w:sz w:val="24"/>
                <w:szCs w:val="24"/>
              </w:rPr>
              <w:t>(850 mg/</w:t>
            </w:r>
            <w:r w:rsidRPr="00C969E2">
              <w:rPr>
                <w:rFonts w:ascii="Times New Roman" w:eastAsia="微软雅黑" w:hAnsi="Times New Roman" w:cs="Times New Roman"/>
                <w:b w:val="0"/>
                <w:sz w:val="24"/>
                <w:szCs w:val="24"/>
              </w:rPr>
              <w:t>m</w:t>
            </w:r>
            <w:r w:rsidRPr="00C969E2">
              <w:rPr>
                <w:rFonts w:ascii="Times New Roman" w:eastAsia="微软雅黑" w:hAnsi="Times New Roman" w:cs="Times New Roman"/>
                <w:b w:val="0"/>
                <w:sz w:val="24"/>
                <w:szCs w:val="24"/>
                <w:vertAlign w:val="superscript"/>
              </w:rPr>
              <w:t>2</w:t>
            </w:r>
            <w:r w:rsidRPr="00384EEC">
              <w:rPr>
                <w:rFonts w:ascii="Times New Roman" w:eastAsia="Times New Roman" w:hAnsi="Times New Roman" w:cs="Times New Roman"/>
                <w:b w:val="0"/>
                <w:position w:val="8"/>
                <w:sz w:val="24"/>
                <w:szCs w:val="24"/>
              </w:rPr>
              <w:t xml:space="preserve"> </w:t>
            </w:r>
            <w:r w:rsidRPr="00384EEC">
              <w:rPr>
                <w:rFonts w:ascii="Times New Roman" w:eastAsia="微软雅黑" w:hAnsi="Times New Roman" w:cs="Times New Roman"/>
                <w:b w:val="0"/>
                <w:sz w:val="24"/>
                <w:szCs w:val="24"/>
              </w:rPr>
              <w:t xml:space="preserve">) </w:t>
            </w:r>
          </w:p>
        </w:tc>
        <w:tc>
          <w:tcPr>
            <w:tcW w:w="1337" w:type="dxa"/>
          </w:tcPr>
          <w:p w14:paraId="2A6A16A8" w14:textId="77777777" w:rsidR="00735226" w:rsidRPr="00384EEC" w:rsidRDefault="00735226" w:rsidP="00646849">
            <w:pPr>
              <w:pStyle w:val="P68B1DB1-TableParagraph16"/>
              <w:spacing w:before="104"/>
              <w:ind w:left="12" w:right="5"/>
              <w:rPr>
                <w:rFonts w:ascii="Times New Roman" w:hAnsi="Times New Roman" w:cs="Times New Roman"/>
                <w:b w:val="0"/>
                <w:szCs w:val="24"/>
              </w:rPr>
            </w:pPr>
            <w:r w:rsidRPr="00384EEC">
              <w:rPr>
                <w:rFonts w:ascii="Times New Roman" w:hAnsi="Times New Roman" w:cs="Times New Roman"/>
                <w:b w:val="0"/>
                <w:szCs w:val="24"/>
              </w:rPr>
              <w:t xml:space="preserve">Medication </w:t>
            </w:r>
          </w:p>
        </w:tc>
      </w:tr>
      <w:tr w:rsidR="00735226" w:rsidRPr="00735226" w14:paraId="2F26BDF9" w14:textId="77777777" w:rsidTr="00384EEC">
        <w:trPr>
          <w:trHeight w:val="312"/>
          <w:jc w:val="center"/>
        </w:trPr>
        <w:tc>
          <w:tcPr>
            <w:tcW w:w="2547" w:type="dxa"/>
            <w:vMerge/>
            <w:tcBorders>
              <w:top w:val="nil"/>
            </w:tcBorders>
          </w:tcPr>
          <w:p w14:paraId="22A2FC45" w14:textId="77777777" w:rsidR="00735226" w:rsidRPr="00384EEC" w:rsidRDefault="00735226" w:rsidP="00646849">
            <w:pPr>
              <w:rPr>
                <w:rFonts w:cs="Times New Roman"/>
                <w:szCs w:val="24"/>
              </w:rPr>
            </w:pPr>
          </w:p>
        </w:tc>
        <w:tc>
          <w:tcPr>
            <w:tcW w:w="2126" w:type="dxa"/>
          </w:tcPr>
          <w:p w14:paraId="61B49DCF" w14:textId="57147572" w:rsidR="00735226" w:rsidRPr="00384EEC" w:rsidRDefault="00735226" w:rsidP="00646849">
            <w:pPr>
              <w:pStyle w:val="P68B1DB1-TableParagraph38"/>
              <w:spacing w:line="292" w:lineRule="exact"/>
              <w:ind w:left="12" w:right="2"/>
              <w:rPr>
                <w:rFonts w:hAnsi="Times New Roman" w:cs="Times New Roman"/>
                <w:b w:val="0"/>
                <w:szCs w:val="24"/>
              </w:rPr>
            </w:pPr>
            <w:r w:rsidRPr="00384EEC">
              <w:rPr>
                <w:rFonts w:hAnsi="Times New Roman" w:cs="Times New Roman"/>
                <w:b w:val="0"/>
                <w:szCs w:val="24"/>
              </w:rPr>
              <w:t xml:space="preserve">Dose (mg)/day </w:t>
            </w:r>
          </w:p>
        </w:tc>
        <w:tc>
          <w:tcPr>
            <w:tcW w:w="1418" w:type="dxa"/>
          </w:tcPr>
          <w:p w14:paraId="6916F79F" w14:textId="77777777" w:rsidR="00735226" w:rsidRPr="00384EEC" w:rsidRDefault="00735226" w:rsidP="00646849">
            <w:pPr>
              <w:pStyle w:val="P68B1DB1-TableParagraph38"/>
              <w:spacing w:line="292" w:lineRule="exact"/>
              <w:ind w:left="10" w:right="3"/>
              <w:rPr>
                <w:rFonts w:hAnsi="Times New Roman" w:cs="Times New Roman"/>
                <w:b w:val="0"/>
                <w:szCs w:val="24"/>
              </w:rPr>
            </w:pPr>
            <w:r w:rsidRPr="00384EEC">
              <w:rPr>
                <w:rFonts w:hAnsi="Times New Roman" w:cs="Times New Roman"/>
                <w:b w:val="0"/>
                <w:szCs w:val="24"/>
              </w:rPr>
              <w:t xml:space="preserve">Tablets/day </w:t>
            </w:r>
          </w:p>
        </w:tc>
        <w:tc>
          <w:tcPr>
            <w:tcW w:w="1701" w:type="dxa"/>
          </w:tcPr>
          <w:p w14:paraId="31267E68" w14:textId="77777777" w:rsidR="00735226" w:rsidRPr="00384EEC" w:rsidRDefault="00735226" w:rsidP="00646849">
            <w:pPr>
              <w:pStyle w:val="P68B1DB1-TableParagraph38"/>
              <w:spacing w:line="292" w:lineRule="exact"/>
              <w:ind w:left="13" w:right="2"/>
              <w:rPr>
                <w:rFonts w:hAnsi="Times New Roman" w:cs="Times New Roman"/>
                <w:b w:val="0"/>
                <w:szCs w:val="24"/>
              </w:rPr>
            </w:pPr>
            <w:r w:rsidRPr="00384EEC">
              <w:rPr>
                <w:rFonts w:hAnsi="Times New Roman" w:cs="Times New Roman"/>
                <w:b w:val="0"/>
                <w:szCs w:val="24"/>
              </w:rPr>
              <w:t xml:space="preserve">Dose (mg)/day </w:t>
            </w:r>
          </w:p>
        </w:tc>
        <w:tc>
          <w:tcPr>
            <w:tcW w:w="1337" w:type="dxa"/>
          </w:tcPr>
          <w:p w14:paraId="2CCC27FC" w14:textId="77777777" w:rsidR="00735226" w:rsidRPr="00384EEC" w:rsidRDefault="00735226" w:rsidP="00646849">
            <w:pPr>
              <w:pStyle w:val="P68B1DB1-TableParagraph38"/>
              <w:spacing w:line="292" w:lineRule="exact"/>
              <w:ind w:left="12" w:right="2"/>
              <w:rPr>
                <w:rFonts w:hAnsi="Times New Roman" w:cs="Times New Roman"/>
                <w:b w:val="0"/>
                <w:szCs w:val="24"/>
              </w:rPr>
            </w:pPr>
            <w:r w:rsidRPr="00384EEC">
              <w:rPr>
                <w:rFonts w:hAnsi="Times New Roman" w:cs="Times New Roman"/>
                <w:b w:val="0"/>
                <w:szCs w:val="24"/>
              </w:rPr>
              <w:t xml:space="preserve">Tablets/day </w:t>
            </w:r>
          </w:p>
        </w:tc>
      </w:tr>
      <w:tr w:rsidR="00735226" w:rsidRPr="00735226" w14:paraId="7B3054D9" w14:textId="77777777" w:rsidTr="00384EEC">
        <w:trPr>
          <w:trHeight w:val="275"/>
          <w:jc w:val="center"/>
        </w:trPr>
        <w:tc>
          <w:tcPr>
            <w:tcW w:w="2547" w:type="dxa"/>
          </w:tcPr>
          <w:p w14:paraId="7C52C19C" w14:textId="77777777" w:rsidR="00735226" w:rsidRPr="00384EEC" w:rsidRDefault="00735226" w:rsidP="00646849">
            <w:pPr>
              <w:pStyle w:val="P68B1DB1-TableParagraph19"/>
              <w:spacing w:line="256" w:lineRule="exact"/>
              <w:ind w:left="7"/>
              <w:rPr>
                <w:rFonts w:cs="Times New Roman"/>
                <w:szCs w:val="24"/>
              </w:rPr>
            </w:pPr>
            <w:r w:rsidRPr="00384EEC">
              <w:rPr>
                <w:rFonts w:cs="Times New Roman"/>
                <w:szCs w:val="24"/>
              </w:rPr>
              <w:t xml:space="preserve">≤ 1.37 </w:t>
            </w:r>
          </w:p>
        </w:tc>
        <w:tc>
          <w:tcPr>
            <w:tcW w:w="2126" w:type="dxa"/>
          </w:tcPr>
          <w:p w14:paraId="0DDA7ACE" w14:textId="2B76B890" w:rsidR="00735226" w:rsidRPr="00384EEC" w:rsidRDefault="00735226" w:rsidP="00646849">
            <w:pPr>
              <w:pStyle w:val="P68B1DB1-TableParagraph7"/>
              <w:spacing w:line="256" w:lineRule="exact"/>
              <w:ind w:left="12" w:right="5"/>
              <w:rPr>
                <w:rFonts w:hAnsi="Times New Roman" w:cs="Times New Roman"/>
                <w:szCs w:val="24"/>
              </w:rPr>
            </w:pPr>
            <w:r w:rsidRPr="00384EEC">
              <w:rPr>
                <w:rFonts w:hAnsi="Times New Roman" w:cs="Times New Roman"/>
                <w:szCs w:val="24"/>
              </w:rPr>
              <w:t xml:space="preserve">2500 </w:t>
            </w:r>
          </w:p>
        </w:tc>
        <w:tc>
          <w:tcPr>
            <w:tcW w:w="1418" w:type="dxa"/>
          </w:tcPr>
          <w:p w14:paraId="11A5F181" w14:textId="77777777" w:rsidR="00735226" w:rsidRPr="00384EEC" w:rsidRDefault="00735226" w:rsidP="00646849">
            <w:pPr>
              <w:pStyle w:val="P68B1DB1-TableParagraph7"/>
              <w:spacing w:line="256" w:lineRule="exact"/>
              <w:ind w:left="10"/>
              <w:rPr>
                <w:rFonts w:hAnsi="Times New Roman" w:cs="Times New Roman"/>
                <w:szCs w:val="24"/>
              </w:rPr>
            </w:pPr>
            <w:r w:rsidRPr="00384EEC">
              <w:rPr>
                <w:rFonts w:hAnsi="Times New Roman" w:cs="Times New Roman"/>
                <w:szCs w:val="24"/>
              </w:rPr>
              <w:t xml:space="preserve">5 </w:t>
            </w:r>
          </w:p>
        </w:tc>
        <w:tc>
          <w:tcPr>
            <w:tcW w:w="1701" w:type="dxa"/>
          </w:tcPr>
          <w:p w14:paraId="262E8BFA" w14:textId="77777777" w:rsidR="00735226" w:rsidRPr="00384EEC" w:rsidRDefault="00735226" w:rsidP="00646849">
            <w:pPr>
              <w:pStyle w:val="P68B1DB1-TableParagraph7"/>
              <w:spacing w:line="256" w:lineRule="exact"/>
              <w:ind w:left="13" w:right="5"/>
              <w:rPr>
                <w:rFonts w:hAnsi="Times New Roman" w:cs="Times New Roman"/>
                <w:szCs w:val="24"/>
              </w:rPr>
            </w:pPr>
            <w:r w:rsidRPr="00384EEC">
              <w:rPr>
                <w:rFonts w:hAnsi="Times New Roman" w:cs="Times New Roman"/>
                <w:szCs w:val="24"/>
              </w:rPr>
              <w:t xml:space="preserve">2000 </w:t>
            </w:r>
          </w:p>
        </w:tc>
        <w:tc>
          <w:tcPr>
            <w:tcW w:w="1337" w:type="dxa"/>
          </w:tcPr>
          <w:p w14:paraId="62BCAC71" w14:textId="77777777" w:rsidR="00735226" w:rsidRPr="00384EEC" w:rsidRDefault="00735226" w:rsidP="00646849">
            <w:pPr>
              <w:pStyle w:val="P68B1DB1-TableParagraph7"/>
              <w:spacing w:line="256" w:lineRule="exact"/>
              <w:ind w:left="12" w:right="5"/>
              <w:rPr>
                <w:rFonts w:hAnsi="Times New Roman" w:cs="Times New Roman"/>
                <w:szCs w:val="24"/>
              </w:rPr>
            </w:pPr>
            <w:r w:rsidRPr="00384EEC">
              <w:rPr>
                <w:rFonts w:hAnsi="Times New Roman" w:cs="Times New Roman"/>
                <w:szCs w:val="24"/>
              </w:rPr>
              <w:t xml:space="preserve">4 </w:t>
            </w:r>
          </w:p>
        </w:tc>
      </w:tr>
      <w:tr w:rsidR="00735226" w:rsidRPr="00735226" w14:paraId="54DBBAC7" w14:textId="77777777" w:rsidTr="00384EEC">
        <w:trPr>
          <w:trHeight w:val="276"/>
          <w:jc w:val="center"/>
        </w:trPr>
        <w:tc>
          <w:tcPr>
            <w:tcW w:w="2547" w:type="dxa"/>
          </w:tcPr>
          <w:p w14:paraId="0833F4F5" w14:textId="0EC27AC9" w:rsidR="00735226" w:rsidRPr="00384EEC" w:rsidRDefault="00735226">
            <w:pPr>
              <w:pStyle w:val="P68B1DB1-TableParagraph7"/>
              <w:spacing w:line="256" w:lineRule="exact"/>
              <w:ind w:left="7"/>
              <w:rPr>
                <w:rFonts w:hAnsi="Times New Roman" w:cs="Times New Roman"/>
                <w:szCs w:val="24"/>
              </w:rPr>
            </w:pPr>
            <w:r w:rsidRPr="00384EEC">
              <w:rPr>
                <w:rFonts w:hAnsi="Times New Roman" w:cs="Times New Roman"/>
                <w:szCs w:val="24"/>
              </w:rPr>
              <w:t>1.38</w:t>
            </w:r>
            <w:r>
              <w:rPr>
                <w:rFonts w:hAnsi="Times New Roman" w:cs="Times New Roman"/>
                <w:szCs w:val="24"/>
              </w:rPr>
              <w:t>-</w:t>
            </w:r>
            <w:r w:rsidRPr="00384EEC">
              <w:rPr>
                <w:rFonts w:hAnsi="Times New Roman" w:cs="Times New Roman"/>
                <w:szCs w:val="24"/>
              </w:rPr>
              <w:t xml:space="preserve">1.60 </w:t>
            </w:r>
          </w:p>
        </w:tc>
        <w:tc>
          <w:tcPr>
            <w:tcW w:w="2126" w:type="dxa"/>
          </w:tcPr>
          <w:p w14:paraId="4C4912AD" w14:textId="1D877F6A" w:rsidR="00735226" w:rsidRPr="00384EEC" w:rsidRDefault="00735226" w:rsidP="00646849">
            <w:pPr>
              <w:pStyle w:val="P68B1DB1-TableParagraph7"/>
              <w:spacing w:line="256" w:lineRule="exact"/>
              <w:ind w:left="12" w:right="5"/>
              <w:rPr>
                <w:rFonts w:hAnsi="Times New Roman" w:cs="Times New Roman"/>
                <w:szCs w:val="24"/>
              </w:rPr>
            </w:pPr>
            <w:r w:rsidRPr="00384EEC">
              <w:rPr>
                <w:rFonts w:hAnsi="Times New Roman" w:cs="Times New Roman"/>
                <w:szCs w:val="24"/>
              </w:rPr>
              <w:t xml:space="preserve">3000 </w:t>
            </w:r>
          </w:p>
        </w:tc>
        <w:tc>
          <w:tcPr>
            <w:tcW w:w="1418" w:type="dxa"/>
          </w:tcPr>
          <w:p w14:paraId="2A5E4F1D" w14:textId="77777777" w:rsidR="00735226" w:rsidRPr="00384EEC" w:rsidRDefault="00735226" w:rsidP="00646849">
            <w:pPr>
              <w:pStyle w:val="P68B1DB1-TableParagraph7"/>
              <w:spacing w:line="256" w:lineRule="exact"/>
              <w:ind w:left="10"/>
              <w:rPr>
                <w:rFonts w:hAnsi="Times New Roman" w:cs="Times New Roman"/>
                <w:szCs w:val="24"/>
              </w:rPr>
            </w:pPr>
            <w:r w:rsidRPr="00384EEC">
              <w:rPr>
                <w:rFonts w:hAnsi="Times New Roman" w:cs="Times New Roman"/>
                <w:szCs w:val="24"/>
              </w:rPr>
              <w:t xml:space="preserve">6 </w:t>
            </w:r>
          </w:p>
        </w:tc>
        <w:tc>
          <w:tcPr>
            <w:tcW w:w="1701" w:type="dxa"/>
          </w:tcPr>
          <w:p w14:paraId="7F0DE452" w14:textId="77777777" w:rsidR="00735226" w:rsidRPr="00384EEC" w:rsidRDefault="00735226" w:rsidP="00646849">
            <w:pPr>
              <w:pStyle w:val="P68B1DB1-TableParagraph7"/>
              <w:spacing w:line="256" w:lineRule="exact"/>
              <w:ind w:left="13" w:right="5"/>
              <w:rPr>
                <w:rFonts w:hAnsi="Times New Roman" w:cs="Times New Roman"/>
                <w:szCs w:val="24"/>
              </w:rPr>
            </w:pPr>
            <w:r w:rsidRPr="00384EEC">
              <w:rPr>
                <w:rFonts w:hAnsi="Times New Roman" w:cs="Times New Roman"/>
                <w:szCs w:val="24"/>
              </w:rPr>
              <w:t xml:space="preserve">2500 </w:t>
            </w:r>
          </w:p>
        </w:tc>
        <w:tc>
          <w:tcPr>
            <w:tcW w:w="1337" w:type="dxa"/>
          </w:tcPr>
          <w:p w14:paraId="52FD275B" w14:textId="77777777" w:rsidR="00735226" w:rsidRPr="00384EEC" w:rsidRDefault="00735226" w:rsidP="00646849">
            <w:pPr>
              <w:pStyle w:val="P68B1DB1-TableParagraph7"/>
              <w:spacing w:line="256" w:lineRule="exact"/>
              <w:ind w:left="12" w:right="5"/>
              <w:rPr>
                <w:rFonts w:hAnsi="Times New Roman" w:cs="Times New Roman"/>
                <w:szCs w:val="24"/>
              </w:rPr>
            </w:pPr>
            <w:r w:rsidRPr="00384EEC">
              <w:rPr>
                <w:rFonts w:hAnsi="Times New Roman" w:cs="Times New Roman"/>
                <w:szCs w:val="24"/>
              </w:rPr>
              <w:t xml:space="preserve">5 </w:t>
            </w:r>
          </w:p>
        </w:tc>
      </w:tr>
      <w:tr w:rsidR="00735226" w:rsidRPr="00735226" w14:paraId="189C8BA3" w14:textId="77777777" w:rsidTr="00384EEC">
        <w:trPr>
          <w:trHeight w:val="275"/>
          <w:jc w:val="center"/>
        </w:trPr>
        <w:tc>
          <w:tcPr>
            <w:tcW w:w="2547" w:type="dxa"/>
          </w:tcPr>
          <w:p w14:paraId="0C9953A4" w14:textId="3C13B2EF" w:rsidR="00735226" w:rsidRPr="00384EEC" w:rsidRDefault="00735226">
            <w:pPr>
              <w:pStyle w:val="P68B1DB1-TableParagraph7"/>
              <w:spacing w:line="256" w:lineRule="exact"/>
              <w:ind w:left="7"/>
              <w:rPr>
                <w:rFonts w:hAnsi="Times New Roman" w:cs="Times New Roman"/>
                <w:szCs w:val="24"/>
              </w:rPr>
            </w:pPr>
            <w:r w:rsidRPr="00384EEC">
              <w:rPr>
                <w:rFonts w:hAnsi="Times New Roman" w:cs="Times New Roman"/>
                <w:szCs w:val="24"/>
              </w:rPr>
              <w:t>1.61</w:t>
            </w:r>
            <w:r>
              <w:rPr>
                <w:rFonts w:hAnsi="Times New Roman" w:cs="Times New Roman"/>
                <w:szCs w:val="24"/>
              </w:rPr>
              <w:t>-</w:t>
            </w:r>
            <w:r w:rsidRPr="00384EEC">
              <w:rPr>
                <w:rFonts w:hAnsi="Times New Roman" w:cs="Times New Roman"/>
                <w:szCs w:val="24"/>
              </w:rPr>
              <w:t xml:space="preserve">1.87 </w:t>
            </w:r>
          </w:p>
        </w:tc>
        <w:tc>
          <w:tcPr>
            <w:tcW w:w="2126" w:type="dxa"/>
          </w:tcPr>
          <w:p w14:paraId="712A6AE7" w14:textId="30C93451" w:rsidR="00735226" w:rsidRPr="00384EEC" w:rsidRDefault="00735226" w:rsidP="00646849">
            <w:pPr>
              <w:pStyle w:val="P68B1DB1-TableParagraph7"/>
              <w:spacing w:line="256" w:lineRule="exact"/>
              <w:ind w:left="12" w:right="5"/>
              <w:rPr>
                <w:rFonts w:hAnsi="Times New Roman" w:cs="Times New Roman"/>
                <w:szCs w:val="24"/>
              </w:rPr>
            </w:pPr>
            <w:r w:rsidRPr="00384EEC">
              <w:rPr>
                <w:rFonts w:hAnsi="Times New Roman" w:cs="Times New Roman"/>
                <w:szCs w:val="24"/>
              </w:rPr>
              <w:t xml:space="preserve">3500 </w:t>
            </w:r>
          </w:p>
        </w:tc>
        <w:tc>
          <w:tcPr>
            <w:tcW w:w="1418" w:type="dxa"/>
          </w:tcPr>
          <w:p w14:paraId="03542632" w14:textId="77777777" w:rsidR="00735226" w:rsidRPr="00384EEC" w:rsidRDefault="00735226" w:rsidP="00646849">
            <w:pPr>
              <w:pStyle w:val="P68B1DB1-TableParagraph7"/>
              <w:spacing w:line="256" w:lineRule="exact"/>
              <w:ind w:left="10"/>
              <w:rPr>
                <w:rFonts w:hAnsi="Times New Roman" w:cs="Times New Roman"/>
                <w:szCs w:val="24"/>
              </w:rPr>
            </w:pPr>
            <w:r w:rsidRPr="00384EEC">
              <w:rPr>
                <w:rFonts w:hAnsi="Times New Roman" w:cs="Times New Roman"/>
                <w:szCs w:val="24"/>
              </w:rPr>
              <w:t xml:space="preserve">7 </w:t>
            </w:r>
          </w:p>
        </w:tc>
        <w:tc>
          <w:tcPr>
            <w:tcW w:w="1701" w:type="dxa"/>
          </w:tcPr>
          <w:p w14:paraId="4E49EC75" w14:textId="77777777" w:rsidR="00735226" w:rsidRPr="00384EEC" w:rsidRDefault="00735226" w:rsidP="00646849">
            <w:pPr>
              <w:pStyle w:val="P68B1DB1-TableParagraph7"/>
              <w:spacing w:line="256" w:lineRule="exact"/>
              <w:ind w:left="13" w:right="5"/>
              <w:rPr>
                <w:rFonts w:hAnsi="Times New Roman" w:cs="Times New Roman"/>
                <w:szCs w:val="24"/>
              </w:rPr>
            </w:pPr>
            <w:r w:rsidRPr="00384EEC">
              <w:rPr>
                <w:rFonts w:hAnsi="Times New Roman" w:cs="Times New Roman"/>
                <w:szCs w:val="24"/>
              </w:rPr>
              <w:t xml:space="preserve">3000 </w:t>
            </w:r>
          </w:p>
        </w:tc>
        <w:tc>
          <w:tcPr>
            <w:tcW w:w="1337" w:type="dxa"/>
          </w:tcPr>
          <w:p w14:paraId="0501295D" w14:textId="77777777" w:rsidR="00735226" w:rsidRPr="00384EEC" w:rsidRDefault="00735226" w:rsidP="00646849">
            <w:pPr>
              <w:pStyle w:val="P68B1DB1-TableParagraph7"/>
              <w:spacing w:line="256" w:lineRule="exact"/>
              <w:ind w:left="12" w:right="5"/>
              <w:rPr>
                <w:rFonts w:hAnsi="Times New Roman" w:cs="Times New Roman"/>
                <w:szCs w:val="24"/>
              </w:rPr>
            </w:pPr>
            <w:r w:rsidRPr="00384EEC">
              <w:rPr>
                <w:rFonts w:hAnsi="Times New Roman" w:cs="Times New Roman"/>
                <w:szCs w:val="24"/>
              </w:rPr>
              <w:t xml:space="preserve">6 </w:t>
            </w:r>
          </w:p>
        </w:tc>
      </w:tr>
      <w:tr w:rsidR="00735226" w:rsidRPr="00735226" w14:paraId="13478DBE" w14:textId="77777777" w:rsidTr="00384EEC">
        <w:trPr>
          <w:trHeight w:val="276"/>
          <w:jc w:val="center"/>
        </w:trPr>
        <w:tc>
          <w:tcPr>
            <w:tcW w:w="2547" w:type="dxa"/>
          </w:tcPr>
          <w:p w14:paraId="48A59E31" w14:textId="59BFEE21" w:rsidR="00735226" w:rsidRPr="00384EEC" w:rsidRDefault="00735226">
            <w:pPr>
              <w:pStyle w:val="P68B1DB1-TableParagraph7"/>
              <w:spacing w:line="256" w:lineRule="exact"/>
              <w:ind w:left="7"/>
              <w:rPr>
                <w:rFonts w:hAnsi="Times New Roman" w:cs="Times New Roman"/>
                <w:szCs w:val="24"/>
              </w:rPr>
            </w:pPr>
            <w:r w:rsidRPr="00384EEC">
              <w:rPr>
                <w:rFonts w:hAnsi="Times New Roman" w:cs="Times New Roman"/>
                <w:szCs w:val="24"/>
              </w:rPr>
              <w:t>1.88</w:t>
            </w:r>
            <w:r>
              <w:rPr>
                <w:rFonts w:hAnsi="Times New Roman" w:cs="Times New Roman"/>
                <w:szCs w:val="24"/>
              </w:rPr>
              <w:t>-</w:t>
            </w:r>
            <w:r w:rsidRPr="00384EEC">
              <w:rPr>
                <w:rFonts w:hAnsi="Times New Roman" w:cs="Times New Roman"/>
                <w:szCs w:val="24"/>
              </w:rPr>
              <w:t xml:space="preserve">2.13 </w:t>
            </w:r>
          </w:p>
        </w:tc>
        <w:tc>
          <w:tcPr>
            <w:tcW w:w="2126" w:type="dxa"/>
          </w:tcPr>
          <w:p w14:paraId="14B29D90" w14:textId="4C84517B" w:rsidR="00735226" w:rsidRPr="00384EEC" w:rsidRDefault="00735226" w:rsidP="00646849">
            <w:pPr>
              <w:pStyle w:val="P68B1DB1-TableParagraph7"/>
              <w:spacing w:line="256" w:lineRule="exact"/>
              <w:ind w:left="12" w:right="5"/>
              <w:rPr>
                <w:rFonts w:hAnsi="Times New Roman" w:cs="Times New Roman"/>
                <w:szCs w:val="24"/>
              </w:rPr>
            </w:pPr>
            <w:r w:rsidRPr="00384EEC">
              <w:rPr>
                <w:rFonts w:hAnsi="Times New Roman" w:cs="Times New Roman"/>
                <w:szCs w:val="24"/>
              </w:rPr>
              <w:t xml:space="preserve">4000 </w:t>
            </w:r>
          </w:p>
        </w:tc>
        <w:tc>
          <w:tcPr>
            <w:tcW w:w="1418" w:type="dxa"/>
          </w:tcPr>
          <w:p w14:paraId="23535609" w14:textId="77777777" w:rsidR="00735226" w:rsidRPr="00384EEC" w:rsidRDefault="00735226" w:rsidP="00646849">
            <w:pPr>
              <w:pStyle w:val="P68B1DB1-TableParagraph7"/>
              <w:spacing w:line="256" w:lineRule="exact"/>
              <w:ind w:left="10"/>
              <w:rPr>
                <w:rFonts w:hAnsi="Times New Roman" w:cs="Times New Roman"/>
                <w:szCs w:val="24"/>
              </w:rPr>
            </w:pPr>
            <w:r w:rsidRPr="00384EEC">
              <w:rPr>
                <w:rFonts w:hAnsi="Times New Roman" w:cs="Times New Roman"/>
                <w:szCs w:val="24"/>
              </w:rPr>
              <w:t xml:space="preserve">8 </w:t>
            </w:r>
          </w:p>
        </w:tc>
        <w:tc>
          <w:tcPr>
            <w:tcW w:w="1701" w:type="dxa"/>
          </w:tcPr>
          <w:p w14:paraId="4F185E00" w14:textId="77777777" w:rsidR="00735226" w:rsidRPr="00384EEC" w:rsidRDefault="00735226" w:rsidP="00646849">
            <w:pPr>
              <w:pStyle w:val="P68B1DB1-TableParagraph7"/>
              <w:spacing w:line="256" w:lineRule="exact"/>
              <w:ind w:left="13" w:right="5"/>
              <w:rPr>
                <w:rFonts w:hAnsi="Times New Roman" w:cs="Times New Roman"/>
                <w:szCs w:val="24"/>
              </w:rPr>
            </w:pPr>
            <w:r w:rsidRPr="00384EEC">
              <w:rPr>
                <w:rFonts w:hAnsi="Times New Roman" w:cs="Times New Roman"/>
                <w:szCs w:val="24"/>
              </w:rPr>
              <w:t xml:space="preserve">3500 </w:t>
            </w:r>
          </w:p>
        </w:tc>
        <w:tc>
          <w:tcPr>
            <w:tcW w:w="1337" w:type="dxa"/>
          </w:tcPr>
          <w:p w14:paraId="74DB11D2" w14:textId="77777777" w:rsidR="00735226" w:rsidRPr="00384EEC" w:rsidRDefault="00735226" w:rsidP="00646849">
            <w:pPr>
              <w:pStyle w:val="P68B1DB1-TableParagraph7"/>
              <w:spacing w:line="256" w:lineRule="exact"/>
              <w:ind w:left="12" w:right="5"/>
              <w:rPr>
                <w:rFonts w:hAnsi="Times New Roman" w:cs="Times New Roman"/>
                <w:szCs w:val="24"/>
              </w:rPr>
            </w:pPr>
            <w:r w:rsidRPr="00384EEC">
              <w:rPr>
                <w:rFonts w:hAnsi="Times New Roman" w:cs="Times New Roman"/>
                <w:szCs w:val="24"/>
              </w:rPr>
              <w:t xml:space="preserve">7 </w:t>
            </w:r>
          </w:p>
        </w:tc>
      </w:tr>
      <w:tr w:rsidR="00735226" w:rsidRPr="00735226" w14:paraId="4ED92666" w14:textId="77777777" w:rsidTr="00384EEC">
        <w:trPr>
          <w:trHeight w:val="275"/>
          <w:jc w:val="center"/>
        </w:trPr>
        <w:tc>
          <w:tcPr>
            <w:tcW w:w="2547" w:type="dxa"/>
          </w:tcPr>
          <w:p w14:paraId="3B156D98" w14:textId="77777777" w:rsidR="00735226" w:rsidRPr="00384EEC" w:rsidRDefault="00735226" w:rsidP="00646849">
            <w:pPr>
              <w:pStyle w:val="P68B1DB1-TableParagraph19"/>
              <w:spacing w:line="256" w:lineRule="exact"/>
              <w:ind w:left="7"/>
              <w:rPr>
                <w:rFonts w:cs="Times New Roman"/>
                <w:szCs w:val="24"/>
              </w:rPr>
            </w:pPr>
            <w:r w:rsidRPr="00384EEC">
              <w:rPr>
                <w:rFonts w:cs="Times New Roman"/>
                <w:szCs w:val="24"/>
              </w:rPr>
              <w:t xml:space="preserve">≥ 2.14 </w:t>
            </w:r>
          </w:p>
        </w:tc>
        <w:tc>
          <w:tcPr>
            <w:tcW w:w="2126" w:type="dxa"/>
          </w:tcPr>
          <w:p w14:paraId="401A2334" w14:textId="4D06E58A" w:rsidR="00735226" w:rsidRPr="00384EEC" w:rsidRDefault="00735226" w:rsidP="00646849">
            <w:pPr>
              <w:pStyle w:val="P68B1DB1-TableParagraph7"/>
              <w:spacing w:line="256" w:lineRule="exact"/>
              <w:ind w:left="12" w:right="5"/>
              <w:rPr>
                <w:rFonts w:hAnsi="Times New Roman" w:cs="Times New Roman"/>
                <w:szCs w:val="24"/>
              </w:rPr>
            </w:pPr>
            <w:r w:rsidRPr="00384EEC">
              <w:rPr>
                <w:rFonts w:hAnsi="Times New Roman" w:cs="Times New Roman"/>
                <w:szCs w:val="24"/>
              </w:rPr>
              <w:t xml:space="preserve">4500 </w:t>
            </w:r>
          </w:p>
        </w:tc>
        <w:tc>
          <w:tcPr>
            <w:tcW w:w="1418" w:type="dxa"/>
          </w:tcPr>
          <w:p w14:paraId="45C56A91" w14:textId="77777777" w:rsidR="00735226" w:rsidRPr="00384EEC" w:rsidRDefault="00735226" w:rsidP="00646849">
            <w:pPr>
              <w:pStyle w:val="P68B1DB1-TableParagraph7"/>
              <w:spacing w:line="256" w:lineRule="exact"/>
              <w:ind w:left="10"/>
              <w:rPr>
                <w:rFonts w:hAnsi="Times New Roman" w:cs="Times New Roman"/>
                <w:szCs w:val="24"/>
              </w:rPr>
            </w:pPr>
            <w:r w:rsidRPr="00384EEC">
              <w:rPr>
                <w:rFonts w:hAnsi="Times New Roman" w:cs="Times New Roman"/>
                <w:szCs w:val="24"/>
              </w:rPr>
              <w:t xml:space="preserve">9 </w:t>
            </w:r>
          </w:p>
        </w:tc>
        <w:tc>
          <w:tcPr>
            <w:tcW w:w="1701" w:type="dxa"/>
          </w:tcPr>
          <w:p w14:paraId="41960D00" w14:textId="77777777" w:rsidR="00735226" w:rsidRPr="00384EEC" w:rsidRDefault="00735226" w:rsidP="00646849">
            <w:pPr>
              <w:pStyle w:val="P68B1DB1-TableParagraph7"/>
              <w:spacing w:line="256" w:lineRule="exact"/>
              <w:ind w:left="13" w:right="5"/>
              <w:rPr>
                <w:rFonts w:hAnsi="Times New Roman" w:cs="Times New Roman"/>
                <w:szCs w:val="24"/>
              </w:rPr>
            </w:pPr>
            <w:r w:rsidRPr="00384EEC">
              <w:rPr>
                <w:rFonts w:hAnsi="Times New Roman" w:cs="Times New Roman"/>
                <w:szCs w:val="24"/>
              </w:rPr>
              <w:t xml:space="preserve">4000 </w:t>
            </w:r>
          </w:p>
        </w:tc>
        <w:tc>
          <w:tcPr>
            <w:tcW w:w="1337" w:type="dxa"/>
          </w:tcPr>
          <w:p w14:paraId="347D880D" w14:textId="77777777" w:rsidR="00735226" w:rsidRPr="00384EEC" w:rsidRDefault="00735226" w:rsidP="00646849">
            <w:pPr>
              <w:pStyle w:val="P68B1DB1-TableParagraph7"/>
              <w:spacing w:line="256" w:lineRule="exact"/>
              <w:ind w:left="12" w:right="5"/>
              <w:rPr>
                <w:rFonts w:hAnsi="Times New Roman" w:cs="Times New Roman"/>
                <w:szCs w:val="24"/>
              </w:rPr>
            </w:pPr>
            <w:r w:rsidRPr="00384EEC">
              <w:rPr>
                <w:rFonts w:hAnsi="Times New Roman" w:cs="Times New Roman"/>
                <w:szCs w:val="24"/>
              </w:rPr>
              <w:t xml:space="preserve">8 </w:t>
            </w:r>
          </w:p>
        </w:tc>
      </w:tr>
    </w:tbl>
    <w:p w14:paraId="37A0F49A" w14:textId="49E4259F" w:rsidR="00735226" w:rsidRPr="00384EEC" w:rsidRDefault="00735226" w:rsidP="00384EEC">
      <w:pPr>
        <w:pStyle w:val="P68B1DB1-Normal39"/>
        <w:spacing w:before="364"/>
        <w:ind w:right="394"/>
        <w:jc w:val="center"/>
        <w:rPr>
          <w:rFonts w:ascii="Times New Roman" w:eastAsia="微软雅黑" w:hAnsi="Times New Roman" w:cs="Times New Roman"/>
          <w:b w:val="0"/>
          <w:sz w:val="24"/>
          <w:szCs w:val="24"/>
        </w:rPr>
      </w:pPr>
      <w:r w:rsidRPr="00384EEC">
        <w:rPr>
          <w:rFonts w:ascii="Times New Roman" w:eastAsia="微软雅黑" w:hAnsi="Times New Roman" w:cs="Times New Roman"/>
          <w:b w:val="0"/>
          <w:sz w:val="24"/>
          <w:szCs w:val="24"/>
        </w:rPr>
        <w:t>Table 5.2-2 Dose Modification for Capecitabine (1000 mg/</w:t>
      </w:r>
      <w:r w:rsidRPr="00735226">
        <w:rPr>
          <w:rFonts w:ascii="Times New Roman" w:eastAsia="微软雅黑" w:hAnsi="Times New Roman" w:cs="Times New Roman"/>
          <w:b w:val="0"/>
          <w:sz w:val="24"/>
          <w:szCs w:val="24"/>
        </w:rPr>
        <w:t xml:space="preserve"> </w:t>
      </w:r>
      <w:r w:rsidRPr="00C969E2">
        <w:rPr>
          <w:rFonts w:ascii="Times New Roman" w:eastAsia="微软雅黑" w:hAnsi="Times New Roman" w:cs="Times New Roman"/>
          <w:b w:val="0"/>
          <w:sz w:val="24"/>
          <w:szCs w:val="24"/>
        </w:rPr>
        <w:t>m</w:t>
      </w:r>
      <w:r w:rsidRPr="00C969E2">
        <w:rPr>
          <w:rFonts w:ascii="Times New Roman" w:eastAsia="微软雅黑" w:hAnsi="Times New Roman" w:cs="Times New Roman"/>
          <w:b w:val="0"/>
          <w:sz w:val="24"/>
          <w:szCs w:val="24"/>
          <w:vertAlign w:val="superscript"/>
        </w:rPr>
        <w:t>2</w:t>
      </w:r>
      <w:r w:rsidRPr="00384EEC">
        <w:rPr>
          <w:rFonts w:ascii="Times New Roman" w:eastAsia="微软雅黑" w:hAnsi="Times New Roman" w:cs="Times New Roman"/>
          <w:b w:val="0"/>
          <w:sz w:val="24"/>
          <w:szCs w:val="24"/>
        </w:rPr>
        <w:t xml:space="preserve">) </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2"/>
        <w:gridCol w:w="2552"/>
        <w:gridCol w:w="1559"/>
        <w:gridCol w:w="1559"/>
        <w:gridCol w:w="1701"/>
      </w:tblGrid>
      <w:tr w:rsidR="00735226" w:rsidRPr="00735226" w14:paraId="1535D3BE" w14:textId="77777777" w:rsidTr="00384EEC">
        <w:trPr>
          <w:trHeight w:val="623"/>
          <w:jc w:val="center"/>
        </w:trPr>
        <w:tc>
          <w:tcPr>
            <w:tcW w:w="1842" w:type="dxa"/>
            <w:vMerge w:val="restart"/>
          </w:tcPr>
          <w:p w14:paraId="590F2785" w14:textId="2419A404" w:rsidR="00735226" w:rsidRPr="00384EEC" w:rsidRDefault="00735226" w:rsidP="00384EEC">
            <w:pPr>
              <w:pStyle w:val="P68B1DB1-TableParagraph16"/>
              <w:spacing w:before="107" w:line="362" w:lineRule="exact"/>
              <w:ind w:left="154"/>
              <w:jc w:val="left"/>
              <w:rPr>
                <w:rFonts w:ascii="Times New Roman" w:hAnsi="Times New Roman" w:cs="Times New Roman"/>
                <w:b w:val="0"/>
                <w:szCs w:val="24"/>
              </w:rPr>
            </w:pPr>
            <w:r w:rsidRPr="00384EEC">
              <w:rPr>
                <w:rFonts w:ascii="Times New Roman" w:hAnsi="Times New Roman" w:cs="Times New Roman"/>
                <w:b w:val="0"/>
                <w:szCs w:val="24"/>
              </w:rPr>
              <w:t>Body surface area (</w:t>
            </w:r>
            <w:r w:rsidRPr="00C969E2">
              <w:rPr>
                <w:rFonts w:ascii="Times New Roman" w:hAnsi="Times New Roman" w:cs="Times New Roman"/>
                <w:b w:val="0"/>
                <w:szCs w:val="24"/>
              </w:rPr>
              <w:t>m</w:t>
            </w:r>
            <w:r w:rsidRPr="00C969E2">
              <w:rPr>
                <w:rFonts w:ascii="Times New Roman" w:hAnsi="Times New Roman" w:cs="Times New Roman"/>
                <w:b w:val="0"/>
                <w:szCs w:val="24"/>
                <w:vertAlign w:val="superscript"/>
              </w:rPr>
              <w:t>2</w:t>
            </w:r>
            <w:r w:rsidRPr="00384EEC">
              <w:rPr>
                <w:rFonts w:ascii="Times New Roman" w:eastAsia="Times New Roman" w:hAnsi="Times New Roman" w:cs="Times New Roman"/>
                <w:b w:val="0"/>
                <w:position w:val="8"/>
                <w:szCs w:val="24"/>
              </w:rPr>
              <w:t xml:space="preserve"> </w:t>
            </w:r>
            <w:r w:rsidRPr="00384EEC">
              <w:rPr>
                <w:rFonts w:ascii="Times New Roman" w:hAnsi="Times New Roman" w:cs="Times New Roman"/>
                <w:b w:val="0"/>
                <w:szCs w:val="24"/>
              </w:rPr>
              <w:t xml:space="preserve">) </w:t>
            </w:r>
          </w:p>
        </w:tc>
        <w:tc>
          <w:tcPr>
            <w:tcW w:w="2552" w:type="dxa"/>
          </w:tcPr>
          <w:p w14:paraId="0A3C4D1F" w14:textId="2E2F60FB" w:rsidR="00735226" w:rsidRPr="00384EEC" w:rsidRDefault="00735226" w:rsidP="00384EEC">
            <w:pPr>
              <w:pStyle w:val="P68B1DB1-TableParagraph16"/>
              <w:spacing w:line="308" w:lineRule="exact"/>
              <w:ind w:left="625"/>
              <w:jc w:val="left"/>
              <w:rPr>
                <w:rFonts w:ascii="Times New Roman" w:hAnsi="Times New Roman" w:cs="Times New Roman"/>
                <w:b w:val="0"/>
                <w:szCs w:val="24"/>
              </w:rPr>
            </w:pPr>
            <w:r w:rsidRPr="00384EEC">
              <w:rPr>
                <w:rFonts w:ascii="Times New Roman" w:hAnsi="Times New Roman" w:cs="Times New Roman"/>
                <w:b w:val="0"/>
                <w:szCs w:val="24"/>
              </w:rPr>
              <w:t>Starting dose level (1000 mg/</w:t>
            </w:r>
            <w:r w:rsidRPr="00C969E2">
              <w:rPr>
                <w:rFonts w:ascii="Times New Roman" w:hAnsi="Times New Roman" w:cs="Times New Roman"/>
                <w:b w:val="0"/>
                <w:szCs w:val="24"/>
              </w:rPr>
              <w:t xml:space="preserve"> m</w:t>
            </w:r>
            <w:r w:rsidRPr="00C969E2">
              <w:rPr>
                <w:rFonts w:ascii="Times New Roman" w:hAnsi="Times New Roman" w:cs="Times New Roman"/>
                <w:b w:val="0"/>
                <w:szCs w:val="24"/>
                <w:vertAlign w:val="superscript"/>
              </w:rPr>
              <w:t>2</w:t>
            </w:r>
            <w:r w:rsidRPr="00384EEC">
              <w:rPr>
                <w:rFonts w:ascii="Times New Roman" w:hAnsi="Times New Roman" w:cs="Times New Roman"/>
                <w:b w:val="0"/>
                <w:szCs w:val="24"/>
              </w:rPr>
              <w:t xml:space="preserve">) </w:t>
            </w:r>
          </w:p>
        </w:tc>
        <w:tc>
          <w:tcPr>
            <w:tcW w:w="1559" w:type="dxa"/>
          </w:tcPr>
          <w:p w14:paraId="466742C0" w14:textId="1995D8CE" w:rsidR="00735226" w:rsidRPr="00384EEC" w:rsidRDefault="00735226" w:rsidP="00033221">
            <w:pPr>
              <w:pStyle w:val="P68B1DB1-TableParagraph40"/>
              <w:spacing w:before="102"/>
              <w:ind w:left="10"/>
              <w:rPr>
                <w:rFonts w:ascii="Times New Roman" w:eastAsia="Times New Roman" w:hAnsi="Times New Roman" w:cs="Times New Roman"/>
                <w:b w:val="0"/>
                <w:szCs w:val="24"/>
              </w:rPr>
            </w:pPr>
            <w:r w:rsidRPr="00384EEC">
              <w:rPr>
                <w:rFonts w:ascii="Times New Roman" w:eastAsia="微软雅黑" w:hAnsi="Times New Roman" w:cs="Times New Roman"/>
                <w:b w:val="0"/>
                <w:szCs w:val="24"/>
              </w:rPr>
              <w:t xml:space="preserve">Dose </w:t>
            </w:r>
            <w:r w:rsidR="00033221">
              <w:rPr>
                <w:rFonts w:ascii="Times New Roman" w:eastAsia="微软雅黑" w:hAnsi="Times New Roman" w:cs="Times New Roman"/>
                <w:b w:val="0"/>
                <w:szCs w:val="24"/>
              </w:rPr>
              <w:t>m</w:t>
            </w:r>
            <w:r w:rsidRPr="00384EEC">
              <w:rPr>
                <w:rFonts w:ascii="Times New Roman" w:eastAsia="微软雅黑" w:hAnsi="Times New Roman" w:cs="Times New Roman"/>
                <w:b w:val="0"/>
                <w:szCs w:val="24"/>
              </w:rPr>
              <w:t xml:space="preserve">odification </w:t>
            </w:r>
            <w:r w:rsidRPr="00384EEC">
              <w:rPr>
                <w:rFonts w:ascii="Times New Roman" w:eastAsia="Times New Roman" w:hAnsi="Times New Roman" w:cs="Times New Roman"/>
                <w:b w:val="0"/>
                <w:szCs w:val="24"/>
              </w:rPr>
              <w:t xml:space="preserve">1 </w:t>
            </w:r>
          </w:p>
        </w:tc>
        <w:tc>
          <w:tcPr>
            <w:tcW w:w="1559" w:type="dxa"/>
          </w:tcPr>
          <w:p w14:paraId="0278AB34" w14:textId="5646DC17" w:rsidR="00735226" w:rsidRPr="00384EEC" w:rsidRDefault="00735226" w:rsidP="00033221">
            <w:pPr>
              <w:pStyle w:val="P68B1DB1-TableParagraph40"/>
              <w:spacing w:before="102"/>
              <w:ind w:left="9" w:right="3"/>
              <w:rPr>
                <w:rFonts w:ascii="Times New Roman" w:eastAsia="Times New Roman" w:hAnsi="Times New Roman" w:cs="Times New Roman"/>
                <w:b w:val="0"/>
                <w:szCs w:val="24"/>
              </w:rPr>
            </w:pPr>
            <w:r w:rsidRPr="00384EEC">
              <w:rPr>
                <w:rFonts w:ascii="Times New Roman" w:eastAsia="微软雅黑" w:hAnsi="Times New Roman" w:cs="Times New Roman"/>
                <w:b w:val="0"/>
                <w:szCs w:val="24"/>
              </w:rPr>
              <w:t xml:space="preserve">Dose </w:t>
            </w:r>
            <w:r w:rsidR="00033221">
              <w:rPr>
                <w:rFonts w:ascii="Times New Roman" w:eastAsia="微软雅黑" w:hAnsi="Times New Roman" w:cs="Times New Roman"/>
                <w:b w:val="0"/>
                <w:szCs w:val="24"/>
              </w:rPr>
              <w:t>m</w:t>
            </w:r>
            <w:r w:rsidRPr="00384EEC">
              <w:rPr>
                <w:rFonts w:ascii="Times New Roman" w:eastAsia="微软雅黑" w:hAnsi="Times New Roman" w:cs="Times New Roman"/>
                <w:b w:val="0"/>
                <w:szCs w:val="24"/>
              </w:rPr>
              <w:t xml:space="preserve">odification </w:t>
            </w:r>
            <w:r w:rsidRPr="00384EEC">
              <w:rPr>
                <w:rFonts w:ascii="Times New Roman" w:eastAsia="Times New Roman" w:hAnsi="Times New Roman" w:cs="Times New Roman"/>
                <w:b w:val="0"/>
                <w:szCs w:val="24"/>
              </w:rPr>
              <w:t xml:space="preserve">2 </w:t>
            </w:r>
          </w:p>
        </w:tc>
        <w:tc>
          <w:tcPr>
            <w:tcW w:w="1701" w:type="dxa"/>
          </w:tcPr>
          <w:p w14:paraId="6A4C8922" w14:textId="2D4121B8" w:rsidR="00735226" w:rsidRPr="00384EEC" w:rsidRDefault="00735226" w:rsidP="00033221">
            <w:pPr>
              <w:pStyle w:val="P68B1DB1-TableParagraph40"/>
              <w:spacing w:before="102"/>
              <w:ind w:left="11" w:right="2"/>
              <w:rPr>
                <w:rFonts w:ascii="Times New Roman" w:eastAsia="Times New Roman" w:hAnsi="Times New Roman" w:cs="Times New Roman"/>
                <w:b w:val="0"/>
                <w:szCs w:val="24"/>
              </w:rPr>
            </w:pPr>
            <w:r w:rsidRPr="00384EEC">
              <w:rPr>
                <w:rFonts w:ascii="Times New Roman" w:eastAsia="微软雅黑" w:hAnsi="Times New Roman" w:cs="Times New Roman"/>
                <w:b w:val="0"/>
                <w:szCs w:val="24"/>
              </w:rPr>
              <w:t xml:space="preserve">Dose </w:t>
            </w:r>
            <w:r w:rsidR="00033221">
              <w:rPr>
                <w:rFonts w:ascii="Times New Roman" w:eastAsia="微软雅黑" w:hAnsi="Times New Roman" w:cs="Times New Roman"/>
                <w:b w:val="0"/>
                <w:szCs w:val="24"/>
              </w:rPr>
              <w:t>m</w:t>
            </w:r>
            <w:r w:rsidRPr="00384EEC">
              <w:rPr>
                <w:rFonts w:ascii="Times New Roman" w:eastAsia="微软雅黑" w:hAnsi="Times New Roman" w:cs="Times New Roman"/>
                <w:b w:val="0"/>
                <w:szCs w:val="24"/>
              </w:rPr>
              <w:t xml:space="preserve">odification </w:t>
            </w:r>
            <w:r w:rsidRPr="00384EEC">
              <w:rPr>
                <w:rFonts w:ascii="Times New Roman" w:eastAsia="Times New Roman" w:hAnsi="Times New Roman" w:cs="Times New Roman"/>
                <w:b w:val="0"/>
                <w:szCs w:val="24"/>
              </w:rPr>
              <w:t xml:space="preserve">3 </w:t>
            </w:r>
          </w:p>
        </w:tc>
      </w:tr>
      <w:tr w:rsidR="00735226" w:rsidRPr="00735226" w14:paraId="1BE2F34F" w14:textId="77777777" w:rsidTr="00384EEC">
        <w:trPr>
          <w:trHeight w:val="312"/>
          <w:jc w:val="center"/>
        </w:trPr>
        <w:tc>
          <w:tcPr>
            <w:tcW w:w="1842" w:type="dxa"/>
            <w:vMerge/>
            <w:tcBorders>
              <w:top w:val="nil"/>
            </w:tcBorders>
          </w:tcPr>
          <w:p w14:paraId="4D08EA34" w14:textId="77777777" w:rsidR="00735226" w:rsidRPr="00384EEC" w:rsidRDefault="00735226" w:rsidP="00646849">
            <w:pPr>
              <w:rPr>
                <w:rFonts w:cs="Times New Roman"/>
                <w:szCs w:val="24"/>
              </w:rPr>
            </w:pPr>
          </w:p>
        </w:tc>
        <w:tc>
          <w:tcPr>
            <w:tcW w:w="2552" w:type="dxa"/>
          </w:tcPr>
          <w:p w14:paraId="6A0D9FFC" w14:textId="77777777" w:rsidR="00735226" w:rsidRPr="00384EEC" w:rsidRDefault="00735226" w:rsidP="00646849">
            <w:pPr>
              <w:pStyle w:val="P68B1DB1-TableParagraph38"/>
              <w:spacing w:line="292" w:lineRule="exact"/>
              <w:ind w:left="10"/>
              <w:rPr>
                <w:rFonts w:hAnsi="Times New Roman" w:cs="Times New Roman"/>
                <w:b w:val="0"/>
                <w:szCs w:val="24"/>
              </w:rPr>
            </w:pPr>
            <w:r w:rsidRPr="00384EEC">
              <w:rPr>
                <w:rFonts w:hAnsi="Times New Roman" w:cs="Times New Roman"/>
                <w:b w:val="0"/>
                <w:szCs w:val="24"/>
              </w:rPr>
              <w:t xml:space="preserve">Dose (mg)/day </w:t>
            </w:r>
          </w:p>
        </w:tc>
        <w:tc>
          <w:tcPr>
            <w:tcW w:w="1559" w:type="dxa"/>
          </w:tcPr>
          <w:p w14:paraId="27BF713F" w14:textId="77777777" w:rsidR="00735226" w:rsidRPr="00384EEC" w:rsidRDefault="00735226" w:rsidP="00646849">
            <w:pPr>
              <w:pStyle w:val="P68B1DB1-TableParagraph38"/>
              <w:spacing w:line="292" w:lineRule="exact"/>
              <w:ind w:left="10"/>
              <w:rPr>
                <w:rFonts w:hAnsi="Times New Roman" w:cs="Times New Roman"/>
                <w:b w:val="0"/>
                <w:szCs w:val="24"/>
              </w:rPr>
            </w:pPr>
            <w:r w:rsidRPr="00384EEC">
              <w:rPr>
                <w:rFonts w:hAnsi="Times New Roman" w:cs="Times New Roman"/>
                <w:b w:val="0"/>
                <w:szCs w:val="24"/>
              </w:rPr>
              <w:t xml:space="preserve">Tablets/day </w:t>
            </w:r>
          </w:p>
        </w:tc>
        <w:tc>
          <w:tcPr>
            <w:tcW w:w="1559" w:type="dxa"/>
          </w:tcPr>
          <w:p w14:paraId="76684A89" w14:textId="77777777" w:rsidR="00735226" w:rsidRPr="00384EEC" w:rsidRDefault="00735226" w:rsidP="00646849">
            <w:pPr>
              <w:pStyle w:val="P68B1DB1-TableParagraph38"/>
              <w:spacing w:line="292" w:lineRule="exact"/>
              <w:ind w:left="9"/>
              <w:rPr>
                <w:rFonts w:hAnsi="Times New Roman" w:cs="Times New Roman"/>
                <w:b w:val="0"/>
                <w:szCs w:val="24"/>
              </w:rPr>
            </w:pPr>
            <w:r w:rsidRPr="00384EEC">
              <w:rPr>
                <w:rFonts w:hAnsi="Times New Roman" w:cs="Times New Roman"/>
                <w:b w:val="0"/>
                <w:szCs w:val="24"/>
              </w:rPr>
              <w:t xml:space="preserve">Tablets/day </w:t>
            </w:r>
          </w:p>
        </w:tc>
        <w:tc>
          <w:tcPr>
            <w:tcW w:w="1701" w:type="dxa"/>
          </w:tcPr>
          <w:p w14:paraId="1A006302" w14:textId="77777777" w:rsidR="00735226" w:rsidRPr="00384EEC" w:rsidRDefault="00735226" w:rsidP="00646849">
            <w:pPr>
              <w:pStyle w:val="P68B1DB1-TableParagraph38"/>
              <w:spacing w:line="292" w:lineRule="exact"/>
              <w:ind w:left="11" w:right="2"/>
              <w:rPr>
                <w:rFonts w:hAnsi="Times New Roman" w:cs="Times New Roman"/>
                <w:b w:val="0"/>
                <w:szCs w:val="24"/>
              </w:rPr>
            </w:pPr>
            <w:r w:rsidRPr="00384EEC">
              <w:rPr>
                <w:rFonts w:hAnsi="Times New Roman" w:cs="Times New Roman"/>
                <w:b w:val="0"/>
                <w:szCs w:val="24"/>
              </w:rPr>
              <w:t xml:space="preserve">Tablets/day </w:t>
            </w:r>
          </w:p>
        </w:tc>
      </w:tr>
      <w:tr w:rsidR="00735226" w:rsidRPr="00735226" w14:paraId="2EF0B47F" w14:textId="77777777" w:rsidTr="00384EEC">
        <w:trPr>
          <w:trHeight w:val="312"/>
          <w:jc w:val="center"/>
        </w:trPr>
        <w:tc>
          <w:tcPr>
            <w:tcW w:w="1842" w:type="dxa"/>
          </w:tcPr>
          <w:p w14:paraId="6C9CDE49" w14:textId="77777777" w:rsidR="00735226" w:rsidRPr="00384EEC" w:rsidRDefault="00735226" w:rsidP="00646849">
            <w:pPr>
              <w:pStyle w:val="P68B1DB1-TableParagraph19"/>
              <w:spacing w:before="17" w:line="275" w:lineRule="exact"/>
              <w:ind w:left="12" w:right="3"/>
              <w:rPr>
                <w:rFonts w:cs="Times New Roman"/>
                <w:szCs w:val="24"/>
              </w:rPr>
            </w:pPr>
            <w:r w:rsidRPr="00384EEC">
              <w:rPr>
                <w:rFonts w:cs="Times New Roman"/>
                <w:szCs w:val="24"/>
              </w:rPr>
              <w:t xml:space="preserve">≤ 1.37 </w:t>
            </w:r>
          </w:p>
        </w:tc>
        <w:tc>
          <w:tcPr>
            <w:tcW w:w="2552" w:type="dxa"/>
          </w:tcPr>
          <w:p w14:paraId="59088663" w14:textId="77777777" w:rsidR="00735226" w:rsidRPr="00384EEC" w:rsidRDefault="00735226" w:rsidP="00646849">
            <w:pPr>
              <w:pStyle w:val="P68B1DB1-TableParagraph7"/>
              <w:spacing w:before="17" w:line="275" w:lineRule="exact"/>
              <w:ind w:left="10" w:right="2"/>
              <w:rPr>
                <w:rFonts w:hAnsi="Times New Roman" w:cs="Times New Roman"/>
                <w:szCs w:val="24"/>
              </w:rPr>
            </w:pPr>
            <w:r w:rsidRPr="00384EEC">
              <w:rPr>
                <w:rFonts w:hAnsi="Times New Roman" w:cs="Times New Roman"/>
                <w:szCs w:val="24"/>
              </w:rPr>
              <w:t xml:space="preserve">2500 </w:t>
            </w:r>
          </w:p>
        </w:tc>
        <w:tc>
          <w:tcPr>
            <w:tcW w:w="1559" w:type="dxa"/>
          </w:tcPr>
          <w:p w14:paraId="37186526" w14:textId="77777777" w:rsidR="00735226" w:rsidRPr="00384EEC" w:rsidRDefault="00735226" w:rsidP="00646849">
            <w:pPr>
              <w:pStyle w:val="P68B1DB1-TableParagraph6"/>
              <w:spacing w:line="292" w:lineRule="exact"/>
              <w:ind w:left="10" w:right="3"/>
              <w:rPr>
                <w:rFonts w:ascii="Times New Roman" w:hAnsi="Times New Roman" w:cs="Times New Roman"/>
                <w:szCs w:val="24"/>
              </w:rPr>
            </w:pPr>
            <w:r w:rsidRPr="0025058B">
              <w:rPr>
                <w:rFonts w:ascii="Times New Roman" w:hAnsi="Times New Roman" w:cs="Times New Roman"/>
                <w:szCs w:val="24"/>
              </w:rPr>
              <w:t xml:space="preserve">5 </w:t>
            </w:r>
            <w:r w:rsidRPr="00384EEC">
              <w:rPr>
                <w:rFonts w:ascii="Times New Roman" w:hAnsi="Times New Roman" w:cs="Times New Roman"/>
                <w:szCs w:val="24"/>
              </w:rPr>
              <w:t xml:space="preserve">→ </w:t>
            </w:r>
            <w:r w:rsidRPr="0025058B">
              <w:rPr>
                <w:rFonts w:ascii="Times New Roman" w:hAnsi="Times New Roman" w:cs="Times New Roman"/>
                <w:szCs w:val="24"/>
              </w:rPr>
              <w:t xml:space="preserve">4 </w:t>
            </w:r>
          </w:p>
        </w:tc>
        <w:tc>
          <w:tcPr>
            <w:tcW w:w="1559" w:type="dxa"/>
          </w:tcPr>
          <w:p w14:paraId="3DED2CD6" w14:textId="77777777" w:rsidR="00735226" w:rsidRPr="00384EEC" w:rsidRDefault="00735226" w:rsidP="00646849">
            <w:pPr>
              <w:pStyle w:val="P68B1DB1-TableParagraph6"/>
              <w:spacing w:line="292" w:lineRule="exact"/>
              <w:ind w:left="9" w:right="1"/>
              <w:rPr>
                <w:rFonts w:ascii="Times New Roman" w:hAnsi="Times New Roman" w:cs="Times New Roman"/>
                <w:szCs w:val="24"/>
              </w:rPr>
            </w:pPr>
            <w:r w:rsidRPr="00384EEC">
              <w:rPr>
                <w:rFonts w:ascii="Times New Roman" w:hAnsi="Times New Roman" w:cs="Times New Roman"/>
                <w:szCs w:val="24"/>
              </w:rPr>
              <w:t xml:space="preserve">4 → </w:t>
            </w:r>
            <w:r w:rsidRPr="0025058B">
              <w:rPr>
                <w:rFonts w:ascii="Times New Roman" w:hAnsi="Times New Roman" w:cs="Times New Roman"/>
                <w:szCs w:val="24"/>
              </w:rPr>
              <w:t xml:space="preserve">3 </w:t>
            </w:r>
          </w:p>
        </w:tc>
        <w:tc>
          <w:tcPr>
            <w:tcW w:w="1701" w:type="dxa"/>
          </w:tcPr>
          <w:p w14:paraId="4EDDD2E7" w14:textId="61813A0E" w:rsidR="00735226" w:rsidRPr="00384EEC" w:rsidRDefault="00735226" w:rsidP="00646849">
            <w:pPr>
              <w:pStyle w:val="P68B1DB1-TableParagraph16"/>
              <w:spacing w:line="292" w:lineRule="exact"/>
              <w:ind w:left="11"/>
              <w:rPr>
                <w:rFonts w:ascii="Times New Roman" w:hAnsi="Times New Roman" w:cs="Times New Roman"/>
                <w:b w:val="0"/>
                <w:szCs w:val="24"/>
              </w:rPr>
            </w:pPr>
            <w:r>
              <w:rPr>
                <w:rFonts w:ascii="Times New Roman" w:hAnsi="Times New Roman" w:cs="Times New Roman"/>
                <w:b w:val="0"/>
                <w:szCs w:val="24"/>
              </w:rPr>
              <w:t>Trimination</w:t>
            </w:r>
            <w:r w:rsidRPr="00384EEC">
              <w:rPr>
                <w:rFonts w:ascii="Times New Roman" w:hAnsi="Times New Roman" w:cs="Times New Roman"/>
                <w:b w:val="0"/>
                <w:szCs w:val="24"/>
              </w:rPr>
              <w:t xml:space="preserve"> </w:t>
            </w:r>
          </w:p>
        </w:tc>
      </w:tr>
      <w:tr w:rsidR="00735226" w:rsidRPr="00735226" w14:paraId="0734B8DB" w14:textId="77777777" w:rsidTr="00384EEC">
        <w:trPr>
          <w:trHeight w:val="312"/>
          <w:jc w:val="center"/>
        </w:trPr>
        <w:tc>
          <w:tcPr>
            <w:tcW w:w="1842" w:type="dxa"/>
          </w:tcPr>
          <w:p w14:paraId="6349380A" w14:textId="749F05BE" w:rsidR="00735226" w:rsidRPr="00384EEC" w:rsidRDefault="00735226">
            <w:pPr>
              <w:pStyle w:val="P68B1DB1-TableParagraph7"/>
              <w:spacing w:before="16" w:line="275" w:lineRule="exact"/>
              <w:ind w:left="12"/>
              <w:rPr>
                <w:rFonts w:hAnsi="Times New Roman" w:cs="Times New Roman"/>
                <w:szCs w:val="24"/>
              </w:rPr>
            </w:pPr>
            <w:r w:rsidRPr="00384EEC">
              <w:rPr>
                <w:rFonts w:hAnsi="Times New Roman" w:cs="Times New Roman"/>
                <w:szCs w:val="24"/>
              </w:rPr>
              <w:t>1.38</w:t>
            </w:r>
            <w:r>
              <w:rPr>
                <w:rFonts w:hAnsi="Times New Roman" w:cs="Times New Roman"/>
                <w:szCs w:val="24"/>
              </w:rPr>
              <w:t>-</w:t>
            </w:r>
            <w:r w:rsidRPr="00384EEC">
              <w:rPr>
                <w:rFonts w:hAnsi="Times New Roman" w:cs="Times New Roman"/>
                <w:szCs w:val="24"/>
              </w:rPr>
              <w:t xml:space="preserve">1.60 </w:t>
            </w:r>
          </w:p>
        </w:tc>
        <w:tc>
          <w:tcPr>
            <w:tcW w:w="2552" w:type="dxa"/>
          </w:tcPr>
          <w:p w14:paraId="0AF7B18D" w14:textId="77777777" w:rsidR="00735226" w:rsidRPr="00384EEC" w:rsidRDefault="00735226" w:rsidP="00646849">
            <w:pPr>
              <w:pStyle w:val="P68B1DB1-TableParagraph7"/>
              <w:spacing w:before="16" w:line="275" w:lineRule="exact"/>
              <w:ind w:left="10" w:right="2"/>
              <w:rPr>
                <w:rFonts w:hAnsi="Times New Roman" w:cs="Times New Roman"/>
                <w:szCs w:val="24"/>
              </w:rPr>
            </w:pPr>
            <w:r w:rsidRPr="00384EEC">
              <w:rPr>
                <w:rFonts w:hAnsi="Times New Roman" w:cs="Times New Roman"/>
                <w:szCs w:val="24"/>
              </w:rPr>
              <w:t xml:space="preserve">3000 </w:t>
            </w:r>
          </w:p>
        </w:tc>
        <w:tc>
          <w:tcPr>
            <w:tcW w:w="1559" w:type="dxa"/>
          </w:tcPr>
          <w:p w14:paraId="5B632080" w14:textId="77777777" w:rsidR="00735226" w:rsidRPr="00384EEC" w:rsidRDefault="00735226" w:rsidP="00646849">
            <w:pPr>
              <w:pStyle w:val="P68B1DB1-TableParagraph6"/>
              <w:spacing w:line="292" w:lineRule="exact"/>
              <w:ind w:left="10" w:right="3"/>
              <w:rPr>
                <w:rFonts w:ascii="Times New Roman" w:hAnsi="Times New Roman" w:cs="Times New Roman"/>
                <w:szCs w:val="24"/>
              </w:rPr>
            </w:pPr>
            <w:r w:rsidRPr="0025058B">
              <w:rPr>
                <w:rFonts w:ascii="Times New Roman" w:hAnsi="Times New Roman" w:cs="Times New Roman"/>
                <w:szCs w:val="24"/>
              </w:rPr>
              <w:t xml:space="preserve">6 </w:t>
            </w:r>
            <w:r w:rsidRPr="00384EEC">
              <w:rPr>
                <w:rFonts w:ascii="Times New Roman" w:hAnsi="Times New Roman" w:cs="Times New Roman"/>
                <w:szCs w:val="24"/>
              </w:rPr>
              <w:t xml:space="preserve">→ </w:t>
            </w:r>
            <w:r w:rsidRPr="0025058B">
              <w:rPr>
                <w:rFonts w:ascii="Times New Roman" w:hAnsi="Times New Roman" w:cs="Times New Roman"/>
                <w:szCs w:val="24"/>
              </w:rPr>
              <w:t xml:space="preserve">5 </w:t>
            </w:r>
          </w:p>
        </w:tc>
        <w:tc>
          <w:tcPr>
            <w:tcW w:w="1559" w:type="dxa"/>
          </w:tcPr>
          <w:p w14:paraId="04E2A3C6" w14:textId="77777777" w:rsidR="00735226" w:rsidRPr="00384EEC" w:rsidRDefault="00735226" w:rsidP="00646849">
            <w:pPr>
              <w:pStyle w:val="P68B1DB1-TableParagraph6"/>
              <w:spacing w:line="292" w:lineRule="exact"/>
              <w:ind w:left="9" w:right="1"/>
              <w:rPr>
                <w:rFonts w:ascii="Times New Roman" w:hAnsi="Times New Roman" w:cs="Times New Roman"/>
                <w:szCs w:val="24"/>
              </w:rPr>
            </w:pPr>
            <w:r w:rsidRPr="00384EEC">
              <w:rPr>
                <w:rFonts w:ascii="Times New Roman" w:hAnsi="Times New Roman" w:cs="Times New Roman"/>
                <w:szCs w:val="24"/>
              </w:rPr>
              <w:t xml:space="preserve">5 → </w:t>
            </w:r>
            <w:r w:rsidRPr="0025058B">
              <w:rPr>
                <w:rFonts w:ascii="Times New Roman" w:hAnsi="Times New Roman" w:cs="Times New Roman"/>
                <w:szCs w:val="24"/>
              </w:rPr>
              <w:t xml:space="preserve">4 </w:t>
            </w:r>
          </w:p>
        </w:tc>
        <w:tc>
          <w:tcPr>
            <w:tcW w:w="1701" w:type="dxa"/>
          </w:tcPr>
          <w:p w14:paraId="05B18B2C" w14:textId="77777777" w:rsidR="00735226" w:rsidRPr="00384EEC" w:rsidRDefault="00735226" w:rsidP="00646849">
            <w:pPr>
              <w:pStyle w:val="P68B1DB1-TableParagraph6"/>
              <w:spacing w:line="292" w:lineRule="exact"/>
              <w:ind w:left="11"/>
              <w:rPr>
                <w:rFonts w:ascii="Times New Roman" w:hAnsi="Times New Roman" w:cs="Times New Roman"/>
                <w:szCs w:val="24"/>
              </w:rPr>
            </w:pPr>
            <w:r w:rsidRPr="00384EEC">
              <w:rPr>
                <w:rFonts w:ascii="Times New Roman" w:hAnsi="Times New Roman" w:cs="Times New Roman"/>
                <w:szCs w:val="24"/>
              </w:rPr>
              <w:t xml:space="preserve">4 → </w:t>
            </w:r>
            <w:r w:rsidRPr="0025058B">
              <w:rPr>
                <w:rFonts w:ascii="Times New Roman" w:hAnsi="Times New Roman" w:cs="Times New Roman"/>
                <w:szCs w:val="24"/>
              </w:rPr>
              <w:t xml:space="preserve">3 </w:t>
            </w:r>
          </w:p>
        </w:tc>
      </w:tr>
      <w:tr w:rsidR="00735226" w:rsidRPr="00735226" w14:paraId="7FBC4978" w14:textId="77777777" w:rsidTr="00384EEC">
        <w:trPr>
          <w:trHeight w:val="310"/>
          <w:jc w:val="center"/>
        </w:trPr>
        <w:tc>
          <w:tcPr>
            <w:tcW w:w="1842" w:type="dxa"/>
          </w:tcPr>
          <w:p w14:paraId="0CA460EF" w14:textId="3C60C68C" w:rsidR="00735226" w:rsidRPr="00384EEC" w:rsidRDefault="00735226">
            <w:pPr>
              <w:pStyle w:val="P68B1DB1-TableParagraph7"/>
              <w:spacing w:before="16" w:line="274" w:lineRule="exact"/>
              <w:ind w:left="12"/>
              <w:rPr>
                <w:rFonts w:hAnsi="Times New Roman" w:cs="Times New Roman"/>
                <w:szCs w:val="24"/>
              </w:rPr>
            </w:pPr>
            <w:r w:rsidRPr="00384EEC">
              <w:rPr>
                <w:rFonts w:hAnsi="Times New Roman" w:cs="Times New Roman"/>
                <w:szCs w:val="24"/>
              </w:rPr>
              <w:t>1.61</w:t>
            </w:r>
            <w:r>
              <w:rPr>
                <w:rFonts w:hAnsi="Times New Roman" w:cs="Times New Roman"/>
                <w:szCs w:val="24"/>
              </w:rPr>
              <w:t>-</w:t>
            </w:r>
            <w:r w:rsidRPr="00384EEC">
              <w:rPr>
                <w:rFonts w:hAnsi="Times New Roman" w:cs="Times New Roman"/>
                <w:szCs w:val="24"/>
              </w:rPr>
              <w:t xml:space="preserve">1.87 </w:t>
            </w:r>
          </w:p>
        </w:tc>
        <w:tc>
          <w:tcPr>
            <w:tcW w:w="2552" w:type="dxa"/>
          </w:tcPr>
          <w:p w14:paraId="19276D38" w14:textId="77777777" w:rsidR="00735226" w:rsidRPr="00384EEC" w:rsidRDefault="00735226" w:rsidP="00646849">
            <w:pPr>
              <w:pStyle w:val="P68B1DB1-TableParagraph7"/>
              <w:spacing w:before="16" w:line="274" w:lineRule="exact"/>
              <w:ind w:left="10" w:right="2"/>
              <w:rPr>
                <w:rFonts w:hAnsi="Times New Roman" w:cs="Times New Roman"/>
                <w:szCs w:val="24"/>
              </w:rPr>
            </w:pPr>
            <w:r w:rsidRPr="00384EEC">
              <w:rPr>
                <w:rFonts w:hAnsi="Times New Roman" w:cs="Times New Roman"/>
                <w:szCs w:val="24"/>
              </w:rPr>
              <w:t xml:space="preserve">3500 </w:t>
            </w:r>
          </w:p>
        </w:tc>
        <w:tc>
          <w:tcPr>
            <w:tcW w:w="1559" w:type="dxa"/>
          </w:tcPr>
          <w:p w14:paraId="1895C042" w14:textId="77777777" w:rsidR="00735226" w:rsidRPr="00384EEC" w:rsidRDefault="00735226" w:rsidP="00646849">
            <w:pPr>
              <w:pStyle w:val="P68B1DB1-TableParagraph6"/>
              <w:spacing w:line="290" w:lineRule="exact"/>
              <w:ind w:left="10" w:right="3"/>
              <w:rPr>
                <w:rFonts w:ascii="Times New Roman" w:hAnsi="Times New Roman" w:cs="Times New Roman"/>
                <w:szCs w:val="24"/>
              </w:rPr>
            </w:pPr>
            <w:r w:rsidRPr="0025058B">
              <w:rPr>
                <w:rFonts w:ascii="Times New Roman" w:hAnsi="Times New Roman" w:cs="Times New Roman"/>
                <w:szCs w:val="24"/>
              </w:rPr>
              <w:t xml:space="preserve">7 </w:t>
            </w:r>
            <w:r w:rsidRPr="00384EEC">
              <w:rPr>
                <w:rFonts w:ascii="Times New Roman" w:hAnsi="Times New Roman" w:cs="Times New Roman"/>
                <w:szCs w:val="24"/>
              </w:rPr>
              <w:t xml:space="preserve">→ </w:t>
            </w:r>
            <w:r w:rsidRPr="0025058B">
              <w:rPr>
                <w:rFonts w:ascii="Times New Roman" w:hAnsi="Times New Roman" w:cs="Times New Roman"/>
                <w:szCs w:val="24"/>
              </w:rPr>
              <w:t xml:space="preserve">5 </w:t>
            </w:r>
          </w:p>
        </w:tc>
        <w:tc>
          <w:tcPr>
            <w:tcW w:w="1559" w:type="dxa"/>
          </w:tcPr>
          <w:p w14:paraId="43FD5F52" w14:textId="77777777" w:rsidR="00735226" w:rsidRPr="00384EEC" w:rsidRDefault="00735226" w:rsidP="00646849">
            <w:pPr>
              <w:pStyle w:val="P68B1DB1-TableParagraph6"/>
              <w:spacing w:line="290" w:lineRule="exact"/>
              <w:ind w:left="9" w:right="1"/>
              <w:rPr>
                <w:rFonts w:ascii="Times New Roman" w:hAnsi="Times New Roman" w:cs="Times New Roman"/>
                <w:szCs w:val="24"/>
              </w:rPr>
            </w:pPr>
            <w:r w:rsidRPr="00384EEC">
              <w:rPr>
                <w:rFonts w:ascii="Times New Roman" w:hAnsi="Times New Roman" w:cs="Times New Roman"/>
                <w:szCs w:val="24"/>
              </w:rPr>
              <w:t xml:space="preserve">5 → </w:t>
            </w:r>
            <w:r w:rsidRPr="0025058B">
              <w:rPr>
                <w:rFonts w:ascii="Times New Roman" w:hAnsi="Times New Roman" w:cs="Times New Roman"/>
                <w:szCs w:val="24"/>
              </w:rPr>
              <w:t xml:space="preserve">4 </w:t>
            </w:r>
          </w:p>
        </w:tc>
        <w:tc>
          <w:tcPr>
            <w:tcW w:w="1701" w:type="dxa"/>
          </w:tcPr>
          <w:p w14:paraId="6A3EA13B" w14:textId="77777777" w:rsidR="00735226" w:rsidRPr="00384EEC" w:rsidRDefault="00735226" w:rsidP="00646849">
            <w:pPr>
              <w:pStyle w:val="P68B1DB1-TableParagraph6"/>
              <w:spacing w:line="290" w:lineRule="exact"/>
              <w:ind w:left="11"/>
              <w:rPr>
                <w:rFonts w:ascii="Times New Roman" w:hAnsi="Times New Roman" w:cs="Times New Roman"/>
                <w:szCs w:val="24"/>
              </w:rPr>
            </w:pPr>
            <w:r w:rsidRPr="00384EEC">
              <w:rPr>
                <w:rFonts w:ascii="Times New Roman" w:hAnsi="Times New Roman" w:cs="Times New Roman"/>
                <w:szCs w:val="24"/>
              </w:rPr>
              <w:t xml:space="preserve">4 → </w:t>
            </w:r>
            <w:r w:rsidRPr="0025058B">
              <w:rPr>
                <w:rFonts w:ascii="Times New Roman" w:hAnsi="Times New Roman" w:cs="Times New Roman"/>
                <w:szCs w:val="24"/>
              </w:rPr>
              <w:t xml:space="preserve">3 </w:t>
            </w:r>
          </w:p>
        </w:tc>
      </w:tr>
      <w:tr w:rsidR="00735226" w:rsidRPr="00735226" w14:paraId="2E9F2F58" w14:textId="77777777" w:rsidTr="00384EEC">
        <w:trPr>
          <w:trHeight w:val="310"/>
          <w:jc w:val="center"/>
        </w:trPr>
        <w:tc>
          <w:tcPr>
            <w:tcW w:w="1842" w:type="dxa"/>
          </w:tcPr>
          <w:p w14:paraId="395184E0" w14:textId="7427C784" w:rsidR="00735226" w:rsidRPr="00735226" w:rsidRDefault="00735226" w:rsidP="00735226">
            <w:pPr>
              <w:pStyle w:val="P68B1DB1-TableParagraph7"/>
              <w:spacing w:before="16" w:line="274" w:lineRule="exact"/>
              <w:ind w:left="12"/>
              <w:rPr>
                <w:rFonts w:hAnsi="Times New Roman" w:cs="Times New Roman"/>
                <w:szCs w:val="24"/>
              </w:rPr>
            </w:pPr>
            <w:r w:rsidRPr="00384EEC">
              <w:rPr>
                <w:rFonts w:hAnsi="Times New Roman" w:cs="Times New Roman"/>
                <w:szCs w:val="24"/>
              </w:rPr>
              <w:t>1.88</w:t>
            </w:r>
            <w:r>
              <w:rPr>
                <w:rFonts w:hAnsi="Times New Roman" w:cs="Times New Roman"/>
                <w:szCs w:val="24"/>
              </w:rPr>
              <w:t>-</w:t>
            </w:r>
            <w:r w:rsidRPr="00384EEC">
              <w:rPr>
                <w:rFonts w:hAnsi="Times New Roman" w:cs="Times New Roman"/>
                <w:szCs w:val="24"/>
              </w:rPr>
              <w:t xml:space="preserve">2 </w:t>
            </w:r>
            <w:bookmarkStart w:id="71" w:name="_bookmark29"/>
            <w:bookmarkEnd w:id="71"/>
            <w:r w:rsidRPr="00384EEC">
              <w:rPr>
                <w:rFonts w:hAnsi="Times New Roman" w:cs="Times New Roman"/>
                <w:szCs w:val="24"/>
              </w:rPr>
              <w:t xml:space="preserve">.13 </w:t>
            </w:r>
          </w:p>
        </w:tc>
        <w:tc>
          <w:tcPr>
            <w:tcW w:w="2552" w:type="dxa"/>
          </w:tcPr>
          <w:p w14:paraId="07635913" w14:textId="351DFD94" w:rsidR="00735226" w:rsidRPr="00735226" w:rsidRDefault="00735226" w:rsidP="00735226">
            <w:pPr>
              <w:pStyle w:val="P68B1DB1-TableParagraph7"/>
              <w:spacing w:before="16" w:line="274" w:lineRule="exact"/>
              <w:ind w:left="10" w:right="2"/>
              <w:rPr>
                <w:rFonts w:hAnsi="Times New Roman" w:cs="Times New Roman"/>
                <w:szCs w:val="24"/>
              </w:rPr>
            </w:pPr>
            <w:r w:rsidRPr="00384EEC">
              <w:rPr>
                <w:rFonts w:hAnsi="Times New Roman" w:cs="Times New Roman"/>
                <w:szCs w:val="24"/>
              </w:rPr>
              <w:t xml:space="preserve">4000 </w:t>
            </w:r>
          </w:p>
        </w:tc>
        <w:tc>
          <w:tcPr>
            <w:tcW w:w="1559" w:type="dxa"/>
          </w:tcPr>
          <w:p w14:paraId="095CDD43" w14:textId="5A95DC86" w:rsidR="00735226" w:rsidRPr="00735226" w:rsidRDefault="00735226" w:rsidP="00735226">
            <w:pPr>
              <w:pStyle w:val="P68B1DB1-TableParagraph6"/>
              <w:spacing w:line="290" w:lineRule="exact"/>
              <w:ind w:left="10" w:right="3"/>
              <w:rPr>
                <w:rFonts w:ascii="Times New Roman" w:hAnsi="Times New Roman" w:cs="Times New Roman"/>
                <w:szCs w:val="24"/>
              </w:rPr>
            </w:pPr>
            <w:r w:rsidRPr="0025058B">
              <w:rPr>
                <w:rFonts w:ascii="Times New Roman" w:hAnsi="Times New Roman" w:cs="Times New Roman"/>
                <w:szCs w:val="24"/>
              </w:rPr>
              <w:t xml:space="preserve">8 </w:t>
            </w:r>
            <w:r w:rsidRPr="00384EEC">
              <w:rPr>
                <w:rFonts w:ascii="Times New Roman" w:hAnsi="Times New Roman" w:cs="Times New Roman"/>
                <w:szCs w:val="24"/>
              </w:rPr>
              <w:t xml:space="preserve">→ </w:t>
            </w:r>
            <w:r w:rsidRPr="0025058B">
              <w:rPr>
                <w:rFonts w:ascii="Times New Roman" w:hAnsi="Times New Roman" w:cs="Times New Roman"/>
                <w:szCs w:val="24"/>
              </w:rPr>
              <w:t xml:space="preserve">6 </w:t>
            </w:r>
          </w:p>
        </w:tc>
        <w:tc>
          <w:tcPr>
            <w:tcW w:w="1559" w:type="dxa"/>
          </w:tcPr>
          <w:p w14:paraId="4AA0FF06" w14:textId="4239DEA4" w:rsidR="00735226" w:rsidRPr="00735226" w:rsidRDefault="00735226" w:rsidP="00735226">
            <w:pPr>
              <w:pStyle w:val="P68B1DB1-TableParagraph6"/>
              <w:spacing w:line="290" w:lineRule="exact"/>
              <w:ind w:left="9" w:right="1"/>
              <w:rPr>
                <w:rFonts w:ascii="Times New Roman" w:hAnsi="Times New Roman" w:cs="Times New Roman"/>
                <w:szCs w:val="24"/>
              </w:rPr>
            </w:pPr>
            <w:r w:rsidRPr="0025058B">
              <w:rPr>
                <w:rFonts w:ascii="Times New Roman" w:hAnsi="Times New Roman" w:cs="Times New Roman"/>
                <w:szCs w:val="24"/>
              </w:rPr>
              <w:t xml:space="preserve">6 </w:t>
            </w:r>
            <w:r w:rsidRPr="00384EEC">
              <w:rPr>
                <w:rFonts w:ascii="Times New Roman" w:hAnsi="Times New Roman" w:cs="Times New Roman"/>
                <w:szCs w:val="24"/>
              </w:rPr>
              <w:t xml:space="preserve">→ </w:t>
            </w:r>
            <w:r w:rsidRPr="0025058B">
              <w:rPr>
                <w:rFonts w:ascii="Times New Roman" w:hAnsi="Times New Roman" w:cs="Times New Roman"/>
                <w:szCs w:val="24"/>
              </w:rPr>
              <w:t xml:space="preserve">5 </w:t>
            </w:r>
          </w:p>
        </w:tc>
        <w:tc>
          <w:tcPr>
            <w:tcW w:w="1701" w:type="dxa"/>
          </w:tcPr>
          <w:p w14:paraId="1D645F0D" w14:textId="411F0AE0" w:rsidR="00735226" w:rsidRPr="00735226" w:rsidRDefault="00735226" w:rsidP="00735226">
            <w:pPr>
              <w:pStyle w:val="P68B1DB1-TableParagraph6"/>
              <w:spacing w:line="290" w:lineRule="exact"/>
              <w:ind w:left="11"/>
              <w:rPr>
                <w:rFonts w:ascii="Times New Roman" w:hAnsi="Times New Roman" w:cs="Times New Roman"/>
                <w:szCs w:val="24"/>
              </w:rPr>
            </w:pPr>
            <w:r w:rsidRPr="0025058B">
              <w:rPr>
                <w:rFonts w:ascii="Times New Roman" w:hAnsi="Times New Roman" w:cs="Times New Roman"/>
                <w:szCs w:val="24"/>
              </w:rPr>
              <w:t xml:space="preserve">5 </w:t>
            </w:r>
            <w:r w:rsidRPr="00384EEC">
              <w:rPr>
                <w:rFonts w:ascii="Times New Roman" w:hAnsi="Times New Roman" w:cs="Times New Roman"/>
                <w:szCs w:val="24"/>
              </w:rPr>
              <w:t xml:space="preserve">→ </w:t>
            </w:r>
            <w:r w:rsidRPr="0025058B">
              <w:rPr>
                <w:rFonts w:ascii="Times New Roman" w:hAnsi="Times New Roman" w:cs="Times New Roman"/>
                <w:szCs w:val="24"/>
              </w:rPr>
              <w:t xml:space="preserve">4 </w:t>
            </w:r>
          </w:p>
        </w:tc>
      </w:tr>
      <w:tr w:rsidR="00735226" w:rsidRPr="00735226" w14:paraId="0E8D2C02" w14:textId="77777777" w:rsidTr="00384EEC">
        <w:trPr>
          <w:trHeight w:val="310"/>
          <w:jc w:val="center"/>
        </w:trPr>
        <w:tc>
          <w:tcPr>
            <w:tcW w:w="1842" w:type="dxa"/>
          </w:tcPr>
          <w:p w14:paraId="46165673" w14:textId="5EF11049" w:rsidR="00735226" w:rsidRPr="00735226" w:rsidRDefault="00735226" w:rsidP="00735226">
            <w:pPr>
              <w:pStyle w:val="P68B1DB1-TableParagraph7"/>
              <w:spacing w:before="16" w:line="274" w:lineRule="exact"/>
              <w:ind w:left="12"/>
              <w:rPr>
                <w:rFonts w:hAnsi="Times New Roman" w:cs="Times New Roman"/>
                <w:szCs w:val="24"/>
              </w:rPr>
            </w:pPr>
            <w:r w:rsidRPr="00384EEC">
              <w:rPr>
                <w:rFonts w:hAnsi="Times New Roman" w:cs="Times New Roman"/>
                <w:szCs w:val="24"/>
              </w:rPr>
              <w:t xml:space="preserve">≥ 2.14 </w:t>
            </w:r>
          </w:p>
        </w:tc>
        <w:tc>
          <w:tcPr>
            <w:tcW w:w="2552" w:type="dxa"/>
          </w:tcPr>
          <w:p w14:paraId="61FF429B" w14:textId="610AA359" w:rsidR="00735226" w:rsidRPr="00735226" w:rsidRDefault="00735226" w:rsidP="00735226">
            <w:pPr>
              <w:pStyle w:val="P68B1DB1-TableParagraph7"/>
              <w:spacing w:before="16" w:line="274" w:lineRule="exact"/>
              <w:ind w:left="10" w:right="2"/>
              <w:rPr>
                <w:rFonts w:hAnsi="Times New Roman" w:cs="Times New Roman"/>
                <w:szCs w:val="24"/>
              </w:rPr>
            </w:pPr>
            <w:r w:rsidRPr="00384EEC">
              <w:rPr>
                <w:rFonts w:hAnsi="Times New Roman" w:cs="Times New Roman"/>
                <w:szCs w:val="24"/>
              </w:rPr>
              <w:t xml:space="preserve">4500 </w:t>
            </w:r>
          </w:p>
        </w:tc>
        <w:tc>
          <w:tcPr>
            <w:tcW w:w="1559" w:type="dxa"/>
          </w:tcPr>
          <w:p w14:paraId="18AB236E" w14:textId="70297D92" w:rsidR="00735226" w:rsidRPr="00735226" w:rsidRDefault="00735226" w:rsidP="00735226">
            <w:pPr>
              <w:pStyle w:val="P68B1DB1-TableParagraph6"/>
              <w:spacing w:line="290" w:lineRule="exact"/>
              <w:ind w:left="10" w:right="3"/>
              <w:rPr>
                <w:rFonts w:ascii="Times New Roman" w:hAnsi="Times New Roman" w:cs="Times New Roman"/>
                <w:szCs w:val="24"/>
              </w:rPr>
            </w:pPr>
            <w:r w:rsidRPr="0025058B">
              <w:rPr>
                <w:rFonts w:ascii="Times New Roman" w:hAnsi="Times New Roman" w:cs="Times New Roman"/>
                <w:szCs w:val="24"/>
              </w:rPr>
              <w:t xml:space="preserve">9 </w:t>
            </w:r>
            <w:r w:rsidRPr="00384EEC">
              <w:rPr>
                <w:rFonts w:ascii="Times New Roman" w:hAnsi="Times New Roman" w:cs="Times New Roman"/>
                <w:szCs w:val="24"/>
              </w:rPr>
              <w:t xml:space="preserve">→ </w:t>
            </w:r>
            <w:r w:rsidRPr="0025058B">
              <w:rPr>
                <w:rFonts w:ascii="Times New Roman" w:hAnsi="Times New Roman" w:cs="Times New Roman"/>
                <w:szCs w:val="24"/>
              </w:rPr>
              <w:t xml:space="preserve">7 </w:t>
            </w:r>
          </w:p>
        </w:tc>
        <w:tc>
          <w:tcPr>
            <w:tcW w:w="1559" w:type="dxa"/>
          </w:tcPr>
          <w:p w14:paraId="787AF4BF" w14:textId="02C34DFE" w:rsidR="00735226" w:rsidRPr="00735226" w:rsidRDefault="00735226" w:rsidP="00735226">
            <w:pPr>
              <w:pStyle w:val="P68B1DB1-TableParagraph6"/>
              <w:spacing w:line="290" w:lineRule="exact"/>
              <w:ind w:left="9" w:right="1"/>
              <w:rPr>
                <w:rFonts w:ascii="Times New Roman" w:hAnsi="Times New Roman" w:cs="Times New Roman"/>
                <w:szCs w:val="24"/>
              </w:rPr>
            </w:pPr>
            <w:r w:rsidRPr="0025058B">
              <w:rPr>
                <w:rFonts w:ascii="Times New Roman" w:hAnsi="Times New Roman" w:cs="Times New Roman"/>
                <w:szCs w:val="24"/>
              </w:rPr>
              <w:t xml:space="preserve">7 </w:t>
            </w:r>
            <w:r w:rsidRPr="00384EEC">
              <w:rPr>
                <w:rFonts w:ascii="Times New Roman" w:hAnsi="Times New Roman" w:cs="Times New Roman"/>
                <w:szCs w:val="24"/>
              </w:rPr>
              <w:t xml:space="preserve">→ </w:t>
            </w:r>
            <w:r w:rsidRPr="0025058B">
              <w:rPr>
                <w:rFonts w:ascii="Times New Roman" w:hAnsi="Times New Roman" w:cs="Times New Roman"/>
                <w:szCs w:val="24"/>
              </w:rPr>
              <w:t xml:space="preserve">5 </w:t>
            </w:r>
          </w:p>
        </w:tc>
        <w:tc>
          <w:tcPr>
            <w:tcW w:w="1701" w:type="dxa"/>
          </w:tcPr>
          <w:p w14:paraId="200C2FA9" w14:textId="1993B7CE" w:rsidR="00735226" w:rsidRPr="00735226" w:rsidRDefault="00735226" w:rsidP="00735226">
            <w:pPr>
              <w:pStyle w:val="P68B1DB1-TableParagraph6"/>
              <w:spacing w:line="290" w:lineRule="exact"/>
              <w:ind w:left="11"/>
              <w:rPr>
                <w:rFonts w:ascii="Times New Roman" w:hAnsi="Times New Roman" w:cs="Times New Roman"/>
                <w:szCs w:val="24"/>
              </w:rPr>
            </w:pPr>
            <w:r w:rsidRPr="0025058B">
              <w:rPr>
                <w:rFonts w:ascii="Times New Roman" w:hAnsi="Times New Roman" w:cs="Times New Roman"/>
                <w:szCs w:val="24"/>
              </w:rPr>
              <w:t xml:space="preserve">5 </w:t>
            </w:r>
            <w:r w:rsidRPr="00384EEC">
              <w:rPr>
                <w:rFonts w:ascii="Times New Roman" w:hAnsi="Times New Roman" w:cs="Times New Roman"/>
                <w:szCs w:val="24"/>
              </w:rPr>
              <w:t xml:space="preserve">→ </w:t>
            </w:r>
            <w:r w:rsidRPr="0025058B">
              <w:rPr>
                <w:rFonts w:ascii="Times New Roman" w:hAnsi="Times New Roman" w:cs="Times New Roman"/>
                <w:szCs w:val="24"/>
              </w:rPr>
              <w:t xml:space="preserve">4 </w:t>
            </w:r>
          </w:p>
        </w:tc>
      </w:tr>
    </w:tbl>
    <w:p w14:paraId="755B7627" w14:textId="6E0EED0D" w:rsidR="00735226" w:rsidRDefault="00735226" w:rsidP="00735226">
      <w:pPr>
        <w:spacing w:line="290" w:lineRule="exact"/>
        <w:rPr>
          <w:rFonts w:eastAsiaTheme="minorEastAsia" w:cs="Times New Roman"/>
          <w:szCs w:val="24"/>
        </w:rPr>
      </w:pPr>
    </w:p>
    <w:p w14:paraId="330E1375" w14:textId="43AB3197" w:rsidR="00735226" w:rsidRPr="00384EEC" w:rsidRDefault="00735226" w:rsidP="00384EEC">
      <w:pPr>
        <w:pStyle w:val="P68B1DB1-Normal39"/>
        <w:ind w:right="394"/>
        <w:jc w:val="center"/>
        <w:rPr>
          <w:rFonts w:ascii="Times New Roman" w:eastAsia="微软雅黑" w:hAnsi="Times New Roman" w:cs="Times New Roman"/>
          <w:szCs w:val="24"/>
        </w:rPr>
      </w:pPr>
      <w:r w:rsidRPr="00C969E2">
        <w:rPr>
          <w:rFonts w:ascii="Times New Roman" w:eastAsia="微软雅黑" w:hAnsi="Times New Roman" w:cs="Times New Roman"/>
          <w:b w:val="0"/>
          <w:sz w:val="24"/>
          <w:szCs w:val="24"/>
        </w:rPr>
        <w:t xml:space="preserve">Table 5.2-3 Dose Modification for </w:t>
      </w:r>
      <w:bookmarkStart w:id="72" w:name="OLE_LINK7"/>
      <w:bookmarkStart w:id="73" w:name="OLE_LINK8"/>
      <w:r w:rsidRPr="00C969E2">
        <w:rPr>
          <w:rFonts w:ascii="Times New Roman" w:eastAsia="微软雅黑" w:hAnsi="Times New Roman" w:cs="Times New Roman"/>
          <w:b w:val="0"/>
          <w:sz w:val="24"/>
          <w:szCs w:val="24"/>
        </w:rPr>
        <w:t>Capecitabine</w:t>
      </w:r>
      <w:bookmarkEnd w:id="72"/>
      <w:bookmarkEnd w:id="73"/>
      <w:r w:rsidRPr="00C969E2">
        <w:rPr>
          <w:rFonts w:ascii="Times New Roman" w:eastAsia="微软雅黑" w:hAnsi="Times New Roman" w:cs="Times New Roman"/>
          <w:b w:val="0"/>
          <w:sz w:val="24"/>
          <w:szCs w:val="24"/>
        </w:rPr>
        <w:t xml:space="preserve"> (850 mg/</w:t>
      </w:r>
      <w:r w:rsidRPr="00735226">
        <w:rPr>
          <w:rFonts w:ascii="Times New Roman" w:eastAsia="微软雅黑" w:hAnsi="Times New Roman" w:cs="Times New Roman"/>
          <w:b w:val="0"/>
          <w:sz w:val="24"/>
          <w:szCs w:val="24"/>
        </w:rPr>
        <w:t xml:space="preserve"> </w:t>
      </w:r>
      <w:r w:rsidRPr="00C969E2">
        <w:rPr>
          <w:rFonts w:ascii="Times New Roman" w:eastAsia="微软雅黑" w:hAnsi="Times New Roman" w:cs="Times New Roman"/>
          <w:b w:val="0"/>
          <w:sz w:val="24"/>
          <w:szCs w:val="24"/>
        </w:rPr>
        <w:t>m</w:t>
      </w:r>
      <w:r w:rsidRPr="00C969E2">
        <w:rPr>
          <w:rFonts w:ascii="Times New Roman" w:eastAsia="微软雅黑" w:hAnsi="Times New Roman" w:cs="Times New Roman"/>
          <w:b w:val="0"/>
          <w:sz w:val="24"/>
          <w:szCs w:val="24"/>
          <w:vertAlign w:val="superscript"/>
        </w:rPr>
        <w:t>2</w:t>
      </w:r>
      <w:r w:rsidRPr="00C969E2">
        <w:rPr>
          <w:rFonts w:ascii="Times New Roman" w:eastAsia="微软雅黑" w:hAnsi="Times New Roman" w:cs="Times New Roman"/>
          <w:b w:val="0"/>
          <w:sz w:val="24"/>
          <w:szCs w:val="24"/>
        </w:rPr>
        <w:t>)</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2"/>
        <w:gridCol w:w="2552"/>
        <w:gridCol w:w="1559"/>
        <w:gridCol w:w="1701"/>
        <w:gridCol w:w="1559"/>
      </w:tblGrid>
      <w:tr w:rsidR="00735226" w:rsidRPr="00C969E2" w14:paraId="33E7CCCB" w14:textId="77777777" w:rsidTr="00384EEC">
        <w:trPr>
          <w:trHeight w:val="624"/>
          <w:jc w:val="center"/>
        </w:trPr>
        <w:tc>
          <w:tcPr>
            <w:tcW w:w="1842" w:type="dxa"/>
            <w:vMerge w:val="restart"/>
          </w:tcPr>
          <w:p w14:paraId="1EB5274A" w14:textId="6EAEB627" w:rsidR="00735226" w:rsidRPr="00C969E2" w:rsidRDefault="00C34838" w:rsidP="00C34838">
            <w:pPr>
              <w:pStyle w:val="P68B1DB1-TableParagraph16"/>
              <w:spacing w:before="109" w:line="362" w:lineRule="exact"/>
              <w:ind w:left="154"/>
              <w:jc w:val="left"/>
              <w:rPr>
                <w:rFonts w:ascii="Times New Roman" w:hAnsi="Times New Roman" w:cs="Times New Roman"/>
                <w:b w:val="0"/>
                <w:szCs w:val="24"/>
              </w:rPr>
            </w:pPr>
            <w:r>
              <w:rPr>
                <w:rFonts w:ascii="Times New Roman" w:hAnsi="Times New Roman" w:cs="Times New Roman"/>
                <w:b w:val="0"/>
                <w:szCs w:val="24"/>
              </w:rPr>
              <w:t xml:space="preserve">Body surface area </w:t>
            </w:r>
            <w:r w:rsidR="00735226" w:rsidRPr="00C969E2">
              <w:rPr>
                <w:rFonts w:ascii="Times New Roman" w:hAnsi="Times New Roman" w:cs="Times New Roman"/>
                <w:b w:val="0"/>
                <w:szCs w:val="24"/>
              </w:rPr>
              <w:t>(m</w:t>
            </w:r>
            <w:r w:rsidR="00735226" w:rsidRPr="00C969E2">
              <w:rPr>
                <w:rFonts w:ascii="Times New Roman" w:hAnsi="Times New Roman" w:cs="Times New Roman"/>
                <w:b w:val="0"/>
                <w:szCs w:val="24"/>
                <w:vertAlign w:val="superscript"/>
              </w:rPr>
              <w:t>2</w:t>
            </w:r>
            <w:r w:rsidR="00735226" w:rsidRPr="00C969E2">
              <w:rPr>
                <w:rFonts w:ascii="Times New Roman" w:hAnsi="Times New Roman" w:cs="Times New Roman"/>
                <w:b w:val="0"/>
                <w:szCs w:val="24"/>
              </w:rPr>
              <w:t xml:space="preserve">) </w:t>
            </w:r>
          </w:p>
        </w:tc>
        <w:tc>
          <w:tcPr>
            <w:tcW w:w="2552" w:type="dxa"/>
          </w:tcPr>
          <w:p w14:paraId="70C6D94D" w14:textId="04ABF95C" w:rsidR="00735226" w:rsidRPr="00C969E2" w:rsidRDefault="00735226" w:rsidP="00384EEC">
            <w:pPr>
              <w:pStyle w:val="P68B1DB1-TableParagraph16"/>
              <w:spacing w:line="308" w:lineRule="exact"/>
              <w:ind w:left="625"/>
              <w:jc w:val="left"/>
              <w:rPr>
                <w:rFonts w:ascii="Times New Roman" w:hAnsi="Times New Roman" w:cs="Times New Roman"/>
                <w:b w:val="0"/>
                <w:szCs w:val="24"/>
              </w:rPr>
            </w:pPr>
            <w:r w:rsidRPr="00C969E2">
              <w:rPr>
                <w:rFonts w:ascii="Times New Roman" w:hAnsi="Times New Roman" w:cs="Times New Roman"/>
                <w:b w:val="0"/>
                <w:szCs w:val="24"/>
              </w:rPr>
              <w:t>Starting dose level (850 mg/ m</w:t>
            </w:r>
            <w:r w:rsidRPr="00C969E2">
              <w:rPr>
                <w:rFonts w:ascii="Times New Roman" w:hAnsi="Times New Roman" w:cs="Times New Roman"/>
                <w:b w:val="0"/>
                <w:szCs w:val="24"/>
                <w:vertAlign w:val="superscript"/>
              </w:rPr>
              <w:t>2</w:t>
            </w:r>
            <w:r w:rsidRPr="00C969E2">
              <w:rPr>
                <w:rFonts w:ascii="Times New Roman" w:eastAsia="Times New Roman" w:hAnsi="Times New Roman" w:cs="Times New Roman"/>
                <w:b w:val="0"/>
                <w:position w:val="8"/>
                <w:szCs w:val="24"/>
              </w:rPr>
              <w:t xml:space="preserve"> </w:t>
            </w:r>
            <w:r w:rsidRPr="00C969E2">
              <w:rPr>
                <w:rFonts w:ascii="Times New Roman" w:hAnsi="Times New Roman" w:cs="Times New Roman"/>
                <w:b w:val="0"/>
                <w:szCs w:val="24"/>
              </w:rPr>
              <w:t xml:space="preserve">) </w:t>
            </w:r>
          </w:p>
        </w:tc>
        <w:tc>
          <w:tcPr>
            <w:tcW w:w="1559" w:type="dxa"/>
          </w:tcPr>
          <w:p w14:paraId="178B62B3" w14:textId="7EE95FFD" w:rsidR="00735226" w:rsidRPr="00C969E2" w:rsidRDefault="00735226" w:rsidP="00C34838">
            <w:pPr>
              <w:pStyle w:val="P68B1DB1-TableParagraph40"/>
              <w:spacing w:before="102"/>
              <w:ind w:left="10"/>
              <w:rPr>
                <w:rFonts w:ascii="Times New Roman" w:eastAsia="Times New Roman" w:hAnsi="Times New Roman" w:cs="Times New Roman"/>
                <w:b w:val="0"/>
                <w:szCs w:val="24"/>
              </w:rPr>
            </w:pPr>
            <w:r w:rsidRPr="00C969E2">
              <w:rPr>
                <w:rFonts w:ascii="Times New Roman" w:eastAsia="微软雅黑" w:hAnsi="Times New Roman" w:cs="Times New Roman"/>
                <w:b w:val="0"/>
                <w:szCs w:val="24"/>
              </w:rPr>
              <w:t xml:space="preserve">Dose </w:t>
            </w:r>
            <w:r w:rsidR="00C34838">
              <w:rPr>
                <w:rFonts w:ascii="Times New Roman" w:eastAsia="微软雅黑" w:hAnsi="Times New Roman" w:cs="Times New Roman"/>
                <w:b w:val="0"/>
                <w:szCs w:val="24"/>
              </w:rPr>
              <w:t>m</w:t>
            </w:r>
            <w:r w:rsidRPr="00C969E2">
              <w:rPr>
                <w:rFonts w:ascii="Times New Roman" w:eastAsia="微软雅黑" w:hAnsi="Times New Roman" w:cs="Times New Roman"/>
                <w:b w:val="0"/>
                <w:szCs w:val="24"/>
              </w:rPr>
              <w:t xml:space="preserve">odification </w:t>
            </w:r>
            <w:r w:rsidRPr="00C969E2">
              <w:rPr>
                <w:rFonts w:ascii="Times New Roman" w:eastAsia="Times New Roman" w:hAnsi="Times New Roman" w:cs="Times New Roman"/>
                <w:b w:val="0"/>
                <w:szCs w:val="24"/>
              </w:rPr>
              <w:t xml:space="preserve">1 </w:t>
            </w:r>
          </w:p>
        </w:tc>
        <w:tc>
          <w:tcPr>
            <w:tcW w:w="1701" w:type="dxa"/>
          </w:tcPr>
          <w:p w14:paraId="59562D17" w14:textId="4C067F81" w:rsidR="00735226" w:rsidRPr="00C969E2" w:rsidRDefault="00735226" w:rsidP="00C34838">
            <w:pPr>
              <w:pStyle w:val="P68B1DB1-TableParagraph40"/>
              <w:spacing w:before="102"/>
              <w:ind w:left="9" w:right="3"/>
              <w:rPr>
                <w:rFonts w:ascii="Times New Roman" w:eastAsia="Times New Roman" w:hAnsi="Times New Roman" w:cs="Times New Roman"/>
                <w:b w:val="0"/>
                <w:szCs w:val="24"/>
              </w:rPr>
            </w:pPr>
            <w:r w:rsidRPr="00C969E2">
              <w:rPr>
                <w:rFonts w:ascii="Times New Roman" w:eastAsia="微软雅黑" w:hAnsi="Times New Roman" w:cs="Times New Roman"/>
                <w:b w:val="0"/>
                <w:szCs w:val="24"/>
              </w:rPr>
              <w:t xml:space="preserve">Dose </w:t>
            </w:r>
            <w:r w:rsidR="00C34838">
              <w:rPr>
                <w:rFonts w:ascii="Times New Roman" w:eastAsia="微软雅黑" w:hAnsi="Times New Roman" w:cs="Times New Roman"/>
                <w:b w:val="0"/>
                <w:szCs w:val="24"/>
              </w:rPr>
              <w:t>m</w:t>
            </w:r>
            <w:r w:rsidRPr="00C969E2">
              <w:rPr>
                <w:rFonts w:ascii="Times New Roman" w:eastAsia="微软雅黑" w:hAnsi="Times New Roman" w:cs="Times New Roman"/>
                <w:b w:val="0"/>
                <w:szCs w:val="24"/>
              </w:rPr>
              <w:t xml:space="preserve">odification </w:t>
            </w:r>
            <w:r w:rsidRPr="00C969E2">
              <w:rPr>
                <w:rFonts w:ascii="Times New Roman" w:eastAsia="Times New Roman" w:hAnsi="Times New Roman" w:cs="Times New Roman"/>
                <w:b w:val="0"/>
                <w:szCs w:val="24"/>
              </w:rPr>
              <w:t xml:space="preserve">2 </w:t>
            </w:r>
          </w:p>
        </w:tc>
        <w:tc>
          <w:tcPr>
            <w:tcW w:w="1559" w:type="dxa"/>
          </w:tcPr>
          <w:p w14:paraId="5A0CB0CF" w14:textId="55F512EB" w:rsidR="00735226" w:rsidRPr="00C969E2" w:rsidRDefault="00735226" w:rsidP="00C34838">
            <w:pPr>
              <w:pStyle w:val="P68B1DB1-TableParagraph40"/>
              <w:spacing w:before="102"/>
              <w:ind w:left="11" w:right="2"/>
              <w:rPr>
                <w:rFonts w:ascii="Times New Roman" w:eastAsia="Times New Roman" w:hAnsi="Times New Roman" w:cs="Times New Roman"/>
                <w:b w:val="0"/>
                <w:szCs w:val="24"/>
              </w:rPr>
            </w:pPr>
            <w:r w:rsidRPr="00C969E2">
              <w:rPr>
                <w:rFonts w:ascii="Times New Roman" w:eastAsia="微软雅黑" w:hAnsi="Times New Roman" w:cs="Times New Roman"/>
                <w:b w:val="0"/>
                <w:szCs w:val="24"/>
              </w:rPr>
              <w:t xml:space="preserve">Dose </w:t>
            </w:r>
            <w:r w:rsidR="00C34838">
              <w:rPr>
                <w:rFonts w:ascii="Times New Roman" w:eastAsia="微软雅黑" w:hAnsi="Times New Roman" w:cs="Times New Roman"/>
                <w:b w:val="0"/>
                <w:szCs w:val="24"/>
              </w:rPr>
              <w:t>m</w:t>
            </w:r>
            <w:r w:rsidRPr="00C969E2">
              <w:rPr>
                <w:rFonts w:ascii="Times New Roman" w:eastAsia="微软雅黑" w:hAnsi="Times New Roman" w:cs="Times New Roman"/>
                <w:b w:val="0"/>
                <w:szCs w:val="24"/>
              </w:rPr>
              <w:t xml:space="preserve">odification </w:t>
            </w:r>
            <w:r w:rsidRPr="00C969E2">
              <w:rPr>
                <w:rFonts w:ascii="Times New Roman" w:eastAsia="Times New Roman" w:hAnsi="Times New Roman" w:cs="Times New Roman"/>
                <w:b w:val="0"/>
                <w:szCs w:val="24"/>
              </w:rPr>
              <w:t xml:space="preserve">3 </w:t>
            </w:r>
          </w:p>
        </w:tc>
      </w:tr>
      <w:tr w:rsidR="00735226" w:rsidRPr="00C969E2" w14:paraId="0DFEAF60" w14:textId="77777777" w:rsidTr="00384EEC">
        <w:trPr>
          <w:trHeight w:val="312"/>
          <w:jc w:val="center"/>
        </w:trPr>
        <w:tc>
          <w:tcPr>
            <w:tcW w:w="1842" w:type="dxa"/>
            <w:vMerge/>
            <w:tcBorders>
              <w:top w:val="nil"/>
            </w:tcBorders>
          </w:tcPr>
          <w:p w14:paraId="5EA8482F" w14:textId="77777777" w:rsidR="00735226" w:rsidRPr="00C969E2" w:rsidRDefault="00735226" w:rsidP="00646849">
            <w:pPr>
              <w:rPr>
                <w:rFonts w:cs="Times New Roman"/>
                <w:szCs w:val="24"/>
              </w:rPr>
            </w:pPr>
          </w:p>
        </w:tc>
        <w:tc>
          <w:tcPr>
            <w:tcW w:w="2552" w:type="dxa"/>
          </w:tcPr>
          <w:p w14:paraId="78E61501" w14:textId="77777777" w:rsidR="00735226" w:rsidRPr="00C969E2" w:rsidRDefault="00735226" w:rsidP="00646849">
            <w:pPr>
              <w:pStyle w:val="P68B1DB1-TableParagraph38"/>
              <w:spacing w:line="292" w:lineRule="exact"/>
              <w:ind w:left="10"/>
              <w:rPr>
                <w:rFonts w:hAnsi="Times New Roman" w:cs="Times New Roman"/>
                <w:b w:val="0"/>
                <w:szCs w:val="24"/>
              </w:rPr>
            </w:pPr>
            <w:r w:rsidRPr="00C969E2">
              <w:rPr>
                <w:rFonts w:hAnsi="Times New Roman" w:cs="Times New Roman"/>
                <w:b w:val="0"/>
                <w:szCs w:val="24"/>
              </w:rPr>
              <w:t xml:space="preserve">Dose (mg)/day </w:t>
            </w:r>
          </w:p>
        </w:tc>
        <w:tc>
          <w:tcPr>
            <w:tcW w:w="1559" w:type="dxa"/>
          </w:tcPr>
          <w:p w14:paraId="2DC0B0B7" w14:textId="77777777" w:rsidR="00735226" w:rsidRPr="00C969E2" w:rsidRDefault="00735226" w:rsidP="00646849">
            <w:pPr>
              <w:pStyle w:val="P68B1DB1-TableParagraph38"/>
              <w:spacing w:line="292" w:lineRule="exact"/>
              <w:ind w:left="10"/>
              <w:rPr>
                <w:rFonts w:hAnsi="Times New Roman" w:cs="Times New Roman"/>
                <w:b w:val="0"/>
                <w:szCs w:val="24"/>
              </w:rPr>
            </w:pPr>
            <w:r w:rsidRPr="00C969E2">
              <w:rPr>
                <w:rFonts w:hAnsi="Times New Roman" w:cs="Times New Roman"/>
                <w:b w:val="0"/>
                <w:szCs w:val="24"/>
              </w:rPr>
              <w:t xml:space="preserve">Tablets/day </w:t>
            </w:r>
          </w:p>
        </w:tc>
        <w:tc>
          <w:tcPr>
            <w:tcW w:w="1701" w:type="dxa"/>
          </w:tcPr>
          <w:p w14:paraId="54481EF1" w14:textId="77777777" w:rsidR="00735226" w:rsidRPr="00C969E2" w:rsidRDefault="00735226" w:rsidP="00646849">
            <w:pPr>
              <w:pStyle w:val="P68B1DB1-TableParagraph38"/>
              <w:spacing w:line="292" w:lineRule="exact"/>
              <w:ind w:left="9"/>
              <w:rPr>
                <w:rFonts w:hAnsi="Times New Roman" w:cs="Times New Roman"/>
                <w:b w:val="0"/>
                <w:szCs w:val="24"/>
              </w:rPr>
            </w:pPr>
            <w:r w:rsidRPr="00C969E2">
              <w:rPr>
                <w:rFonts w:hAnsi="Times New Roman" w:cs="Times New Roman"/>
                <w:b w:val="0"/>
                <w:szCs w:val="24"/>
              </w:rPr>
              <w:t xml:space="preserve">Tablets/day </w:t>
            </w:r>
          </w:p>
        </w:tc>
        <w:tc>
          <w:tcPr>
            <w:tcW w:w="1559" w:type="dxa"/>
          </w:tcPr>
          <w:p w14:paraId="6DD7E1CF" w14:textId="77777777" w:rsidR="00735226" w:rsidRPr="00C969E2" w:rsidRDefault="00735226" w:rsidP="00646849">
            <w:pPr>
              <w:pStyle w:val="P68B1DB1-TableParagraph38"/>
              <w:spacing w:line="292" w:lineRule="exact"/>
              <w:ind w:left="11" w:right="2"/>
              <w:rPr>
                <w:rFonts w:hAnsi="Times New Roman" w:cs="Times New Roman"/>
                <w:b w:val="0"/>
                <w:szCs w:val="24"/>
              </w:rPr>
            </w:pPr>
            <w:r w:rsidRPr="00C969E2">
              <w:rPr>
                <w:rFonts w:hAnsi="Times New Roman" w:cs="Times New Roman"/>
                <w:b w:val="0"/>
                <w:szCs w:val="24"/>
              </w:rPr>
              <w:t xml:space="preserve">Tablets/day </w:t>
            </w:r>
          </w:p>
        </w:tc>
      </w:tr>
      <w:tr w:rsidR="00735226" w:rsidRPr="00C969E2" w14:paraId="44FA4FFB" w14:textId="77777777" w:rsidTr="00384EEC">
        <w:trPr>
          <w:trHeight w:val="312"/>
          <w:jc w:val="center"/>
        </w:trPr>
        <w:tc>
          <w:tcPr>
            <w:tcW w:w="1842" w:type="dxa"/>
          </w:tcPr>
          <w:p w14:paraId="7E9A9C03" w14:textId="77777777" w:rsidR="00735226" w:rsidRPr="00C969E2" w:rsidRDefault="00735226" w:rsidP="00646849">
            <w:pPr>
              <w:pStyle w:val="P68B1DB1-TableParagraph19"/>
              <w:spacing w:before="16" w:line="275" w:lineRule="exact"/>
              <w:ind w:left="12" w:right="3"/>
              <w:rPr>
                <w:rFonts w:cs="Times New Roman"/>
                <w:szCs w:val="24"/>
              </w:rPr>
            </w:pPr>
            <w:r w:rsidRPr="00C969E2">
              <w:rPr>
                <w:rFonts w:cs="Times New Roman"/>
                <w:szCs w:val="24"/>
              </w:rPr>
              <w:t xml:space="preserve">≤ 1.37 </w:t>
            </w:r>
          </w:p>
        </w:tc>
        <w:tc>
          <w:tcPr>
            <w:tcW w:w="2552" w:type="dxa"/>
          </w:tcPr>
          <w:p w14:paraId="0C600A64" w14:textId="77777777" w:rsidR="00735226" w:rsidRPr="00C969E2" w:rsidRDefault="00735226" w:rsidP="00646849">
            <w:pPr>
              <w:pStyle w:val="P68B1DB1-TableParagraph7"/>
              <w:ind w:left="10" w:right="2"/>
              <w:rPr>
                <w:rFonts w:hAnsi="Times New Roman" w:cs="Times New Roman"/>
                <w:szCs w:val="24"/>
              </w:rPr>
            </w:pPr>
            <w:r w:rsidRPr="00C969E2">
              <w:rPr>
                <w:rFonts w:hAnsi="Times New Roman" w:cs="Times New Roman"/>
                <w:szCs w:val="24"/>
              </w:rPr>
              <w:t xml:space="preserve">2000 </w:t>
            </w:r>
          </w:p>
        </w:tc>
        <w:tc>
          <w:tcPr>
            <w:tcW w:w="1559" w:type="dxa"/>
          </w:tcPr>
          <w:p w14:paraId="5B7B5600" w14:textId="77777777" w:rsidR="00735226" w:rsidRPr="00C969E2" w:rsidRDefault="00735226" w:rsidP="00646849">
            <w:pPr>
              <w:pStyle w:val="P68B1DB1-TableParagraph6"/>
              <w:spacing w:line="292" w:lineRule="exact"/>
              <w:ind w:left="10" w:right="3"/>
              <w:rPr>
                <w:rFonts w:ascii="Times New Roman" w:hAnsi="Times New Roman" w:cs="Times New Roman"/>
                <w:szCs w:val="24"/>
              </w:rPr>
            </w:pPr>
            <w:r w:rsidRPr="00C969E2">
              <w:rPr>
                <w:rFonts w:ascii="Times New Roman" w:hAnsi="Times New Roman" w:cs="Times New Roman"/>
                <w:szCs w:val="24"/>
              </w:rPr>
              <w:t xml:space="preserve">4 → 3 </w:t>
            </w:r>
          </w:p>
        </w:tc>
        <w:tc>
          <w:tcPr>
            <w:tcW w:w="1701" w:type="dxa"/>
          </w:tcPr>
          <w:p w14:paraId="259F1644" w14:textId="788A4F10" w:rsidR="00735226" w:rsidRPr="00C969E2" w:rsidRDefault="00735226" w:rsidP="00646849">
            <w:pPr>
              <w:pStyle w:val="P68B1DB1-TableParagraph16"/>
              <w:spacing w:line="292" w:lineRule="exact"/>
              <w:ind w:left="9" w:right="1"/>
              <w:rPr>
                <w:rFonts w:ascii="Times New Roman" w:hAnsi="Times New Roman" w:cs="Times New Roman"/>
                <w:b w:val="0"/>
                <w:szCs w:val="24"/>
              </w:rPr>
            </w:pPr>
            <w:r>
              <w:rPr>
                <w:rFonts w:ascii="Times New Roman" w:hAnsi="Times New Roman" w:cs="Times New Roman"/>
                <w:b w:val="0"/>
                <w:szCs w:val="24"/>
              </w:rPr>
              <w:t>Trimination</w:t>
            </w:r>
            <w:r w:rsidRPr="00C969E2">
              <w:rPr>
                <w:rFonts w:ascii="Times New Roman" w:hAnsi="Times New Roman" w:cs="Times New Roman"/>
                <w:b w:val="0"/>
                <w:szCs w:val="24"/>
              </w:rPr>
              <w:t xml:space="preserve"> </w:t>
            </w:r>
          </w:p>
        </w:tc>
        <w:tc>
          <w:tcPr>
            <w:tcW w:w="1559" w:type="dxa"/>
          </w:tcPr>
          <w:p w14:paraId="6326077E" w14:textId="5A13B9D7" w:rsidR="00735226" w:rsidRPr="00C969E2" w:rsidRDefault="00735226">
            <w:pPr>
              <w:pStyle w:val="P68B1DB1-TableParagraph41"/>
              <w:ind w:left="11" w:right="2"/>
              <w:rPr>
                <w:rFonts w:hAnsi="Times New Roman" w:cs="Times New Roman"/>
                <w:b w:val="0"/>
                <w:szCs w:val="24"/>
              </w:rPr>
            </w:pPr>
            <w:r w:rsidRPr="00C969E2">
              <w:rPr>
                <w:rFonts w:hAnsi="Times New Roman" w:cs="Times New Roman"/>
                <w:b w:val="0"/>
                <w:szCs w:val="24"/>
              </w:rPr>
              <w:t>-</w:t>
            </w:r>
          </w:p>
        </w:tc>
      </w:tr>
      <w:tr w:rsidR="00735226" w:rsidRPr="00C969E2" w14:paraId="265650E3" w14:textId="77777777" w:rsidTr="00384EEC">
        <w:trPr>
          <w:trHeight w:val="311"/>
          <w:jc w:val="center"/>
        </w:trPr>
        <w:tc>
          <w:tcPr>
            <w:tcW w:w="1842" w:type="dxa"/>
          </w:tcPr>
          <w:p w14:paraId="51DB168A" w14:textId="6FABE6B4" w:rsidR="00735226" w:rsidRPr="00C969E2" w:rsidRDefault="00735226">
            <w:pPr>
              <w:pStyle w:val="P68B1DB1-TableParagraph7"/>
              <w:spacing w:before="16" w:line="276" w:lineRule="exact"/>
              <w:ind w:left="12"/>
              <w:rPr>
                <w:rFonts w:hAnsi="Times New Roman" w:cs="Times New Roman"/>
                <w:szCs w:val="24"/>
              </w:rPr>
            </w:pPr>
            <w:r w:rsidRPr="00C969E2">
              <w:rPr>
                <w:rFonts w:hAnsi="Times New Roman" w:cs="Times New Roman"/>
                <w:szCs w:val="24"/>
              </w:rPr>
              <w:t>1.38</w:t>
            </w:r>
            <w:r>
              <w:rPr>
                <w:rFonts w:hAnsi="Times New Roman" w:cs="Times New Roman"/>
                <w:szCs w:val="24"/>
              </w:rPr>
              <w:t>-</w:t>
            </w:r>
            <w:r w:rsidRPr="00C969E2">
              <w:rPr>
                <w:rFonts w:hAnsi="Times New Roman" w:cs="Times New Roman"/>
                <w:szCs w:val="24"/>
              </w:rPr>
              <w:t xml:space="preserve">1.60 </w:t>
            </w:r>
          </w:p>
        </w:tc>
        <w:tc>
          <w:tcPr>
            <w:tcW w:w="2552" w:type="dxa"/>
          </w:tcPr>
          <w:p w14:paraId="5CFC9B7A" w14:textId="77777777" w:rsidR="00735226" w:rsidRPr="00C969E2" w:rsidRDefault="00735226" w:rsidP="00646849">
            <w:pPr>
              <w:pStyle w:val="P68B1DB1-TableParagraph7"/>
              <w:spacing w:line="276" w:lineRule="exact"/>
              <w:ind w:left="10" w:right="2"/>
              <w:rPr>
                <w:rFonts w:hAnsi="Times New Roman" w:cs="Times New Roman"/>
                <w:szCs w:val="24"/>
              </w:rPr>
            </w:pPr>
            <w:r w:rsidRPr="00C969E2">
              <w:rPr>
                <w:rFonts w:hAnsi="Times New Roman" w:cs="Times New Roman"/>
                <w:szCs w:val="24"/>
              </w:rPr>
              <w:t xml:space="preserve">2500 </w:t>
            </w:r>
          </w:p>
        </w:tc>
        <w:tc>
          <w:tcPr>
            <w:tcW w:w="1559" w:type="dxa"/>
          </w:tcPr>
          <w:p w14:paraId="61E56E03" w14:textId="77777777" w:rsidR="00735226" w:rsidRPr="00C969E2" w:rsidRDefault="00735226" w:rsidP="00646849">
            <w:pPr>
              <w:pStyle w:val="P68B1DB1-TableParagraph6"/>
              <w:spacing w:line="292" w:lineRule="exact"/>
              <w:ind w:left="10" w:right="3"/>
              <w:rPr>
                <w:rFonts w:ascii="Times New Roman" w:hAnsi="Times New Roman" w:cs="Times New Roman"/>
                <w:szCs w:val="24"/>
              </w:rPr>
            </w:pPr>
            <w:r w:rsidRPr="00C969E2">
              <w:rPr>
                <w:rFonts w:ascii="Times New Roman" w:hAnsi="Times New Roman" w:cs="Times New Roman"/>
                <w:szCs w:val="24"/>
              </w:rPr>
              <w:t xml:space="preserve">5 → 4 </w:t>
            </w:r>
          </w:p>
        </w:tc>
        <w:tc>
          <w:tcPr>
            <w:tcW w:w="1701" w:type="dxa"/>
          </w:tcPr>
          <w:p w14:paraId="39BA4900" w14:textId="77777777" w:rsidR="00735226" w:rsidRPr="00C969E2" w:rsidRDefault="00735226" w:rsidP="00646849">
            <w:pPr>
              <w:pStyle w:val="P68B1DB1-TableParagraph6"/>
              <w:spacing w:line="292" w:lineRule="exact"/>
              <w:ind w:left="9" w:right="1"/>
              <w:rPr>
                <w:rFonts w:ascii="Times New Roman" w:hAnsi="Times New Roman" w:cs="Times New Roman"/>
                <w:szCs w:val="24"/>
              </w:rPr>
            </w:pPr>
            <w:r w:rsidRPr="00C969E2">
              <w:rPr>
                <w:rFonts w:ascii="Times New Roman" w:hAnsi="Times New Roman" w:cs="Times New Roman"/>
                <w:szCs w:val="24"/>
              </w:rPr>
              <w:t xml:space="preserve">4 → 3 </w:t>
            </w:r>
          </w:p>
        </w:tc>
        <w:tc>
          <w:tcPr>
            <w:tcW w:w="1559" w:type="dxa"/>
          </w:tcPr>
          <w:p w14:paraId="3A8F4BA8" w14:textId="4BB52308" w:rsidR="00735226" w:rsidRPr="00C969E2" w:rsidRDefault="00735226" w:rsidP="00646849">
            <w:pPr>
              <w:pStyle w:val="P68B1DB1-TableParagraph16"/>
              <w:spacing w:line="292" w:lineRule="exact"/>
              <w:ind w:left="11"/>
              <w:rPr>
                <w:rFonts w:ascii="Times New Roman" w:hAnsi="Times New Roman" w:cs="Times New Roman"/>
                <w:b w:val="0"/>
                <w:szCs w:val="24"/>
              </w:rPr>
            </w:pPr>
            <w:r>
              <w:rPr>
                <w:rFonts w:ascii="Times New Roman" w:hAnsi="Times New Roman" w:cs="Times New Roman"/>
                <w:b w:val="0"/>
                <w:szCs w:val="24"/>
              </w:rPr>
              <w:t>Trimination</w:t>
            </w:r>
          </w:p>
        </w:tc>
      </w:tr>
      <w:tr w:rsidR="00735226" w:rsidRPr="00C969E2" w14:paraId="1F13AB7E" w14:textId="77777777" w:rsidTr="00384EEC">
        <w:trPr>
          <w:trHeight w:val="312"/>
          <w:jc w:val="center"/>
        </w:trPr>
        <w:tc>
          <w:tcPr>
            <w:tcW w:w="1842" w:type="dxa"/>
          </w:tcPr>
          <w:p w14:paraId="5869DAAC" w14:textId="7343E852" w:rsidR="00735226" w:rsidRPr="00C969E2" w:rsidRDefault="00735226">
            <w:pPr>
              <w:pStyle w:val="P68B1DB1-TableParagraph7"/>
              <w:spacing w:before="16"/>
              <w:ind w:left="12"/>
              <w:rPr>
                <w:rFonts w:hAnsi="Times New Roman" w:cs="Times New Roman"/>
                <w:szCs w:val="24"/>
              </w:rPr>
            </w:pPr>
            <w:r w:rsidRPr="00C969E2">
              <w:rPr>
                <w:rFonts w:hAnsi="Times New Roman" w:cs="Times New Roman"/>
                <w:szCs w:val="24"/>
              </w:rPr>
              <w:t>1.61</w:t>
            </w:r>
            <w:r>
              <w:rPr>
                <w:rFonts w:hAnsi="Times New Roman" w:cs="Times New Roman"/>
                <w:szCs w:val="24"/>
              </w:rPr>
              <w:t>-</w:t>
            </w:r>
            <w:r w:rsidRPr="00C969E2">
              <w:rPr>
                <w:rFonts w:hAnsi="Times New Roman" w:cs="Times New Roman"/>
                <w:szCs w:val="24"/>
              </w:rPr>
              <w:t xml:space="preserve">1.87 </w:t>
            </w:r>
          </w:p>
        </w:tc>
        <w:tc>
          <w:tcPr>
            <w:tcW w:w="2552" w:type="dxa"/>
          </w:tcPr>
          <w:p w14:paraId="6FF6D9E3" w14:textId="77777777" w:rsidR="00735226" w:rsidRPr="00C969E2" w:rsidRDefault="00735226" w:rsidP="00646849">
            <w:pPr>
              <w:pStyle w:val="P68B1DB1-TableParagraph7"/>
              <w:spacing w:line="275" w:lineRule="exact"/>
              <w:ind w:left="10" w:right="2"/>
              <w:rPr>
                <w:rFonts w:hAnsi="Times New Roman" w:cs="Times New Roman"/>
                <w:szCs w:val="24"/>
              </w:rPr>
            </w:pPr>
            <w:r w:rsidRPr="00C969E2">
              <w:rPr>
                <w:rFonts w:hAnsi="Times New Roman" w:cs="Times New Roman"/>
                <w:szCs w:val="24"/>
              </w:rPr>
              <w:t xml:space="preserve">3000 </w:t>
            </w:r>
          </w:p>
        </w:tc>
        <w:tc>
          <w:tcPr>
            <w:tcW w:w="1559" w:type="dxa"/>
          </w:tcPr>
          <w:p w14:paraId="6C11DEC3" w14:textId="77777777" w:rsidR="00735226" w:rsidRPr="00C969E2" w:rsidRDefault="00735226" w:rsidP="00646849">
            <w:pPr>
              <w:pStyle w:val="P68B1DB1-TableParagraph6"/>
              <w:spacing w:line="292" w:lineRule="exact"/>
              <w:ind w:left="10" w:right="3"/>
              <w:rPr>
                <w:rFonts w:ascii="Times New Roman" w:hAnsi="Times New Roman" w:cs="Times New Roman"/>
                <w:szCs w:val="24"/>
              </w:rPr>
            </w:pPr>
            <w:r w:rsidRPr="00C969E2">
              <w:rPr>
                <w:rFonts w:ascii="Times New Roman" w:hAnsi="Times New Roman" w:cs="Times New Roman"/>
                <w:szCs w:val="24"/>
              </w:rPr>
              <w:t xml:space="preserve">6 → 5 </w:t>
            </w:r>
          </w:p>
        </w:tc>
        <w:tc>
          <w:tcPr>
            <w:tcW w:w="1701" w:type="dxa"/>
          </w:tcPr>
          <w:p w14:paraId="049BBE14" w14:textId="77777777" w:rsidR="00735226" w:rsidRPr="00C969E2" w:rsidRDefault="00735226" w:rsidP="00646849">
            <w:pPr>
              <w:pStyle w:val="P68B1DB1-TableParagraph6"/>
              <w:spacing w:line="292" w:lineRule="exact"/>
              <w:ind w:left="9" w:right="1"/>
              <w:rPr>
                <w:rFonts w:ascii="Times New Roman" w:hAnsi="Times New Roman" w:cs="Times New Roman"/>
                <w:szCs w:val="24"/>
              </w:rPr>
            </w:pPr>
            <w:r w:rsidRPr="00C969E2">
              <w:rPr>
                <w:rFonts w:ascii="Times New Roman" w:hAnsi="Times New Roman" w:cs="Times New Roman"/>
                <w:szCs w:val="24"/>
              </w:rPr>
              <w:t xml:space="preserve">5 → 4 </w:t>
            </w:r>
          </w:p>
        </w:tc>
        <w:tc>
          <w:tcPr>
            <w:tcW w:w="1559" w:type="dxa"/>
          </w:tcPr>
          <w:p w14:paraId="65D7B3A5" w14:textId="77777777" w:rsidR="00735226" w:rsidRPr="00C969E2" w:rsidRDefault="00735226" w:rsidP="00646849">
            <w:pPr>
              <w:pStyle w:val="P68B1DB1-TableParagraph6"/>
              <w:spacing w:line="292" w:lineRule="exact"/>
              <w:ind w:left="11"/>
              <w:rPr>
                <w:rFonts w:ascii="Times New Roman" w:hAnsi="Times New Roman" w:cs="Times New Roman"/>
                <w:szCs w:val="24"/>
              </w:rPr>
            </w:pPr>
            <w:r w:rsidRPr="00C969E2">
              <w:rPr>
                <w:rFonts w:ascii="Times New Roman" w:hAnsi="Times New Roman" w:cs="Times New Roman"/>
                <w:szCs w:val="24"/>
              </w:rPr>
              <w:t xml:space="preserve">4 → 3 </w:t>
            </w:r>
          </w:p>
        </w:tc>
      </w:tr>
      <w:tr w:rsidR="00735226" w:rsidRPr="00C969E2" w14:paraId="237B0839" w14:textId="77777777" w:rsidTr="00384EEC">
        <w:trPr>
          <w:trHeight w:val="312"/>
          <w:jc w:val="center"/>
        </w:trPr>
        <w:tc>
          <w:tcPr>
            <w:tcW w:w="1842" w:type="dxa"/>
          </w:tcPr>
          <w:p w14:paraId="50A6BF7D" w14:textId="53A815F5" w:rsidR="00735226" w:rsidRPr="00C969E2" w:rsidRDefault="00735226">
            <w:pPr>
              <w:pStyle w:val="P68B1DB1-TableParagraph7"/>
              <w:spacing w:before="18" w:line="274" w:lineRule="exact"/>
              <w:ind w:left="12"/>
              <w:rPr>
                <w:rFonts w:hAnsi="Times New Roman" w:cs="Times New Roman"/>
                <w:szCs w:val="24"/>
              </w:rPr>
            </w:pPr>
            <w:r w:rsidRPr="00C969E2">
              <w:rPr>
                <w:rFonts w:hAnsi="Times New Roman" w:cs="Times New Roman"/>
                <w:szCs w:val="24"/>
              </w:rPr>
              <w:t>1.88</w:t>
            </w:r>
            <w:r>
              <w:rPr>
                <w:rFonts w:hAnsi="Times New Roman" w:cs="Times New Roman"/>
                <w:szCs w:val="24"/>
              </w:rPr>
              <w:t>-</w:t>
            </w:r>
            <w:r w:rsidRPr="00C969E2">
              <w:rPr>
                <w:rFonts w:hAnsi="Times New Roman" w:cs="Times New Roman"/>
                <w:szCs w:val="24"/>
              </w:rPr>
              <w:t xml:space="preserve">2.13 </w:t>
            </w:r>
          </w:p>
        </w:tc>
        <w:tc>
          <w:tcPr>
            <w:tcW w:w="2552" w:type="dxa"/>
          </w:tcPr>
          <w:p w14:paraId="280CF986" w14:textId="77777777" w:rsidR="00735226" w:rsidRPr="00C969E2" w:rsidRDefault="00735226" w:rsidP="00646849">
            <w:pPr>
              <w:pStyle w:val="P68B1DB1-TableParagraph7"/>
              <w:spacing w:line="275" w:lineRule="exact"/>
              <w:ind w:left="10" w:right="2"/>
              <w:rPr>
                <w:rFonts w:hAnsi="Times New Roman" w:cs="Times New Roman"/>
                <w:szCs w:val="24"/>
              </w:rPr>
            </w:pPr>
            <w:r w:rsidRPr="00C969E2">
              <w:rPr>
                <w:rFonts w:hAnsi="Times New Roman" w:cs="Times New Roman"/>
                <w:szCs w:val="24"/>
              </w:rPr>
              <w:t xml:space="preserve">3500 </w:t>
            </w:r>
          </w:p>
        </w:tc>
        <w:tc>
          <w:tcPr>
            <w:tcW w:w="1559" w:type="dxa"/>
          </w:tcPr>
          <w:p w14:paraId="14CD5EBA" w14:textId="77777777" w:rsidR="00735226" w:rsidRPr="00C969E2" w:rsidRDefault="00735226" w:rsidP="00646849">
            <w:pPr>
              <w:pStyle w:val="P68B1DB1-TableParagraph6"/>
              <w:spacing w:line="292" w:lineRule="exact"/>
              <w:ind w:left="10" w:right="3"/>
              <w:rPr>
                <w:rFonts w:ascii="Times New Roman" w:hAnsi="Times New Roman" w:cs="Times New Roman"/>
                <w:szCs w:val="24"/>
              </w:rPr>
            </w:pPr>
            <w:r w:rsidRPr="00C969E2">
              <w:rPr>
                <w:rFonts w:ascii="Times New Roman" w:hAnsi="Times New Roman" w:cs="Times New Roman"/>
                <w:szCs w:val="24"/>
              </w:rPr>
              <w:t xml:space="preserve">7 → 5 </w:t>
            </w:r>
          </w:p>
        </w:tc>
        <w:tc>
          <w:tcPr>
            <w:tcW w:w="1701" w:type="dxa"/>
          </w:tcPr>
          <w:p w14:paraId="25B7BF44" w14:textId="77777777" w:rsidR="00735226" w:rsidRPr="00C969E2" w:rsidRDefault="00735226" w:rsidP="00646849">
            <w:pPr>
              <w:pStyle w:val="P68B1DB1-TableParagraph6"/>
              <w:spacing w:line="292" w:lineRule="exact"/>
              <w:ind w:left="9" w:right="1"/>
              <w:rPr>
                <w:rFonts w:ascii="Times New Roman" w:hAnsi="Times New Roman" w:cs="Times New Roman"/>
                <w:szCs w:val="24"/>
              </w:rPr>
            </w:pPr>
            <w:r w:rsidRPr="00C969E2">
              <w:rPr>
                <w:rFonts w:ascii="Times New Roman" w:hAnsi="Times New Roman" w:cs="Times New Roman"/>
                <w:szCs w:val="24"/>
              </w:rPr>
              <w:t xml:space="preserve">5 → 4 </w:t>
            </w:r>
          </w:p>
        </w:tc>
        <w:tc>
          <w:tcPr>
            <w:tcW w:w="1559" w:type="dxa"/>
          </w:tcPr>
          <w:p w14:paraId="1531684D" w14:textId="77777777" w:rsidR="00735226" w:rsidRPr="00C969E2" w:rsidRDefault="00735226" w:rsidP="00646849">
            <w:pPr>
              <w:pStyle w:val="P68B1DB1-TableParagraph6"/>
              <w:spacing w:line="292" w:lineRule="exact"/>
              <w:ind w:left="11"/>
              <w:rPr>
                <w:rFonts w:ascii="Times New Roman" w:hAnsi="Times New Roman" w:cs="Times New Roman"/>
                <w:szCs w:val="24"/>
              </w:rPr>
            </w:pPr>
            <w:r w:rsidRPr="00C969E2">
              <w:rPr>
                <w:rFonts w:ascii="Times New Roman" w:hAnsi="Times New Roman" w:cs="Times New Roman"/>
                <w:szCs w:val="24"/>
              </w:rPr>
              <w:t xml:space="preserve">4 → 3 </w:t>
            </w:r>
          </w:p>
        </w:tc>
      </w:tr>
      <w:tr w:rsidR="00735226" w:rsidRPr="00C969E2" w14:paraId="5A02C631" w14:textId="77777777" w:rsidTr="00384EEC">
        <w:trPr>
          <w:trHeight w:val="311"/>
          <w:jc w:val="center"/>
        </w:trPr>
        <w:tc>
          <w:tcPr>
            <w:tcW w:w="1842" w:type="dxa"/>
          </w:tcPr>
          <w:p w14:paraId="41F739AA" w14:textId="77777777" w:rsidR="00735226" w:rsidRPr="00C969E2" w:rsidRDefault="00735226" w:rsidP="00646849">
            <w:pPr>
              <w:pStyle w:val="P68B1DB1-TableParagraph19"/>
              <w:spacing w:before="17" w:line="274" w:lineRule="exact"/>
              <w:ind w:left="12" w:right="3"/>
              <w:rPr>
                <w:rFonts w:cs="Times New Roman"/>
                <w:szCs w:val="24"/>
              </w:rPr>
            </w:pPr>
            <w:r w:rsidRPr="00C969E2">
              <w:rPr>
                <w:rFonts w:cs="Times New Roman"/>
                <w:szCs w:val="24"/>
              </w:rPr>
              <w:t xml:space="preserve">≥ 2.14 </w:t>
            </w:r>
          </w:p>
        </w:tc>
        <w:tc>
          <w:tcPr>
            <w:tcW w:w="2552" w:type="dxa"/>
          </w:tcPr>
          <w:p w14:paraId="446C091F" w14:textId="77777777" w:rsidR="00735226" w:rsidRPr="00C969E2" w:rsidRDefault="00735226" w:rsidP="00646849">
            <w:pPr>
              <w:pStyle w:val="P68B1DB1-TableParagraph7"/>
              <w:spacing w:line="274" w:lineRule="exact"/>
              <w:ind w:left="10" w:right="2"/>
              <w:rPr>
                <w:rFonts w:hAnsi="Times New Roman" w:cs="Times New Roman"/>
                <w:szCs w:val="24"/>
              </w:rPr>
            </w:pPr>
            <w:r w:rsidRPr="00C969E2">
              <w:rPr>
                <w:rFonts w:hAnsi="Times New Roman" w:cs="Times New Roman"/>
                <w:szCs w:val="24"/>
              </w:rPr>
              <w:t xml:space="preserve">4000 </w:t>
            </w:r>
          </w:p>
        </w:tc>
        <w:tc>
          <w:tcPr>
            <w:tcW w:w="1559" w:type="dxa"/>
          </w:tcPr>
          <w:p w14:paraId="7FA6C658" w14:textId="77777777" w:rsidR="00735226" w:rsidRPr="00C969E2" w:rsidRDefault="00735226" w:rsidP="00646849">
            <w:pPr>
              <w:pStyle w:val="P68B1DB1-TableParagraph6"/>
              <w:spacing w:line="292" w:lineRule="exact"/>
              <w:ind w:left="10" w:right="3"/>
              <w:rPr>
                <w:rFonts w:ascii="Times New Roman" w:hAnsi="Times New Roman" w:cs="Times New Roman"/>
                <w:szCs w:val="24"/>
              </w:rPr>
            </w:pPr>
            <w:r w:rsidRPr="00C969E2">
              <w:rPr>
                <w:rFonts w:ascii="Times New Roman" w:hAnsi="Times New Roman" w:cs="Times New Roman"/>
                <w:szCs w:val="24"/>
              </w:rPr>
              <w:t xml:space="preserve">8 → 6 </w:t>
            </w:r>
          </w:p>
        </w:tc>
        <w:tc>
          <w:tcPr>
            <w:tcW w:w="1701" w:type="dxa"/>
          </w:tcPr>
          <w:p w14:paraId="3C14273D" w14:textId="77777777" w:rsidR="00735226" w:rsidRPr="00C969E2" w:rsidRDefault="00735226" w:rsidP="00646849">
            <w:pPr>
              <w:pStyle w:val="P68B1DB1-TableParagraph6"/>
              <w:spacing w:line="292" w:lineRule="exact"/>
              <w:ind w:left="9" w:right="1"/>
              <w:rPr>
                <w:rFonts w:ascii="Times New Roman" w:hAnsi="Times New Roman" w:cs="Times New Roman"/>
                <w:szCs w:val="24"/>
              </w:rPr>
            </w:pPr>
            <w:r w:rsidRPr="00C969E2">
              <w:rPr>
                <w:rFonts w:ascii="Times New Roman" w:hAnsi="Times New Roman" w:cs="Times New Roman"/>
                <w:szCs w:val="24"/>
              </w:rPr>
              <w:t xml:space="preserve">6 → 5 </w:t>
            </w:r>
          </w:p>
        </w:tc>
        <w:tc>
          <w:tcPr>
            <w:tcW w:w="1559" w:type="dxa"/>
          </w:tcPr>
          <w:p w14:paraId="6C322001" w14:textId="77777777" w:rsidR="00735226" w:rsidRPr="00C969E2" w:rsidRDefault="00735226" w:rsidP="00646849">
            <w:pPr>
              <w:pStyle w:val="P68B1DB1-TableParagraph6"/>
              <w:spacing w:line="292" w:lineRule="exact"/>
              <w:ind w:left="11"/>
              <w:rPr>
                <w:rFonts w:ascii="Times New Roman" w:hAnsi="Times New Roman" w:cs="Times New Roman"/>
                <w:szCs w:val="24"/>
              </w:rPr>
            </w:pPr>
            <w:r w:rsidRPr="00C969E2">
              <w:rPr>
                <w:rFonts w:ascii="Times New Roman" w:hAnsi="Times New Roman" w:cs="Times New Roman"/>
                <w:szCs w:val="24"/>
              </w:rPr>
              <w:t xml:space="preserve">5 → 4 </w:t>
            </w:r>
          </w:p>
        </w:tc>
      </w:tr>
    </w:tbl>
    <w:p w14:paraId="1105D194" w14:textId="21B54D52" w:rsidR="00C755D7" w:rsidRPr="0025058B" w:rsidRDefault="003E0392" w:rsidP="00384EEC">
      <w:r w:rsidRPr="00384EEC">
        <w:rPr>
          <w:b/>
        </w:rPr>
        <w:t xml:space="preserve">Anlotinib </w:t>
      </w:r>
    </w:p>
    <w:p w14:paraId="03244B26" w14:textId="1CC0B2C4" w:rsidR="00A657F4" w:rsidRDefault="00C5212B" w:rsidP="00384EEC">
      <w:r w:rsidRPr="00C5212B">
        <w:t>Before breakfast, take anlotinib orally on an empty stom</w:t>
      </w:r>
      <w:r w:rsidR="004F483E">
        <w:t xml:space="preserve">ach, 1 tablet (12 mg)/once/day. </w:t>
      </w:r>
      <w:r w:rsidRPr="00C5212B">
        <w:t>Continue the drug administration for 2 weeks and stop for 1 week. If there are no special circumstances, medication should be administered at a fixed time every day. If blood collection or safety tests are required, medication should be administered after blood collection. If there are missed medications and the interval from the next medication is &lt;12 h, no medication is supplemented.</w:t>
      </w:r>
      <w:r w:rsidR="003E0392">
        <w:t xml:space="preserve"> </w:t>
      </w:r>
    </w:p>
    <w:p w14:paraId="233BCD85" w14:textId="47829AB8" w:rsidR="00270AFF" w:rsidRDefault="00270AFF" w:rsidP="00384EEC">
      <w:r w:rsidRPr="00270AFF">
        <w:rPr>
          <w:b/>
        </w:rPr>
        <w:t>Bevacizumab</w:t>
      </w:r>
    </w:p>
    <w:p w14:paraId="482EF8BA" w14:textId="0B873529" w:rsidR="00AF7409" w:rsidRDefault="00AF7409" w:rsidP="00AF7409">
      <w:r>
        <w:t>7.5</w:t>
      </w:r>
      <w:r w:rsidR="00FF2BA4" w:rsidRPr="00384EEC">
        <w:t>mg</w:t>
      </w:r>
      <w:r>
        <w:t>/kg,</w:t>
      </w:r>
      <w:r w:rsidR="00FF2BA4" w:rsidRPr="00384EEC">
        <w:t xml:space="preserve"> </w:t>
      </w:r>
      <w:r w:rsidRPr="00AF7409">
        <w:t>ivgtt., on day 1 every 21 days</w:t>
      </w:r>
      <w:r>
        <w:t xml:space="preserve"> </w:t>
      </w:r>
      <w:r w:rsidR="00FF2BA4" w:rsidRPr="00384EEC">
        <w:t xml:space="preserve">and infused over a period of </w:t>
      </w:r>
      <w:r>
        <w:t>90</w:t>
      </w:r>
      <w:r w:rsidR="00FF2BA4" w:rsidRPr="00384EEC">
        <w:t xml:space="preserve"> ±10 min. </w:t>
      </w:r>
      <w:r>
        <w:t xml:space="preserve">If the first infusion is well tolerated, the duration of the second infusion can be reduced to 60±10 minutes. If the 60-min infusion is also well tolerated, all subsequent infusions can be completed in 30±5 </w:t>
      </w:r>
      <w:r>
        <w:lastRenderedPageBreak/>
        <w:t>min.</w:t>
      </w:r>
    </w:p>
    <w:p w14:paraId="43BCE06D" w14:textId="65E1C5DE" w:rsidR="00274F97" w:rsidRPr="00384EEC" w:rsidRDefault="00077C62" w:rsidP="00384EEC">
      <w:pPr>
        <w:rPr>
          <w:rFonts w:eastAsiaTheme="minorEastAsia"/>
        </w:rPr>
      </w:pPr>
      <w:r w:rsidRPr="00077C62">
        <w:t>It has been demonstrated that the chemical and physical stability of bevacizumab during use can be</w:t>
      </w:r>
      <w:r w:rsidR="008A165B">
        <w:t xml:space="preserve"> maintained for 48 hours at 2 °</w:t>
      </w:r>
      <w:r w:rsidR="00E9302B">
        <w:t>C</w:t>
      </w:r>
      <w:r w:rsidR="008A165B">
        <w:t>-30 °</w:t>
      </w:r>
      <w:r w:rsidRPr="00077C62">
        <w:t>C i</w:t>
      </w:r>
      <w:r>
        <w:t>n 0.9% sodium chloride solution</w:t>
      </w:r>
      <w:r w:rsidR="00AF7409">
        <w:t xml:space="preserve">. Microbiologically, the product should be used as soon as it is formulated. If </w:t>
      </w:r>
      <w:r w:rsidR="00F94CE0">
        <w:t>not</w:t>
      </w:r>
      <w:r w:rsidR="00AF7409">
        <w:t>, it is necessary to ensure the storage</w:t>
      </w:r>
      <w:r w:rsidR="00F94CE0" w:rsidRPr="00F94CE0">
        <w:t xml:space="preserve"> </w:t>
      </w:r>
      <w:r w:rsidR="00F94CE0">
        <w:t>conditions</w:t>
      </w:r>
      <w:r w:rsidR="00AF7409">
        <w:t>, strictly control and confirm that the dilution is carried out under sterile conditions. Under normal circumstances, the</w:t>
      </w:r>
      <w:r w:rsidR="00F94CE0">
        <w:t xml:space="preserve"> time</w:t>
      </w:r>
      <w:r w:rsidR="00AF7409">
        <w:t xml:space="preserve"> </w:t>
      </w:r>
      <w:r w:rsidR="00F94CE0">
        <w:t xml:space="preserve">for </w:t>
      </w:r>
      <w:r w:rsidR="00AF7409">
        <w:t>storage at 2</w:t>
      </w:r>
      <w:r w:rsidR="00AF7409">
        <w:rPr>
          <w:rFonts w:hint="eastAsia"/>
        </w:rPr>
        <w:t>℃</w:t>
      </w:r>
      <w:r w:rsidR="00E9302B">
        <w:t>-</w:t>
      </w:r>
      <w:r w:rsidR="00AF7409">
        <w:t>8</w:t>
      </w:r>
      <w:r w:rsidR="00AF7409">
        <w:rPr>
          <w:rFonts w:hint="eastAsia"/>
        </w:rPr>
        <w:t>℃</w:t>
      </w:r>
      <w:r w:rsidR="00AF7409">
        <w:t xml:space="preserve"> should not exceed 24 hours.</w:t>
      </w:r>
    </w:p>
    <w:p w14:paraId="68A98FE1" w14:textId="67C71919" w:rsidR="00D45C54" w:rsidRDefault="003E0392">
      <w:pPr>
        <w:pStyle w:val="3"/>
      </w:pPr>
      <w:bookmarkStart w:id="74" w:name="_Toc35946298"/>
      <w:bookmarkStart w:id="75" w:name="_Toc196547987"/>
      <w:r>
        <w:rPr>
          <w:rFonts w:hint="eastAsia"/>
        </w:rPr>
        <w:t>5.</w:t>
      </w:r>
      <w:r w:rsidR="001A1E67">
        <w:t>2</w:t>
      </w:r>
      <w:r>
        <w:rPr>
          <w:rFonts w:hint="eastAsia"/>
        </w:rPr>
        <w:t>.</w:t>
      </w:r>
      <w:r w:rsidR="001A1E67">
        <w:t>2</w:t>
      </w:r>
      <w:r w:rsidR="001A1E67">
        <w:rPr>
          <w:rFonts w:hint="eastAsia"/>
        </w:rPr>
        <w:t xml:space="preserve"> </w:t>
      </w:r>
      <w:r>
        <w:rPr>
          <w:rFonts w:hint="eastAsia"/>
        </w:rPr>
        <w:t xml:space="preserve">Modification of </w:t>
      </w:r>
      <w:r w:rsidR="00D76E35">
        <w:rPr>
          <w:rFonts w:hint="eastAsia"/>
        </w:rPr>
        <w:t>Dos</w:t>
      </w:r>
      <w:r w:rsidR="00D76E35">
        <w:t>e</w:t>
      </w:r>
      <w:r w:rsidR="00D76E35">
        <w:rPr>
          <w:rFonts w:hint="eastAsia"/>
        </w:rPr>
        <w:t xml:space="preserve"> </w:t>
      </w:r>
      <w:r>
        <w:rPr>
          <w:rFonts w:hint="eastAsia"/>
        </w:rPr>
        <w:t>Regimen</w:t>
      </w:r>
      <w:bookmarkEnd w:id="75"/>
      <w:r>
        <w:rPr>
          <w:rFonts w:hint="eastAsia"/>
        </w:rPr>
        <w:t xml:space="preserve"> </w:t>
      </w:r>
      <w:bookmarkEnd w:id="74"/>
    </w:p>
    <w:p w14:paraId="588A092E" w14:textId="77777777" w:rsidR="001A1E67" w:rsidRPr="00971025" w:rsidRDefault="001A1E67" w:rsidP="00384EEC">
      <w:r w:rsidRPr="00971025">
        <w:t>The severity of AEs will be graded according to the National Cancer Institute Common Terminology Criteria for Adverse Events (NCI-CTCAE) v5.0 grading system. Given the trial of the drug combination, the study drugs unrelated to AEs can be identified and the medication regimen can be maintained.</w:t>
      </w:r>
    </w:p>
    <w:p w14:paraId="66CB51E5" w14:textId="77777777" w:rsidR="001A1E67" w:rsidRPr="00150920" w:rsidRDefault="001A1E67" w:rsidP="00384EEC">
      <w:r w:rsidRPr="00150920">
        <w:t>When severe toxicity of different severity levels occurs simultaneously, adjustments should be performed according to the highest level observed;</w:t>
      </w:r>
    </w:p>
    <w:p w14:paraId="7310FEDF" w14:textId="3A4F9A50" w:rsidR="00D45C54" w:rsidRDefault="00971025" w:rsidP="003127AF">
      <w:pPr>
        <w:pStyle w:val="P68B1DB1-125"/>
        <w:rPr>
          <w:rFonts w:hint="default"/>
        </w:rPr>
      </w:pPr>
      <w:r w:rsidRPr="00971025">
        <w:t>When toxic reactions occur, the investigators may refer to the following rules for delay or dose adjustment. Reasons for dose adjustments or delays, the supportive measures taken, and the outcomes will be documented in the patient's</w:t>
      </w:r>
      <w:r>
        <w:t xml:space="preserve"> chart and recorded on the eCRF</w:t>
      </w:r>
      <w:r>
        <w:rPr>
          <w:rFonts w:hint="default"/>
        </w:rPr>
        <w:t>.</w:t>
      </w:r>
      <w:r w:rsidR="003E0392">
        <w:t xml:space="preserve"> </w:t>
      </w:r>
    </w:p>
    <w:p w14:paraId="1ADFC203" w14:textId="61BD0A8D" w:rsidR="009265DD" w:rsidRDefault="009265DD" w:rsidP="009265DD">
      <w:pPr>
        <w:pStyle w:val="P68B1DB1-125"/>
        <w:rPr>
          <w:rFonts w:hint="default"/>
        </w:rPr>
      </w:pPr>
      <w:r w:rsidRPr="009265DD">
        <w:t>If the investigators determine that the dose adjustment differs from the proposed adjustment rule, the appropriate adjustment will be performed by the investigators regarding clinical practice guidelines or previous clinical experience after consultation and communication with the sponsor; the relevant reasons will be recorded in the subject's medical record.</w:t>
      </w:r>
    </w:p>
    <w:p w14:paraId="2C4AAE12" w14:textId="165BCFCF" w:rsidR="009265DD" w:rsidRPr="009265DD" w:rsidRDefault="008413D5" w:rsidP="009265DD">
      <w:pPr>
        <w:pStyle w:val="P68B1DB1-125"/>
        <w:rPr>
          <w:rFonts w:hint="default"/>
        </w:rPr>
      </w:pPr>
      <w:r w:rsidRPr="008413D5">
        <w:t xml:space="preserve">Any subject who required a dose reduction would continue to receive the reduced dose for subsequent cycles. For anlotinib or oxaliplatin, after two dose reductions, the study treatment </w:t>
      </w:r>
      <w:r>
        <w:rPr>
          <w:rFonts w:hint="default"/>
        </w:rPr>
        <w:t>must</w:t>
      </w:r>
      <w:r w:rsidRPr="008413D5">
        <w:t xml:space="preserve"> be </w:t>
      </w:r>
      <w:r>
        <w:rPr>
          <w:rFonts w:hint="default"/>
        </w:rPr>
        <w:t>terminated</w:t>
      </w:r>
      <w:r w:rsidRPr="008413D5">
        <w:t xml:space="preserve"> if a third dose reduction </w:t>
      </w:r>
      <w:r>
        <w:rPr>
          <w:rFonts w:hint="default"/>
        </w:rPr>
        <w:t>is</w:t>
      </w:r>
      <w:r w:rsidRPr="008413D5">
        <w:t xml:space="preserve"> required </w:t>
      </w:r>
      <w:r>
        <w:rPr>
          <w:rFonts w:hint="default"/>
        </w:rPr>
        <w:t>owing to toxicity</w:t>
      </w:r>
      <w:r w:rsidRPr="008413D5">
        <w:t xml:space="preserve">. For capecitabine, dose reductions or </w:t>
      </w:r>
      <w:r>
        <w:rPr>
          <w:rFonts w:hint="default"/>
        </w:rPr>
        <w:t>termination</w:t>
      </w:r>
      <w:r w:rsidRPr="008413D5">
        <w:t xml:space="preserve"> owing to toxicity</w:t>
      </w:r>
      <w:r w:rsidRPr="008413D5">
        <w:rPr>
          <w:rFonts w:hint="default"/>
        </w:rPr>
        <w:t xml:space="preserve"> </w:t>
      </w:r>
      <w:r>
        <w:rPr>
          <w:rFonts w:hint="default"/>
        </w:rPr>
        <w:t>are performed</w:t>
      </w:r>
      <w:r w:rsidRPr="008413D5">
        <w:t xml:space="preserve"> as described in Tables 5.2-2 and 5.2-3. After </w:t>
      </w:r>
      <w:r>
        <w:t>dose reduction</w:t>
      </w:r>
      <w:r w:rsidRPr="008413D5">
        <w:t xml:space="preserve"> </w:t>
      </w:r>
      <w:r>
        <w:rPr>
          <w:rFonts w:hint="default"/>
        </w:rPr>
        <w:t xml:space="preserve">of </w:t>
      </w:r>
      <w:r w:rsidRPr="008413D5">
        <w:t xml:space="preserve">anlotinib for a period of time, it </w:t>
      </w:r>
      <w:r>
        <w:rPr>
          <w:rFonts w:hint="default"/>
        </w:rPr>
        <w:t>is</w:t>
      </w:r>
      <w:r w:rsidRPr="008413D5">
        <w:t xml:space="preserve"> allowed to resume to the original </w:t>
      </w:r>
      <w:r>
        <w:rPr>
          <w:rFonts w:hint="default"/>
        </w:rPr>
        <w:t xml:space="preserve">dose </w:t>
      </w:r>
      <w:r w:rsidRPr="008413D5">
        <w:t xml:space="preserve">from the next cycle </w:t>
      </w:r>
      <w:r>
        <w:rPr>
          <w:rFonts w:hint="default"/>
        </w:rPr>
        <w:t xml:space="preserve">considering </w:t>
      </w:r>
      <w:r w:rsidRPr="008413D5">
        <w:t xml:space="preserve">the possibility of disease progression and controllable toxicity. For the sake of clinical practice, investigators </w:t>
      </w:r>
      <w:r>
        <w:rPr>
          <w:rFonts w:hint="default"/>
        </w:rPr>
        <w:t>are</w:t>
      </w:r>
      <w:r w:rsidRPr="008413D5">
        <w:t xml:space="preserve"> allowed to adjust the dose according to the actual situation, but the reasons for the adjustment should be documented in detail in the original medical records.</w:t>
      </w:r>
    </w:p>
    <w:p w14:paraId="2F29F8A1" w14:textId="77777777" w:rsidR="00447516" w:rsidRDefault="00447516" w:rsidP="003127AF">
      <w:pPr>
        <w:pStyle w:val="affff0"/>
        <w:ind w:firstLine="0"/>
      </w:pPr>
      <w:r w:rsidRPr="00447516">
        <w:t xml:space="preserve">During the administration period (1-14 days) of anlotinib every cycle, if anlotinib-related AEs occur and the medication needs to be delayed, the maximum delay time should not exceed 5 days. If the medication cannot be continued for more than 5 days, the remaining anlotinib will </w:t>
      </w:r>
      <w:r w:rsidRPr="00447516">
        <w:lastRenderedPageBreak/>
        <w:t xml:space="preserve">not be administrated in this cycle. Until the start of the next cycle of medication, if the medication can continue to be delayed due to AEs, the maximum delay time shall not exceed 4 weeks. Patients who remain unable to take anlotinib (including dose reduction) for more than 4 weeks need to permanently discontinue anlotinib (except for events caused by non-safety reasons). </w:t>
      </w:r>
    </w:p>
    <w:p w14:paraId="51184150" w14:textId="77777777" w:rsidR="0068771E" w:rsidRDefault="00447516" w:rsidP="003127AF">
      <w:pPr>
        <w:pStyle w:val="affff0"/>
        <w:ind w:firstLine="0"/>
      </w:pPr>
      <w:r w:rsidRPr="00447516">
        <w:t xml:space="preserve">For chemotherapy, failure to return to standard </w:t>
      </w:r>
      <w:r>
        <w:t>dose</w:t>
      </w:r>
      <w:r w:rsidRPr="00447516">
        <w:t xml:space="preserve"> because of toxicity related to oxaliplatin or capecitabine </w:t>
      </w:r>
      <w:r>
        <w:t>is</w:t>
      </w:r>
      <w:r w:rsidRPr="00447516">
        <w:t xml:space="preserve"> to suspend the cycle for the agent causing the toxicity, </w:t>
      </w:r>
      <w:r w:rsidR="001A4193">
        <w:t>while</w:t>
      </w:r>
      <w:r w:rsidRPr="00447516">
        <w:t xml:space="preserve"> another chemotherapy agent </w:t>
      </w:r>
      <w:r>
        <w:t>is</w:t>
      </w:r>
      <w:r w:rsidRPr="00447516">
        <w:t xml:space="preserve"> administered as planned. If oxaliplatin or capecitabine must be permanently </w:t>
      </w:r>
      <w:r w:rsidR="001A4193">
        <w:t>terminated</w:t>
      </w:r>
      <w:r w:rsidRPr="00447516">
        <w:t>, the remaining chemotherapy agents should be continued according to the schedule</w:t>
      </w:r>
      <w:r w:rsidR="001A4193">
        <w:t>.</w:t>
      </w:r>
    </w:p>
    <w:p w14:paraId="34B1B2B1" w14:textId="798EE2E9" w:rsidR="00C70A86" w:rsidRDefault="0068771E" w:rsidP="0068771E">
      <w:pPr>
        <w:rPr>
          <w:rFonts w:eastAsia="宋体" w:cs="Times New Roman"/>
          <w:kern w:val="28"/>
        </w:rPr>
      </w:pPr>
      <w:r>
        <w:rPr>
          <w:rFonts w:eastAsiaTheme="minorEastAsia"/>
        </w:rPr>
        <w:t>D</w:t>
      </w:r>
      <w:r w:rsidRPr="00C70A86">
        <w:rPr>
          <w:rFonts w:eastAsiaTheme="minorEastAsia"/>
        </w:rPr>
        <w:t xml:space="preserve">ose </w:t>
      </w:r>
      <w:r w:rsidRPr="0068771E">
        <w:rPr>
          <w:rFonts w:eastAsiaTheme="minorEastAsia"/>
        </w:rPr>
        <w:t>reduction</w:t>
      </w:r>
      <w:r w:rsidRPr="0068771E" w:rsidDel="001A1E67">
        <w:rPr>
          <w:rFonts w:eastAsiaTheme="minorEastAsia"/>
        </w:rPr>
        <w:t xml:space="preserve"> </w:t>
      </w:r>
      <w:r>
        <w:rPr>
          <w:rFonts w:eastAsiaTheme="minorEastAsia"/>
        </w:rPr>
        <w:t>is</w:t>
      </w:r>
      <w:r w:rsidRPr="00C70A86">
        <w:rPr>
          <w:rFonts w:eastAsiaTheme="minorEastAsia"/>
        </w:rPr>
        <w:t xml:space="preserve"> </w:t>
      </w:r>
      <w:r>
        <w:rPr>
          <w:rFonts w:eastAsiaTheme="minorEastAsia"/>
        </w:rPr>
        <w:t xml:space="preserve">not </w:t>
      </w:r>
      <w:r w:rsidRPr="00C70A86">
        <w:rPr>
          <w:rFonts w:eastAsiaTheme="minorEastAsia"/>
        </w:rPr>
        <w:t>allowed</w:t>
      </w:r>
      <w:r w:rsidR="000E18E8">
        <w:rPr>
          <w:rFonts w:eastAsiaTheme="minorEastAsia"/>
        </w:rPr>
        <w:t xml:space="preserve"> for </w:t>
      </w:r>
      <w:r>
        <w:t>b</w:t>
      </w:r>
      <w:r w:rsidRPr="0068771E">
        <w:t>evacizumab</w:t>
      </w:r>
      <w:r>
        <w:rPr>
          <w:rFonts w:eastAsia="宋体" w:cs="Times New Roman"/>
          <w:kern w:val="28"/>
        </w:rPr>
        <w:t xml:space="preserve">. </w:t>
      </w:r>
      <w:r w:rsidRPr="0068771E">
        <w:rPr>
          <w:rFonts w:eastAsia="宋体" w:cs="Times New Roman"/>
          <w:kern w:val="28"/>
        </w:rPr>
        <w:t xml:space="preserve">The dose reduction </w:t>
      </w:r>
      <w:r w:rsidR="008A02C2">
        <w:rPr>
          <w:rFonts w:eastAsia="宋体" w:cs="Times New Roman"/>
          <w:kern w:val="28"/>
        </w:rPr>
        <w:t>for</w:t>
      </w:r>
      <w:r w:rsidRPr="0068771E">
        <w:rPr>
          <w:rFonts w:eastAsia="宋体" w:cs="Times New Roman"/>
          <w:kern w:val="28"/>
        </w:rPr>
        <w:t xml:space="preserve"> capecitabine is detailed in Table 5.2-1 above, and the </w:t>
      </w:r>
      <w:r w:rsidR="001251A2" w:rsidRPr="001251A2">
        <w:rPr>
          <w:rFonts w:eastAsia="宋体" w:cs="Times New Roman"/>
          <w:kern w:val="28"/>
        </w:rPr>
        <w:t>dose reduction</w:t>
      </w:r>
      <w:r w:rsidRPr="0068771E">
        <w:rPr>
          <w:rFonts w:eastAsia="宋体" w:cs="Times New Roman"/>
          <w:kern w:val="28"/>
        </w:rPr>
        <w:t xml:space="preserve"> for other study drugs is as follows:</w:t>
      </w:r>
    </w:p>
    <w:p w14:paraId="38F362BE" w14:textId="0B72E75C" w:rsidR="0000519F" w:rsidRPr="00384EEC" w:rsidRDefault="0000519F" w:rsidP="00384EEC">
      <w:pPr>
        <w:jc w:val="center"/>
        <w:rPr>
          <w:rFonts w:cs="Times New Roman"/>
        </w:rPr>
      </w:pPr>
      <w:r w:rsidRPr="0025058B">
        <w:rPr>
          <w:rFonts w:cs="Times New Roman"/>
        </w:rPr>
        <w:t xml:space="preserve">Table 5.2.2-1: </w:t>
      </w:r>
      <w:r w:rsidRPr="00384EEC">
        <w:rPr>
          <w:rFonts w:cs="Times New Roman"/>
        </w:rPr>
        <w:t xml:space="preserve">Dose levels of study drugs </w:t>
      </w:r>
    </w:p>
    <w:p w14:paraId="6C1FDC9A" w14:textId="77777777" w:rsidR="0000519F" w:rsidRPr="00384EEC" w:rsidRDefault="0000519F" w:rsidP="0000519F">
      <w:pPr>
        <w:pStyle w:val="aa"/>
        <w:spacing w:before="4"/>
        <w:rPr>
          <w:rFonts w:ascii="Times New Roman" w:hAnsi="Times New Roman" w:cs="Times New Roman"/>
          <w:b/>
          <w:sz w:val="6"/>
        </w:rPr>
      </w:pPr>
    </w:p>
    <w:tbl>
      <w:tblPr>
        <w:tblStyle w:val="TableNormal"/>
        <w:tblW w:w="0" w:type="auto"/>
        <w:tblInd w:w="2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154"/>
        <w:gridCol w:w="1985"/>
      </w:tblGrid>
      <w:tr w:rsidR="0000519F" w:rsidRPr="0000519F" w14:paraId="50C174F1" w14:textId="77777777" w:rsidTr="00646849">
        <w:trPr>
          <w:trHeight w:val="454"/>
        </w:trPr>
        <w:tc>
          <w:tcPr>
            <w:tcW w:w="1423" w:type="dxa"/>
          </w:tcPr>
          <w:p w14:paraId="1D5EE806" w14:textId="77777777" w:rsidR="0000519F" w:rsidRPr="00384EEC" w:rsidRDefault="0000519F" w:rsidP="00646849">
            <w:pPr>
              <w:pStyle w:val="TableParagraph"/>
              <w:ind w:left="480"/>
              <w:rPr>
                <w:rFonts w:ascii="Times New Roman" w:hAnsi="Times New Roman" w:cs="Times New Roman"/>
              </w:rPr>
            </w:pPr>
          </w:p>
        </w:tc>
        <w:tc>
          <w:tcPr>
            <w:tcW w:w="2154" w:type="dxa"/>
          </w:tcPr>
          <w:p w14:paraId="5CF7ED31" w14:textId="04939D39" w:rsidR="0000519F" w:rsidRPr="00384EEC" w:rsidRDefault="0000519F">
            <w:pPr>
              <w:pStyle w:val="P68B1DB1-TableParagraph6"/>
              <w:spacing w:before="59"/>
              <w:ind w:left="9"/>
              <w:rPr>
                <w:rFonts w:ascii="Times New Roman" w:hAnsi="Times New Roman" w:cs="Times New Roman"/>
              </w:rPr>
            </w:pPr>
            <w:r w:rsidRPr="00384EEC">
              <w:rPr>
                <w:rFonts w:ascii="Times New Roman" w:hAnsi="Times New Roman" w:cs="Times New Roman"/>
              </w:rPr>
              <w:t xml:space="preserve">Anlotinib </w:t>
            </w:r>
          </w:p>
        </w:tc>
        <w:tc>
          <w:tcPr>
            <w:tcW w:w="1985" w:type="dxa"/>
          </w:tcPr>
          <w:p w14:paraId="2E5367CA" w14:textId="18BF9A93" w:rsidR="0000519F" w:rsidRPr="00384EEC" w:rsidRDefault="0000519F">
            <w:pPr>
              <w:pStyle w:val="P68B1DB1-TableParagraph6"/>
              <w:spacing w:before="59"/>
              <w:ind w:left="12" w:right="5"/>
              <w:rPr>
                <w:rFonts w:ascii="Times New Roman" w:hAnsi="Times New Roman" w:cs="Times New Roman"/>
              </w:rPr>
            </w:pPr>
            <w:r w:rsidRPr="00384EEC">
              <w:rPr>
                <w:rFonts w:ascii="Times New Roman" w:hAnsi="Times New Roman" w:cs="Times New Roman"/>
              </w:rPr>
              <w:t xml:space="preserve">Oxaliplatin </w:t>
            </w:r>
          </w:p>
        </w:tc>
      </w:tr>
      <w:tr w:rsidR="0000519F" w:rsidRPr="0000519F" w14:paraId="4E242970" w14:textId="77777777" w:rsidTr="00646849">
        <w:trPr>
          <w:trHeight w:val="453"/>
        </w:trPr>
        <w:tc>
          <w:tcPr>
            <w:tcW w:w="1423" w:type="dxa"/>
          </w:tcPr>
          <w:p w14:paraId="28B0231C" w14:textId="4D07C0A7" w:rsidR="0000519F" w:rsidRPr="00384EEC" w:rsidRDefault="0000519F" w:rsidP="00646849">
            <w:pPr>
              <w:pStyle w:val="P68B1DB1-TableParagraph6"/>
              <w:spacing w:before="61"/>
              <w:ind w:left="10"/>
              <w:rPr>
                <w:rFonts w:ascii="Times New Roman" w:hAnsi="Times New Roman" w:cs="Times New Roman"/>
              </w:rPr>
            </w:pPr>
            <w:r>
              <w:rPr>
                <w:rFonts w:ascii="Times New Roman" w:hAnsi="Times New Roman" w:cs="Times New Roman"/>
              </w:rPr>
              <w:t>I</w:t>
            </w:r>
            <w:r w:rsidRPr="0000519F">
              <w:rPr>
                <w:rFonts w:ascii="Times New Roman" w:hAnsi="Times New Roman" w:cs="Times New Roman"/>
              </w:rPr>
              <w:t>nitial</w:t>
            </w:r>
            <w:r w:rsidRPr="00384EEC">
              <w:rPr>
                <w:rFonts w:ascii="Times New Roman" w:hAnsi="Times New Roman" w:cs="Times New Roman"/>
              </w:rPr>
              <w:t xml:space="preserve"> dose </w:t>
            </w:r>
          </w:p>
        </w:tc>
        <w:tc>
          <w:tcPr>
            <w:tcW w:w="2154" w:type="dxa"/>
          </w:tcPr>
          <w:p w14:paraId="083FAFAF" w14:textId="77777777" w:rsidR="0000519F" w:rsidRPr="00384EEC" w:rsidRDefault="0000519F" w:rsidP="00646849">
            <w:pPr>
              <w:pStyle w:val="P68B1DB1-TableParagraph7"/>
              <w:spacing w:before="88"/>
              <w:ind w:left="9" w:right="1"/>
              <w:rPr>
                <w:rFonts w:hAnsi="Times New Roman" w:cs="Times New Roman"/>
              </w:rPr>
            </w:pPr>
            <w:r w:rsidRPr="00384EEC">
              <w:rPr>
                <w:rFonts w:hAnsi="Times New Roman" w:cs="Times New Roman"/>
              </w:rPr>
              <w:t xml:space="preserve">12 mg </w:t>
            </w:r>
          </w:p>
        </w:tc>
        <w:tc>
          <w:tcPr>
            <w:tcW w:w="1985" w:type="dxa"/>
          </w:tcPr>
          <w:p w14:paraId="0E437D22" w14:textId="5D261A58" w:rsidR="0000519F" w:rsidRPr="00384EEC" w:rsidRDefault="0000519F" w:rsidP="00646849">
            <w:pPr>
              <w:pStyle w:val="P68B1DB1-TableParagraph43"/>
              <w:spacing w:before="88"/>
              <w:ind w:left="12"/>
              <w:rPr>
                <w:rFonts w:cs="Times New Roman"/>
              </w:rPr>
            </w:pPr>
            <w:r w:rsidRPr="0025058B">
              <w:rPr>
                <w:rFonts w:cs="Times New Roman"/>
                <w:color w:val="000007"/>
              </w:rPr>
              <w:t xml:space="preserve">130 mg/ </w:t>
            </w:r>
            <w:r>
              <w:rPr>
                <w:rFonts w:cs="Times New Roman"/>
              </w:rPr>
              <w:t>m</w:t>
            </w:r>
            <w:r w:rsidRPr="0025058B">
              <w:rPr>
                <w:rFonts w:cs="Times New Roman"/>
              </w:rPr>
              <w:t xml:space="preserve">² </w:t>
            </w:r>
          </w:p>
        </w:tc>
      </w:tr>
      <w:tr w:rsidR="0000519F" w:rsidRPr="0000519F" w14:paraId="7224DBB0" w14:textId="77777777" w:rsidTr="00646849">
        <w:trPr>
          <w:trHeight w:val="454"/>
        </w:trPr>
        <w:tc>
          <w:tcPr>
            <w:tcW w:w="1423" w:type="dxa"/>
          </w:tcPr>
          <w:p w14:paraId="5C568E58" w14:textId="3E5F4626" w:rsidR="0000519F" w:rsidRPr="00384EEC" w:rsidRDefault="0000519F" w:rsidP="008A1BD6">
            <w:pPr>
              <w:pStyle w:val="P68B1DB1-TableParagraph6"/>
              <w:spacing w:before="60"/>
              <w:ind w:left="10" w:right="3"/>
              <w:rPr>
                <w:rFonts w:ascii="Times New Roman" w:eastAsia="Times New Roman" w:hAnsi="Times New Roman" w:cs="Times New Roman"/>
              </w:rPr>
            </w:pPr>
            <w:r w:rsidRPr="00384EEC">
              <w:rPr>
                <w:rFonts w:ascii="Times New Roman" w:hAnsi="Times New Roman" w:cs="Times New Roman"/>
              </w:rPr>
              <w:t xml:space="preserve">Dose </w:t>
            </w:r>
            <w:r w:rsidR="008A1BD6">
              <w:rPr>
                <w:rFonts w:ascii="Times New Roman" w:hAnsi="Times New Roman" w:cs="Times New Roman"/>
              </w:rPr>
              <w:t>l</w:t>
            </w:r>
            <w:r w:rsidRPr="00384EEC">
              <w:rPr>
                <w:rFonts w:ascii="Times New Roman" w:hAnsi="Times New Roman" w:cs="Times New Roman"/>
              </w:rPr>
              <w:t xml:space="preserve">evel </w:t>
            </w:r>
            <w:r w:rsidRPr="00384EEC">
              <w:rPr>
                <w:rFonts w:ascii="Times New Roman" w:eastAsia="Times New Roman" w:hAnsi="Times New Roman" w:cs="Times New Roman"/>
              </w:rPr>
              <w:t xml:space="preserve">1 </w:t>
            </w:r>
          </w:p>
        </w:tc>
        <w:tc>
          <w:tcPr>
            <w:tcW w:w="2154" w:type="dxa"/>
          </w:tcPr>
          <w:p w14:paraId="7F9FABF1" w14:textId="77777777" w:rsidR="0000519F" w:rsidRPr="00384EEC" w:rsidRDefault="0000519F" w:rsidP="00646849">
            <w:pPr>
              <w:pStyle w:val="P68B1DB1-TableParagraph7"/>
              <w:spacing w:before="88"/>
              <w:ind w:left="9" w:right="1"/>
              <w:rPr>
                <w:rFonts w:hAnsi="Times New Roman" w:cs="Times New Roman"/>
              </w:rPr>
            </w:pPr>
            <w:r w:rsidRPr="00384EEC">
              <w:rPr>
                <w:rFonts w:hAnsi="Times New Roman" w:cs="Times New Roman"/>
              </w:rPr>
              <w:t xml:space="preserve">10 mg </w:t>
            </w:r>
          </w:p>
        </w:tc>
        <w:tc>
          <w:tcPr>
            <w:tcW w:w="1985" w:type="dxa"/>
          </w:tcPr>
          <w:p w14:paraId="2B9444EC" w14:textId="4355A2D9" w:rsidR="0000519F" w:rsidRPr="00384EEC" w:rsidRDefault="0000519F" w:rsidP="00646849">
            <w:pPr>
              <w:pStyle w:val="P68B1DB1-TableParagraph43"/>
              <w:spacing w:before="88"/>
              <w:ind w:left="12"/>
              <w:rPr>
                <w:rFonts w:cs="Times New Roman"/>
              </w:rPr>
            </w:pPr>
            <w:r w:rsidRPr="0025058B">
              <w:rPr>
                <w:rFonts w:cs="Times New Roman"/>
                <w:color w:val="000007"/>
              </w:rPr>
              <w:t xml:space="preserve">100 mg/ </w:t>
            </w:r>
            <w:r>
              <w:rPr>
                <w:rFonts w:cs="Times New Roman"/>
              </w:rPr>
              <w:t>m</w:t>
            </w:r>
            <w:r w:rsidRPr="0025058B">
              <w:rPr>
                <w:rFonts w:cs="Times New Roman"/>
              </w:rPr>
              <w:t xml:space="preserve">² </w:t>
            </w:r>
          </w:p>
        </w:tc>
      </w:tr>
      <w:tr w:rsidR="0000519F" w:rsidRPr="0000519F" w14:paraId="0E7B4044" w14:textId="77777777" w:rsidTr="00646849">
        <w:trPr>
          <w:trHeight w:val="453"/>
        </w:trPr>
        <w:tc>
          <w:tcPr>
            <w:tcW w:w="1423" w:type="dxa"/>
          </w:tcPr>
          <w:p w14:paraId="0B0CD37F" w14:textId="7E9967B5" w:rsidR="0000519F" w:rsidRPr="00384EEC" w:rsidRDefault="0000519F" w:rsidP="008A1BD6">
            <w:pPr>
              <w:pStyle w:val="P68B1DB1-TableParagraph6"/>
              <w:spacing w:before="59"/>
              <w:ind w:left="10" w:right="3"/>
              <w:rPr>
                <w:rFonts w:ascii="Times New Roman" w:eastAsia="Times New Roman" w:hAnsi="Times New Roman" w:cs="Times New Roman"/>
              </w:rPr>
            </w:pPr>
            <w:r w:rsidRPr="00384EEC">
              <w:rPr>
                <w:rFonts w:ascii="Times New Roman" w:hAnsi="Times New Roman" w:cs="Times New Roman"/>
              </w:rPr>
              <w:t xml:space="preserve">Dose </w:t>
            </w:r>
            <w:r w:rsidR="008A1BD6">
              <w:rPr>
                <w:rFonts w:ascii="Times New Roman" w:hAnsi="Times New Roman" w:cs="Times New Roman"/>
              </w:rPr>
              <w:t>l</w:t>
            </w:r>
            <w:r w:rsidRPr="00384EEC">
              <w:rPr>
                <w:rFonts w:ascii="Times New Roman" w:hAnsi="Times New Roman" w:cs="Times New Roman"/>
              </w:rPr>
              <w:t xml:space="preserve">evel </w:t>
            </w:r>
            <w:r w:rsidRPr="00384EEC">
              <w:rPr>
                <w:rFonts w:ascii="Times New Roman" w:eastAsia="Times New Roman" w:hAnsi="Times New Roman" w:cs="Times New Roman"/>
              </w:rPr>
              <w:t xml:space="preserve">2 </w:t>
            </w:r>
          </w:p>
        </w:tc>
        <w:tc>
          <w:tcPr>
            <w:tcW w:w="2154" w:type="dxa"/>
          </w:tcPr>
          <w:p w14:paraId="061A59A0" w14:textId="77777777" w:rsidR="0000519F" w:rsidRPr="00384EEC" w:rsidRDefault="0000519F" w:rsidP="00646849">
            <w:pPr>
              <w:pStyle w:val="P68B1DB1-TableParagraph7"/>
              <w:spacing w:before="89"/>
              <w:ind w:left="9" w:right="1"/>
              <w:rPr>
                <w:rFonts w:hAnsi="Times New Roman" w:cs="Times New Roman"/>
              </w:rPr>
            </w:pPr>
            <w:r w:rsidRPr="00384EEC">
              <w:rPr>
                <w:rFonts w:hAnsi="Times New Roman" w:cs="Times New Roman"/>
              </w:rPr>
              <w:t xml:space="preserve">8 mg </w:t>
            </w:r>
          </w:p>
        </w:tc>
        <w:tc>
          <w:tcPr>
            <w:tcW w:w="1985" w:type="dxa"/>
          </w:tcPr>
          <w:p w14:paraId="3BED023A" w14:textId="514726B0" w:rsidR="0000519F" w:rsidRPr="00384EEC" w:rsidRDefault="0000519F" w:rsidP="00646849">
            <w:pPr>
              <w:pStyle w:val="P68B1DB1-TableParagraph43"/>
              <w:spacing w:before="89"/>
              <w:ind w:left="12"/>
              <w:rPr>
                <w:rFonts w:cs="Times New Roman"/>
              </w:rPr>
            </w:pPr>
            <w:r w:rsidRPr="0025058B">
              <w:rPr>
                <w:rFonts w:cs="Times New Roman"/>
                <w:color w:val="000007"/>
              </w:rPr>
              <w:t xml:space="preserve">85 mg/ </w:t>
            </w:r>
            <w:r>
              <w:rPr>
                <w:rFonts w:cs="Times New Roman"/>
              </w:rPr>
              <w:t>m</w:t>
            </w:r>
            <w:r w:rsidRPr="0025058B">
              <w:rPr>
                <w:rFonts w:cs="Times New Roman"/>
              </w:rPr>
              <w:t xml:space="preserve">² </w:t>
            </w:r>
          </w:p>
        </w:tc>
      </w:tr>
    </w:tbl>
    <w:p w14:paraId="3C6AF180" w14:textId="77777777" w:rsidR="008A02C2" w:rsidRPr="003127AF" w:rsidRDefault="008A02C2" w:rsidP="0068771E">
      <w:pPr>
        <w:rPr>
          <w:rFonts w:eastAsiaTheme="minorEastAsia"/>
        </w:rPr>
      </w:pPr>
    </w:p>
    <w:p w14:paraId="2DAEA2D7" w14:textId="385938E6" w:rsidR="00D45C54" w:rsidRPr="00384EEC" w:rsidRDefault="008A1BD6" w:rsidP="006D1B06">
      <w:pPr>
        <w:pStyle w:val="affff0"/>
        <w:numPr>
          <w:ilvl w:val="0"/>
          <w:numId w:val="21"/>
        </w:numPr>
        <w:rPr>
          <w:b/>
        </w:rPr>
      </w:pPr>
      <w:r>
        <w:rPr>
          <w:b/>
        </w:rPr>
        <w:t>Dose Modification of Anlotinib</w:t>
      </w:r>
    </w:p>
    <w:p w14:paraId="4C80F4A2" w14:textId="5B50785C" w:rsidR="008608FF" w:rsidRPr="00384EEC" w:rsidRDefault="008608FF" w:rsidP="008608FF">
      <w:pPr>
        <w:pStyle w:val="afff2"/>
        <w:rPr>
          <w:b w:val="0"/>
        </w:rPr>
      </w:pPr>
      <w:r w:rsidRPr="00384EEC">
        <w:rPr>
          <w:b w:val="0"/>
        </w:rPr>
        <w:t xml:space="preserve">5.2.2-2 General principles of dose adjustment according to the grade of AEs </w:t>
      </w:r>
    </w:p>
    <w:tbl>
      <w:tblPr>
        <w:tblW w:w="9356"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268"/>
        <w:gridCol w:w="2835"/>
        <w:gridCol w:w="4253"/>
      </w:tblGrid>
      <w:tr w:rsidR="008608FF" w:rsidRPr="008B7C28" w14:paraId="3644B5E2" w14:textId="77777777" w:rsidTr="00646849">
        <w:trPr>
          <w:trHeight w:val="627"/>
        </w:trPr>
        <w:tc>
          <w:tcPr>
            <w:tcW w:w="2268" w:type="dxa"/>
            <w:vAlign w:val="center"/>
          </w:tcPr>
          <w:p w14:paraId="0A35BF4D" w14:textId="77777777" w:rsidR="008608FF" w:rsidRPr="003127AF" w:rsidRDefault="008608FF" w:rsidP="00646849">
            <w:pPr>
              <w:spacing w:before="120"/>
              <w:rPr>
                <w:rFonts w:eastAsia="宋体" w:cs="Times New Roman"/>
                <w:color w:val="000000" w:themeColor="text1"/>
                <w:szCs w:val="21"/>
              </w:rPr>
            </w:pPr>
            <w:r w:rsidRPr="003127AF">
              <w:rPr>
                <w:rFonts w:eastAsia="宋体" w:cs="Times New Roman"/>
                <w:color w:val="000000" w:themeColor="text1"/>
                <w:szCs w:val="21"/>
              </w:rPr>
              <w:t>Grades of AEs</w:t>
            </w:r>
          </w:p>
          <w:p w14:paraId="4AF8AC49" w14:textId="77777777" w:rsidR="008608FF" w:rsidRPr="003127AF" w:rsidRDefault="008608FF" w:rsidP="00646849">
            <w:pPr>
              <w:spacing w:before="120"/>
              <w:rPr>
                <w:rFonts w:eastAsia="宋体" w:cs="Times New Roman"/>
                <w:color w:val="000000" w:themeColor="text1"/>
                <w:szCs w:val="21"/>
              </w:rPr>
            </w:pPr>
            <w:r w:rsidRPr="003127AF">
              <w:rPr>
                <w:rFonts w:eastAsia="宋体" w:cs="Times New Roman"/>
                <w:color w:val="000000" w:themeColor="text1"/>
                <w:szCs w:val="21"/>
              </w:rPr>
              <w:t>(NCI-CTCAE v5.0)</w:t>
            </w:r>
          </w:p>
        </w:tc>
        <w:tc>
          <w:tcPr>
            <w:tcW w:w="2835" w:type="dxa"/>
            <w:vAlign w:val="center"/>
          </w:tcPr>
          <w:p w14:paraId="40F65904" w14:textId="579C6B51" w:rsidR="008608FF" w:rsidRPr="003127AF" w:rsidRDefault="007D4604" w:rsidP="007D4604">
            <w:pPr>
              <w:spacing w:before="120"/>
              <w:rPr>
                <w:rFonts w:eastAsia="宋体" w:cs="Times New Roman"/>
                <w:color w:val="000000" w:themeColor="text1"/>
                <w:szCs w:val="21"/>
              </w:rPr>
            </w:pPr>
            <w:r>
              <w:rPr>
                <w:rFonts w:eastAsia="宋体" w:cs="Times New Roman"/>
                <w:color w:val="000000" w:themeColor="text1"/>
                <w:szCs w:val="21"/>
              </w:rPr>
              <w:t>A</w:t>
            </w:r>
            <w:r w:rsidR="008608FF" w:rsidRPr="003127AF">
              <w:rPr>
                <w:rFonts w:eastAsia="宋体" w:cs="Times New Roman"/>
                <w:color w:val="000000" w:themeColor="text1"/>
                <w:szCs w:val="21"/>
              </w:rPr>
              <w:t>dministration</w:t>
            </w:r>
            <w:r w:rsidRPr="003127AF">
              <w:rPr>
                <w:rFonts w:eastAsia="宋体" w:cs="Times New Roman"/>
                <w:color w:val="000000" w:themeColor="text1"/>
                <w:szCs w:val="21"/>
              </w:rPr>
              <w:t xml:space="preserve"> </w:t>
            </w:r>
            <w:r>
              <w:rPr>
                <w:rFonts w:eastAsia="宋体" w:cs="Times New Roman"/>
                <w:color w:val="000000" w:themeColor="text1"/>
                <w:szCs w:val="21"/>
              </w:rPr>
              <w:t>t</w:t>
            </w:r>
            <w:r w:rsidRPr="003127AF">
              <w:rPr>
                <w:rFonts w:eastAsia="宋体" w:cs="Times New Roman"/>
                <w:color w:val="000000" w:themeColor="text1"/>
                <w:szCs w:val="21"/>
              </w:rPr>
              <w:t>ime</w:t>
            </w:r>
          </w:p>
        </w:tc>
        <w:tc>
          <w:tcPr>
            <w:tcW w:w="4253" w:type="dxa"/>
            <w:vAlign w:val="center"/>
          </w:tcPr>
          <w:p w14:paraId="45C1C8E4" w14:textId="77777777" w:rsidR="008608FF" w:rsidRPr="003127AF" w:rsidRDefault="008608FF" w:rsidP="00646849">
            <w:pPr>
              <w:spacing w:before="120"/>
              <w:jc w:val="center"/>
              <w:rPr>
                <w:rFonts w:eastAsia="宋体" w:cs="Times New Roman"/>
                <w:color w:val="000000" w:themeColor="text1"/>
                <w:szCs w:val="21"/>
              </w:rPr>
            </w:pPr>
            <w:r w:rsidRPr="003127AF">
              <w:rPr>
                <w:rFonts w:eastAsia="宋体" w:cs="Times New Roman"/>
                <w:color w:val="000000" w:themeColor="text1"/>
                <w:szCs w:val="21"/>
              </w:rPr>
              <w:t>Dose adjustment</w:t>
            </w:r>
          </w:p>
        </w:tc>
      </w:tr>
      <w:tr w:rsidR="008608FF" w:rsidRPr="008B7C28" w14:paraId="32058DB1" w14:textId="77777777" w:rsidTr="00646849">
        <w:trPr>
          <w:trHeight w:val="994"/>
        </w:trPr>
        <w:tc>
          <w:tcPr>
            <w:tcW w:w="2268" w:type="dxa"/>
            <w:vAlign w:val="center"/>
          </w:tcPr>
          <w:p w14:paraId="05027DE4" w14:textId="77777777" w:rsidR="008608FF" w:rsidRPr="003127AF" w:rsidRDefault="008608FF" w:rsidP="00646849">
            <w:pPr>
              <w:spacing w:before="120"/>
              <w:rPr>
                <w:rFonts w:eastAsia="宋体" w:cs="Times New Roman"/>
                <w:color w:val="000000" w:themeColor="text1"/>
                <w:szCs w:val="21"/>
              </w:rPr>
            </w:pPr>
            <w:r w:rsidRPr="003127AF">
              <w:rPr>
                <w:rFonts w:eastAsia="宋体" w:cs="Times New Roman"/>
                <w:color w:val="000000" w:themeColor="text1"/>
                <w:szCs w:val="21"/>
              </w:rPr>
              <w:t>Grade 3</w:t>
            </w:r>
          </w:p>
        </w:tc>
        <w:tc>
          <w:tcPr>
            <w:tcW w:w="2835" w:type="dxa"/>
            <w:vAlign w:val="center"/>
          </w:tcPr>
          <w:p w14:paraId="4BA43EB0" w14:textId="29B28ED2" w:rsidR="008608FF" w:rsidRPr="003127AF" w:rsidRDefault="008608FF" w:rsidP="00646849">
            <w:pPr>
              <w:spacing w:before="120"/>
              <w:rPr>
                <w:rFonts w:eastAsia="宋体" w:cs="Times New Roman"/>
                <w:color w:val="000000" w:themeColor="text1"/>
                <w:szCs w:val="21"/>
              </w:rPr>
            </w:pPr>
            <w:r w:rsidRPr="003127AF">
              <w:rPr>
                <w:rFonts w:eastAsia="宋体" w:cs="Times New Roman"/>
                <w:color w:val="000000" w:themeColor="text1"/>
                <w:szCs w:val="21"/>
              </w:rPr>
              <w:t xml:space="preserve">Dose delay until recovery to </w:t>
            </w:r>
            <w:r w:rsidR="000F6FBE" w:rsidRPr="003127AF">
              <w:rPr>
                <w:rFonts w:eastAsia="宋体" w:cs="Times New Roman"/>
                <w:color w:val="000000" w:themeColor="text1"/>
                <w:szCs w:val="21"/>
              </w:rPr>
              <w:t>&lt;</w:t>
            </w:r>
            <w:r w:rsidR="000F6FBE">
              <w:rPr>
                <w:rFonts w:eastAsia="宋体" w:cs="Times New Roman"/>
                <w:color w:val="000000" w:themeColor="text1"/>
                <w:szCs w:val="21"/>
              </w:rPr>
              <w:t xml:space="preserve"> </w:t>
            </w:r>
            <w:r w:rsidRPr="003127AF">
              <w:rPr>
                <w:rFonts w:eastAsia="宋体" w:cs="Times New Roman"/>
                <w:color w:val="000000" w:themeColor="text1"/>
                <w:szCs w:val="21"/>
              </w:rPr>
              <w:t xml:space="preserve">grade 2 </w:t>
            </w:r>
          </w:p>
        </w:tc>
        <w:tc>
          <w:tcPr>
            <w:tcW w:w="4253" w:type="dxa"/>
            <w:vAlign w:val="center"/>
          </w:tcPr>
          <w:p w14:paraId="7705BBE1" w14:textId="0FF01FB9" w:rsidR="008608FF" w:rsidRPr="003127AF" w:rsidRDefault="008608FF" w:rsidP="007D4604">
            <w:pPr>
              <w:spacing w:before="120"/>
              <w:rPr>
                <w:rFonts w:eastAsia="宋体" w:cs="Times New Roman"/>
                <w:color w:val="000000" w:themeColor="text1"/>
                <w:szCs w:val="21"/>
              </w:rPr>
            </w:pPr>
            <w:r w:rsidRPr="003127AF">
              <w:rPr>
                <w:rFonts w:eastAsia="宋体" w:cs="Times New Roman"/>
                <w:color w:val="000000" w:themeColor="text1"/>
                <w:szCs w:val="21"/>
              </w:rPr>
              <w:t xml:space="preserve">Continue administration </w:t>
            </w:r>
            <w:r w:rsidR="007D4604">
              <w:rPr>
                <w:rFonts w:eastAsia="宋体" w:cs="Times New Roman"/>
                <w:color w:val="000000" w:themeColor="text1"/>
                <w:szCs w:val="21"/>
              </w:rPr>
              <w:t>with</w:t>
            </w:r>
            <w:r w:rsidRPr="003127AF">
              <w:rPr>
                <w:rFonts w:eastAsia="宋体" w:cs="Times New Roman"/>
                <w:color w:val="000000" w:themeColor="text1"/>
                <w:szCs w:val="21"/>
              </w:rPr>
              <w:t xml:space="preserve"> a reduced dose level.</w:t>
            </w:r>
          </w:p>
        </w:tc>
      </w:tr>
      <w:tr w:rsidR="008608FF" w:rsidRPr="008B7C28" w14:paraId="7899AD81" w14:textId="77777777" w:rsidTr="00646849">
        <w:trPr>
          <w:trHeight w:val="727"/>
        </w:trPr>
        <w:tc>
          <w:tcPr>
            <w:tcW w:w="2268" w:type="dxa"/>
            <w:vAlign w:val="center"/>
          </w:tcPr>
          <w:p w14:paraId="1A1988F5" w14:textId="77777777" w:rsidR="008608FF" w:rsidRPr="003127AF" w:rsidRDefault="008608FF" w:rsidP="00646849">
            <w:pPr>
              <w:spacing w:before="120"/>
              <w:rPr>
                <w:rFonts w:eastAsia="宋体" w:cs="Times New Roman"/>
                <w:color w:val="000000" w:themeColor="text1"/>
                <w:szCs w:val="21"/>
              </w:rPr>
            </w:pPr>
            <w:r w:rsidRPr="003127AF">
              <w:rPr>
                <w:rFonts w:eastAsia="宋体" w:cs="Times New Roman"/>
                <w:color w:val="000000" w:themeColor="text1"/>
                <w:szCs w:val="21"/>
              </w:rPr>
              <w:t>Grade 4</w:t>
            </w:r>
          </w:p>
        </w:tc>
        <w:tc>
          <w:tcPr>
            <w:tcW w:w="2835" w:type="dxa"/>
            <w:vAlign w:val="center"/>
          </w:tcPr>
          <w:p w14:paraId="60A7E7AF" w14:textId="76470B6F" w:rsidR="008608FF" w:rsidRPr="003127AF" w:rsidRDefault="008608FF" w:rsidP="00646849">
            <w:pPr>
              <w:spacing w:before="120"/>
              <w:rPr>
                <w:rFonts w:eastAsia="宋体" w:cs="Times New Roman"/>
                <w:color w:val="000000" w:themeColor="text1"/>
                <w:szCs w:val="21"/>
              </w:rPr>
            </w:pPr>
            <w:r w:rsidRPr="003127AF">
              <w:rPr>
                <w:rFonts w:eastAsia="宋体" w:cs="Times New Roman"/>
                <w:color w:val="000000" w:themeColor="text1"/>
                <w:szCs w:val="21"/>
              </w:rPr>
              <w:t>Dose delay until recovery to &lt;</w:t>
            </w:r>
            <w:r w:rsidR="000F6FBE">
              <w:rPr>
                <w:rFonts w:eastAsia="宋体" w:cs="Times New Roman"/>
                <w:color w:val="000000" w:themeColor="text1"/>
                <w:szCs w:val="21"/>
              </w:rPr>
              <w:t xml:space="preserve"> </w:t>
            </w:r>
            <w:r w:rsidRPr="003127AF">
              <w:rPr>
                <w:rFonts w:eastAsia="宋体" w:cs="Times New Roman"/>
                <w:color w:val="000000" w:themeColor="text1"/>
                <w:szCs w:val="21"/>
              </w:rPr>
              <w:t>grade 2</w:t>
            </w:r>
          </w:p>
        </w:tc>
        <w:tc>
          <w:tcPr>
            <w:tcW w:w="4253" w:type="dxa"/>
            <w:vAlign w:val="center"/>
          </w:tcPr>
          <w:p w14:paraId="247005C2" w14:textId="47188BDE" w:rsidR="008608FF" w:rsidRPr="003127AF" w:rsidRDefault="0043227B" w:rsidP="00384EEC">
            <w:pPr>
              <w:spacing w:before="120"/>
              <w:rPr>
                <w:rFonts w:eastAsia="宋体" w:cs="Times New Roman"/>
                <w:color w:val="000000" w:themeColor="text1"/>
                <w:szCs w:val="21"/>
              </w:rPr>
            </w:pPr>
            <w:r>
              <w:rPr>
                <w:rFonts w:eastAsia="宋体" w:cs="Times New Roman"/>
                <w:color w:val="000000" w:themeColor="text1"/>
                <w:szCs w:val="21"/>
              </w:rPr>
              <w:t>T</w:t>
            </w:r>
            <w:r w:rsidR="008608FF" w:rsidRPr="003127AF">
              <w:rPr>
                <w:rFonts w:eastAsia="宋体" w:cs="Times New Roman"/>
                <w:color w:val="000000" w:themeColor="text1"/>
                <w:szCs w:val="21"/>
              </w:rPr>
              <w:t xml:space="preserve">reatment </w:t>
            </w:r>
            <w:r>
              <w:rPr>
                <w:rFonts w:eastAsia="宋体" w:cs="Times New Roman"/>
                <w:color w:val="000000" w:themeColor="text1"/>
                <w:szCs w:val="21"/>
              </w:rPr>
              <w:t>coul</w:t>
            </w:r>
            <w:r w:rsidR="00394ADF">
              <w:rPr>
                <w:rFonts w:eastAsia="宋体" w:cs="Times New Roman"/>
                <w:color w:val="000000" w:themeColor="text1"/>
                <w:szCs w:val="21"/>
              </w:rPr>
              <w:t>d</w:t>
            </w:r>
            <w:r w:rsidR="008608FF" w:rsidRPr="003127AF">
              <w:rPr>
                <w:rFonts w:eastAsia="宋体" w:cs="Times New Roman"/>
                <w:color w:val="000000" w:themeColor="text1"/>
                <w:szCs w:val="21"/>
              </w:rPr>
              <w:t xml:space="preserve"> be terminated permanently</w:t>
            </w:r>
            <w:r>
              <w:rPr>
                <w:rFonts w:eastAsia="宋体" w:cs="Times New Roman"/>
                <w:color w:val="000000" w:themeColor="text1"/>
                <w:szCs w:val="21"/>
              </w:rPr>
              <w:t xml:space="preserve"> judged by</w:t>
            </w:r>
            <w:r w:rsidR="008608FF" w:rsidRPr="003127AF">
              <w:rPr>
                <w:rFonts w:eastAsia="宋体" w:cs="Times New Roman"/>
                <w:color w:val="000000" w:themeColor="text1"/>
                <w:szCs w:val="21"/>
              </w:rPr>
              <w:t xml:space="preserve"> the investigator.</w:t>
            </w:r>
          </w:p>
        </w:tc>
      </w:tr>
    </w:tbl>
    <w:p w14:paraId="7987E12A" w14:textId="1E97C5C8" w:rsidR="008608FF" w:rsidRPr="00384EEC" w:rsidRDefault="008608FF" w:rsidP="00384EEC">
      <w:pPr>
        <w:pStyle w:val="afff2"/>
        <w:jc w:val="both"/>
        <w:rPr>
          <w:b w:val="0"/>
        </w:rPr>
      </w:pPr>
      <w:r w:rsidRPr="00384EEC">
        <w:rPr>
          <w:b w:val="0"/>
        </w:rPr>
        <w:t>Note:</w:t>
      </w:r>
      <w:r w:rsidRPr="008608FF">
        <w:t xml:space="preserve"> </w:t>
      </w:r>
      <w:r w:rsidRPr="008608FF">
        <w:rPr>
          <w:b w:val="0"/>
        </w:rPr>
        <w:t>In the case of anlotinib associated proteinuria, refer to the bevacizumab proteinuria management protocol. When 24-hour urinary protein &gt;2 g, one dose level is reduced</w:t>
      </w:r>
    </w:p>
    <w:p w14:paraId="3AA21963" w14:textId="7A102C61" w:rsidR="008608FF" w:rsidRDefault="008608FF" w:rsidP="008608FF">
      <w:pPr>
        <w:pStyle w:val="afff2"/>
      </w:pPr>
      <w:r>
        <w:rPr>
          <w:rFonts w:hint="eastAsia"/>
        </w:rPr>
        <w:t>5-</w:t>
      </w:r>
      <w:r w:rsidR="006E4760">
        <w:t>2</w:t>
      </w:r>
      <w:r>
        <w:rPr>
          <w:rFonts w:hint="eastAsia"/>
        </w:rPr>
        <w:t>-</w:t>
      </w:r>
      <w:r w:rsidR="006E4760">
        <w:t>2</w:t>
      </w:r>
      <w:r>
        <w:rPr>
          <w:rFonts w:hint="eastAsia"/>
        </w:rPr>
        <w:t xml:space="preserve">-3 Principles for dose adjustment in case of bleeding </w:t>
      </w:r>
      <w:r>
        <w:t>AE</w:t>
      </w:r>
      <w:r>
        <w:rPr>
          <w:rFonts w:hint="eastAsia"/>
        </w:rPr>
        <w:t xml:space="preserve">s </w:t>
      </w:r>
    </w:p>
    <w:tbl>
      <w:tblPr>
        <w:tblW w:w="7053" w:type="dxa"/>
        <w:jc w:val="center"/>
        <w:tblBorders>
          <w:top w:val="single" w:sz="4" w:space="0" w:color="auto"/>
          <w:bottom w:val="single" w:sz="4" w:space="0" w:color="auto"/>
        </w:tblBorders>
        <w:tblLayout w:type="fixed"/>
        <w:tblLook w:val="04A0" w:firstRow="1" w:lastRow="0" w:firstColumn="1" w:lastColumn="0" w:noHBand="0" w:noVBand="1"/>
      </w:tblPr>
      <w:tblGrid>
        <w:gridCol w:w="2126"/>
        <w:gridCol w:w="4927"/>
      </w:tblGrid>
      <w:tr w:rsidR="008608FF" w:rsidRPr="008B7C28" w14:paraId="53585C02" w14:textId="77777777" w:rsidTr="00384EEC">
        <w:trPr>
          <w:trHeight w:val="542"/>
          <w:jc w:val="center"/>
        </w:trPr>
        <w:tc>
          <w:tcPr>
            <w:tcW w:w="2126" w:type="dxa"/>
            <w:tcBorders>
              <w:top w:val="single" w:sz="4" w:space="0" w:color="auto"/>
              <w:bottom w:val="single" w:sz="4" w:space="0" w:color="auto"/>
            </w:tcBorders>
            <w:vAlign w:val="center"/>
          </w:tcPr>
          <w:p w14:paraId="77B4B79D" w14:textId="5778D1B8" w:rsidR="008608FF" w:rsidRPr="003127AF" w:rsidRDefault="00AD6AFD" w:rsidP="00646849">
            <w:pPr>
              <w:spacing w:before="120"/>
              <w:rPr>
                <w:rFonts w:eastAsia="宋体" w:cs="Times New Roman"/>
                <w:color w:val="000000" w:themeColor="text1"/>
                <w:szCs w:val="21"/>
              </w:rPr>
            </w:pPr>
            <w:r>
              <w:rPr>
                <w:rFonts w:eastAsia="宋体" w:cs="Times New Roman"/>
                <w:color w:val="000000" w:themeColor="text1"/>
                <w:szCs w:val="21"/>
              </w:rPr>
              <w:lastRenderedPageBreak/>
              <w:t>Bleeding AEs</w:t>
            </w:r>
            <w:r w:rsidR="008608FF" w:rsidRPr="00AD6AFD">
              <w:rPr>
                <w:rFonts w:eastAsia="宋体" w:cs="Times New Roman"/>
                <w:color w:val="000000" w:themeColor="text1"/>
                <w:szCs w:val="21"/>
                <w:vertAlign w:val="superscript"/>
              </w:rPr>
              <w:t>*</w:t>
            </w:r>
          </w:p>
        </w:tc>
        <w:tc>
          <w:tcPr>
            <w:tcW w:w="4927" w:type="dxa"/>
            <w:tcBorders>
              <w:top w:val="single" w:sz="4" w:space="0" w:color="auto"/>
              <w:bottom w:val="single" w:sz="4" w:space="0" w:color="auto"/>
            </w:tcBorders>
            <w:vAlign w:val="center"/>
          </w:tcPr>
          <w:p w14:paraId="6AF4FB44" w14:textId="77777777" w:rsidR="008608FF" w:rsidRPr="003127AF" w:rsidRDefault="008608FF" w:rsidP="00646849">
            <w:pPr>
              <w:spacing w:before="120"/>
              <w:jc w:val="center"/>
              <w:rPr>
                <w:rFonts w:eastAsia="宋体" w:cs="Times New Roman"/>
                <w:color w:val="000000" w:themeColor="text1"/>
                <w:szCs w:val="21"/>
              </w:rPr>
            </w:pPr>
            <w:r w:rsidRPr="003127AF">
              <w:rPr>
                <w:rFonts w:eastAsia="宋体" w:cs="Times New Roman"/>
                <w:color w:val="000000" w:themeColor="text1"/>
                <w:szCs w:val="21"/>
              </w:rPr>
              <w:t>Dose adjustment</w:t>
            </w:r>
          </w:p>
        </w:tc>
      </w:tr>
      <w:tr w:rsidR="008608FF" w:rsidRPr="008B7C28" w14:paraId="30D27AA1" w14:textId="77777777" w:rsidTr="00384EEC">
        <w:trPr>
          <w:trHeight w:val="713"/>
          <w:jc w:val="center"/>
        </w:trPr>
        <w:tc>
          <w:tcPr>
            <w:tcW w:w="2126" w:type="dxa"/>
            <w:tcBorders>
              <w:top w:val="single" w:sz="4" w:space="0" w:color="auto"/>
              <w:bottom w:val="single" w:sz="4" w:space="0" w:color="000000"/>
            </w:tcBorders>
            <w:vAlign w:val="center"/>
          </w:tcPr>
          <w:p w14:paraId="7FCE9FC0" w14:textId="77777777" w:rsidR="008608FF" w:rsidRPr="003127AF" w:rsidRDefault="008608FF" w:rsidP="00646849">
            <w:pPr>
              <w:spacing w:before="120"/>
              <w:rPr>
                <w:rFonts w:eastAsia="宋体" w:cs="Times New Roman"/>
                <w:color w:val="000000" w:themeColor="text1"/>
                <w:szCs w:val="21"/>
              </w:rPr>
            </w:pPr>
            <w:r w:rsidRPr="003127AF">
              <w:rPr>
                <w:rFonts w:eastAsia="宋体" w:cs="Times New Roman"/>
                <w:color w:val="000000" w:themeColor="text1"/>
                <w:szCs w:val="21"/>
              </w:rPr>
              <w:t>Grade 2</w:t>
            </w:r>
          </w:p>
        </w:tc>
        <w:tc>
          <w:tcPr>
            <w:tcW w:w="4927" w:type="dxa"/>
            <w:tcBorders>
              <w:top w:val="single" w:sz="4" w:space="0" w:color="auto"/>
              <w:bottom w:val="single" w:sz="4" w:space="0" w:color="000000"/>
            </w:tcBorders>
            <w:vAlign w:val="center"/>
          </w:tcPr>
          <w:p w14:paraId="34D37F96" w14:textId="3607450A" w:rsidR="008608FF" w:rsidRPr="003127AF" w:rsidRDefault="008608FF" w:rsidP="00384EEC">
            <w:pPr>
              <w:spacing w:before="120"/>
              <w:rPr>
                <w:rFonts w:eastAsia="宋体" w:cs="Times New Roman"/>
                <w:color w:val="000000" w:themeColor="text1"/>
                <w:szCs w:val="21"/>
              </w:rPr>
            </w:pPr>
            <w:r w:rsidRPr="003127AF">
              <w:rPr>
                <w:rFonts w:eastAsia="宋体" w:cs="Times New Roman"/>
                <w:color w:val="000000" w:themeColor="text1"/>
                <w:szCs w:val="21"/>
              </w:rPr>
              <w:t xml:space="preserve">Suspend administration </w:t>
            </w:r>
            <w:r w:rsidR="00784C3D" w:rsidRPr="00784C3D">
              <w:rPr>
                <w:rFonts w:eastAsia="宋体" w:cs="Times New Roman"/>
                <w:color w:val="000000" w:themeColor="text1"/>
                <w:szCs w:val="21"/>
              </w:rPr>
              <w:t xml:space="preserve">and symptomatic treatment </w:t>
            </w:r>
            <w:r w:rsidR="00784C3D">
              <w:rPr>
                <w:rFonts w:eastAsia="宋体" w:cs="Times New Roman"/>
                <w:color w:val="000000" w:themeColor="text1"/>
                <w:szCs w:val="21"/>
              </w:rPr>
              <w:t>i</w:t>
            </w:r>
            <w:r w:rsidR="00784C3D" w:rsidRPr="00784C3D">
              <w:rPr>
                <w:rFonts w:eastAsia="宋体" w:cs="Times New Roman"/>
                <w:color w:val="000000" w:themeColor="text1"/>
                <w:szCs w:val="21"/>
              </w:rPr>
              <w:t xml:space="preserve">s </w:t>
            </w:r>
            <w:r w:rsidR="00784C3D">
              <w:rPr>
                <w:rFonts w:eastAsia="宋体" w:cs="Times New Roman"/>
                <w:color w:val="000000" w:themeColor="text1"/>
                <w:szCs w:val="21"/>
              </w:rPr>
              <w:t>taken actively. When it returns</w:t>
            </w:r>
            <w:r w:rsidR="00784C3D" w:rsidRPr="00784C3D">
              <w:rPr>
                <w:rFonts w:eastAsia="宋体" w:cs="Times New Roman"/>
                <w:color w:val="000000" w:themeColor="text1"/>
                <w:szCs w:val="21"/>
              </w:rPr>
              <w:t xml:space="preserve"> to grade &lt; 2, the dose </w:t>
            </w:r>
            <w:r w:rsidR="00784C3D">
              <w:rPr>
                <w:rFonts w:eastAsia="宋体" w:cs="Times New Roman"/>
                <w:color w:val="000000" w:themeColor="text1"/>
                <w:szCs w:val="21"/>
              </w:rPr>
              <w:t>i</w:t>
            </w:r>
            <w:r w:rsidR="00784C3D" w:rsidRPr="00784C3D">
              <w:rPr>
                <w:rFonts w:eastAsia="宋体" w:cs="Times New Roman"/>
                <w:color w:val="000000" w:themeColor="text1"/>
                <w:szCs w:val="21"/>
              </w:rPr>
              <w:t>s reduced by one dose</w:t>
            </w:r>
            <w:r w:rsidR="00784C3D">
              <w:rPr>
                <w:rFonts w:eastAsia="宋体" w:cs="Times New Roman"/>
                <w:color w:val="000000" w:themeColor="text1"/>
                <w:szCs w:val="21"/>
              </w:rPr>
              <w:t xml:space="preserve"> level</w:t>
            </w:r>
            <w:r w:rsidR="00784C3D" w:rsidRPr="00784C3D">
              <w:rPr>
                <w:rFonts w:eastAsia="宋体" w:cs="Times New Roman"/>
                <w:color w:val="000000" w:themeColor="text1"/>
                <w:szCs w:val="21"/>
              </w:rPr>
              <w:t xml:space="preserve"> to continue medication. If it recurs, permanent discontinuation of treatment is considered.</w:t>
            </w:r>
            <w:r w:rsidRPr="003127AF">
              <w:rPr>
                <w:rFonts w:eastAsia="宋体" w:cs="Times New Roman"/>
                <w:color w:val="000000" w:themeColor="text1"/>
                <w:szCs w:val="21"/>
              </w:rPr>
              <w:t>.</w:t>
            </w:r>
          </w:p>
        </w:tc>
      </w:tr>
      <w:tr w:rsidR="008608FF" w:rsidRPr="008B7C28" w14:paraId="1FB0C12F" w14:textId="77777777" w:rsidTr="00384EEC">
        <w:trPr>
          <w:trHeight w:val="472"/>
          <w:jc w:val="center"/>
        </w:trPr>
        <w:tc>
          <w:tcPr>
            <w:tcW w:w="2126" w:type="dxa"/>
            <w:tcBorders>
              <w:top w:val="single" w:sz="4" w:space="0" w:color="000000"/>
            </w:tcBorders>
            <w:vAlign w:val="center"/>
          </w:tcPr>
          <w:p w14:paraId="15B743DD" w14:textId="77777777" w:rsidR="008608FF" w:rsidRPr="003127AF" w:rsidRDefault="008608FF" w:rsidP="00646849">
            <w:pPr>
              <w:spacing w:before="120"/>
              <w:rPr>
                <w:rFonts w:eastAsia="宋体" w:cs="Times New Roman"/>
                <w:color w:val="000000" w:themeColor="text1"/>
                <w:szCs w:val="21"/>
              </w:rPr>
            </w:pPr>
            <w:r w:rsidRPr="00384EEC">
              <w:rPr>
                <w:rFonts w:eastAsia="宋体" w:cs="Times New Roman"/>
                <w:color w:val="000000" w:themeColor="text1"/>
                <w:szCs w:val="21"/>
              </w:rPr>
              <w:t>≥</w:t>
            </w:r>
            <w:r w:rsidRPr="003127AF">
              <w:rPr>
                <w:rFonts w:eastAsia="宋体" w:cs="Times New Roman"/>
                <w:color w:val="000000" w:themeColor="text1"/>
                <w:szCs w:val="21"/>
              </w:rPr>
              <w:t>Grade 3</w:t>
            </w:r>
          </w:p>
        </w:tc>
        <w:tc>
          <w:tcPr>
            <w:tcW w:w="4927" w:type="dxa"/>
            <w:tcBorders>
              <w:top w:val="single" w:sz="4" w:space="0" w:color="000000"/>
            </w:tcBorders>
            <w:vAlign w:val="center"/>
          </w:tcPr>
          <w:p w14:paraId="32B332CD" w14:textId="77777777" w:rsidR="008608FF" w:rsidRPr="003127AF" w:rsidRDefault="008608FF" w:rsidP="00646849">
            <w:pPr>
              <w:spacing w:before="120"/>
              <w:rPr>
                <w:rFonts w:eastAsia="宋体" w:cs="Times New Roman"/>
                <w:color w:val="000000" w:themeColor="text1"/>
                <w:szCs w:val="21"/>
              </w:rPr>
            </w:pPr>
            <w:r w:rsidRPr="003127AF">
              <w:rPr>
                <w:rFonts w:eastAsia="宋体" w:cs="Times New Roman"/>
                <w:color w:val="000000" w:themeColor="text1"/>
                <w:szCs w:val="21"/>
              </w:rPr>
              <w:t>Permanent termination of treatment and emergency medical intervention.</w:t>
            </w:r>
          </w:p>
        </w:tc>
      </w:tr>
    </w:tbl>
    <w:p w14:paraId="5AEFF254" w14:textId="77777777" w:rsidR="008608FF" w:rsidRDefault="008608FF" w:rsidP="008608FF">
      <w:pPr>
        <w:pStyle w:val="P68B1DB1-16842"/>
        <w:spacing w:before="120" w:after="240"/>
        <w:rPr>
          <w:rFonts w:hint="default"/>
        </w:rPr>
      </w:pPr>
      <w:r>
        <w:t xml:space="preserve">* </w:t>
      </w:r>
      <w:r w:rsidRPr="008B7C28">
        <w:t>Bleeding AEs include hemoptysis, gastrointestinal bleeding, nosebleed, bronchial bleeding, gingival bleeding, gross hematuria, fecal occult blood, and cerebral hemorrhage.</w:t>
      </w:r>
      <w:r>
        <w:t xml:space="preserve"> </w:t>
      </w:r>
    </w:p>
    <w:p w14:paraId="6CD88ECC" w14:textId="16F84467" w:rsidR="00E24CDF" w:rsidRPr="00384EEC" w:rsidRDefault="00E24CDF" w:rsidP="006D1B06">
      <w:pPr>
        <w:pStyle w:val="affff0"/>
        <w:numPr>
          <w:ilvl w:val="0"/>
          <w:numId w:val="22"/>
        </w:numPr>
      </w:pPr>
      <w:r w:rsidRPr="00384EEC">
        <w:t>Anlotinib should be discontinued at least 4 weeks before elective surgery.</w:t>
      </w:r>
    </w:p>
    <w:p w14:paraId="10171CFF" w14:textId="3A8B64EA" w:rsidR="008608FF" w:rsidRPr="00384EEC" w:rsidRDefault="00E24CDF" w:rsidP="006D1B06">
      <w:pPr>
        <w:pStyle w:val="affff0"/>
        <w:numPr>
          <w:ilvl w:val="0"/>
          <w:numId w:val="22"/>
        </w:numPr>
      </w:pPr>
      <w:r w:rsidRPr="0025058B">
        <w:t xml:space="preserve">Arterial thromboembolic events, gastrointestinal perforation, and intra-abdominal abscess or fistula formation required permanent </w:t>
      </w:r>
      <w:r>
        <w:t>ternimation</w:t>
      </w:r>
      <w:r w:rsidRPr="0025058B">
        <w:t xml:space="preserve"> of anlotinib.</w:t>
      </w:r>
    </w:p>
    <w:p w14:paraId="016FBE6E" w14:textId="77777777" w:rsidR="0025149E" w:rsidRDefault="003C44C1" w:rsidP="00AD6AFD">
      <w:pPr>
        <w:pStyle w:val="P68B1DB1-15621"/>
        <w:numPr>
          <w:ilvl w:val="0"/>
          <w:numId w:val="21"/>
        </w:numPr>
        <w:spacing w:before="120"/>
        <w:rPr>
          <w:rFonts w:hint="default"/>
        </w:rPr>
      </w:pPr>
      <w:r w:rsidRPr="000845A8">
        <w:rPr>
          <w:rFonts w:hint="default"/>
        </w:rPr>
        <w:t>Dose Modification of</w:t>
      </w:r>
      <w:r w:rsidR="003E0392" w:rsidRPr="000845A8">
        <w:rPr>
          <w:rFonts w:hint="default"/>
        </w:rPr>
        <w:t xml:space="preserve"> </w:t>
      </w:r>
      <w:r w:rsidR="0025149E" w:rsidRPr="0025149E">
        <w:t>bevacizumab</w:t>
      </w:r>
    </w:p>
    <w:p w14:paraId="1F8D9C46" w14:textId="77777777" w:rsidR="0025149E" w:rsidRPr="00384EEC" w:rsidRDefault="0025149E" w:rsidP="006D1B06">
      <w:pPr>
        <w:pStyle w:val="P68B1DB1-15621"/>
        <w:numPr>
          <w:ilvl w:val="0"/>
          <w:numId w:val="23"/>
        </w:numPr>
        <w:spacing w:before="120"/>
        <w:rPr>
          <w:rFonts w:eastAsia="Times New Roman" w:hint="default"/>
          <w:b w:val="0"/>
        </w:rPr>
      </w:pPr>
      <w:bookmarkStart w:id="76" w:name="OLE_LINK4"/>
      <w:bookmarkStart w:id="77" w:name="OLE_LINK6"/>
      <w:r w:rsidRPr="00384EEC">
        <w:rPr>
          <w:rFonts w:hint="default"/>
          <w:b w:val="0"/>
        </w:rPr>
        <w:t>Dose delay</w:t>
      </w:r>
      <w:bookmarkEnd w:id="76"/>
      <w:bookmarkEnd w:id="77"/>
    </w:p>
    <w:p w14:paraId="30C24ED2" w14:textId="216B071C" w:rsidR="0025149E" w:rsidRDefault="0025149E" w:rsidP="00384EEC">
      <w:pPr>
        <w:pStyle w:val="P68B1DB1-15621"/>
        <w:numPr>
          <w:ilvl w:val="0"/>
          <w:numId w:val="0"/>
        </w:numPr>
        <w:spacing w:before="120"/>
        <w:rPr>
          <w:rFonts w:eastAsia="Times New Roman" w:hint="default"/>
          <w:b w:val="0"/>
        </w:rPr>
      </w:pPr>
      <w:r w:rsidRPr="0025149E">
        <w:rPr>
          <w:rFonts w:eastAsia="Times New Roman"/>
          <w:b w:val="0"/>
        </w:rPr>
        <w:t>Bevacizumab should be withh</w:t>
      </w:r>
      <w:r w:rsidR="008431EA">
        <w:rPr>
          <w:rFonts w:eastAsia="Times New Roman" w:hint="default"/>
          <w:b w:val="0"/>
        </w:rPr>
        <w:t>e</w:t>
      </w:r>
      <w:r w:rsidRPr="0025149E">
        <w:rPr>
          <w:rFonts w:eastAsia="Times New Roman"/>
          <w:b w:val="0"/>
        </w:rPr>
        <w:t>ld until symptoms are controlled or</w:t>
      </w:r>
      <w:r>
        <w:rPr>
          <w:rFonts w:eastAsia="Times New Roman" w:hint="default"/>
          <w:b w:val="0"/>
        </w:rPr>
        <w:t xml:space="preserve"> </w:t>
      </w:r>
      <w:r>
        <w:rPr>
          <w:rFonts w:eastAsia="Times New Roman"/>
          <w:b w:val="0"/>
        </w:rPr>
        <w:t>return</w:t>
      </w:r>
      <w:r>
        <w:rPr>
          <w:rFonts w:eastAsia="Times New Roman" w:hint="default"/>
          <w:b w:val="0"/>
        </w:rPr>
        <w:t xml:space="preserve"> to</w:t>
      </w:r>
      <w:r w:rsidRPr="0025149E">
        <w:rPr>
          <w:rFonts w:eastAsia="Times New Roman"/>
          <w:b w:val="0"/>
        </w:rPr>
        <w:t xml:space="preserve"> the level before the last dose if:</w:t>
      </w:r>
    </w:p>
    <w:p w14:paraId="5966EB35" w14:textId="005D4F60" w:rsidR="0025149E" w:rsidRPr="00384EEC" w:rsidRDefault="0025149E" w:rsidP="006D1B06">
      <w:pPr>
        <w:pStyle w:val="P68B1DB1-15621"/>
        <w:numPr>
          <w:ilvl w:val="0"/>
          <w:numId w:val="24"/>
        </w:numPr>
        <w:spacing w:before="120"/>
        <w:rPr>
          <w:rFonts w:eastAsia="Times New Roman" w:hint="default"/>
          <w:b w:val="0"/>
        </w:rPr>
      </w:pPr>
      <w:r w:rsidRPr="0025149E">
        <w:rPr>
          <w:rFonts w:eastAsia="Times New Roman"/>
          <w:b w:val="0"/>
        </w:rPr>
        <w:t>At least</w:t>
      </w:r>
      <w:r w:rsidR="008431EA">
        <w:rPr>
          <w:rFonts w:eastAsia="Times New Roman" w:hint="default"/>
          <w:b w:val="0"/>
        </w:rPr>
        <w:t xml:space="preserve"> </w:t>
      </w:r>
      <w:r w:rsidR="008431EA" w:rsidRPr="0025149E">
        <w:rPr>
          <w:rFonts w:eastAsia="Times New Roman"/>
          <w:b w:val="0"/>
        </w:rPr>
        <w:t xml:space="preserve">4 </w:t>
      </w:r>
      <w:r w:rsidR="008431EA">
        <w:rPr>
          <w:rFonts w:eastAsia="Times New Roman" w:hint="default"/>
          <w:b w:val="0"/>
        </w:rPr>
        <w:t>w</w:t>
      </w:r>
      <w:r w:rsidR="008431EA" w:rsidRPr="0025149E">
        <w:rPr>
          <w:rFonts w:eastAsia="Times New Roman"/>
          <w:b w:val="0"/>
        </w:rPr>
        <w:t>eek</w:t>
      </w:r>
      <w:r w:rsidRPr="0025149E">
        <w:rPr>
          <w:rFonts w:eastAsia="Times New Roman"/>
          <w:b w:val="0"/>
        </w:rPr>
        <w:t xml:space="preserve"> </w:t>
      </w:r>
      <w:r w:rsidR="008431EA">
        <w:rPr>
          <w:rFonts w:eastAsia="Times New Roman" w:hint="default"/>
          <w:b w:val="0"/>
        </w:rPr>
        <w:t>s</w:t>
      </w:r>
      <w:r w:rsidRPr="0025149E">
        <w:rPr>
          <w:rFonts w:eastAsia="Times New Roman"/>
          <w:b w:val="0"/>
        </w:rPr>
        <w:t xml:space="preserve">prior to elective surgery; </w:t>
      </w:r>
    </w:p>
    <w:p w14:paraId="2F8C84BC" w14:textId="74AA3FC6" w:rsidR="0025149E" w:rsidRPr="00384EEC" w:rsidRDefault="008431EA" w:rsidP="006D1B06">
      <w:pPr>
        <w:pStyle w:val="P68B1DB1-15621"/>
        <w:numPr>
          <w:ilvl w:val="0"/>
          <w:numId w:val="24"/>
        </w:numPr>
        <w:spacing w:before="120"/>
        <w:rPr>
          <w:rFonts w:eastAsia="Times New Roman" w:hint="default"/>
          <w:b w:val="0"/>
        </w:rPr>
      </w:pPr>
      <w:r>
        <w:rPr>
          <w:rFonts w:eastAsia="Times New Roman" w:hint="default"/>
          <w:b w:val="0"/>
        </w:rPr>
        <w:t>P</w:t>
      </w:r>
      <w:r w:rsidRPr="00BF493F">
        <w:rPr>
          <w:rFonts w:eastAsia="Times New Roman"/>
          <w:b w:val="0"/>
        </w:rPr>
        <w:t>oorly controlled</w:t>
      </w:r>
      <w:r>
        <w:rPr>
          <w:rFonts w:eastAsia="Times New Roman" w:hint="default"/>
          <w:b w:val="0"/>
        </w:rPr>
        <w:t xml:space="preserve"> s</w:t>
      </w:r>
      <w:r w:rsidR="0025149E" w:rsidRPr="0025149E">
        <w:rPr>
          <w:rFonts w:eastAsia="Times New Roman" w:hint="default"/>
          <w:b w:val="0"/>
        </w:rPr>
        <w:t>evere hypertension (</w:t>
      </w:r>
      <w:r w:rsidR="0025149E" w:rsidRPr="0025149E">
        <w:rPr>
          <w:rFonts w:eastAsia="Times New Roman"/>
          <w:b w:val="0"/>
        </w:rPr>
        <w:t>≥</w:t>
      </w:r>
      <w:r w:rsidR="0025149E" w:rsidRPr="0025149E">
        <w:rPr>
          <w:rFonts w:eastAsia="Times New Roman" w:hint="default"/>
          <w:b w:val="0"/>
        </w:rPr>
        <w:t xml:space="preserve"> </w:t>
      </w:r>
      <w:r w:rsidR="00B24114">
        <w:rPr>
          <w:rFonts w:eastAsia="Times New Roman" w:hint="default"/>
          <w:b w:val="0"/>
        </w:rPr>
        <w:t>g</w:t>
      </w:r>
      <w:r w:rsidRPr="004E5F31">
        <w:rPr>
          <w:rFonts w:eastAsia="Times New Roman"/>
          <w:b w:val="0"/>
        </w:rPr>
        <w:t>rade</w:t>
      </w:r>
      <w:r w:rsidRPr="00A3029E">
        <w:rPr>
          <w:rFonts w:eastAsia="Times New Roman"/>
          <w:b w:val="0"/>
        </w:rPr>
        <w:t xml:space="preserve"> 3</w:t>
      </w:r>
      <w:r>
        <w:rPr>
          <w:rFonts w:eastAsia="Times New Roman" w:hint="default"/>
          <w:b w:val="0"/>
        </w:rPr>
        <w:t xml:space="preserve"> according </w:t>
      </w:r>
      <w:r w:rsidR="0025149E" w:rsidRPr="0025149E">
        <w:rPr>
          <w:rFonts w:eastAsia="Times New Roman" w:hint="default"/>
          <w:b w:val="0"/>
        </w:rPr>
        <w:t xml:space="preserve">CTCAE); </w:t>
      </w:r>
    </w:p>
    <w:p w14:paraId="03D15E19" w14:textId="7AD46BA0" w:rsidR="0025149E" w:rsidRPr="00384EEC" w:rsidRDefault="0025149E" w:rsidP="006D1B06">
      <w:pPr>
        <w:pStyle w:val="P68B1DB1-15621"/>
        <w:numPr>
          <w:ilvl w:val="0"/>
          <w:numId w:val="24"/>
        </w:numPr>
        <w:spacing w:before="120"/>
        <w:rPr>
          <w:rFonts w:eastAsia="Times New Roman" w:hint="default"/>
          <w:b w:val="0"/>
        </w:rPr>
      </w:pPr>
      <w:r w:rsidRPr="0025149E">
        <w:rPr>
          <w:rFonts w:eastAsia="Times New Roman" w:hint="default"/>
          <w:b w:val="0"/>
        </w:rPr>
        <w:t>Moderate to severe proteinuria requires further assessment (</w:t>
      </w:r>
      <w:r w:rsidR="008431EA" w:rsidRPr="008431EA">
        <w:rPr>
          <w:rFonts w:eastAsia="Times New Roman"/>
          <w:b w:val="0"/>
        </w:rPr>
        <w:t xml:space="preserve">≥ </w:t>
      </w:r>
      <w:r w:rsidR="00B24114">
        <w:rPr>
          <w:rFonts w:eastAsia="Times New Roman" w:hint="default"/>
          <w:b w:val="0"/>
        </w:rPr>
        <w:t>g</w:t>
      </w:r>
      <w:r w:rsidR="008431EA" w:rsidRPr="008431EA">
        <w:rPr>
          <w:rFonts w:eastAsia="Times New Roman"/>
          <w:b w:val="0"/>
        </w:rPr>
        <w:t>rade 3 according CTCAE</w:t>
      </w:r>
      <w:r w:rsidRPr="0025149E">
        <w:rPr>
          <w:rFonts w:eastAsia="Times New Roman" w:hint="default"/>
          <w:b w:val="0"/>
        </w:rPr>
        <w:t xml:space="preserve">); </w:t>
      </w:r>
    </w:p>
    <w:p w14:paraId="401E1568" w14:textId="6A02ADC5" w:rsidR="0025149E" w:rsidRPr="0025149E" w:rsidRDefault="0025149E" w:rsidP="006D1B06">
      <w:pPr>
        <w:pStyle w:val="P68B1DB1-15621"/>
        <w:numPr>
          <w:ilvl w:val="0"/>
          <w:numId w:val="24"/>
        </w:numPr>
        <w:spacing w:before="120"/>
        <w:rPr>
          <w:rFonts w:eastAsia="Times New Roman" w:hint="default"/>
          <w:b w:val="0"/>
        </w:rPr>
      </w:pPr>
      <w:r w:rsidRPr="0025149E">
        <w:rPr>
          <w:rFonts w:eastAsia="Times New Roman" w:hint="default"/>
          <w:b w:val="0"/>
        </w:rPr>
        <w:t xml:space="preserve">Serious infusion reactions. </w:t>
      </w:r>
    </w:p>
    <w:p w14:paraId="5D280BC0" w14:textId="77777777" w:rsidR="0025149E" w:rsidRPr="0025149E" w:rsidRDefault="0025149E" w:rsidP="006D1B06">
      <w:pPr>
        <w:pStyle w:val="P68B1DB1-15621"/>
        <w:numPr>
          <w:ilvl w:val="0"/>
          <w:numId w:val="23"/>
        </w:numPr>
        <w:spacing w:before="120"/>
        <w:rPr>
          <w:rFonts w:eastAsia="Times New Roman" w:hint="default"/>
          <w:b w:val="0"/>
        </w:rPr>
      </w:pPr>
      <w:r w:rsidRPr="0025149E">
        <w:rPr>
          <w:rFonts w:eastAsia="Times New Roman"/>
          <w:b w:val="0"/>
        </w:rPr>
        <w:t xml:space="preserve">Dose Reduction </w:t>
      </w:r>
    </w:p>
    <w:p w14:paraId="64579DD6" w14:textId="4955215B" w:rsidR="0025149E" w:rsidRPr="0025149E" w:rsidRDefault="0025149E" w:rsidP="00384EEC">
      <w:pPr>
        <w:pStyle w:val="P68B1DB1-15621"/>
        <w:numPr>
          <w:ilvl w:val="0"/>
          <w:numId w:val="0"/>
        </w:numPr>
        <w:spacing w:before="120"/>
        <w:rPr>
          <w:rFonts w:eastAsia="Times New Roman" w:hint="default"/>
          <w:b w:val="0"/>
        </w:rPr>
      </w:pPr>
      <w:r w:rsidRPr="0025149E">
        <w:rPr>
          <w:rFonts w:eastAsia="Times New Roman"/>
          <w:b w:val="0"/>
        </w:rPr>
        <w:t>The dose of Bevacizumab should be calculated based on body weight and adjusted for each cycle. No dose reduction is recommended for bevacizumab other than body weight</w:t>
      </w:r>
      <w:r w:rsidR="00FC2F50">
        <w:rPr>
          <w:rFonts w:eastAsia="Times New Roman" w:hint="default"/>
          <w:b w:val="0"/>
        </w:rPr>
        <w:t xml:space="preserve"> change</w:t>
      </w:r>
      <w:r w:rsidRPr="0025149E">
        <w:rPr>
          <w:rFonts w:eastAsia="Times New Roman"/>
          <w:b w:val="0"/>
        </w:rPr>
        <w:t xml:space="preserve">. </w:t>
      </w:r>
    </w:p>
    <w:p w14:paraId="104F19D3" w14:textId="693BDDC4" w:rsidR="0025149E" w:rsidRPr="0025149E" w:rsidRDefault="0025149E" w:rsidP="00AD6AFD">
      <w:pPr>
        <w:pStyle w:val="P68B1DB1-15621"/>
        <w:numPr>
          <w:ilvl w:val="0"/>
          <w:numId w:val="23"/>
        </w:numPr>
        <w:spacing w:before="120"/>
        <w:rPr>
          <w:rFonts w:eastAsia="Times New Roman" w:hint="default"/>
          <w:b w:val="0"/>
        </w:rPr>
      </w:pPr>
      <w:r w:rsidRPr="0025149E">
        <w:rPr>
          <w:rFonts w:eastAsia="Times New Roman"/>
          <w:b w:val="0"/>
        </w:rPr>
        <w:t xml:space="preserve">Dose </w:t>
      </w:r>
      <w:r w:rsidR="00AD6AFD">
        <w:rPr>
          <w:rFonts w:eastAsia="Times New Roman"/>
          <w:b w:val="0"/>
        </w:rPr>
        <w:t>discontin</w:t>
      </w:r>
      <w:r w:rsidR="00AD6AFD">
        <w:rPr>
          <w:rFonts w:eastAsia="Times New Roman" w:hint="default"/>
          <w:b w:val="0"/>
        </w:rPr>
        <w:t>uation</w:t>
      </w:r>
    </w:p>
    <w:p w14:paraId="0E96C2C3" w14:textId="6F91F047" w:rsidR="00CF6D84" w:rsidRPr="00CF6D84" w:rsidRDefault="00CF6D84" w:rsidP="00384EEC">
      <w:pPr>
        <w:pStyle w:val="P68B1DB1-15621"/>
        <w:numPr>
          <w:ilvl w:val="0"/>
          <w:numId w:val="0"/>
        </w:numPr>
        <w:spacing w:before="120"/>
        <w:rPr>
          <w:rFonts w:eastAsia="Times New Roman" w:hint="default"/>
          <w:b w:val="0"/>
        </w:rPr>
      </w:pPr>
      <w:r w:rsidRPr="00CF6D84">
        <w:rPr>
          <w:rFonts w:eastAsia="Times New Roman"/>
          <w:b w:val="0"/>
        </w:rPr>
        <w:t xml:space="preserve">Bevacizumab should be </w:t>
      </w:r>
      <w:r w:rsidR="009B1573" w:rsidRPr="009B1573">
        <w:rPr>
          <w:rFonts w:eastAsia="Times New Roman"/>
          <w:b w:val="0"/>
        </w:rPr>
        <w:t>discontinued</w:t>
      </w:r>
      <w:r w:rsidRPr="00CF6D84">
        <w:rPr>
          <w:rFonts w:eastAsia="Times New Roman"/>
          <w:b w:val="0"/>
        </w:rPr>
        <w:t xml:space="preserve"> in the following circumstances: </w:t>
      </w:r>
    </w:p>
    <w:p w14:paraId="0DBF10AA" w14:textId="77777777" w:rsidR="00CF6D84" w:rsidRPr="00384EEC" w:rsidRDefault="00CF6D84" w:rsidP="006D1B06">
      <w:pPr>
        <w:pStyle w:val="affff0"/>
        <w:numPr>
          <w:ilvl w:val="0"/>
          <w:numId w:val="25"/>
        </w:numPr>
        <w:rPr>
          <w:rFonts w:eastAsiaTheme="minorEastAsia"/>
        </w:rPr>
      </w:pPr>
      <w:r w:rsidRPr="00CF6D84">
        <w:t xml:space="preserve">Gastrointestinal perforation (gastrointestinal perforation, gastrointestinal fistula formation, abdominal abscess) involving visceral fistula formation; </w:t>
      </w:r>
    </w:p>
    <w:p w14:paraId="175E08C4" w14:textId="77777777" w:rsidR="00CF6D84" w:rsidRPr="00384EEC" w:rsidRDefault="00CF6D84" w:rsidP="006D1B06">
      <w:pPr>
        <w:pStyle w:val="affff0"/>
        <w:numPr>
          <w:ilvl w:val="0"/>
          <w:numId w:val="25"/>
        </w:numPr>
        <w:rPr>
          <w:rFonts w:eastAsiaTheme="minorEastAsia"/>
        </w:rPr>
      </w:pPr>
      <w:r w:rsidRPr="00384EEC">
        <w:lastRenderedPageBreak/>
        <w:t xml:space="preserve">Wound dehiscence and wound healing complications requiring intervention; </w:t>
      </w:r>
    </w:p>
    <w:p w14:paraId="625C4323" w14:textId="77777777" w:rsidR="00CF6D84" w:rsidRPr="00384EEC" w:rsidRDefault="00CF6D84" w:rsidP="006D1B06">
      <w:pPr>
        <w:pStyle w:val="affff0"/>
        <w:numPr>
          <w:ilvl w:val="0"/>
          <w:numId w:val="25"/>
        </w:numPr>
        <w:rPr>
          <w:rFonts w:eastAsiaTheme="minorEastAsia"/>
        </w:rPr>
      </w:pPr>
      <w:r w:rsidRPr="00384EEC">
        <w:t xml:space="preserve">Serious arterial thrombotic events; </w:t>
      </w:r>
    </w:p>
    <w:p w14:paraId="1BC6C6C0" w14:textId="77777777" w:rsidR="00CF6D84" w:rsidRPr="00384EEC" w:rsidRDefault="00CF6D84" w:rsidP="006D1B06">
      <w:pPr>
        <w:pStyle w:val="affff0"/>
        <w:numPr>
          <w:ilvl w:val="0"/>
          <w:numId w:val="25"/>
        </w:numPr>
        <w:rPr>
          <w:rFonts w:eastAsiaTheme="minorEastAsia"/>
        </w:rPr>
      </w:pPr>
      <w:r w:rsidRPr="00384EEC">
        <w:t xml:space="preserve">Hypertensive crisis or hypertensive encephalopathy; </w:t>
      </w:r>
    </w:p>
    <w:p w14:paraId="67982AA3" w14:textId="33C21B9E" w:rsidR="00CF6D84" w:rsidRPr="00384EEC" w:rsidRDefault="0073550C" w:rsidP="006D1B06">
      <w:pPr>
        <w:pStyle w:val="affff0"/>
        <w:numPr>
          <w:ilvl w:val="0"/>
          <w:numId w:val="25"/>
        </w:numPr>
        <w:rPr>
          <w:rFonts w:eastAsiaTheme="minorEastAsia"/>
        </w:rPr>
      </w:pPr>
      <w:r>
        <w:t>R</w:t>
      </w:r>
      <w:r w:rsidRPr="0073550C">
        <w:t>eversible posterior leukoencephalopathy syndrome</w:t>
      </w:r>
      <w:r w:rsidR="00CF6D84" w:rsidRPr="0025058B">
        <w:t xml:space="preserve"> (PRLS</w:t>
      </w:r>
      <w:r w:rsidR="00CF6D84" w:rsidRPr="00384EEC">
        <w:t xml:space="preserve">); </w:t>
      </w:r>
    </w:p>
    <w:p w14:paraId="11E85C90" w14:textId="77777777" w:rsidR="00CF6D84" w:rsidRPr="00384EEC" w:rsidRDefault="00CF6D84" w:rsidP="006D1B06">
      <w:pPr>
        <w:pStyle w:val="affff0"/>
        <w:numPr>
          <w:ilvl w:val="0"/>
          <w:numId w:val="25"/>
        </w:numPr>
        <w:rPr>
          <w:rFonts w:eastAsiaTheme="minorEastAsia"/>
        </w:rPr>
      </w:pPr>
      <w:r w:rsidRPr="00384EEC">
        <w:t xml:space="preserve">Nephrotic syndrome; </w:t>
      </w:r>
    </w:p>
    <w:p w14:paraId="0A95BF6E" w14:textId="061560A9" w:rsidR="00CF6D84" w:rsidRPr="00384EEC" w:rsidRDefault="00CF6D84" w:rsidP="006D1B06">
      <w:pPr>
        <w:pStyle w:val="affff0"/>
        <w:numPr>
          <w:ilvl w:val="0"/>
          <w:numId w:val="25"/>
        </w:numPr>
        <w:rPr>
          <w:rFonts w:eastAsiaTheme="minorEastAsia"/>
        </w:rPr>
      </w:pPr>
      <w:r w:rsidRPr="00384EEC">
        <w:t xml:space="preserve">Other </w:t>
      </w:r>
      <w:r w:rsidR="002539D3">
        <w:t>g</w:t>
      </w:r>
      <w:r w:rsidR="002539D3" w:rsidRPr="00E23B36">
        <w:t>rade</w:t>
      </w:r>
      <w:r w:rsidR="00097512" w:rsidRPr="00E23B36">
        <w:rPr>
          <w:rFonts w:hint="eastAsia"/>
        </w:rPr>
        <w:t>≥</w:t>
      </w:r>
      <w:r w:rsidR="00097512" w:rsidRPr="00E23B36">
        <w:t xml:space="preserve"> 3 </w:t>
      </w:r>
      <w:r w:rsidRPr="0025058B">
        <w:t xml:space="preserve">AEs, the specific principles are as follows: </w:t>
      </w:r>
    </w:p>
    <w:p w14:paraId="01C4FAF4" w14:textId="6D39E1A8" w:rsidR="00670F8D" w:rsidRDefault="00670F8D" w:rsidP="006D1B06">
      <w:pPr>
        <w:pStyle w:val="affff0"/>
        <w:numPr>
          <w:ilvl w:val="0"/>
          <w:numId w:val="26"/>
        </w:numPr>
      </w:pPr>
      <w:r>
        <w:rPr>
          <w:rFonts w:eastAsiaTheme="minorEastAsia" w:hint="eastAsia"/>
        </w:rPr>
        <w:t>F</w:t>
      </w:r>
      <w:r>
        <w:rPr>
          <w:rFonts w:eastAsiaTheme="minorEastAsia"/>
        </w:rPr>
        <w:t>irst occurance:</w:t>
      </w:r>
    </w:p>
    <w:p w14:paraId="4B68E547" w14:textId="40AE822E" w:rsidR="00DC246D" w:rsidRDefault="00DC246D" w:rsidP="00384EEC">
      <w:r>
        <w:t xml:space="preserve">Bevacizumab should be withheld until symptoms of AEs returned to baseline or at least subsided to grade 1 or lower (except the special circumstances listed below). When grade 4 febrile neutropenia of and/or grade 4 thrombocytopenia occur, bevacizumab should be withheld until recovery or </w:t>
      </w:r>
      <w:r w:rsidRPr="00DC246D">
        <w:t xml:space="preserve">subsided to </w:t>
      </w:r>
      <w:r>
        <w:t>grade 1 or lower, since such conditions are predisposing factors for an increased bleeding tendency.</w:t>
      </w:r>
    </w:p>
    <w:p w14:paraId="1230ABF0" w14:textId="2A229EA6" w:rsidR="00DC246D" w:rsidRDefault="00DC246D" w:rsidP="006D1B06">
      <w:pPr>
        <w:pStyle w:val="affff0"/>
        <w:numPr>
          <w:ilvl w:val="0"/>
          <w:numId w:val="26"/>
        </w:numPr>
      </w:pPr>
      <w:r>
        <w:t xml:space="preserve">When </w:t>
      </w:r>
      <w:r w:rsidR="00670F8D">
        <w:t>AEs occur</w:t>
      </w:r>
      <w:r>
        <w:t xml:space="preserve"> again after </w:t>
      </w:r>
      <w:r w:rsidR="00670F8D">
        <w:t>b</w:t>
      </w:r>
      <w:r w:rsidR="00670F8D" w:rsidRPr="00670F8D">
        <w:t>evacizumab</w:t>
      </w:r>
      <w:r>
        <w:t xml:space="preserve"> resumed:</w:t>
      </w:r>
    </w:p>
    <w:p w14:paraId="70BCD357" w14:textId="77777777" w:rsidR="001056EB" w:rsidRDefault="00DC246D" w:rsidP="00384EEC">
      <w:r>
        <w:t xml:space="preserve">Investigators should assess the risk/benefit of continuing the study drug in the recurrence of grade 3 bevacizumab-related toxicity. </w:t>
      </w:r>
      <w:r w:rsidR="009B1573" w:rsidRPr="009B1573">
        <w:t xml:space="preserve">Bevacizumab should be permanently terminated </w:t>
      </w:r>
      <w:r w:rsidR="009B1573">
        <w:t xml:space="preserve">if this AE recurs after bevacizumabr eadministration or </w:t>
      </w:r>
      <w:r w:rsidR="009B1573" w:rsidRPr="009B1573">
        <w:t xml:space="preserve">grade 4 bevacizumab-related </w:t>
      </w:r>
      <w:r w:rsidR="009B1573">
        <w:t>AEs</w:t>
      </w:r>
      <w:r w:rsidR="00B469C3">
        <w:t xml:space="preserve"> occur</w:t>
      </w:r>
      <w:r w:rsidR="009B1573" w:rsidRPr="009B1573">
        <w:t>.</w:t>
      </w:r>
    </w:p>
    <w:p w14:paraId="2ADACC55" w14:textId="5F2F4756" w:rsidR="006535D9" w:rsidRPr="00384EEC" w:rsidRDefault="00196B0E" w:rsidP="006D1B06">
      <w:pPr>
        <w:pStyle w:val="affff0"/>
        <w:numPr>
          <w:ilvl w:val="0"/>
          <w:numId w:val="25"/>
        </w:numPr>
        <w:rPr>
          <w:rFonts w:eastAsiaTheme="minorEastAsia"/>
        </w:rPr>
      </w:pPr>
      <w:r w:rsidRPr="00196B0E">
        <w:t>Measures to be taken for the study drug in the following circumstances</w:t>
      </w:r>
      <w:r w:rsidR="0087338B">
        <w:t>:</w:t>
      </w:r>
    </w:p>
    <w:p w14:paraId="5E0CB388" w14:textId="1C450F74" w:rsidR="00532ED1" w:rsidRPr="00384EEC" w:rsidRDefault="00532ED1" w:rsidP="006D1B06">
      <w:pPr>
        <w:pStyle w:val="affff0"/>
        <w:numPr>
          <w:ilvl w:val="0"/>
          <w:numId w:val="26"/>
        </w:numPr>
        <w:rPr>
          <w:rFonts w:eastAsiaTheme="minorEastAsia"/>
        </w:rPr>
      </w:pPr>
      <w:r w:rsidRPr="00532ED1">
        <w:rPr>
          <w:rFonts w:eastAsiaTheme="minorEastAsia"/>
        </w:rPr>
        <w:t>Bleeding</w:t>
      </w:r>
    </w:p>
    <w:p w14:paraId="2850525B" w14:textId="77777777" w:rsidR="00532ED1" w:rsidRPr="00384EEC" w:rsidRDefault="00532ED1" w:rsidP="00384EEC">
      <w:pPr>
        <w:rPr>
          <w:rFonts w:eastAsiaTheme="minorEastAsia"/>
        </w:rPr>
      </w:pPr>
      <w:r w:rsidRPr="00384EEC">
        <w:rPr>
          <w:rFonts w:eastAsiaTheme="minorEastAsia"/>
        </w:rPr>
        <w:t>Patients with grade 3 or 4 bleeding events should be treated accordingly and the study drug should be permanently discontinued.</w:t>
      </w:r>
    </w:p>
    <w:p w14:paraId="02E501D6" w14:textId="6BF834E1" w:rsidR="00532ED1" w:rsidRPr="00384EEC" w:rsidRDefault="00532ED1" w:rsidP="006D1B06">
      <w:pPr>
        <w:pStyle w:val="affff0"/>
        <w:numPr>
          <w:ilvl w:val="0"/>
          <w:numId w:val="26"/>
        </w:numPr>
        <w:rPr>
          <w:rFonts w:eastAsiaTheme="minorEastAsia"/>
        </w:rPr>
      </w:pPr>
      <w:r w:rsidRPr="00384EEC">
        <w:rPr>
          <w:rFonts w:eastAsiaTheme="minorEastAsia"/>
        </w:rPr>
        <w:t>Thrombosis/embolism:</w:t>
      </w:r>
    </w:p>
    <w:p w14:paraId="34F69D78" w14:textId="50888566" w:rsidR="00532ED1" w:rsidRPr="00384EEC" w:rsidRDefault="00532ED1" w:rsidP="00384EEC">
      <w:pPr>
        <w:pStyle w:val="affff0"/>
        <w:ind w:left="420" w:firstLine="0"/>
        <w:rPr>
          <w:rFonts w:eastAsiaTheme="minorEastAsia"/>
        </w:rPr>
      </w:pPr>
      <w:r w:rsidRPr="00384EEC">
        <w:rPr>
          <w:rFonts w:eastAsiaTheme="minorEastAsia"/>
        </w:rPr>
        <w:t>1) If any grade of arterial thrombotic event occurred, study drug treatment should be permanently discontinued;</w:t>
      </w:r>
    </w:p>
    <w:p w14:paraId="521789E7" w14:textId="26A43F1E" w:rsidR="00532ED1" w:rsidRPr="00384EEC" w:rsidRDefault="00532ED1" w:rsidP="00384EEC">
      <w:pPr>
        <w:pStyle w:val="affff0"/>
        <w:ind w:left="420" w:firstLine="0"/>
        <w:rPr>
          <w:rFonts w:eastAsiaTheme="minorEastAsia"/>
        </w:rPr>
      </w:pPr>
      <w:r w:rsidRPr="00384EEC">
        <w:rPr>
          <w:rFonts w:eastAsiaTheme="minorEastAsia"/>
        </w:rPr>
        <w:t>2) If subject developed grade 4 venous thrombosis, study drug therapy should be permanently discontinued;</w:t>
      </w:r>
    </w:p>
    <w:p w14:paraId="13DCA2B4" w14:textId="13BD96E6" w:rsidR="00532ED1" w:rsidRPr="00384EEC" w:rsidRDefault="00532ED1" w:rsidP="00384EEC">
      <w:pPr>
        <w:pStyle w:val="affff0"/>
        <w:ind w:left="420" w:firstLine="0"/>
        <w:rPr>
          <w:rFonts w:eastAsiaTheme="minorEastAsia"/>
        </w:rPr>
      </w:pPr>
      <w:r w:rsidRPr="00384EEC">
        <w:rPr>
          <w:rFonts w:eastAsiaTheme="minorEastAsia"/>
        </w:rPr>
        <w:t>3) if grade 3 venous thrombosis occurred, study drug therapy should be withheld. If therapeutic doses of anticoagulation were planned for less than 2 weeks, the study drug was withheld until the end of anticoagulation. If the planned therapeutic dose of anticoagulation was administered for &gt; 2 weeks, bevacizumab therapy was withheld for 2 weeks until the following criteria were met, and study drug therapy could be restarted during anticoagulation:</w:t>
      </w:r>
    </w:p>
    <w:p w14:paraId="33D08802" w14:textId="555F8164" w:rsidR="0087338B" w:rsidRDefault="00532ED1" w:rsidP="00384EEC">
      <w:pPr>
        <w:pStyle w:val="affff0"/>
        <w:ind w:left="420" w:firstLine="0"/>
        <w:rPr>
          <w:rFonts w:eastAsiaTheme="minorEastAsia"/>
        </w:rPr>
      </w:pPr>
      <w:r w:rsidRPr="00384EEC">
        <w:rPr>
          <w:rFonts w:eastAsiaTheme="minorEastAsia"/>
        </w:rPr>
        <w:t>4) The INR ratio should be within the target range (usually between 2 and 3) before restarting the study drug;</w:t>
      </w:r>
    </w:p>
    <w:p w14:paraId="3E4022CC" w14:textId="477FB24D" w:rsidR="00545FE7" w:rsidRPr="00384EEC" w:rsidRDefault="00545FE7" w:rsidP="00384EEC">
      <w:pPr>
        <w:pStyle w:val="affff0"/>
        <w:ind w:left="420" w:firstLine="0"/>
        <w:rPr>
          <w:rFonts w:eastAsiaTheme="minorEastAsia"/>
        </w:rPr>
      </w:pPr>
      <w:r w:rsidRPr="00545FE7">
        <w:rPr>
          <w:rFonts w:eastAsiaTheme="minorEastAsia"/>
        </w:rPr>
        <w:lastRenderedPageBreak/>
        <w:t>5) The subject had no evidence of tumor invasion or adjacent large vessels in previous tumor evaluation.</w:t>
      </w:r>
    </w:p>
    <w:p w14:paraId="3D83C0A1" w14:textId="77777777" w:rsidR="00545FE7" w:rsidRPr="00545FE7" w:rsidRDefault="00545FE7" w:rsidP="00384EEC">
      <w:pPr>
        <w:pStyle w:val="affff0"/>
        <w:ind w:left="420" w:firstLine="0"/>
        <w:rPr>
          <w:rFonts w:eastAsiaTheme="minorEastAsia"/>
        </w:rPr>
      </w:pPr>
      <w:r w:rsidRPr="00545FE7">
        <w:rPr>
          <w:rFonts w:eastAsiaTheme="minorEastAsia"/>
        </w:rPr>
        <w:t>Note: Therapeutic doses of anticoagulation are defined as a dose escalation of warfarin or other anticoagulants from small to large to a dose level that maintains an INR of no less than 1.5 (usually between 2 and 3). The dose of warfarin should be recorded in the EDC, and the INR in anticoagulated patients should be monitored throughout the treatment period, with investigators allowing additional coagulation tests as needed in addition to protocol-mandated visits.</w:t>
      </w:r>
    </w:p>
    <w:p w14:paraId="1D84B2F4" w14:textId="57EE93E7" w:rsidR="00545FE7" w:rsidRPr="00384EEC" w:rsidRDefault="00545FE7" w:rsidP="006D1B06">
      <w:pPr>
        <w:pStyle w:val="affff0"/>
        <w:numPr>
          <w:ilvl w:val="0"/>
          <w:numId w:val="26"/>
        </w:numPr>
        <w:rPr>
          <w:rFonts w:eastAsiaTheme="minorEastAsia"/>
        </w:rPr>
      </w:pPr>
      <w:r>
        <w:rPr>
          <w:rFonts w:eastAsiaTheme="minorEastAsia"/>
        </w:rPr>
        <w:t>H</w:t>
      </w:r>
      <w:r w:rsidRPr="00384EEC">
        <w:rPr>
          <w:rFonts w:eastAsiaTheme="minorEastAsia"/>
        </w:rPr>
        <w:t>ypertension</w:t>
      </w:r>
    </w:p>
    <w:p w14:paraId="42F894E9" w14:textId="54AAB337" w:rsidR="00545FE7" w:rsidRPr="00545FE7" w:rsidRDefault="00545FE7" w:rsidP="00545FE7">
      <w:pPr>
        <w:rPr>
          <w:rFonts w:eastAsiaTheme="minorEastAsia"/>
        </w:rPr>
      </w:pPr>
      <w:r w:rsidRPr="00545FE7">
        <w:rPr>
          <w:rFonts w:eastAsiaTheme="minorEastAsia"/>
        </w:rPr>
        <w:t>Blood pressure should be measured daily to monitor the development and worsening of hypertension. Blood pressure should be measured with the subject in the resting po</w:t>
      </w:r>
      <w:r>
        <w:rPr>
          <w:rFonts w:eastAsiaTheme="minorEastAsia"/>
        </w:rPr>
        <w:t>sition for more than 5 minutes.</w:t>
      </w:r>
    </w:p>
    <w:p w14:paraId="1780A00D" w14:textId="5AD4B8CE" w:rsidR="00545FE7" w:rsidRPr="00384EEC" w:rsidRDefault="00545FE7" w:rsidP="00545FE7">
      <w:pPr>
        <w:rPr>
          <w:rFonts w:eastAsiaTheme="minorEastAsia"/>
        </w:rPr>
      </w:pPr>
      <w:r w:rsidRPr="00545FE7">
        <w:rPr>
          <w:rFonts w:eastAsiaTheme="minorEastAsia"/>
        </w:rPr>
        <w:t xml:space="preserve">Grade 1 hypertension: adult systolic blood pressure 120-139 </w:t>
      </w:r>
      <w:r w:rsidR="00726748">
        <w:rPr>
          <w:rFonts w:eastAsiaTheme="minorEastAsia"/>
        </w:rPr>
        <w:t>mmHg</w:t>
      </w:r>
      <w:r w:rsidRPr="00545FE7">
        <w:rPr>
          <w:rFonts w:eastAsiaTheme="minorEastAsia"/>
        </w:rPr>
        <w:t xml:space="preserve">, diastolic blood pressure 80-89 </w:t>
      </w:r>
      <w:r w:rsidR="00726748">
        <w:rPr>
          <w:rFonts w:eastAsiaTheme="minorEastAsia"/>
        </w:rPr>
        <w:t>mmHg</w:t>
      </w:r>
      <w:r>
        <w:rPr>
          <w:rFonts w:eastAsiaTheme="minorEastAsia"/>
        </w:rPr>
        <w:t>. No intervention was needed.</w:t>
      </w:r>
    </w:p>
    <w:p w14:paraId="4BF3AC50" w14:textId="7F51D127" w:rsidR="00545FE7" w:rsidRDefault="00545FE7" w:rsidP="00384EEC">
      <w:pPr>
        <w:rPr>
          <w:rFonts w:eastAsiaTheme="minorEastAsia"/>
        </w:rPr>
      </w:pPr>
      <w:r w:rsidRPr="00545FE7">
        <w:rPr>
          <w:rFonts w:eastAsiaTheme="minorEastAsia"/>
        </w:rPr>
        <w:t>Grade 2 hypertension: systolic blood pressure 140-159 mmHg, diastolic blood pressure 90-99 mmHg, if previously within the normal range; Finding a change in blood pressure from baseline requires medical intervention. Recurrent or sustained (</w:t>
      </w:r>
      <w:r w:rsidRPr="00384EEC">
        <w:rPr>
          <w:rFonts w:eastAsiaTheme="minorEastAsia" w:cs="Times New Roman"/>
        </w:rPr>
        <w:t>≥</w:t>
      </w:r>
      <w:r w:rsidRPr="00545FE7">
        <w:rPr>
          <w:rFonts w:eastAsiaTheme="minorEastAsia"/>
        </w:rPr>
        <w:t>24 hours) symptomatic systolic blood pressure rise greater than 20</w:t>
      </w:r>
      <w:r w:rsidR="00726748">
        <w:rPr>
          <w:rFonts w:eastAsiaTheme="minorEastAsia"/>
        </w:rPr>
        <w:t xml:space="preserve"> </w:t>
      </w:r>
      <w:r w:rsidRPr="00545FE7">
        <w:rPr>
          <w:rFonts w:eastAsiaTheme="minorEastAsia"/>
        </w:rPr>
        <w:t>mmHg or greater than 140/90</w:t>
      </w:r>
      <w:r w:rsidR="00726748">
        <w:rPr>
          <w:rFonts w:eastAsiaTheme="minorEastAsia"/>
        </w:rPr>
        <w:t xml:space="preserve"> </w:t>
      </w:r>
      <w:r w:rsidRPr="00545FE7">
        <w:rPr>
          <w:rFonts w:eastAsiaTheme="minorEastAsia"/>
        </w:rPr>
        <w:t>mmHg. It can be treated with an antihypertensive drug. Once blood pressure was controlled to less than 140/90 mmHg, participants could continue receiving the study drug.</w:t>
      </w:r>
    </w:p>
    <w:p w14:paraId="60D028D0" w14:textId="6FD9953C" w:rsidR="00545FE7" w:rsidRPr="00545FE7" w:rsidRDefault="00545FE7" w:rsidP="00545FE7">
      <w:pPr>
        <w:rPr>
          <w:rFonts w:eastAsiaTheme="minorEastAsia"/>
        </w:rPr>
      </w:pPr>
      <w:r w:rsidRPr="00545FE7">
        <w:rPr>
          <w:rFonts w:eastAsiaTheme="minorEastAsia"/>
        </w:rPr>
        <w:t xml:space="preserve">Grade 3 hypertension: systolic blood pressure </w:t>
      </w:r>
      <w:r w:rsidRPr="00384EEC">
        <w:rPr>
          <w:rFonts w:eastAsiaTheme="minorEastAsia" w:cs="Times New Roman"/>
        </w:rPr>
        <w:t>≥</w:t>
      </w:r>
      <w:r w:rsidRPr="00545FE7">
        <w:rPr>
          <w:rFonts w:eastAsiaTheme="minorEastAsia"/>
        </w:rPr>
        <w:t>160</w:t>
      </w:r>
      <w:r w:rsidR="00726748">
        <w:rPr>
          <w:rFonts w:eastAsiaTheme="minorEastAsia"/>
        </w:rPr>
        <w:t xml:space="preserve"> </w:t>
      </w:r>
      <w:r w:rsidRPr="00545FE7">
        <w:rPr>
          <w:rFonts w:eastAsiaTheme="minorEastAsia"/>
        </w:rPr>
        <w:t xml:space="preserve">mmHg, diastolic blood pressure </w:t>
      </w:r>
      <w:r w:rsidRPr="00384EEC">
        <w:rPr>
          <w:rFonts w:eastAsiaTheme="minorEastAsia" w:cs="Times New Roman"/>
        </w:rPr>
        <w:t>≥</w:t>
      </w:r>
      <w:r w:rsidRPr="00545FE7">
        <w:rPr>
          <w:rFonts w:eastAsiaTheme="minorEastAsia"/>
        </w:rPr>
        <w:t>100</w:t>
      </w:r>
      <w:r w:rsidR="00726748">
        <w:rPr>
          <w:rFonts w:eastAsiaTheme="minorEastAsia"/>
        </w:rPr>
        <w:t xml:space="preserve"> </w:t>
      </w:r>
      <w:r w:rsidRPr="00545FE7">
        <w:rPr>
          <w:rFonts w:eastAsiaTheme="minorEastAsia"/>
        </w:rPr>
        <w:t>mmHg, requiring more than one antihypertensive drug or more intensive treatment than before. The study drug was withheld for persistent or symptomatic hypertension. If hypertension was uncontrolled, the study dru</w:t>
      </w:r>
      <w:r>
        <w:rPr>
          <w:rFonts w:eastAsiaTheme="minorEastAsia"/>
        </w:rPr>
        <w:t>g was permanently discontinued.</w:t>
      </w:r>
    </w:p>
    <w:p w14:paraId="106A0512" w14:textId="4E200C45" w:rsidR="00545FE7" w:rsidRPr="00545FE7" w:rsidRDefault="00545FE7" w:rsidP="00545FE7">
      <w:pPr>
        <w:rPr>
          <w:rFonts w:eastAsiaTheme="minorEastAsia"/>
        </w:rPr>
      </w:pPr>
      <w:r w:rsidRPr="00545FE7">
        <w:rPr>
          <w:rFonts w:eastAsiaTheme="minorEastAsia"/>
        </w:rPr>
        <w:t>Grade 4 hypertension: life-threatening (e.g., hypertensive crisis) If grade 4 hypertension occurred, the study drug was permanently discontinued. The dose of antihypertensive medication used sh</w:t>
      </w:r>
      <w:r>
        <w:rPr>
          <w:rFonts w:eastAsiaTheme="minorEastAsia"/>
        </w:rPr>
        <w:t>ould be recorded at each visit.</w:t>
      </w:r>
    </w:p>
    <w:p w14:paraId="1C67E9C0" w14:textId="1F489830" w:rsidR="00545FE7" w:rsidRPr="00545FE7" w:rsidRDefault="00545FE7" w:rsidP="00545FE7">
      <w:pPr>
        <w:rPr>
          <w:rFonts w:eastAsiaTheme="minorEastAsia"/>
        </w:rPr>
      </w:pPr>
      <w:r w:rsidRPr="00545FE7">
        <w:rPr>
          <w:rFonts w:eastAsiaTheme="minorEastAsia"/>
        </w:rPr>
        <w:t>Typically, hypertension can be adequately controlled with oral antihypertensive medications, such as angiotensin-converting-enzyme inhibitors, diuretics, and calcium-channel blockers. Few cases of hypertension led to discontinuation of bevacizu</w:t>
      </w:r>
      <w:r>
        <w:rPr>
          <w:rFonts w:eastAsiaTheme="minorEastAsia"/>
        </w:rPr>
        <w:t>mab therapy or hospitalization.</w:t>
      </w:r>
    </w:p>
    <w:p w14:paraId="40059841" w14:textId="597F1E13" w:rsidR="00545FE7" w:rsidRDefault="00545FE7" w:rsidP="00384EEC">
      <w:pPr>
        <w:rPr>
          <w:rFonts w:eastAsiaTheme="minorEastAsia"/>
        </w:rPr>
      </w:pPr>
      <w:r w:rsidRPr="00545FE7">
        <w:rPr>
          <w:rFonts w:eastAsiaTheme="minorEastAsia"/>
        </w:rPr>
        <w:t>Subjects should record the dose of antihypertensive drugs used at each visit. If the patients still had hypertension at the end of treatment, blood pressure and antihypertensive drugs should be monitored regularly until blood pressure returned to normal or the study was completed.</w:t>
      </w:r>
    </w:p>
    <w:p w14:paraId="4AE4FA8A" w14:textId="6D74C687" w:rsidR="00545FE7" w:rsidRPr="00384EEC" w:rsidRDefault="00545FE7" w:rsidP="006D1B06">
      <w:pPr>
        <w:pStyle w:val="affff0"/>
        <w:numPr>
          <w:ilvl w:val="0"/>
          <w:numId w:val="26"/>
        </w:numPr>
        <w:rPr>
          <w:rFonts w:eastAsiaTheme="minorEastAsia"/>
        </w:rPr>
      </w:pPr>
      <w:r w:rsidRPr="00384EEC">
        <w:rPr>
          <w:rFonts w:eastAsiaTheme="minorEastAsia"/>
        </w:rPr>
        <w:lastRenderedPageBreak/>
        <w:t>Reversible posterior gyrus leukoencephalopathy syndrome (RPLS)</w:t>
      </w:r>
    </w:p>
    <w:p w14:paraId="4F82859D" w14:textId="310CFADA" w:rsidR="00545FE7" w:rsidRPr="00545FE7" w:rsidRDefault="00545FE7" w:rsidP="00545FE7">
      <w:pPr>
        <w:rPr>
          <w:rFonts w:eastAsiaTheme="minorEastAsia"/>
        </w:rPr>
      </w:pPr>
      <w:r w:rsidRPr="00545FE7">
        <w:rPr>
          <w:rFonts w:eastAsiaTheme="minorEastAsia"/>
        </w:rPr>
        <w:t>Signs and symptoms consistent with RPLS have rarely been reported in subjects receiving the study drug. It is a rare neurological disorder with signs and symptoms of seizures, headache, altered mental status, visual disturbances, or cortical blindness, with or without hypertension. Once a subject develops RPLS, study drug treatment shou</w:t>
      </w:r>
      <w:r>
        <w:rPr>
          <w:rFonts w:eastAsiaTheme="minorEastAsia"/>
        </w:rPr>
        <w:t>ld be permanently discontinued.</w:t>
      </w:r>
    </w:p>
    <w:p w14:paraId="626D6EC0" w14:textId="32EF6AD0" w:rsidR="00545FE7" w:rsidRPr="00384EEC" w:rsidRDefault="00545FE7" w:rsidP="006D1B06">
      <w:pPr>
        <w:pStyle w:val="affff0"/>
        <w:numPr>
          <w:ilvl w:val="0"/>
          <w:numId w:val="26"/>
        </w:numPr>
        <w:rPr>
          <w:rFonts w:eastAsiaTheme="minorEastAsia"/>
        </w:rPr>
      </w:pPr>
      <w:r w:rsidRPr="00384EEC">
        <w:rPr>
          <w:rFonts w:eastAsiaTheme="minorEastAsia"/>
        </w:rPr>
        <w:t>Proteinuria</w:t>
      </w:r>
    </w:p>
    <w:p w14:paraId="503ED701" w14:textId="03BD4534" w:rsidR="00545FE7" w:rsidRPr="00545FE7" w:rsidRDefault="00545FE7" w:rsidP="00545FE7">
      <w:pPr>
        <w:rPr>
          <w:rFonts w:eastAsiaTheme="minorEastAsia"/>
        </w:rPr>
      </w:pPr>
      <w:r w:rsidRPr="00545FE7">
        <w:rPr>
          <w:rFonts w:eastAsiaTheme="minorEastAsia"/>
        </w:rPr>
        <w:t xml:space="preserve">Qualitative urine protein testing </w:t>
      </w:r>
      <w:r w:rsidR="00AD6AFD">
        <w:rPr>
          <w:rFonts w:eastAsiaTheme="minorEastAsia"/>
        </w:rPr>
        <w:t>i</w:t>
      </w:r>
      <w:r w:rsidRPr="00545FE7">
        <w:rPr>
          <w:rFonts w:eastAsiaTheme="minorEastAsia"/>
        </w:rPr>
        <w:t>s performed before each bevacizumab infusion, unless 24-hour proteinuria testing ha</w:t>
      </w:r>
      <w:r w:rsidR="00AD6AFD">
        <w:rPr>
          <w:rFonts w:eastAsiaTheme="minorEastAsia"/>
        </w:rPr>
        <w:t>ve</w:t>
      </w:r>
      <w:r w:rsidRPr="00545FE7">
        <w:rPr>
          <w:rFonts w:eastAsiaTheme="minorEastAsia"/>
        </w:rPr>
        <w:t xml:space="preserve"> been performed. The development of grade 4 proteinuria should result in permanent dis</w:t>
      </w:r>
      <w:r>
        <w:rPr>
          <w:rFonts w:eastAsiaTheme="minorEastAsia"/>
        </w:rPr>
        <w:t>continuation of the study drug.</w:t>
      </w:r>
    </w:p>
    <w:p w14:paraId="2A3BBE72" w14:textId="751B5EE1" w:rsidR="00545FE7" w:rsidRPr="00384EEC" w:rsidRDefault="00545FE7" w:rsidP="006D1B06">
      <w:pPr>
        <w:pStyle w:val="affff0"/>
        <w:numPr>
          <w:ilvl w:val="0"/>
          <w:numId w:val="52"/>
        </w:numPr>
        <w:rPr>
          <w:rFonts w:eastAsiaTheme="minorEastAsia"/>
        </w:rPr>
      </w:pPr>
      <w:r w:rsidRPr="00384EEC">
        <w:rPr>
          <w:rFonts w:eastAsiaTheme="minorEastAsia"/>
        </w:rPr>
        <w:t>First onset of proteinuria if:</w:t>
      </w:r>
    </w:p>
    <w:p w14:paraId="6ABBA602" w14:textId="7396F9A0" w:rsidR="00545FE7" w:rsidRPr="00384EEC" w:rsidRDefault="00545FE7" w:rsidP="00545FE7">
      <w:pPr>
        <w:rPr>
          <w:rFonts w:eastAsiaTheme="minorEastAsia"/>
        </w:rPr>
      </w:pPr>
      <w:r>
        <w:rPr>
          <w:rFonts w:eastAsiaTheme="minorEastAsia"/>
        </w:rPr>
        <w:t>1) &lt;2+</w:t>
      </w:r>
      <w:r w:rsidRPr="00545FE7">
        <w:rPr>
          <w:rFonts w:eastAsiaTheme="minorEastAsia"/>
        </w:rPr>
        <w:t xml:space="preserve">: Study drug administration </w:t>
      </w:r>
      <w:r w:rsidR="00AD6AFD">
        <w:rPr>
          <w:rFonts w:eastAsiaTheme="minorEastAsia"/>
        </w:rPr>
        <w:t>i</w:t>
      </w:r>
      <w:r w:rsidRPr="00545FE7">
        <w:rPr>
          <w:rFonts w:eastAsiaTheme="minorEastAsia"/>
        </w:rPr>
        <w:t xml:space="preserve">s continued as planned and no </w:t>
      </w:r>
      <w:r>
        <w:rPr>
          <w:rFonts w:eastAsiaTheme="minorEastAsia"/>
        </w:rPr>
        <w:t>additional tests were required.</w:t>
      </w:r>
    </w:p>
    <w:p w14:paraId="19642BCF" w14:textId="5B0C4B0C" w:rsidR="00545FE7" w:rsidRPr="00384EEC" w:rsidRDefault="00545FE7" w:rsidP="00545FE7">
      <w:pPr>
        <w:rPr>
          <w:rFonts w:eastAsiaTheme="minorEastAsia"/>
        </w:rPr>
      </w:pPr>
      <w:r w:rsidRPr="00545FE7">
        <w:rPr>
          <w:rFonts w:eastAsiaTheme="minorEastAsia"/>
        </w:rPr>
        <w:t xml:space="preserve">2) </w:t>
      </w:r>
      <w:r w:rsidRPr="00384EEC">
        <w:rPr>
          <w:rFonts w:eastAsiaTheme="minorEastAsia" w:cs="Times New Roman"/>
        </w:rPr>
        <w:t>≥</w:t>
      </w:r>
      <w:r>
        <w:rPr>
          <w:rFonts w:eastAsiaTheme="minorEastAsia"/>
        </w:rPr>
        <w:t>2+</w:t>
      </w:r>
      <w:r w:rsidRPr="00545FE7">
        <w:rPr>
          <w:rFonts w:eastAsiaTheme="minorEastAsia"/>
        </w:rPr>
        <w:t xml:space="preserve">: measurement of 24-hour urine protein within 3 days prior to administration: if </w:t>
      </w:r>
      <w:r>
        <w:rPr>
          <w:rFonts w:eastAsiaTheme="minorEastAsia"/>
        </w:rPr>
        <w:t>24-hour urine protein suggests:</w:t>
      </w:r>
    </w:p>
    <w:p w14:paraId="700DD5E5" w14:textId="075E4D75" w:rsidR="00545FE7" w:rsidRPr="00384EEC" w:rsidRDefault="00545FE7" w:rsidP="006D1B06">
      <w:pPr>
        <w:pStyle w:val="affff0"/>
        <w:numPr>
          <w:ilvl w:val="0"/>
          <w:numId w:val="53"/>
        </w:numPr>
        <w:rPr>
          <w:rFonts w:eastAsiaTheme="minorEastAsia"/>
        </w:rPr>
      </w:pPr>
      <w:r w:rsidRPr="00384EEC">
        <w:rPr>
          <w:rFonts w:eastAsiaTheme="minorEastAsia" w:cs="Times New Roman"/>
        </w:rPr>
        <w:t>≤</w:t>
      </w:r>
      <w:r w:rsidRPr="00384EEC">
        <w:rPr>
          <w:rFonts w:eastAsiaTheme="minorEastAsia"/>
        </w:rPr>
        <w:t xml:space="preserve">2g: study drug administration </w:t>
      </w:r>
      <w:r w:rsidR="00AD6AFD">
        <w:rPr>
          <w:rFonts w:eastAsiaTheme="minorEastAsia"/>
        </w:rPr>
        <w:t>i</w:t>
      </w:r>
      <w:r w:rsidRPr="00384EEC">
        <w:rPr>
          <w:rFonts w:eastAsiaTheme="minorEastAsia"/>
        </w:rPr>
        <w:t xml:space="preserve">s continued as planned. Urine dipstick testing </w:t>
      </w:r>
      <w:r w:rsidR="00AD6AFD">
        <w:rPr>
          <w:rFonts w:eastAsiaTheme="minorEastAsia"/>
        </w:rPr>
        <w:t>i</w:t>
      </w:r>
      <w:r w:rsidRPr="00384EEC">
        <w:rPr>
          <w:rFonts w:eastAsiaTheme="minorEastAsia"/>
        </w:rPr>
        <w:t>s performed before each planned study drug administration.</w:t>
      </w:r>
    </w:p>
    <w:p w14:paraId="21E09736" w14:textId="49F191BE" w:rsidR="00545FE7" w:rsidRDefault="00545FE7" w:rsidP="006D1B06">
      <w:pPr>
        <w:pStyle w:val="affff0"/>
        <w:numPr>
          <w:ilvl w:val="0"/>
          <w:numId w:val="53"/>
        </w:numPr>
        <w:rPr>
          <w:rFonts w:eastAsiaTheme="minorEastAsia"/>
        </w:rPr>
      </w:pPr>
      <w:r w:rsidRPr="00384EEC">
        <w:rPr>
          <w:rFonts w:eastAsiaTheme="minorEastAsia"/>
        </w:rPr>
        <w:t xml:space="preserve">2g: this planned study drug administration </w:t>
      </w:r>
      <w:r w:rsidR="00AD6AFD">
        <w:rPr>
          <w:rFonts w:eastAsiaTheme="minorEastAsia"/>
        </w:rPr>
        <w:t>i</w:t>
      </w:r>
      <w:r w:rsidRPr="00384EEC">
        <w:rPr>
          <w:rFonts w:eastAsiaTheme="minorEastAsia"/>
        </w:rPr>
        <w:t xml:space="preserve">s suspended and 24-hour urinary protein </w:t>
      </w:r>
      <w:r w:rsidR="00AD6AFD">
        <w:rPr>
          <w:rFonts w:eastAsiaTheme="minorEastAsia"/>
        </w:rPr>
        <w:t>i</w:t>
      </w:r>
      <w:r w:rsidRPr="00384EEC">
        <w:rPr>
          <w:rFonts w:eastAsiaTheme="minorEastAsia"/>
        </w:rPr>
        <w:t xml:space="preserve">s measured within 3 days before the next planned dose. Administration of the study drug </w:t>
      </w:r>
      <w:r w:rsidR="00AD6AFD">
        <w:rPr>
          <w:rFonts w:eastAsiaTheme="minorEastAsia"/>
        </w:rPr>
        <w:t>i</w:t>
      </w:r>
      <w:r w:rsidRPr="00384EEC">
        <w:rPr>
          <w:rFonts w:eastAsiaTheme="minorEastAsia"/>
        </w:rPr>
        <w:t xml:space="preserve">s delayed until 24-hour urine protein </w:t>
      </w:r>
      <w:r w:rsidR="00AD6AFD">
        <w:rPr>
          <w:rFonts w:eastAsiaTheme="minorEastAsia"/>
        </w:rPr>
        <w:t>i</w:t>
      </w:r>
      <w:r w:rsidRPr="00384EEC">
        <w:rPr>
          <w:rFonts w:eastAsiaTheme="minorEastAsia"/>
        </w:rPr>
        <w:t xml:space="preserve">s 2g or less. 24-hour urine protein </w:t>
      </w:r>
      <w:r w:rsidR="00AD6AFD">
        <w:rPr>
          <w:rFonts w:eastAsiaTheme="minorEastAsia"/>
        </w:rPr>
        <w:t>i</w:t>
      </w:r>
      <w:r w:rsidRPr="00384EEC">
        <w:rPr>
          <w:rFonts w:eastAsiaTheme="minorEastAsia"/>
        </w:rPr>
        <w:t xml:space="preserve">s measured before each subsequent dose of study drug until it decreased to 1g or less per 24 hours. Study drug administration </w:t>
      </w:r>
      <w:r w:rsidR="00AD6AFD">
        <w:rPr>
          <w:rFonts w:eastAsiaTheme="minorEastAsia"/>
        </w:rPr>
        <w:t>i</w:t>
      </w:r>
      <w:r w:rsidRPr="00384EEC">
        <w:rPr>
          <w:rFonts w:eastAsiaTheme="minorEastAsia"/>
        </w:rPr>
        <w:t>s withheld only if &gt;2g.</w:t>
      </w:r>
    </w:p>
    <w:p w14:paraId="408E70B9" w14:textId="07CFE6BB" w:rsidR="00545FE7" w:rsidRPr="00384EEC" w:rsidRDefault="00545FE7" w:rsidP="006D1B06">
      <w:pPr>
        <w:pStyle w:val="affff0"/>
        <w:numPr>
          <w:ilvl w:val="0"/>
          <w:numId w:val="52"/>
        </w:numPr>
        <w:rPr>
          <w:rFonts w:eastAsiaTheme="minorEastAsia"/>
        </w:rPr>
      </w:pPr>
      <w:r w:rsidRPr="00384EEC">
        <w:rPr>
          <w:rFonts w:eastAsiaTheme="minorEastAsia"/>
        </w:rPr>
        <w:t>Second and subsequent episodes of proteinuria:</w:t>
      </w:r>
    </w:p>
    <w:p w14:paraId="6976FA42" w14:textId="5E1FF0BE" w:rsidR="00545FE7" w:rsidRPr="00545FE7" w:rsidRDefault="00545FE7" w:rsidP="00545FE7">
      <w:pPr>
        <w:rPr>
          <w:rFonts w:eastAsiaTheme="minorEastAsia"/>
        </w:rPr>
      </w:pPr>
      <w:r>
        <w:rPr>
          <w:rFonts w:eastAsiaTheme="minorEastAsia"/>
        </w:rPr>
        <w:t>1) &lt; 3+</w:t>
      </w:r>
      <w:r w:rsidRPr="00545FE7">
        <w:rPr>
          <w:rFonts w:eastAsiaTheme="minorEastAsia"/>
        </w:rPr>
        <w:t xml:space="preserve">: study drug administration </w:t>
      </w:r>
      <w:r w:rsidR="00AD6AFD">
        <w:rPr>
          <w:rFonts w:eastAsiaTheme="minorEastAsia"/>
        </w:rPr>
        <w:t>i</w:t>
      </w:r>
      <w:r w:rsidRPr="00545FE7">
        <w:rPr>
          <w:rFonts w:eastAsiaTheme="minorEastAsia"/>
        </w:rPr>
        <w:t xml:space="preserve">s continued as planned and no </w:t>
      </w:r>
      <w:r>
        <w:rPr>
          <w:rFonts w:eastAsiaTheme="minorEastAsia"/>
        </w:rPr>
        <w:t xml:space="preserve">additional tests </w:t>
      </w:r>
      <w:r w:rsidR="00AD6AFD">
        <w:rPr>
          <w:rFonts w:eastAsiaTheme="minorEastAsia"/>
        </w:rPr>
        <w:t>are</w:t>
      </w:r>
      <w:r>
        <w:rPr>
          <w:rFonts w:eastAsiaTheme="minorEastAsia"/>
        </w:rPr>
        <w:t xml:space="preserve"> required.</w:t>
      </w:r>
    </w:p>
    <w:p w14:paraId="01CBC4D0" w14:textId="1FE0AAA8" w:rsidR="00545FE7" w:rsidRPr="00545FE7" w:rsidRDefault="00545FE7" w:rsidP="00545FE7">
      <w:pPr>
        <w:rPr>
          <w:rFonts w:eastAsiaTheme="minorEastAsia"/>
        </w:rPr>
      </w:pPr>
      <w:r w:rsidRPr="00545FE7">
        <w:rPr>
          <w:rFonts w:eastAsiaTheme="minorEastAsia"/>
        </w:rPr>
        <w:t xml:space="preserve">2) </w:t>
      </w:r>
      <w:r w:rsidRPr="00384EEC">
        <w:rPr>
          <w:rFonts w:eastAsiaTheme="minorEastAsia" w:cs="Times New Roman"/>
        </w:rPr>
        <w:t>≥</w:t>
      </w:r>
      <w:r>
        <w:rPr>
          <w:rFonts w:eastAsiaTheme="minorEastAsia"/>
        </w:rPr>
        <w:t>3+</w:t>
      </w:r>
      <w:r w:rsidRPr="00545FE7">
        <w:rPr>
          <w:rFonts w:eastAsiaTheme="minorEastAsia"/>
        </w:rPr>
        <w:t xml:space="preserve">: study drug administration </w:t>
      </w:r>
      <w:r w:rsidR="00AD6AFD">
        <w:rPr>
          <w:rFonts w:eastAsiaTheme="minorEastAsia"/>
        </w:rPr>
        <w:t>i</w:t>
      </w:r>
      <w:r w:rsidRPr="00545FE7">
        <w:rPr>
          <w:rFonts w:eastAsiaTheme="minorEastAsia"/>
        </w:rPr>
        <w:t xml:space="preserve">s continued as planned and 24-hour urinary protein </w:t>
      </w:r>
      <w:r w:rsidR="00AD6AFD">
        <w:rPr>
          <w:rFonts w:eastAsiaTheme="minorEastAsia"/>
        </w:rPr>
        <w:t>i</w:t>
      </w:r>
      <w:r w:rsidRPr="00545FE7">
        <w:rPr>
          <w:rFonts w:eastAsiaTheme="minorEastAsia"/>
        </w:rPr>
        <w:t>s measured within 3 days b</w:t>
      </w:r>
      <w:r>
        <w:rPr>
          <w:rFonts w:eastAsiaTheme="minorEastAsia"/>
        </w:rPr>
        <w:t>efore the next treatment cycle.</w:t>
      </w:r>
    </w:p>
    <w:p w14:paraId="0FA9F0C1" w14:textId="4383EAF4" w:rsidR="00545FE7" w:rsidRPr="00384EEC" w:rsidRDefault="00545FE7" w:rsidP="006D1B06">
      <w:pPr>
        <w:pStyle w:val="affff0"/>
        <w:numPr>
          <w:ilvl w:val="0"/>
          <w:numId w:val="52"/>
        </w:numPr>
        <w:rPr>
          <w:rFonts w:eastAsiaTheme="minorEastAsia"/>
        </w:rPr>
      </w:pPr>
      <w:r w:rsidRPr="00384EEC">
        <w:rPr>
          <w:rFonts w:eastAsiaTheme="minorEastAsia"/>
        </w:rPr>
        <w:t>If 24-hour urine protein suggests:</w:t>
      </w:r>
    </w:p>
    <w:p w14:paraId="78D87347" w14:textId="059F6B3E" w:rsidR="00545FE7" w:rsidRPr="00545FE7" w:rsidRDefault="00545FE7" w:rsidP="00545FE7">
      <w:pPr>
        <w:rPr>
          <w:rFonts w:eastAsiaTheme="minorEastAsia"/>
        </w:rPr>
      </w:pPr>
      <w:r w:rsidRPr="00545FE7">
        <w:rPr>
          <w:rFonts w:eastAsiaTheme="minorEastAsia"/>
        </w:rPr>
        <w:t xml:space="preserve">1) 24-hour urine protein </w:t>
      </w:r>
      <w:r w:rsidRPr="00384EEC">
        <w:rPr>
          <w:rFonts w:eastAsiaTheme="minorEastAsia" w:cs="Times New Roman"/>
        </w:rPr>
        <w:t>≤</w:t>
      </w:r>
      <w:r w:rsidRPr="00545FE7">
        <w:rPr>
          <w:rFonts w:eastAsiaTheme="minorEastAsia"/>
        </w:rPr>
        <w:t>2 g: study drug administr</w:t>
      </w:r>
      <w:r>
        <w:rPr>
          <w:rFonts w:eastAsiaTheme="minorEastAsia"/>
        </w:rPr>
        <w:t xml:space="preserve">ation </w:t>
      </w:r>
      <w:r w:rsidR="00AD6AFD">
        <w:rPr>
          <w:rFonts w:eastAsiaTheme="minorEastAsia"/>
        </w:rPr>
        <w:t>i</w:t>
      </w:r>
      <w:r>
        <w:rPr>
          <w:rFonts w:eastAsiaTheme="minorEastAsia"/>
        </w:rPr>
        <w:t>s continued as planned.</w:t>
      </w:r>
    </w:p>
    <w:p w14:paraId="7C18EFD4" w14:textId="537113A5" w:rsidR="00545FE7" w:rsidRDefault="00545FE7" w:rsidP="00384EEC">
      <w:pPr>
        <w:rPr>
          <w:rFonts w:eastAsiaTheme="minorEastAsia"/>
        </w:rPr>
      </w:pPr>
      <w:r w:rsidRPr="00545FE7">
        <w:rPr>
          <w:rFonts w:eastAsiaTheme="minorEastAsia"/>
        </w:rPr>
        <w:t xml:space="preserve">2) 24-hour urinary protein &gt;2 g: the current planned study drug administration </w:t>
      </w:r>
      <w:r w:rsidR="00AD6AFD">
        <w:rPr>
          <w:rFonts w:eastAsiaTheme="minorEastAsia"/>
        </w:rPr>
        <w:t>i</w:t>
      </w:r>
      <w:r w:rsidRPr="00545FE7">
        <w:rPr>
          <w:rFonts w:eastAsiaTheme="minorEastAsia"/>
        </w:rPr>
        <w:t xml:space="preserve">s suspended and 24-hour urinary protein </w:t>
      </w:r>
      <w:r w:rsidR="00AD6AFD">
        <w:rPr>
          <w:rFonts w:eastAsiaTheme="minorEastAsia"/>
        </w:rPr>
        <w:t>i</w:t>
      </w:r>
      <w:r w:rsidRPr="00545FE7">
        <w:rPr>
          <w:rFonts w:eastAsiaTheme="minorEastAsia"/>
        </w:rPr>
        <w:t xml:space="preserve">s measured within 3 days before the next planned dose. Administration of the study drug </w:t>
      </w:r>
      <w:r w:rsidR="00AD6AFD">
        <w:rPr>
          <w:rFonts w:eastAsiaTheme="minorEastAsia"/>
        </w:rPr>
        <w:t>i</w:t>
      </w:r>
      <w:r w:rsidRPr="00545FE7">
        <w:rPr>
          <w:rFonts w:eastAsiaTheme="minorEastAsia"/>
        </w:rPr>
        <w:t xml:space="preserve">s delayed until 24-hour urine protein </w:t>
      </w:r>
      <w:r w:rsidR="00AD6AFD">
        <w:rPr>
          <w:rFonts w:eastAsiaTheme="minorEastAsia"/>
        </w:rPr>
        <w:t>i</w:t>
      </w:r>
      <w:r w:rsidRPr="00545FE7">
        <w:rPr>
          <w:rFonts w:eastAsiaTheme="minorEastAsia"/>
        </w:rPr>
        <w:t xml:space="preserve">s 2g or less. 24-hour urine protein </w:t>
      </w:r>
      <w:r w:rsidR="00AD6AFD">
        <w:rPr>
          <w:rFonts w:eastAsiaTheme="minorEastAsia"/>
        </w:rPr>
        <w:t>i</w:t>
      </w:r>
      <w:r w:rsidRPr="00545FE7">
        <w:rPr>
          <w:rFonts w:eastAsiaTheme="minorEastAsia"/>
        </w:rPr>
        <w:t xml:space="preserve">s measured before each subsequent dose of study drug until it decreased to 1 g or less per 24 hours. Study drug administration </w:t>
      </w:r>
      <w:r w:rsidR="00AD6AFD">
        <w:rPr>
          <w:rFonts w:eastAsiaTheme="minorEastAsia"/>
        </w:rPr>
        <w:t>i</w:t>
      </w:r>
      <w:r w:rsidRPr="00545FE7">
        <w:rPr>
          <w:rFonts w:eastAsiaTheme="minorEastAsia"/>
        </w:rPr>
        <w:t>s withheld only if &gt; 2 g.</w:t>
      </w:r>
    </w:p>
    <w:p w14:paraId="066E5147" w14:textId="420F4666" w:rsidR="0041404D" w:rsidRPr="00384EEC" w:rsidRDefault="0041404D" w:rsidP="006D1B06">
      <w:pPr>
        <w:pStyle w:val="affff0"/>
        <w:numPr>
          <w:ilvl w:val="0"/>
          <w:numId w:val="26"/>
        </w:numPr>
        <w:rPr>
          <w:rFonts w:eastAsiaTheme="minorEastAsia"/>
        </w:rPr>
      </w:pPr>
      <w:r w:rsidRPr="00384EEC">
        <w:rPr>
          <w:rFonts w:eastAsiaTheme="minorEastAsia"/>
        </w:rPr>
        <w:t>Nephrotic syndrome (grade 4)</w:t>
      </w:r>
    </w:p>
    <w:p w14:paraId="597E5EDD" w14:textId="44AF6C76" w:rsidR="0041404D" w:rsidRPr="00384EEC" w:rsidRDefault="0041404D" w:rsidP="0041404D">
      <w:pPr>
        <w:rPr>
          <w:rFonts w:eastAsiaTheme="minorEastAsia"/>
        </w:rPr>
      </w:pPr>
      <w:r w:rsidRPr="0041404D">
        <w:rPr>
          <w:rFonts w:eastAsiaTheme="minorEastAsia"/>
        </w:rPr>
        <w:t xml:space="preserve">The study drug </w:t>
      </w:r>
      <w:r w:rsidR="00AD6AFD">
        <w:rPr>
          <w:rFonts w:eastAsiaTheme="minorEastAsia"/>
        </w:rPr>
        <w:t>i</w:t>
      </w:r>
      <w:r w:rsidRPr="0041404D">
        <w:rPr>
          <w:rFonts w:eastAsiaTheme="minorEastAsia"/>
        </w:rPr>
        <w:t>s permanently discontinued.</w:t>
      </w:r>
    </w:p>
    <w:p w14:paraId="003257CB" w14:textId="06E868FC" w:rsidR="0041404D" w:rsidRPr="00384EEC" w:rsidRDefault="0041404D" w:rsidP="006D1B06">
      <w:pPr>
        <w:pStyle w:val="affff0"/>
        <w:numPr>
          <w:ilvl w:val="0"/>
          <w:numId w:val="26"/>
        </w:numPr>
        <w:rPr>
          <w:rFonts w:eastAsiaTheme="minorEastAsia"/>
        </w:rPr>
      </w:pPr>
      <w:r w:rsidRPr="00384EEC">
        <w:rPr>
          <w:rFonts w:eastAsiaTheme="minorEastAsia"/>
        </w:rPr>
        <w:lastRenderedPageBreak/>
        <w:t>Gastrointestinal perforation</w:t>
      </w:r>
    </w:p>
    <w:p w14:paraId="17D0B447" w14:textId="5C66E0D1" w:rsidR="0041404D" w:rsidRPr="00384EEC" w:rsidRDefault="0041404D" w:rsidP="0041404D">
      <w:pPr>
        <w:rPr>
          <w:rFonts w:eastAsiaTheme="minorEastAsia"/>
        </w:rPr>
      </w:pPr>
      <w:r w:rsidRPr="0041404D">
        <w:rPr>
          <w:rFonts w:eastAsiaTheme="minorEastAsia"/>
        </w:rPr>
        <w:t>If gastr</w:t>
      </w:r>
      <w:r w:rsidR="00AD6AFD">
        <w:rPr>
          <w:rFonts w:eastAsiaTheme="minorEastAsia"/>
        </w:rPr>
        <w:t>ointestinal perforation occurr</w:t>
      </w:r>
      <w:r w:rsidRPr="0041404D">
        <w:rPr>
          <w:rFonts w:eastAsiaTheme="minorEastAsia"/>
        </w:rPr>
        <w:t xml:space="preserve">, appropriate management </w:t>
      </w:r>
      <w:r w:rsidR="00AD6AFD">
        <w:rPr>
          <w:rFonts w:eastAsiaTheme="minorEastAsia"/>
        </w:rPr>
        <w:t>i</w:t>
      </w:r>
      <w:r w:rsidRPr="0041404D">
        <w:rPr>
          <w:rFonts w:eastAsiaTheme="minorEastAsia"/>
        </w:rPr>
        <w:t xml:space="preserve">s required, and the study drug </w:t>
      </w:r>
      <w:r w:rsidR="00AD6AFD">
        <w:rPr>
          <w:rFonts w:eastAsiaTheme="minorEastAsia"/>
        </w:rPr>
        <w:t>i</w:t>
      </w:r>
      <w:r w:rsidRPr="0041404D">
        <w:rPr>
          <w:rFonts w:eastAsiaTheme="minorEastAsia"/>
        </w:rPr>
        <w:t>s permanently discontinued.</w:t>
      </w:r>
    </w:p>
    <w:p w14:paraId="3CA0B50D" w14:textId="77777777" w:rsidR="0041404D" w:rsidRPr="00384EEC" w:rsidRDefault="0041404D" w:rsidP="006D1B06">
      <w:pPr>
        <w:pStyle w:val="affff0"/>
        <w:numPr>
          <w:ilvl w:val="0"/>
          <w:numId w:val="26"/>
        </w:numPr>
        <w:rPr>
          <w:rFonts w:eastAsiaTheme="minorEastAsia"/>
        </w:rPr>
      </w:pPr>
      <w:r w:rsidRPr="00384EEC">
        <w:rPr>
          <w:rFonts w:eastAsiaTheme="minorEastAsia"/>
        </w:rPr>
        <w:t>Wound Healing Complications</w:t>
      </w:r>
    </w:p>
    <w:p w14:paraId="1BBFCB45" w14:textId="5EEFE772" w:rsidR="0041404D" w:rsidRPr="0041404D" w:rsidRDefault="0041404D" w:rsidP="0041404D">
      <w:pPr>
        <w:rPr>
          <w:rFonts w:eastAsiaTheme="minorEastAsia"/>
        </w:rPr>
      </w:pPr>
      <w:r w:rsidRPr="0041404D">
        <w:rPr>
          <w:rFonts w:eastAsiaTheme="minorEastAsia"/>
        </w:rPr>
        <w:t>Medical treatment should not be studied until 28 days after a major surgical procedure or until the s</w:t>
      </w:r>
      <w:r>
        <w:rPr>
          <w:rFonts w:eastAsiaTheme="minorEastAsia"/>
        </w:rPr>
        <w:t>urgical wound has fully healed.</w:t>
      </w:r>
      <w:r w:rsidRPr="0041404D">
        <w:rPr>
          <w:rFonts w:eastAsiaTheme="minorEastAsia"/>
        </w:rPr>
        <w:t xml:space="preserve"> If a participant experience a wound-healing complication while receiving the study drug, the study drug </w:t>
      </w:r>
      <w:r w:rsidR="00AD6AFD">
        <w:rPr>
          <w:rFonts w:eastAsiaTheme="minorEastAsia"/>
        </w:rPr>
        <w:t>i</w:t>
      </w:r>
      <w:r w:rsidRPr="0041404D">
        <w:rPr>
          <w:rFonts w:eastAsiaTheme="minorEastAsia"/>
        </w:rPr>
        <w:t>s withheld until the wound healed completely. If any elective surgical procedure is required, the study</w:t>
      </w:r>
      <w:r>
        <w:rPr>
          <w:rFonts w:eastAsiaTheme="minorEastAsia"/>
        </w:rPr>
        <w:t xml:space="preserve"> drug should be withheld first.</w:t>
      </w:r>
    </w:p>
    <w:p w14:paraId="38FE024D" w14:textId="6DC59575" w:rsidR="0041404D" w:rsidRPr="00384EEC" w:rsidRDefault="0041404D" w:rsidP="006D1B06">
      <w:pPr>
        <w:pStyle w:val="affff0"/>
        <w:numPr>
          <w:ilvl w:val="0"/>
          <w:numId w:val="26"/>
        </w:numPr>
        <w:rPr>
          <w:rFonts w:eastAsiaTheme="minorEastAsia"/>
        </w:rPr>
      </w:pPr>
      <w:r w:rsidRPr="00384EEC">
        <w:rPr>
          <w:rFonts w:eastAsiaTheme="minorEastAsia"/>
        </w:rPr>
        <w:t>Abdominal abscess or fistula</w:t>
      </w:r>
    </w:p>
    <w:p w14:paraId="56E2C363" w14:textId="368B1C10" w:rsidR="0041404D" w:rsidRPr="00384EEC" w:rsidRDefault="00AD6AFD" w:rsidP="0041404D">
      <w:pPr>
        <w:rPr>
          <w:rFonts w:eastAsiaTheme="minorEastAsia"/>
        </w:rPr>
      </w:pPr>
      <w:r>
        <w:rPr>
          <w:rFonts w:eastAsiaTheme="minorEastAsia"/>
        </w:rPr>
        <w:t>If a subject develop</w:t>
      </w:r>
      <w:r w:rsidR="00726748">
        <w:rPr>
          <w:rFonts w:eastAsiaTheme="minorEastAsia"/>
        </w:rPr>
        <w:t>ed</w:t>
      </w:r>
      <w:r w:rsidR="0041404D" w:rsidRPr="0041404D">
        <w:rPr>
          <w:rFonts w:eastAsiaTheme="minorEastAsia"/>
        </w:rPr>
        <w:t xml:space="preserve"> an abdominal abscess or sinus tract, the study drug </w:t>
      </w:r>
      <w:r>
        <w:rPr>
          <w:rFonts w:eastAsiaTheme="minorEastAsia"/>
        </w:rPr>
        <w:t>i</w:t>
      </w:r>
      <w:r w:rsidR="0041404D" w:rsidRPr="0041404D">
        <w:rPr>
          <w:rFonts w:eastAsiaTheme="minorEastAsia"/>
        </w:rPr>
        <w:t>s discontinued.</w:t>
      </w:r>
    </w:p>
    <w:p w14:paraId="32CE3520" w14:textId="78A99384" w:rsidR="0041404D" w:rsidRPr="00384EEC" w:rsidRDefault="0041404D" w:rsidP="006D1B06">
      <w:pPr>
        <w:pStyle w:val="affff0"/>
        <w:numPr>
          <w:ilvl w:val="0"/>
          <w:numId w:val="26"/>
        </w:numPr>
        <w:rPr>
          <w:rFonts w:eastAsiaTheme="minorEastAsia"/>
        </w:rPr>
      </w:pPr>
      <w:r w:rsidRPr="00384EEC">
        <w:rPr>
          <w:rFonts w:eastAsiaTheme="minorEastAsia"/>
        </w:rPr>
        <w:t>Infusion-related reactions and anaphylaxis</w:t>
      </w:r>
    </w:p>
    <w:p w14:paraId="4FFE406C" w14:textId="76EBE4ED" w:rsidR="003E6970" w:rsidRPr="003E6970" w:rsidRDefault="0041404D" w:rsidP="003E6970">
      <w:pPr>
        <w:rPr>
          <w:rFonts w:eastAsiaTheme="minorEastAsia"/>
        </w:rPr>
      </w:pPr>
      <w:r w:rsidRPr="0041404D">
        <w:rPr>
          <w:rFonts w:eastAsiaTheme="minorEastAsia"/>
        </w:rPr>
        <w:t>According to Avastin ® label information, in some clinical trials, allergic reactions and anaphylactoid reactions were more common in subjects receiving bevacizumab combined with chemotherapy than in those receiving chemo</w:t>
      </w:r>
      <w:r>
        <w:rPr>
          <w:rFonts w:eastAsiaTheme="minorEastAsia"/>
        </w:rPr>
        <w:t>therapy alone.</w:t>
      </w:r>
      <w:r w:rsidRPr="0041404D">
        <w:rPr>
          <w:rFonts w:eastAsiaTheme="minorEastAsia"/>
        </w:rPr>
        <w:t xml:space="preserve"> These reactions were more common in some trials of bevacizumab (approximately 5% of </w:t>
      </w:r>
      <w:r>
        <w:rPr>
          <w:rFonts w:eastAsiaTheme="minorEastAsia"/>
        </w:rPr>
        <w:t xml:space="preserve">bevacizumab-treated subjects). </w:t>
      </w:r>
      <w:r w:rsidRPr="0041404D">
        <w:rPr>
          <w:rFonts w:eastAsiaTheme="minorEastAsia"/>
        </w:rPr>
        <w:t>Therefore, with bevacizumab, if a mild (grade 1/2) reaction (e.g., fever, chills, headache, nausea) occurs, pretreatment should be performed before the next dose and the infusion time for the n</w:t>
      </w:r>
      <w:r>
        <w:rPr>
          <w:rFonts w:eastAsiaTheme="minorEastAsia"/>
        </w:rPr>
        <w:t xml:space="preserve">ext dose should not be reduced. </w:t>
      </w:r>
      <w:r w:rsidRPr="0041404D">
        <w:rPr>
          <w:rFonts w:eastAsiaTheme="minorEastAsia"/>
        </w:rPr>
        <w:t>If the pretreatment is well tolerated by the subject at the next dose, the subsequent infusion time may be reduced by 30 (±10) minutes, and the pretreatm</w:t>
      </w:r>
      <w:r>
        <w:rPr>
          <w:rFonts w:eastAsiaTheme="minorEastAsia"/>
        </w:rPr>
        <w:t>ent is continued.</w:t>
      </w:r>
      <w:r w:rsidRPr="0041404D">
        <w:rPr>
          <w:rFonts w:eastAsiaTheme="minorEastAsia"/>
        </w:rPr>
        <w:t xml:space="preserve"> If infusion-related adverse events occurred during a 60 (±10) minute infusion, subsequent doses were to be completed at 90 (±15) minutes with pretreatment. Similarly, if minor infusion-related adverse events occurred during the 30-minute infusion, all subsequent doses were to be completed over 60 (±10) minutes, with conditioning. In patients with a grade 3 infusion-related reaction, the study drug was withheld and the dose was not restarted that day. Because there was currently no reference for the administration of the study drug in the event that this occurred, the investigator had discretion to discontinue the study drug or to administer pretreatment, and the administration was completed within 90 (±15) minutes. If adverse effects continued to occur at the rate completed by the 90-minute infusion, the infusion rate was reduced further and then gradually resumed for another 90 minutes. If the investigator was not confident about this approach, the study drug was discontinued. If dosing is restarted, close monitoring should be performed according to clinical practice until the time for potential adverse effects has passed. The study drug was discontinued in subjects with grade 4 infusion-related reactions. Anaphylaxis was defined as shock (systolic blood pressure of less than 90mmHg in response </w:t>
      </w:r>
      <w:r w:rsidRPr="0041404D">
        <w:rPr>
          <w:rFonts w:eastAsiaTheme="minorEastAsia"/>
        </w:rPr>
        <w:lastRenderedPageBreak/>
        <w:t>to ineffective fluid administration), with or without respiratory distress, within 30 minutes of allergy-induced infusion of the study drug. Skin symptoms include pruritus, urticaria, angioedema, etc. If a participant had a severe allergic reaction to the study drug, the study drug was discontinued.</w:t>
      </w:r>
    </w:p>
    <w:p w14:paraId="67FA5AFB" w14:textId="5BE68BD8" w:rsidR="003E6970" w:rsidRPr="00384EEC" w:rsidRDefault="00023C4B" w:rsidP="006D1B06">
      <w:pPr>
        <w:pStyle w:val="affff0"/>
        <w:numPr>
          <w:ilvl w:val="0"/>
          <w:numId w:val="21"/>
        </w:numPr>
        <w:rPr>
          <w:rFonts w:eastAsiaTheme="minorEastAsia"/>
          <w:b/>
        </w:rPr>
      </w:pPr>
      <w:r w:rsidRPr="00384EEC">
        <w:rPr>
          <w:rFonts w:eastAsiaTheme="minorEastAsia"/>
          <w:b/>
        </w:rPr>
        <w:t>D</w:t>
      </w:r>
      <w:r w:rsidRPr="00384EEC">
        <w:rPr>
          <w:rFonts w:eastAsiaTheme="minorEastAsia" w:hint="eastAsia"/>
          <w:b/>
        </w:rPr>
        <w:t>o</w:t>
      </w:r>
      <w:r w:rsidRPr="00384EEC">
        <w:rPr>
          <w:rFonts w:eastAsiaTheme="minorEastAsia"/>
          <w:b/>
        </w:rPr>
        <w:t xml:space="preserve">se modification </w:t>
      </w:r>
      <w:r w:rsidR="00AD6AFD">
        <w:rPr>
          <w:rFonts w:eastAsiaTheme="minorEastAsia"/>
          <w:b/>
        </w:rPr>
        <w:t>of</w:t>
      </w:r>
      <w:r w:rsidRPr="00384EEC">
        <w:rPr>
          <w:rFonts w:eastAsiaTheme="minorEastAsia"/>
          <w:b/>
        </w:rPr>
        <w:t xml:space="preserve"> c</w:t>
      </w:r>
      <w:r w:rsidR="003E6970" w:rsidRPr="00384EEC">
        <w:rPr>
          <w:rFonts w:eastAsiaTheme="minorEastAsia"/>
          <w:b/>
        </w:rPr>
        <w:t xml:space="preserve">hemotherapy-related regimen </w:t>
      </w:r>
    </w:p>
    <w:p w14:paraId="1934CFAA" w14:textId="44B85980" w:rsidR="003E6970" w:rsidRPr="003E6970" w:rsidRDefault="003E6970" w:rsidP="003E6970">
      <w:pPr>
        <w:rPr>
          <w:rFonts w:eastAsiaTheme="minorEastAsia"/>
        </w:rPr>
      </w:pPr>
      <w:r w:rsidRPr="003E6970">
        <w:rPr>
          <w:rFonts w:eastAsiaTheme="minorEastAsia"/>
        </w:rPr>
        <w:t>The chemotherapy drugs in the chemotherapy regimen in this study have the expected toxicity, and the dose of chemotherapy drugs may need to be adjusted to meet the needs of individualized treatment. Adverse reactions should be closely monitored during use, and the dose should be adjusted as needed to allow the patient to tolerate the treatment. If the criteria for restarting treatment are not met, the next cycle of chemotherapy must be delayed, and if the criteria are not met after a delay of more than 6 weeks, one or both chemotherapy</w:t>
      </w:r>
      <w:r>
        <w:rPr>
          <w:rFonts w:eastAsiaTheme="minorEastAsia"/>
        </w:rPr>
        <w:t xml:space="preserve"> agents should be discontinued.</w:t>
      </w:r>
    </w:p>
    <w:p w14:paraId="1D157EB8" w14:textId="35F3CD88" w:rsidR="0041404D" w:rsidRDefault="003E6970" w:rsidP="00384EEC">
      <w:pPr>
        <w:rPr>
          <w:rFonts w:eastAsiaTheme="minorEastAsia"/>
        </w:rPr>
      </w:pPr>
      <w:r w:rsidRPr="001C334D">
        <w:rPr>
          <w:rFonts w:eastAsiaTheme="minorEastAsia"/>
          <w:b/>
        </w:rPr>
        <w:t>Ad</w:t>
      </w:r>
      <w:r w:rsidR="001C334D" w:rsidRPr="001C334D">
        <w:rPr>
          <w:rFonts w:eastAsiaTheme="minorEastAsia"/>
          <w:b/>
        </w:rPr>
        <w:t>verse reactions of capecitabine</w:t>
      </w:r>
      <w:r w:rsidR="001C334D">
        <w:rPr>
          <w:rFonts w:eastAsiaTheme="minorEastAsia"/>
        </w:rPr>
        <w:t>:</w:t>
      </w:r>
      <w:r w:rsidRPr="003E6970">
        <w:rPr>
          <w:rFonts w:eastAsiaTheme="minorEastAsia"/>
        </w:rPr>
        <w:t xml:space="preserve"> Adverse reactions were mild, most of them were mild to moderate, and easy to treat and reversible. </w:t>
      </w:r>
      <w:r w:rsidRPr="003E6970">
        <w:rPr>
          <w:rFonts w:eastAsiaTheme="minorEastAsia" w:hint="eastAsia"/>
        </w:rPr>
        <w:t>①</w:t>
      </w:r>
      <w:r w:rsidRPr="003E6970">
        <w:rPr>
          <w:rFonts w:eastAsiaTheme="minorEastAsia"/>
        </w:rPr>
        <w:t xml:space="preserve"> Gastrointestinal reactions: the most common adverse reactions were diarrhea (severe cases required symptomatic treatment), nausea, vomiting, abdominal pain, stomatitis, etc. Grade 3-4 adverse events included diarrhea (14%), nausea (4%), vomiting (4%), and stomatitis (7%). </w:t>
      </w:r>
      <w:r w:rsidRPr="003E6970">
        <w:rPr>
          <w:rFonts w:eastAsiaTheme="minorEastAsia" w:hint="eastAsia"/>
        </w:rPr>
        <w:t>②</w:t>
      </w:r>
      <w:r w:rsidRPr="003E6970">
        <w:rPr>
          <w:rFonts w:eastAsiaTheme="minorEastAsia"/>
        </w:rPr>
        <w:t xml:space="preserve"> Hand-foot syndrome: almost half of the patients will have varying degrees of hand-foot syndrome, and about 10% of the patients will reach 3-4 degrees. The main manifestations were numbness, hypoesthesia, paresthesia, tingling sensation, no pain or pain. Skin swelling or erythema, desquamation, blisters or pain, severe cases can be peeling, nail removal. Hair loss is common but generally not severe. </w:t>
      </w:r>
      <w:r w:rsidRPr="003E6970">
        <w:rPr>
          <w:rFonts w:eastAsiaTheme="minorEastAsia" w:hint="eastAsia"/>
        </w:rPr>
        <w:t>③</w:t>
      </w:r>
      <w:r w:rsidRPr="003E6970">
        <w:rPr>
          <w:rFonts w:eastAsiaTheme="minorEastAsia"/>
        </w:rPr>
        <w:t xml:space="preserve"> Cardiovascular system: a few patients may have lower extremity edema. </w:t>
      </w:r>
      <w:r w:rsidRPr="003E6970">
        <w:rPr>
          <w:rFonts w:eastAsiaTheme="minorEastAsia" w:hint="eastAsia"/>
        </w:rPr>
        <w:t>④</w:t>
      </w:r>
      <w:r w:rsidRPr="003E6970">
        <w:rPr>
          <w:rFonts w:eastAsiaTheme="minorEastAsia"/>
        </w:rPr>
        <w:t xml:space="preserve"> Bone marrow suppression: mainly neutropenia, generally </w:t>
      </w:r>
      <w:r w:rsidR="00726748">
        <w:rPr>
          <w:rFonts w:eastAsiaTheme="minorEastAsia"/>
        </w:rPr>
        <w:t xml:space="preserve">degree </w:t>
      </w:r>
      <w:r w:rsidRPr="003E6970">
        <w:rPr>
          <w:rFonts w:eastAsiaTheme="minorEastAsia"/>
        </w:rPr>
        <w:t xml:space="preserve">1-2, only 3% will be more than </w:t>
      </w:r>
      <w:r w:rsidR="00726748">
        <w:rPr>
          <w:rFonts w:eastAsiaTheme="minorEastAsia"/>
        </w:rPr>
        <w:t xml:space="preserve">degree </w:t>
      </w:r>
      <w:r w:rsidRPr="003E6970">
        <w:rPr>
          <w:rFonts w:eastAsiaTheme="minorEastAsia"/>
        </w:rPr>
        <w:t>3; Anemia and thrombocytopenia were uncommon.</w:t>
      </w:r>
    </w:p>
    <w:p w14:paraId="19F3EAA2" w14:textId="43F5B43D" w:rsidR="003E6970" w:rsidRDefault="003E6970" w:rsidP="00384EEC">
      <w:pPr>
        <w:rPr>
          <w:rFonts w:eastAsiaTheme="minorEastAsia"/>
        </w:rPr>
      </w:pPr>
      <w:r w:rsidRPr="001C334D">
        <w:rPr>
          <w:rFonts w:eastAsiaTheme="minorEastAsia"/>
          <w:b/>
        </w:rPr>
        <w:t xml:space="preserve">Adverse reactions of </w:t>
      </w:r>
      <w:r w:rsidR="001C334D" w:rsidRPr="001C334D">
        <w:rPr>
          <w:rFonts w:eastAsiaTheme="minorEastAsia"/>
          <w:b/>
        </w:rPr>
        <w:t>Oxaliplatin</w:t>
      </w:r>
      <w:r w:rsidR="001C334D">
        <w:rPr>
          <w:rFonts w:eastAsiaTheme="minorEastAsia"/>
        </w:rPr>
        <w:t>:</w:t>
      </w:r>
      <w:r w:rsidRPr="003E6970">
        <w:rPr>
          <w:rFonts w:eastAsiaTheme="minorEastAsia"/>
        </w:rPr>
        <w:t xml:space="preserve"> </w:t>
      </w:r>
      <w:r w:rsidRPr="003E6970">
        <w:rPr>
          <w:rFonts w:eastAsiaTheme="minorEastAsia" w:hint="eastAsia"/>
        </w:rPr>
        <w:t>①</w:t>
      </w:r>
      <w:r w:rsidRPr="003E6970">
        <w:rPr>
          <w:rFonts w:eastAsiaTheme="minorEastAsia"/>
        </w:rPr>
        <w:t xml:space="preserve"> Gastrointestinal reactions: including nausea, vomiting and diarrhea, but less than cisplatin. </w:t>
      </w:r>
      <w:r w:rsidRPr="003E6970">
        <w:rPr>
          <w:rFonts w:eastAsiaTheme="minorEastAsia" w:hint="eastAsia"/>
        </w:rPr>
        <w:t>②</w:t>
      </w:r>
      <w:r w:rsidRPr="003E6970">
        <w:rPr>
          <w:rFonts w:eastAsiaTheme="minorEastAsia"/>
        </w:rPr>
        <w:t xml:space="preserve"> Nervous system toxicity is a dose-limiting toxicity of the drug, which is generally accumulative and reversible peripheral neurotoxicity, and the symptoms are gradually relieved after drug withdrawal. The main manifestations were hypoesthesia and/or paresthesia, aggravated by cold, and occasionally acute laryngeal sensory disturbance. When the dose exceeds 800mg/m</w:t>
      </w:r>
      <w:r w:rsidRPr="00F94C48">
        <w:rPr>
          <w:rFonts w:eastAsiaTheme="minorEastAsia"/>
          <w:vertAlign w:val="superscript"/>
        </w:rPr>
        <w:t>2</w:t>
      </w:r>
      <w:r w:rsidRPr="003E6970">
        <w:rPr>
          <w:rFonts w:eastAsiaTheme="minorEastAsia"/>
        </w:rPr>
        <w:t xml:space="preserve"> (about 8 to 10 cycles), the risk of dysfunction increases, and the drug should be continued after appropriate rest. </w:t>
      </w:r>
      <w:r w:rsidRPr="003E6970">
        <w:rPr>
          <w:rFonts w:eastAsiaTheme="minorEastAsia" w:hint="eastAsia"/>
        </w:rPr>
        <w:t>③</w:t>
      </w:r>
      <w:r w:rsidRPr="003E6970">
        <w:rPr>
          <w:rFonts w:eastAsiaTheme="minorEastAsia"/>
        </w:rPr>
        <w:t xml:space="preserve"> Bone marrow suppression: most of them were mild to moderate, which affected red blood cells, platelets and </w:t>
      </w:r>
      <w:r w:rsidRPr="003E6970">
        <w:rPr>
          <w:rFonts w:eastAsiaTheme="minorEastAsia"/>
        </w:rPr>
        <w:lastRenderedPageBreak/>
        <w:t xml:space="preserve">granulocytes. Bone marrow suppression was aggravated to a certain extent when combined with fluorouracil. </w:t>
      </w:r>
      <w:r w:rsidRPr="003E6970">
        <w:rPr>
          <w:rFonts w:eastAsiaTheme="minorEastAsia" w:hint="eastAsia"/>
        </w:rPr>
        <w:t>④</w:t>
      </w:r>
      <w:r w:rsidRPr="003E6970">
        <w:rPr>
          <w:rFonts w:eastAsiaTheme="minorEastAsia"/>
        </w:rPr>
        <w:t xml:space="preserve"> Others: a few patients may have unwell fever, constipation and rash after injection. Oxaliplatin can cause mild changes in liver function, but has no effect on heart and kidney function. This product alone does not cause hair loss. No significant hearing toxicity was reported. It can cause mild local reactions if carelessly instilled outside the blood vessels. In rare cases, it can cause allergy, skin erythema and even anaphylactic shock.</w:t>
      </w:r>
    </w:p>
    <w:p w14:paraId="29BCB120" w14:textId="571C74D5" w:rsidR="000665E1" w:rsidRPr="000665E1" w:rsidRDefault="000665E1" w:rsidP="00384EEC">
      <w:pPr>
        <w:jc w:val="center"/>
        <w:rPr>
          <w:rFonts w:eastAsiaTheme="minorEastAsia"/>
        </w:rPr>
      </w:pPr>
      <w:r w:rsidRPr="000665E1">
        <w:rPr>
          <w:rFonts w:eastAsiaTheme="minorEastAsia"/>
        </w:rPr>
        <w:t>Table 5.2.2-4: Dose modifications for nonhematologic toxicities of capecitabine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2247"/>
        <w:gridCol w:w="2430"/>
        <w:gridCol w:w="2064"/>
      </w:tblGrid>
      <w:tr w:rsidR="000665E1" w:rsidRPr="00745587" w14:paraId="2AC1F5BD" w14:textId="77777777" w:rsidTr="00745587">
        <w:trPr>
          <w:trHeight w:val="311"/>
          <w:jc w:val="center"/>
        </w:trPr>
        <w:tc>
          <w:tcPr>
            <w:tcW w:w="1555" w:type="dxa"/>
          </w:tcPr>
          <w:p w14:paraId="46E3EA86" w14:textId="3BEFCAA9" w:rsidR="000665E1" w:rsidRPr="00745587" w:rsidRDefault="000665E1" w:rsidP="000665E1">
            <w:pPr>
              <w:rPr>
                <w:rFonts w:eastAsiaTheme="minorEastAsia"/>
                <w:sz w:val="20"/>
              </w:rPr>
            </w:pPr>
            <w:r w:rsidRPr="00745587">
              <w:rPr>
                <w:rFonts w:eastAsiaTheme="minorEastAsia"/>
                <w:sz w:val="20"/>
              </w:rPr>
              <w:t xml:space="preserve">Adverse reactions </w:t>
            </w:r>
          </w:p>
        </w:tc>
        <w:tc>
          <w:tcPr>
            <w:tcW w:w="2247" w:type="dxa"/>
          </w:tcPr>
          <w:p w14:paraId="30A8DE9D" w14:textId="3297040D" w:rsidR="000665E1" w:rsidRPr="00745587" w:rsidRDefault="000665E1" w:rsidP="00384EEC">
            <w:pPr>
              <w:rPr>
                <w:rFonts w:eastAsiaTheme="minorEastAsia"/>
                <w:sz w:val="20"/>
              </w:rPr>
            </w:pPr>
            <w:r w:rsidRPr="00745587">
              <w:rPr>
                <w:rFonts w:eastAsiaTheme="minorEastAsia"/>
                <w:sz w:val="20"/>
              </w:rPr>
              <w:t xml:space="preserve">Grade 2 </w:t>
            </w:r>
          </w:p>
        </w:tc>
        <w:tc>
          <w:tcPr>
            <w:tcW w:w="2430" w:type="dxa"/>
          </w:tcPr>
          <w:p w14:paraId="5970EEE5" w14:textId="48AB9EBA" w:rsidR="000665E1" w:rsidRPr="00745587" w:rsidRDefault="000665E1" w:rsidP="000665E1">
            <w:pPr>
              <w:rPr>
                <w:rFonts w:eastAsiaTheme="minorEastAsia"/>
                <w:sz w:val="20"/>
              </w:rPr>
            </w:pPr>
            <w:r w:rsidRPr="00745587">
              <w:rPr>
                <w:rFonts w:eastAsiaTheme="minorEastAsia"/>
                <w:sz w:val="20"/>
              </w:rPr>
              <w:t xml:space="preserve">Grade3 </w:t>
            </w:r>
          </w:p>
        </w:tc>
        <w:tc>
          <w:tcPr>
            <w:tcW w:w="2064" w:type="dxa"/>
          </w:tcPr>
          <w:p w14:paraId="5C89BA6E" w14:textId="4322CD14" w:rsidR="000665E1" w:rsidRPr="00745587" w:rsidRDefault="000665E1" w:rsidP="000665E1">
            <w:pPr>
              <w:rPr>
                <w:rFonts w:eastAsiaTheme="minorEastAsia"/>
                <w:sz w:val="20"/>
              </w:rPr>
            </w:pPr>
            <w:r w:rsidRPr="00745587">
              <w:rPr>
                <w:rFonts w:eastAsiaTheme="minorEastAsia"/>
                <w:sz w:val="20"/>
              </w:rPr>
              <w:t>Grade 4</w:t>
            </w:r>
          </w:p>
        </w:tc>
      </w:tr>
      <w:tr w:rsidR="000665E1" w:rsidRPr="00745587" w14:paraId="1F574673" w14:textId="77777777" w:rsidTr="00745587">
        <w:trPr>
          <w:trHeight w:val="1560"/>
          <w:jc w:val="center"/>
        </w:trPr>
        <w:tc>
          <w:tcPr>
            <w:tcW w:w="1555" w:type="dxa"/>
          </w:tcPr>
          <w:p w14:paraId="2251D57F" w14:textId="442D100F" w:rsidR="000665E1" w:rsidRPr="00745587" w:rsidRDefault="000665E1" w:rsidP="000665E1">
            <w:pPr>
              <w:rPr>
                <w:rFonts w:eastAsiaTheme="minorEastAsia"/>
                <w:sz w:val="20"/>
              </w:rPr>
            </w:pPr>
            <w:r w:rsidRPr="00745587">
              <w:rPr>
                <w:rFonts w:eastAsiaTheme="minorEastAsia"/>
                <w:sz w:val="20"/>
              </w:rPr>
              <w:t xml:space="preserve">First occurrence </w:t>
            </w:r>
          </w:p>
        </w:tc>
        <w:tc>
          <w:tcPr>
            <w:tcW w:w="2247" w:type="dxa"/>
          </w:tcPr>
          <w:p w14:paraId="38783065" w14:textId="511E80B8" w:rsidR="000665E1" w:rsidRPr="00745587" w:rsidRDefault="000665E1" w:rsidP="000665E1">
            <w:pPr>
              <w:rPr>
                <w:rFonts w:eastAsiaTheme="minorEastAsia"/>
                <w:sz w:val="20"/>
              </w:rPr>
            </w:pPr>
            <w:r w:rsidRPr="00745587">
              <w:rPr>
                <w:rFonts w:eastAsiaTheme="minorEastAsia"/>
                <w:sz w:val="20"/>
              </w:rPr>
              <w:t xml:space="preserve">Interrupt treatment until resolution to grade 0 - 1 </w:t>
            </w:r>
          </w:p>
          <w:p w14:paraId="75E56290" w14:textId="2A378F37" w:rsidR="000665E1" w:rsidRPr="00745587" w:rsidRDefault="000665E1" w:rsidP="00384EEC">
            <w:pPr>
              <w:rPr>
                <w:rFonts w:eastAsiaTheme="minorEastAsia"/>
                <w:sz w:val="20"/>
              </w:rPr>
            </w:pPr>
            <w:r w:rsidRPr="00745587">
              <w:rPr>
                <w:rFonts w:eastAsiaTheme="minorEastAsia"/>
                <w:sz w:val="20"/>
              </w:rPr>
              <w:t xml:space="preserve">Original dose for next cycle </w:t>
            </w:r>
          </w:p>
        </w:tc>
        <w:tc>
          <w:tcPr>
            <w:tcW w:w="2430" w:type="dxa"/>
          </w:tcPr>
          <w:p w14:paraId="7C032046" w14:textId="59770337" w:rsidR="000665E1" w:rsidRPr="00745587" w:rsidRDefault="000665E1" w:rsidP="000665E1">
            <w:pPr>
              <w:rPr>
                <w:rFonts w:eastAsiaTheme="minorEastAsia"/>
                <w:sz w:val="20"/>
              </w:rPr>
            </w:pPr>
            <w:r w:rsidRPr="00745587">
              <w:rPr>
                <w:rFonts w:eastAsiaTheme="minorEastAsia"/>
                <w:sz w:val="20"/>
              </w:rPr>
              <w:t xml:space="preserve">Interrupt treatment until resolution to </w:t>
            </w:r>
            <w:r w:rsidR="00565C90" w:rsidRPr="00745587">
              <w:rPr>
                <w:rFonts w:eastAsiaTheme="minorEastAsia"/>
                <w:sz w:val="20"/>
              </w:rPr>
              <w:t>g</w:t>
            </w:r>
            <w:r w:rsidRPr="00745587">
              <w:rPr>
                <w:rFonts w:eastAsiaTheme="minorEastAsia"/>
                <w:sz w:val="20"/>
              </w:rPr>
              <w:t xml:space="preserve">rade 0 - 1 </w:t>
            </w:r>
          </w:p>
          <w:p w14:paraId="1EFA2846" w14:textId="2B7E045C" w:rsidR="000665E1" w:rsidRPr="00745587" w:rsidRDefault="000665E1" w:rsidP="000665E1">
            <w:pPr>
              <w:rPr>
                <w:rFonts w:eastAsiaTheme="minorEastAsia"/>
                <w:sz w:val="20"/>
              </w:rPr>
            </w:pPr>
            <w:r w:rsidRPr="00745587">
              <w:rPr>
                <w:rFonts w:eastAsiaTheme="minorEastAsia"/>
                <w:sz w:val="20"/>
              </w:rPr>
              <w:t xml:space="preserve">Reduce 1 dose level for next cycle </w:t>
            </w:r>
          </w:p>
        </w:tc>
        <w:tc>
          <w:tcPr>
            <w:tcW w:w="2064" w:type="dxa"/>
          </w:tcPr>
          <w:p w14:paraId="1FD3161D" w14:textId="77777777" w:rsidR="00565C90" w:rsidRPr="00745587" w:rsidRDefault="000665E1" w:rsidP="00565C90">
            <w:pPr>
              <w:rPr>
                <w:rFonts w:eastAsiaTheme="minorEastAsia"/>
                <w:sz w:val="20"/>
              </w:rPr>
            </w:pPr>
            <w:r w:rsidRPr="00745587">
              <w:rPr>
                <w:rFonts w:eastAsiaTheme="minorEastAsia"/>
                <w:sz w:val="20"/>
              </w:rPr>
              <w:t>Discontinue treatment or in t</w:t>
            </w:r>
            <w:r w:rsidR="00565C90" w:rsidRPr="00745587">
              <w:rPr>
                <w:rFonts w:eastAsiaTheme="minorEastAsia"/>
                <w:sz w:val="20"/>
              </w:rPr>
              <w:t>he best interest of the patient until</w:t>
            </w:r>
            <w:r w:rsidRPr="00745587">
              <w:rPr>
                <w:rFonts w:eastAsiaTheme="minorEastAsia"/>
                <w:sz w:val="20"/>
              </w:rPr>
              <w:t xml:space="preserve"> </w:t>
            </w:r>
            <w:r w:rsidR="00565C90" w:rsidRPr="00745587">
              <w:rPr>
                <w:rFonts w:eastAsiaTheme="minorEastAsia"/>
                <w:sz w:val="20"/>
              </w:rPr>
              <w:t xml:space="preserve">resolution to grade 0 - 1 </w:t>
            </w:r>
          </w:p>
          <w:p w14:paraId="4106076A" w14:textId="00041D7F" w:rsidR="000665E1" w:rsidRPr="00745587" w:rsidRDefault="00565C90" w:rsidP="00565C90">
            <w:pPr>
              <w:rPr>
                <w:rFonts w:eastAsiaTheme="minorEastAsia"/>
                <w:sz w:val="20"/>
              </w:rPr>
            </w:pPr>
            <w:r w:rsidRPr="00745587">
              <w:rPr>
                <w:rFonts w:eastAsiaTheme="minorEastAsia"/>
                <w:sz w:val="20"/>
              </w:rPr>
              <w:t>Reduce 1 dose level for next cycle</w:t>
            </w:r>
            <w:r w:rsidR="000665E1" w:rsidRPr="00745587">
              <w:rPr>
                <w:rFonts w:eastAsiaTheme="minorEastAsia"/>
                <w:sz w:val="20"/>
              </w:rPr>
              <w:t xml:space="preserve"> </w:t>
            </w:r>
          </w:p>
        </w:tc>
      </w:tr>
      <w:tr w:rsidR="000665E1" w:rsidRPr="00745587" w14:paraId="4A851ADE" w14:textId="77777777" w:rsidTr="00745587">
        <w:trPr>
          <w:trHeight w:val="934"/>
          <w:jc w:val="center"/>
        </w:trPr>
        <w:tc>
          <w:tcPr>
            <w:tcW w:w="1555" w:type="dxa"/>
          </w:tcPr>
          <w:p w14:paraId="7236748E" w14:textId="33CFF651" w:rsidR="000665E1" w:rsidRPr="00745587" w:rsidRDefault="00745587" w:rsidP="000665E1">
            <w:pPr>
              <w:rPr>
                <w:rFonts w:eastAsiaTheme="minorEastAsia"/>
                <w:sz w:val="20"/>
              </w:rPr>
            </w:pPr>
            <w:r>
              <w:rPr>
                <w:rFonts w:eastAsiaTheme="minorEastAsia"/>
                <w:sz w:val="20"/>
              </w:rPr>
              <w:t>Second occurrence</w:t>
            </w:r>
          </w:p>
        </w:tc>
        <w:tc>
          <w:tcPr>
            <w:tcW w:w="2247" w:type="dxa"/>
          </w:tcPr>
          <w:p w14:paraId="43688B96" w14:textId="77777777" w:rsidR="00565C90" w:rsidRPr="00745587" w:rsidRDefault="00565C90" w:rsidP="00565C90">
            <w:pPr>
              <w:rPr>
                <w:rFonts w:eastAsiaTheme="minorEastAsia"/>
                <w:sz w:val="20"/>
              </w:rPr>
            </w:pPr>
            <w:r w:rsidRPr="00745587">
              <w:rPr>
                <w:rFonts w:eastAsiaTheme="minorEastAsia"/>
                <w:sz w:val="20"/>
              </w:rPr>
              <w:t xml:space="preserve">Interrupt treatment until resolution to grade 0 - 1 </w:t>
            </w:r>
          </w:p>
          <w:p w14:paraId="756665FA" w14:textId="1CBFE012" w:rsidR="000665E1" w:rsidRPr="00745587" w:rsidRDefault="00565C90" w:rsidP="00565C90">
            <w:pPr>
              <w:rPr>
                <w:rFonts w:eastAsiaTheme="minorEastAsia"/>
                <w:sz w:val="20"/>
              </w:rPr>
            </w:pPr>
            <w:r w:rsidRPr="00745587">
              <w:rPr>
                <w:rFonts w:eastAsiaTheme="minorEastAsia"/>
                <w:sz w:val="20"/>
              </w:rPr>
              <w:t>Reduce 1 dose level for next cycle</w:t>
            </w:r>
            <w:r w:rsidR="000665E1" w:rsidRPr="00745587">
              <w:rPr>
                <w:rFonts w:eastAsiaTheme="minorEastAsia"/>
                <w:sz w:val="20"/>
              </w:rPr>
              <w:t xml:space="preserve"> </w:t>
            </w:r>
          </w:p>
        </w:tc>
        <w:tc>
          <w:tcPr>
            <w:tcW w:w="2430" w:type="dxa"/>
          </w:tcPr>
          <w:p w14:paraId="4709164D" w14:textId="77777777" w:rsidR="00565C90" w:rsidRPr="00745587" w:rsidRDefault="00565C90" w:rsidP="00565C90">
            <w:pPr>
              <w:rPr>
                <w:rFonts w:eastAsiaTheme="minorEastAsia"/>
                <w:sz w:val="20"/>
              </w:rPr>
            </w:pPr>
            <w:r w:rsidRPr="00745587">
              <w:rPr>
                <w:rFonts w:eastAsiaTheme="minorEastAsia"/>
                <w:sz w:val="20"/>
              </w:rPr>
              <w:t xml:space="preserve">Interrupt treatment until resolution to grade 0 - 1 </w:t>
            </w:r>
          </w:p>
          <w:p w14:paraId="1A87A56A" w14:textId="42A950CE" w:rsidR="000665E1" w:rsidRPr="00745587" w:rsidRDefault="00565C90" w:rsidP="00565C90">
            <w:pPr>
              <w:rPr>
                <w:rFonts w:eastAsiaTheme="minorEastAsia"/>
                <w:sz w:val="20"/>
              </w:rPr>
            </w:pPr>
            <w:r w:rsidRPr="00745587">
              <w:rPr>
                <w:rFonts w:eastAsiaTheme="minorEastAsia"/>
                <w:sz w:val="20"/>
              </w:rPr>
              <w:t>Reduce 1 dose level for next cycle</w:t>
            </w:r>
            <w:r w:rsidR="000665E1" w:rsidRPr="00745587">
              <w:rPr>
                <w:rFonts w:eastAsiaTheme="minorEastAsia"/>
                <w:sz w:val="20"/>
              </w:rPr>
              <w:t xml:space="preserve"> </w:t>
            </w:r>
          </w:p>
        </w:tc>
        <w:tc>
          <w:tcPr>
            <w:tcW w:w="2064" w:type="dxa"/>
          </w:tcPr>
          <w:p w14:paraId="60E19E5C" w14:textId="610977C8" w:rsidR="000665E1" w:rsidRPr="00745587" w:rsidRDefault="00745587" w:rsidP="00384EEC">
            <w:pPr>
              <w:rPr>
                <w:rFonts w:eastAsiaTheme="minorEastAsia"/>
                <w:sz w:val="20"/>
              </w:rPr>
            </w:pPr>
            <w:r w:rsidRPr="00745587">
              <w:rPr>
                <w:rFonts w:eastAsiaTheme="minorEastAsia"/>
                <w:sz w:val="20"/>
              </w:rPr>
              <w:t>Discuntinue medication</w:t>
            </w:r>
            <w:r w:rsidR="000665E1" w:rsidRPr="00745587">
              <w:rPr>
                <w:rFonts w:eastAsiaTheme="minorEastAsia"/>
                <w:sz w:val="20"/>
              </w:rPr>
              <w:t xml:space="preserve"> </w:t>
            </w:r>
          </w:p>
        </w:tc>
      </w:tr>
      <w:tr w:rsidR="00565C90" w:rsidRPr="00745587" w14:paraId="71BD85AA" w14:textId="77777777" w:rsidTr="00745587">
        <w:trPr>
          <w:trHeight w:val="934"/>
          <w:jc w:val="center"/>
        </w:trPr>
        <w:tc>
          <w:tcPr>
            <w:tcW w:w="1555" w:type="dxa"/>
          </w:tcPr>
          <w:p w14:paraId="03440BCF" w14:textId="28EAC74C" w:rsidR="00565C90" w:rsidRPr="00745587" w:rsidRDefault="00745587" w:rsidP="00565C90">
            <w:pPr>
              <w:rPr>
                <w:rFonts w:eastAsiaTheme="minorEastAsia"/>
                <w:sz w:val="20"/>
              </w:rPr>
            </w:pPr>
            <w:r>
              <w:rPr>
                <w:rFonts w:eastAsiaTheme="minorEastAsia"/>
                <w:sz w:val="20"/>
              </w:rPr>
              <w:t>Third occurrence</w:t>
            </w:r>
          </w:p>
        </w:tc>
        <w:tc>
          <w:tcPr>
            <w:tcW w:w="2247" w:type="dxa"/>
          </w:tcPr>
          <w:p w14:paraId="15619908" w14:textId="77777777" w:rsidR="00565C90" w:rsidRPr="00745587" w:rsidRDefault="00565C90" w:rsidP="00384EEC">
            <w:pPr>
              <w:rPr>
                <w:rFonts w:eastAsiaTheme="minorEastAsia"/>
                <w:sz w:val="20"/>
              </w:rPr>
            </w:pPr>
            <w:r w:rsidRPr="00745587">
              <w:rPr>
                <w:rFonts w:eastAsiaTheme="minorEastAsia"/>
                <w:sz w:val="20"/>
              </w:rPr>
              <w:t xml:space="preserve">Interrupt treatment until resolution to grade 0 - 1 </w:t>
            </w:r>
          </w:p>
          <w:p w14:paraId="6485A730" w14:textId="3FEC9DA1" w:rsidR="00565C90" w:rsidRPr="00745587" w:rsidRDefault="00565C90" w:rsidP="00384EEC">
            <w:pPr>
              <w:rPr>
                <w:rFonts w:eastAsiaTheme="minorEastAsia"/>
                <w:sz w:val="20"/>
              </w:rPr>
            </w:pPr>
            <w:r w:rsidRPr="00745587">
              <w:rPr>
                <w:rFonts w:eastAsiaTheme="minorEastAsia"/>
                <w:sz w:val="20"/>
              </w:rPr>
              <w:t xml:space="preserve">Reduce 1 dose level for next cycle ( dose after first reduction ) </w:t>
            </w:r>
          </w:p>
        </w:tc>
        <w:tc>
          <w:tcPr>
            <w:tcW w:w="2430" w:type="dxa"/>
          </w:tcPr>
          <w:p w14:paraId="766BD5F8" w14:textId="7D654A4F" w:rsidR="00565C90" w:rsidRPr="00745587" w:rsidRDefault="00745587" w:rsidP="00565C90">
            <w:pPr>
              <w:rPr>
                <w:rFonts w:eastAsiaTheme="minorEastAsia"/>
                <w:sz w:val="20"/>
              </w:rPr>
            </w:pPr>
            <w:r w:rsidRPr="00745587">
              <w:rPr>
                <w:rFonts w:eastAsiaTheme="minorEastAsia"/>
                <w:sz w:val="20"/>
              </w:rPr>
              <w:t>Discuntinue medication</w:t>
            </w:r>
          </w:p>
        </w:tc>
        <w:tc>
          <w:tcPr>
            <w:tcW w:w="2064" w:type="dxa"/>
          </w:tcPr>
          <w:p w14:paraId="21FC93C4" w14:textId="77777777" w:rsidR="00565C90" w:rsidRPr="00745587" w:rsidRDefault="00565C90" w:rsidP="00565C90">
            <w:pPr>
              <w:rPr>
                <w:rFonts w:eastAsiaTheme="minorEastAsia"/>
                <w:sz w:val="20"/>
              </w:rPr>
            </w:pPr>
          </w:p>
        </w:tc>
      </w:tr>
      <w:tr w:rsidR="00565C90" w:rsidRPr="00745587" w14:paraId="7C7881E6" w14:textId="77777777" w:rsidTr="00745587">
        <w:trPr>
          <w:trHeight w:val="584"/>
          <w:jc w:val="center"/>
        </w:trPr>
        <w:tc>
          <w:tcPr>
            <w:tcW w:w="1555" w:type="dxa"/>
          </w:tcPr>
          <w:p w14:paraId="15F54656" w14:textId="7F34B9E5" w:rsidR="00565C90" w:rsidRPr="00745587" w:rsidRDefault="00745587" w:rsidP="00565C90">
            <w:pPr>
              <w:rPr>
                <w:rFonts w:eastAsiaTheme="minorEastAsia"/>
                <w:sz w:val="20"/>
              </w:rPr>
            </w:pPr>
            <w:r>
              <w:rPr>
                <w:rFonts w:eastAsiaTheme="minorEastAsia"/>
                <w:sz w:val="20"/>
              </w:rPr>
              <w:t xml:space="preserve">Fourth </w:t>
            </w:r>
            <w:r w:rsidR="00565C90" w:rsidRPr="00745587">
              <w:rPr>
                <w:rFonts w:eastAsiaTheme="minorEastAsia"/>
                <w:sz w:val="20"/>
              </w:rPr>
              <w:t xml:space="preserve">occurrence </w:t>
            </w:r>
          </w:p>
        </w:tc>
        <w:tc>
          <w:tcPr>
            <w:tcW w:w="2247" w:type="dxa"/>
          </w:tcPr>
          <w:p w14:paraId="7D97FE6C" w14:textId="48296959" w:rsidR="00565C90" w:rsidRPr="00745587" w:rsidRDefault="00745587" w:rsidP="00565C90">
            <w:pPr>
              <w:rPr>
                <w:rFonts w:eastAsiaTheme="minorEastAsia"/>
                <w:sz w:val="20"/>
              </w:rPr>
            </w:pPr>
            <w:r w:rsidRPr="00745587">
              <w:rPr>
                <w:rFonts w:eastAsiaTheme="minorEastAsia"/>
                <w:sz w:val="20"/>
              </w:rPr>
              <w:t>Discuntinue medication</w:t>
            </w:r>
            <w:r w:rsidR="00565C90" w:rsidRPr="00745587">
              <w:rPr>
                <w:rFonts w:eastAsiaTheme="minorEastAsia"/>
                <w:sz w:val="20"/>
              </w:rPr>
              <w:t xml:space="preserve"> </w:t>
            </w:r>
          </w:p>
        </w:tc>
        <w:tc>
          <w:tcPr>
            <w:tcW w:w="2430" w:type="dxa"/>
          </w:tcPr>
          <w:p w14:paraId="4B086361" w14:textId="77777777" w:rsidR="00565C90" w:rsidRPr="00745587" w:rsidRDefault="00565C90" w:rsidP="00565C90">
            <w:pPr>
              <w:rPr>
                <w:rFonts w:eastAsiaTheme="minorEastAsia"/>
                <w:sz w:val="20"/>
              </w:rPr>
            </w:pPr>
          </w:p>
        </w:tc>
        <w:tc>
          <w:tcPr>
            <w:tcW w:w="2064" w:type="dxa"/>
          </w:tcPr>
          <w:p w14:paraId="1BD95AAE" w14:textId="77777777" w:rsidR="00565C90" w:rsidRPr="00745587" w:rsidRDefault="00565C90" w:rsidP="00565C90">
            <w:pPr>
              <w:rPr>
                <w:rFonts w:eastAsiaTheme="minorEastAsia"/>
                <w:sz w:val="20"/>
              </w:rPr>
            </w:pPr>
          </w:p>
        </w:tc>
      </w:tr>
    </w:tbl>
    <w:p w14:paraId="2B4A5EF8" w14:textId="5E23FEF2" w:rsidR="00745587" w:rsidRDefault="00565C90" w:rsidP="00745587">
      <w:pPr>
        <w:jc w:val="center"/>
        <w:rPr>
          <w:rFonts w:eastAsiaTheme="minorEastAsia"/>
        </w:rPr>
      </w:pPr>
      <w:r w:rsidRPr="00565C90">
        <w:rPr>
          <w:rFonts w:eastAsiaTheme="minorEastAsia"/>
        </w:rPr>
        <w:t>Note: Refer to Table 5.2-2 and Table 5.2-3</w:t>
      </w:r>
      <w:r>
        <w:rPr>
          <w:rFonts w:eastAsiaTheme="minorEastAsia"/>
        </w:rPr>
        <w:t>,</w:t>
      </w:r>
      <w:r w:rsidRPr="00565C90">
        <w:rPr>
          <w:rFonts w:eastAsiaTheme="minorEastAsia"/>
        </w:rPr>
        <w:t xml:space="preserve"> a maximum of 3 dose reductions</w:t>
      </w:r>
      <w:r>
        <w:rPr>
          <w:rFonts w:eastAsiaTheme="minorEastAsia"/>
        </w:rPr>
        <w:t xml:space="preserve"> </w:t>
      </w:r>
      <w:r w:rsidR="00745587">
        <w:rPr>
          <w:rFonts w:eastAsiaTheme="minorEastAsia"/>
        </w:rPr>
        <w:t>is</w:t>
      </w:r>
      <w:r>
        <w:rPr>
          <w:rFonts w:eastAsiaTheme="minorEastAsia"/>
        </w:rPr>
        <w:t xml:space="preserve"> allowed</w:t>
      </w:r>
      <w:r w:rsidRPr="00565C90">
        <w:rPr>
          <w:rFonts w:eastAsiaTheme="minorEastAsia"/>
        </w:rPr>
        <w:t>.</w:t>
      </w:r>
    </w:p>
    <w:p w14:paraId="70C2C061" w14:textId="157B03B8" w:rsidR="000665E1" w:rsidRPr="000665E1" w:rsidRDefault="000665E1" w:rsidP="00745587">
      <w:pPr>
        <w:jc w:val="center"/>
        <w:rPr>
          <w:rFonts w:eastAsiaTheme="minorEastAsia"/>
        </w:rPr>
      </w:pPr>
      <w:r w:rsidRPr="000665E1">
        <w:rPr>
          <w:rFonts w:eastAsiaTheme="minorEastAsia"/>
        </w:rPr>
        <w:t xml:space="preserve">Table 5.2.2-5: Dose </w:t>
      </w:r>
      <w:r w:rsidR="00565C90" w:rsidRPr="000665E1">
        <w:rPr>
          <w:rFonts w:eastAsiaTheme="minorEastAsia"/>
        </w:rPr>
        <w:t>modifications for oxaliplatin nonhematologic toxicities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1134"/>
        <w:gridCol w:w="1276"/>
        <w:gridCol w:w="1297"/>
      </w:tblGrid>
      <w:tr w:rsidR="000665E1" w:rsidRPr="000665E1" w14:paraId="1703268B" w14:textId="77777777" w:rsidTr="00B766AF">
        <w:trPr>
          <w:trHeight w:val="312"/>
          <w:jc w:val="center"/>
        </w:trPr>
        <w:tc>
          <w:tcPr>
            <w:tcW w:w="4815" w:type="dxa"/>
          </w:tcPr>
          <w:p w14:paraId="7A5B3090" w14:textId="77777777" w:rsidR="000665E1" w:rsidRPr="000665E1" w:rsidRDefault="000665E1" w:rsidP="000665E1">
            <w:pPr>
              <w:rPr>
                <w:rFonts w:eastAsiaTheme="minorEastAsia"/>
              </w:rPr>
            </w:pPr>
            <w:r w:rsidRPr="000665E1">
              <w:rPr>
                <w:rFonts w:eastAsiaTheme="minorEastAsia"/>
              </w:rPr>
              <w:t xml:space="preserve">Toxic reaction </w:t>
            </w:r>
          </w:p>
        </w:tc>
        <w:tc>
          <w:tcPr>
            <w:tcW w:w="1134" w:type="dxa"/>
          </w:tcPr>
          <w:p w14:paraId="1762F0BD" w14:textId="22A0BE23" w:rsidR="000665E1" w:rsidRPr="000665E1" w:rsidRDefault="000665E1" w:rsidP="000665E1">
            <w:pPr>
              <w:rPr>
                <w:rFonts w:eastAsiaTheme="minorEastAsia"/>
              </w:rPr>
            </w:pPr>
            <w:r w:rsidRPr="000665E1">
              <w:rPr>
                <w:rFonts w:eastAsiaTheme="minorEastAsia"/>
              </w:rPr>
              <w:t xml:space="preserve">Grade </w:t>
            </w:r>
            <w:r w:rsidR="00565C90" w:rsidRPr="000665E1">
              <w:rPr>
                <w:rFonts w:eastAsiaTheme="minorEastAsia"/>
              </w:rPr>
              <w:t>2</w:t>
            </w:r>
          </w:p>
        </w:tc>
        <w:tc>
          <w:tcPr>
            <w:tcW w:w="1276" w:type="dxa"/>
          </w:tcPr>
          <w:p w14:paraId="49BA2FD7" w14:textId="3F086E28" w:rsidR="000665E1" w:rsidRPr="000665E1" w:rsidRDefault="000665E1" w:rsidP="000665E1">
            <w:pPr>
              <w:rPr>
                <w:rFonts w:eastAsiaTheme="minorEastAsia"/>
              </w:rPr>
            </w:pPr>
            <w:r w:rsidRPr="000665E1">
              <w:rPr>
                <w:rFonts w:eastAsiaTheme="minorEastAsia"/>
              </w:rPr>
              <w:t xml:space="preserve">Grade </w:t>
            </w:r>
            <w:r w:rsidR="00565C90" w:rsidRPr="000665E1">
              <w:rPr>
                <w:rFonts w:eastAsiaTheme="minorEastAsia"/>
              </w:rPr>
              <w:t>3</w:t>
            </w:r>
          </w:p>
        </w:tc>
        <w:tc>
          <w:tcPr>
            <w:tcW w:w="1297" w:type="dxa"/>
          </w:tcPr>
          <w:p w14:paraId="06CA3941" w14:textId="56093853" w:rsidR="000665E1" w:rsidRPr="000665E1" w:rsidRDefault="000665E1" w:rsidP="000665E1">
            <w:pPr>
              <w:rPr>
                <w:rFonts w:eastAsiaTheme="minorEastAsia"/>
              </w:rPr>
            </w:pPr>
            <w:r w:rsidRPr="000665E1">
              <w:rPr>
                <w:rFonts w:eastAsiaTheme="minorEastAsia"/>
              </w:rPr>
              <w:t xml:space="preserve">Grade </w:t>
            </w:r>
            <w:r w:rsidR="00565C90" w:rsidRPr="000665E1">
              <w:rPr>
                <w:rFonts w:eastAsiaTheme="minorEastAsia"/>
              </w:rPr>
              <w:t>4</w:t>
            </w:r>
          </w:p>
        </w:tc>
      </w:tr>
      <w:tr w:rsidR="000665E1" w:rsidRPr="000665E1" w14:paraId="4C61948F" w14:textId="77777777" w:rsidTr="00B766AF">
        <w:trPr>
          <w:trHeight w:val="623"/>
          <w:jc w:val="center"/>
        </w:trPr>
        <w:tc>
          <w:tcPr>
            <w:tcW w:w="4815" w:type="dxa"/>
          </w:tcPr>
          <w:p w14:paraId="6EEA5140" w14:textId="77777777" w:rsidR="000665E1" w:rsidRPr="000665E1" w:rsidRDefault="000665E1" w:rsidP="000665E1">
            <w:pPr>
              <w:rPr>
                <w:rFonts w:eastAsiaTheme="minorEastAsia"/>
              </w:rPr>
            </w:pPr>
            <w:r w:rsidRPr="000665E1">
              <w:rPr>
                <w:rFonts w:eastAsiaTheme="minorEastAsia"/>
              </w:rPr>
              <w:t xml:space="preserve">Respiratory symptoms suggestive of pulmonary </w:t>
            </w:r>
          </w:p>
          <w:p w14:paraId="2E3BEB47" w14:textId="532C541E" w:rsidR="000665E1" w:rsidRPr="000665E1" w:rsidRDefault="00B766AF" w:rsidP="000665E1">
            <w:pPr>
              <w:rPr>
                <w:rFonts w:eastAsiaTheme="minorEastAsia"/>
              </w:rPr>
            </w:pPr>
            <w:r>
              <w:rPr>
                <w:rFonts w:eastAsiaTheme="minorEastAsia"/>
              </w:rPr>
              <w:t>Fibrosis</w:t>
            </w:r>
            <w:r w:rsidR="000665E1" w:rsidRPr="000665E1">
              <w:rPr>
                <w:rFonts w:eastAsiaTheme="minorEastAsia"/>
              </w:rPr>
              <w:t xml:space="preserve">* </w:t>
            </w:r>
          </w:p>
        </w:tc>
        <w:tc>
          <w:tcPr>
            <w:tcW w:w="3707" w:type="dxa"/>
            <w:gridSpan w:val="3"/>
          </w:tcPr>
          <w:p w14:paraId="4BBDD357" w14:textId="77777777" w:rsidR="000665E1" w:rsidRPr="000665E1" w:rsidRDefault="000665E1" w:rsidP="000665E1">
            <w:pPr>
              <w:rPr>
                <w:rFonts w:eastAsiaTheme="minorEastAsia"/>
              </w:rPr>
            </w:pPr>
            <w:r w:rsidRPr="000665E1">
              <w:rPr>
                <w:rFonts w:eastAsiaTheme="minorEastAsia"/>
              </w:rPr>
              <w:t xml:space="preserve">Interrupt treatment, investigate cause of symptoms </w:t>
            </w:r>
          </w:p>
        </w:tc>
      </w:tr>
      <w:tr w:rsidR="000665E1" w:rsidRPr="000665E1" w14:paraId="70BBC6A8" w14:textId="77777777" w:rsidTr="00B766AF">
        <w:trPr>
          <w:trHeight w:val="624"/>
          <w:jc w:val="center"/>
        </w:trPr>
        <w:tc>
          <w:tcPr>
            <w:tcW w:w="4815" w:type="dxa"/>
          </w:tcPr>
          <w:p w14:paraId="7DD0419E" w14:textId="461E1546" w:rsidR="000665E1" w:rsidRPr="000665E1" w:rsidRDefault="000665E1" w:rsidP="000665E1">
            <w:pPr>
              <w:rPr>
                <w:rFonts w:eastAsiaTheme="minorEastAsia"/>
              </w:rPr>
            </w:pPr>
            <w:r w:rsidRPr="000665E1">
              <w:rPr>
                <w:rFonts w:eastAsiaTheme="minorEastAsia"/>
              </w:rPr>
              <w:t xml:space="preserve">No interpulmonary </w:t>
            </w:r>
            <w:r w:rsidR="00565C90" w:rsidRPr="000665E1">
              <w:rPr>
                <w:rFonts w:eastAsiaTheme="minorEastAsia"/>
              </w:rPr>
              <w:t xml:space="preserve">Fibrosis </w:t>
            </w:r>
            <w:r w:rsidR="00B766AF">
              <w:rPr>
                <w:rFonts w:eastAsiaTheme="minorEastAsia"/>
              </w:rPr>
              <w:t>at baseline</w:t>
            </w:r>
            <w:r w:rsidRPr="000665E1">
              <w:rPr>
                <w:rFonts w:eastAsiaTheme="minorEastAsia"/>
              </w:rPr>
              <w:t xml:space="preserve">* </w:t>
            </w:r>
          </w:p>
        </w:tc>
        <w:tc>
          <w:tcPr>
            <w:tcW w:w="3707" w:type="dxa"/>
            <w:gridSpan w:val="3"/>
          </w:tcPr>
          <w:p w14:paraId="39724B33" w14:textId="77777777" w:rsidR="000665E1" w:rsidRPr="000665E1" w:rsidRDefault="000665E1" w:rsidP="000665E1">
            <w:pPr>
              <w:rPr>
                <w:rFonts w:eastAsiaTheme="minorEastAsia"/>
              </w:rPr>
            </w:pPr>
            <w:r w:rsidRPr="000665E1">
              <w:rPr>
                <w:rFonts w:eastAsiaTheme="minorEastAsia"/>
              </w:rPr>
              <w:t xml:space="preserve">Permanently discontinue treatment </w:t>
            </w:r>
          </w:p>
        </w:tc>
      </w:tr>
      <w:tr w:rsidR="000665E1" w:rsidRPr="000665E1" w14:paraId="4B3FF765" w14:textId="77777777" w:rsidTr="00B766AF">
        <w:trPr>
          <w:trHeight w:val="311"/>
          <w:jc w:val="center"/>
        </w:trPr>
        <w:tc>
          <w:tcPr>
            <w:tcW w:w="4815" w:type="dxa"/>
          </w:tcPr>
          <w:p w14:paraId="6EC100C8" w14:textId="1625AE92" w:rsidR="000665E1" w:rsidRPr="000665E1" w:rsidRDefault="00B766AF" w:rsidP="000665E1">
            <w:pPr>
              <w:rPr>
                <w:rFonts w:eastAsiaTheme="minorEastAsia"/>
              </w:rPr>
            </w:pPr>
            <w:r>
              <w:rPr>
                <w:rFonts w:eastAsiaTheme="minorEastAsia"/>
              </w:rPr>
              <w:t>Anaphylaxis</w:t>
            </w:r>
            <w:r w:rsidR="000665E1" w:rsidRPr="000665E1">
              <w:rPr>
                <w:rFonts w:eastAsiaTheme="minorEastAsia"/>
              </w:rPr>
              <w:t xml:space="preserve">* </w:t>
            </w:r>
          </w:p>
        </w:tc>
        <w:tc>
          <w:tcPr>
            <w:tcW w:w="3707" w:type="dxa"/>
            <w:gridSpan w:val="3"/>
          </w:tcPr>
          <w:p w14:paraId="7D47EC44" w14:textId="77777777" w:rsidR="000665E1" w:rsidRPr="000665E1" w:rsidRDefault="000665E1" w:rsidP="000665E1">
            <w:pPr>
              <w:rPr>
                <w:rFonts w:eastAsiaTheme="minorEastAsia"/>
              </w:rPr>
            </w:pPr>
            <w:r w:rsidRPr="000665E1">
              <w:rPr>
                <w:rFonts w:eastAsiaTheme="minorEastAsia"/>
              </w:rPr>
              <w:t xml:space="preserve">Permanently discontinue treatment </w:t>
            </w:r>
          </w:p>
        </w:tc>
      </w:tr>
      <w:tr w:rsidR="000665E1" w:rsidRPr="000665E1" w14:paraId="3C1DE7B5" w14:textId="77777777" w:rsidTr="00B766AF">
        <w:trPr>
          <w:trHeight w:val="312"/>
          <w:jc w:val="center"/>
        </w:trPr>
        <w:tc>
          <w:tcPr>
            <w:tcW w:w="4815" w:type="dxa"/>
          </w:tcPr>
          <w:p w14:paraId="7002BFEB" w14:textId="4C06FFC4" w:rsidR="000665E1" w:rsidRPr="000665E1" w:rsidRDefault="00B766AF" w:rsidP="000665E1">
            <w:pPr>
              <w:rPr>
                <w:rFonts w:eastAsiaTheme="minorEastAsia"/>
              </w:rPr>
            </w:pPr>
            <w:r>
              <w:rPr>
                <w:rFonts w:eastAsiaTheme="minorEastAsia"/>
              </w:rPr>
              <w:t>Diarrhea</w:t>
            </w:r>
          </w:p>
        </w:tc>
        <w:tc>
          <w:tcPr>
            <w:tcW w:w="1134" w:type="dxa"/>
          </w:tcPr>
          <w:p w14:paraId="34899F98" w14:textId="77777777" w:rsidR="000665E1" w:rsidRPr="000665E1" w:rsidRDefault="000665E1" w:rsidP="000665E1">
            <w:pPr>
              <w:rPr>
                <w:rFonts w:eastAsiaTheme="minorEastAsia"/>
              </w:rPr>
            </w:pPr>
          </w:p>
        </w:tc>
        <w:tc>
          <w:tcPr>
            <w:tcW w:w="2573" w:type="dxa"/>
            <w:gridSpan w:val="2"/>
          </w:tcPr>
          <w:p w14:paraId="1EBC6290" w14:textId="7AA76424" w:rsidR="000665E1" w:rsidRPr="000665E1" w:rsidRDefault="00565C90" w:rsidP="000665E1">
            <w:pPr>
              <w:rPr>
                <w:rFonts w:eastAsiaTheme="minorEastAsia"/>
              </w:rPr>
            </w:pPr>
            <w:r>
              <w:rPr>
                <w:rFonts w:eastAsiaTheme="minorEastAsia"/>
              </w:rPr>
              <w:t>100 mg/m</w:t>
            </w:r>
            <w:r w:rsidR="000665E1" w:rsidRPr="000665E1">
              <w:rPr>
                <w:rFonts w:eastAsiaTheme="minorEastAsia"/>
                <w:vertAlign w:val="superscript"/>
              </w:rPr>
              <w:t xml:space="preserve">2 </w:t>
            </w:r>
          </w:p>
        </w:tc>
      </w:tr>
      <w:tr w:rsidR="000665E1" w:rsidRPr="000665E1" w14:paraId="467439AF" w14:textId="77777777" w:rsidTr="00B766AF">
        <w:trPr>
          <w:trHeight w:val="936"/>
          <w:jc w:val="center"/>
        </w:trPr>
        <w:tc>
          <w:tcPr>
            <w:tcW w:w="4815" w:type="dxa"/>
          </w:tcPr>
          <w:p w14:paraId="086DA3D7" w14:textId="30F6E266" w:rsidR="000665E1" w:rsidRPr="000665E1" w:rsidRDefault="00565C90" w:rsidP="000665E1">
            <w:pPr>
              <w:rPr>
                <w:rFonts w:eastAsiaTheme="minorEastAsia"/>
              </w:rPr>
            </w:pPr>
            <w:r w:rsidRPr="00565C90">
              <w:rPr>
                <w:rFonts w:eastAsiaTheme="minorEastAsia"/>
              </w:rPr>
              <w:lastRenderedPageBreak/>
              <w:t>Nausea and/or vomiting, despite effective prophylactic antiemetic therapy</w:t>
            </w:r>
            <w:r w:rsidR="000665E1" w:rsidRPr="000665E1">
              <w:rPr>
                <w:rFonts w:eastAsiaTheme="minorEastAsia"/>
              </w:rPr>
              <w:t xml:space="preserve"> </w:t>
            </w:r>
          </w:p>
        </w:tc>
        <w:tc>
          <w:tcPr>
            <w:tcW w:w="1134" w:type="dxa"/>
          </w:tcPr>
          <w:p w14:paraId="71333490" w14:textId="77777777" w:rsidR="000665E1" w:rsidRPr="000665E1" w:rsidRDefault="000665E1" w:rsidP="000665E1">
            <w:pPr>
              <w:rPr>
                <w:rFonts w:eastAsiaTheme="minorEastAsia"/>
              </w:rPr>
            </w:pPr>
          </w:p>
        </w:tc>
        <w:tc>
          <w:tcPr>
            <w:tcW w:w="1276" w:type="dxa"/>
          </w:tcPr>
          <w:p w14:paraId="547460C3" w14:textId="77777777" w:rsidR="000665E1" w:rsidRPr="000665E1" w:rsidRDefault="000665E1" w:rsidP="000665E1">
            <w:pPr>
              <w:rPr>
                <w:rFonts w:eastAsiaTheme="minorEastAsia"/>
              </w:rPr>
            </w:pPr>
          </w:p>
          <w:p w14:paraId="0FB0FAC6" w14:textId="1F4F1AAE" w:rsidR="000665E1" w:rsidRPr="000665E1" w:rsidRDefault="00565C90" w:rsidP="000665E1">
            <w:pPr>
              <w:rPr>
                <w:rFonts w:eastAsiaTheme="minorEastAsia"/>
              </w:rPr>
            </w:pPr>
            <w:r>
              <w:rPr>
                <w:rFonts w:eastAsiaTheme="minorEastAsia"/>
              </w:rPr>
              <w:t>100 mg/m</w:t>
            </w:r>
            <w:r w:rsidR="000665E1" w:rsidRPr="00384EEC">
              <w:rPr>
                <w:rFonts w:eastAsiaTheme="minorEastAsia"/>
                <w:vertAlign w:val="superscript"/>
              </w:rPr>
              <w:t>2</w:t>
            </w:r>
            <w:r w:rsidR="000665E1" w:rsidRPr="000665E1">
              <w:rPr>
                <w:rFonts w:eastAsiaTheme="minorEastAsia"/>
              </w:rPr>
              <w:t xml:space="preserve"> </w:t>
            </w:r>
          </w:p>
        </w:tc>
        <w:tc>
          <w:tcPr>
            <w:tcW w:w="1297" w:type="dxa"/>
          </w:tcPr>
          <w:p w14:paraId="139140EB" w14:textId="77777777" w:rsidR="000665E1" w:rsidRPr="000665E1" w:rsidRDefault="000665E1" w:rsidP="000665E1">
            <w:pPr>
              <w:rPr>
                <w:rFonts w:eastAsiaTheme="minorEastAsia"/>
              </w:rPr>
            </w:pPr>
          </w:p>
        </w:tc>
      </w:tr>
      <w:tr w:rsidR="000665E1" w:rsidRPr="000665E1" w14:paraId="0C3B2545" w14:textId="77777777" w:rsidTr="00B766AF">
        <w:trPr>
          <w:trHeight w:val="311"/>
          <w:jc w:val="center"/>
        </w:trPr>
        <w:tc>
          <w:tcPr>
            <w:tcW w:w="4815" w:type="dxa"/>
          </w:tcPr>
          <w:p w14:paraId="73D5BEE5" w14:textId="0E6B7509" w:rsidR="000665E1" w:rsidRPr="000665E1" w:rsidRDefault="000665E1" w:rsidP="00384EEC">
            <w:pPr>
              <w:rPr>
                <w:rFonts w:eastAsiaTheme="minorEastAsia"/>
              </w:rPr>
            </w:pPr>
            <w:r w:rsidRPr="000665E1">
              <w:rPr>
                <w:rFonts w:eastAsiaTheme="minorEastAsia"/>
              </w:rPr>
              <w:t>Nausea and</w:t>
            </w:r>
            <w:r w:rsidR="00565C90">
              <w:rPr>
                <w:rFonts w:eastAsiaTheme="minorEastAsia"/>
              </w:rPr>
              <w:t>/o</w:t>
            </w:r>
            <w:r w:rsidRPr="000665E1">
              <w:rPr>
                <w:rFonts w:eastAsiaTheme="minorEastAsia"/>
              </w:rPr>
              <w:t xml:space="preserve">r vomiting </w:t>
            </w:r>
          </w:p>
        </w:tc>
        <w:tc>
          <w:tcPr>
            <w:tcW w:w="1134" w:type="dxa"/>
          </w:tcPr>
          <w:p w14:paraId="6A094C9A" w14:textId="77777777" w:rsidR="000665E1" w:rsidRPr="000665E1" w:rsidRDefault="000665E1" w:rsidP="000665E1">
            <w:pPr>
              <w:rPr>
                <w:rFonts w:eastAsiaTheme="minorEastAsia"/>
              </w:rPr>
            </w:pPr>
          </w:p>
        </w:tc>
        <w:tc>
          <w:tcPr>
            <w:tcW w:w="1276" w:type="dxa"/>
          </w:tcPr>
          <w:p w14:paraId="01CCA211" w14:textId="77777777" w:rsidR="000665E1" w:rsidRPr="000665E1" w:rsidRDefault="000665E1" w:rsidP="000665E1">
            <w:pPr>
              <w:rPr>
                <w:rFonts w:eastAsiaTheme="minorEastAsia"/>
              </w:rPr>
            </w:pPr>
          </w:p>
        </w:tc>
        <w:tc>
          <w:tcPr>
            <w:tcW w:w="1297" w:type="dxa"/>
          </w:tcPr>
          <w:p w14:paraId="22720BCB" w14:textId="16C50882" w:rsidR="000665E1" w:rsidRPr="000665E1" w:rsidRDefault="00565C90" w:rsidP="000665E1">
            <w:pPr>
              <w:rPr>
                <w:rFonts w:eastAsiaTheme="minorEastAsia"/>
              </w:rPr>
            </w:pPr>
            <w:r>
              <w:rPr>
                <w:rFonts w:eastAsiaTheme="minorEastAsia"/>
              </w:rPr>
              <w:t>100 mg/m</w:t>
            </w:r>
            <w:r w:rsidR="000665E1" w:rsidRPr="00384EEC">
              <w:rPr>
                <w:rFonts w:eastAsiaTheme="minorEastAsia"/>
                <w:vertAlign w:val="superscript"/>
              </w:rPr>
              <w:t>2</w:t>
            </w:r>
            <w:r w:rsidR="000665E1" w:rsidRPr="000665E1">
              <w:rPr>
                <w:rFonts w:eastAsiaTheme="minorEastAsia"/>
              </w:rPr>
              <w:t xml:space="preserve"> </w:t>
            </w:r>
          </w:p>
        </w:tc>
      </w:tr>
      <w:tr w:rsidR="000665E1" w:rsidRPr="000665E1" w14:paraId="2675A343" w14:textId="77777777" w:rsidTr="00B766AF">
        <w:trPr>
          <w:trHeight w:val="624"/>
          <w:jc w:val="center"/>
        </w:trPr>
        <w:tc>
          <w:tcPr>
            <w:tcW w:w="4815" w:type="dxa"/>
          </w:tcPr>
          <w:p w14:paraId="54118D39" w14:textId="77777777" w:rsidR="000665E1" w:rsidRPr="000665E1" w:rsidRDefault="000665E1" w:rsidP="000665E1">
            <w:pPr>
              <w:rPr>
                <w:rFonts w:eastAsiaTheme="minorEastAsia"/>
              </w:rPr>
            </w:pPr>
            <w:r w:rsidRPr="000665E1">
              <w:rPr>
                <w:rFonts w:eastAsiaTheme="minorEastAsia"/>
              </w:rPr>
              <w:t xml:space="preserve">Dermal toxicity </w:t>
            </w:r>
          </w:p>
        </w:tc>
        <w:tc>
          <w:tcPr>
            <w:tcW w:w="1134" w:type="dxa"/>
          </w:tcPr>
          <w:p w14:paraId="4063B6A6" w14:textId="77777777" w:rsidR="000665E1" w:rsidRPr="000665E1" w:rsidRDefault="000665E1" w:rsidP="000665E1">
            <w:pPr>
              <w:rPr>
                <w:rFonts w:eastAsiaTheme="minorEastAsia"/>
              </w:rPr>
            </w:pPr>
          </w:p>
        </w:tc>
        <w:tc>
          <w:tcPr>
            <w:tcW w:w="2573" w:type="dxa"/>
            <w:gridSpan w:val="2"/>
          </w:tcPr>
          <w:p w14:paraId="4C62CA35" w14:textId="629604F2" w:rsidR="000665E1" w:rsidRPr="000665E1" w:rsidRDefault="000665E1" w:rsidP="00B766AF">
            <w:pPr>
              <w:rPr>
                <w:rFonts w:eastAsiaTheme="minorEastAsia"/>
              </w:rPr>
            </w:pPr>
            <w:r w:rsidRPr="000665E1">
              <w:rPr>
                <w:rFonts w:eastAsiaTheme="minorEastAsia"/>
              </w:rPr>
              <w:t>Prolonged chemotherapy rest period until recovery ≤</w:t>
            </w:r>
            <w:r w:rsidR="00B766AF">
              <w:rPr>
                <w:rFonts w:eastAsiaTheme="minorEastAsia"/>
              </w:rPr>
              <w:t>g</w:t>
            </w:r>
            <w:r w:rsidRPr="000665E1">
              <w:rPr>
                <w:rFonts w:eastAsiaTheme="minorEastAsia"/>
              </w:rPr>
              <w:t xml:space="preserve">rade </w:t>
            </w:r>
            <w:r w:rsidR="00565C90" w:rsidRPr="000665E1">
              <w:rPr>
                <w:rFonts w:eastAsiaTheme="minorEastAsia"/>
              </w:rPr>
              <w:t>1</w:t>
            </w:r>
          </w:p>
          <w:p w14:paraId="04F42D2C" w14:textId="77777777" w:rsidR="000665E1" w:rsidRPr="000665E1" w:rsidRDefault="000665E1" w:rsidP="00B766AF">
            <w:pPr>
              <w:rPr>
                <w:rFonts w:eastAsiaTheme="minorEastAsia"/>
              </w:rPr>
            </w:pPr>
            <w:r w:rsidRPr="000665E1">
              <w:rPr>
                <w:rFonts w:eastAsiaTheme="minorEastAsia"/>
              </w:rPr>
              <w:t xml:space="preserve">No dose reduction required </w:t>
            </w:r>
          </w:p>
        </w:tc>
      </w:tr>
      <w:tr w:rsidR="000665E1" w:rsidRPr="000665E1" w14:paraId="14DBBE22" w14:textId="77777777" w:rsidTr="00B766AF">
        <w:trPr>
          <w:trHeight w:val="311"/>
          <w:jc w:val="center"/>
        </w:trPr>
        <w:tc>
          <w:tcPr>
            <w:tcW w:w="4815" w:type="dxa"/>
          </w:tcPr>
          <w:p w14:paraId="0A05169D" w14:textId="77777777" w:rsidR="000665E1" w:rsidRPr="000665E1" w:rsidRDefault="000665E1" w:rsidP="000665E1">
            <w:pPr>
              <w:rPr>
                <w:rFonts w:eastAsiaTheme="minorEastAsia"/>
              </w:rPr>
            </w:pPr>
            <w:r w:rsidRPr="000665E1">
              <w:rPr>
                <w:rFonts w:eastAsiaTheme="minorEastAsia"/>
              </w:rPr>
              <w:t xml:space="preserve">Stomatitis </w:t>
            </w:r>
          </w:p>
        </w:tc>
        <w:tc>
          <w:tcPr>
            <w:tcW w:w="1134" w:type="dxa"/>
          </w:tcPr>
          <w:p w14:paraId="00412D47" w14:textId="77777777" w:rsidR="000665E1" w:rsidRPr="000665E1" w:rsidRDefault="000665E1" w:rsidP="000665E1">
            <w:pPr>
              <w:rPr>
                <w:rFonts w:eastAsiaTheme="minorEastAsia"/>
              </w:rPr>
            </w:pPr>
          </w:p>
        </w:tc>
        <w:tc>
          <w:tcPr>
            <w:tcW w:w="1276" w:type="dxa"/>
          </w:tcPr>
          <w:p w14:paraId="5F729EA9" w14:textId="77777777" w:rsidR="000665E1" w:rsidRPr="000665E1" w:rsidRDefault="000665E1" w:rsidP="000665E1">
            <w:pPr>
              <w:rPr>
                <w:rFonts w:eastAsiaTheme="minorEastAsia"/>
              </w:rPr>
            </w:pPr>
            <w:r w:rsidRPr="000665E1">
              <w:rPr>
                <w:rFonts w:eastAsiaTheme="minorEastAsia"/>
              </w:rPr>
              <w:t xml:space="preserve">No dose reduction required </w:t>
            </w:r>
          </w:p>
        </w:tc>
        <w:tc>
          <w:tcPr>
            <w:tcW w:w="1297" w:type="dxa"/>
          </w:tcPr>
          <w:p w14:paraId="4B3D9722" w14:textId="00D8CCFA" w:rsidR="000665E1" w:rsidRPr="000665E1" w:rsidRDefault="00565C90" w:rsidP="000665E1">
            <w:pPr>
              <w:rPr>
                <w:rFonts w:eastAsiaTheme="minorEastAsia"/>
              </w:rPr>
            </w:pPr>
            <w:r>
              <w:rPr>
                <w:rFonts w:eastAsiaTheme="minorEastAsia"/>
              </w:rPr>
              <w:t>100 mg/m</w:t>
            </w:r>
            <w:r w:rsidR="000665E1" w:rsidRPr="00384EEC">
              <w:rPr>
                <w:rFonts w:eastAsiaTheme="minorEastAsia"/>
                <w:vertAlign w:val="superscript"/>
              </w:rPr>
              <w:t>2</w:t>
            </w:r>
            <w:r w:rsidR="000665E1" w:rsidRPr="000665E1">
              <w:rPr>
                <w:rFonts w:eastAsiaTheme="minorEastAsia"/>
              </w:rPr>
              <w:t xml:space="preserve"> </w:t>
            </w:r>
          </w:p>
        </w:tc>
      </w:tr>
    </w:tbl>
    <w:p w14:paraId="4D19DC77" w14:textId="77777777" w:rsidR="000665E1" w:rsidRPr="00384EEC" w:rsidRDefault="000665E1" w:rsidP="000665E1">
      <w:pPr>
        <w:rPr>
          <w:rFonts w:eastAsiaTheme="minorEastAsia"/>
        </w:rPr>
      </w:pPr>
      <w:r w:rsidRPr="00384EEC">
        <w:rPr>
          <w:rFonts w:eastAsiaTheme="minorEastAsia"/>
        </w:rPr>
        <w:t xml:space="preserve">* No dose adjustment is required for capecitabine (if this is beneficial to the patient) </w:t>
      </w:r>
    </w:p>
    <w:p w14:paraId="742BB152" w14:textId="4A9648BE" w:rsidR="000665E1" w:rsidRPr="000665E1" w:rsidRDefault="000665E1" w:rsidP="00384EEC">
      <w:pPr>
        <w:jc w:val="center"/>
        <w:rPr>
          <w:rFonts w:eastAsiaTheme="minorEastAsia"/>
        </w:rPr>
      </w:pPr>
      <w:r w:rsidRPr="000665E1">
        <w:rPr>
          <w:rFonts w:eastAsiaTheme="minorEastAsia"/>
        </w:rPr>
        <w:t xml:space="preserve">Table 5.2.2-6: Dose Modifications for </w:t>
      </w:r>
      <w:r w:rsidR="00565C90" w:rsidRPr="000665E1">
        <w:rPr>
          <w:rFonts w:eastAsiaTheme="minorEastAsia"/>
        </w:rPr>
        <w:t xml:space="preserve">Neurotoxicity </w:t>
      </w:r>
      <w:r w:rsidR="00565C90">
        <w:rPr>
          <w:rFonts w:eastAsiaTheme="minorEastAsia"/>
        </w:rPr>
        <w:t xml:space="preserve">of </w:t>
      </w:r>
      <w:r w:rsidRPr="000665E1">
        <w:rPr>
          <w:rFonts w:eastAsiaTheme="minorEastAsia"/>
        </w:rPr>
        <w:t xml:space="preserve">Oxaliplatin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8"/>
        <w:gridCol w:w="3164"/>
        <w:gridCol w:w="1552"/>
        <w:gridCol w:w="1459"/>
        <w:gridCol w:w="1459"/>
      </w:tblGrid>
      <w:tr w:rsidR="000665E1" w:rsidRPr="000665E1" w14:paraId="69C7AC15" w14:textId="77777777" w:rsidTr="00384EEC">
        <w:trPr>
          <w:trHeight w:val="312"/>
          <w:jc w:val="center"/>
        </w:trPr>
        <w:tc>
          <w:tcPr>
            <w:tcW w:w="888" w:type="dxa"/>
            <w:vMerge w:val="restart"/>
          </w:tcPr>
          <w:p w14:paraId="39AC719C" w14:textId="6B41BB45" w:rsidR="000665E1" w:rsidRPr="000665E1" w:rsidRDefault="00565C90" w:rsidP="000665E1">
            <w:pPr>
              <w:rPr>
                <w:rFonts w:eastAsiaTheme="minorEastAsia"/>
              </w:rPr>
            </w:pPr>
            <w:r>
              <w:rPr>
                <w:rFonts w:eastAsiaTheme="minorEastAsia"/>
              </w:rPr>
              <w:t>Grade</w:t>
            </w:r>
          </w:p>
        </w:tc>
        <w:tc>
          <w:tcPr>
            <w:tcW w:w="3164" w:type="dxa"/>
            <w:vMerge w:val="restart"/>
          </w:tcPr>
          <w:p w14:paraId="278F3F0C" w14:textId="77777777" w:rsidR="000665E1" w:rsidRPr="000665E1" w:rsidRDefault="000665E1" w:rsidP="000665E1">
            <w:pPr>
              <w:rPr>
                <w:rFonts w:eastAsiaTheme="minorEastAsia"/>
              </w:rPr>
            </w:pPr>
            <w:r w:rsidRPr="000665E1">
              <w:rPr>
                <w:rFonts w:eastAsiaTheme="minorEastAsia"/>
              </w:rPr>
              <w:t xml:space="preserve">Neurotoxic reaction </w:t>
            </w:r>
          </w:p>
        </w:tc>
        <w:tc>
          <w:tcPr>
            <w:tcW w:w="4470" w:type="dxa"/>
            <w:gridSpan w:val="3"/>
          </w:tcPr>
          <w:p w14:paraId="3D726CE0" w14:textId="6DF6967C" w:rsidR="000665E1" w:rsidRPr="000665E1" w:rsidRDefault="000665E1" w:rsidP="000665E1">
            <w:pPr>
              <w:rPr>
                <w:rFonts w:eastAsiaTheme="minorEastAsia"/>
              </w:rPr>
            </w:pPr>
            <w:r w:rsidRPr="000665E1">
              <w:rPr>
                <w:rFonts w:eastAsiaTheme="minorEastAsia"/>
              </w:rPr>
              <w:t xml:space="preserve">Duration </w:t>
            </w:r>
            <w:r w:rsidR="00565C90" w:rsidRPr="000665E1">
              <w:rPr>
                <w:rFonts w:eastAsiaTheme="minorEastAsia"/>
              </w:rPr>
              <w:t xml:space="preserve">of toxic effects </w:t>
            </w:r>
          </w:p>
        </w:tc>
      </w:tr>
      <w:tr w:rsidR="000665E1" w:rsidRPr="000665E1" w14:paraId="1D65C5EC" w14:textId="77777777" w:rsidTr="00384EEC">
        <w:trPr>
          <w:trHeight w:val="624"/>
          <w:jc w:val="center"/>
        </w:trPr>
        <w:tc>
          <w:tcPr>
            <w:tcW w:w="888" w:type="dxa"/>
            <w:vMerge/>
            <w:tcBorders>
              <w:top w:val="nil"/>
            </w:tcBorders>
          </w:tcPr>
          <w:p w14:paraId="2C21923F" w14:textId="77777777" w:rsidR="000665E1" w:rsidRPr="000665E1" w:rsidRDefault="000665E1" w:rsidP="000665E1">
            <w:pPr>
              <w:rPr>
                <w:rFonts w:eastAsiaTheme="minorEastAsia"/>
              </w:rPr>
            </w:pPr>
          </w:p>
        </w:tc>
        <w:tc>
          <w:tcPr>
            <w:tcW w:w="3164" w:type="dxa"/>
            <w:vMerge/>
            <w:tcBorders>
              <w:top w:val="nil"/>
            </w:tcBorders>
          </w:tcPr>
          <w:p w14:paraId="1EF454F4" w14:textId="77777777" w:rsidR="000665E1" w:rsidRPr="000665E1" w:rsidRDefault="000665E1" w:rsidP="000665E1">
            <w:pPr>
              <w:rPr>
                <w:rFonts w:eastAsiaTheme="minorEastAsia"/>
              </w:rPr>
            </w:pPr>
          </w:p>
        </w:tc>
        <w:tc>
          <w:tcPr>
            <w:tcW w:w="1552" w:type="dxa"/>
          </w:tcPr>
          <w:p w14:paraId="1E6BD4DB" w14:textId="6D84EB17" w:rsidR="000665E1" w:rsidRPr="000665E1" w:rsidRDefault="000665E1" w:rsidP="00B766AF">
            <w:pPr>
              <w:rPr>
                <w:rFonts w:eastAsiaTheme="minorEastAsia"/>
              </w:rPr>
            </w:pPr>
            <w:r w:rsidRPr="000665E1">
              <w:rPr>
                <w:rFonts w:eastAsiaTheme="minorEastAsia"/>
              </w:rPr>
              <w:t>1</w:t>
            </w:r>
            <w:r w:rsidR="00B766AF">
              <w:rPr>
                <w:rFonts w:eastAsiaTheme="minorEastAsia"/>
              </w:rPr>
              <w:t>-</w:t>
            </w:r>
            <w:r w:rsidRPr="000665E1">
              <w:rPr>
                <w:rFonts w:eastAsiaTheme="minorEastAsia"/>
              </w:rPr>
              <w:t xml:space="preserve">7 </w:t>
            </w:r>
            <w:r w:rsidR="00565C90">
              <w:rPr>
                <w:rFonts w:eastAsiaTheme="minorEastAsia"/>
              </w:rPr>
              <w:t>d</w:t>
            </w:r>
            <w:r w:rsidRPr="000665E1">
              <w:rPr>
                <w:rFonts w:eastAsiaTheme="minorEastAsia"/>
              </w:rPr>
              <w:t xml:space="preserve">ay </w:t>
            </w:r>
          </w:p>
        </w:tc>
        <w:tc>
          <w:tcPr>
            <w:tcW w:w="1459" w:type="dxa"/>
          </w:tcPr>
          <w:p w14:paraId="29D1A296" w14:textId="124CE0CA" w:rsidR="000665E1" w:rsidRPr="000665E1" w:rsidRDefault="000665E1" w:rsidP="00384EEC">
            <w:pPr>
              <w:rPr>
                <w:rFonts w:eastAsiaTheme="minorEastAsia"/>
              </w:rPr>
            </w:pPr>
            <w:r w:rsidRPr="000665E1">
              <w:rPr>
                <w:rFonts w:eastAsiaTheme="minorEastAsia"/>
              </w:rPr>
              <w:t xml:space="preserve">&gt; 7 </w:t>
            </w:r>
            <w:r w:rsidR="00565C90">
              <w:rPr>
                <w:rFonts w:eastAsiaTheme="minorEastAsia"/>
              </w:rPr>
              <w:t>d</w:t>
            </w:r>
            <w:r w:rsidRPr="000665E1">
              <w:rPr>
                <w:rFonts w:eastAsiaTheme="minorEastAsia"/>
              </w:rPr>
              <w:t xml:space="preserve">ay </w:t>
            </w:r>
          </w:p>
        </w:tc>
        <w:tc>
          <w:tcPr>
            <w:tcW w:w="1459" w:type="dxa"/>
          </w:tcPr>
          <w:p w14:paraId="2C06D6A8" w14:textId="1C0BED00" w:rsidR="000665E1" w:rsidRPr="000665E1" w:rsidRDefault="008462E3" w:rsidP="00384EEC">
            <w:pPr>
              <w:rPr>
                <w:rFonts w:eastAsiaTheme="minorEastAsia"/>
              </w:rPr>
            </w:pPr>
            <w:r w:rsidRPr="000665E1">
              <w:rPr>
                <w:rFonts w:eastAsiaTheme="minorEastAsia"/>
              </w:rPr>
              <w:t xml:space="preserve">Persistent </w:t>
            </w:r>
            <w:r>
              <w:rPr>
                <w:rFonts w:eastAsiaTheme="minorEastAsia"/>
              </w:rPr>
              <w:t>d</w:t>
            </w:r>
            <w:r w:rsidR="000665E1" w:rsidRPr="000665E1">
              <w:rPr>
                <w:rFonts w:eastAsiaTheme="minorEastAsia"/>
              </w:rPr>
              <w:t xml:space="preserve">uring chemotherapy </w:t>
            </w:r>
            <w:r>
              <w:rPr>
                <w:rFonts w:eastAsiaTheme="minorEastAsia"/>
                <w:vertAlign w:val="superscript"/>
              </w:rPr>
              <w:t>a</w:t>
            </w:r>
            <w:r w:rsidR="000665E1" w:rsidRPr="000665E1">
              <w:rPr>
                <w:rFonts w:eastAsiaTheme="minorEastAsia"/>
                <w:vertAlign w:val="superscript"/>
              </w:rPr>
              <w:t xml:space="preserve"> </w:t>
            </w:r>
          </w:p>
        </w:tc>
      </w:tr>
      <w:tr w:rsidR="000665E1" w:rsidRPr="000665E1" w14:paraId="5407490A" w14:textId="77777777" w:rsidTr="00384EEC">
        <w:trPr>
          <w:trHeight w:val="623"/>
          <w:jc w:val="center"/>
        </w:trPr>
        <w:tc>
          <w:tcPr>
            <w:tcW w:w="888" w:type="dxa"/>
          </w:tcPr>
          <w:p w14:paraId="6466AEDF" w14:textId="77777777" w:rsidR="000665E1" w:rsidRPr="000665E1" w:rsidRDefault="000665E1" w:rsidP="000665E1">
            <w:pPr>
              <w:rPr>
                <w:rFonts w:eastAsiaTheme="minorEastAsia"/>
              </w:rPr>
            </w:pPr>
            <w:r w:rsidRPr="000665E1">
              <w:rPr>
                <w:rFonts w:eastAsiaTheme="minorEastAsia"/>
              </w:rPr>
              <w:t xml:space="preserve">1 </w:t>
            </w:r>
          </w:p>
        </w:tc>
        <w:tc>
          <w:tcPr>
            <w:tcW w:w="3164" w:type="dxa"/>
          </w:tcPr>
          <w:p w14:paraId="50F1AECB" w14:textId="1A3ED09B" w:rsidR="000665E1" w:rsidRPr="000665E1" w:rsidRDefault="000665E1" w:rsidP="00384EEC">
            <w:pPr>
              <w:rPr>
                <w:rFonts w:eastAsiaTheme="minorEastAsia"/>
              </w:rPr>
            </w:pPr>
            <w:r w:rsidRPr="000665E1">
              <w:rPr>
                <w:rFonts w:eastAsiaTheme="minorEastAsia"/>
              </w:rPr>
              <w:t>Paresthesia</w:t>
            </w:r>
            <w:r w:rsidR="008462E3">
              <w:rPr>
                <w:rFonts w:eastAsiaTheme="minorEastAsia"/>
              </w:rPr>
              <w:t>/</w:t>
            </w:r>
            <w:r w:rsidRPr="000665E1">
              <w:rPr>
                <w:rFonts w:eastAsiaTheme="minorEastAsia"/>
              </w:rPr>
              <w:t xml:space="preserve">Sensory disturbance </w:t>
            </w:r>
            <w:r w:rsidR="008B0160">
              <w:rPr>
                <w:rFonts w:eastAsiaTheme="minorEastAsia"/>
                <w:vertAlign w:val="superscript"/>
              </w:rPr>
              <w:t>b</w:t>
            </w:r>
            <w:r w:rsidRPr="000665E1">
              <w:rPr>
                <w:rFonts w:eastAsiaTheme="minorEastAsia"/>
                <w:vertAlign w:val="superscript"/>
              </w:rPr>
              <w:t xml:space="preserve"> </w:t>
            </w:r>
            <w:r w:rsidR="008B0160" w:rsidRPr="008B0160">
              <w:rPr>
                <w:rFonts w:eastAsiaTheme="minorEastAsia"/>
              </w:rPr>
              <w:t>but not functional</w:t>
            </w:r>
          </w:p>
        </w:tc>
        <w:tc>
          <w:tcPr>
            <w:tcW w:w="1552" w:type="dxa"/>
          </w:tcPr>
          <w:p w14:paraId="3550A425" w14:textId="54BDB047" w:rsidR="000665E1" w:rsidRPr="000665E1" w:rsidRDefault="000665E1" w:rsidP="00384EEC">
            <w:pPr>
              <w:rPr>
                <w:rFonts w:eastAsiaTheme="minorEastAsia"/>
              </w:rPr>
            </w:pPr>
            <w:r w:rsidRPr="000665E1">
              <w:rPr>
                <w:rFonts w:eastAsiaTheme="minorEastAsia"/>
              </w:rPr>
              <w:t>Maintain the original</w:t>
            </w:r>
            <w:r w:rsidR="008462E3">
              <w:rPr>
                <w:rFonts w:eastAsiaTheme="minorEastAsia"/>
              </w:rPr>
              <w:t xml:space="preserve"> dose</w:t>
            </w:r>
          </w:p>
        </w:tc>
        <w:tc>
          <w:tcPr>
            <w:tcW w:w="1459" w:type="dxa"/>
          </w:tcPr>
          <w:p w14:paraId="6C65999F" w14:textId="1B1EC6A6" w:rsidR="000665E1" w:rsidRPr="000665E1" w:rsidRDefault="000665E1" w:rsidP="000665E1">
            <w:pPr>
              <w:rPr>
                <w:rFonts w:eastAsiaTheme="minorEastAsia"/>
              </w:rPr>
            </w:pPr>
            <w:r w:rsidRPr="000665E1">
              <w:rPr>
                <w:rFonts w:eastAsiaTheme="minorEastAsia"/>
              </w:rPr>
              <w:t xml:space="preserve">Maintain the original </w:t>
            </w:r>
            <w:r w:rsidR="008462E3">
              <w:rPr>
                <w:rFonts w:eastAsiaTheme="minorEastAsia"/>
              </w:rPr>
              <w:t>dose</w:t>
            </w:r>
            <w:r w:rsidRPr="000665E1">
              <w:rPr>
                <w:rFonts w:eastAsiaTheme="minorEastAsia"/>
              </w:rPr>
              <w:t xml:space="preserve"> </w:t>
            </w:r>
          </w:p>
        </w:tc>
        <w:tc>
          <w:tcPr>
            <w:tcW w:w="1459" w:type="dxa"/>
          </w:tcPr>
          <w:p w14:paraId="2F93CC09" w14:textId="12F8C7A5" w:rsidR="000665E1" w:rsidRPr="000665E1" w:rsidRDefault="000665E1" w:rsidP="000665E1">
            <w:pPr>
              <w:rPr>
                <w:rFonts w:eastAsiaTheme="minorEastAsia"/>
              </w:rPr>
            </w:pPr>
            <w:r w:rsidRPr="000665E1">
              <w:rPr>
                <w:rFonts w:eastAsiaTheme="minorEastAsia"/>
              </w:rPr>
              <w:t xml:space="preserve">Maintain the original </w:t>
            </w:r>
            <w:r w:rsidR="008462E3">
              <w:rPr>
                <w:rFonts w:eastAsiaTheme="minorEastAsia"/>
              </w:rPr>
              <w:t>dose</w:t>
            </w:r>
          </w:p>
        </w:tc>
      </w:tr>
      <w:tr w:rsidR="000665E1" w:rsidRPr="000665E1" w14:paraId="2B50E2D7" w14:textId="77777777" w:rsidTr="00384EEC">
        <w:trPr>
          <w:trHeight w:val="936"/>
          <w:jc w:val="center"/>
        </w:trPr>
        <w:tc>
          <w:tcPr>
            <w:tcW w:w="888" w:type="dxa"/>
          </w:tcPr>
          <w:p w14:paraId="6295D4B6" w14:textId="16DDA925" w:rsidR="000665E1" w:rsidRPr="000665E1" w:rsidRDefault="000665E1" w:rsidP="000665E1">
            <w:pPr>
              <w:rPr>
                <w:rFonts w:eastAsiaTheme="minorEastAsia"/>
              </w:rPr>
            </w:pPr>
            <w:r w:rsidRPr="000665E1">
              <w:rPr>
                <w:rFonts w:eastAsiaTheme="minorEastAsia"/>
              </w:rPr>
              <w:t xml:space="preserve">2 </w:t>
            </w:r>
          </w:p>
        </w:tc>
        <w:tc>
          <w:tcPr>
            <w:tcW w:w="3164" w:type="dxa"/>
          </w:tcPr>
          <w:p w14:paraId="23BC03AC" w14:textId="665299B9" w:rsidR="000665E1" w:rsidRPr="000665E1" w:rsidRDefault="000665E1" w:rsidP="00B766AF">
            <w:pPr>
              <w:rPr>
                <w:rFonts w:eastAsiaTheme="minorEastAsia"/>
              </w:rPr>
            </w:pPr>
            <w:r w:rsidRPr="000665E1">
              <w:rPr>
                <w:rFonts w:eastAsiaTheme="minorEastAsia"/>
              </w:rPr>
              <w:t>Paresthesia</w:t>
            </w:r>
            <w:r w:rsidR="003753AD">
              <w:rPr>
                <w:rFonts w:eastAsiaTheme="minorEastAsia"/>
              </w:rPr>
              <w:t>/</w:t>
            </w:r>
            <w:r w:rsidRPr="000665E1">
              <w:rPr>
                <w:rFonts w:eastAsiaTheme="minorEastAsia"/>
              </w:rPr>
              <w:t xml:space="preserve">Sensory disturbance </w:t>
            </w:r>
            <w:r w:rsidR="00B766AF">
              <w:rPr>
                <w:rFonts w:eastAsiaTheme="minorEastAsia"/>
                <w:vertAlign w:val="superscript"/>
              </w:rPr>
              <w:t>b</w:t>
            </w:r>
            <w:r w:rsidRPr="000665E1">
              <w:rPr>
                <w:rFonts w:eastAsiaTheme="minorEastAsia"/>
                <w:vertAlign w:val="superscript"/>
              </w:rPr>
              <w:t xml:space="preserve"> </w:t>
            </w:r>
            <w:r w:rsidRPr="000665E1">
              <w:rPr>
                <w:rFonts w:eastAsiaTheme="minorEastAsia"/>
              </w:rPr>
              <w:t xml:space="preserve">, affects function but does not affect daily activities </w:t>
            </w:r>
            <w:r w:rsidR="003753AD">
              <w:rPr>
                <w:rFonts w:eastAsiaTheme="minorEastAsia"/>
              </w:rPr>
              <w:t>(ADL</w:t>
            </w:r>
            <w:r w:rsidRPr="000665E1">
              <w:rPr>
                <w:rFonts w:eastAsiaTheme="minorEastAsia"/>
              </w:rPr>
              <w:t xml:space="preserve">) </w:t>
            </w:r>
          </w:p>
        </w:tc>
        <w:tc>
          <w:tcPr>
            <w:tcW w:w="1552" w:type="dxa"/>
          </w:tcPr>
          <w:p w14:paraId="7EE59680" w14:textId="77777777" w:rsidR="000665E1" w:rsidRPr="000665E1" w:rsidRDefault="000665E1" w:rsidP="000665E1">
            <w:pPr>
              <w:rPr>
                <w:rFonts w:eastAsiaTheme="minorEastAsia"/>
              </w:rPr>
            </w:pPr>
            <w:r w:rsidRPr="000665E1">
              <w:rPr>
                <w:rFonts w:eastAsiaTheme="minorEastAsia"/>
              </w:rPr>
              <w:t xml:space="preserve">Maintain original dose </w:t>
            </w:r>
          </w:p>
        </w:tc>
        <w:tc>
          <w:tcPr>
            <w:tcW w:w="1459" w:type="dxa"/>
          </w:tcPr>
          <w:p w14:paraId="48CBB578" w14:textId="77777777" w:rsidR="000665E1" w:rsidRPr="000665E1" w:rsidRDefault="000665E1" w:rsidP="000665E1">
            <w:pPr>
              <w:rPr>
                <w:rFonts w:eastAsiaTheme="minorEastAsia"/>
              </w:rPr>
            </w:pPr>
            <w:r w:rsidRPr="000665E1">
              <w:rPr>
                <w:rFonts w:eastAsiaTheme="minorEastAsia"/>
              </w:rPr>
              <w:t xml:space="preserve">Maintain original dose </w:t>
            </w:r>
          </w:p>
        </w:tc>
        <w:tc>
          <w:tcPr>
            <w:tcW w:w="1459" w:type="dxa"/>
          </w:tcPr>
          <w:p w14:paraId="20BA6F69" w14:textId="59685D30" w:rsidR="000665E1" w:rsidRPr="000665E1" w:rsidRDefault="003753AD" w:rsidP="00384EEC">
            <w:pPr>
              <w:rPr>
                <w:rFonts w:eastAsiaTheme="minorEastAsia"/>
              </w:rPr>
            </w:pPr>
            <w:r>
              <w:rPr>
                <w:rFonts w:eastAsiaTheme="minorEastAsia"/>
              </w:rPr>
              <w:t>Reduce</w:t>
            </w:r>
            <w:r w:rsidR="000665E1" w:rsidRPr="000665E1">
              <w:rPr>
                <w:rFonts w:eastAsiaTheme="minorEastAsia"/>
              </w:rPr>
              <w:t xml:space="preserve"> to </w:t>
            </w:r>
            <w:r>
              <w:rPr>
                <w:rFonts w:eastAsiaTheme="minorEastAsia"/>
              </w:rPr>
              <w:t>100 mg/m</w:t>
            </w:r>
            <w:r w:rsidR="000665E1" w:rsidRPr="00384EEC">
              <w:rPr>
                <w:rFonts w:eastAsiaTheme="minorEastAsia"/>
                <w:vertAlign w:val="superscript"/>
              </w:rPr>
              <w:t>2</w:t>
            </w:r>
            <w:r w:rsidR="000665E1" w:rsidRPr="000665E1">
              <w:rPr>
                <w:rFonts w:eastAsiaTheme="minorEastAsia"/>
              </w:rPr>
              <w:t xml:space="preserve"> </w:t>
            </w:r>
          </w:p>
        </w:tc>
      </w:tr>
      <w:tr w:rsidR="000665E1" w:rsidRPr="000665E1" w14:paraId="31447F06" w14:textId="77777777" w:rsidTr="00384EEC">
        <w:trPr>
          <w:trHeight w:val="935"/>
          <w:jc w:val="center"/>
        </w:trPr>
        <w:tc>
          <w:tcPr>
            <w:tcW w:w="888" w:type="dxa"/>
          </w:tcPr>
          <w:p w14:paraId="01D39BB4" w14:textId="7566C45A" w:rsidR="000665E1" w:rsidRPr="000665E1" w:rsidRDefault="000665E1" w:rsidP="000665E1">
            <w:pPr>
              <w:rPr>
                <w:rFonts w:eastAsiaTheme="minorEastAsia"/>
              </w:rPr>
            </w:pPr>
            <w:r w:rsidRPr="000665E1">
              <w:rPr>
                <w:rFonts w:eastAsiaTheme="minorEastAsia"/>
              </w:rPr>
              <w:t xml:space="preserve">3 </w:t>
            </w:r>
          </w:p>
        </w:tc>
        <w:tc>
          <w:tcPr>
            <w:tcW w:w="3164" w:type="dxa"/>
          </w:tcPr>
          <w:p w14:paraId="291AEC2E" w14:textId="5DF39CBF" w:rsidR="000665E1" w:rsidRPr="000665E1" w:rsidRDefault="000665E1" w:rsidP="00384EEC">
            <w:pPr>
              <w:rPr>
                <w:rFonts w:eastAsiaTheme="minorEastAsia"/>
              </w:rPr>
            </w:pPr>
            <w:r w:rsidRPr="000665E1">
              <w:rPr>
                <w:rFonts w:eastAsiaTheme="minorEastAsia"/>
              </w:rPr>
              <w:t>Paresthesia</w:t>
            </w:r>
            <w:r w:rsidR="003753AD">
              <w:rPr>
                <w:rFonts w:eastAsiaTheme="minorEastAsia"/>
              </w:rPr>
              <w:t>/Sensory disturbance</w:t>
            </w:r>
            <w:r w:rsidR="003753AD">
              <w:rPr>
                <w:rFonts w:eastAsiaTheme="minorEastAsia"/>
                <w:vertAlign w:val="superscript"/>
              </w:rPr>
              <w:t>b</w:t>
            </w:r>
            <w:r w:rsidRPr="000665E1">
              <w:rPr>
                <w:rFonts w:eastAsiaTheme="minorEastAsia"/>
                <w:vertAlign w:val="superscript"/>
              </w:rPr>
              <w:t xml:space="preserve"> </w:t>
            </w:r>
            <w:r w:rsidR="003753AD">
              <w:rPr>
                <w:rFonts w:eastAsiaTheme="minorEastAsia"/>
              </w:rPr>
              <w:t>w</w:t>
            </w:r>
            <w:r w:rsidRPr="000665E1">
              <w:rPr>
                <w:rFonts w:eastAsiaTheme="minorEastAsia"/>
              </w:rPr>
              <w:t xml:space="preserve">ith </w:t>
            </w:r>
            <w:r w:rsidR="003753AD">
              <w:rPr>
                <w:rFonts w:eastAsiaTheme="minorEastAsia"/>
              </w:rPr>
              <w:t>p</w:t>
            </w:r>
            <w:r w:rsidRPr="000665E1">
              <w:rPr>
                <w:rFonts w:eastAsiaTheme="minorEastAsia"/>
              </w:rPr>
              <w:t>ain and functional impairment, while</w:t>
            </w:r>
            <w:r w:rsidR="003753AD">
              <w:rPr>
                <w:rFonts w:eastAsiaTheme="minorEastAsia"/>
              </w:rPr>
              <w:t xml:space="preserve"> affecting daily activities </w:t>
            </w:r>
            <w:r w:rsidRPr="000665E1">
              <w:rPr>
                <w:rFonts w:eastAsiaTheme="minorEastAsia"/>
              </w:rPr>
              <w:t xml:space="preserve"> </w:t>
            </w:r>
            <w:r w:rsidR="003753AD">
              <w:rPr>
                <w:rFonts w:eastAsiaTheme="minorEastAsia"/>
              </w:rPr>
              <w:t>ADL</w:t>
            </w:r>
            <w:r w:rsidRPr="000665E1">
              <w:rPr>
                <w:rFonts w:eastAsiaTheme="minorEastAsia"/>
              </w:rPr>
              <w:t xml:space="preserve">) </w:t>
            </w:r>
          </w:p>
        </w:tc>
        <w:tc>
          <w:tcPr>
            <w:tcW w:w="1552" w:type="dxa"/>
          </w:tcPr>
          <w:p w14:paraId="08E35EFB" w14:textId="77777777" w:rsidR="000665E1" w:rsidRPr="000665E1" w:rsidRDefault="000665E1" w:rsidP="000665E1">
            <w:pPr>
              <w:rPr>
                <w:rFonts w:eastAsiaTheme="minorEastAsia"/>
              </w:rPr>
            </w:pPr>
            <w:r w:rsidRPr="000665E1">
              <w:rPr>
                <w:rFonts w:eastAsiaTheme="minorEastAsia"/>
              </w:rPr>
              <w:t xml:space="preserve">Maintain original dose </w:t>
            </w:r>
          </w:p>
        </w:tc>
        <w:tc>
          <w:tcPr>
            <w:tcW w:w="1459" w:type="dxa"/>
          </w:tcPr>
          <w:p w14:paraId="6CE4A6D0" w14:textId="7B938215" w:rsidR="000665E1" w:rsidRPr="000665E1" w:rsidRDefault="003753AD" w:rsidP="000665E1">
            <w:pPr>
              <w:rPr>
                <w:rFonts w:eastAsiaTheme="minorEastAsia"/>
              </w:rPr>
            </w:pPr>
            <w:r w:rsidRPr="003753AD">
              <w:rPr>
                <w:rFonts w:eastAsiaTheme="minorEastAsia"/>
              </w:rPr>
              <w:t>Reduce to 100 mg/m</w:t>
            </w:r>
            <w:r w:rsidRPr="00384EEC">
              <w:rPr>
                <w:rFonts w:eastAsiaTheme="minorEastAsia"/>
                <w:vertAlign w:val="superscript"/>
              </w:rPr>
              <w:t>2</w:t>
            </w:r>
          </w:p>
        </w:tc>
        <w:tc>
          <w:tcPr>
            <w:tcW w:w="1459" w:type="dxa"/>
          </w:tcPr>
          <w:p w14:paraId="1AE07DBD" w14:textId="77777777" w:rsidR="000665E1" w:rsidRPr="000665E1" w:rsidRDefault="000665E1" w:rsidP="000665E1">
            <w:pPr>
              <w:rPr>
                <w:rFonts w:eastAsiaTheme="minorEastAsia"/>
              </w:rPr>
            </w:pPr>
            <w:r w:rsidRPr="000665E1">
              <w:rPr>
                <w:rFonts w:eastAsiaTheme="minorEastAsia"/>
              </w:rPr>
              <w:t xml:space="preserve">Permanently discontinue treatment </w:t>
            </w:r>
          </w:p>
        </w:tc>
      </w:tr>
      <w:tr w:rsidR="000665E1" w:rsidRPr="000665E1" w14:paraId="7F80CE7E" w14:textId="77777777" w:rsidTr="00384EEC">
        <w:trPr>
          <w:trHeight w:val="624"/>
          <w:jc w:val="center"/>
        </w:trPr>
        <w:tc>
          <w:tcPr>
            <w:tcW w:w="888" w:type="dxa"/>
          </w:tcPr>
          <w:p w14:paraId="2BC9C7F9" w14:textId="77777777" w:rsidR="000665E1" w:rsidRPr="000665E1" w:rsidRDefault="000665E1" w:rsidP="000665E1">
            <w:pPr>
              <w:rPr>
                <w:rFonts w:eastAsiaTheme="minorEastAsia"/>
              </w:rPr>
            </w:pPr>
            <w:r w:rsidRPr="000665E1">
              <w:rPr>
                <w:rFonts w:eastAsiaTheme="minorEastAsia"/>
              </w:rPr>
              <w:t xml:space="preserve">4 </w:t>
            </w:r>
          </w:p>
        </w:tc>
        <w:tc>
          <w:tcPr>
            <w:tcW w:w="3164" w:type="dxa"/>
          </w:tcPr>
          <w:p w14:paraId="3C622A45" w14:textId="0956CAC1" w:rsidR="000665E1" w:rsidRPr="000665E1" w:rsidRDefault="000665E1" w:rsidP="00384EEC">
            <w:pPr>
              <w:rPr>
                <w:rFonts w:eastAsiaTheme="minorEastAsia"/>
              </w:rPr>
            </w:pPr>
            <w:r w:rsidRPr="000665E1">
              <w:rPr>
                <w:rFonts w:eastAsiaTheme="minorEastAsia"/>
              </w:rPr>
              <w:t>Persistent paresthesia</w:t>
            </w:r>
            <w:r w:rsidR="003753AD">
              <w:rPr>
                <w:rFonts w:eastAsiaTheme="minorEastAsia"/>
              </w:rPr>
              <w:t>/</w:t>
            </w:r>
            <w:r w:rsidRPr="000665E1">
              <w:rPr>
                <w:rFonts w:eastAsiaTheme="minorEastAsia"/>
              </w:rPr>
              <w:t xml:space="preserve"> Sensory disturbance </w:t>
            </w:r>
            <w:r w:rsidR="003753AD">
              <w:rPr>
                <w:rFonts w:eastAsiaTheme="minorEastAsia"/>
              </w:rPr>
              <w:t>r</w:t>
            </w:r>
            <w:r w:rsidRPr="000665E1">
              <w:rPr>
                <w:rFonts w:eastAsiaTheme="minorEastAsia"/>
              </w:rPr>
              <w:t xml:space="preserve">esults in loss of </w:t>
            </w:r>
            <w:r w:rsidRPr="000665E1">
              <w:rPr>
                <w:rFonts w:eastAsiaTheme="minorEastAsia"/>
              </w:rPr>
              <w:lastRenderedPageBreak/>
              <w:t xml:space="preserve">function or life-threatening </w:t>
            </w:r>
          </w:p>
        </w:tc>
        <w:tc>
          <w:tcPr>
            <w:tcW w:w="1552" w:type="dxa"/>
          </w:tcPr>
          <w:p w14:paraId="1CCDF493" w14:textId="570D3DEC" w:rsidR="000665E1" w:rsidRPr="000665E1" w:rsidRDefault="003753AD" w:rsidP="000665E1">
            <w:pPr>
              <w:rPr>
                <w:rFonts w:eastAsiaTheme="minorEastAsia"/>
              </w:rPr>
            </w:pPr>
            <w:r w:rsidRPr="003753AD">
              <w:rPr>
                <w:rFonts w:eastAsiaTheme="minorEastAsia"/>
              </w:rPr>
              <w:lastRenderedPageBreak/>
              <w:t xml:space="preserve">Permanently discontinue </w:t>
            </w:r>
            <w:r w:rsidRPr="003753AD">
              <w:rPr>
                <w:rFonts w:eastAsiaTheme="minorEastAsia"/>
              </w:rPr>
              <w:lastRenderedPageBreak/>
              <w:t>treatment</w:t>
            </w:r>
            <w:r w:rsidR="000665E1" w:rsidRPr="000665E1">
              <w:rPr>
                <w:rFonts w:eastAsiaTheme="minorEastAsia"/>
              </w:rPr>
              <w:t xml:space="preserve"> </w:t>
            </w:r>
          </w:p>
        </w:tc>
        <w:tc>
          <w:tcPr>
            <w:tcW w:w="1459" w:type="dxa"/>
          </w:tcPr>
          <w:p w14:paraId="58544BF9" w14:textId="31A2A91F" w:rsidR="000665E1" w:rsidRPr="000665E1" w:rsidRDefault="003753AD" w:rsidP="000665E1">
            <w:pPr>
              <w:rPr>
                <w:rFonts w:eastAsiaTheme="minorEastAsia"/>
              </w:rPr>
            </w:pPr>
            <w:r w:rsidRPr="003753AD">
              <w:rPr>
                <w:rFonts w:eastAsiaTheme="minorEastAsia"/>
              </w:rPr>
              <w:lastRenderedPageBreak/>
              <w:t xml:space="preserve">Permanently discontinue </w:t>
            </w:r>
            <w:r w:rsidRPr="003753AD">
              <w:rPr>
                <w:rFonts w:eastAsiaTheme="minorEastAsia"/>
              </w:rPr>
              <w:lastRenderedPageBreak/>
              <w:t>treatment</w:t>
            </w:r>
          </w:p>
        </w:tc>
        <w:tc>
          <w:tcPr>
            <w:tcW w:w="1459" w:type="dxa"/>
          </w:tcPr>
          <w:p w14:paraId="7C4BB58D" w14:textId="72F91BA5" w:rsidR="000665E1" w:rsidRPr="000665E1" w:rsidRDefault="003753AD" w:rsidP="000665E1">
            <w:pPr>
              <w:rPr>
                <w:rFonts w:eastAsiaTheme="minorEastAsia"/>
              </w:rPr>
            </w:pPr>
            <w:r w:rsidRPr="003753AD">
              <w:rPr>
                <w:rFonts w:eastAsiaTheme="minorEastAsia"/>
              </w:rPr>
              <w:lastRenderedPageBreak/>
              <w:t xml:space="preserve">Permanently discontinue </w:t>
            </w:r>
            <w:r w:rsidRPr="003753AD">
              <w:rPr>
                <w:rFonts w:eastAsiaTheme="minorEastAsia"/>
              </w:rPr>
              <w:lastRenderedPageBreak/>
              <w:t>treatment</w:t>
            </w:r>
            <w:r w:rsidR="000665E1" w:rsidRPr="000665E1">
              <w:rPr>
                <w:rFonts w:eastAsiaTheme="minorEastAsia"/>
              </w:rPr>
              <w:t xml:space="preserve"> </w:t>
            </w:r>
          </w:p>
        </w:tc>
      </w:tr>
      <w:tr w:rsidR="000665E1" w:rsidRPr="000665E1" w14:paraId="573D220D" w14:textId="77777777" w:rsidTr="00B766AF">
        <w:trPr>
          <w:trHeight w:val="344"/>
          <w:jc w:val="center"/>
        </w:trPr>
        <w:tc>
          <w:tcPr>
            <w:tcW w:w="888" w:type="dxa"/>
          </w:tcPr>
          <w:p w14:paraId="0B7EA3C0" w14:textId="77777777" w:rsidR="000665E1" w:rsidRPr="000665E1" w:rsidRDefault="000665E1" w:rsidP="000665E1">
            <w:pPr>
              <w:rPr>
                <w:rFonts w:eastAsiaTheme="minorEastAsia"/>
              </w:rPr>
            </w:pPr>
            <w:r w:rsidRPr="000665E1">
              <w:rPr>
                <w:rFonts w:eastAsiaTheme="minorEastAsia"/>
              </w:rPr>
              <w:lastRenderedPageBreak/>
              <w:t xml:space="preserve">Critical </w:t>
            </w:r>
          </w:p>
        </w:tc>
        <w:tc>
          <w:tcPr>
            <w:tcW w:w="3164" w:type="dxa"/>
          </w:tcPr>
          <w:p w14:paraId="145CA67D" w14:textId="71A010AD" w:rsidR="000665E1" w:rsidRPr="000665E1" w:rsidRDefault="00BD0273" w:rsidP="00384EEC">
            <w:pPr>
              <w:rPr>
                <w:rFonts w:eastAsiaTheme="minorEastAsia"/>
              </w:rPr>
            </w:pPr>
            <w:r>
              <w:rPr>
                <w:rFonts w:eastAsiaTheme="minorEastAsia"/>
              </w:rPr>
              <w:t>(</w:t>
            </w:r>
            <w:r w:rsidR="000665E1" w:rsidRPr="000665E1">
              <w:rPr>
                <w:rFonts w:eastAsiaTheme="minorEastAsia"/>
              </w:rPr>
              <w:t xml:space="preserve">During or </w:t>
            </w:r>
            <w:r w:rsidR="003753AD" w:rsidRPr="000665E1">
              <w:rPr>
                <w:rFonts w:eastAsiaTheme="minorEastAsia"/>
              </w:rPr>
              <w:t>2</w:t>
            </w:r>
            <w:r w:rsidR="003753AD">
              <w:rPr>
                <w:rFonts w:eastAsiaTheme="minorEastAsia"/>
              </w:rPr>
              <w:t xml:space="preserve"> </w:t>
            </w:r>
            <w:r w:rsidR="003753AD" w:rsidRPr="000665E1">
              <w:rPr>
                <w:rFonts w:eastAsiaTheme="minorEastAsia"/>
              </w:rPr>
              <w:t xml:space="preserve">hours </w:t>
            </w:r>
            <w:r w:rsidR="003753AD">
              <w:rPr>
                <w:rFonts w:eastAsiaTheme="minorEastAsia"/>
              </w:rPr>
              <w:t>after infusion</w:t>
            </w:r>
            <w:r w:rsidR="000665E1" w:rsidRPr="000665E1">
              <w:rPr>
                <w:rFonts w:eastAsiaTheme="minorEastAsia"/>
              </w:rPr>
              <w:t xml:space="preserve">) laryngopharyngeal sensory disturbance </w:t>
            </w:r>
            <w:r w:rsidR="003753AD">
              <w:rPr>
                <w:rFonts w:eastAsiaTheme="minorEastAsia"/>
                <w:vertAlign w:val="superscript"/>
              </w:rPr>
              <w:t>b</w:t>
            </w:r>
            <w:r w:rsidR="000665E1" w:rsidRPr="000665E1">
              <w:rPr>
                <w:rFonts w:eastAsiaTheme="minorEastAsia"/>
                <w:vertAlign w:val="superscript"/>
              </w:rPr>
              <w:t xml:space="preserve"> </w:t>
            </w:r>
          </w:p>
        </w:tc>
        <w:tc>
          <w:tcPr>
            <w:tcW w:w="1552" w:type="dxa"/>
          </w:tcPr>
          <w:p w14:paraId="5E39F6A0" w14:textId="784E92F7" w:rsidR="000665E1" w:rsidRPr="000665E1" w:rsidRDefault="000665E1" w:rsidP="000665E1">
            <w:pPr>
              <w:rPr>
                <w:rFonts w:eastAsiaTheme="minorEastAsia"/>
              </w:rPr>
            </w:pPr>
            <w:r w:rsidRPr="000665E1">
              <w:rPr>
                <w:rFonts w:eastAsiaTheme="minorEastAsia"/>
              </w:rPr>
              <w:t xml:space="preserve">Extend next infusion time to 6 </w:t>
            </w:r>
            <w:r w:rsidR="003753AD">
              <w:rPr>
                <w:rFonts w:eastAsiaTheme="minorEastAsia"/>
              </w:rPr>
              <w:t>Hours</w:t>
            </w:r>
            <w:r w:rsidR="003753AD">
              <w:rPr>
                <w:rFonts w:eastAsiaTheme="minorEastAsia"/>
                <w:vertAlign w:val="superscript"/>
              </w:rPr>
              <w:t>c</w:t>
            </w:r>
            <w:r w:rsidRPr="000665E1">
              <w:rPr>
                <w:rFonts w:eastAsiaTheme="minorEastAsia"/>
                <w:vertAlign w:val="superscript"/>
              </w:rPr>
              <w:t xml:space="preserve"> </w:t>
            </w:r>
          </w:p>
        </w:tc>
        <w:tc>
          <w:tcPr>
            <w:tcW w:w="1459" w:type="dxa"/>
          </w:tcPr>
          <w:p w14:paraId="70B7425F" w14:textId="77777777" w:rsidR="000665E1" w:rsidRPr="000665E1" w:rsidRDefault="000665E1" w:rsidP="000665E1">
            <w:pPr>
              <w:rPr>
                <w:rFonts w:eastAsiaTheme="minorEastAsia"/>
              </w:rPr>
            </w:pPr>
          </w:p>
          <w:p w14:paraId="417A2615" w14:textId="77777777" w:rsidR="000665E1" w:rsidRPr="000665E1" w:rsidRDefault="000665E1" w:rsidP="000665E1">
            <w:pPr>
              <w:rPr>
                <w:rFonts w:eastAsiaTheme="minorEastAsia"/>
              </w:rPr>
            </w:pPr>
            <w:r w:rsidRPr="000665E1">
              <w:rPr>
                <w:rFonts w:eastAsiaTheme="minorEastAsia"/>
              </w:rPr>
              <w:t xml:space="preserve">N/A </w:t>
            </w:r>
          </w:p>
        </w:tc>
        <w:tc>
          <w:tcPr>
            <w:tcW w:w="1459" w:type="dxa"/>
          </w:tcPr>
          <w:p w14:paraId="0613B8F1" w14:textId="77777777" w:rsidR="000665E1" w:rsidRPr="000665E1" w:rsidRDefault="000665E1" w:rsidP="000665E1">
            <w:pPr>
              <w:rPr>
                <w:rFonts w:eastAsiaTheme="minorEastAsia"/>
              </w:rPr>
            </w:pPr>
          </w:p>
          <w:p w14:paraId="3DAAA9B4" w14:textId="77777777" w:rsidR="000665E1" w:rsidRPr="000665E1" w:rsidRDefault="000665E1" w:rsidP="000665E1">
            <w:pPr>
              <w:rPr>
                <w:rFonts w:eastAsiaTheme="minorEastAsia"/>
              </w:rPr>
            </w:pPr>
            <w:r w:rsidRPr="000665E1">
              <w:rPr>
                <w:rFonts w:eastAsiaTheme="minorEastAsia"/>
              </w:rPr>
              <w:t xml:space="preserve">N/A </w:t>
            </w:r>
          </w:p>
        </w:tc>
      </w:tr>
    </w:tbl>
    <w:p w14:paraId="441E6F94" w14:textId="3B18CC36" w:rsidR="003753AD" w:rsidRPr="000665E1" w:rsidRDefault="00565C90" w:rsidP="000665E1">
      <w:pPr>
        <w:rPr>
          <w:rFonts w:eastAsiaTheme="minorEastAsia"/>
        </w:rPr>
      </w:pPr>
      <w:r>
        <w:rPr>
          <w:rFonts w:eastAsiaTheme="minorEastAsia"/>
        </w:rPr>
        <w:t>a:</w:t>
      </w:r>
      <w:r w:rsidR="000665E1" w:rsidRPr="000665E1">
        <w:rPr>
          <w:rFonts w:eastAsiaTheme="minorEastAsia"/>
        </w:rPr>
        <w:t xml:space="preserve"> Unresolved at the start of the next cycle of chemotherapy. </w:t>
      </w:r>
    </w:p>
    <w:p w14:paraId="72F51F31" w14:textId="356B328E" w:rsidR="003753AD" w:rsidRPr="003753AD" w:rsidRDefault="003753AD" w:rsidP="003753AD">
      <w:pPr>
        <w:rPr>
          <w:rFonts w:eastAsiaTheme="minorEastAsia"/>
        </w:rPr>
      </w:pPr>
      <w:r>
        <w:rPr>
          <w:rFonts w:eastAsiaTheme="minorEastAsia"/>
        </w:rPr>
        <w:t>b:</w:t>
      </w:r>
      <w:r w:rsidRPr="003753AD">
        <w:rPr>
          <w:rFonts w:eastAsiaTheme="minorEastAsia"/>
        </w:rPr>
        <w:t xml:space="preserve"> May be due to chilling. </w:t>
      </w:r>
    </w:p>
    <w:p w14:paraId="3822D983" w14:textId="77777777" w:rsidR="00B766AF" w:rsidRDefault="003753AD" w:rsidP="00B766AF">
      <w:pPr>
        <w:rPr>
          <w:rFonts w:eastAsiaTheme="minorEastAsia"/>
        </w:rPr>
      </w:pPr>
      <w:r>
        <w:rPr>
          <w:rFonts w:eastAsiaTheme="minorEastAsia"/>
        </w:rPr>
        <w:t>c:</w:t>
      </w:r>
      <w:r w:rsidRPr="003753AD">
        <w:rPr>
          <w:rFonts w:eastAsiaTheme="minorEastAsia"/>
        </w:rPr>
        <w:t xml:space="preserve"> Benzodiazepines may also b</w:t>
      </w:r>
      <w:r w:rsidR="00A94F9F">
        <w:rPr>
          <w:rFonts w:eastAsiaTheme="minorEastAsia"/>
        </w:rPr>
        <w:t>e administered prophylactically</w:t>
      </w:r>
    </w:p>
    <w:p w14:paraId="1330FB53" w14:textId="6993263C" w:rsidR="000665E1" w:rsidRPr="000665E1" w:rsidRDefault="000665E1" w:rsidP="00B766AF">
      <w:pPr>
        <w:jc w:val="center"/>
        <w:rPr>
          <w:rFonts w:eastAsiaTheme="minorEastAsia"/>
        </w:rPr>
      </w:pPr>
      <w:r w:rsidRPr="000665E1">
        <w:rPr>
          <w:rFonts w:eastAsiaTheme="minorEastAsia"/>
        </w:rPr>
        <w:t xml:space="preserve">Table 5.2.2-7: Dose </w:t>
      </w:r>
      <w:r w:rsidR="00A94F9F">
        <w:rPr>
          <w:rFonts w:eastAsiaTheme="minorEastAsia"/>
        </w:rPr>
        <w:t>m</w:t>
      </w:r>
      <w:r w:rsidRPr="000665E1">
        <w:rPr>
          <w:rFonts w:eastAsiaTheme="minorEastAsia"/>
        </w:rPr>
        <w:t>odifications for CapeO</w:t>
      </w:r>
      <w:r w:rsidR="00B766AF">
        <w:rPr>
          <w:rFonts w:eastAsiaTheme="minorEastAsia"/>
        </w:rPr>
        <w:t>X</w:t>
      </w:r>
      <w:r w:rsidRPr="000665E1">
        <w:rPr>
          <w:rFonts w:eastAsiaTheme="minorEastAsia"/>
        </w:rPr>
        <w:t xml:space="preserve"> </w:t>
      </w:r>
      <w:r w:rsidR="00A94F9F">
        <w:rPr>
          <w:rFonts w:eastAsiaTheme="minorEastAsia"/>
        </w:rPr>
        <w:t>t</w:t>
      </w:r>
      <w:r w:rsidRPr="000665E1">
        <w:rPr>
          <w:rFonts w:eastAsiaTheme="minorEastAsia"/>
        </w:rPr>
        <w:t xml:space="preserve">oxicity – </w:t>
      </w:r>
      <w:r w:rsidR="00A94F9F">
        <w:rPr>
          <w:rFonts w:eastAsiaTheme="minorEastAsia"/>
        </w:rPr>
        <w:t>n</w:t>
      </w:r>
      <w:r w:rsidRPr="000665E1">
        <w:rPr>
          <w:rFonts w:eastAsiaTheme="minorEastAsia"/>
        </w:rPr>
        <w:t>eutropenia</w:t>
      </w:r>
    </w:p>
    <w:tbl>
      <w:tblPr>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91"/>
        <w:gridCol w:w="1595"/>
        <w:gridCol w:w="3092"/>
        <w:gridCol w:w="2344"/>
      </w:tblGrid>
      <w:tr w:rsidR="000665E1" w:rsidRPr="00F235A5" w14:paraId="1C7B7F2D" w14:textId="77777777" w:rsidTr="00F41D12">
        <w:trPr>
          <w:trHeight w:val="900"/>
        </w:trPr>
        <w:tc>
          <w:tcPr>
            <w:tcW w:w="1491" w:type="dxa"/>
          </w:tcPr>
          <w:p w14:paraId="59264870" w14:textId="25B1F255" w:rsidR="000665E1" w:rsidRPr="00F235A5" w:rsidRDefault="000665E1" w:rsidP="000665E1">
            <w:pPr>
              <w:rPr>
                <w:rFonts w:eastAsiaTheme="minorEastAsia"/>
                <w:sz w:val="22"/>
              </w:rPr>
            </w:pPr>
            <w:r w:rsidRPr="00F235A5">
              <w:rPr>
                <w:rFonts w:eastAsiaTheme="minorEastAsia"/>
                <w:sz w:val="22"/>
              </w:rPr>
              <w:t>A</w:t>
            </w:r>
            <w:r w:rsidR="004772EF" w:rsidRPr="00F235A5">
              <w:rPr>
                <w:rFonts w:eastAsiaTheme="minorEastAsia"/>
                <w:sz w:val="22"/>
              </w:rPr>
              <w:t xml:space="preserve">dverse reactions </w:t>
            </w:r>
          </w:p>
        </w:tc>
        <w:tc>
          <w:tcPr>
            <w:tcW w:w="1595" w:type="dxa"/>
          </w:tcPr>
          <w:p w14:paraId="2CB5CDC0" w14:textId="1EA1733C" w:rsidR="000665E1" w:rsidRPr="00F235A5" w:rsidRDefault="000665E1" w:rsidP="000665E1">
            <w:pPr>
              <w:rPr>
                <w:rFonts w:eastAsiaTheme="minorEastAsia"/>
                <w:sz w:val="22"/>
              </w:rPr>
            </w:pPr>
            <w:r w:rsidRPr="00F235A5">
              <w:rPr>
                <w:rFonts w:eastAsiaTheme="minorEastAsia"/>
                <w:sz w:val="22"/>
              </w:rPr>
              <w:t xml:space="preserve">Grade </w:t>
            </w:r>
            <w:r w:rsidR="004772EF" w:rsidRPr="00F235A5">
              <w:rPr>
                <w:rFonts w:eastAsiaTheme="minorEastAsia"/>
                <w:sz w:val="22"/>
              </w:rPr>
              <w:t>2</w:t>
            </w:r>
          </w:p>
          <w:p w14:paraId="55A30927" w14:textId="77777777" w:rsidR="000665E1" w:rsidRPr="00F235A5" w:rsidRDefault="000665E1" w:rsidP="000665E1">
            <w:pPr>
              <w:rPr>
                <w:rFonts w:eastAsiaTheme="minorEastAsia"/>
                <w:sz w:val="22"/>
              </w:rPr>
            </w:pPr>
            <w:r w:rsidRPr="00F235A5">
              <w:rPr>
                <w:rFonts w:eastAsiaTheme="minorEastAsia"/>
                <w:sz w:val="22"/>
              </w:rPr>
              <w:t xml:space="preserve">1.0 ≤ ANC &lt; </w:t>
            </w:r>
          </w:p>
          <w:p w14:paraId="6AA3052B" w14:textId="37369208" w:rsidR="000665E1" w:rsidRPr="00F235A5" w:rsidRDefault="000665E1" w:rsidP="000665E1">
            <w:pPr>
              <w:rPr>
                <w:rFonts w:eastAsiaTheme="minorEastAsia"/>
                <w:sz w:val="22"/>
              </w:rPr>
            </w:pPr>
            <w:r w:rsidRPr="00F235A5">
              <w:rPr>
                <w:rFonts w:eastAsiaTheme="minorEastAsia"/>
                <w:sz w:val="22"/>
              </w:rPr>
              <w:t>1.5 x 10</w:t>
            </w:r>
            <w:r w:rsidRPr="00F235A5">
              <w:rPr>
                <w:rFonts w:eastAsiaTheme="minorEastAsia"/>
                <w:sz w:val="22"/>
                <w:vertAlign w:val="superscript"/>
              </w:rPr>
              <w:t>9</w:t>
            </w:r>
            <w:r w:rsidRPr="00F235A5">
              <w:rPr>
                <w:rFonts w:eastAsiaTheme="minorEastAsia"/>
                <w:sz w:val="22"/>
              </w:rPr>
              <w:t xml:space="preserve"> /L </w:t>
            </w:r>
          </w:p>
        </w:tc>
        <w:tc>
          <w:tcPr>
            <w:tcW w:w="3092" w:type="dxa"/>
          </w:tcPr>
          <w:p w14:paraId="0B0A20F6" w14:textId="239710D5" w:rsidR="000665E1" w:rsidRPr="00F235A5" w:rsidRDefault="000665E1" w:rsidP="000665E1">
            <w:pPr>
              <w:rPr>
                <w:rFonts w:eastAsiaTheme="minorEastAsia"/>
                <w:sz w:val="22"/>
              </w:rPr>
            </w:pPr>
            <w:r w:rsidRPr="00F235A5">
              <w:rPr>
                <w:rFonts w:eastAsiaTheme="minorEastAsia"/>
                <w:sz w:val="22"/>
              </w:rPr>
              <w:t xml:space="preserve">Grade </w:t>
            </w:r>
            <w:r w:rsidR="004772EF" w:rsidRPr="00F235A5">
              <w:rPr>
                <w:rFonts w:eastAsiaTheme="minorEastAsia"/>
                <w:sz w:val="22"/>
              </w:rPr>
              <w:t>3</w:t>
            </w:r>
          </w:p>
          <w:p w14:paraId="1E9F24C8" w14:textId="131FBAF1" w:rsidR="000665E1" w:rsidRPr="00F235A5" w:rsidRDefault="000665E1" w:rsidP="000665E1">
            <w:pPr>
              <w:rPr>
                <w:rFonts w:eastAsiaTheme="minorEastAsia"/>
                <w:sz w:val="22"/>
              </w:rPr>
            </w:pPr>
            <w:r w:rsidRPr="00F235A5">
              <w:rPr>
                <w:rFonts w:eastAsiaTheme="minorEastAsia"/>
                <w:sz w:val="22"/>
              </w:rPr>
              <w:t xml:space="preserve">0.5 ≤ ANC &lt; </w:t>
            </w:r>
            <w:r w:rsidR="004772EF" w:rsidRPr="00F235A5">
              <w:rPr>
                <w:rFonts w:eastAsiaTheme="minorEastAsia"/>
                <w:sz w:val="22"/>
              </w:rPr>
              <w:t>1.0 x 10</w:t>
            </w:r>
            <w:r w:rsidRPr="00F235A5">
              <w:rPr>
                <w:rFonts w:eastAsiaTheme="minorEastAsia"/>
                <w:sz w:val="22"/>
                <w:vertAlign w:val="superscript"/>
              </w:rPr>
              <w:t xml:space="preserve">9 </w:t>
            </w:r>
            <w:r w:rsidRPr="00F235A5">
              <w:rPr>
                <w:rFonts w:eastAsiaTheme="minorEastAsia"/>
                <w:sz w:val="22"/>
              </w:rPr>
              <w:t xml:space="preserve">/L </w:t>
            </w:r>
          </w:p>
        </w:tc>
        <w:tc>
          <w:tcPr>
            <w:tcW w:w="2344" w:type="dxa"/>
          </w:tcPr>
          <w:p w14:paraId="5A52D4F6" w14:textId="10FCE03E" w:rsidR="000665E1" w:rsidRPr="00F235A5" w:rsidRDefault="000665E1" w:rsidP="000665E1">
            <w:pPr>
              <w:rPr>
                <w:rFonts w:eastAsiaTheme="minorEastAsia"/>
                <w:sz w:val="22"/>
              </w:rPr>
            </w:pPr>
            <w:r w:rsidRPr="00F235A5">
              <w:rPr>
                <w:rFonts w:eastAsiaTheme="minorEastAsia"/>
                <w:sz w:val="22"/>
              </w:rPr>
              <w:t xml:space="preserve">Grade </w:t>
            </w:r>
            <w:r w:rsidR="004772EF" w:rsidRPr="00F235A5">
              <w:rPr>
                <w:rFonts w:eastAsiaTheme="minorEastAsia"/>
                <w:sz w:val="22"/>
              </w:rPr>
              <w:t>4</w:t>
            </w:r>
          </w:p>
          <w:p w14:paraId="36C0C612" w14:textId="77777777" w:rsidR="000665E1" w:rsidRPr="00F235A5" w:rsidRDefault="000665E1" w:rsidP="000665E1">
            <w:pPr>
              <w:rPr>
                <w:rFonts w:eastAsiaTheme="minorEastAsia"/>
                <w:sz w:val="22"/>
              </w:rPr>
            </w:pPr>
            <w:r w:rsidRPr="00F235A5">
              <w:rPr>
                <w:rFonts w:eastAsiaTheme="minorEastAsia"/>
                <w:sz w:val="22"/>
              </w:rPr>
              <w:t xml:space="preserve">ANC &lt; 0.5 x 10 </w:t>
            </w:r>
            <w:r w:rsidRPr="00F235A5">
              <w:rPr>
                <w:rFonts w:eastAsiaTheme="minorEastAsia"/>
                <w:sz w:val="22"/>
                <w:vertAlign w:val="superscript"/>
              </w:rPr>
              <w:t xml:space="preserve">9 </w:t>
            </w:r>
            <w:r w:rsidRPr="00F235A5">
              <w:rPr>
                <w:rFonts w:eastAsiaTheme="minorEastAsia"/>
                <w:sz w:val="22"/>
              </w:rPr>
              <w:t xml:space="preserve">/L </w:t>
            </w:r>
          </w:p>
        </w:tc>
      </w:tr>
      <w:tr w:rsidR="000665E1" w:rsidRPr="00F235A5" w14:paraId="48406171" w14:textId="77777777" w:rsidTr="00F41D12">
        <w:trPr>
          <w:trHeight w:val="935"/>
        </w:trPr>
        <w:tc>
          <w:tcPr>
            <w:tcW w:w="1491" w:type="dxa"/>
          </w:tcPr>
          <w:p w14:paraId="48CAA4A2" w14:textId="77777777" w:rsidR="000665E1" w:rsidRPr="00F235A5" w:rsidRDefault="000665E1" w:rsidP="000665E1">
            <w:pPr>
              <w:rPr>
                <w:rFonts w:eastAsiaTheme="minorEastAsia"/>
                <w:sz w:val="22"/>
              </w:rPr>
            </w:pPr>
            <w:r w:rsidRPr="00F235A5">
              <w:rPr>
                <w:rFonts w:eastAsiaTheme="minorEastAsia"/>
                <w:sz w:val="22"/>
              </w:rPr>
              <w:t xml:space="preserve">First occurrence </w:t>
            </w:r>
          </w:p>
        </w:tc>
        <w:tc>
          <w:tcPr>
            <w:tcW w:w="1595" w:type="dxa"/>
          </w:tcPr>
          <w:p w14:paraId="211AB90A" w14:textId="77777777" w:rsidR="000665E1" w:rsidRPr="00F235A5" w:rsidRDefault="000665E1" w:rsidP="000665E1">
            <w:pPr>
              <w:rPr>
                <w:rFonts w:eastAsiaTheme="minorEastAsia"/>
                <w:sz w:val="22"/>
              </w:rPr>
            </w:pPr>
            <w:r w:rsidRPr="00F235A5">
              <w:rPr>
                <w:rFonts w:eastAsiaTheme="minorEastAsia"/>
                <w:sz w:val="22"/>
              </w:rPr>
              <w:t xml:space="preserve">No dose adjustment necessary </w:t>
            </w:r>
          </w:p>
        </w:tc>
        <w:tc>
          <w:tcPr>
            <w:tcW w:w="3092" w:type="dxa"/>
          </w:tcPr>
          <w:p w14:paraId="19397479" w14:textId="56D10806" w:rsidR="000665E1" w:rsidRPr="00F235A5" w:rsidRDefault="00883F43" w:rsidP="000665E1">
            <w:pPr>
              <w:rPr>
                <w:rFonts w:eastAsiaTheme="minorEastAsia"/>
                <w:sz w:val="22"/>
              </w:rPr>
            </w:pPr>
            <w:r w:rsidRPr="00F235A5">
              <w:rPr>
                <w:rFonts w:eastAsiaTheme="minorEastAsia"/>
                <w:sz w:val="22"/>
              </w:rPr>
              <w:t xml:space="preserve">Reduce </w:t>
            </w:r>
            <w:r w:rsidR="00F235A5">
              <w:rPr>
                <w:rFonts w:eastAsiaTheme="minorEastAsia"/>
                <w:sz w:val="22"/>
              </w:rPr>
              <w:t>c</w:t>
            </w:r>
            <w:r w:rsidR="000665E1" w:rsidRPr="00F235A5">
              <w:rPr>
                <w:rFonts w:eastAsiaTheme="minorEastAsia"/>
                <w:sz w:val="22"/>
              </w:rPr>
              <w:t xml:space="preserve">apecitabine by 1 dose level </w:t>
            </w:r>
          </w:p>
          <w:p w14:paraId="4C361681" w14:textId="00686848" w:rsidR="000665E1" w:rsidRPr="00F235A5" w:rsidRDefault="000665E1" w:rsidP="000665E1">
            <w:pPr>
              <w:rPr>
                <w:rFonts w:eastAsiaTheme="minorEastAsia"/>
                <w:sz w:val="22"/>
              </w:rPr>
            </w:pPr>
            <w:r w:rsidRPr="00F235A5">
              <w:rPr>
                <w:rFonts w:eastAsiaTheme="minorEastAsia"/>
                <w:sz w:val="22"/>
              </w:rPr>
              <w:t xml:space="preserve">Oxaliplatin </w:t>
            </w:r>
            <w:r w:rsidR="00883F43" w:rsidRPr="00F235A5">
              <w:rPr>
                <w:rFonts w:eastAsiaTheme="minorEastAsia"/>
                <w:sz w:val="22"/>
              </w:rPr>
              <w:t>100 mg/m</w:t>
            </w:r>
            <w:r w:rsidRPr="00F235A5">
              <w:rPr>
                <w:rFonts w:eastAsiaTheme="minorEastAsia"/>
                <w:sz w:val="22"/>
                <w:vertAlign w:val="superscript"/>
              </w:rPr>
              <w:t xml:space="preserve">2 </w:t>
            </w:r>
          </w:p>
        </w:tc>
        <w:tc>
          <w:tcPr>
            <w:tcW w:w="2344" w:type="dxa"/>
          </w:tcPr>
          <w:p w14:paraId="520A36D1" w14:textId="6A822E0C" w:rsidR="000665E1" w:rsidRPr="00F235A5" w:rsidRDefault="00883F43" w:rsidP="000665E1">
            <w:pPr>
              <w:rPr>
                <w:rFonts w:eastAsiaTheme="minorEastAsia"/>
                <w:sz w:val="22"/>
              </w:rPr>
            </w:pPr>
            <w:r w:rsidRPr="00F235A5">
              <w:rPr>
                <w:rFonts w:eastAsiaTheme="minorEastAsia"/>
                <w:sz w:val="22"/>
              </w:rPr>
              <w:t xml:space="preserve">Reduce </w:t>
            </w:r>
            <w:r w:rsidR="00F235A5">
              <w:rPr>
                <w:rFonts w:eastAsiaTheme="minorEastAsia"/>
                <w:sz w:val="22"/>
              </w:rPr>
              <w:t>c</w:t>
            </w:r>
            <w:r w:rsidRPr="00F235A5">
              <w:rPr>
                <w:rFonts w:eastAsiaTheme="minorEastAsia"/>
                <w:sz w:val="22"/>
              </w:rPr>
              <w:t xml:space="preserve">apecitabine </w:t>
            </w:r>
            <w:r w:rsidR="000665E1" w:rsidRPr="00F235A5">
              <w:rPr>
                <w:rFonts w:eastAsiaTheme="minorEastAsia"/>
                <w:sz w:val="22"/>
              </w:rPr>
              <w:t xml:space="preserve">by 1 dose level </w:t>
            </w:r>
          </w:p>
          <w:p w14:paraId="6CE5D59A" w14:textId="1EE8FD4F" w:rsidR="000665E1" w:rsidRPr="00F235A5" w:rsidRDefault="000665E1" w:rsidP="000665E1">
            <w:pPr>
              <w:rPr>
                <w:rFonts w:eastAsiaTheme="minorEastAsia"/>
                <w:sz w:val="22"/>
              </w:rPr>
            </w:pPr>
            <w:r w:rsidRPr="00F235A5">
              <w:rPr>
                <w:rFonts w:eastAsiaTheme="minorEastAsia"/>
                <w:sz w:val="22"/>
              </w:rPr>
              <w:t xml:space="preserve">Oxaliplatin </w:t>
            </w:r>
            <w:r w:rsidR="00883F43" w:rsidRPr="00F235A5">
              <w:rPr>
                <w:rFonts w:eastAsiaTheme="minorEastAsia"/>
                <w:sz w:val="22"/>
              </w:rPr>
              <w:t>85 mg/m</w:t>
            </w:r>
            <w:r w:rsidRPr="00F235A5">
              <w:rPr>
                <w:rFonts w:eastAsiaTheme="minorEastAsia"/>
                <w:sz w:val="22"/>
                <w:vertAlign w:val="superscript"/>
              </w:rPr>
              <w:t xml:space="preserve">2 </w:t>
            </w:r>
          </w:p>
        </w:tc>
      </w:tr>
      <w:tr w:rsidR="000665E1" w:rsidRPr="00F235A5" w14:paraId="4F2C68A1" w14:textId="77777777" w:rsidTr="00F41D12">
        <w:trPr>
          <w:trHeight w:val="936"/>
        </w:trPr>
        <w:tc>
          <w:tcPr>
            <w:tcW w:w="1491" w:type="dxa"/>
          </w:tcPr>
          <w:p w14:paraId="68E7067D" w14:textId="77777777" w:rsidR="000665E1" w:rsidRPr="00F235A5" w:rsidRDefault="000665E1" w:rsidP="000665E1">
            <w:pPr>
              <w:rPr>
                <w:rFonts w:eastAsiaTheme="minorEastAsia"/>
                <w:sz w:val="22"/>
              </w:rPr>
            </w:pPr>
            <w:r w:rsidRPr="00F235A5">
              <w:rPr>
                <w:rFonts w:eastAsiaTheme="minorEastAsia"/>
                <w:sz w:val="22"/>
              </w:rPr>
              <w:t xml:space="preserve">Second occurrence </w:t>
            </w:r>
          </w:p>
        </w:tc>
        <w:tc>
          <w:tcPr>
            <w:tcW w:w="1595" w:type="dxa"/>
          </w:tcPr>
          <w:p w14:paraId="01F0CC78" w14:textId="77777777" w:rsidR="000665E1" w:rsidRPr="00F235A5" w:rsidRDefault="000665E1" w:rsidP="000665E1">
            <w:pPr>
              <w:rPr>
                <w:rFonts w:eastAsiaTheme="minorEastAsia"/>
                <w:sz w:val="22"/>
              </w:rPr>
            </w:pPr>
            <w:r w:rsidRPr="00F235A5">
              <w:rPr>
                <w:rFonts w:eastAsiaTheme="minorEastAsia"/>
                <w:sz w:val="22"/>
              </w:rPr>
              <w:t xml:space="preserve">No dose adjustment necessary </w:t>
            </w:r>
          </w:p>
        </w:tc>
        <w:tc>
          <w:tcPr>
            <w:tcW w:w="3092" w:type="dxa"/>
          </w:tcPr>
          <w:p w14:paraId="77085947" w14:textId="15DD71FC" w:rsidR="00883F43" w:rsidRPr="00F235A5" w:rsidRDefault="00883F43" w:rsidP="00883F43">
            <w:pPr>
              <w:rPr>
                <w:rFonts w:eastAsiaTheme="minorEastAsia"/>
                <w:sz w:val="22"/>
              </w:rPr>
            </w:pPr>
            <w:r w:rsidRPr="00F235A5">
              <w:rPr>
                <w:rFonts w:eastAsiaTheme="minorEastAsia"/>
                <w:sz w:val="22"/>
              </w:rPr>
              <w:t xml:space="preserve">Reduce </w:t>
            </w:r>
            <w:r w:rsidR="00F235A5">
              <w:rPr>
                <w:rFonts w:eastAsiaTheme="minorEastAsia"/>
                <w:sz w:val="22"/>
              </w:rPr>
              <w:t>c</w:t>
            </w:r>
            <w:r w:rsidRPr="00F235A5">
              <w:rPr>
                <w:rFonts w:eastAsiaTheme="minorEastAsia"/>
                <w:sz w:val="22"/>
              </w:rPr>
              <w:t xml:space="preserve">apecitabine by 1 dose level </w:t>
            </w:r>
          </w:p>
          <w:p w14:paraId="0498FAAF" w14:textId="7419D0FB" w:rsidR="000665E1" w:rsidRPr="00F235A5" w:rsidRDefault="000665E1" w:rsidP="000665E1">
            <w:pPr>
              <w:rPr>
                <w:rFonts w:eastAsiaTheme="minorEastAsia"/>
                <w:sz w:val="22"/>
              </w:rPr>
            </w:pPr>
            <w:r w:rsidRPr="00F235A5">
              <w:rPr>
                <w:rFonts w:eastAsiaTheme="minorEastAsia"/>
                <w:sz w:val="22"/>
              </w:rPr>
              <w:t xml:space="preserve">Oxaliplatin </w:t>
            </w:r>
            <w:r w:rsidR="00883F43" w:rsidRPr="00F235A5">
              <w:rPr>
                <w:rFonts w:eastAsiaTheme="minorEastAsia"/>
                <w:sz w:val="22"/>
              </w:rPr>
              <w:t>85 mg/m</w:t>
            </w:r>
            <w:r w:rsidRPr="00F235A5">
              <w:rPr>
                <w:rFonts w:eastAsiaTheme="minorEastAsia"/>
                <w:sz w:val="22"/>
                <w:vertAlign w:val="superscript"/>
              </w:rPr>
              <w:t xml:space="preserve">2 </w:t>
            </w:r>
          </w:p>
        </w:tc>
        <w:tc>
          <w:tcPr>
            <w:tcW w:w="2344" w:type="dxa"/>
          </w:tcPr>
          <w:p w14:paraId="7BD5ABCA" w14:textId="77777777" w:rsidR="000665E1" w:rsidRPr="00F235A5" w:rsidRDefault="000665E1" w:rsidP="000665E1">
            <w:pPr>
              <w:rPr>
                <w:rFonts w:eastAsiaTheme="minorEastAsia"/>
                <w:sz w:val="22"/>
              </w:rPr>
            </w:pPr>
            <w:r w:rsidRPr="00F235A5">
              <w:rPr>
                <w:rFonts w:eastAsiaTheme="minorEastAsia"/>
                <w:sz w:val="22"/>
              </w:rPr>
              <w:t xml:space="preserve">Permanently discontinue medication </w:t>
            </w:r>
          </w:p>
        </w:tc>
      </w:tr>
      <w:tr w:rsidR="000665E1" w:rsidRPr="00F235A5" w14:paraId="3326EB04" w14:textId="77777777" w:rsidTr="00F41D12">
        <w:trPr>
          <w:trHeight w:val="1247"/>
        </w:trPr>
        <w:tc>
          <w:tcPr>
            <w:tcW w:w="1491" w:type="dxa"/>
          </w:tcPr>
          <w:p w14:paraId="02B97A9E" w14:textId="4A45BE0D" w:rsidR="000665E1" w:rsidRPr="00F235A5" w:rsidRDefault="000665E1" w:rsidP="000665E1">
            <w:pPr>
              <w:rPr>
                <w:rFonts w:eastAsiaTheme="minorEastAsia"/>
                <w:sz w:val="22"/>
              </w:rPr>
            </w:pPr>
            <w:r w:rsidRPr="00F235A5">
              <w:rPr>
                <w:rFonts w:eastAsiaTheme="minorEastAsia"/>
                <w:sz w:val="22"/>
              </w:rPr>
              <w:t xml:space="preserve">Third occurrence </w:t>
            </w:r>
          </w:p>
        </w:tc>
        <w:tc>
          <w:tcPr>
            <w:tcW w:w="1595" w:type="dxa"/>
          </w:tcPr>
          <w:p w14:paraId="20A1B75F" w14:textId="77777777" w:rsidR="000665E1" w:rsidRPr="00F235A5" w:rsidRDefault="000665E1" w:rsidP="000665E1">
            <w:pPr>
              <w:rPr>
                <w:rFonts w:eastAsiaTheme="minorEastAsia"/>
                <w:sz w:val="22"/>
              </w:rPr>
            </w:pPr>
            <w:r w:rsidRPr="00F235A5">
              <w:rPr>
                <w:rFonts w:eastAsiaTheme="minorEastAsia"/>
                <w:sz w:val="22"/>
              </w:rPr>
              <w:t xml:space="preserve">No dose adjustment necessary </w:t>
            </w:r>
          </w:p>
        </w:tc>
        <w:tc>
          <w:tcPr>
            <w:tcW w:w="3092" w:type="dxa"/>
          </w:tcPr>
          <w:p w14:paraId="037A4732" w14:textId="4B0CC896" w:rsidR="000665E1" w:rsidRPr="00F235A5" w:rsidRDefault="000665E1" w:rsidP="00384EEC">
            <w:pPr>
              <w:rPr>
                <w:rFonts w:eastAsiaTheme="minorEastAsia"/>
                <w:sz w:val="22"/>
              </w:rPr>
            </w:pPr>
            <w:r w:rsidRPr="00F235A5">
              <w:rPr>
                <w:rFonts w:eastAsiaTheme="minorEastAsia"/>
                <w:sz w:val="22"/>
              </w:rPr>
              <w:t xml:space="preserve">Permanently discontinue treatment </w:t>
            </w:r>
            <w:r w:rsidR="00883F43" w:rsidRPr="00F235A5">
              <w:rPr>
                <w:rFonts w:eastAsiaTheme="minorEastAsia"/>
                <w:sz w:val="22"/>
              </w:rPr>
              <w:t>u</w:t>
            </w:r>
            <w:r w:rsidRPr="00F235A5">
              <w:rPr>
                <w:rFonts w:eastAsiaTheme="minorEastAsia"/>
                <w:sz w:val="22"/>
              </w:rPr>
              <w:t>nless continued treatment is beneficial to the patient, capecitabine therapy may be continued</w:t>
            </w:r>
            <w:r w:rsidR="00883F43" w:rsidRPr="00F235A5">
              <w:rPr>
                <w:rFonts w:eastAsiaTheme="minorEastAsia"/>
                <w:sz w:val="22"/>
              </w:rPr>
              <w:t xml:space="preserve"> with </w:t>
            </w:r>
            <w:r w:rsidRPr="00F235A5">
              <w:rPr>
                <w:rFonts w:eastAsiaTheme="minorEastAsia"/>
                <w:sz w:val="22"/>
              </w:rPr>
              <w:t xml:space="preserve"> </w:t>
            </w:r>
            <w:r w:rsidR="00883F43" w:rsidRPr="00F235A5">
              <w:rPr>
                <w:rFonts w:eastAsiaTheme="minorEastAsia"/>
                <w:sz w:val="22"/>
              </w:rPr>
              <w:t>reduced</w:t>
            </w:r>
            <w:r w:rsidRPr="00F235A5">
              <w:rPr>
                <w:rFonts w:eastAsiaTheme="minorEastAsia"/>
                <w:sz w:val="22"/>
              </w:rPr>
              <w:t xml:space="preserve"> 1 dose level </w:t>
            </w:r>
          </w:p>
        </w:tc>
        <w:tc>
          <w:tcPr>
            <w:tcW w:w="2344" w:type="dxa"/>
          </w:tcPr>
          <w:p w14:paraId="0509FE71" w14:textId="77777777" w:rsidR="000665E1" w:rsidRPr="00F235A5" w:rsidRDefault="000665E1" w:rsidP="000665E1">
            <w:pPr>
              <w:rPr>
                <w:rFonts w:eastAsiaTheme="minorEastAsia"/>
                <w:sz w:val="22"/>
              </w:rPr>
            </w:pPr>
          </w:p>
          <w:p w14:paraId="6B72EE25" w14:textId="77777777" w:rsidR="000665E1" w:rsidRPr="00F235A5" w:rsidRDefault="000665E1" w:rsidP="000665E1">
            <w:pPr>
              <w:rPr>
                <w:rFonts w:eastAsiaTheme="minorEastAsia"/>
                <w:sz w:val="22"/>
              </w:rPr>
            </w:pPr>
            <w:r w:rsidRPr="00F235A5">
              <w:rPr>
                <w:rFonts w:eastAsiaTheme="minorEastAsia"/>
                <w:sz w:val="22"/>
              </w:rPr>
              <w:t xml:space="preserve">N/A </w:t>
            </w:r>
          </w:p>
        </w:tc>
      </w:tr>
    </w:tbl>
    <w:p w14:paraId="27B89D51" w14:textId="670BE766" w:rsidR="000665E1" w:rsidRPr="000665E1" w:rsidRDefault="000665E1" w:rsidP="000665E1">
      <w:pPr>
        <w:rPr>
          <w:rFonts w:eastAsiaTheme="minorEastAsia"/>
        </w:rPr>
      </w:pPr>
      <w:r w:rsidRPr="000665E1">
        <w:rPr>
          <w:rFonts w:eastAsiaTheme="minorEastAsia"/>
        </w:rPr>
        <w:t xml:space="preserve">Laboratory values at start of chemotherapy: </w:t>
      </w:r>
      <w:r w:rsidR="00EC0ACA">
        <w:rPr>
          <w:rFonts w:eastAsiaTheme="minorEastAsia"/>
        </w:rPr>
        <w:t>r</w:t>
      </w:r>
      <w:r w:rsidRPr="000665E1">
        <w:rPr>
          <w:rFonts w:eastAsiaTheme="minorEastAsia"/>
        </w:rPr>
        <w:t>est period should be extended until ANC ≥ 1.5 x 10</w:t>
      </w:r>
      <w:r w:rsidRPr="00384EEC">
        <w:rPr>
          <w:rFonts w:eastAsiaTheme="minorEastAsia"/>
          <w:vertAlign w:val="superscript"/>
        </w:rPr>
        <w:t>9</w:t>
      </w:r>
      <w:r w:rsidRPr="000665E1">
        <w:rPr>
          <w:rFonts w:eastAsiaTheme="minorEastAsia"/>
        </w:rPr>
        <w:t xml:space="preserve"> /L, platelets ≥ 75 x 10</w:t>
      </w:r>
      <w:r w:rsidRPr="00384EEC">
        <w:rPr>
          <w:rFonts w:eastAsiaTheme="minorEastAsia"/>
          <w:vertAlign w:val="superscript"/>
        </w:rPr>
        <w:t>9</w:t>
      </w:r>
      <w:r w:rsidRPr="000665E1">
        <w:rPr>
          <w:rFonts w:eastAsiaTheme="minorEastAsia"/>
        </w:rPr>
        <w:t xml:space="preserve"> /L, and non-hematological toxicity recovers to baseline level or ≤ grade 1, then resume treatment according to the above dose </w:t>
      </w:r>
    </w:p>
    <w:p w14:paraId="7077F87A" w14:textId="04CD44E1" w:rsidR="000665E1" w:rsidRPr="000665E1" w:rsidRDefault="000665E1" w:rsidP="00384EEC">
      <w:pPr>
        <w:jc w:val="center"/>
        <w:rPr>
          <w:rFonts w:eastAsiaTheme="minorEastAsia"/>
        </w:rPr>
      </w:pPr>
      <w:r w:rsidRPr="000665E1">
        <w:rPr>
          <w:rFonts w:eastAsiaTheme="minorEastAsia"/>
        </w:rPr>
        <w:t>Table 5.2.2-8: Dose Modifications for CapeO</w:t>
      </w:r>
      <w:r w:rsidR="00F235A5">
        <w:rPr>
          <w:rFonts w:eastAsiaTheme="minorEastAsia"/>
        </w:rPr>
        <w:t>X</w:t>
      </w:r>
      <w:r w:rsidRPr="000665E1">
        <w:rPr>
          <w:rFonts w:eastAsiaTheme="minorEastAsia"/>
        </w:rPr>
        <w:t xml:space="preserve"> Toxicity – Neutropenic Fever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3537"/>
        <w:gridCol w:w="3997"/>
      </w:tblGrid>
      <w:tr w:rsidR="000665E1" w:rsidRPr="00F235A5" w14:paraId="10DB4AFD" w14:textId="77777777" w:rsidTr="00384EEC">
        <w:trPr>
          <w:trHeight w:val="943"/>
          <w:jc w:val="center"/>
        </w:trPr>
        <w:tc>
          <w:tcPr>
            <w:tcW w:w="1419" w:type="dxa"/>
          </w:tcPr>
          <w:p w14:paraId="4584482C" w14:textId="0C3A5FA8" w:rsidR="000665E1" w:rsidRPr="00F235A5" w:rsidRDefault="000665E1" w:rsidP="000665E1">
            <w:pPr>
              <w:rPr>
                <w:rFonts w:eastAsiaTheme="minorEastAsia"/>
                <w:sz w:val="22"/>
              </w:rPr>
            </w:pPr>
            <w:r w:rsidRPr="00F235A5">
              <w:rPr>
                <w:rFonts w:eastAsiaTheme="minorEastAsia"/>
                <w:sz w:val="22"/>
              </w:rPr>
              <w:t>A</w:t>
            </w:r>
            <w:r w:rsidR="00EC0ACA" w:rsidRPr="00F235A5">
              <w:rPr>
                <w:rFonts w:eastAsiaTheme="minorEastAsia"/>
                <w:sz w:val="22"/>
              </w:rPr>
              <w:t>dverse reactions</w:t>
            </w:r>
            <w:r w:rsidRPr="00F235A5">
              <w:rPr>
                <w:rFonts w:eastAsiaTheme="minorEastAsia"/>
                <w:sz w:val="22"/>
              </w:rPr>
              <w:t xml:space="preserve"> </w:t>
            </w:r>
          </w:p>
        </w:tc>
        <w:tc>
          <w:tcPr>
            <w:tcW w:w="3537" w:type="dxa"/>
          </w:tcPr>
          <w:p w14:paraId="7ED19087" w14:textId="61009008" w:rsidR="000665E1" w:rsidRPr="00F235A5" w:rsidRDefault="000665E1" w:rsidP="00F235A5">
            <w:pPr>
              <w:jc w:val="center"/>
              <w:rPr>
                <w:rFonts w:eastAsiaTheme="minorEastAsia"/>
                <w:sz w:val="22"/>
              </w:rPr>
            </w:pPr>
            <w:r w:rsidRPr="00F235A5">
              <w:rPr>
                <w:rFonts w:eastAsiaTheme="minorEastAsia"/>
                <w:sz w:val="22"/>
              </w:rPr>
              <w:t xml:space="preserve">Grade </w:t>
            </w:r>
            <w:r w:rsidR="00EC0ACA" w:rsidRPr="00F235A5">
              <w:rPr>
                <w:rFonts w:eastAsiaTheme="minorEastAsia"/>
                <w:sz w:val="22"/>
              </w:rPr>
              <w:t>3</w:t>
            </w:r>
          </w:p>
          <w:p w14:paraId="48A2955C" w14:textId="5590BBB2" w:rsidR="000665E1" w:rsidRPr="00F235A5" w:rsidRDefault="000665E1" w:rsidP="00F235A5">
            <w:pPr>
              <w:jc w:val="center"/>
              <w:rPr>
                <w:rFonts w:eastAsiaTheme="minorEastAsia"/>
                <w:sz w:val="22"/>
              </w:rPr>
            </w:pPr>
            <w:r w:rsidRPr="00F235A5">
              <w:rPr>
                <w:rFonts w:eastAsiaTheme="minorEastAsia"/>
                <w:sz w:val="22"/>
              </w:rPr>
              <w:t>ANC &lt; 1.0 x 10</w:t>
            </w:r>
            <w:r w:rsidRPr="00F235A5">
              <w:rPr>
                <w:rFonts w:eastAsiaTheme="minorEastAsia"/>
                <w:sz w:val="22"/>
                <w:vertAlign w:val="superscript"/>
              </w:rPr>
              <w:t>9</w:t>
            </w:r>
            <w:r w:rsidRPr="00F235A5">
              <w:rPr>
                <w:rFonts w:eastAsiaTheme="minorEastAsia"/>
                <w:sz w:val="22"/>
              </w:rPr>
              <w:t xml:space="preserve"> /L </w:t>
            </w:r>
            <w:r w:rsidR="00EC0ACA" w:rsidRPr="00F235A5">
              <w:rPr>
                <w:rFonts w:eastAsiaTheme="minorEastAsia"/>
                <w:sz w:val="22"/>
              </w:rPr>
              <w:t>w</w:t>
            </w:r>
            <w:r w:rsidRPr="00F235A5">
              <w:rPr>
                <w:rFonts w:eastAsiaTheme="minorEastAsia"/>
                <w:sz w:val="22"/>
              </w:rPr>
              <w:t>ith fever ≥ 38.5℃</w:t>
            </w:r>
          </w:p>
        </w:tc>
        <w:tc>
          <w:tcPr>
            <w:tcW w:w="3997" w:type="dxa"/>
          </w:tcPr>
          <w:p w14:paraId="2048D040" w14:textId="1D4E3CF1" w:rsidR="000665E1" w:rsidRPr="00F235A5" w:rsidRDefault="000665E1" w:rsidP="00F235A5">
            <w:pPr>
              <w:jc w:val="center"/>
              <w:rPr>
                <w:rFonts w:eastAsiaTheme="minorEastAsia"/>
                <w:sz w:val="22"/>
              </w:rPr>
            </w:pPr>
            <w:r w:rsidRPr="00F235A5">
              <w:rPr>
                <w:rFonts w:eastAsiaTheme="minorEastAsia"/>
                <w:sz w:val="22"/>
              </w:rPr>
              <w:t xml:space="preserve">Grade </w:t>
            </w:r>
            <w:r w:rsidR="00EC0ACA" w:rsidRPr="00F235A5">
              <w:rPr>
                <w:rFonts w:eastAsiaTheme="minorEastAsia"/>
                <w:sz w:val="22"/>
              </w:rPr>
              <w:t>4</w:t>
            </w:r>
          </w:p>
          <w:p w14:paraId="2469FB52" w14:textId="57EEDC75" w:rsidR="000665E1" w:rsidRPr="00F235A5" w:rsidRDefault="00F235A5" w:rsidP="00F235A5">
            <w:pPr>
              <w:jc w:val="center"/>
              <w:rPr>
                <w:rFonts w:eastAsiaTheme="minorEastAsia"/>
                <w:sz w:val="22"/>
              </w:rPr>
            </w:pPr>
            <w:r>
              <w:rPr>
                <w:rFonts w:eastAsiaTheme="minorEastAsia"/>
                <w:sz w:val="22"/>
              </w:rPr>
              <w:t>ANC &lt; 1.0 x 10</w:t>
            </w:r>
            <w:r w:rsidR="000665E1" w:rsidRPr="00F235A5">
              <w:rPr>
                <w:rFonts w:eastAsiaTheme="minorEastAsia"/>
                <w:sz w:val="22"/>
                <w:vertAlign w:val="superscript"/>
              </w:rPr>
              <w:t xml:space="preserve">9 </w:t>
            </w:r>
            <w:r w:rsidR="000665E1" w:rsidRPr="00F235A5">
              <w:rPr>
                <w:rFonts w:eastAsiaTheme="minorEastAsia"/>
                <w:sz w:val="22"/>
              </w:rPr>
              <w:t xml:space="preserve">/L </w:t>
            </w:r>
            <w:r w:rsidR="00EC0ACA" w:rsidRPr="00F235A5">
              <w:rPr>
                <w:rFonts w:eastAsiaTheme="minorEastAsia"/>
                <w:sz w:val="22"/>
              </w:rPr>
              <w:t>w</w:t>
            </w:r>
            <w:r w:rsidR="000665E1" w:rsidRPr="00F235A5">
              <w:rPr>
                <w:rFonts w:eastAsiaTheme="minorEastAsia"/>
                <w:sz w:val="22"/>
              </w:rPr>
              <w:t xml:space="preserve">ith fever ≥ 38.5℃, </w:t>
            </w:r>
            <w:r w:rsidR="00EC0ACA" w:rsidRPr="00F235A5">
              <w:rPr>
                <w:rFonts w:eastAsiaTheme="minorEastAsia"/>
                <w:sz w:val="22"/>
              </w:rPr>
              <w:t>and</w:t>
            </w:r>
            <w:r w:rsidR="000665E1" w:rsidRPr="00F235A5">
              <w:rPr>
                <w:rFonts w:eastAsiaTheme="minorEastAsia"/>
                <w:sz w:val="22"/>
              </w:rPr>
              <w:t xml:space="preserve"> life-threatening toxemia</w:t>
            </w:r>
          </w:p>
        </w:tc>
      </w:tr>
      <w:tr w:rsidR="000665E1" w:rsidRPr="00F235A5" w14:paraId="3AC50799" w14:textId="77777777" w:rsidTr="00384EEC">
        <w:trPr>
          <w:trHeight w:val="936"/>
          <w:jc w:val="center"/>
        </w:trPr>
        <w:tc>
          <w:tcPr>
            <w:tcW w:w="1419" w:type="dxa"/>
          </w:tcPr>
          <w:p w14:paraId="47D8895A" w14:textId="77777777" w:rsidR="000665E1" w:rsidRPr="00F235A5" w:rsidRDefault="000665E1" w:rsidP="000665E1">
            <w:pPr>
              <w:rPr>
                <w:rFonts w:eastAsiaTheme="minorEastAsia"/>
                <w:sz w:val="22"/>
              </w:rPr>
            </w:pPr>
            <w:r w:rsidRPr="00F235A5">
              <w:rPr>
                <w:rFonts w:eastAsiaTheme="minorEastAsia"/>
                <w:sz w:val="22"/>
              </w:rPr>
              <w:t xml:space="preserve">First occurrence </w:t>
            </w:r>
          </w:p>
        </w:tc>
        <w:tc>
          <w:tcPr>
            <w:tcW w:w="3537" w:type="dxa"/>
          </w:tcPr>
          <w:p w14:paraId="591A196F" w14:textId="63079664" w:rsidR="000665E1" w:rsidRPr="00F235A5" w:rsidRDefault="00EC0ACA" w:rsidP="00F235A5">
            <w:pPr>
              <w:rPr>
                <w:rFonts w:eastAsiaTheme="minorEastAsia"/>
                <w:sz w:val="22"/>
              </w:rPr>
            </w:pPr>
            <w:r w:rsidRPr="00F235A5">
              <w:rPr>
                <w:rFonts w:eastAsiaTheme="minorEastAsia"/>
                <w:sz w:val="22"/>
              </w:rPr>
              <w:t xml:space="preserve">Reduce </w:t>
            </w:r>
            <w:r w:rsidR="00F235A5">
              <w:rPr>
                <w:rFonts w:eastAsiaTheme="minorEastAsia"/>
                <w:sz w:val="22"/>
              </w:rPr>
              <w:t>c</w:t>
            </w:r>
            <w:r w:rsidRPr="00F235A5">
              <w:rPr>
                <w:rFonts w:eastAsiaTheme="minorEastAsia"/>
                <w:sz w:val="22"/>
              </w:rPr>
              <w:t>apecitabine by 1 dose level</w:t>
            </w:r>
            <w:r w:rsidR="000665E1" w:rsidRPr="00F235A5">
              <w:rPr>
                <w:rFonts w:eastAsiaTheme="minorEastAsia"/>
                <w:sz w:val="22"/>
              </w:rPr>
              <w:t xml:space="preserve">, oxaliplatin </w:t>
            </w:r>
            <w:r w:rsidRPr="00F235A5">
              <w:rPr>
                <w:rFonts w:eastAsiaTheme="minorEastAsia"/>
                <w:sz w:val="22"/>
              </w:rPr>
              <w:t>85 mg/m</w:t>
            </w:r>
            <w:r w:rsidR="000665E1" w:rsidRPr="00F235A5">
              <w:rPr>
                <w:rFonts w:eastAsiaTheme="minorEastAsia"/>
                <w:sz w:val="22"/>
                <w:vertAlign w:val="superscript"/>
              </w:rPr>
              <w:t xml:space="preserve">2 </w:t>
            </w:r>
          </w:p>
        </w:tc>
        <w:tc>
          <w:tcPr>
            <w:tcW w:w="3997" w:type="dxa"/>
          </w:tcPr>
          <w:p w14:paraId="3A2BBB81" w14:textId="1DAC45C4" w:rsidR="000665E1" w:rsidRPr="00F235A5" w:rsidRDefault="00F41D12" w:rsidP="000665E1">
            <w:pPr>
              <w:rPr>
                <w:rFonts w:eastAsiaTheme="minorEastAsia"/>
                <w:sz w:val="22"/>
              </w:rPr>
            </w:pPr>
            <w:r w:rsidRPr="00F235A5">
              <w:rPr>
                <w:rFonts w:eastAsiaTheme="minorEastAsia"/>
                <w:sz w:val="22"/>
              </w:rPr>
              <w:t>Permanently discontinue treatment unless continued treatment is beneficial to the patient: reduce Capecitabine by 1 dose level, oxaliplatin 85 mg/m2</w:t>
            </w:r>
            <w:r w:rsidR="000665E1" w:rsidRPr="00F235A5">
              <w:rPr>
                <w:rFonts w:eastAsiaTheme="minorEastAsia"/>
                <w:sz w:val="22"/>
                <w:vertAlign w:val="superscript"/>
              </w:rPr>
              <w:t xml:space="preserve"> </w:t>
            </w:r>
          </w:p>
        </w:tc>
      </w:tr>
      <w:tr w:rsidR="000665E1" w:rsidRPr="00F235A5" w14:paraId="7E298B3E" w14:textId="77777777" w:rsidTr="00F235A5">
        <w:trPr>
          <w:trHeight w:val="344"/>
          <w:jc w:val="center"/>
        </w:trPr>
        <w:tc>
          <w:tcPr>
            <w:tcW w:w="1419" w:type="dxa"/>
          </w:tcPr>
          <w:p w14:paraId="33C15A37" w14:textId="77777777" w:rsidR="000665E1" w:rsidRPr="00F235A5" w:rsidRDefault="000665E1" w:rsidP="000665E1">
            <w:pPr>
              <w:rPr>
                <w:rFonts w:eastAsiaTheme="minorEastAsia"/>
                <w:sz w:val="22"/>
              </w:rPr>
            </w:pPr>
            <w:r w:rsidRPr="00F235A5">
              <w:rPr>
                <w:rFonts w:eastAsiaTheme="minorEastAsia"/>
                <w:sz w:val="22"/>
              </w:rPr>
              <w:lastRenderedPageBreak/>
              <w:t xml:space="preserve">Second occurrence </w:t>
            </w:r>
          </w:p>
        </w:tc>
        <w:tc>
          <w:tcPr>
            <w:tcW w:w="3537" w:type="dxa"/>
          </w:tcPr>
          <w:p w14:paraId="19A7044D" w14:textId="03A8AAC2" w:rsidR="000665E1" w:rsidRPr="00F235A5" w:rsidRDefault="000665E1" w:rsidP="00384EEC">
            <w:pPr>
              <w:rPr>
                <w:rFonts w:eastAsiaTheme="minorEastAsia"/>
                <w:sz w:val="22"/>
              </w:rPr>
            </w:pPr>
            <w:r w:rsidRPr="00F235A5">
              <w:rPr>
                <w:rFonts w:eastAsiaTheme="minorEastAsia"/>
                <w:sz w:val="22"/>
              </w:rPr>
              <w:t>Permanently discontinue treatment unless continued treatmen</w:t>
            </w:r>
            <w:r w:rsidR="00EC0ACA" w:rsidRPr="00F235A5">
              <w:rPr>
                <w:rFonts w:eastAsiaTheme="minorEastAsia"/>
                <w:sz w:val="22"/>
              </w:rPr>
              <w:t>t is beneficial to the patient: reduce Capecitabine by 1 dose level, oxaliplatin 85 mg/m</w:t>
            </w:r>
            <w:r w:rsidR="00EC0ACA" w:rsidRPr="00F235A5">
              <w:rPr>
                <w:rFonts w:eastAsiaTheme="minorEastAsia"/>
                <w:sz w:val="22"/>
                <w:vertAlign w:val="superscript"/>
              </w:rPr>
              <w:t>2</w:t>
            </w:r>
          </w:p>
        </w:tc>
        <w:tc>
          <w:tcPr>
            <w:tcW w:w="3997" w:type="dxa"/>
          </w:tcPr>
          <w:p w14:paraId="375CCCCC" w14:textId="77777777" w:rsidR="000665E1" w:rsidRPr="00F235A5" w:rsidRDefault="000665E1" w:rsidP="000665E1">
            <w:pPr>
              <w:rPr>
                <w:rFonts w:eastAsiaTheme="minorEastAsia"/>
                <w:sz w:val="22"/>
              </w:rPr>
            </w:pPr>
            <w:r w:rsidRPr="00F235A5">
              <w:rPr>
                <w:rFonts w:eastAsiaTheme="minorEastAsia"/>
                <w:sz w:val="22"/>
              </w:rPr>
              <w:t xml:space="preserve">Permanently discontinue treatment </w:t>
            </w:r>
          </w:p>
        </w:tc>
      </w:tr>
    </w:tbl>
    <w:p w14:paraId="2F35E502" w14:textId="440124A5" w:rsidR="000665E1" w:rsidRPr="000665E1" w:rsidRDefault="000665E1" w:rsidP="000665E1">
      <w:pPr>
        <w:rPr>
          <w:rFonts w:eastAsiaTheme="minorEastAsia"/>
        </w:rPr>
      </w:pPr>
      <w:r w:rsidRPr="000665E1">
        <w:rPr>
          <w:rFonts w:eastAsiaTheme="minorEastAsia"/>
        </w:rPr>
        <w:t xml:space="preserve">Treatment may be resumed only if the toxicity (except anemia) resolves to ≤ </w:t>
      </w:r>
      <w:r w:rsidR="00EC0ACA">
        <w:rPr>
          <w:rFonts w:eastAsiaTheme="minorEastAsia"/>
        </w:rPr>
        <w:t>grade 1 (</w:t>
      </w:r>
      <w:r w:rsidRPr="000665E1">
        <w:rPr>
          <w:rFonts w:eastAsiaTheme="minorEastAsia"/>
        </w:rPr>
        <w:t>ANC ≥ 1.5 x 10</w:t>
      </w:r>
      <w:r w:rsidRPr="00384EEC">
        <w:rPr>
          <w:rFonts w:eastAsiaTheme="minorEastAsia"/>
          <w:vertAlign w:val="superscript"/>
        </w:rPr>
        <w:t>9</w:t>
      </w:r>
      <w:r w:rsidRPr="000665E1">
        <w:rPr>
          <w:rFonts w:eastAsiaTheme="minorEastAsia"/>
        </w:rPr>
        <w:t xml:space="preserve"> /L, platelets ≥ 75 x 10</w:t>
      </w:r>
      <w:r w:rsidRPr="00384EEC">
        <w:rPr>
          <w:rFonts w:eastAsiaTheme="minorEastAsia"/>
          <w:vertAlign w:val="superscript"/>
        </w:rPr>
        <w:t>9</w:t>
      </w:r>
      <w:r w:rsidRPr="000665E1">
        <w:rPr>
          <w:rFonts w:eastAsiaTheme="minorEastAsia"/>
        </w:rPr>
        <w:t xml:space="preserve"> /L) </w:t>
      </w:r>
    </w:p>
    <w:p w14:paraId="419F4402" w14:textId="13962A2C" w:rsidR="000665E1" w:rsidRPr="000665E1" w:rsidRDefault="000665E1" w:rsidP="00384EEC">
      <w:pPr>
        <w:jc w:val="center"/>
        <w:rPr>
          <w:rFonts w:eastAsiaTheme="minorEastAsia"/>
        </w:rPr>
      </w:pPr>
      <w:r w:rsidRPr="000665E1">
        <w:rPr>
          <w:rFonts w:eastAsiaTheme="minorEastAsia"/>
        </w:rPr>
        <w:t>Table 5.2.2-9: Dose Modification for</w:t>
      </w:r>
      <w:r w:rsidR="00F41D12" w:rsidRPr="00F41D12">
        <w:rPr>
          <w:rFonts w:eastAsiaTheme="minorEastAsia"/>
        </w:rPr>
        <w:t xml:space="preserve"> </w:t>
      </w:r>
      <w:r w:rsidR="00F41D12" w:rsidRPr="000665E1">
        <w:rPr>
          <w:rFonts w:eastAsiaTheme="minorEastAsia"/>
        </w:rPr>
        <w:t>CapeO</w:t>
      </w:r>
      <w:r w:rsidR="00F235A5">
        <w:rPr>
          <w:rFonts w:eastAsiaTheme="minorEastAsia"/>
        </w:rPr>
        <w:t>X</w:t>
      </w:r>
      <w:r w:rsidRPr="000665E1">
        <w:rPr>
          <w:rFonts w:eastAsiaTheme="minorEastAsia"/>
        </w:rPr>
        <w:t xml:space="preserve"> Toxicity – Thrombocytopenia</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9"/>
        <w:gridCol w:w="1986"/>
        <w:gridCol w:w="2269"/>
        <w:gridCol w:w="3307"/>
      </w:tblGrid>
      <w:tr w:rsidR="000665E1" w:rsidRPr="00F235A5" w14:paraId="7ECDB664" w14:textId="77777777" w:rsidTr="00384EEC">
        <w:trPr>
          <w:trHeight w:val="623"/>
        </w:trPr>
        <w:tc>
          <w:tcPr>
            <w:tcW w:w="1539" w:type="dxa"/>
          </w:tcPr>
          <w:p w14:paraId="3BFB6542" w14:textId="5674C972" w:rsidR="000665E1" w:rsidRPr="00F235A5" w:rsidRDefault="000665E1" w:rsidP="000665E1">
            <w:pPr>
              <w:rPr>
                <w:rFonts w:eastAsiaTheme="minorEastAsia"/>
                <w:sz w:val="22"/>
              </w:rPr>
            </w:pPr>
            <w:r w:rsidRPr="00F235A5">
              <w:rPr>
                <w:rFonts w:eastAsiaTheme="minorEastAsia"/>
                <w:sz w:val="22"/>
              </w:rPr>
              <w:t xml:space="preserve">Adverse reaction </w:t>
            </w:r>
          </w:p>
        </w:tc>
        <w:tc>
          <w:tcPr>
            <w:tcW w:w="1986" w:type="dxa"/>
          </w:tcPr>
          <w:p w14:paraId="36687483" w14:textId="5A31A734" w:rsidR="000665E1" w:rsidRPr="00F235A5" w:rsidRDefault="000665E1" w:rsidP="00F235A5">
            <w:pPr>
              <w:jc w:val="center"/>
              <w:rPr>
                <w:rFonts w:eastAsiaTheme="minorEastAsia"/>
                <w:sz w:val="22"/>
              </w:rPr>
            </w:pPr>
            <w:r w:rsidRPr="00F235A5">
              <w:rPr>
                <w:rFonts w:eastAsiaTheme="minorEastAsia"/>
                <w:sz w:val="22"/>
              </w:rPr>
              <w:t xml:space="preserve">Grade </w:t>
            </w:r>
            <w:r w:rsidR="00F41D12" w:rsidRPr="00F235A5">
              <w:rPr>
                <w:rFonts w:eastAsiaTheme="minorEastAsia"/>
                <w:sz w:val="22"/>
              </w:rPr>
              <w:t>2</w:t>
            </w:r>
          </w:p>
          <w:p w14:paraId="604A8FC4" w14:textId="6519B36B" w:rsidR="000665E1" w:rsidRPr="00F235A5" w:rsidRDefault="000665E1" w:rsidP="00F235A5">
            <w:pPr>
              <w:jc w:val="center"/>
              <w:rPr>
                <w:rFonts w:eastAsiaTheme="minorEastAsia"/>
                <w:sz w:val="22"/>
              </w:rPr>
            </w:pPr>
            <w:r w:rsidRPr="00F235A5">
              <w:rPr>
                <w:rFonts w:eastAsiaTheme="minorEastAsia"/>
                <w:sz w:val="22"/>
              </w:rPr>
              <w:t>≥ 50 - &lt; 75 x 10</w:t>
            </w:r>
            <w:r w:rsidRPr="00F235A5">
              <w:rPr>
                <w:rFonts w:eastAsiaTheme="minorEastAsia"/>
                <w:sz w:val="22"/>
                <w:vertAlign w:val="superscript"/>
              </w:rPr>
              <w:t>9</w:t>
            </w:r>
            <w:r w:rsidRPr="00F235A5">
              <w:rPr>
                <w:rFonts w:eastAsiaTheme="minorEastAsia"/>
                <w:sz w:val="22"/>
              </w:rPr>
              <w:t xml:space="preserve"> /L</w:t>
            </w:r>
          </w:p>
        </w:tc>
        <w:tc>
          <w:tcPr>
            <w:tcW w:w="2269" w:type="dxa"/>
          </w:tcPr>
          <w:p w14:paraId="277A4BAA" w14:textId="3E7DFC3D" w:rsidR="000665E1" w:rsidRPr="00F235A5" w:rsidRDefault="000665E1" w:rsidP="00F235A5">
            <w:pPr>
              <w:jc w:val="center"/>
              <w:rPr>
                <w:rFonts w:eastAsiaTheme="minorEastAsia"/>
                <w:sz w:val="22"/>
              </w:rPr>
            </w:pPr>
            <w:r w:rsidRPr="00F235A5">
              <w:rPr>
                <w:rFonts w:eastAsiaTheme="minorEastAsia"/>
                <w:sz w:val="22"/>
              </w:rPr>
              <w:t xml:space="preserve">Grade </w:t>
            </w:r>
            <w:r w:rsidR="00F41D12" w:rsidRPr="00F235A5">
              <w:rPr>
                <w:rFonts w:eastAsiaTheme="minorEastAsia"/>
                <w:sz w:val="22"/>
              </w:rPr>
              <w:t>3</w:t>
            </w:r>
          </w:p>
          <w:p w14:paraId="19B57D18" w14:textId="2604FBC5" w:rsidR="000665E1" w:rsidRPr="00F235A5" w:rsidRDefault="000665E1" w:rsidP="00F235A5">
            <w:pPr>
              <w:jc w:val="center"/>
              <w:rPr>
                <w:rFonts w:eastAsiaTheme="minorEastAsia"/>
                <w:sz w:val="22"/>
              </w:rPr>
            </w:pPr>
            <w:r w:rsidRPr="00F235A5">
              <w:rPr>
                <w:rFonts w:eastAsiaTheme="minorEastAsia"/>
                <w:sz w:val="22"/>
              </w:rPr>
              <w:t xml:space="preserve">≥ 25 - &lt; </w:t>
            </w:r>
            <w:r w:rsidR="00F41D12" w:rsidRPr="00F235A5">
              <w:rPr>
                <w:rFonts w:eastAsiaTheme="minorEastAsia"/>
                <w:sz w:val="22"/>
              </w:rPr>
              <w:t>50 x 10</w:t>
            </w:r>
            <w:r w:rsidR="00F41D12" w:rsidRPr="00F235A5">
              <w:rPr>
                <w:rFonts w:eastAsiaTheme="minorEastAsia"/>
                <w:sz w:val="22"/>
                <w:vertAlign w:val="superscript"/>
              </w:rPr>
              <w:t>9</w:t>
            </w:r>
            <w:r w:rsidRPr="00F235A5">
              <w:rPr>
                <w:rFonts w:eastAsiaTheme="minorEastAsia"/>
                <w:sz w:val="22"/>
              </w:rPr>
              <w:t xml:space="preserve"> /L</w:t>
            </w:r>
          </w:p>
        </w:tc>
        <w:tc>
          <w:tcPr>
            <w:tcW w:w="3307" w:type="dxa"/>
          </w:tcPr>
          <w:p w14:paraId="628CCE5E" w14:textId="3C29BC3D" w:rsidR="000665E1" w:rsidRPr="00F235A5" w:rsidRDefault="000665E1" w:rsidP="00F235A5">
            <w:pPr>
              <w:jc w:val="center"/>
              <w:rPr>
                <w:rFonts w:eastAsiaTheme="minorEastAsia"/>
                <w:sz w:val="22"/>
              </w:rPr>
            </w:pPr>
            <w:r w:rsidRPr="00F235A5">
              <w:rPr>
                <w:rFonts w:eastAsiaTheme="minorEastAsia"/>
                <w:sz w:val="22"/>
              </w:rPr>
              <w:t xml:space="preserve">Grade </w:t>
            </w:r>
            <w:r w:rsidR="00F41D12" w:rsidRPr="00F235A5">
              <w:rPr>
                <w:rFonts w:eastAsiaTheme="minorEastAsia"/>
                <w:sz w:val="22"/>
              </w:rPr>
              <w:t>4</w:t>
            </w:r>
          </w:p>
          <w:p w14:paraId="4ED5E562" w14:textId="283B7DA0" w:rsidR="000665E1" w:rsidRPr="00F235A5" w:rsidRDefault="000665E1" w:rsidP="00F235A5">
            <w:pPr>
              <w:jc w:val="center"/>
              <w:rPr>
                <w:rFonts w:eastAsiaTheme="minorEastAsia"/>
                <w:sz w:val="22"/>
              </w:rPr>
            </w:pPr>
            <w:r w:rsidRPr="00F235A5">
              <w:rPr>
                <w:rFonts w:eastAsiaTheme="minorEastAsia"/>
                <w:sz w:val="22"/>
              </w:rPr>
              <w:t xml:space="preserve">- &lt; </w:t>
            </w:r>
            <w:r w:rsidR="00F41D12" w:rsidRPr="00F235A5">
              <w:rPr>
                <w:rFonts w:eastAsiaTheme="minorEastAsia"/>
                <w:sz w:val="22"/>
              </w:rPr>
              <w:t>25 x 10</w:t>
            </w:r>
            <w:r w:rsidRPr="00F235A5">
              <w:rPr>
                <w:rFonts w:eastAsiaTheme="minorEastAsia"/>
                <w:sz w:val="22"/>
                <w:vertAlign w:val="superscript"/>
              </w:rPr>
              <w:t>9</w:t>
            </w:r>
            <w:r w:rsidRPr="00F235A5">
              <w:rPr>
                <w:rFonts w:eastAsiaTheme="minorEastAsia"/>
                <w:sz w:val="22"/>
              </w:rPr>
              <w:t xml:space="preserve"> /L</w:t>
            </w:r>
          </w:p>
        </w:tc>
      </w:tr>
      <w:tr w:rsidR="000665E1" w:rsidRPr="00F235A5" w14:paraId="398ADDE7" w14:textId="77777777" w:rsidTr="00384EEC">
        <w:trPr>
          <w:trHeight w:val="936"/>
        </w:trPr>
        <w:tc>
          <w:tcPr>
            <w:tcW w:w="1539" w:type="dxa"/>
          </w:tcPr>
          <w:p w14:paraId="34DB19B5" w14:textId="77777777" w:rsidR="000665E1" w:rsidRPr="00F235A5" w:rsidRDefault="000665E1" w:rsidP="000665E1">
            <w:pPr>
              <w:rPr>
                <w:rFonts w:eastAsiaTheme="minorEastAsia"/>
                <w:sz w:val="22"/>
              </w:rPr>
            </w:pPr>
            <w:r w:rsidRPr="00F235A5">
              <w:rPr>
                <w:rFonts w:eastAsiaTheme="minorEastAsia"/>
                <w:sz w:val="22"/>
              </w:rPr>
              <w:t xml:space="preserve">First occurrence </w:t>
            </w:r>
          </w:p>
        </w:tc>
        <w:tc>
          <w:tcPr>
            <w:tcW w:w="1986" w:type="dxa"/>
          </w:tcPr>
          <w:p w14:paraId="54760680" w14:textId="77777777" w:rsidR="000665E1" w:rsidRPr="00F235A5" w:rsidRDefault="000665E1" w:rsidP="000665E1">
            <w:pPr>
              <w:rPr>
                <w:rFonts w:eastAsiaTheme="minorEastAsia"/>
                <w:sz w:val="22"/>
              </w:rPr>
            </w:pPr>
            <w:r w:rsidRPr="00F235A5">
              <w:rPr>
                <w:rFonts w:eastAsiaTheme="minorEastAsia"/>
                <w:sz w:val="22"/>
              </w:rPr>
              <w:t xml:space="preserve">No dose adjustment necessary </w:t>
            </w:r>
          </w:p>
        </w:tc>
        <w:tc>
          <w:tcPr>
            <w:tcW w:w="2269" w:type="dxa"/>
          </w:tcPr>
          <w:p w14:paraId="24FF8E07" w14:textId="448C8479" w:rsidR="000665E1" w:rsidRPr="00F235A5" w:rsidRDefault="00F41D12" w:rsidP="00F235A5">
            <w:pPr>
              <w:rPr>
                <w:rFonts w:eastAsiaTheme="minorEastAsia"/>
                <w:sz w:val="22"/>
              </w:rPr>
            </w:pPr>
            <w:r w:rsidRPr="00F235A5">
              <w:rPr>
                <w:rFonts w:eastAsiaTheme="minorEastAsia"/>
                <w:sz w:val="22"/>
              </w:rPr>
              <w:t xml:space="preserve">Reduce </w:t>
            </w:r>
            <w:r w:rsidR="00F235A5">
              <w:rPr>
                <w:rFonts w:eastAsiaTheme="minorEastAsia"/>
                <w:sz w:val="22"/>
              </w:rPr>
              <w:t>c</w:t>
            </w:r>
            <w:r w:rsidRPr="00F235A5">
              <w:rPr>
                <w:rFonts w:eastAsiaTheme="minorEastAsia"/>
                <w:sz w:val="22"/>
              </w:rPr>
              <w:t xml:space="preserve">apecitabine by 1 dose level , </w:t>
            </w:r>
            <w:r w:rsidR="000665E1" w:rsidRPr="00F235A5">
              <w:rPr>
                <w:rFonts w:eastAsiaTheme="minorEastAsia"/>
                <w:sz w:val="22"/>
              </w:rPr>
              <w:t xml:space="preserve">Oxaliplatin </w:t>
            </w:r>
            <w:r w:rsidRPr="00F235A5">
              <w:rPr>
                <w:rFonts w:eastAsiaTheme="minorEastAsia"/>
                <w:sz w:val="22"/>
              </w:rPr>
              <w:t>100 mg/m</w:t>
            </w:r>
            <w:r w:rsidR="000665E1" w:rsidRPr="00F235A5">
              <w:rPr>
                <w:rFonts w:eastAsiaTheme="minorEastAsia"/>
                <w:sz w:val="22"/>
                <w:vertAlign w:val="superscript"/>
              </w:rPr>
              <w:t>2</w:t>
            </w:r>
            <w:r w:rsidR="000665E1" w:rsidRPr="00F235A5">
              <w:rPr>
                <w:rFonts w:eastAsiaTheme="minorEastAsia"/>
                <w:sz w:val="22"/>
              </w:rPr>
              <w:t xml:space="preserve"> </w:t>
            </w:r>
          </w:p>
        </w:tc>
        <w:tc>
          <w:tcPr>
            <w:tcW w:w="3307" w:type="dxa"/>
          </w:tcPr>
          <w:p w14:paraId="27BA84F1" w14:textId="58A06F7F" w:rsidR="000665E1" w:rsidRPr="00F235A5" w:rsidRDefault="00F41D12" w:rsidP="00F235A5">
            <w:pPr>
              <w:rPr>
                <w:rFonts w:eastAsiaTheme="minorEastAsia"/>
                <w:sz w:val="22"/>
              </w:rPr>
            </w:pPr>
            <w:r w:rsidRPr="00F235A5">
              <w:rPr>
                <w:rFonts w:eastAsiaTheme="minorEastAsia"/>
                <w:sz w:val="22"/>
              </w:rPr>
              <w:t xml:space="preserve">Reduce </w:t>
            </w:r>
            <w:r w:rsidR="00F235A5">
              <w:rPr>
                <w:rFonts w:eastAsiaTheme="minorEastAsia"/>
                <w:sz w:val="22"/>
              </w:rPr>
              <w:t>c</w:t>
            </w:r>
            <w:r w:rsidRPr="00F235A5">
              <w:rPr>
                <w:rFonts w:eastAsiaTheme="minorEastAsia"/>
                <w:sz w:val="22"/>
              </w:rPr>
              <w:t xml:space="preserve">apecitabine by 1 dose level, </w:t>
            </w:r>
            <w:r w:rsidR="000665E1" w:rsidRPr="00F235A5">
              <w:rPr>
                <w:rFonts w:eastAsiaTheme="minorEastAsia"/>
                <w:sz w:val="22"/>
              </w:rPr>
              <w:t xml:space="preserve">Oxaliplatin </w:t>
            </w:r>
            <w:r w:rsidRPr="00F235A5">
              <w:rPr>
                <w:rFonts w:eastAsiaTheme="minorEastAsia"/>
                <w:sz w:val="22"/>
              </w:rPr>
              <w:t>85 mg/m</w:t>
            </w:r>
            <w:r w:rsidR="000665E1" w:rsidRPr="00F235A5">
              <w:rPr>
                <w:rFonts w:eastAsiaTheme="minorEastAsia"/>
                <w:sz w:val="22"/>
                <w:vertAlign w:val="superscript"/>
              </w:rPr>
              <w:t>2</w:t>
            </w:r>
            <w:r w:rsidR="000665E1" w:rsidRPr="00F235A5">
              <w:rPr>
                <w:rFonts w:eastAsiaTheme="minorEastAsia"/>
                <w:sz w:val="22"/>
              </w:rPr>
              <w:t xml:space="preserve"> </w:t>
            </w:r>
          </w:p>
        </w:tc>
      </w:tr>
      <w:tr w:rsidR="00F41D12" w:rsidRPr="00F235A5" w14:paraId="21E6456D" w14:textId="77777777" w:rsidTr="00384EEC">
        <w:trPr>
          <w:trHeight w:val="311"/>
        </w:trPr>
        <w:tc>
          <w:tcPr>
            <w:tcW w:w="1539" w:type="dxa"/>
            <w:tcBorders>
              <w:bottom w:val="single" w:sz="4" w:space="0" w:color="auto"/>
            </w:tcBorders>
          </w:tcPr>
          <w:p w14:paraId="1F6FC448" w14:textId="6C8AD926" w:rsidR="00F41D12" w:rsidRPr="00F235A5" w:rsidRDefault="00F41D12" w:rsidP="00F41D12">
            <w:pPr>
              <w:rPr>
                <w:rFonts w:eastAsiaTheme="minorEastAsia"/>
                <w:sz w:val="22"/>
              </w:rPr>
            </w:pPr>
            <w:r w:rsidRPr="00F235A5">
              <w:rPr>
                <w:rFonts w:eastAsiaTheme="minorEastAsia"/>
                <w:sz w:val="22"/>
              </w:rPr>
              <w:t>Second occurrence</w:t>
            </w:r>
          </w:p>
        </w:tc>
        <w:tc>
          <w:tcPr>
            <w:tcW w:w="1986" w:type="dxa"/>
            <w:tcBorders>
              <w:bottom w:val="single" w:sz="4" w:space="0" w:color="auto"/>
            </w:tcBorders>
          </w:tcPr>
          <w:p w14:paraId="1DC9BE13" w14:textId="7D5ADCEF" w:rsidR="00F41D12" w:rsidRPr="00F235A5" w:rsidRDefault="00F41D12" w:rsidP="00F41D12">
            <w:pPr>
              <w:rPr>
                <w:rFonts w:eastAsiaTheme="minorEastAsia"/>
                <w:sz w:val="22"/>
              </w:rPr>
            </w:pPr>
            <w:r w:rsidRPr="00F235A5">
              <w:rPr>
                <w:rFonts w:eastAsiaTheme="minorEastAsia"/>
                <w:sz w:val="22"/>
              </w:rPr>
              <w:t>No Dose adjustment necessary</w:t>
            </w:r>
          </w:p>
        </w:tc>
        <w:tc>
          <w:tcPr>
            <w:tcW w:w="2269" w:type="dxa"/>
            <w:tcBorders>
              <w:bottom w:val="single" w:sz="4" w:space="0" w:color="auto"/>
            </w:tcBorders>
          </w:tcPr>
          <w:p w14:paraId="5F8D900E" w14:textId="0CA690E1" w:rsidR="00F41D12" w:rsidRPr="00F235A5" w:rsidRDefault="0093578C" w:rsidP="00F41D12">
            <w:pPr>
              <w:rPr>
                <w:rFonts w:eastAsiaTheme="minorEastAsia"/>
                <w:sz w:val="22"/>
              </w:rPr>
            </w:pPr>
            <w:r w:rsidRPr="00F235A5">
              <w:rPr>
                <w:rFonts w:eastAsiaTheme="minorEastAsia"/>
                <w:sz w:val="22"/>
              </w:rPr>
              <w:t>Oxaliplatin 85 mg/m</w:t>
            </w:r>
            <w:r w:rsidR="00F41D12" w:rsidRPr="00F235A5">
              <w:rPr>
                <w:rFonts w:eastAsiaTheme="minorEastAsia"/>
                <w:sz w:val="22"/>
                <w:vertAlign w:val="superscript"/>
              </w:rPr>
              <w:t xml:space="preserve">2 </w:t>
            </w:r>
          </w:p>
        </w:tc>
        <w:tc>
          <w:tcPr>
            <w:tcW w:w="3307" w:type="dxa"/>
            <w:tcBorders>
              <w:bottom w:val="single" w:sz="4" w:space="0" w:color="auto"/>
            </w:tcBorders>
          </w:tcPr>
          <w:p w14:paraId="54DC48EB" w14:textId="11E1E671" w:rsidR="00F41D12" w:rsidRPr="00F235A5" w:rsidRDefault="00F41D12" w:rsidP="00F41D12">
            <w:pPr>
              <w:rPr>
                <w:rFonts w:eastAsiaTheme="minorEastAsia"/>
                <w:sz w:val="22"/>
              </w:rPr>
            </w:pPr>
            <w:r w:rsidRPr="00F235A5">
              <w:rPr>
                <w:sz w:val="22"/>
              </w:rPr>
              <w:t>Permanently discontinue treatment unless continued treatment is beneficial to the patient: reduce Capecitabine by 1 dose level</w:t>
            </w:r>
          </w:p>
        </w:tc>
      </w:tr>
      <w:tr w:rsidR="00F41D12" w:rsidRPr="00F235A5" w14:paraId="79DE3E7D" w14:textId="77777777" w:rsidTr="00384EEC">
        <w:trPr>
          <w:trHeight w:val="305"/>
        </w:trPr>
        <w:tc>
          <w:tcPr>
            <w:tcW w:w="1539" w:type="dxa"/>
            <w:tcBorders>
              <w:top w:val="single" w:sz="4" w:space="0" w:color="auto"/>
              <w:left w:val="single" w:sz="4" w:space="0" w:color="auto"/>
              <w:bottom w:val="single" w:sz="4" w:space="0" w:color="auto"/>
              <w:right w:val="single" w:sz="4" w:space="0" w:color="auto"/>
            </w:tcBorders>
          </w:tcPr>
          <w:p w14:paraId="0D20841E" w14:textId="77777777" w:rsidR="00F41D12" w:rsidRPr="00F235A5" w:rsidRDefault="00F41D12" w:rsidP="00F41D12">
            <w:pPr>
              <w:rPr>
                <w:rFonts w:eastAsiaTheme="minorEastAsia"/>
                <w:sz w:val="22"/>
              </w:rPr>
            </w:pPr>
            <w:r w:rsidRPr="00F235A5">
              <w:rPr>
                <w:rFonts w:eastAsiaTheme="minorEastAsia"/>
                <w:sz w:val="22"/>
              </w:rPr>
              <w:t xml:space="preserve">Third occurrence </w:t>
            </w:r>
          </w:p>
        </w:tc>
        <w:tc>
          <w:tcPr>
            <w:tcW w:w="1986" w:type="dxa"/>
            <w:tcBorders>
              <w:top w:val="single" w:sz="4" w:space="0" w:color="auto"/>
              <w:left w:val="single" w:sz="4" w:space="0" w:color="auto"/>
              <w:bottom w:val="single" w:sz="4" w:space="0" w:color="auto"/>
              <w:right w:val="single" w:sz="4" w:space="0" w:color="auto"/>
            </w:tcBorders>
          </w:tcPr>
          <w:p w14:paraId="337919A3" w14:textId="77777777" w:rsidR="00F41D12" w:rsidRPr="00F235A5" w:rsidRDefault="00F41D12" w:rsidP="00F41D12">
            <w:pPr>
              <w:rPr>
                <w:rFonts w:eastAsiaTheme="minorEastAsia"/>
                <w:sz w:val="22"/>
              </w:rPr>
            </w:pPr>
            <w:r w:rsidRPr="00F235A5">
              <w:rPr>
                <w:rFonts w:eastAsiaTheme="minorEastAsia"/>
                <w:sz w:val="22"/>
              </w:rPr>
              <w:t xml:space="preserve">No dose adjustment necessary </w:t>
            </w:r>
          </w:p>
        </w:tc>
        <w:tc>
          <w:tcPr>
            <w:tcW w:w="2269" w:type="dxa"/>
            <w:tcBorders>
              <w:top w:val="single" w:sz="4" w:space="0" w:color="auto"/>
              <w:left w:val="single" w:sz="4" w:space="0" w:color="auto"/>
              <w:bottom w:val="single" w:sz="4" w:space="0" w:color="auto"/>
              <w:right w:val="single" w:sz="4" w:space="0" w:color="auto"/>
            </w:tcBorders>
          </w:tcPr>
          <w:p w14:paraId="78263CD5" w14:textId="5C778215" w:rsidR="00F41D12" w:rsidRPr="00F235A5" w:rsidRDefault="00F41D12" w:rsidP="00F41D12">
            <w:pPr>
              <w:rPr>
                <w:rFonts w:eastAsiaTheme="minorEastAsia"/>
                <w:sz w:val="22"/>
              </w:rPr>
            </w:pPr>
            <w:r w:rsidRPr="00F235A5">
              <w:rPr>
                <w:rFonts w:eastAsiaTheme="minorEastAsia"/>
                <w:sz w:val="22"/>
              </w:rPr>
              <w:t>Reduce Capecitabine by 1 do</w:t>
            </w:r>
            <w:r w:rsidR="0093578C" w:rsidRPr="00F235A5">
              <w:rPr>
                <w:rFonts w:eastAsiaTheme="minorEastAsia"/>
                <w:sz w:val="22"/>
              </w:rPr>
              <w:t>se level</w:t>
            </w:r>
            <w:r w:rsidRPr="00F235A5">
              <w:rPr>
                <w:rFonts w:eastAsiaTheme="minorEastAsia"/>
                <w:sz w:val="22"/>
              </w:rPr>
              <w:t>, Oxaliplatin 85 mg/m</w:t>
            </w:r>
            <w:r w:rsidRPr="00F235A5">
              <w:rPr>
                <w:rFonts w:eastAsiaTheme="minorEastAsia"/>
                <w:sz w:val="22"/>
                <w:vertAlign w:val="superscript"/>
              </w:rPr>
              <w:t>2</w:t>
            </w:r>
            <w:r w:rsidRPr="00F235A5">
              <w:rPr>
                <w:rFonts w:eastAsiaTheme="minorEastAsia"/>
                <w:sz w:val="22"/>
              </w:rPr>
              <w:t xml:space="preserve"> </w:t>
            </w:r>
          </w:p>
        </w:tc>
        <w:tc>
          <w:tcPr>
            <w:tcW w:w="3307" w:type="dxa"/>
            <w:tcBorders>
              <w:top w:val="single" w:sz="4" w:space="0" w:color="auto"/>
              <w:left w:val="single" w:sz="4" w:space="0" w:color="auto"/>
              <w:bottom w:val="single" w:sz="4" w:space="0" w:color="auto"/>
              <w:right w:val="single" w:sz="4" w:space="0" w:color="auto"/>
            </w:tcBorders>
          </w:tcPr>
          <w:p w14:paraId="6DF8B901" w14:textId="77777777" w:rsidR="00F41D12" w:rsidRPr="00F235A5" w:rsidRDefault="00F41D12" w:rsidP="00F41D12">
            <w:pPr>
              <w:rPr>
                <w:rFonts w:eastAsiaTheme="minorEastAsia"/>
                <w:sz w:val="22"/>
              </w:rPr>
            </w:pPr>
            <w:r w:rsidRPr="00F235A5">
              <w:rPr>
                <w:rFonts w:eastAsiaTheme="minorEastAsia"/>
                <w:sz w:val="22"/>
              </w:rPr>
              <w:t xml:space="preserve">Permanently discontinue medication </w:t>
            </w:r>
          </w:p>
        </w:tc>
      </w:tr>
    </w:tbl>
    <w:p w14:paraId="37318AC0" w14:textId="2FBE4E43" w:rsidR="00846E59" w:rsidRDefault="00846E59" w:rsidP="00384EEC">
      <w:pPr>
        <w:rPr>
          <w:rFonts w:eastAsiaTheme="minorEastAsia"/>
        </w:rPr>
      </w:pPr>
      <w:r w:rsidRPr="00846E59">
        <w:rPr>
          <w:rFonts w:eastAsiaTheme="minorEastAsia"/>
        </w:rPr>
        <w:t>Laboratory values for cycle initiation: the rest period should be extended until ANC</w:t>
      </w:r>
      <w:r w:rsidRPr="00384EEC">
        <w:rPr>
          <w:rFonts w:eastAsiaTheme="minorEastAsia" w:cs="Times New Roman"/>
        </w:rPr>
        <w:t>≥</w:t>
      </w:r>
      <w:r w:rsidRPr="00846E59">
        <w:rPr>
          <w:rFonts w:eastAsiaTheme="minorEastAsia"/>
        </w:rPr>
        <w:t>1.5x10</w:t>
      </w:r>
      <w:r w:rsidRPr="00384EEC">
        <w:rPr>
          <w:rFonts w:eastAsiaTheme="minorEastAsia"/>
          <w:vertAlign w:val="superscript"/>
        </w:rPr>
        <w:t>9</w:t>
      </w:r>
      <w:r w:rsidRPr="00846E59">
        <w:rPr>
          <w:rFonts w:eastAsiaTheme="minorEastAsia"/>
        </w:rPr>
        <w:t xml:space="preserve">/L, platelet </w:t>
      </w:r>
      <w:r w:rsidRPr="00384EEC">
        <w:rPr>
          <w:rFonts w:eastAsiaTheme="minorEastAsia" w:cs="Times New Roman"/>
        </w:rPr>
        <w:t>≥</w:t>
      </w:r>
      <w:r w:rsidRPr="00846E59">
        <w:rPr>
          <w:rFonts w:eastAsiaTheme="minorEastAsia"/>
        </w:rPr>
        <w:t>75x10</w:t>
      </w:r>
      <w:r w:rsidRPr="00384EEC">
        <w:rPr>
          <w:rFonts w:eastAsiaTheme="minorEastAsia"/>
          <w:vertAlign w:val="superscript"/>
        </w:rPr>
        <w:t>9</w:t>
      </w:r>
      <w:r w:rsidRPr="00846E59">
        <w:rPr>
          <w:rFonts w:eastAsiaTheme="minorEastAsia"/>
        </w:rPr>
        <w:t xml:space="preserve">/L, and nonhematologic toxic effects return to baseline or </w:t>
      </w:r>
      <w:r w:rsidRPr="00384EEC">
        <w:rPr>
          <w:rFonts w:eastAsiaTheme="minorEastAsia" w:cs="Times New Roman"/>
        </w:rPr>
        <w:t>≤</w:t>
      </w:r>
      <w:r w:rsidRPr="00846E59">
        <w:rPr>
          <w:rFonts w:eastAsiaTheme="minorEastAsia"/>
        </w:rPr>
        <w:t xml:space="preserve"> grade 1, after which treatment should be restarted</w:t>
      </w:r>
      <w:r w:rsidR="00F235A5">
        <w:rPr>
          <w:rFonts w:eastAsiaTheme="minorEastAsia"/>
        </w:rPr>
        <w:t>.</w:t>
      </w:r>
    </w:p>
    <w:p w14:paraId="5136D13A" w14:textId="7AD0ED6C" w:rsidR="00DC06D1" w:rsidRDefault="00DC06D1" w:rsidP="00F235A5">
      <w:pPr>
        <w:pStyle w:val="20"/>
      </w:pPr>
      <w:bookmarkStart w:id="78" w:name="_Toc196547988"/>
      <w:r>
        <w:rPr>
          <w:rFonts w:hint="eastAsia"/>
        </w:rPr>
        <w:t>5.</w:t>
      </w:r>
      <w:r>
        <w:t>3</w:t>
      </w:r>
      <w:r>
        <w:rPr>
          <w:rFonts w:hint="eastAsia"/>
        </w:rPr>
        <w:t xml:space="preserve"> </w:t>
      </w:r>
      <w:r w:rsidR="003E626F" w:rsidRPr="00F235A5">
        <w:t>Configuration process for drugs</w:t>
      </w:r>
      <w:bookmarkEnd w:id="78"/>
      <w:r>
        <w:rPr>
          <w:rFonts w:hint="eastAsia"/>
        </w:rPr>
        <w:t xml:space="preserve"> </w:t>
      </w:r>
    </w:p>
    <w:p w14:paraId="48CFBC8D" w14:textId="0ED3BB1C" w:rsidR="00FF589B" w:rsidRDefault="00FF589B" w:rsidP="00FF589B">
      <w:pPr>
        <w:pStyle w:val="3"/>
      </w:pPr>
      <w:bookmarkStart w:id="79" w:name="_Toc196547989"/>
      <w:r>
        <w:t>5.3</w:t>
      </w:r>
      <w:r>
        <w:rPr>
          <w:rFonts w:hint="eastAsia"/>
        </w:rPr>
        <w:t>.</w:t>
      </w:r>
      <w:r>
        <w:t xml:space="preserve">1 </w:t>
      </w:r>
      <w:r w:rsidR="003E626F">
        <w:t>Dru</w:t>
      </w:r>
      <w:r w:rsidR="006C52FB">
        <w:t>g</w:t>
      </w:r>
      <w:r w:rsidR="00DC06D1" w:rsidRPr="00DC06D1">
        <w:t xml:space="preserve"> Managemen</w:t>
      </w:r>
      <w:r w:rsidR="00DC06D1">
        <w:t>t</w:t>
      </w:r>
      <w:bookmarkEnd w:id="79"/>
    </w:p>
    <w:p w14:paraId="795F926A" w14:textId="77777777" w:rsidR="003E626F" w:rsidRDefault="003E626F" w:rsidP="003E626F">
      <w:r>
        <w:t xml:space="preserve">According to the requirements of GCP, the study drugs are kept, distributed, and recycled by the drug administrator in the hospital. </w:t>
      </w:r>
    </w:p>
    <w:p w14:paraId="6280F480" w14:textId="3DC145B6" w:rsidR="003E626F" w:rsidRDefault="003E626F" w:rsidP="003E626F">
      <w:r>
        <w:t xml:space="preserve">Used or partially used drug containers, infusion bags, and syringes can be destroyed on-site according to guidelines and operating procedures established by the research center and local institutions. Unused drugs are returned to the sponsor. </w:t>
      </w:r>
    </w:p>
    <w:p w14:paraId="7AAEF2E9" w14:textId="5238AA45" w:rsidR="006535D9" w:rsidRPr="00DC06D1" w:rsidRDefault="003E626F" w:rsidP="00384EEC">
      <w:r>
        <w:t>Drug management such as distribution, and recycling requires complete records. The recycled drugs should be regularly monitored by the sponsor. Inspectors regularly check the usage and record of the drugs.</w:t>
      </w:r>
    </w:p>
    <w:p w14:paraId="09E19254" w14:textId="01A0D734" w:rsidR="00FF589B" w:rsidRDefault="00FF589B" w:rsidP="00384EEC">
      <w:pPr>
        <w:pStyle w:val="3"/>
      </w:pPr>
      <w:bookmarkStart w:id="80" w:name="_Toc196547990"/>
      <w:r>
        <w:t>5.3</w:t>
      </w:r>
      <w:r>
        <w:rPr>
          <w:rFonts w:hint="eastAsia"/>
        </w:rPr>
        <w:t>.2</w:t>
      </w:r>
      <w:r>
        <w:t xml:space="preserve"> Drug Storage</w:t>
      </w:r>
      <w:bookmarkEnd w:id="80"/>
    </w:p>
    <w:p w14:paraId="2DB74F33" w14:textId="77777777" w:rsidR="00FF589B" w:rsidRDefault="00FF589B" w:rsidP="00FF589B">
      <w:r>
        <w:lastRenderedPageBreak/>
        <w:t>The study site shall record the maximum and minimum temperatures for each working day at the storage location of all study drugs. The logging cycle begins with the receipt of the study drug and continues until all study drugs have been recovered.</w:t>
      </w:r>
    </w:p>
    <w:p w14:paraId="6C661138" w14:textId="77777777" w:rsidR="00FF589B" w:rsidRDefault="00FF589B" w:rsidP="00FF589B">
      <w:r>
        <w:t>Study sites with continuous temperature monitoring systems shall also have traceable monitoring logs for archival purposes and shall regularly inspect the temperature monitoring devices and storage devices (e.g. refrigerators) to ensure proper functioning.</w:t>
      </w:r>
    </w:p>
    <w:p w14:paraId="03734098" w14:textId="2183DFAD" w:rsidR="00D45C54" w:rsidRPr="00384EEC" w:rsidRDefault="00FF589B" w:rsidP="00384EEC">
      <w:r>
        <w:t>In case of temperature deviation, it should be reported to the sponsor upon discovery. The research center should take active actions to bring the product to the storage conditions described in the label as soon as possible and, at the same time, report the temperature deviation and the measures taken to the sponsor. The study drug affected by the temperature deviation must be stored in an environment that meets the storage conditions of the drug until permission is received from the Sponsor to proceed with its use.</w:t>
      </w:r>
    </w:p>
    <w:p w14:paraId="18C1EEE7" w14:textId="1FAF7C4F" w:rsidR="00D45C54" w:rsidRDefault="003E0392">
      <w:pPr>
        <w:pStyle w:val="20"/>
      </w:pPr>
      <w:bookmarkStart w:id="81" w:name="_Toc35946299"/>
      <w:bookmarkStart w:id="82" w:name="_Toc196547991"/>
      <w:r>
        <w:rPr>
          <w:rFonts w:hint="eastAsia"/>
        </w:rPr>
        <w:t>5.</w:t>
      </w:r>
      <w:r w:rsidR="00BD1F2B">
        <w:t>4</w:t>
      </w:r>
      <w:r w:rsidR="00BD1F2B">
        <w:rPr>
          <w:rFonts w:hint="eastAsia"/>
        </w:rPr>
        <w:t xml:space="preserve"> </w:t>
      </w:r>
      <w:r>
        <w:rPr>
          <w:rFonts w:hint="eastAsia"/>
        </w:rPr>
        <w:t>Concomitant medications and treatments</w:t>
      </w:r>
      <w:bookmarkEnd w:id="82"/>
      <w:r>
        <w:rPr>
          <w:rFonts w:hint="eastAsia"/>
        </w:rPr>
        <w:t xml:space="preserve"> </w:t>
      </w:r>
      <w:bookmarkEnd w:id="81"/>
    </w:p>
    <w:p w14:paraId="028CA09A" w14:textId="3F548423" w:rsidR="00542B79" w:rsidRPr="00384EEC" w:rsidRDefault="00542B79" w:rsidP="00384EEC">
      <w:pPr>
        <w:rPr>
          <w:rFonts w:eastAsiaTheme="minorEastAsia"/>
        </w:rPr>
      </w:pPr>
      <w:r w:rsidRPr="00542B79">
        <w:rPr>
          <w:rFonts w:eastAsiaTheme="minorEastAsia"/>
        </w:rPr>
        <w:t xml:space="preserve">During the observation of the trial, all drugs except the study drugs </w:t>
      </w:r>
      <w:r>
        <w:rPr>
          <w:rFonts w:eastAsiaTheme="minorEastAsia"/>
        </w:rPr>
        <w:t>are</w:t>
      </w:r>
      <w:r w:rsidRPr="00542B79">
        <w:t xml:space="preserve"> </w:t>
      </w:r>
      <w:r>
        <w:rPr>
          <w:rFonts w:eastAsiaTheme="minorEastAsia"/>
        </w:rPr>
        <w:t>c</w:t>
      </w:r>
      <w:r w:rsidRPr="00542B79">
        <w:rPr>
          <w:rFonts w:eastAsiaTheme="minorEastAsia"/>
        </w:rPr>
        <w:t xml:space="preserve">oncomitant medications and should be recorded in the subjects' medical records and eCRF. Concomitant medications </w:t>
      </w:r>
      <w:r>
        <w:rPr>
          <w:rFonts w:eastAsiaTheme="minorEastAsia"/>
        </w:rPr>
        <w:t>are</w:t>
      </w:r>
      <w:r w:rsidRPr="00542B79">
        <w:rPr>
          <w:rFonts w:eastAsiaTheme="minorEastAsia"/>
        </w:rPr>
        <w:t xml:space="preserve"> recorded from the time a participant provided informed consent until 30 days after the end of the study or the initiation of </w:t>
      </w:r>
      <w:r>
        <w:rPr>
          <w:rFonts w:eastAsiaTheme="minorEastAsia"/>
        </w:rPr>
        <w:t>new</w:t>
      </w:r>
      <w:r w:rsidRPr="00542B79">
        <w:rPr>
          <w:rFonts w:eastAsiaTheme="minorEastAsia"/>
        </w:rPr>
        <w:t xml:space="preserve"> antineoplastic therapy, whichever c</w:t>
      </w:r>
      <w:r>
        <w:rPr>
          <w:rFonts w:eastAsiaTheme="minorEastAsia"/>
        </w:rPr>
        <w:t>omes</w:t>
      </w:r>
      <w:r w:rsidRPr="00542B79">
        <w:rPr>
          <w:rFonts w:eastAsiaTheme="minorEastAsia"/>
        </w:rPr>
        <w:t xml:space="preserve"> first.</w:t>
      </w:r>
    </w:p>
    <w:p w14:paraId="7715D4AD" w14:textId="0EAC756D" w:rsidR="008B5DAD" w:rsidRDefault="008B5DAD" w:rsidP="008B5DAD">
      <w:pPr>
        <w:pStyle w:val="3"/>
      </w:pPr>
      <w:bookmarkStart w:id="83" w:name="_Toc35946300"/>
      <w:bookmarkStart w:id="84" w:name="_Toc196547992"/>
      <w:r>
        <w:rPr>
          <w:rFonts w:hint="eastAsia"/>
        </w:rPr>
        <w:t>5</w:t>
      </w:r>
      <w:r>
        <w:t xml:space="preserve">.4.1 </w:t>
      </w:r>
      <w:r w:rsidR="00D147B8">
        <w:t>Start and end time point for</w:t>
      </w:r>
      <w:r>
        <w:t xml:space="preserve"> </w:t>
      </w:r>
      <w:r w:rsidR="00D147B8">
        <w:t>c</w:t>
      </w:r>
      <w:r>
        <w:t xml:space="preserve">oncomitant </w:t>
      </w:r>
      <w:r w:rsidR="00D147B8">
        <w:t>m</w:t>
      </w:r>
      <w:r>
        <w:t xml:space="preserve">edications and </w:t>
      </w:r>
      <w:r w:rsidR="00D147B8">
        <w:t>c</w:t>
      </w:r>
      <w:r>
        <w:t xml:space="preserve">oncomitant </w:t>
      </w:r>
      <w:r w:rsidR="00D147B8">
        <w:t>t</w:t>
      </w:r>
      <w:r>
        <w:t>herapy</w:t>
      </w:r>
      <w:bookmarkEnd w:id="84"/>
      <w:r>
        <w:t xml:space="preserve"> </w:t>
      </w:r>
    </w:p>
    <w:p w14:paraId="079CE98C" w14:textId="14CC840D" w:rsidR="008B5DAD" w:rsidRDefault="008B5DAD" w:rsidP="00384EEC">
      <w:pPr>
        <w:pStyle w:val="P68B1DB1-125"/>
        <w:rPr>
          <w:rFonts w:hint="default"/>
        </w:rPr>
      </w:pPr>
      <w:r>
        <w:t>During the trial, any concomitant drug needs to be recorded in the subject's medical record and eCRF as follows:</w:t>
      </w:r>
    </w:p>
    <w:tbl>
      <w:tblPr>
        <w:tblW w:w="9380"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4690"/>
        <w:gridCol w:w="4690"/>
      </w:tblGrid>
      <w:tr w:rsidR="008B5DAD" w:rsidRPr="00E54829" w14:paraId="298C8757" w14:textId="77777777" w:rsidTr="00646849">
        <w:trPr>
          <w:trHeight w:val="128"/>
        </w:trPr>
        <w:tc>
          <w:tcPr>
            <w:tcW w:w="4690" w:type="dxa"/>
          </w:tcPr>
          <w:p w14:paraId="29B85A3B" w14:textId="65209872" w:rsidR="008B5DAD" w:rsidRPr="00E54829" w:rsidRDefault="008B5DAD" w:rsidP="00726748">
            <w:pPr>
              <w:pStyle w:val="P68B1DB1-a23"/>
              <w:autoSpaceDE w:val="0"/>
              <w:autoSpaceDN w:val="0"/>
              <w:adjustRightInd w:val="0"/>
              <w:spacing w:line="360" w:lineRule="auto"/>
              <w:ind w:firstLine="480"/>
            </w:pPr>
            <w:r w:rsidRPr="00E54829">
              <w:t xml:space="preserve">Recordkeeping </w:t>
            </w:r>
            <w:r w:rsidR="00726748">
              <w:t>period</w:t>
            </w:r>
            <w:r w:rsidR="00726748" w:rsidRPr="00E54829">
              <w:t xml:space="preserve"> </w:t>
            </w:r>
          </w:p>
        </w:tc>
        <w:tc>
          <w:tcPr>
            <w:tcW w:w="4690" w:type="dxa"/>
          </w:tcPr>
          <w:p w14:paraId="206A5005" w14:textId="64321F91" w:rsidR="008B5DAD" w:rsidRPr="00E54829" w:rsidRDefault="008B5DAD" w:rsidP="00646849">
            <w:pPr>
              <w:pStyle w:val="P68B1DB1-a23"/>
              <w:autoSpaceDE w:val="0"/>
              <w:autoSpaceDN w:val="0"/>
              <w:adjustRightInd w:val="0"/>
              <w:spacing w:line="360" w:lineRule="auto"/>
              <w:ind w:firstLine="480"/>
            </w:pPr>
            <w:r w:rsidRPr="00E54829">
              <w:t>Record</w:t>
            </w:r>
            <w:r w:rsidR="00726748">
              <w:t xml:space="preserve"> </w:t>
            </w:r>
            <w:r w:rsidRPr="00E54829">
              <w:t xml:space="preserve">keeping requirements </w:t>
            </w:r>
          </w:p>
        </w:tc>
      </w:tr>
      <w:tr w:rsidR="008B5DAD" w:rsidRPr="00E54829" w14:paraId="59684F03" w14:textId="77777777" w:rsidTr="00646849">
        <w:trPr>
          <w:trHeight w:val="334"/>
        </w:trPr>
        <w:tc>
          <w:tcPr>
            <w:tcW w:w="4690" w:type="dxa"/>
          </w:tcPr>
          <w:p w14:paraId="0F30DEF0" w14:textId="6C45CED9" w:rsidR="008B5DAD" w:rsidRPr="00E54829" w:rsidRDefault="009F7AF3">
            <w:pPr>
              <w:autoSpaceDE w:val="0"/>
              <w:autoSpaceDN w:val="0"/>
              <w:adjustRightInd w:val="0"/>
              <w:rPr>
                <w:rFonts w:eastAsia="宋体" w:cs="Times New Roman"/>
              </w:rPr>
            </w:pPr>
            <w:r>
              <w:rPr>
                <w:rFonts w:eastAsia="宋体" w:cs="Times New Roman"/>
              </w:rPr>
              <w:t>Within 30 days</w:t>
            </w:r>
            <w:r w:rsidR="008B5DAD" w:rsidRPr="006F1BD0">
              <w:rPr>
                <w:rFonts w:eastAsia="宋体" w:cs="Times New Roman"/>
              </w:rPr>
              <w:t xml:space="preserve"> before the first dose</w:t>
            </w:r>
            <w:r w:rsidR="008B5DAD" w:rsidRPr="00E54829">
              <w:rPr>
                <w:rFonts w:eastAsia="宋体" w:cs="Times New Roman"/>
              </w:rPr>
              <w:t xml:space="preserve"> </w:t>
            </w:r>
            <w:r>
              <w:rPr>
                <w:rFonts w:eastAsia="宋体" w:cs="Times New Roman"/>
              </w:rPr>
              <w:t>(day 1)</w:t>
            </w:r>
          </w:p>
        </w:tc>
        <w:tc>
          <w:tcPr>
            <w:tcW w:w="4690" w:type="dxa"/>
          </w:tcPr>
          <w:p w14:paraId="60E557DB" w14:textId="77777777" w:rsidR="008B5DAD" w:rsidRPr="00E54829" w:rsidRDefault="008B5DAD" w:rsidP="00646849">
            <w:pPr>
              <w:pStyle w:val="P68B1DB1-a23"/>
              <w:snapToGrid w:val="0"/>
              <w:spacing w:line="360" w:lineRule="auto"/>
            </w:pPr>
            <w:r w:rsidRPr="00E54829">
              <w:t xml:space="preserve">All medications or meaningful nondrug treatments: generic name, doses, the reason for treatment with this medication, start and stop date of this medication, or whether this medication </w:t>
            </w:r>
            <w:r>
              <w:t>is</w:t>
            </w:r>
            <w:r w:rsidRPr="00E54829">
              <w:t xml:space="preserve"> continued at study enrollment </w:t>
            </w:r>
          </w:p>
        </w:tc>
      </w:tr>
      <w:tr w:rsidR="008B5DAD" w:rsidRPr="00E54829" w14:paraId="559052E9" w14:textId="77777777" w:rsidTr="00646849">
        <w:trPr>
          <w:trHeight w:val="344"/>
        </w:trPr>
        <w:tc>
          <w:tcPr>
            <w:tcW w:w="4690" w:type="dxa"/>
          </w:tcPr>
          <w:p w14:paraId="11AC19DB" w14:textId="77777777" w:rsidR="008B5DAD" w:rsidRPr="00E54829" w:rsidRDefault="008B5DAD" w:rsidP="00646849">
            <w:pPr>
              <w:autoSpaceDE w:val="0"/>
              <w:autoSpaceDN w:val="0"/>
              <w:adjustRightInd w:val="0"/>
              <w:rPr>
                <w:rFonts w:eastAsia="宋体" w:cs="Times New Roman"/>
              </w:rPr>
            </w:pPr>
            <w:r w:rsidRPr="00E54829">
              <w:rPr>
                <w:rFonts w:eastAsia="宋体" w:cs="Times New Roman"/>
              </w:rPr>
              <w:t xml:space="preserve">From the first dose of study drug until withdrawal/termination </w:t>
            </w:r>
          </w:p>
        </w:tc>
        <w:tc>
          <w:tcPr>
            <w:tcW w:w="4690" w:type="dxa"/>
          </w:tcPr>
          <w:p w14:paraId="1268B264" w14:textId="77777777" w:rsidR="008B5DAD" w:rsidRPr="00E54829" w:rsidRDefault="008B5DAD" w:rsidP="00646849">
            <w:pPr>
              <w:pStyle w:val="P68B1DB1-a23"/>
              <w:autoSpaceDE w:val="0"/>
              <w:autoSpaceDN w:val="0"/>
              <w:adjustRightInd w:val="0"/>
              <w:spacing w:line="360" w:lineRule="auto"/>
            </w:pPr>
            <w:r w:rsidRPr="00E54829">
              <w:t>All medications or meaningful nondrug treatments</w:t>
            </w:r>
          </w:p>
        </w:tc>
      </w:tr>
      <w:tr w:rsidR="008B5DAD" w:rsidRPr="00E54829" w14:paraId="458519F8" w14:textId="77777777" w:rsidTr="00646849">
        <w:trPr>
          <w:trHeight w:val="344"/>
        </w:trPr>
        <w:tc>
          <w:tcPr>
            <w:tcW w:w="4690" w:type="dxa"/>
          </w:tcPr>
          <w:p w14:paraId="1CC99169" w14:textId="01767B88" w:rsidR="008B5DAD" w:rsidRPr="004D04DF" w:rsidRDefault="008B5DAD">
            <w:pPr>
              <w:autoSpaceDE w:val="0"/>
              <w:autoSpaceDN w:val="0"/>
              <w:adjustRightInd w:val="0"/>
              <w:rPr>
                <w:rFonts w:eastAsia="宋体" w:cs="Times New Roman"/>
              </w:rPr>
            </w:pPr>
            <w:r w:rsidRPr="006F1BD0">
              <w:rPr>
                <w:rFonts w:eastAsia="宋体" w:cs="Times New Roman"/>
              </w:rPr>
              <w:t>Withdrawal from the trial</w:t>
            </w:r>
            <w:r w:rsidR="004B7DDA">
              <w:rPr>
                <w:rFonts w:eastAsia="宋体" w:cs="Times New Roman"/>
              </w:rPr>
              <w:t xml:space="preserve"> or trail termination</w:t>
            </w:r>
            <w:r w:rsidRPr="006F1BD0">
              <w:rPr>
                <w:rFonts w:eastAsia="宋体" w:cs="Times New Roman"/>
              </w:rPr>
              <w:t xml:space="preserve"> until </w:t>
            </w:r>
            <w:r w:rsidR="005E3A22">
              <w:rPr>
                <w:rFonts w:eastAsia="宋体" w:cs="Times New Roman"/>
              </w:rPr>
              <w:t>30 days</w:t>
            </w:r>
            <w:r w:rsidRPr="006F1BD0">
              <w:rPr>
                <w:rFonts w:eastAsia="宋体" w:cs="Times New Roman"/>
              </w:rPr>
              <w:t xml:space="preserve"> after the last </w:t>
            </w:r>
            <w:r w:rsidR="005E3A22">
              <w:rPr>
                <w:rFonts w:eastAsia="宋体" w:cs="Times New Roman"/>
              </w:rPr>
              <w:t xml:space="preserve">dose </w:t>
            </w:r>
            <w:r w:rsidRPr="006F1BD0">
              <w:rPr>
                <w:rFonts w:eastAsia="宋体" w:cs="Times New Roman"/>
              </w:rPr>
              <w:t xml:space="preserve">or initiation of </w:t>
            </w:r>
            <w:r>
              <w:rPr>
                <w:rFonts w:eastAsia="宋体" w:cs="Times New Roman"/>
              </w:rPr>
              <w:t>other</w:t>
            </w:r>
            <w:r w:rsidRPr="006F1BD0">
              <w:rPr>
                <w:rFonts w:eastAsia="宋体" w:cs="Times New Roman"/>
              </w:rPr>
              <w:t xml:space="preserve"> antitumor therapy</w:t>
            </w:r>
            <w:r w:rsidR="009F7AF3">
              <w:rPr>
                <w:rFonts w:eastAsia="宋体" w:cs="Times New Roman"/>
              </w:rPr>
              <w:t xml:space="preserve"> (</w:t>
            </w:r>
            <w:r w:rsidRPr="006F1BD0">
              <w:rPr>
                <w:rFonts w:eastAsia="宋体" w:cs="Times New Roman"/>
              </w:rPr>
              <w:t>whichever c</w:t>
            </w:r>
            <w:r>
              <w:rPr>
                <w:rFonts w:eastAsia="宋体" w:cs="Times New Roman"/>
              </w:rPr>
              <w:t>o</w:t>
            </w:r>
            <w:r w:rsidRPr="006F1BD0">
              <w:rPr>
                <w:rFonts w:eastAsia="宋体" w:cs="Times New Roman"/>
              </w:rPr>
              <w:t>me first</w:t>
            </w:r>
            <w:r w:rsidR="009F7AF3">
              <w:rPr>
                <w:rFonts w:eastAsia="宋体" w:cs="Times New Roman"/>
              </w:rPr>
              <w:t>)</w:t>
            </w:r>
          </w:p>
        </w:tc>
        <w:tc>
          <w:tcPr>
            <w:tcW w:w="4690" w:type="dxa"/>
          </w:tcPr>
          <w:p w14:paraId="7BDC17AC" w14:textId="5E01E047" w:rsidR="008B5DAD" w:rsidRPr="00E54829" w:rsidRDefault="008B5DAD" w:rsidP="00646849">
            <w:pPr>
              <w:autoSpaceDE w:val="0"/>
              <w:autoSpaceDN w:val="0"/>
              <w:adjustRightInd w:val="0"/>
              <w:rPr>
                <w:rFonts w:eastAsia="宋体" w:cs="Times New Roman"/>
              </w:rPr>
            </w:pPr>
            <w:r w:rsidRPr="00E54829">
              <w:rPr>
                <w:rFonts w:eastAsia="宋体" w:cs="Times New Roman"/>
              </w:rPr>
              <w:t>All medications related to AE</w:t>
            </w:r>
            <w:r w:rsidR="005D642E">
              <w:rPr>
                <w:rFonts w:eastAsia="宋体" w:cs="Times New Roman"/>
              </w:rPr>
              <w:t>/SAE</w:t>
            </w:r>
            <w:r w:rsidRPr="00E54829">
              <w:rPr>
                <w:rFonts w:eastAsia="宋体" w:cs="Times New Roman"/>
              </w:rPr>
              <w:t xml:space="preserve"> disposition </w:t>
            </w:r>
          </w:p>
        </w:tc>
      </w:tr>
      <w:tr w:rsidR="008B5DAD" w:rsidRPr="00E54829" w14:paraId="64741F27" w14:textId="77777777" w:rsidTr="00646849">
        <w:trPr>
          <w:trHeight w:val="334"/>
        </w:trPr>
        <w:tc>
          <w:tcPr>
            <w:tcW w:w="4690" w:type="dxa"/>
          </w:tcPr>
          <w:p w14:paraId="1E421BEF" w14:textId="396DCDC6" w:rsidR="008B5DAD" w:rsidRPr="00E54829" w:rsidRDefault="008B5DAD">
            <w:pPr>
              <w:autoSpaceDE w:val="0"/>
              <w:autoSpaceDN w:val="0"/>
              <w:adjustRightInd w:val="0"/>
              <w:rPr>
                <w:rFonts w:eastAsia="宋体" w:cs="Times New Roman"/>
              </w:rPr>
            </w:pPr>
            <w:r w:rsidRPr="00E54829">
              <w:rPr>
                <w:rFonts w:eastAsia="宋体" w:cs="Times New Roman"/>
              </w:rPr>
              <w:t>Post-treatment phase (</w:t>
            </w:r>
            <w:r w:rsidR="005D642E">
              <w:rPr>
                <w:rFonts w:eastAsia="宋体" w:cs="Times New Roman"/>
              </w:rPr>
              <w:t>30 days</w:t>
            </w:r>
            <w:r w:rsidRPr="006F1BD0">
              <w:rPr>
                <w:rFonts w:eastAsia="宋体" w:cs="Times New Roman"/>
              </w:rPr>
              <w:t xml:space="preserve"> after the last </w:t>
            </w:r>
            <w:r w:rsidR="005D642E">
              <w:rPr>
                <w:rFonts w:eastAsia="宋体" w:cs="Times New Roman"/>
              </w:rPr>
              <w:lastRenderedPageBreak/>
              <w:t xml:space="preserve">dose </w:t>
            </w:r>
            <w:r w:rsidRPr="006F1BD0">
              <w:rPr>
                <w:rFonts w:eastAsia="宋体" w:cs="Times New Roman"/>
              </w:rPr>
              <w:t>or initiation of other antitumor therapy</w:t>
            </w:r>
            <w:r w:rsidRPr="00E54829">
              <w:rPr>
                <w:rFonts w:eastAsia="宋体" w:cs="Times New Roman"/>
              </w:rPr>
              <w:t xml:space="preserve">) </w:t>
            </w:r>
          </w:p>
        </w:tc>
        <w:tc>
          <w:tcPr>
            <w:tcW w:w="4690" w:type="dxa"/>
          </w:tcPr>
          <w:p w14:paraId="69365552" w14:textId="76B1C5FD" w:rsidR="008B5DAD" w:rsidRPr="00E54829" w:rsidRDefault="008B5DAD">
            <w:pPr>
              <w:autoSpaceDE w:val="0"/>
              <w:autoSpaceDN w:val="0"/>
              <w:adjustRightInd w:val="0"/>
              <w:rPr>
                <w:rFonts w:eastAsia="宋体" w:cs="Times New Roman"/>
              </w:rPr>
            </w:pPr>
            <w:r w:rsidRPr="00E54829">
              <w:rPr>
                <w:rFonts w:eastAsia="宋体" w:cs="Times New Roman"/>
              </w:rPr>
              <w:lastRenderedPageBreak/>
              <w:t>All treatments re</w:t>
            </w:r>
            <w:r>
              <w:rPr>
                <w:rFonts w:eastAsia="宋体" w:cs="Times New Roman"/>
              </w:rPr>
              <w:t xml:space="preserve">levant to the target indication </w:t>
            </w:r>
          </w:p>
        </w:tc>
      </w:tr>
    </w:tbl>
    <w:p w14:paraId="62F6E211" w14:textId="76C6B3E7" w:rsidR="00D45C54" w:rsidRDefault="003E0392">
      <w:pPr>
        <w:pStyle w:val="3"/>
      </w:pPr>
      <w:bookmarkStart w:id="85" w:name="_Toc196547993"/>
      <w:r>
        <w:rPr>
          <w:rFonts w:hint="eastAsia"/>
        </w:rPr>
        <w:lastRenderedPageBreak/>
        <w:t>5.</w:t>
      </w:r>
      <w:r w:rsidR="006E4348">
        <w:t>4</w:t>
      </w:r>
      <w:r>
        <w:rPr>
          <w:rFonts w:hint="eastAsia"/>
        </w:rPr>
        <w:t>.</w:t>
      </w:r>
      <w:r w:rsidR="006E4348">
        <w:t>2</w:t>
      </w:r>
      <w:r>
        <w:rPr>
          <w:rFonts w:hint="eastAsia"/>
        </w:rPr>
        <w:t xml:space="preserve"> Prohibited concomitant medications</w:t>
      </w:r>
      <w:bookmarkEnd w:id="85"/>
      <w:r>
        <w:rPr>
          <w:rFonts w:hint="eastAsia"/>
        </w:rPr>
        <w:t xml:space="preserve"> </w:t>
      </w:r>
      <w:bookmarkEnd w:id="83"/>
    </w:p>
    <w:p w14:paraId="2FC6A018" w14:textId="417BC5CC" w:rsidR="0095719A" w:rsidRDefault="0095719A" w:rsidP="00384EEC">
      <w:pPr>
        <w:pStyle w:val="P68B1DB1-125"/>
        <w:rPr>
          <w:rFonts w:hint="default"/>
        </w:rPr>
      </w:pPr>
      <w:r>
        <w:t>A</w:t>
      </w:r>
      <w:r w:rsidRPr="00757D8B">
        <w:t xml:space="preserve">nti-tumor indications approved by NMPA, including modern traditional Chinese medicine preparations and immunomodulators (including </w:t>
      </w:r>
      <w:r w:rsidRPr="0095719A">
        <w:t>compound cantharis capsule, Kangai injection, Kanglaite capsule/injection, Aidi injection, Brucea javanica oil injection/capsule, Xiaoaiping tablet/injection, cinobufacin capsule, etc</w:t>
      </w:r>
      <w:r w:rsidRPr="00757D8B">
        <w:t>).</w:t>
      </w:r>
    </w:p>
    <w:p w14:paraId="5212ED40" w14:textId="22067761" w:rsidR="00D45C54" w:rsidRDefault="003628FA" w:rsidP="00384EEC">
      <w:r w:rsidRPr="003628FA">
        <w:t xml:space="preserve">Any concomitant nonprotocol-specified </w:t>
      </w:r>
      <w:r w:rsidR="0095719A" w:rsidRPr="0095719A">
        <w:t>local treatment for the lesion, including surgery (other than protocol-specified radical resection of metastatic lesions) and radiotherapy (other than palliative local treatment described in 5.4.4)</w:t>
      </w:r>
      <w:r w:rsidR="0095719A">
        <w:t xml:space="preserve"> </w:t>
      </w:r>
      <w:r w:rsidRPr="0095719A">
        <w:t>a</w:t>
      </w:r>
      <w:r w:rsidR="0095719A">
        <w:t>nd</w:t>
      </w:r>
      <w:r w:rsidR="0095719A" w:rsidRPr="0095719A">
        <w:t xml:space="preserve"> </w:t>
      </w:r>
      <w:r w:rsidR="0095719A">
        <w:t>other systematic antitomur</w:t>
      </w:r>
      <w:r w:rsidR="0095719A" w:rsidRPr="003628FA">
        <w:t xml:space="preserve"> </w:t>
      </w:r>
      <w:r w:rsidRPr="003628FA">
        <w:t>therapy</w:t>
      </w:r>
      <w:r w:rsidR="0095719A">
        <w:t>,</w:t>
      </w:r>
      <w:r w:rsidR="004B28F4">
        <w:t xml:space="preserve"> </w:t>
      </w:r>
      <w:r w:rsidR="0095719A">
        <w:t>such as</w:t>
      </w:r>
      <w:r w:rsidRPr="003628FA">
        <w:t xml:space="preserve"> chemotherapy, </w:t>
      </w:r>
      <w:r w:rsidR="0095719A" w:rsidRPr="003628FA">
        <w:t>targeted therapy</w:t>
      </w:r>
      <w:r w:rsidR="0095719A">
        <w:t xml:space="preserve">, </w:t>
      </w:r>
      <w:r w:rsidRPr="003628FA">
        <w:t>hormonal therapy, immunotherapy</w:t>
      </w:r>
      <w:r w:rsidR="0095719A">
        <w:t>.</w:t>
      </w:r>
      <w:r w:rsidR="003E0392">
        <w:t xml:space="preserve"> </w:t>
      </w:r>
    </w:p>
    <w:p w14:paraId="1442C819" w14:textId="3829CBD5" w:rsidR="00D45C54" w:rsidRDefault="003E0392">
      <w:pPr>
        <w:pStyle w:val="3"/>
      </w:pPr>
      <w:bookmarkStart w:id="86" w:name="_Toc35946301"/>
      <w:bookmarkStart w:id="87" w:name="_Toc196547994"/>
      <w:r>
        <w:rPr>
          <w:rFonts w:hint="eastAsia"/>
        </w:rPr>
        <w:t>5.</w:t>
      </w:r>
      <w:r w:rsidR="006A5CB0">
        <w:t>4</w:t>
      </w:r>
      <w:r>
        <w:rPr>
          <w:rFonts w:hint="eastAsia"/>
        </w:rPr>
        <w:t>.</w:t>
      </w:r>
      <w:r w:rsidR="006A5CB0">
        <w:t>3</w:t>
      </w:r>
      <w:r>
        <w:rPr>
          <w:rFonts w:hint="eastAsia"/>
        </w:rPr>
        <w:t xml:space="preserve"> Concomitant </w:t>
      </w:r>
      <w:r w:rsidR="006A5CB0">
        <w:t xml:space="preserve">medications allowing with </w:t>
      </w:r>
      <w:r w:rsidR="006A5CB0" w:rsidRPr="00E54829">
        <w:rPr>
          <w:rFonts w:cs="Times New Roman"/>
        </w:rPr>
        <w:t>cautio</w:t>
      </w:r>
      <w:r w:rsidR="006A5CB0">
        <w:rPr>
          <w:rFonts w:cs="Times New Roman"/>
        </w:rPr>
        <w:t>n</w:t>
      </w:r>
      <w:bookmarkEnd w:id="86"/>
      <w:bookmarkEnd w:id="87"/>
    </w:p>
    <w:p w14:paraId="01B65880" w14:textId="4EF3BF06" w:rsidR="005E5106" w:rsidRPr="00384EEC" w:rsidRDefault="005E5106" w:rsidP="006D1B06">
      <w:pPr>
        <w:pStyle w:val="P68B1DB1-15621"/>
        <w:numPr>
          <w:ilvl w:val="0"/>
          <w:numId w:val="27"/>
        </w:numPr>
        <w:spacing w:before="120"/>
        <w:rPr>
          <w:rFonts w:hint="default"/>
          <w:b w:val="0"/>
        </w:rPr>
      </w:pPr>
      <w:r w:rsidRPr="00384EEC">
        <w:rPr>
          <w:rFonts w:hint="default"/>
          <w:b w:val="0"/>
        </w:rPr>
        <w:t xml:space="preserve">Medications </w:t>
      </w:r>
      <w:r w:rsidR="006A0C9F">
        <w:rPr>
          <w:rFonts w:hint="default"/>
          <w:b w:val="0"/>
        </w:rPr>
        <w:t xml:space="preserve">that </w:t>
      </w:r>
      <w:r w:rsidRPr="00384EEC">
        <w:rPr>
          <w:rFonts w:hint="default"/>
          <w:b w:val="0"/>
        </w:rPr>
        <w:t>affect anlotinib</w:t>
      </w:r>
    </w:p>
    <w:p w14:paraId="41BE89C1" w14:textId="77777777" w:rsidR="005E5106" w:rsidRPr="0004365B" w:rsidRDefault="005E5106" w:rsidP="005E5106">
      <w:pPr>
        <w:suppressAutoHyphens w:val="0"/>
        <w:topLinePunct w:val="0"/>
        <w:rPr>
          <w:rFonts w:eastAsia="宋体" w:cs="Times New Roman"/>
          <w:b/>
          <w:kern w:val="2"/>
          <w14:numSpacing w14:val="default"/>
        </w:rPr>
      </w:pPr>
      <w:r w:rsidRPr="0004365B">
        <w:rPr>
          <w:rFonts w:eastAsia="宋体" w:cs="Times New Roman"/>
          <w:b/>
          <w:kern w:val="2"/>
          <w14:numSpacing w14:val="default"/>
        </w:rPr>
        <w:t xml:space="preserve">Effects of CYP1A2 and CYP3A4/5 inducers and inhibitors on anlotinib </w:t>
      </w:r>
    </w:p>
    <w:p w14:paraId="45B79AC3" w14:textId="77777777" w:rsidR="005E5106" w:rsidRPr="005E5106" w:rsidRDefault="005E5106" w:rsidP="00384EEC">
      <w:pPr>
        <w:suppressAutoHyphens w:val="0"/>
        <w:topLinePunct w:val="0"/>
        <w:rPr>
          <w:rFonts w:eastAsia="宋体" w:cs="Times New Roman"/>
          <w:kern w:val="2"/>
          <w14:numSpacing w14:val="default"/>
        </w:rPr>
      </w:pPr>
      <w:r w:rsidRPr="005E5106">
        <w:rPr>
          <w:rFonts w:eastAsia="宋体" w:cs="Times New Roman"/>
          <w:kern w:val="2"/>
          <w14:numSpacing w14:val="default"/>
        </w:rPr>
        <w:t xml:space="preserve">Anlotinib is primarily metabolized by CYP1A2 and CYP3A4/5. </w:t>
      </w:r>
    </w:p>
    <w:p w14:paraId="2FB90907" w14:textId="2DA3EAE1" w:rsidR="005E5106" w:rsidRPr="005E5106" w:rsidRDefault="00210C9F" w:rsidP="00384EEC">
      <w:pPr>
        <w:suppressAutoHyphens w:val="0"/>
        <w:topLinePunct w:val="0"/>
        <w:rPr>
          <w:rFonts w:eastAsia="宋体" w:cs="Times New Roman"/>
          <w:kern w:val="2"/>
          <w14:numSpacing w14:val="default"/>
        </w:rPr>
      </w:pPr>
      <w:r w:rsidRPr="00210C9F">
        <w:rPr>
          <w:rFonts w:eastAsia="宋体" w:cs="Times New Roman"/>
          <w:kern w:val="2"/>
          <w14:numSpacing w14:val="default"/>
        </w:rPr>
        <w:t xml:space="preserve">Strong </w:t>
      </w:r>
      <w:r w:rsidR="005E5106" w:rsidRPr="005E5106">
        <w:rPr>
          <w:rFonts w:eastAsia="宋体" w:cs="Times New Roman"/>
          <w:kern w:val="2"/>
          <w14:numSpacing w14:val="default"/>
        </w:rPr>
        <w:t xml:space="preserve">CYP3A4/5 inducers (rifampicin, rifabutin, rifapentine, dexamethasone, phenytoin, carbamazepine, or phenobarbital, etc.), and CYP1A2 inducers (montelukast, omeprazole, moricizine, etc.) may accelerate the metabolism of anlotinib and reduce plasma concentrations of anlotinib. </w:t>
      </w:r>
    </w:p>
    <w:p w14:paraId="689C1161" w14:textId="77777777" w:rsidR="005E5106" w:rsidRPr="005E5106" w:rsidRDefault="005E5106" w:rsidP="00384EEC">
      <w:pPr>
        <w:suppressAutoHyphens w:val="0"/>
        <w:topLinePunct w:val="0"/>
        <w:rPr>
          <w:rFonts w:eastAsia="宋体" w:cs="Times New Roman"/>
          <w:kern w:val="2"/>
          <w14:numSpacing w14:val="default"/>
        </w:rPr>
      </w:pPr>
      <w:r w:rsidRPr="005E5106">
        <w:rPr>
          <w:rFonts w:eastAsia="宋体" w:cs="Times New Roman"/>
          <w:kern w:val="2"/>
          <w14:numSpacing w14:val="default"/>
        </w:rPr>
        <w:t xml:space="preserve">Strong CYP3A4/5 inhibitors (ketoconazole, itraconazole, clarithromycin, voriconazole, telithromycin, saquinavir, ritonavir, etc.), and strong CYP1A2 inhibitors (ciprofloxacin, enoxacin, and fluvoxamine) may slow the metabolism of anlotinib and increase plasma concentrations of anlotinib. </w:t>
      </w:r>
    </w:p>
    <w:p w14:paraId="4653AD26" w14:textId="6AE7469F" w:rsidR="005E5106" w:rsidRPr="005E5106" w:rsidRDefault="005E5106" w:rsidP="00384EEC">
      <w:pPr>
        <w:suppressAutoHyphens w:val="0"/>
        <w:topLinePunct w:val="0"/>
        <w:rPr>
          <w:rFonts w:eastAsia="宋体" w:cs="Times New Roman"/>
          <w:kern w:val="2"/>
          <w14:numSpacing w14:val="default"/>
        </w:rPr>
      </w:pPr>
      <w:r w:rsidRPr="005E5106">
        <w:rPr>
          <w:rFonts w:eastAsia="宋体" w:cs="Times New Roman"/>
          <w:kern w:val="2"/>
          <w14:numSpacing w14:val="default"/>
        </w:rPr>
        <w:t xml:space="preserve">It is recommended to avoid co-administration with </w:t>
      </w:r>
      <w:r w:rsidR="00210C9F" w:rsidRPr="005E5106">
        <w:rPr>
          <w:rFonts w:eastAsia="宋体" w:cs="Times New Roman"/>
          <w:kern w:val="2"/>
          <w14:numSpacing w14:val="default"/>
        </w:rPr>
        <w:t>CYP1A2</w:t>
      </w:r>
      <w:r w:rsidR="00210C9F">
        <w:rPr>
          <w:rFonts w:eastAsia="宋体" w:cs="Times New Roman"/>
          <w:kern w:val="2"/>
          <w14:numSpacing w14:val="default"/>
        </w:rPr>
        <w:t>/</w:t>
      </w:r>
      <w:r w:rsidR="00210C9F" w:rsidRPr="005E5106">
        <w:rPr>
          <w:rFonts w:eastAsia="宋体" w:cs="Times New Roman"/>
          <w:kern w:val="2"/>
          <w14:numSpacing w14:val="default"/>
        </w:rPr>
        <w:t>CYP3A4</w:t>
      </w:r>
      <w:r w:rsidR="00210C9F">
        <w:rPr>
          <w:rFonts w:eastAsia="宋体" w:cs="Times New Roman"/>
          <w:kern w:val="2"/>
          <w14:numSpacing w14:val="default"/>
        </w:rPr>
        <w:t xml:space="preserve"> </w:t>
      </w:r>
      <w:r w:rsidRPr="005E5106">
        <w:rPr>
          <w:rFonts w:eastAsia="宋体" w:cs="Times New Roman"/>
          <w:kern w:val="2"/>
          <w14:numSpacing w14:val="default"/>
        </w:rPr>
        <w:t xml:space="preserve">inhibitors and inducers. </w:t>
      </w:r>
    </w:p>
    <w:p w14:paraId="56736EF4" w14:textId="16FBC9A7" w:rsidR="0004365B" w:rsidRPr="0025058B" w:rsidRDefault="0004365B" w:rsidP="00384EEC">
      <w:r w:rsidRPr="00384EEC">
        <w:rPr>
          <w:b/>
        </w:rPr>
        <w:t>Effect</w:t>
      </w:r>
      <w:r w:rsidR="006A0C9F">
        <w:rPr>
          <w:b/>
        </w:rPr>
        <w:t>s</w:t>
      </w:r>
      <w:r w:rsidRPr="00384EEC">
        <w:rPr>
          <w:b/>
        </w:rPr>
        <w:t xml:space="preserve"> of anlotinib on other drugs </w:t>
      </w:r>
    </w:p>
    <w:p w14:paraId="5C1C77DB" w14:textId="30890D07" w:rsidR="005E5106" w:rsidRPr="0025058B" w:rsidRDefault="0004365B" w:rsidP="00384EEC">
      <w:r>
        <w:t>Anlotinib showed moderate inhibition of CYP3A4, CYP2B6, CYP2C8, CYP2C9, and CYP2C19 (IC50 in the range of 1</w:t>
      </w:r>
      <w:r w:rsidR="00B7280F">
        <w:t>-</w:t>
      </w:r>
      <w:r>
        <w:t>10µM), and no significant induction of CYP1A2, CYP2B6, and CYP3A4. Simultaneous use of anlotinib with drugs with a narrow therapeutic range metabolized by these enzymes, such as alfentanil and ergotamine metabolized by CYP3A4, and warfarin metabolized by CYP2C9, should be avoided.</w:t>
      </w:r>
    </w:p>
    <w:p w14:paraId="5C8A49FF" w14:textId="1A308839" w:rsidR="006A0C9F" w:rsidRPr="00384EEC" w:rsidRDefault="006A0C9F" w:rsidP="006D1B06">
      <w:pPr>
        <w:pStyle w:val="P68B1DB1-15621"/>
        <w:numPr>
          <w:ilvl w:val="0"/>
          <w:numId w:val="27"/>
        </w:numPr>
        <w:spacing w:before="120"/>
        <w:rPr>
          <w:rFonts w:hint="default"/>
          <w:b w:val="0"/>
        </w:rPr>
      </w:pPr>
      <w:r w:rsidRPr="00384EEC">
        <w:rPr>
          <w:rFonts w:hint="default"/>
          <w:b w:val="0"/>
        </w:rPr>
        <w:t xml:space="preserve">Medications that affect </w:t>
      </w:r>
      <w:r w:rsidR="00424B3C" w:rsidRPr="00424B3C">
        <w:rPr>
          <w:rFonts w:hint="default"/>
          <w:b w:val="0"/>
        </w:rPr>
        <w:t>capecitabine</w:t>
      </w:r>
    </w:p>
    <w:p w14:paraId="7F820EC6" w14:textId="77777777" w:rsidR="002C3AA3" w:rsidRPr="00384EEC" w:rsidRDefault="002C3AA3" w:rsidP="002C3AA3">
      <w:pPr>
        <w:pStyle w:val="P68B1DB1-15621"/>
        <w:spacing w:before="120"/>
        <w:rPr>
          <w:rFonts w:hint="default"/>
          <w:b w:val="0"/>
        </w:rPr>
      </w:pPr>
      <w:r w:rsidRPr="00384EEC">
        <w:rPr>
          <w:rFonts w:hint="default"/>
          <w:b w:val="0"/>
        </w:rPr>
        <w:t>Coumarin anticoagulants;</w:t>
      </w:r>
    </w:p>
    <w:p w14:paraId="3B7DBFCF" w14:textId="77777777" w:rsidR="002C3AA3" w:rsidRPr="00384EEC" w:rsidRDefault="002C3AA3" w:rsidP="002C3AA3">
      <w:pPr>
        <w:pStyle w:val="P68B1DB1-15621"/>
        <w:spacing w:before="120"/>
        <w:rPr>
          <w:rFonts w:hint="default"/>
          <w:b w:val="0"/>
        </w:rPr>
      </w:pPr>
      <w:r w:rsidRPr="00384EEC">
        <w:rPr>
          <w:rFonts w:hint="default"/>
          <w:b w:val="0"/>
        </w:rPr>
        <w:t>CYP P450 2C9 substrate;</w:t>
      </w:r>
    </w:p>
    <w:p w14:paraId="62344808" w14:textId="77777777" w:rsidR="002C3AA3" w:rsidRPr="00384EEC" w:rsidRDefault="002C3AA3" w:rsidP="002C3AA3">
      <w:pPr>
        <w:pStyle w:val="P68B1DB1-15621"/>
        <w:spacing w:before="120"/>
        <w:rPr>
          <w:rFonts w:hint="default"/>
          <w:b w:val="0"/>
        </w:rPr>
      </w:pPr>
      <w:r w:rsidRPr="00384EEC">
        <w:rPr>
          <w:rFonts w:hint="default"/>
          <w:b w:val="0"/>
        </w:rPr>
        <w:lastRenderedPageBreak/>
        <w:t>Phenytoin;</w:t>
      </w:r>
    </w:p>
    <w:p w14:paraId="0ABC40F6" w14:textId="77777777" w:rsidR="002C3AA3" w:rsidRPr="00384EEC" w:rsidRDefault="002C3AA3" w:rsidP="002C3AA3">
      <w:pPr>
        <w:pStyle w:val="P68B1DB1-15621"/>
        <w:spacing w:before="120"/>
        <w:rPr>
          <w:rFonts w:hint="default"/>
          <w:b w:val="0"/>
        </w:rPr>
      </w:pPr>
      <w:r w:rsidRPr="00384EEC">
        <w:rPr>
          <w:rFonts w:hint="default"/>
          <w:b w:val="0"/>
        </w:rPr>
        <w:t>Antacids;</w:t>
      </w:r>
    </w:p>
    <w:p w14:paraId="7314DFFA" w14:textId="77777777" w:rsidR="002C3AA3" w:rsidRPr="00384EEC" w:rsidRDefault="002C3AA3" w:rsidP="002C3AA3">
      <w:pPr>
        <w:pStyle w:val="P68B1DB1-15621"/>
        <w:spacing w:before="120"/>
        <w:rPr>
          <w:rFonts w:hint="default"/>
          <w:b w:val="0"/>
        </w:rPr>
      </w:pPr>
      <w:r w:rsidRPr="00384EEC">
        <w:rPr>
          <w:rFonts w:hint="default"/>
          <w:b w:val="0"/>
        </w:rPr>
        <w:t>Calcium formyl tetrahydrofolate (folinic acid);</w:t>
      </w:r>
    </w:p>
    <w:p w14:paraId="0880CEFE" w14:textId="02E16605" w:rsidR="006A0C9F" w:rsidRPr="00384EEC" w:rsidRDefault="002C3AA3" w:rsidP="002C3AA3">
      <w:pPr>
        <w:pStyle w:val="P68B1DB1-15621"/>
        <w:spacing w:before="120"/>
        <w:rPr>
          <w:rFonts w:hint="default"/>
          <w:b w:val="0"/>
        </w:rPr>
      </w:pPr>
      <w:r w:rsidRPr="00384EEC">
        <w:rPr>
          <w:rFonts w:hint="default"/>
          <w:b w:val="0"/>
        </w:rPr>
        <w:t>Solivudine and its analogues.</w:t>
      </w:r>
    </w:p>
    <w:p w14:paraId="5292B9BF" w14:textId="1C9D6996" w:rsidR="00D45C54" w:rsidRDefault="003E0392">
      <w:pPr>
        <w:pStyle w:val="3"/>
      </w:pPr>
      <w:bookmarkStart w:id="88" w:name="_Toc35946302"/>
      <w:bookmarkStart w:id="89" w:name="_Toc196547995"/>
      <w:r w:rsidRPr="00646849">
        <w:t>5.</w:t>
      </w:r>
      <w:r w:rsidR="00F20B8A" w:rsidRPr="00646849">
        <w:t>4</w:t>
      </w:r>
      <w:r w:rsidRPr="00646849">
        <w:t>.</w:t>
      </w:r>
      <w:r w:rsidR="00F20B8A" w:rsidRPr="00646849">
        <w:t xml:space="preserve">4 </w:t>
      </w:r>
      <w:r w:rsidRPr="00646849">
        <w:t xml:space="preserve">Permitted </w:t>
      </w:r>
      <w:r w:rsidRPr="005874F5">
        <w:t>concomitant medications and treatments</w:t>
      </w:r>
      <w:bookmarkEnd w:id="89"/>
      <w:r>
        <w:rPr>
          <w:rFonts w:hint="eastAsia"/>
        </w:rPr>
        <w:t xml:space="preserve"> </w:t>
      </w:r>
      <w:bookmarkEnd w:id="88"/>
    </w:p>
    <w:p w14:paraId="7736800F" w14:textId="77777777" w:rsidR="00D51E4A" w:rsidRPr="00D51E4A" w:rsidRDefault="00D51E4A" w:rsidP="00D51E4A">
      <w:pPr>
        <w:rPr>
          <w:rFonts w:eastAsiaTheme="minorEastAsia"/>
        </w:rPr>
      </w:pPr>
      <w:r w:rsidRPr="00D51E4A">
        <w:rPr>
          <w:rFonts w:eastAsiaTheme="minorEastAsia"/>
        </w:rPr>
        <w:t>Subjects could receive bisphosphonates for bone metastases during treatment. Palliative treatment of local non-target lesions causing significant symptoms, such as bone metastases where pain is not effectively controlled by systemic therapy or local analgesia, can be considered. Local palliative small area radiotherapy or surgery, and treatment of pleural and ascites can be considered, provided that the following conditions are met:</w:t>
      </w:r>
    </w:p>
    <w:p w14:paraId="00DBBC5C" w14:textId="36B9CAF9" w:rsidR="00D51E4A" w:rsidRPr="00D51E4A" w:rsidRDefault="00D51E4A" w:rsidP="006D1B06">
      <w:pPr>
        <w:pStyle w:val="affff0"/>
        <w:numPr>
          <w:ilvl w:val="0"/>
          <w:numId w:val="28"/>
        </w:numPr>
        <w:rPr>
          <w:rFonts w:eastAsiaTheme="minorEastAsia"/>
        </w:rPr>
      </w:pPr>
      <w:r w:rsidRPr="00D51E4A">
        <w:rPr>
          <w:rFonts w:eastAsiaTheme="minorEastAsia"/>
        </w:rPr>
        <w:t xml:space="preserve">These lesions </w:t>
      </w:r>
      <w:r>
        <w:rPr>
          <w:rFonts w:eastAsiaTheme="minorEastAsia"/>
        </w:rPr>
        <w:t>are</w:t>
      </w:r>
      <w:r w:rsidRPr="00D51E4A">
        <w:rPr>
          <w:rFonts w:eastAsiaTheme="minorEastAsia"/>
        </w:rPr>
        <w:t xml:space="preserve"> kn</w:t>
      </w:r>
      <w:r>
        <w:rPr>
          <w:rFonts w:eastAsiaTheme="minorEastAsia"/>
        </w:rPr>
        <w:t>own to be present at enrollment;</w:t>
      </w:r>
    </w:p>
    <w:p w14:paraId="08D5C11C" w14:textId="60B6A6A2" w:rsidR="00D51E4A" w:rsidRPr="00D51E4A" w:rsidRDefault="00D51E4A" w:rsidP="006D1B06">
      <w:pPr>
        <w:pStyle w:val="affff0"/>
        <w:numPr>
          <w:ilvl w:val="0"/>
          <w:numId w:val="28"/>
        </w:numPr>
        <w:rPr>
          <w:rFonts w:eastAsiaTheme="minorEastAsia"/>
        </w:rPr>
      </w:pPr>
      <w:r w:rsidRPr="00D51E4A">
        <w:rPr>
          <w:rFonts w:eastAsiaTheme="minorEastAsia"/>
        </w:rPr>
        <w:t>Investigator-assessed disease progression in subjects requiring because of wors</w:t>
      </w:r>
      <w:r>
        <w:rPr>
          <w:rFonts w:eastAsiaTheme="minorEastAsia"/>
        </w:rPr>
        <w:t>ening symptoms during the study;</w:t>
      </w:r>
    </w:p>
    <w:p w14:paraId="0B5DFEAE" w14:textId="77777777" w:rsidR="00D51E4A" w:rsidRPr="00D51E4A" w:rsidRDefault="00D51E4A" w:rsidP="006D1B06">
      <w:pPr>
        <w:pStyle w:val="affff0"/>
        <w:numPr>
          <w:ilvl w:val="0"/>
          <w:numId w:val="28"/>
        </w:numPr>
        <w:rPr>
          <w:rFonts w:eastAsiaTheme="minorEastAsia"/>
        </w:rPr>
      </w:pPr>
      <w:r w:rsidRPr="00D51E4A">
        <w:rPr>
          <w:rFonts w:eastAsiaTheme="minorEastAsia"/>
        </w:rPr>
        <w:t>Patients with progressive disease must meet criteria for continuation of post-progression therapy.</w:t>
      </w:r>
    </w:p>
    <w:p w14:paraId="30001E55" w14:textId="0EA19604" w:rsidR="00D51E4A" w:rsidRPr="00D51E4A" w:rsidRDefault="00D51E4A" w:rsidP="006D1B06">
      <w:pPr>
        <w:pStyle w:val="affff0"/>
        <w:numPr>
          <w:ilvl w:val="0"/>
          <w:numId w:val="28"/>
        </w:numPr>
        <w:rPr>
          <w:rFonts w:eastAsiaTheme="minorEastAsia"/>
        </w:rPr>
      </w:pPr>
      <w:r w:rsidRPr="00D51E4A">
        <w:rPr>
          <w:rFonts w:eastAsiaTheme="minorEastAsia"/>
        </w:rPr>
        <w:t xml:space="preserve">The lesion </w:t>
      </w:r>
      <w:r>
        <w:rPr>
          <w:rFonts w:eastAsiaTheme="minorEastAsia"/>
        </w:rPr>
        <w:t xml:space="preserve">that need the </w:t>
      </w:r>
      <w:r w:rsidRPr="00C66388">
        <w:rPr>
          <w:rFonts w:eastAsiaTheme="minorEastAsia"/>
        </w:rPr>
        <w:t>topical therapy</w:t>
      </w:r>
      <w:r w:rsidRPr="00D51E4A">
        <w:rPr>
          <w:rFonts w:eastAsiaTheme="minorEastAsia"/>
        </w:rPr>
        <w:t xml:space="preserve"> must not be the target</w:t>
      </w:r>
      <w:r>
        <w:rPr>
          <w:rFonts w:eastAsiaTheme="minorEastAsia"/>
        </w:rPr>
        <w:t xml:space="preserve"> lesion;</w:t>
      </w:r>
    </w:p>
    <w:p w14:paraId="0F987F28" w14:textId="7C445AAE" w:rsidR="00D51E4A" w:rsidRPr="00D51E4A" w:rsidRDefault="00D51E4A" w:rsidP="006D1B06">
      <w:pPr>
        <w:pStyle w:val="affff0"/>
        <w:numPr>
          <w:ilvl w:val="0"/>
          <w:numId w:val="28"/>
        </w:numPr>
        <w:rPr>
          <w:rFonts w:eastAsiaTheme="minorEastAsia"/>
        </w:rPr>
      </w:pPr>
      <w:r w:rsidRPr="00D51E4A">
        <w:rPr>
          <w:rFonts w:eastAsiaTheme="minorEastAsia"/>
        </w:rPr>
        <w:t>While receiving palliative local treatment, trial agents should be withheld until the period of recovery from pa</w:t>
      </w:r>
      <w:r>
        <w:rPr>
          <w:rFonts w:eastAsiaTheme="minorEastAsia"/>
        </w:rPr>
        <w:t>lliative care.</w:t>
      </w:r>
    </w:p>
    <w:p w14:paraId="64F6DF94" w14:textId="497867A9" w:rsidR="00D51E4A" w:rsidRDefault="00D51E4A" w:rsidP="00384EEC">
      <w:pPr>
        <w:rPr>
          <w:rFonts w:eastAsiaTheme="minorEastAsia"/>
        </w:rPr>
      </w:pPr>
      <w:r w:rsidRPr="00D51E4A">
        <w:rPr>
          <w:rFonts w:eastAsiaTheme="minorEastAsia"/>
        </w:rPr>
        <w:t xml:space="preserve">Discussion with the sponsor </w:t>
      </w:r>
      <w:r>
        <w:rPr>
          <w:rFonts w:eastAsiaTheme="minorEastAsia"/>
        </w:rPr>
        <w:t>is</w:t>
      </w:r>
      <w:r w:rsidRPr="00D51E4A">
        <w:rPr>
          <w:rFonts w:eastAsiaTheme="minorEastAsia"/>
        </w:rPr>
        <w:t xml:space="preserve"> warranted before the initiation of palliative local treatment. Details of palliative care should be recorded in medical documents and eCRF, including the date, site, method and dose of treatment, and adverse reactions</w:t>
      </w:r>
      <w:r>
        <w:rPr>
          <w:rFonts w:eastAsiaTheme="minorEastAsia"/>
        </w:rPr>
        <w:t>.</w:t>
      </w:r>
    </w:p>
    <w:p w14:paraId="2B2D9084" w14:textId="4366FB19" w:rsidR="00646849" w:rsidRDefault="00646849" w:rsidP="00384EEC">
      <w:pPr>
        <w:pStyle w:val="3"/>
      </w:pPr>
      <w:bookmarkStart w:id="90" w:name="_Toc196547996"/>
      <w:r w:rsidRPr="0003467A">
        <w:rPr>
          <w:rFonts w:hint="eastAsia"/>
        </w:rPr>
        <w:t>5.</w:t>
      </w:r>
      <w:r w:rsidRPr="0003467A">
        <w:t>4</w:t>
      </w:r>
      <w:r w:rsidRPr="0003467A">
        <w:rPr>
          <w:rFonts w:hint="eastAsia"/>
        </w:rPr>
        <w:t>.</w:t>
      </w:r>
      <w:r>
        <w:t xml:space="preserve">5 </w:t>
      </w:r>
      <w:r w:rsidRPr="00646849">
        <w:t>Radical surgery</w:t>
      </w:r>
      <w:bookmarkEnd w:id="90"/>
    </w:p>
    <w:p w14:paraId="5507EB77" w14:textId="03482F75" w:rsidR="00646849" w:rsidRPr="00646849" w:rsidRDefault="00646849" w:rsidP="00384EEC">
      <w:pPr>
        <w:rPr>
          <w:rFonts w:eastAsia="宋体"/>
        </w:rPr>
      </w:pPr>
      <w:r w:rsidRPr="00646849">
        <w:rPr>
          <w:rFonts w:eastAsia="宋体"/>
        </w:rPr>
        <w:t xml:space="preserve">Patients whose tumor regresses during the study meeting the criteria for surgical resection may undergo </w:t>
      </w:r>
      <w:r>
        <w:rPr>
          <w:rFonts w:eastAsia="宋体"/>
        </w:rPr>
        <w:t>r</w:t>
      </w:r>
      <w:r w:rsidRPr="00646849">
        <w:rPr>
          <w:rFonts w:eastAsia="宋体"/>
        </w:rPr>
        <w:t xml:space="preserve">adical surgery. Radical resection of patients with liver metastases prolongs survival, and the 5-year survival rate of these patients can reach 22-40%. </w:t>
      </w:r>
    </w:p>
    <w:p w14:paraId="2BE10B13" w14:textId="6F5931B9" w:rsidR="00646849" w:rsidRPr="00384EEC" w:rsidRDefault="00646849" w:rsidP="00384EEC">
      <w:pPr>
        <w:rPr>
          <w:rFonts w:eastAsia="宋体"/>
        </w:rPr>
      </w:pPr>
      <w:r w:rsidRPr="00646849">
        <w:rPr>
          <w:rFonts w:eastAsia="宋体"/>
        </w:rPr>
        <w:t>Sur</w:t>
      </w:r>
      <w:r w:rsidRPr="00384EEC">
        <w:rPr>
          <w:rFonts w:eastAsia="宋体"/>
        </w:rPr>
        <w:t xml:space="preserve">gery must be performed after the following conditions have been met: </w:t>
      </w:r>
    </w:p>
    <w:p w14:paraId="4F8BD4D6" w14:textId="3ECD45BF" w:rsidR="00646849" w:rsidRPr="00384EEC" w:rsidRDefault="00646849" w:rsidP="006D1B06">
      <w:pPr>
        <w:pStyle w:val="affff0"/>
        <w:numPr>
          <w:ilvl w:val="0"/>
          <w:numId w:val="29"/>
        </w:numPr>
      </w:pPr>
      <w:r w:rsidRPr="00384EEC">
        <w:t xml:space="preserve">Surgery had to be performed at least 4 weeks after the last administration of antivascular drugs. The use of chemotherapy drugs </w:t>
      </w:r>
      <w:r w:rsidR="005E1BFE" w:rsidRPr="00384EEC">
        <w:t>is</w:t>
      </w:r>
      <w:r w:rsidRPr="00384EEC">
        <w:t xml:space="preserve"> according to the expert consensus on the perioperative management of colorectal cancer.</w:t>
      </w:r>
    </w:p>
    <w:p w14:paraId="4270EF6E" w14:textId="57FA92F2" w:rsidR="00646849" w:rsidRDefault="005E1BFE" w:rsidP="006D1B06">
      <w:pPr>
        <w:pStyle w:val="affff0"/>
        <w:numPr>
          <w:ilvl w:val="0"/>
          <w:numId w:val="29"/>
        </w:numPr>
      </w:pPr>
      <w:r>
        <w:t xml:space="preserve">The number of liver metastases is less than 5, and </w:t>
      </w:r>
      <w:r w:rsidR="00646849">
        <w:t>R0 resection (resection margin &gt;1cm) could be achieved.</w:t>
      </w:r>
    </w:p>
    <w:p w14:paraId="019E3910" w14:textId="77777777" w:rsidR="00646849" w:rsidRDefault="00646849" w:rsidP="006D1B06">
      <w:pPr>
        <w:pStyle w:val="affff0"/>
        <w:numPr>
          <w:ilvl w:val="0"/>
          <w:numId w:val="29"/>
        </w:numPr>
      </w:pPr>
      <w:r>
        <w:t xml:space="preserve">It is expected that adequate liver volume can be achieved after operation: (1) two </w:t>
      </w:r>
      <w:r>
        <w:lastRenderedPageBreak/>
        <w:t>consecutive liver segments can be preserved; (2) Adequate hepatic inflow and outflow blood flow and biliary drainage could be preserved; (3) sufficient remnant liver volume (&gt;30% after chemotherapy) could be preserved.</w:t>
      </w:r>
    </w:p>
    <w:p w14:paraId="2DFFD615" w14:textId="3C4CD00E" w:rsidR="00646849" w:rsidRDefault="005E1BFE" w:rsidP="006D1B06">
      <w:pPr>
        <w:pStyle w:val="affff0"/>
        <w:numPr>
          <w:ilvl w:val="0"/>
          <w:numId w:val="29"/>
        </w:numPr>
      </w:pPr>
      <w:r>
        <w:t>E</w:t>
      </w:r>
      <w:r w:rsidR="00646849">
        <w:t xml:space="preserve">ffective contrast-enhanced CT </w:t>
      </w:r>
      <w:r>
        <w:t>are</w:t>
      </w:r>
      <w:r w:rsidR="00646849">
        <w:t xml:space="preserve"> confirmed by contrast-enhanced MRI at least 4 weeks later.</w:t>
      </w:r>
    </w:p>
    <w:p w14:paraId="4AC4B11B" w14:textId="30613B73" w:rsidR="00646849" w:rsidRDefault="00646849" w:rsidP="006D1B06">
      <w:pPr>
        <w:pStyle w:val="affff0"/>
        <w:numPr>
          <w:ilvl w:val="0"/>
          <w:numId w:val="29"/>
        </w:numPr>
      </w:pPr>
      <w:r>
        <w:t xml:space="preserve">The images </w:t>
      </w:r>
      <w:r w:rsidR="005E1BFE">
        <w:t>are</w:t>
      </w:r>
      <w:r>
        <w:t xml:space="preserve"> reviewed and evaluated by imaging experts designated by the lead</w:t>
      </w:r>
      <w:r w:rsidR="005E1BFE">
        <w:t>ing site</w:t>
      </w:r>
      <w:r>
        <w:t>.</w:t>
      </w:r>
    </w:p>
    <w:p w14:paraId="76CB371A" w14:textId="5691E451" w:rsidR="00646849" w:rsidRDefault="005E1BFE" w:rsidP="006D1B06">
      <w:pPr>
        <w:pStyle w:val="affff0"/>
        <w:numPr>
          <w:ilvl w:val="0"/>
          <w:numId w:val="29"/>
        </w:numPr>
      </w:pPr>
      <w:r>
        <w:t>C</w:t>
      </w:r>
      <w:r w:rsidR="00646849">
        <w:t xml:space="preserve">onfirmed by the MDT at the </w:t>
      </w:r>
      <w:r>
        <w:t>leading</w:t>
      </w:r>
      <w:r w:rsidR="00646849">
        <w:t xml:space="preserve"> site.</w:t>
      </w:r>
    </w:p>
    <w:p w14:paraId="6D0DE451" w14:textId="4EA06FDF" w:rsidR="00646849" w:rsidRDefault="00646849" w:rsidP="00384EEC">
      <w:r>
        <w:t>Patients who under</w:t>
      </w:r>
      <w:r w:rsidR="00705582">
        <w:t xml:space="preserve">go </w:t>
      </w:r>
      <w:r>
        <w:t xml:space="preserve">surgery </w:t>
      </w:r>
      <w:r w:rsidR="00705582">
        <w:t>are</w:t>
      </w:r>
      <w:r>
        <w:t xml:space="preserve"> given the option to withdraw from the study or continue </w:t>
      </w:r>
      <w:r w:rsidR="006014C9">
        <w:t xml:space="preserve">study treatment. </w:t>
      </w:r>
      <w:r>
        <w:t>Patients who continue</w:t>
      </w:r>
      <w:r w:rsidR="00705582">
        <w:t>s</w:t>
      </w:r>
      <w:r>
        <w:t xml:space="preserve"> study treatment after surgery </w:t>
      </w:r>
      <w:r w:rsidR="00705582">
        <w:t>are</w:t>
      </w:r>
      <w:r>
        <w:t xml:space="preserve"> required to meet the following conditions:</w:t>
      </w:r>
    </w:p>
    <w:p w14:paraId="48FCEBA4" w14:textId="276703AD" w:rsidR="00646849" w:rsidRDefault="00646849" w:rsidP="006D1B06">
      <w:pPr>
        <w:pStyle w:val="affff0"/>
        <w:numPr>
          <w:ilvl w:val="0"/>
          <w:numId w:val="29"/>
        </w:numPr>
      </w:pPr>
      <w:r>
        <w:t>Surgical treatment could not interrupt the study treatment for more than 10 weeks.</w:t>
      </w:r>
    </w:p>
    <w:p w14:paraId="29E8C1EE" w14:textId="32C9AFF1" w:rsidR="00646849" w:rsidRDefault="00646849" w:rsidP="006D1B06">
      <w:pPr>
        <w:pStyle w:val="affff0"/>
        <w:numPr>
          <w:ilvl w:val="0"/>
          <w:numId w:val="29"/>
        </w:numPr>
      </w:pPr>
      <w:r>
        <w:t xml:space="preserve">For safety reasons, study treatment </w:t>
      </w:r>
      <w:r w:rsidR="00714463">
        <w:t>is</w:t>
      </w:r>
      <w:r>
        <w:t xml:space="preserve"> not restarted until at least 4 weeks after surgery.</w:t>
      </w:r>
    </w:p>
    <w:p w14:paraId="616488A6" w14:textId="23133B45" w:rsidR="00646849" w:rsidRDefault="00646849" w:rsidP="006D1B06">
      <w:pPr>
        <w:pStyle w:val="affff0"/>
        <w:numPr>
          <w:ilvl w:val="0"/>
          <w:numId w:val="29"/>
        </w:numPr>
      </w:pPr>
      <w:r>
        <w:t xml:space="preserve">Patients with complete resection (R0) after surgery </w:t>
      </w:r>
      <w:r w:rsidR="00714463">
        <w:t>are</w:t>
      </w:r>
      <w:r>
        <w:t xml:space="preserve"> allowed to continue treatment with the same regimen for 4 cycles.</w:t>
      </w:r>
    </w:p>
    <w:p w14:paraId="68DB2331" w14:textId="77777777" w:rsidR="00646849" w:rsidRDefault="00646849" w:rsidP="006D1B06">
      <w:pPr>
        <w:pStyle w:val="affff0"/>
        <w:numPr>
          <w:ilvl w:val="0"/>
          <w:numId w:val="29"/>
        </w:numPr>
      </w:pPr>
      <w:r>
        <w:t>Patients who did not achieve complete resection (R1 or R2) should continue to study treatment until disease progression.</w:t>
      </w:r>
    </w:p>
    <w:p w14:paraId="39E1F54E" w14:textId="527C8B67" w:rsidR="00646849" w:rsidRDefault="00646849" w:rsidP="00384EEC">
      <w:r>
        <w:t xml:space="preserve">Postoperative pathological findings </w:t>
      </w:r>
      <w:r w:rsidR="00714463">
        <w:t>are</w:t>
      </w:r>
      <w:r>
        <w:t xml:space="preserve"> defined as follows:</w:t>
      </w:r>
    </w:p>
    <w:p w14:paraId="2C8C7765" w14:textId="77777777" w:rsidR="00646849" w:rsidRDefault="00646849" w:rsidP="006D1B06">
      <w:pPr>
        <w:pStyle w:val="affff0"/>
        <w:numPr>
          <w:ilvl w:val="0"/>
          <w:numId w:val="29"/>
        </w:numPr>
      </w:pPr>
      <w:r>
        <w:t>R0= no residual tumor after surgery (complete resection of all lesions).</w:t>
      </w:r>
    </w:p>
    <w:p w14:paraId="23CD312A" w14:textId="77777777" w:rsidR="00646849" w:rsidRDefault="00646849" w:rsidP="006D1B06">
      <w:pPr>
        <w:pStyle w:val="affff0"/>
        <w:numPr>
          <w:ilvl w:val="0"/>
          <w:numId w:val="29"/>
        </w:numPr>
      </w:pPr>
      <w:r>
        <w:t>R1= incomplete resection of metastases and microscopic residual tumor.</w:t>
      </w:r>
    </w:p>
    <w:p w14:paraId="24091DAA" w14:textId="4A269F6B" w:rsidR="00646849" w:rsidRPr="00384EEC" w:rsidRDefault="00646849" w:rsidP="006D1B06">
      <w:pPr>
        <w:pStyle w:val="affff0"/>
        <w:numPr>
          <w:ilvl w:val="0"/>
          <w:numId w:val="29"/>
        </w:numPr>
      </w:pPr>
      <w:r>
        <w:t xml:space="preserve">R2= incomplete resection of the metastasis and residual </w:t>
      </w:r>
      <w:r w:rsidR="00714463" w:rsidRPr="00714463">
        <w:t>residual</w:t>
      </w:r>
      <w:r>
        <w:t xml:space="preserve"> tumor.</w:t>
      </w:r>
    </w:p>
    <w:p w14:paraId="04E56E29" w14:textId="2B3381B0" w:rsidR="00646849" w:rsidRPr="00384EEC" w:rsidRDefault="00714463" w:rsidP="00384EEC">
      <w:pPr>
        <w:rPr>
          <w:rFonts w:eastAsia="宋体"/>
        </w:rPr>
      </w:pPr>
      <w:r w:rsidRPr="00714463">
        <w:rPr>
          <w:rFonts w:eastAsia="宋体"/>
        </w:rPr>
        <w:t xml:space="preserve">The best efficacy evaluated in the above patients </w:t>
      </w:r>
      <w:r>
        <w:rPr>
          <w:rFonts w:eastAsia="宋体"/>
        </w:rPr>
        <w:t>is</w:t>
      </w:r>
      <w:r w:rsidRPr="00714463">
        <w:rPr>
          <w:rFonts w:eastAsia="宋体"/>
        </w:rPr>
        <w:t xml:space="preserve"> the best efficacy obtained before surgery. Postoperative subjects</w:t>
      </w:r>
      <w:r>
        <w:rPr>
          <w:rFonts w:eastAsia="宋体"/>
        </w:rPr>
        <w:t xml:space="preserve"> are</w:t>
      </w:r>
      <w:r w:rsidRPr="00714463">
        <w:rPr>
          <w:rFonts w:eastAsia="宋体"/>
        </w:rPr>
        <w:t xml:space="preserve"> no longer evaluated for efficacy. To monitor disease progression, imaging </w:t>
      </w:r>
      <w:r>
        <w:rPr>
          <w:rFonts w:eastAsia="宋体"/>
        </w:rPr>
        <w:t>is</w:t>
      </w:r>
      <w:r w:rsidRPr="00714463">
        <w:rPr>
          <w:rFonts w:eastAsia="宋体"/>
        </w:rPr>
        <w:t xml:space="preserve"> performed 4 to 6 weeks after surgery </w:t>
      </w:r>
      <w:r>
        <w:rPr>
          <w:rFonts w:eastAsia="宋体"/>
        </w:rPr>
        <w:t xml:space="preserve">and </w:t>
      </w:r>
      <w:r w:rsidRPr="00714463">
        <w:rPr>
          <w:rFonts w:eastAsia="宋体"/>
        </w:rPr>
        <w:t xml:space="preserve">before restarting study treatment </w:t>
      </w:r>
      <w:r>
        <w:rPr>
          <w:rFonts w:eastAsia="宋体"/>
        </w:rPr>
        <w:t>as</w:t>
      </w:r>
      <w:r w:rsidRPr="00714463">
        <w:rPr>
          <w:rFonts w:eastAsia="宋体"/>
        </w:rPr>
        <w:t xml:space="preserve"> baseline</w:t>
      </w:r>
      <w:r>
        <w:rPr>
          <w:rFonts w:eastAsia="宋体"/>
        </w:rPr>
        <w:t>,</w:t>
      </w:r>
      <w:r w:rsidRPr="00714463">
        <w:rPr>
          <w:rFonts w:eastAsia="宋体"/>
        </w:rPr>
        <w:t xml:space="preserve"> and every 6 weeks thereafter. </w:t>
      </w:r>
      <w:bookmarkStart w:id="91" w:name="_bookmark35"/>
      <w:bookmarkStart w:id="92" w:name="_bookmark36"/>
      <w:bookmarkEnd w:id="91"/>
      <w:bookmarkEnd w:id="92"/>
    </w:p>
    <w:p w14:paraId="1ED2F327" w14:textId="11845DD4" w:rsidR="00D45C54" w:rsidRDefault="003E0392">
      <w:pPr>
        <w:pStyle w:val="1"/>
      </w:pPr>
      <w:bookmarkStart w:id="93" w:name="_Toc35946304"/>
      <w:bookmarkStart w:id="94" w:name="_Toc196547997"/>
      <w:r>
        <w:rPr>
          <w:rFonts w:hint="eastAsia"/>
        </w:rPr>
        <w:t>6</w:t>
      </w:r>
      <w:r w:rsidR="0061138D">
        <w:t>.</w:t>
      </w:r>
      <w:r>
        <w:rPr>
          <w:rFonts w:hint="eastAsia"/>
        </w:rPr>
        <w:t xml:space="preserve"> </w:t>
      </w:r>
      <w:r w:rsidR="00FF5C9B" w:rsidRPr="00FF5C9B">
        <w:t>Trail</w:t>
      </w:r>
      <w:r>
        <w:rPr>
          <w:rFonts w:hint="eastAsia"/>
        </w:rPr>
        <w:t xml:space="preserve"> procedures</w:t>
      </w:r>
      <w:bookmarkEnd w:id="94"/>
      <w:r>
        <w:rPr>
          <w:rFonts w:hint="eastAsia"/>
        </w:rPr>
        <w:t xml:space="preserve"> </w:t>
      </w:r>
      <w:bookmarkEnd w:id="93"/>
    </w:p>
    <w:p w14:paraId="6FBE1F75" w14:textId="09F3CE88" w:rsidR="00DC7336" w:rsidRPr="00DC7336" w:rsidRDefault="00DC7336" w:rsidP="00384EEC">
      <w:pPr>
        <w:pStyle w:val="20"/>
      </w:pPr>
      <w:bookmarkStart w:id="95" w:name="_Toc196547998"/>
      <w:r w:rsidRPr="00DC7336">
        <w:t xml:space="preserve">6.1 </w:t>
      </w:r>
      <w:r w:rsidR="00446067">
        <w:t>Sample collection</w:t>
      </w:r>
      <w:bookmarkEnd w:id="95"/>
    </w:p>
    <w:p w14:paraId="2D8BFA5A" w14:textId="09AF84A5" w:rsidR="00446067" w:rsidRDefault="00446067" w:rsidP="00446067">
      <w:pPr>
        <w:pStyle w:val="P68B1DB1-125"/>
        <w:rPr>
          <w:rFonts w:hint="default"/>
        </w:rPr>
      </w:pPr>
      <w:r>
        <w:t xml:space="preserve">Subjects who could not provide </w:t>
      </w:r>
      <w:r w:rsidR="00D679C1">
        <w:t>information</w:t>
      </w:r>
      <w:r w:rsidR="00D679C1">
        <w:rPr>
          <w:rFonts w:hint="default"/>
        </w:rPr>
        <w:t xml:space="preserve"> for </w:t>
      </w:r>
      <w:r>
        <w:t xml:space="preserve">RAS/BRAF mutation and MSI/MMR status within 2 years </w:t>
      </w:r>
      <w:r w:rsidR="00D679C1">
        <w:rPr>
          <w:rFonts w:hint="default"/>
        </w:rPr>
        <w:t>are</w:t>
      </w:r>
      <w:r>
        <w:t xml:space="preserve"> required to provide tumor tissue samples within 2 years or fresh samples, including RAS/BRAF mutation, mismatch repair/microsatelli</w:t>
      </w:r>
      <w:r w:rsidR="00064550">
        <w:t>te instability (MMR/MSI) tes</w:t>
      </w:r>
      <w:r w:rsidR="00064550">
        <w:rPr>
          <w:rFonts w:hint="default"/>
        </w:rPr>
        <w:t>t</w:t>
      </w:r>
      <w:r>
        <w:t>, etc.</w:t>
      </w:r>
    </w:p>
    <w:p w14:paraId="6E102755" w14:textId="3522A880" w:rsidR="00446067" w:rsidRDefault="00446067" w:rsidP="00446067">
      <w:pPr>
        <w:pStyle w:val="P68B1DB1-125"/>
        <w:rPr>
          <w:rFonts w:hint="default"/>
        </w:rPr>
      </w:pPr>
      <w:r>
        <w:t xml:space="preserve">For biomarker </w:t>
      </w:r>
      <w:r w:rsidR="00CB3443">
        <w:rPr>
          <w:rFonts w:hint="default"/>
        </w:rPr>
        <w:t>analysis</w:t>
      </w:r>
      <w:r>
        <w:t xml:space="preserve">, fresh biopsy samples within 1 month before enrollment </w:t>
      </w:r>
      <w:r w:rsidR="00CB3443">
        <w:rPr>
          <w:rFonts w:hint="default"/>
        </w:rPr>
        <w:t>are</w:t>
      </w:r>
      <w:r>
        <w:t xml:space="preserve"> preferred. For fresh tissue samples, one or more percutaneous punctures </w:t>
      </w:r>
      <w:r w:rsidR="00CB3443">
        <w:rPr>
          <w:rFonts w:hint="default"/>
        </w:rPr>
        <w:t>are</w:t>
      </w:r>
      <w:r>
        <w:t xml:space="preserve"> performed. If fresh biopsy </w:t>
      </w:r>
      <w:r>
        <w:lastRenderedPageBreak/>
        <w:t>tissue samples are not available, archival tissue samples can be collected and used. Ten unstained pathological tissue sections (with a thickness of 4-6μm) can be taken, and freshly cut white slides should be sealed with wax if they cannot be sent in time (within one month).</w:t>
      </w:r>
    </w:p>
    <w:p w14:paraId="743D544C" w14:textId="161E1847" w:rsidR="00446067" w:rsidRDefault="00446067">
      <w:pPr>
        <w:pStyle w:val="P68B1DB1-125"/>
        <w:rPr>
          <w:rFonts w:hint="default"/>
        </w:rPr>
      </w:pPr>
      <w:r>
        <w:t xml:space="preserve">As MSI testing requires blood samples for control, subjects </w:t>
      </w:r>
      <w:r w:rsidR="00CB3443">
        <w:rPr>
          <w:rFonts w:hint="default"/>
        </w:rPr>
        <w:t>are</w:t>
      </w:r>
      <w:r>
        <w:t xml:space="preserve"> required to provide 4mL fresh blood samples before enrollment.</w:t>
      </w:r>
      <w:r>
        <w:rPr>
          <w:rFonts w:hint="default"/>
        </w:rPr>
        <w:t xml:space="preserve"> </w:t>
      </w:r>
    </w:p>
    <w:p w14:paraId="70C80762" w14:textId="7DA446D9" w:rsidR="00D45C54" w:rsidRDefault="003E0392">
      <w:pPr>
        <w:pStyle w:val="20"/>
      </w:pPr>
      <w:bookmarkStart w:id="96" w:name="_Toc35946305"/>
      <w:bookmarkStart w:id="97" w:name="_Toc196547999"/>
      <w:r>
        <w:rPr>
          <w:rFonts w:hint="eastAsia"/>
        </w:rPr>
        <w:t>6.</w:t>
      </w:r>
      <w:r w:rsidR="00555720">
        <w:t>2</w:t>
      </w:r>
      <w:r>
        <w:rPr>
          <w:rFonts w:hint="eastAsia"/>
        </w:rPr>
        <w:t xml:space="preserve"> Screening visit</w:t>
      </w:r>
      <w:bookmarkEnd w:id="97"/>
      <w:r>
        <w:rPr>
          <w:rFonts w:hint="eastAsia"/>
        </w:rPr>
        <w:t xml:space="preserve"> </w:t>
      </w:r>
      <w:bookmarkEnd w:id="96"/>
    </w:p>
    <w:p w14:paraId="44D04166" w14:textId="28DAAFA4" w:rsidR="00BC262B" w:rsidRPr="003127AF" w:rsidRDefault="00BC262B" w:rsidP="003127AF">
      <w:pPr>
        <w:pStyle w:val="P68B1DB1-129"/>
        <w:rPr>
          <w:rFonts w:eastAsiaTheme="minorEastAsia" w:hint="default"/>
        </w:rPr>
      </w:pPr>
      <w:r w:rsidRPr="00BC262B">
        <w:rPr>
          <w:rFonts w:eastAsiaTheme="minorEastAsia"/>
        </w:rPr>
        <w:t xml:space="preserve">Subjects must sign an informed consent form before they can undergo any of the study-specified screening procedures. If routine tumor imaging assessments are performed prior to signing </w:t>
      </w:r>
      <w:r>
        <w:rPr>
          <w:rFonts w:eastAsiaTheme="minorEastAsia"/>
        </w:rPr>
        <w:t>theICF</w:t>
      </w:r>
      <w:r>
        <w:rPr>
          <w:rFonts w:eastAsiaTheme="minorEastAsia" w:hint="default"/>
        </w:rPr>
        <w:t xml:space="preserve"> </w:t>
      </w:r>
      <w:r w:rsidRPr="00BC262B">
        <w:rPr>
          <w:rFonts w:eastAsiaTheme="minorEastAsia"/>
        </w:rPr>
        <w:t>within 2</w:t>
      </w:r>
      <w:r>
        <w:rPr>
          <w:rFonts w:eastAsiaTheme="minorEastAsia" w:hint="default"/>
        </w:rPr>
        <w:t>8</w:t>
      </w:r>
      <w:r w:rsidRPr="00BC262B">
        <w:rPr>
          <w:rFonts w:eastAsiaTheme="minorEastAsia"/>
        </w:rPr>
        <w:t xml:space="preserve"> days </w:t>
      </w:r>
      <w:r w:rsidR="00CB3443">
        <w:rPr>
          <w:rFonts w:eastAsiaTheme="minorEastAsia" w:hint="default"/>
        </w:rPr>
        <w:t xml:space="preserve">(42 days for bone scan) </w:t>
      </w:r>
      <w:r w:rsidRPr="00BC262B">
        <w:rPr>
          <w:rFonts w:eastAsiaTheme="minorEastAsia"/>
        </w:rPr>
        <w:t>before initiation and are eligible for the study evaluation</w:t>
      </w:r>
      <w:r>
        <w:rPr>
          <w:rFonts w:eastAsiaTheme="minorEastAsia" w:hint="default"/>
        </w:rPr>
        <w:t>.</w:t>
      </w:r>
      <w:r w:rsidRPr="00BC262B">
        <w:rPr>
          <w:rFonts w:eastAsiaTheme="minorEastAsia"/>
        </w:rPr>
        <w:t xml:space="preserve"> </w:t>
      </w:r>
      <w:r>
        <w:rPr>
          <w:rFonts w:eastAsiaTheme="minorEastAsia" w:hint="default"/>
        </w:rPr>
        <w:t>T</w:t>
      </w:r>
      <w:r w:rsidRPr="00BC262B">
        <w:rPr>
          <w:rFonts w:eastAsiaTheme="minorEastAsia"/>
        </w:rPr>
        <w:t xml:space="preserve">here is no need for repeat </w:t>
      </w:r>
      <w:r>
        <w:rPr>
          <w:rFonts w:eastAsiaTheme="minorEastAsia" w:hint="default"/>
        </w:rPr>
        <w:t>examinations</w:t>
      </w:r>
      <w:r w:rsidRPr="00BC262B">
        <w:rPr>
          <w:rFonts w:eastAsiaTheme="minorEastAsia"/>
        </w:rPr>
        <w:t xml:space="preserve"> during the screening period.</w:t>
      </w:r>
    </w:p>
    <w:p w14:paraId="66A614DD" w14:textId="04456582" w:rsidR="00D45C54" w:rsidRDefault="00B955C7">
      <w:pPr>
        <w:pStyle w:val="P68B1DB1-15631"/>
        <w:spacing w:before="120"/>
        <w:rPr>
          <w:rFonts w:hint="default"/>
        </w:rPr>
      </w:pPr>
      <w:r w:rsidRPr="00B955C7">
        <w:t xml:space="preserve">Assessments within 28 days before </w:t>
      </w:r>
      <w:r w:rsidR="00F1760D">
        <w:rPr>
          <w:rFonts w:hint="default"/>
        </w:rPr>
        <w:t>first dose</w:t>
      </w:r>
      <w:r w:rsidR="003E0392">
        <w:t xml:space="preserve">: </w:t>
      </w:r>
    </w:p>
    <w:p w14:paraId="33827D73" w14:textId="1591D9DD" w:rsidR="006110E2" w:rsidRDefault="003E0392" w:rsidP="006D1B06">
      <w:pPr>
        <w:pStyle w:val="P68B1DB1-10426"/>
        <w:numPr>
          <w:ilvl w:val="0"/>
          <w:numId w:val="30"/>
        </w:numPr>
        <w:rPr>
          <w:rFonts w:hint="default"/>
        </w:rPr>
      </w:pPr>
      <w:r>
        <w:t xml:space="preserve">Signing the informed consent form; </w:t>
      </w:r>
    </w:p>
    <w:p w14:paraId="6631DB1B" w14:textId="1F435F08" w:rsidR="006110E2" w:rsidRDefault="006110E2" w:rsidP="006D1B06">
      <w:pPr>
        <w:pStyle w:val="P68B1DB1-10426"/>
        <w:numPr>
          <w:ilvl w:val="0"/>
          <w:numId w:val="30"/>
        </w:numPr>
        <w:rPr>
          <w:rFonts w:eastAsiaTheme="minorEastAsia" w:cs="Times New Roman" w:hint="default"/>
        </w:rPr>
      </w:pPr>
      <w:r w:rsidRPr="006110E2">
        <w:rPr>
          <w:rFonts w:cs="Times New Roman" w:hint="default"/>
        </w:rPr>
        <w:t xml:space="preserve">Medical history (pathological type before enrollment, primary site, TNM stage, RAS/BRAF mutation, MSI/MMR status, etc.) and basic information </w:t>
      </w:r>
      <w:r w:rsidR="00E23E77">
        <w:rPr>
          <w:rFonts w:cs="Times New Roman" w:hint="default"/>
        </w:rPr>
        <w:t>are</w:t>
      </w:r>
      <w:r w:rsidRPr="006110E2">
        <w:rPr>
          <w:rFonts w:cs="Times New Roman" w:hint="default"/>
        </w:rPr>
        <w:t xml:space="preserve"> collected, including patient identity card, gender, age, mailing address, and contact telephone number.</w:t>
      </w:r>
    </w:p>
    <w:p w14:paraId="2D1D84DA" w14:textId="1C400174" w:rsidR="00D45C54" w:rsidRPr="00384EEC" w:rsidRDefault="006110E2" w:rsidP="006D1B06">
      <w:pPr>
        <w:pStyle w:val="P68B1DB1-10426"/>
        <w:numPr>
          <w:ilvl w:val="0"/>
          <w:numId w:val="30"/>
        </w:numPr>
        <w:rPr>
          <w:rFonts w:cs="Times New Roman" w:hint="default"/>
        </w:rPr>
      </w:pPr>
      <w:r w:rsidRPr="006110E2">
        <w:rPr>
          <w:rFonts w:cs="Times New Roman"/>
        </w:rPr>
        <w:t>Blood and tissue specimen collection (subjects unable to provide the required genetic information);</w:t>
      </w:r>
      <w:r w:rsidR="003E0392" w:rsidRPr="00384EEC">
        <w:rPr>
          <w:rFonts w:cs="Times New Roman" w:hint="default"/>
        </w:rPr>
        <w:t xml:space="preserve"> </w:t>
      </w:r>
    </w:p>
    <w:p w14:paraId="46E8B67C" w14:textId="77777777" w:rsidR="005874F5" w:rsidRDefault="003E0392" w:rsidP="006D1B06">
      <w:pPr>
        <w:pStyle w:val="P68B1DB1-17748"/>
        <w:numPr>
          <w:ilvl w:val="0"/>
          <w:numId w:val="30"/>
        </w:numPr>
        <w:rPr>
          <w:rFonts w:hint="default"/>
        </w:rPr>
      </w:pPr>
      <w:r>
        <w:t>Tumor history and treatment history</w:t>
      </w:r>
      <w:r w:rsidR="00E14480">
        <w:rPr>
          <w:rFonts w:hint="default"/>
        </w:rPr>
        <w:t xml:space="preserve"> </w:t>
      </w:r>
      <w:r w:rsidR="00E14480" w:rsidRPr="00E14480">
        <w:t xml:space="preserve">(If so, the previous operation time and operation name </w:t>
      </w:r>
      <w:r w:rsidR="00E14480">
        <w:rPr>
          <w:rFonts w:hint="default"/>
        </w:rPr>
        <w:t>are</w:t>
      </w:r>
      <w:r w:rsidR="00E14480" w:rsidRPr="00E14480">
        <w:t xml:space="preserve"> recorded; The start and end time of chemotherapy, radiotherapy and targeted therapy, the best eff</w:t>
      </w:r>
      <w:r w:rsidR="00E14480">
        <w:rPr>
          <w:rFonts w:hint="default"/>
        </w:rPr>
        <w:t>icacy</w:t>
      </w:r>
      <w:r w:rsidR="00E14480" w:rsidRPr="00E14480">
        <w:t xml:space="preserve">, </w:t>
      </w:r>
      <w:r w:rsidR="00E14480">
        <w:rPr>
          <w:rFonts w:hint="default"/>
        </w:rPr>
        <w:t>treatment</w:t>
      </w:r>
      <w:r w:rsidR="00E14480" w:rsidRPr="00E14480">
        <w:t xml:space="preserve"> cycle</w:t>
      </w:r>
      <w:r w:rsidR="00E14480">
        <w:rPr>
          <w:rFonts w:hint="default"/>
        </w:rPr>
        <w:t>s</w:t>
      </w:r>
      <w:r w:rsidR="00E14480" w:rsidRPr="00E14480">
        <w:t>, the last time of chemotherapy/radiotherapy/targeted therapy, etc.)</w:t>
      </w:r>
      <w:r w:rsidR="00E14480">
        <w:rPr>
          <w:rFonts w:hint="default"/>
        </w:rPr>
        <w:t>.</w:t>
      </w:r>
    </w:p>
    <w:p w14:paraId="13F9874F" w14:textId="77777777" w:rsidR="005874F5" w:rsidRDefault="005874F5" w:rsidP="006D1B06">
      <w:pPr>
        <w:pStyle w:val="P68B1DB1-17748"/>
        <w:numPr>
          <w:ilvl w:val="0"/>
          <w:numId w:val="30"/>
        </w:numPr>
        <w:rPr>
          <w:rFonts w:hint="default"/>
        </w:rPr>
      </w:pPr>
      <w:r>
        <w:t>Infection screening: including HIV test, five HBV tests (HBV DNA quantitative test if HBsAg is positive), HCV antibody test (HCV RNA test if HCV antibody is positive);</w:t>
      </w:r>
    </w:p>
    <w:p w14:paraId="66C8A223" w14:textId="505E9A15" w:rsidR="005874F5" w:rsidRPr="00384EEC" w:rsidRDefault="005874F5" w:rsidP="006D1B06">
      <w:pPr>
        <w:pStyle w:val="P68B1DB1-17748"/>
        <w:numPr>
          <w:ilvl w:val="0"/>
          <w:numId w:val="30"/>
        </w:numPr>
        <w:rPr>
          <w:rFonts w:eastAsiaTheme="minorEastAsia" w:hint="default"/>
        </w:rPr>
      </w:pPr>
      <w:r>
        <w:t>Imaging (CT or MRI): PET is not a routine imaging assessment, and the premedication assessment must include enhanced CT or MRI of the neck, chest, abdomen, and pelvis. For subjects with bone metastases, a whole body bone scan should be performed. All suspicious lesion sites should be exam</w:t>
      </w:r>
      <w:r>
        <w:rPr>
          <w:rFonts w:hint="default"/>
        </w:rPr>
        <w:t>ed.</w:t>
      </w:r>
      <w:r w:rsidRPr="005874F5">
        <w:t xml:space="preserve"> </w:t>
      </w:r>
      <w:r>
        <w:t xml:space="preserve">Abdominal plain scan + enhanced/enhanced MRI and bone scan </w:t>
      </w:r>
      <w:r>
        <w:rPr>
          <w:rFonts w:hint="default"/>
        </w:rPr>
        <w:t>are</w:t>
      </w:r>
      <w:r>
        <w:t xml:space="preserve"> performed during the screening period (for subjects without bone metastasis during the screening period, the study physician decided according to clinical indications).</w:t>
      </w:r>
    </w:p>
    <w:p w14:paraId="529C754A" w14:textId="77777777" w:rsidR="005874F5" w:rsidRDefault="005874F5" w:rsidP="006D1B06">
      <w:pPr>
        <w:pStyle w:val="P68B1DB1-17748"/>
        <w:numPr>
          <w:ilvl w:val="0"/>
          <w:numId w:val="30"/>
        </w:numPr>
        <w:rPr>
          <w:rFonts w:hint="default"/>
        </w:rPr>
      </w:pPr>
      <w:r w:rsidRPr="001B554C">
        <w:rPr>
          <w:rFonts w:hint="default"/>
        </w:rPr>
        <w:t>Quality of life questionnaires</w:t>
      </w:r>
      <w:r>
        <w:t>;</w:t>
      </w:r>
    </w:p>
    <w:p w14:paraId="607E76EF" w14:textId="5E848EA3" w:rsidR="00D45C54" w:rsidRDefault="005874F5" w:rsidP="006D1B06">
      <w:pPr>
        <w:pStyle w:val="P68B1DB1-17748"/>
        <w:numPr>
          <w:ilvl w:val="0"/>
          <w:numId w:val="30"/>
        </w:numPr>
        <w:rPr>
          <w:rFonts w:hint="default"/>
        </w:rPr>
      </w:pPr>
      <w:r>
        <w:rPr>
          <w:rFonts w:hint="default"/>
        </w:rPr>
        <w:t>C</w:t>
      </w:r>
      <w:r w:rsidRPr="005874F5">
        <w:t xml:space="preserve">oncomitant </w:t>
      </w:r>
      <w:r>
        <w:t>medication and adverse events</w:t>
      </w:r>
      <w:r>
        <w:rPr>
          <w:rFonts w:hint="default"/>
        </w:rPr>
        <w:t>.</w:t>
      </w:r>
    </w:p>
    <w:p w14:paraId="4034417C" w14:textId="0FE7DB73" w:rsidR="00D45C54" w:rsidRDefault="009F6BE4" w:rsidP="009F6BE4">
      <w:pPr>
        <w:pStyle w:val="P68B1DB1-15631"/>
        <w:spacing w:before="120"/>
        <w:rPr>
          <w:rFonts w:hint="default"/>
        </w:rPr>
      </w:pPr>
      <w:r w:rsidRPr="009F6BE4">
        <w:lastRenderedPageBreak/>
        <w:t xml:space="preserve">Assessments within </w:t>
      </w:r>
      <w:r w:rsidR="004436F4">
        <w:rPr>
          <w:rFonts w:hint="default"/>
        </w:rPr>
        <w:t>7</w:t>
      </w:r>
      <w:r w:rsidRPr="009F6BE4">
        <w:t xml:space="preserve"> days before first dose</w:t>
      </w:r>
    </w:p>
    <w:p w14:paraId="05DF13D9" w14:textId="16846260" w:rsidR="00D45C54" w:rsidRDefault="00AD7ADD" w:rsidP="006D1B06">
      <w:pPr>
        <w:pStyle w:val="P68B1DB1-17748"/>
        <w:numPr>
          <w:ilvl w:val="0"/>
          <w:numId w:val="30"/>
        </w:numPr>
        <w:rPr>
          <w:rFonts w:hint="default"/>
        </w:rPr>
      </w:pPr>
      <w:r w:rsidRPr="00AD7ADD">
        <w:t>Physical examination</w:t>
      </w:r>
      <w:r w:rsidR="00BA14C0">
        <w:rPr>
          <w:rFonts w:hint="default"/>
        </w:rPr>
        <w:t>:</w:t>
      </w:r>
      <w:r w:rsidRPr="00AD7ADD">
        <w:t xml:space="preserve"> </w:t>
      </w:r>
      <w:r w:rsidR="00BA14C0">
        <w:t xml:space="preserve">ECOG </w:t>
      </w:r>
      <w:r w:rsidR="00BA14C0">
        <w:rPr>
          <w:rFonts w:hint="default"/>
        </w:rPr>
        <w:t>PS</w:t>
      </w:r>
      <w:r w:rsidR="000E6CCB">
        <w:rPr>
          <w:rFonts w:hint="default"/>
        </w:rPr>
        <w:t>, hight,</w:t>
      </w:r>
      <w:r w:rsidRPr="00AD7ADD">
        <w:t xml:space="preserve"> weight</w:t>
      </w:r>
      <w:r w:rsidR="000E6CCB">
        <w:rPr>
          <w:rFonts w:hint="default"/>
        </w:rPr>
        <w:t>,</w:t>
      </w:r>
      <w:r w:rsidRPr="00AD7ADD">
        <w:t xml:space="preserve"> </w:t>
      </w:r>
      <w:r w:rsidR="000E6CCB">
        <w:rPr>
          <w:rFonts w:hint="default"/>
        </w:rPr>
        <w:t>v</w:t>
      </w:r>
      <w:r w:rsidR="000E6CCB" w:rsidRPr="000E6CCB">
        <w:t>ital sign</w:t>
      </w:r>
      <w:r w:rsidR="000E6CCB">
        <w:rPr>
          <w:rFonts w:hint="default"/>
        </w:rPr>
        <w:t>s</w:t>
      </w:r>
      <w:r w:rsidR="00281697">
        <w:rPr>
          <w:rFonts w:hint="default"/>
        </w:rPr>
        <w:t xml:space="preserve"> and p</w:t>
      </w:r>
      <w:r w:rsidR="00281697" w:rsidRPr="00281697">
        <w:t>hysical examination</w:t>
      </w:r>
      <w:r w:rsidR="000E6CCB">
        <w:rPr>
          <w:rFonts w:hint="default"/>
        </w:rPr>
        <w:t>;</w:t>
      </w:r>
      <w:r w:rsidR="000E6CCB" w:rsidRPr="000E6CCB">
        <w:t xml:space="preserve"> </w:t>
      </w:r>
    </w:p>
    <w:p w14:paraId="54927387" w14:textId="77777777" w:rsidR="00AB1528" w:rsidRPr="00AB1528" w:rsidRDefault="00AB1528" w:rsidP="006D1B06">
      <w:pPr>
        <w:pStyle w:val="P68B1DB1-17748"/>
        <w:numPr>
          <w:ilvl w:val="0"/>
          <w:numId w:val="30"/>
        </w:numPr>
        <w:rPr>
          <w:rFonts w:cs="宋体" w:hint="default"/>
        </w:rPr>
      </w:pPr>
      <w:r w:rsidRPr="00AB1528">
        <w:rPr>
          <w:rFonts w:cs="宋体"/>
        </w:rPr>
        <w:t>Serum pregnancy test: HCG test, only applicable to women of childbearing age;</w:t>
      </w:r>
    </w:p>
    <w:p w14:paraId="353BBA2D" w14:textId="5852B288" w:rsidR="00AB1528" w:rsidRPr="00AB1528" w:rsidRDefault="00AB1528" w:rsidP="006D1B06">
      <w:pPr>
        <w:pStyle w:val="P68B1DB1-17748"/>
        <w:numPr>
          <w:ilvl w:val="0"/>
          <w:numId w:val="30"/>
        </w:numPr>
        <w:rPr>
          <w:rFonts w:cs="宋体" w:hint="default"/>
        </w:rPr>
      </w:pPr>
      <w:r w:rsidRPr="00AB1528">
        <w:rPr>
          <w:rFonts w:cs="宋体"/>
        </w:rPr>
        <w:t>Tumor markers: CEA and CA19-9 must be detected; AFP detection is recommended for patients with liver metastasis</w:t>
      </w:r>
      <w:r>
        <w:rPr>
          <w:rFonts w:cs="宋体" w:hint="default"/>
        </w:rPr>
        <w:t xml:space="preserve">, </w:t>
      </w:r>
      <w:r w:rsidRPr="00AB1528">
        <w:rPr>
          <w:rFonts w:cs="宋体" w:hint="default"/>
        </w:rPr>
        <w:t>CA125 detection is recommended for patients with suspected peritoneal or ovarian metastasis.</w:t>
      </w:r>
    </w:p>
    <w:p w14:paraId="4F621A60" w14:textId="77777777" w:rsidR="00AB1528" w:rsidRPr="00AB1528" w:rsidRDefault="00AB1528" w:rsidP="006D1B06">
      <w:pPr>
        <w:pStyle w:val="P68B1DB1-17748"/>
        <w:numPr>
          <w:ilvl w:val="0"/>
          <w:numId w:val="30"/>
        </w:numPr>
        <w:rPr>
          <w:rFonts w:cs="宋体" w:hint="default"/>
        </w:rPr>
      </w:pPr>
      <w:r w:rsidRPr="00AB1528">
        <w:rPr>
          <w:rFonts w:cs="宋体"/>
        </w:rPr>
        <w:t>12-lead electrocardiogram, echocardiography;</w:t>
      </w:r>
    </w:p>
    <w:p w14:paraId="019AC067" w14:textId="77777777" w:rsidR="00AB1528" w:rsidRPr="00AB1528" w:rsidRDefault="00AB1528" w:rsidP="006D1B06">
      <w:pPr>
        <w:pStyle w:val="P68B1DB1-17748"/>
        <w:numPr>
          <w:ilvl w:val="0"/>
          <w:numId w:val="30"/>
        </w:numPr>
        <w:rPr>
          <w:rFonts w:cs="宋体" w:hint="default"/>
        </w:rPr>
      </w:pPr>
      <w:r w:rsidRPr="00AB1528">
        <w:rPr>
          <w:rFonts w:cs="宋体"/>
        </w:rPr>
        <w:t>Blood routine, urine routine, stool routine (including occult blood);</w:t>
      </w:r>
    </w:p>
    <w:p w14:paraId="28D3D5A2" w14:textId="77777777" w:rsidR="00AB1528" w:rsidRPr="00AB1528" w:rsidRDefault="00AB1528" w:rsidP="006D1B06">
      <w:pPr>
        <w:pStyle w:val="P68B1DB1-17748"/>
        <w:numPr>
          <w:ilvl w:val="0"/>
          <w:numId w:val="30"/>
        </w:numPr>
        <w:rPr>
          <w:rFonts w:cs="宋体" w:hint="default"/>
        </w:rPr>
      </w:pPr>
      <w:r w:rsidRPr="00AB1528">
        <w:rPr>
          <w:rFonts w:cs="宋体"/>
        </w:rPr>
        <w:t>Thyroid function (T3, T4, FT3, FT4, TSH);</w:t>
      </w:r>
    </w:p>
    <w:p w14:paraId="61B773C1" w14:textId="77777777" w:rsidR="00AB1528" w:rsidRPr="00AB1528" w:rsidRDefault="00AB1528" w:rsidP="006D1B06">
      <w:pPr>
        <w:pStyle w:val="P68B1DB1-17748"/>
        <w:numPr>
          <w:ilvl w:val="0"/>
          <w:numId w:val="30"/>
        </w:numPr>
        <w:rPr>
          <w:rFonts w:cs="宋体" w:hint="default"/>
        </w:rPr>
      </w:pPr>
      <w:r w:rsidRPr="00AB1528">
        <w:rPr>
          <w:rFonts w:cs="宋体"/>
        </w:rPr>
        <w:t>Coagulation function (PT, APTT, TT, Fbg, D-Dimer, INR);</w:t>
      </w:r>
    </w:p>
    <w:p w14:paraId="24485A4C" w14:textId="39E4B3E8" w:rsidR="00AB1528" w:rsidRPr="00AB1528" w:rsidRDefault="00AB1528" w:rsidP="006D1B06">
      <w:pPr>
        <w:pStyle w:val="P68B1DB1-17748"/>
        <w:numPr>
          <w:ilvl w:val="0"/>
          <w:numId w:val="30"/>
        </w:numPr>
        <w:rPr>
          <w:rFonts w:cs="宋体" w:hint="default"/>
        </w:rPr>
      </w:pPr>
      <w:r w:rsidRPr="00AB1528">
        <w:rPr>
          <w:rFonts w:cs="宋体"/>
        </w:rPr>
        <w:t>Blood biochemistry: liver function (TP, A, G, ALT, AST, GGT, LDH, ALP, TBil, DBil, IBil), renal function (BUN or UREA, Cr, UA), four blood lipid (TC,</w:t>
      </w:r>
      <w:r>
        <w:rPr>
          <w:rFonts w:eastAsiaTheme="minorEastAsia" w:cs="宋体"/>
        </w:rPr>
        <w:t xml:space="preserve"> </w:t>
      </w:r>
      <w:r w:rsidRPr="00AB1528">
        <w:rPr>
          <w:rFonts w:cs="宋体" w:hint="default"/>
        </w:rPr>
        <w:t>TG, HDL, LDL), electrolytes (K, Na, CL, Ca, Mg, P), fasting blood glucose</w:t>
      </w:r>
    </w:p>
    <w:p w14:paraId="6CA1CF5C" w14:textId="77777777" w:rsidR="00AB1528" w:rsidRDefault="00AB1528" w:rsidP="006D1B06">
      <w:pPr>
        <w:pStyle w:val="P68B1DB1-10426"/>
        <w:numPr>
          <w:ilvl w:val="0"/>
          <w:numId w:val="30"/>
        </w:numPr>
        <w:rPr>
          <w:rFonts w:hint="default"/>
        </w:rPr>
      </w:pPr>
      <w:r w:rsidRPr="00AB1528">
        <w:t>Blood lipase, blood amylase;</w:t>
      </w:r>
      <w:r w:rsidRPr="00AB1528" w:rsidDel="00AB1528">
        <w:t xml:space="preserve"> </w:t>
      </w:r>
    </w:p>
    <w:p w14:paraId="44C63B5D" w14:textId="77777777" w:rsidR="008F47B0" w:rsidRDefault="008F47B0" w:rsidP="006D1B06">
      <w:pPr>
        <w:pStyle w:val="P68B1DB1-10426"/>
        <w:numPr>
          <w:ilvl w:val="0"/>
          <w:numId w:val="30"/>
        </w:numPr>
        <w:rPr>
          <w:rFonts w:hint="default"/>
        </w:rPr>
      </w:pPr>
      <w:r w:rsidRPr="008F47B0">
        <w:t>Concomitant</w:t>
      </w:r>
      <w:r>
        <w:t xml:space="preserve"> medication and adverse events.</w:t>
      </w:r>
    </w:p>
    <w:p w14:paraId="3989FE8B" w14:textId="6031C1C2" w:rsidR="00D45C54" w:rsidRDefault="003E0392">
      <w:pPr>
        <w:pStyle w:val="P68B1DB1-366"/>
        <w:rPr>
          <w:rFonts w:hint="default"/>
        </w:rPr>
      </w:pPr>
      <w:bookmarkStart w:id="98" w:name="_Toc35946306"/>
      <w:bookmarkStart w:id="99" w:name="_Toc196548000"/>
      <w:r>
        <w:t>6.</w:t>
      </w:r>
      <w:r w:rsidR="00281697">
        <w:rPr>
          <w:rFonts w:hint="default"/>
        </w:rPr>
        <w:t>3</w:t>
      </w:r>
      <w:r w:rsidR="00281697">
        <w:t xml:space="preserve"> </w:t>
      </w:r>
      <w:r>
        <w:t>T</w:t>
      </w:r>
      <w:r w:rsidR="00EA2DFA">
        <w:rPr>
          <w:rFonts w:hint="default"/>
        </w:rPr>
        <w:t>reatment period visits</w:t>
      </w:r>
      <w:bookmarkEnd w:id="99"/>
      <w:r>
        <w:t xml:space="preserve"> </w:t>
      </w:r>
      <w:bookmarkEnd w:id="98"/>
    </w:p>
    <w:p w14:paraId="245F488B" w14:textId="40952F71" w:rsidR="00D45C54" w:rsidRDefault="003E0392">
      <w:pPr>
        <w:pStyle w:val="4"/>
      </w:pPr>
      <w:r>
        <w:rPr>
          <w:rFonts w:hint="eastAsia"/>
        </w:rPr>
        <w:t xml:space="preserve">Cycle 1 </w:t>
      </w:r>
    </w:p>
    <w:p w14:paraId="766ECD7E" w14:textId="6084226A" w:rsidR="00D45C54" w:rsidRDefault="003E0392" w:rsidP="006D1B06">
      <w:pPr>
        <w:pStyle w:val="a0"/>
        <w:numPr>
          <w:ilvl w:val="0"/>
          <w:numId w:val="31"/>
        </w:numPr>
        <w:spacing w:before="120"/>
      </w:pPr>
      <w:r>
        <w:rPr>
          <w:rFonts w:hint="eastAsia"/>
        </w:rPr>
        <w:t>C</w:t>
      </w:r>
      <w:r>
        <w:t>1D1</w:t>
      </w:r>
      <w:r w:rsidR="00281697">
        <w:t>:</w:t>
      </w:r>
      <w:r>
        <w:t xml:space="preserve"> </w:t>
      </w:r>
    </w:p>
    <w:p w14:paraId="6C86C17C" w14:textId="68D74496" w:rsidR="00000F97" w:rsidRPr="00000F97" w:rsidRDefault="00000F97" w:rsidP="00384EEC">
      <w:pPr>
        <w:pStyle w:val="P68B1DB1-17748"/>
        <w:numPr>
          <w:ilvl w:val="0"/>
          <w:numId w:val="0"/>
        </w:numPr>
        <w:rPr>
          <w:rFonts w:hint="default"/>
        </w:rPr>
      </w:pPr>
      <w:r w:rsidRPr="00000F97">
        <w:t>Vital signs</w:t>
      </w:r>
      <w:r w:rsidR="00281697">
        <w:rPr>
          <w:rFonts w:hint="default"/>
        </w:rPr>
        <w:t xml:space="preserve"> before administration, p</w:t>
      </w:r>
      <w:r w:rsidR="00281697" w:rsidRPr="00281697">
        <w:t>hysical examination</w:t>
      </w:r>
    </w:p>
    <w:p w14:paraId="3B17A206" w14:textId="4AE10226" w:rsidR="00D45C54" w:rsidRDefault="003E0392" w:rsidP="00384EEC">
      <w:pPr>
        <w:pStyle w:val="P68B1DB1-17748"/>
        <w:numPr>
          <w:ilvl w:val="0"/>
          <w:numId w:val="0"/>
        </w:numPr>
        <w:ind w:left="420" w:hanging="420"/>
        <w:rPr>
          <w:rFonts w:hint="default"/>
        </w:rPr>
      </w:pPr>
      <w:bookmarkStart w:id="100" w:name="OLE_LINK1"/>
      <w:r>
        <w:t>Concomitant medications</w:t>
      </w:r>
      <w:r w:rsidR="00281697">
        <w:rPr>
          <w:rFonts w:hint="default"/>
        </w:rPr>
        <w:t>,</w:t>
      </w:r>
      <w:r>
        <w:t xml:space="preserve"> adverse events</w:t>
      </w:r>
      <w:r w:rsidR="00281697">
        <w:rPr>
          <w:rFonts w:hint="default"/>
        </w:rPr>
        <w:t xml:space="preserve"> and drug d</w:t>
      </w:r>
      <w:r w:rsidR="001B554C">
        <w:rPr>
          <w:rFonts w:hint="default"/>
        </w:rPr>
        <w:t>e</w:t>
      </w:r>
      <w:r w:rsidR="00281697">
        <w:rPr>
          <w:rFonts w:hint="default"/>
        </w:rPr>
        <w:t>livery</w:t>
      </w:r>
      <w:r w:rsidR="00181E1E">
        <w:rPr>
          <w:rFonts w:hint="default"/>
        </w:rPr>
        <w:t>.</w:t>
      </w:r>
      <w:r>
        <w:t xml:space="preserve"> </w:t>
      </w:r>
      <w:bookmarkEnd w:id="100"/>
    </w:p>
    <w:p w14:paraId="14AF911B" w14:textId="7F60361B" w:rsidR="00D45C54" w:rsidRDefault="00281697" w:rsidP="006D1B06">
      <w:pPr>
        <w:pStyle w:val="a0"/>
        <w:numPr>
          <w:ilvl w:val="0"/>
          <w:numId w:val="31"/>
        </w:numPr>
        <w:spacing w:before="120"/>
      </w:pPr>
      <w:r>
        <w:rPr>
          <w:rFonts w:hint="eastAsia"/>
        </w:rPr>
        <w:t>C1D</w:t>
      </w:r>
      <w:r>
        <w:t>8</w:t>
      </w:r>
      <w:r>
        <w:rPr>
          <w:rFonts w:hint="eastAsia"/>
        </w:rPr>
        <w:t xml:space="preserve"> </w:t>
      </w:r>
    </w:p>
    <w:p w14:paraId="1791C8C4" w14:textId="77777777" w:rsidR="00281697" w:rsidRDefault="00281697" w:rsidP="00384EEC">
      <w:pPr>
        <w:pStyle w:val="P68B1DB1-17748"/>
        <w:numPr>
          <w:ilvl w:val="0"/>
          <w:numId w:val="0"/>
        </w:numPr>
        <w:rPr>
          <w:rFonts w:hint="default"/>
        </w:rPr>
      </w:pPr>
      <w:r>
        <w:t>Vital signs before administration, physical examination</w:t>
      </w:r>
    </w:p>
    <w:p w14:paraId="71939FEF" w14:textId="77777777" w:rsidR="00281697" w:rsidRDefault="00281697" w:rsidP="00384EEC">
      <w:pPr>
        <w:pStyle w:val="P68B1DB1-17748"/>
        <w:numPr>
          <w:ilvl w:val="0"/>
          <w:numId w:val="0"/>
        </w:numPr>
        <w:rPr>
          <w:rFonts w:hint="default"/>
        </w:rPr>
      </w:pPr>
      <w:r>
        <w:t xml:space="preserve">12-ECG </w:t>
      </w:r>
    </w:p>
    <w:p w14:paraId="386AFD04" w14:textId="3E85A4CC" w:rsidR="00281697" w:rsidRDefault="00281697" w:rsidP="00384EEC">
      <w:pPr>
        <w:pStyle w:val="P68B1DB1-17748"/>
        <w:numPr>
          <w:ilvl w:val="0"/>
          <w:numId w:val="0"/>
        </w:numPr>
        <w:rPr>
          <w:rFonts w:hint="default"/>
        </w:rPr>
      </w:pPr>
      <w:r>
        <w:rPr>
          <w:rFonts w:hint="default"/>
        </w:rPr>
        <w:t>B</w:t>
      </w:r>
      <w:r>
        <w:t>lood routine, blood biochemistry</w:t>
      </w:r>
    </w:p>
    <w:p w14:paraId="6780B773" w14:textId="5A6238BD" w:rsidR="00D45C54" w:rsidRDefault="003E0392" w:rsidP="00384EEC">
      <w:pPr>
        <w:pStyle w:val="P68B1DB1-17748"/>
        <w:numPr>
          <w:ilvl w:val="0"/>
          <w:numId w:val="0"/>
        </w:numPr>
        <w:ind w:left="420" w:hanging="420"/>
        <w:rPr>
          <w:rFonts w:hint="default"/>
        </w:rPr>
      </w:pPr>
      <w:r>
        <w:t>Concomitant medications and adverse events</w:t>
      </w:r>
      <w:r w:rsidR="009B6D7F">
        <w:rPr>
          <w:rFonts w:hint="default"/>
        </w:rPr>
        <w:t>.</w:t>
      </w:r>
    </w:p>
    <w:p w14:paraId="500A964F" w14:textId="200456C4" w:rsidR="00D45C54" w:rsidRDefault="00EB4374" w:rsidP="006D1B06">
      <w:pPr>
        <w:pStyle w:val="a0"/>
        <w:numPr>
          <w:ilvl w:val="0"/>
          <w:numId w:val="31"/>
        </w:numPr>
        <w:spacing w:before="120"/>
      </w:pPr>
      <w:r>
        <w:rPr>
          <w:rFonts w:hint="eastAsia"/>
        </w:rPr>
        <w:t>C1D1</w:t>
      </w:r>
      <w:r>
        <w:t>5</w:t>
      </w:r>
      <w:r w:rsidR="003E0392">
        <w:rPr>
          <w:rFonts w:hint="eastAsia"/>
        </w:rPr>
        <w:t xml:space="preserve"> </w:t>
      </w:r>
    </w:p>
    <w:p w14:paraId="4D0861BD" w14:textId="3DFFA21B" w:rsidR="00EB4374" w:rsidRPr="00384EEC" w:rsidRDefault="00EB4374" w:rsidP="00384EEC">
      <w:pPr>
        <w:pStyle w:val="a0"/>
        <w:numPr>
          <w:ilvl w:val="0"/>
          <w:numId w:val="0"/>
        </w:numPr>
        <w:spacing w:before="120"/>
        <w:rPr>
          <w:b w:val="0"/>
        </w:rPr>
      </w:pPr>
      <w:r w:rsidRPr="00384EEC">
        <w:rPr>
          <w:b w:val="0"/>
        </w:rPr>
        <w:t>Vital signs, physical examination</w:t>
      </w:r>
    </w:p>
    <w:p w14:paraId="3AA7C3C9" w14:textId="77777777" w:rsidR="001B554C" w:rsidRDefault="00EB4374" w:rsidP="00384EEC">
      <w:pPr>
        <w:pStyle w:val="a0"/>
        <w:numPr>
          <w:ilvl w:val="0"/>
          <w:numId w:val="0"/>
        </w:numPr>
        <w:spacing w:before="120"/>
        <w:ind w:left="420" w:hanging="420"/>
        <w:rPr>
          <w:b w:val="0"/>
        </w:rPr>
      </w:pPr>
      <w:r w:rsidRPr="00384EEC">
        <w:rPr>
          <w:b w:val="0"/>
        </w:rPr>
        <w:t xml:space="preserve">12-ECG </w:t>
      </w:r>
    </w:p>
    <w:p w14:paraId="6F58037A" w14:textId="26D3CBC2" w:rsidR="002B5EDF" w:rsidRDefault="001B554C" w:rsidP="00384EEC">
      <w:pPr>
        <w:pStyle w:val="a0"/>
        <w:numPr>
          <w:ilvl w:val="0"/>
          <w:numId w:val="0"/>
        </w:numPr>
        <w:spacing w:before="120"/>
        <w:ind w:left="420" w:hanging="420"/>
        <w:rPr>
          <w:b w:val="0"/>
        </w:rPr>
      </w:pPr>
      <w:r w:rsidRPr="0003467A">
        <w:rPr>
          <w:b w:val="0"/>
        </w:rPr>
        <w:t>Blood routine, blood biochemistry</w:t>
      </w:r>
    </w:p>
    <w:p w14:paraId="559A7796" w14:textId="44BF060D" w:rsidR="00EB4374" w:rsidRPr="00384EEC" w:rsidRDefault="002B5EDF" w:rsidP="00384EEC">
      <w:pPr>
        <w:pStyle w:val="a0"/>
        <w:numPr>
          <w:ilvl w:val="0"/>
          <w:numId w:val="0"/>
        </w:numPr>
        <w:spacing w:before="120"/>
        <w:ind w:left="420" w:hanging="420"/>
        <w:rPr>
          <w:b w:val="0"/>
        </w:rPr>
      </w:pPr>
      <w:r w:rsidRPr="0003467A">
        <w:rPr>
          <w:b w:val="0"/>
        </w:rPr>
        <w:t>Concomitant medications and adverse events.</w:t>
      </w:r>
    </w:p>
    <w:p w14:paraId="62A89AE6" w14:textId="0837E03E" w:rsidR="001B554C" w:rsidRDefault="001B554C" w:rsidP="006D1B06">
      <w:pPr>
        <w:pStyle w:val="a0"/>
        <w:numPr>
          <w:ilvl w:val="0"/>
          <w:numId w:val="31"/>
        </w:numPr>
        <w:spacing w:before="120"/>
      </w:pPr>
      <w:r>
        <w:rPr>
          <w:rFonts w:hint="eastAsia"/>
        </w:rPr>
        <w:t>C1D</w:t>
      </w:r>
      <w:r>
        <w:t>21</w:t>
      </w:r>
      <w:r>
        <w:rPr>
          <w:rFonts w:hint="eastAsia"/>
        </w:rPr>
        <w:t xml:space="preserve"> </w:t>
      </w:r>
    </w:p>
    <w:p w14:paraId="794B6795" w14:textId="77777777" w:rsidR="001B554C" w:rsidRPr="0003467A" w:rsidRDefault="001B554C" w:rsidP="001B554C">
      <w:pPr>
        <w:pStyle w:val="a0"/>
        <w:numPr>
          <w:ilvl w:val="0"/>
          <w:numId w:val="0"/>
        </w:numPr>
        <w:spacing w:before="120"/>
        <w:rPr>
          <w:b w:val="0"/>
        </w:rPr>
      </w:pPr>
      <w:r w:rsidRPr="0003467A">
        <w:rPr>
          <w:b w:val="0"/>
        </w:rPr>
        <w:lastRenderedPageBreak/>
        <w:t>Vital signs, physical examination</w:t>
      </w:r>
      <w:r>
        <w:rPr>
          <w:b w:val="0"/>
        </w:rPr>
        <w:t xml:space="preserve">, </w:t>
      </w:r>
      <w:r w:rsidRPr="001B554C">
        <w:rPr>
          <w:b w:val="0"/>
        </w:rPr>
        <w:t>ECOG PS</w:t>
      </w:r>
      <w:r>
        <w:rPr>
          <w:b w:val="0"/>
        </w:rPr>
        <w:t xml:space="preserve">, </w:t>
      </w:r>
      <w:bookmarkStart w:id="101" w:name="OLE_LINK9"/>
      <w:r w:rsidRPr="001B554C">
        <w:rPr>
          <w:b w:val="0"/>
        </w:rPr>
        <w:t>Quality of life questionnaires</w:t>
      </w:r>
    </w:p>
    <w:bookmarkEnd w:id="101"/>
    <w:p w14:paraId="5CD1ACE6" w14:textId="77777777" w:rsidR="001B554C" w:rsidRPr="0003467A" w:rsidRDefault="001B554C" w:rsidP="001B554C">
      <w:pPr>
        <w:pStyle w:val="a0"/>
        <w:numPr>
          <w:ilvl w:val="0"/>
          <w:numId w:val="0"/>
        </w:numPr>
        <w:spacing w:before="120"/>
        <w:ind w:left="420" w:hanging="420"/>
        <w:rPr>
          <w:b w:val="0"/>
        </w:rPr>
      </w:pPr>
      <w:r w:rsidRPr="0003467A">
        <w:rPr>
          <w:b w:val="0"/>
        </w:rPr>
        <w:t xml:space="preserve">12-ECG </w:t>
      </w:r>
    </w:p>
    <w:p w14:paraId="72E2D170" w14:textId="6EFEA592" w:rsidR="001B554C" w:rsidRPr="00384EEC" w:rsidRDefault="001B554C" w:rsidP="00384EEC">
      <w:pPr>
        <w:rPr>
          <w:b/>
        </w:rPr>
      </w:pPr>
      <w:r w:rsidRPr="000B5334">
        <w:t>Blood routine, blood biochemistry</w:t>
      </w:r>
      <w:r>
        <w:t>,</w:t>
      </w:r>
      <w:r w:rsidRPr="001B554C">
        <w:t xml:space="preserve"> urine routine, stool ro</w:t>
      </w:r>
      <w:r>
        <w:t xml:space="preserve">utine (including occult blood); </w:t>
      </w:r>
      <w:r w:rsidRPr="000B5334">
        <w:t>thyroid function</w:t>
      </w:r>
      <w:r>
        <w:t xml:space="preserve">, </w:t>
      </w:r>
      <w:r w:rsidRPr="000B5334">
        <w:t>coagulation function</w:t>
      </w:r>
      <w:r>
        <w:t>,</w:t>
      </w:r>
      <w:r w:rsidRPr="000B5334">
        <w:t xml:space="preserve"> blood lipase, blood amylase;</w:t>
      </w:r>
    </w:p>
    <w:p w14:paraId="19074F5F" w14:textId="2750D056" w:rsidR="001B554C" w:rsidRPr="00384EEC" w:rsidRDefault="002B5EDF" w:rsidP="00384EEC">
      <w:pPr>
        <w:pStyle w:val="a0"/>
        <w:numPr>
          <w:ilvl w:val="0"/>
          <w:numId w:val="0"/>
        </w:numPr>
        <w:spacing w:before="120"/>
        <w:ind w:left="420" w:hanging="420"/>
        <w:rPr>
          <w:b w:val="0"/>
        </w:rPr>
      </w:pPr>
      <w:r w:rsidRPr="00791627">
        <w:rPr>
          <w:b w:val="0"/>
        </w:rPr>
        <w:t>Concomitant medications</w:t>
      </w:r>
      <w:r>
        <w:rPr>
          <w:b w:val="0"/>
        </w:rPr>
        <w:t xml:space="preserve">, </w:t>
      </w:r>
      <w:r w:rsidRPr="00791627">
        <w:rPr>
          <w:b w:val="0"/>
        </w:rPr>
        <w:t>adverse events</w:t>
      </w:r>
      <w:r>
        <w:rPr>
          <w:b w:val="0"/>
        </w:rPr>
        <w:t>, drug delivery and recall</w:t>
      </w:r>
      <w:r w:rsidRPr="00791627">
        <w:rPr>
          <w:b w:val="0"/>
        </w:rPr>
        <w:t>.</w:t>
      </w:r>
    </w:p>
    <w:p w14:paraId="6B47CCCE" w14:textId="740907EC" w:rsidR="00D45C54" w:rsidRDefault="0084178F">
      <w:pPr>
        <w:pStyle w:val="4"/>
      </w:pPr>
      <w:r>
        <w:t>C</w:t>
      </w:r>
      <w:r w:rsidR="003E0392">
        <w:rPr>
          <w:rFonts w:hint="eastAsia"/>
        </w:rPr>
        <w:t xml:space="preserve">ycle </w:t>
      </w:r>
      <w:r>
        <w:t>2</w:t>
      </w:r>
    </w:p>
    <w:p w14:paraId="631D5D1C" w14:textId="2C3109A5" w:rsidR="001B554C" w:rsidRDefault="001B554C" w:rsidP="006D1B06">
      <w:pPr>
        <w:pStyle w:val="a0"/>
        <w:numPr>
          <w:ilvl w:val="0"/>
          <w:numId w:val="31"/>
        </w:numPr>
        <w:spacing w:before="120"/>
      </w:pPr>
      <w:r>
        <w:rPr>
          <w:rFonts w:hint="eastAsia"/>
        </w:rPr>
        <w:t>C</w:t>
      </w:r>
      <w:r w:rsidR="002B5EDF">
        <w:t>2</w:t>
      </w:r>
      <w:r>
        <w:t xml:space="preserve">D1: </w:t>
      </w:r>
    </w:p>
    <w:p w14:paraId="7889DF33" w14:textId="77777777" w:rsidR="001B554C" w:rsidRPr="00000F97" w:rsidRDefault="001B554C" w:rsidP="001B554C">
      <w:pPr>
        <w:pStyle w:val="P68B1DB1-17748"/>
        <w:numPr>
          <w:ilvl w:val="0"/>
          <w:numId w:val="0"/>
        </w:numPr>
        <w:rPr>
          <w:rFonts w:hint="default"/>
        </w:rPr>
      </w:pPr>
      <w:r w:rsidRPr="00000F97">
        <w:t>Vital signs</w:t>
      </w:r>
      <w:r>
        <w:rPr>
          <w:rFonts w:hint="default"/>
        </w:rPr>
        <w:t xml:space="preserve"> before administration, p</w:t>
      </w:r>
      <w:r w:rsidRPr="00281697">
        <w:t>hysical examination</w:t>
      </w:r>
    </w:p>
    <w:p w14:paraId="5C44942C" w14:textId="77777777" w:rsidR="001B554C" w:rsidRDefault="001B554C" w:rsidP="001B554C">
      <w:pPr>
        <w:pStyle w:val="P68B1DB1-17748"/>
        <w:numPr>
          <w:ilvl w:val="0"/>
          <w:numId w:val="0"/>
        </w:numPr>
        <w:ind w:left="420" w:hanging="420"/>
        <w:rPr>
          <w:rFonts w:hint="default"/>
        </w:rPr>
      </w:pPr>
      <w:r>
        <w:t>Concomitant medications</w:t>
      </w:r>
      <w:r>
        <w:rPr>
          <w:rFonts w:hint="default"/>
        </w:rPr>
        <w:t>,</w:t>
      </w:r>
      <w:r>
        <w:t xml:space="preserve"> adverse events</w:t>
      </w:r>
      <w:r>
        <w:rPr>
          <w:rFonts w:hint="default"/>
        </w:rPr>
        <w:t xml:space="preserve"> and drug delivery.</w:t>
      </w:r>
      <w:r>
        <w:t xml:space="preserve"> </w:t>
      </w:r>
    </w:p>
    <w:p w14:paraId="4DF54482" w14:textId="2E311F44" w:rsidR="001B554C" w:rsidRDefault="001B554C" w:rsidP="006D1B06">
      <w:pPr>
        <w:pStyle w:val="a0"/>
        <w:numPr>
          <w:ilvl w:val="0"/>
          <w:numId w:val="31"/>
        </w:numPr>
        <w:spacing w:before="120"/>
      </w:pPr>
      <w:r>
        <w:rPr>
          <w:rFonts w:hint="eastAsia"/>
        </w:rPr>
        <w:t>C</w:t>
      </w:r>
      <w:r w:rsidR="002B5EDF">
        <w:t>2</w:t>
      </w:r>
      <w:r>
        <w:rPr>
          <w:rFonts w:hint="eastAsia"/>
        </w:rPr>
        <w:t>D</w:t>
      </w:r>
      <w:r>
        <w:t>8</w:t>
      </w:r>
      <w:r>
        <w:rPr>
          <w:rFonts w:hint="eastAsia"/>
        </w:rPr>
        <w:t xml:space="preserve"> </w:t>
      </w:r>
    </w:p>
    <w:p w14:paraId="555217FA" w14:textId="77777777" w:rsidR="001B554C" w:rsidRDefault="001B554C" w:rsidP="001B554C">
      <w:pPr>
        <w:pStyle w:val="P68B1DB1-17748"/>
        <w:numPr>
          <w:ilvl w:val="0"/>
          <w:numId w:val="0"/>
        </w:numPr>
        <w:rPr>
          <w:rFonts w:hint="default"/>
        </w:rPr>
      </w:pPr>
      <w:r>
        <w:t>Vital signs before administration, physical examination</w:t>
      </w:r>
    </w:p>
    <w:p w14:paraId="496EA91D" w14:textId="77777777" w:rsidR="001B554C" w:rsidRDefault="001B554C" w:rsidP="001B554C">
      <w:pPr>
        <w:pStyle w:val="P68B1DB1-17748"/>
        <w:numPr>
          <w:ilvl w:val="0"/>
          <w:numId w:val="0"/>
        </w:numPr>
        <w:rPr>
          <w:rFonts w:hint="default"/>
        </w:rPr>
      </w:pPr>
      <w:r>
        <w:t xml:space="preserve">12-ECG </w:t>
      </w:r>
    </w:p>
    <w:p w14:paraId="355A8877" w14:textId="77777777" w:rsidR="001B554C" w:rsidRDefault="001B554C" w:rsidP="001B554C">
      <w:pPr>
        <w:pStyle w:val="P68B1DB1-17748"/>
        <w:numPr>
          <w:ilvl w:val="0"/>
          <w:numId w:val="0"/>
        </w:numPr>
        <w:rPr>
          <w:rFonts w:hint="default"/>
        </w:rPr>
      </w:pPr>
      <w:r>
        <w:rPr>
          <w:rFonts w:hint="default"/>
        </w:rPr>
        <w:t>B</w:t>
      </w:r>
      <w:r>
        <w:t>lood routine, blood biochemistry</w:t>
      </w:r>
    </w:p>
    <w:p w14:paraId="6D320948" w14:textId="77777777" w:rsidR="001B554C" w:rsidRDefault="001B554C" w:rsidP="001B554C">
      <w:pPr>
        <w:pStyle w:val="P68B1DB1-17748"/>
        <w:numPr>
          <w:ilvl w:val="0"/>
          <w:numId w:val="0"/>
        </w:numPr>
        <w:ind w:left="420" w:hanging="420"/>
        <w:rPr>
          <w:rFonts w:hint="default"/>
        </w:rPr>
      </w:pPr>
      <w:r>
        <w:t>Concomitant medications and adverse events</w:t>
      </w:r>
      <w:r>
        <w:rPr>
          <w:rFonts w:hint="default"/>
        </w:rPr>
        <w:t>.</w:t>
      </w:r>
    </w:p>
    <w:p w14:paraId="339AF702" w14:textId="41F1DC6D" w:rsidR="001B554C" w:rsidRDefault="002B5EDF" w:rsidP="006D1B06">
      <w:pPr>
        <w:pStyle w:val="a0"/>
        <w:numPr>
          <w:ilvl w:val="0"/>
          <w:numId w:val="31"/>
        </w:numPr>
        <w:spacing w:before="120"/>
      </w:pPr>
      <w:r>
        <w:rPr>
          <w:rFonts w:hint="eastAsia"/>
        </w:rPr>
        <w:t>C</w:t>
      </w:r>
      <w:r>
        <w:t>2</w:t>
      </w:r>
      <w:r w:rsidR="001B554C">
        <w:rPr>
          <w:rFonts w:hint="eastAsia"/>
        </w:rPr>
        <w:t>D1</w:t>
      </w:r>
      <w:r w:rsidR="001B554C">
        <w:t>5</w:t>
      </w:r>
      <w:r w:rsidR="001B554C">
        <w:rPr>
          <w:rFonts w:hint="eastAsia"/>
        </w:rPr>
        <w:t xml:space="preserve"> </w:t>
      </w:r>
    </w:p>
    <w:p w14:paraId="5B02D846" w14:textId="77777777" w:rsidR="001B554C" w:rsidRPr="0003467A" w:rsidRDefault="001B554C" w:rsidP="001B554C">
      <w:pPr>
        <w:pStyle w:val="a0"/>
        <w:numPr>
          <w:ilvl w:val="0"/>
          <w:numId w:val="0"/>
        </w:numPr>
        <w:spacing w:before="120"/>
        <w:rPr>
          <w:b w:val="0"/>
        </w:rPr>
      </w:pPr>
      <w:r w:rsidRPr="0003467A">
        <w:rPr>
          <w:b w:val="0"/>
        </w:rPr>
        <w:t>Vital signs, physical examination</w:t>
      </w:r>
    </w:p>
    <w:p w14:paraId="19644B86" w14:textId="77777777" w:rsidR="001B554C" w:rsidRDefault="001B554C" w:rsidP="001B554C">
      <w:pPr>
        <w:pStyle w:val="a0"/>
        <w:numPr>
          <w:ilvl w:val="0"/>
          <w:numId w:val="0"/>
        </w:numPr>
        <w:spacing w:before="120"/>
        <w:ind w:left="420" w:hanging="420"/>
        <w:rPr>
          <w:b w:val="0"/>
        </w:rPr>
      </w:pPr>
      <w:r w:rsidRPr="0003467A">
        <w:rPr>
          <w:b w:val="0"/>
        </w:rPr>
        <w:t xml:space="preserve">12-ECG </w:t>
      </w:r>
    </w:p>
    <w:p w14:paraId="4041488B" w14:textId="77777777" w:rsidR="002B5EDF" w:rsidRDefault="001B554C" w:rsidP="002B5EDF">
      <w:pPr>
        <w:pStyle w:val="a0"/>
        <w:numPr>
          <w:ilvl w:val="0"/>
          <w:numId w:val="0"/>
        </w:numPr>
        <w:spacing w:before="120"/>
        <w:ind w:left="420" w:hanging="420"/>
        <w:rPr>
          <w:b w:val="0"/>
        </w:rPr>
      </w:pPr>
      <w:r w:rsidRPr="0003467A">
        <w:rPr>
          <w:b w:val="0"/>
        </w:rPr>
        <w:t>Blood routine, blood biochemistry</w:t>
      </w:r>
      <w:r w:rsidR="002B5EDF" w:rsidRPr="002B5EDF">
        <w:rPr>
          <w:b w:val="0"/>
        </w:rPr>
        <w:t xml:space="preserve"> </w:t>
      </w:r>
    </w:p>
    <w:p w14:paraId="172FD963" w14:textId="426661FA" w:rsidR="001B554C" w:rsidRPr="002B5EDF" w:rsidRDefault="002B5EDF" w:rsidP="00384EEC">
      <w:pPr>
        <w:pStyle w:val="a0"/>
        <w:numPr>
          <w:ilvl w:val="0"/>
          <w:numId w:val="0"/>
        </w:numPr>
        <w:spacing w:before="120"/>
        <w:ind w:left="420" w:hanging="420"/>
        <w:rPr>
          <w:b w:val="0"/>
        </w:rPr>
      </w:pPr>
      <w:r w:rsidRPr="0003467A">
        <w:rPr>
          <w:b w:val="0"/>
        </w:rPr>
        <w:t>Concomitant medications and adverse events.</w:t>
      </w:r>
    </w:p>
    <w:p w14:paraId="73277B52" w14:textId="56E4015A" w:rsidR="001B554C" w:rsidRDefault="002B5EDF" w:rsidP="006D1B06">
      <w:pPr>
        <w:pStyle w:val="a0"/>
        <w:numPr>
          <w:ilvl w:val="0"/>
          <w:numId w:val="31"/>
        </w:numPr>
        <w:spacing w:before="120"/>
      </w:pPr>
      <w:r>
        <w:rPr>
          <w:rFonts w:hint="eastAsia"/>
        </w:rPr>
        <w:t>C</w:t>
      </w:r>
      <w:r>
        <w:t>2</w:t>
      </w:r>
      <w:r w:rsidR="001B554C">
        <w:rPr>
          <w:rFonts w:hint="eastAsia"/>
        </w:rPr>
        <w:t>D</w:t>
      </w:r>
      <w:r w:rsidR="001B554C">
        <w:t>21</w:t>
      </w:r>
      <w:r w:rsidR="001B554C">
        <w:rPr>
          <w:rFonts w:hint="eastAsia"/>
        </w:rPr>
        <w:t xml:space="preserve"> </w:t>
      </w:r>
    </w:p>
    <w:p w14:paraId="4CB2DBEB" w14:textId="20111242" w:rsidR="001B554C" w:rsidRDefault="001B554C" w:rsidP="001B554C">
      <w:pPr>
        <w:pStyle w:val="a0"/>
        <w:numPr>
          <w:ilvl w:val="0"/>
          <w:numId w:val="0"/>
        </w:numPr>
        <w:spacing w:before="120"/>
        <w:rPr>
          <w:b w:val="0"/>
        </w:rPr>
      </w:pPr>
      <w:r w:rsidRPr="0003467A">
        <w:rPr>
          <w:b w:val="0"/>
        </w:rPr>
        <w:t xml:space="preserve">Vital signs, </w:t>
      </w:r>
      <w:r w:rsidRPr="001B554C">
        <w:rPr>
          <w:b w:val="0"/>
        </w:rPr>
        <w:t>ECOG PS</w:t>
      </w:r>
      <w:r>
        <w:rPr>
          <w:b w:val="0"/>
        </w:rPr>
        <w:t xml:space="preserve">, </w:t>
      </w:r>
      <w:r w:rsidR="002271D9" w:rsidRPr="0003467A">
        <w:rPr>
          <w:b w:val="0"/>
        </w:rPr>
        <w:t>physical examination</w:t>
      </w:r>
    </w:p>
    <w:p w14:paraId="2412E410" w14:textId="22972D20" w:rsidR="002B5EDF" w:rsidRPr="00384EEC" w:rsidRDefault="002B5EDF" w:rsidP="00384EEC">
      <w:pPr>
        <w:rPr>
          <w:rFonts w:eastAsiaTheme="minorEastAsia"/>
          <w:b/>
        </w:rPr>
      </w:pPr>
      <w:r w:rsidRPr="002B5EDF">
        <w:rPr>
          <w:rFonts w:eastAsiaTheme="minorEastAsia"/>
        </w:rPr>
        <w:t xml:space="preserve">Imaging </w:t>
      </w:r>
      <w:r>
        <w:rPr>
          <w:rFonts w:eastAsiaTheme="minorEastAsia"/>
        </w:rPr>
        <w:t>examination</w:t>
      </w:r>
      <w:r w:rsidRPr="002B5EDF">
        <w:rPr>
          <w:rFonts w:eastAsiaTheme="minorEastAsia"/>
        </w:rPr>
        <w:t xml:space="preserve"> (see 7. Evaluation of Efficacy) and tumor markers</w:t>
      </w:r>
    </w:p>
    <w:p w14:paraId="04ABAC34" w14:textId="77777777" w:rsidR="001B554C" w:rsidRPr="0003467A" w:rsidRDefault="001B554C" w:rsidP="001B554C">
      <w:pPr>
        <w:pStyle w:val="a0"/>
        <w:numPr>
          <w:ilvl w:val="0"/>
          <w:numId w:val="0"/>
        </w:numPr>
        <w:spacing w:before="120"/>
        <w:ind w:left="420" w:hanging="420"/>
        <w:rPr>
          <w:b w:val="0"/>
        </w:rPr>
      </w:pPr>
      <w:r w:rsidRPr="0003467A">
        <w:rPr>
          <w:b w:val="0"/>
        </w:rPr>
        <w:t xml:space="preserve">12-ECG </w:t>
      </w:r>
    </w:p>
    <w:p w14:paraId="48F9F499" w14:textId="28C11B76" w:rsidR="001B554C" w:rsidRDefault="001B554C" w:rsidP="00384EEC">
      <w:r w:rsidRPr="0003467A">
        <w:t>Blood routine, blood biochemistry</w:t>
      </w:r>
      <w:r>
        <w:t>,</w:t>
      </w:r>
      <w:r w:rsidRPr="001B554C">
        <w:t xml:space="preserve"> urine routine, stool ro</w:t>
      </w:r>
      <w:r>
        <w:t xml:space="preserve">utine (including occult blood); </w:t>
      </w:r>
      <w:r w:rsidRPr="0003467A">
        <w:t>thyroid function</w:t>
      </w:r>
      <w:r>
        <w:t xml:space="preserve">, </w:t>
      </w:r>
      <w:r w:rsidRPr="0003467A">
        <w:t>coagulation function</w:t>
      </w:r>
      <w:r>
        <w:t>,</w:t>
      </w:r>
      <w:r w:rsidRPr="0003467A">
        <w:t xml:space="preserve"> blood lipase, blood amylase</w:t>
      </w:r>
    </w:p>
    <w:p w14:paraId="134746ED" w14:textId="5DF234E4" w:rsidR="009767E6" w:rsidRPr="00384EEC" w:rsidRDefault="009767E6" w:rsidP="00384EEC">
      <w:pPr>
        <w:pStyle w:val="a0"/>
        <w:numPr>
          <w:ilvl w:val="0"/>
          <w:numId w:val="0"/>
        </w:numPr>
        <w:spacing w:before="120"/>
        <w:rPr>
          <w:b w:val="0"/>
        </w:rPr>
      </w:pPr>
      <w:r w:rsidRPr="001B554C">
        <w:rPr>
          <w:b w:val="0"/>
        </w:rPr>
        <w:t>Quality of life questionnaires</w:t>
      </w:r>
    </w:p>
    <w:p w14:paraId="43356BC4" w14:textId="1A39BEF5" w:rsidR="001B554C" w:rsidRPr="00384EEC" w:rsidRDefault="002B5EDF" w:rsidP="00384EEC">
      <w:pPr>
        <w:pStyle w:val="a0"/>
        <w:numPr>
          <w:ilvl w:val="0"/>
          <w:numId w:val="0"/>
        </w:numPr>
        <w:spacing w:before="120"/>
        <w:ind w:left="420" w:hanging="420"/>
        <w:rPr>
          <w:b w:val="0"/>
        </w:rPr>
      </w:pPr>
      <w:r w:rsidRPr="0003467A">
        <w:rPr>
          <w:b w:val="0"/>
        </w:rPr>
        <w:t>Concomitant medications</w:t>
      </w:r>
      <w:r>
        <w:rPr>
          <w:b w:val="0"/>
        </w:rPr>
        <w:t xml:space="preserve">, </w:t>
      </w:r>
      <w:r w:rsidRPr="0003467A">
        <w:rPr>
          <w:b w:val="0"/>
        </w:rPr>
        <w:t>adverse events</w:t>
      </w:r>
      <w:r>
        <w:rPr>
          <w:b w:val="0"/>
        </w:rPr>
        <w:t>, drug delivery and recall</w:t>
      </w:r>
      <w:r w:rsidRPr="0003467A">
        <w:rPr>
          <w:b w:val="0"/>
        </w:rPr>
        <w:t>.</w:t>
      </w:r>
    </w:p>
    <w:p w14:paraId="58EF928E" w14:textId="7CC340ED" w:rsidR="00D45C54" w:rsidRDefault="003E0392">
      <w:pPr>
        <w:pStyle w:val="4"/>
      </w:pPr>
      <w:r>
        <w:rPr>
          <w:rFonts w:hint="eastAsia"/>
        </w:rPr>
        <w:t xml:space="preserve">Cycle </w:t>
      </w:r>
      <w:r w:rsidR="00776E48">
        <w:rPr>
          <w:rFonts w:hint="eastAsia"/>
        </w:rPr>
        <w:t>3</w:t>
      </w:r>
      <w:r w:rsidR="00776E48">
        <w:t xml:space="preserve"> </w:t>
      </w:r>
      <w:r>
        <w:rPr>
          <w:rFonts w:hint="eastAsia"/>
        </w:rPr>
        <w:t xml:space="preserve">and </w:t>
      </w:r>
      <w:r w:rsidR="00776E48">
        <w:t xml:space="preserve">subsequent </w:t>
      </w:r>
      <w:r w:rsidR="00C3535F">
        <w:t xml:space="preserve">eveb </w:t>
      </w:r>
      <w:r w:rsidR="00776E48">
        <w:t xml:space="preserve">cycles </w:t>
      </w:r>
      <w:r w:rsidR="00C3535F">
        <w:t>(v</w:t>
      </w:r>
      <w:r w:rsidR="00C3535F" w:rsidRPr="00C3535F">
        <w:t>i</w:t>
      </w:r>
      <w:r w:rsidR="00C3535F">
        <w:t>tal signs, physical examination on C3D1</w:t>
      </w:r>
      <w:r w:rsidR="00C3535F" w:rsidRPr="00C3535F">
        <w:t>)</w:t>
      </w:r>
    </w:p>
    <w:p w14:paraId="59D74005" w14:textId="23EC7F49" w:rsidR="00C3535F" w:rsidRDefault="00C3535F" w:rsidP="006D1B06">
      <w:pPr>
        <w:pStyle w:val="a0"/>
        <w:numPr>
          <w:ilvl w:val="0"/>
          <w:numId w:val="31"/>
        </w:numPr>
        <w:spacing w:before="120"/>
      </w:pPr>
      <w:r>
        <w:rPr>
          <w:rFonts w:hint="eastAsia"/>
        </w:rPr>
        <w:t>C</w:t>
      </w:r>
      <w:r>
        <w:t>n</w:t>
      </w:r>
      <w:r>
        <w:rPr>
          <w:rFonts w:hint="eastAsia"/>
        </w:rPr>
        <w:t>D</w:t>
      </w:r>
      <w:r>
        <w:t>21</w:t>
      </w:r>
      <w:r>
        <w:rPr>
          <w:rFonts w:hint="eastAsia"/>
        </w:rPr>
        <w:t xml:space="preserve"> </w:t>
      </w:r>
    </w:p>
    <w:p w14:paraId="31BFE1E6" w14:textId="77777777" w:rsidR="00C3535F" w:rsidRDefault="00C3535F" w:rsidP="00C3535F">
      <w:pPr>
        <w:pStyle w:val="a0"/>
        <w:numPr>
          <w:ilvl w:val="0"/>
          <w:numId w:val="0"/>
        </w:numPr>
        <w:spacing w:before="120"/>
        <w:rPr>
          <w:b w:val="0"/>
        </w:rPr>
      </w:pPr>
      <w:r w:rsidRPr="0003467A">
        <w:rPr>
          <w:b w:val="0"/>
        </w:rPr>
        <w:lastRenderedPageBreak/>
        <w:t>Vital signs, physical examination</w:t>
      </w:r>
      <w:r>
        <w:rPr>
          <w:b w:val="0"/>
        </w:rPr>
        <w:t xml:space="preserve">, </w:t>
      </w:r>
      <w:r w:rsidRPr="001B554C">
        <w:rPr>
          <w:b w:val="0"/>
        </w:rPr>
        <w:t>ECOG PS</w:t>
      </w:r>
      <w:r>
        <w:rPr>
          <w:b w:val="0"/>
        </w:rPr>
        <w:t xml:space="preserve">, </w:t>
      </w:r>
      <w:r w:rsidRPr="001B554C">
        <w:rPr>
          <w:b w:val="0"/>
        </w:rPr>
        <w:t>Quality of life questionnaires</w:t>
      </w:r>
    </w:p>
    <w:p w14:paraId="17C0F9C1" w14:textId="77777777" w:rsidR="00C3535F" w:rsidRPr="0003467A" w:rsidRDefault="00C3535F" w:rsidP="00C3535F">
      <w:pPr>
        <w:pStyle w:val="a0"/>
        <w:numPr>
          <w:ilvl w:val="0"/>
          <w:numId w:val="0"/>
        </w:numPr>
        <w:spacing w:before="120"/>
        <w:ind w:left="420" w:hanging="420"/>
        <w:rPr>
          <w:b w:val="0"/>
        </w:rPr>
      </w:pPr>
      <w:r w:rsidRPr="0003467A">
        <w:rPr>
          <w:b w:val="0"/>
        </w:rPr>
        <w:t xml:space="preserve">12-ECG </w:t>
      </w:r>
    </w:p>
    <w:p w14:paraId="613A322F" w14:textId="3CE4CA7B" w:rsidR="00C3535F" w:rsidRPr="0003467A" w:rsidRDefault="00C3535F" w:rsidP="00C3535F">
      <w:r w:rsidRPr="0003467A">
        <w:t>Blood routine, blood biochemistry</w:t>
      </w:r>
      <w:r>
        <w:t>,</w:t>
      </w:r>
      <w:r w:rsidRPr="001B554C">
        <w:t xml:space="preserve"> urine routine, stool ro</w:t>
      </w:r>
      <w:r>
        <w:t>utine (including occult blood)</w:t>
      </w:r>
    </w:p>
    <w:p w14:paraId="10A42372" w14:textId="77777777" w:rsidR="00C3535F" w:rsidRPr="0003467A" w:rsidRDefault="00C3535F" w:rsidP="00C3535F">
      <w:pPr>
        <w:pStyle w:val="a0"/>
        <w:numPr>
          <w:ilvl w:val="0"/>
          <w:numId w:val="0"/>
        </w:numPr>
        <w:spacing w:before="120"/>
        <w:ind w:left="420" w:hanging="420"/>
        <w:rPr>
          <w:b w:val="0"/>
        </w:rPr>
      </w:pPr>
      <w:r w:rsidRPr="0003467A">
        <w:rPr>
          <w:b w:val="0"/>
        </w:rPr>
        <w:t>Concomitant medications</w:t>
      </w:r>
      <w:r>
        <w:rPr>
          <w:b w:val="0"/>
        </w:rPr>
        <w:t xml:space="preserve">, </w:t>
      </w:r>
      <w:r w:rsidRPr="0003467A">
        <w:rPr>
          <w:b w:val="0"/>
        </w:rPr>
        <w:t>adverse events</w:t>
      </w:r>
      <w:r>
        <w:rPr>
          <w:b w:val="0"/>
        </w:rPr>
        <w:t>, drug delivery and recall</w:t>
      </w:r>
      <w:r w:rsidRPr="0003467A">
        <w:rPr>
          <w:b w:val="0"/>
        </w:rPr>
        <w:t>.</w:t>
      </w:r>
    </w:p>
    <w:p w14:paraId="17D85B76" w14:textId="0067D389" w:rsidR="00C3535F" w:rsidRDefault="00C3535F" w:rsidP="00C3535F">
      <w:pPr>
        <w:pStyle w:val="4"/>
      </w:pPr>
      <w:r>
        <w:rPr>
          <w:rFonts w:hint="eastAsia"/>
        </w:rPr>
        <w:t xml:space="preserve">Cycle </w:t>
      </w:r>
      <w:r>
        <w:t xml:space="preserve">4 </w:t>
      </w:r>
      <w:r>
        <w:rPr>
          <w:rFonts w:hint="eastAsia"/>
        </w:rPr>
        <w:t xml:space="preserve">and </w:t>
      </w:r>
      <w:r>
        <w:t>subsequent odd cycles (v</w:t>
      </w:r>
      <w:r w:rsidRPr="00C3535F">
        <w:t>i</w:t>
      </w:r>
      <w:r>
        <w:t>tal signs, physical examination on C4D1</w:t>
      </w:r>
      <w:r w:rsidRPr="00C3535F">
        <w:t>)</w:t>
      </w:r>
    </w:p>
    <w:p w14:paraId="62398499" w14:textId="77777777" w:rsidR="00C3535F" w:rsidRDefault="00C3535F" w:rsidP="006D1B06">
      <w:pPr>
        <w:pStyle w:val="a0"/>
        <w:numPr>
          <w:ilvl w:val="0"/>
          <w:numId w:val="31"/>
        </w:numPr>
        <w:spacing w:before="120"/>
      </w:pPr>
      <w:r>
        <w:rPr>
          <w:rFonts w:hint="eastAsia"/>
        </w:rPr>
        <w:t>C</w:t>
      </w:r>
      <w:r>
        <w:t>n</w:t>
      </w:r>
      <w:r>
        <w:rPr>
          <w:rFonts w:hint="eastAsia"/>
        </w:rPr>
        <w:t>D</w:t>
      </w:r>
      <w:r>
        <w:t>21</w:t>
      </w:r>
      <w:r>
        <w:rPr>
          <w:rFonts w:hint="eastAsia"/>
        </w:rPr>
        <w:t xml:space="preserve"> </w:t>
      </w:r>
    </w:p>
    <w:p w14:paraId="53A0CD67" w14:textId="214703DB" w:rsidR="00C3535F" w:rsidRDefault="00C3535F" w:rsidP="008C30CA">
      <w:pPr>
        <w:pStyle w:val="a0"/>
        <w:numPr>
          <w:ilvl w:val="0"/>
          <w:numId w:val="0"/>
        </w:numPr>
        <w:spacing w:before="120"/>
        <w:rPr>
          <w:b w:val="0"/>
        </w:rPr>
      </w:pPr>
      <w:r w:rsidRPr="0003467A">
        <w:rPr>
          <w:b w:val="0"/>
        </w:rPr>
        <w:t xml:space="preserve">Vital signs, </w:t>
      </w:r>
      <w:r w:rsidRPr="001B554C">
        <w:rPr>
          <w:b w:val="0"/>
        </w:rPr>
        <w:t>ECOG PS</w:t>
      </w:r>
      <w:r w:rsidR="008C30CA">
        <w:rPr>
          <w:b w:val="0"/>
        </w:rPr>
        <w:t>,</w:t>
      </w:r>
      <w:r w:rsidR="008C30CA" w:rsidRPr="008C30CA">
        <w:rPr>
          <w:b w:val="0"/>
        </w:rPr>
        <w:t xml:space="preserve"> </w:t>
      </w:r>
      <w:r w:rsidR="008C30CA" w:rsidRPr="0003467A">
        <w:rPr>
          <w:b w:val="0"/>
        </w:rPr>
        <w:t>physical examination</w:t>
      </w:r>
    </w:p>
    <w:p w14:paraId="6A820CE1" w14:textId="29F8B885" w:rsidR="00C3535F" w:rsidRPr="008C30CA" w:rsidRDefault="00C3535F" w:rsidP="008C30CA">
      <w:r w:rsidRPr="008C30CA">
        <w:t>Imaging examination (</w:t>
      </w:r>
      <w:r w:rsidR="00A55C5F" w:rsidRPr="008C30CA">
        <w:t xml:space="preserve">treatment period was every 6 weeks in induction treatment and every 12 weeks in maintenance treatment, </w:t>
      </w:r>
      <w:r w:rsidRPr="008C30CA">
        <w:t>see 7. Evaluation of Efficacy) and tumor markers</w:t>
      </w:r>
    </w:p>
    <w:p w14:paraId="5AF4D0DE" w14:textId="74FEB566" w:rsidR="00C3535F" w:rsidRPr="0003467A" w:rsidRDefault="00C3535F" w:rsidP="00C3535F">
      <w:pPr>
        <w:pStyle w:val="a0"/>
        <w:numPr>
          <w:ilvl w:val="0"/>
          <w:numId w:val="0"/>
        </w:numPr>
        <w:spacing w:before="120"/>
        <w:ind w:left="420" w:hanging="420"/>
        <w:rPr>
          <w:b w:val="0"/>
        </w:rPr>
      </w:pPr>
      <w:r w:rsidRPr="0003467A">
        <w:rPr>
          <w:b w:val="0"/>
        </w:rPr>
        <w:t xml:space="preserve">12-ECG </w:t>
      </w:r>
    </w:p>
    <w:p w14:paraId="704FCD57" w14:textId="689ECD57" w:rsidR="00C3535F" w:rsidRDefault="00C3535F" w:rsidP="00384EEC">
      <w:r w:rsidRPr="00C3535F">
        <w:t>Blood routine, blood biochemistry, urine routine, stool routine (including occult blood); thyroid function, coagulation function, blood lipase, blood amylase</w:t>
      </w:r>
    </w:p>
    <w:p w14:paraId="2F3874CC" w14:textId="7540CCBA" w:rsidR="00C3535F" w:rsidRDefault="00C3535F" w:rsidP="00384EEC">
      <w:r w:rsidRPr="00C3535F">
        <w:t>Quality of life questionnaires</w:t>
      </w:r>
    </w:p>
    <w:p w14:paraId="6DC0884A" w14:textId="4B7D04BD" w:rsidR="00C3535F" w:rsidRPr="00384EEC" w:rsidRDefault="00C3535F" w:rsidP="00384EEC">
      <w:r w:rsidRPr="0025058B">
        <w:t>Concomitant medications, adverse events, drug delivery and recall.</w:t>
      </w:r>
    </w:p>
    <w:p w14:paraId="7754A0CC" w14:textId="16918D1F" w:rsidR="00D45C54" w:rsidRDefault="003E0392">
      <w:pPr>
        <w:pStyle w:val="20"/>
      </w:pPr>
      <w:bookmarkStart w:id="102" w:name="_Toc35946309"/>
      <w:bookmarkStart w:id="103" w:name="_Toc196548001"/>
      <w:r>
        <w:rPr>
          <w:rFonts w:hint="eastAsia"/>
        </w:rPr>
        <w:t>6.</w:t>
      </w:r>
      <w:r w:rsidR="006629E1">
        <w:t>4</w:t>
      </w:r>
      <w:r w:rsidR="006629E1">
        <w:rPr>
          <w:rFonts w:hint="eastAsia"/>
        </w:rPr>
        <w:t xml:space="preserve"> </w:t>
      </w:r>
      <w:r w:rsidR="00FD78FD">
        <w:t>End of treatment (EOT)</w:t>
      </w:r>
      <w:r>
        <w:rPr>
          <w:rFonts w:hint="eastAsia"/>
        </w:rPr>
        <w:t xml:space="preserve"> </w:t>
      </w:r>
      <w:bookmarkEnd w:id="102"/>
      <w:r w:rsidR="0091339E">
        <w:t>visit</w:t>
      </w:r>
      <w:bookmarkEnd w:id="103"/>
    </w:p>
    <w:p w14:paraId="2FF4A006" w14:textId="6294E95F" w:rsidR="00F7237B" w:rsidRDefault="00F7237B" w:rsidP="006D1B06">
      <w:pPr>
        <w:pStyle w:val="a0"/>
        <w:numPr>
          <w:ilvl w:val="0"/>
          <w:numId w:val="31"/>
        </w:numPr>
        <w:spacing w:before="120"/>
        <w:rPr>
          <w:b w:val="0"/>
        </w:rPr>
      </w:pPr>
      <w:r w:rsidRPr="0003467A">
        <w:rPr>
          <w:b w:val="0"/>
        </w:rPr>
        <w:t xml:space="preserve">Vital signs, </w:t>
      </w:r>
      <w:r w:rsidRPr="001B554C">
        <w:rPr>
          <w:b w:val="0"/>
        </w:rPr>
        <w:t>ECOG PS</w:t>
      </w:r>
      <w:r w:rsidR="008B745E">
        <w:rPr>
          <w:b w:val="0"/>
        </w:rPr>
        <w:t>,</w:t>
      </w:r>
      <w:r w:rsidR="008B745E" w:rsidRPr="008B745E">
        <w:rPr>
          <w:b w:val="0"/>
        </w:rPr>
        <w:t xml:space="preserve"> </w:t>
      </w:r>
      <w:r w:rsidR="008B745E" w:rsidRPr="0003467A">
        <w:rPr>
          <w:b w:val="0"/>
        </w:rPr>
        <w:t>physical examination</w:t>
      </w:r>
    </w:p>
    <w:p w14:paraId="56ABC831" w14:textId="77777777" w:rsidR="00F7237B" w:rsidRDefault="00F7237B" w:rsidP="006D1B06">
      <w:pPr>
        <w:pStyle w:val="a0"/>
        <w:numPr>
          <w:ilvl w:val="0"/>
          <w:numId w:val="31"/>
        </w:numPr>
        <w:spacing w:before="120"/>
        <w:rPr>
          <w:b w:val="0"/>
        </w:rPr>
      </w:pPr>
      <w:r w:rsidRPr="00C3535F">
        <w:rPr>
          <w:b w:val="0"/>
        </w:rPr>
        <w:t>Imaging examination (see 7. Evaluation of Efficacy) and tumor markers</w:t>
      </w:r>
    </w:p>
    <w:p w14:paraId="172BDA9E" w14:textId="77777777" w:rsidR="00F7237B" w:rsidRPr="0003467A" w:rsidRDefault="00F7237B" w:rsidP="006D1B06">
      <w:pPr>
        <w:pStyle w:val="a0"/>
        <w:numPr>
          <w:ilvl w:val="0"/>
          <w:numId w:val="31"/>
        </w:numPr>
        <w:spacing w:before="120"/>
        <w:rPr>
          <w:b w:val="0"/>
        </w:rPr>
      </w:pPr>
      <w:r w:rsidRPr="0003467A">
        <w:rPr>
          <w:b w:val="0"/>
        </w:rPr>
        <w:t xml:space="preserve">12-ECG </w:t>
      </w:r>
    </w:p>
    <w:p w14:paraId="086E9893" w14:textId="77777777" w:rsidR="00F7237B" w:rsidRDefault="00F7237B" w:rsidP="006D1B06">
      <w:pPr>
        <w:pStyle w:val="affff0"/>
        <w:numPr>
          <w:ilvl w:val="0"/>
          <w:numId w:val="31"/>
        </w:numPr>
      </w:pPr>
      <w:r w:rsidRPr="00C3535F">
        <w:t>Blood routine, blood biochemistry, urine routine, stool routine (including occult blood); thyroid function, coagulation function, blood lipase, blood amylase</w:t>
      </w:r>
    </w:p>
    <w:p w14:paraId="15DFE339" w14:textId="77777777" w:rsidR="00F7237B" w:rsidRDefault="00F7237B" w:rsidP="006D1B06">
      <w:pPr>
        <w:pStyle w:val="affff0"/>
        <w:numPr>
          <w:ilvl w:val="0"/>
          <w:numId w:val="31"/>
        </w:numPr>
      </w:pPr>
      <w:r w:rsidRPr="00C3535F">
        <w:t>Quality of life questionnaires</w:t>
      </w:r>
    </w:p>
    <w:p w14:paraId="491CAE70" w14:textId="77777777" w:rsidR="00F7237B" w:rsidRPr="00F7237B" w:rsidRDefault="00F7237B" w:rsidP="006D1B06">
      <w:pPr>
        <w:pStyle w:val="affff0"/>
        <w:numPr>
          <w:ilvl w:val="0"/>
          <w:numId w:val="31"/>
        </w:numPr>
        <w:rPr>
          <w:rFonts w:eastAsia="宋体"/>
        </w:rPr>
      </w:pPr>
      <w:r w:rsidRPr="0003467A">
        <w:t>Concomitant medications, adverse events, drug delivery and recall.</w:t>
      </w:r>
    </w:p>
    <w:p w14:paraId="3013C318" w14:textId="4144EC17" w:rsidR="00D45C54" w:rsidRDefault="003E0392">
      <w:pPr>
        <w:pStyle w:val="P68B1DB1-366"/>
        <w:rPr>
          <w:rFonts w:hint="default"/>
        </w:rPr>
      </w:pPr>
      <w:bookmarkStart w:id="104" w:name="_Toc35946310"/>
      <w:bookmarkStart w:id="105" w:name="_Toc196548002"/>
      <w:r>
        <w:t>6.</w:t>
      </w:r>
      <w:r w:rsidR="00261D2E">
        <w:rPr>
          <w:rFonts w:hint="default"/>
        </w:rPr>
        <w:t>5</w:t>
      </w:r>
      <w:r w:rsidR="00261D2E">
        <w:t xml:space="preserve"> </w:t>
      </w:r>
      <w:r>
        <w:t>Follow-up Visits</w:t>
      </w:r>
      <w:bookmarkEnd w:id="105"/>
      <w:r>
        <w:t xml:space="preserve"> </w:t>
      </w:r>
      <w:bookmarkEnd w:id="104"/>
    </w:p>
    <w:p w14:paraId="2B37150D" w14:textId="38ABAEFD" w:rsidR="007C6CE8" w:rsidRDefault="007C6CE8" w:rsidP="007C6CE8">
      <w:pPr>
        <w:pStyle w:val="P68B1DB1-125"/>
        <w:rPr>
          <w:rFonts w:hint="default"/>
        </w:rPr>
      </w:pPr>
      <w:bookmarkStart w:id="106" w:name="_Toc35946311"/>
      <w:r>
        <w:t>The follow-up period beg</w:t>
      </w:r>
      <w:r>
        <w:rPr>
          <w:rFonts w:hint="default"/>
        </w:rPr>
        <w:t>i</w:t>
      </w:r>
      <w:r>
        <w:t>n</w:t>
      </w:r>
      <w:r>
        <w:rPr>
          <w:rFonts w:hint="default"/>
        </w:rPr>
        <w:t>s</w:t>
      </w:r>
      <w:r>
        <w:t xml:space="preserve"> after the </w:t>
      </w:r>
      <w:r>
        <w:rPr>
          <w:rFonts w:hint="default"/>
        </w:rPr>
        <w:t>EOT</w:t>
      </w:r>
      <w:r>
        <w:t xml:space="preserve"> visit. The safety follow-up period </w:t>
      </w:r>
      <w:r>
        <w:rPr>
          <w:rFonts w:hint="default"/>
        </w:rPr>
        <w:t>is</w:t>
      </w:r>
      <w:r>
        <w:t xml:space="preserve"> the interval between the EOT visit and the scheduled follow-up visit, which </w:t>
      </w:r>
      <w:r>
        <w:rPr>
          <w:rFonts w:hint="default"/>
        </w:rPr>
        <w:t>is</w:t>
      </w:r>
      <w:r>
        <w:t xml:space="preserve"> 30 days (±7 days) after the EOT visit or 30 days (±7 days) after the last dose </w:t>
      </w:r>
      <w:r>
        <w:rPr>
          <w:rFonts w:hint="default"/>
        </w:rPr>
        <w:t>or</w:t>
      </w:r>
      <w:r>
        <w:t xml:space="preserve"> an EOT visit </w:t>
      </w:r>
      <w:r>
        <w:rPr>
          <w:rFonts w:hint="default"/>
        </w:rPr>
        <w:t>is</w:t>
      </w:r>
      <w:r>
        <w:t xml:space="preserve"> not performed. Adverse events and SAEs ha</w:t>
      </w:r>
      <w:r>
        <w:rPr>
          <w:rFonts w:hint="default"/>
        </w:rPr>
        <w:t>ve</w:t>
      </w:r>
      <w:r>
        <w:t xml:space="preserve"> to be reported until at least 30 days after the last dose, the date of the follow-up visit, or until toxicity resolved, returned to baseline, or </w:t>
      </w:r>
      <w:r>
        <w:rPr>
          <w:rFonts w:hint="default"/>
        </w:rPr>
        <w:t>is</w:t>
      </w:r>
      <w:r>
        <w:t xml:space="preserve"> deemed irreversible, whichever </w:t>
      </w:r>
      <w:r>
        <w:rPr>
          <w:rFonts w:hint="default"/>
        </w:rPr>
        <w:t>the longest</w:t>
      </w:r>
      <w:r>
        <w:t xml:space="preserve">. Reasonable efforts should be made to have the subject return to the study center for a follow-up visit to report all </w:t>
      </w:r>
      <w:r w:rsidR="00CF7892">
        <w:rPr>
          <w:rFonts w:hint="default"/>
        </w:rPr>
        <w:t>AE</w:t>
      </w:r>
      <w:r>
        <w:t xml:space="preserve">s that occur during that time. </w:t>
      </w:r>
    </w:p>
    <w:p w14:paraId="3C304584" w14:textId="7CB4FAD8" w:rsidR="007C6CE8" w:rsidRDefault="007C6CE8" w:rsidP="007C6CE8">
      <w:pPr>
        <w:pStyle w:val="P68B1DB1-125"/>
        <w:rPr>
          <w:rFonts w:hint="default"/>
        </w:rPr>
      </w:pPr>
      <w:r>
        <w:lastRenderedPageBreak/>
        <w:t xml:space="preserve">If a subject </w:t>
      </w:r>
      <w:r>
        <w:rPr>
          <w:rFonts w:hint="default"/>
        </w:rPr>
        <w:t>is</w:t>
      </w:r>
      <w:r>
        <w:t xml:space="preserve"> scheduled to start a new anticancer therapy before the end of the safety follow-up period, the safety follow-up visit </w:t>
      </w:r>
      <w:r>
        <w:rPr>
          <w:rFonts w:hint="default"/>
        </w:rPr>
        <w:t>is</w:t>
      </w:r>
      <w:r>
        <w:t xml:space="preserve"> to occur before the initiation of a new anticancer therapy. Once a new anticancer treatment is initiated, the subject enters the survival follow-up period.</w:t>
      </w:r>
    </w:p>
    <w:p w14:paraId="1CC4AA2D" w14:textId="77777777" w:rsidR="0080394F" w:rsidRDefault="007C6CE8" w:rsidP="007C6CE8">
      <w:pPr>
        <w:pStyle w:val="P68B1DB1-125"/>
        <w:rPr>
          <w:rFonts w:hint="default"/>
        </w:rPr>
      </w:pPr>
      <w:r>
        <w:t xml:space="preserve">After the safety follow-up period, the survival follow-up period </w:t>
      </w:r>
      <w:r>
        <w:rPr>
          <w:rFonts w:hint="default"/>
        </w:rPr>
        <w:t>is</w:t>
      </w:r>
      <w:r>
        <w:t xml:space="preserve"> entered. </w:t>
      </w:r>
    </w:p>
    <w:p w14:paraId="2E63E02D" w14:textId="6C025076" w:rsidR="007C6CE8" w:rsidRDefault="007C6CE8" w:rsidP="007C6CE8">
      <w:pPr>
        <w:pStyle w:val="P68B1DB1-125"/>
        <w:rPr>
          <w:rFonts w:hint="default"/>
        </w:rPr>
      </w:pPr>
      <w:r>
        <w:t>The first survival follow-up period (including telephone calls) occurre</w:t>
      </w:r>
      <w:r>
        <w:rPr>
          <w:rFonts w:hint="default"/>
        </w:rPr>
        <w:t>s</w:t>
      </w:r>
      <w:r>
        <w:t xml:space="preserve"> 30 days (±7 days) after the last safety visit and </w:t>
      </w:r>
      <w:r>
        <w:rPr>
          <w:rFonts w:hint="default"/>
        </w:rPr>
        <w:t>is</w:t>
      </w:r>
      <w:r>
        <w:t xml:space="preserve"> to occur at a frequency of 30 days (±7 days) until death, loss to follow-up, termination of the study by the sponsor, or other criteria for study closure, whichever occurr</w:t>
      </w:r>
      <w:r>
        <w:rPr>
          <w:rFonts w:hint="default"/>
        </w:rPr>
        <w:t>s</w:t>
      </w:r>
      <w:r>
        <w:t xml:space="preserve"> first. This can be collected by the investigator by telephone follow-up of the subject himself, family members, or the responsible physician</w:t>
      </w:r>
      <w:r w:rsidR="0080394F">
        <w:rPr>
          <w:rFonts w:hint="default"/>
        </w:rPr>
        <w:t>.</w:t>
      </w:r>
      <w:r w:rsidR="006C65A2">
        <w:rPr>
          <w:rFonts w:eastAsiaTheme="minorEastAsia"/>
        </w:rPr>
        <w:t xml:space="preserve"> </w:t>
      </w:r>
      <w:r>
        <w:t xml:space="preserve">Before the first follow-up visit, whether the subjects were treated with other anticancer therapies was determined. If other therapies are used, it is important to document the treatment regimen and the number of cycles and outcomes. The patients were followed up until death, and the cause and specific time of death were recorded to obtain overall survival (OS). </w:t>
      </w:r>
    </w:p>
    <w:p w14:paraId="7BC6F7A3" w14:textId="0E346DB0" w:rsidR="007C6CE8" w:rsidRDefault="006C65A2" w:rsidP="007C6CE8">
      <w:pPr>
        <w:pStyle w:val="P68B1DB1-125"/>
        <w:rPr>
          <w:rFonts w:hint="default"/>
        </w:rPr>
      </w:pPr>
      <w:r w:rsidRPr="006C65A2">
        <w:t>For subjects who discontinued the study treatment due to intolerance or other reasons, and no radiographic progression was observed, the original frequency of imaging evaluation was still needed until disease progression or the initiation of other anti-tumor therapy (except traditional Chinese medicine anti-tumor), and imaging evidence of disease progression in such subjects should be obtained as much as possible.</w:t>
      </w:r>
    </w:p>
    <w:p w14:paraId="1B17293E" w14:textId="74F458E2" w:rsidR="007C6CE8" w:rsidRDefault="007C6CE8" w:rsidP="00384EEC">
      <w:pPr>
        <w:pStyle w:val="P68B1DB1-366"/>
        <w:rPr>
          <w:rFonts w:hint="default"/>
        </w:rPr>
      </w:pPr>
      <w:bookmarkStart w:id="107" w:name="_Toc196548003"/>
      <w:r>
        <w:t>6.6 Unscheduled visit</w:t>
      </w:r>
      <w:bookmarkEnd w:id="107"/>
    </w:p>
    <w:p w14:paraId="5B34132C" w14:textId="62960145" w:rsidR="007C6CE8" w:rsidRDefault="007C6CE8" w:rsidP="007C6CE8">
      <w:pPr>
        <w:pStyle w:val="P68B1DB1-125"/>
        <w:rPr>
          <w:rFonts w:hint="default"/>
        </w:rPr>
      </w:pPr>
      <w:r>
        <w:t>Unscheduled visits could be conducted at any time at the investigator's discretion, and appropriate clinical and laboratory tests based on AE or other findings could be performed.</w:t>
      </w:r>
    </w:p>
    <w:p w14:paraId="2FAA50F6" w14:textId="281FF88C" w:rsidR="00D45C54" w:rsidRPr="00384EEC" w:rsidRDefault="003E0392" w:rsidP="00384EEC">
      <w:pPr>
        <w:pStyle w:val="1"/>
        <w:rPr>
          <w:color w:val="FF0000"/>
        </w:rPr>
      </w:pPr>
      <w:bookmarkStart w:id="108" w:name="_Toc33516906"/>
      <w:bookmarkStart w:id="109" w:name="_Toc196548004"/>
      <w:bookmarkEnd w:id="106"/>
      <w:r w:rsidRPr="00384EEC">
        <w:t>7</w:t>
      </w:r>
      <w:r w:rsidR="00DB5016" w:rsidRPr="00384EEC">
        <w:t>.</w:t>
      </w:r>
      <w:r w:rsidRPr="00384EEC">
        <w:t xml:space="preserve"> E</w:t>
      </w:r>
      <w:r w:rsidR="00AD48F2" w:rsidRPr="00384EEC">
        <w:t>fficacy evaluation</w:t>
      </w:r>
      <w:bookmarkEnd w:id="108"/>
      <w:bookmarkEnd w:id="109"/>
    </w:p>
    <w:p w14:paraId="6C8D5EC6" w14:textId="77777777" w:rsidR="00021F42" w:rsidRDefault="00AD48F2" w:rsidP="005D3551">
      <w:pPr>
        <w:rPr>
          <w:rFonts w:eastAsiaTheme="minorEastAsia"/>
        </w:rPr>
      </w:pPr>
      <w:bookmarkStart w:id="110" w:name="_Toc33516908"/>
      <w:r w:rsidRPr="00AD48F2">
        <w:rPr>
          <w:rFonts w:eastAsiaTheme="minorEastAsia"/>
        </w:rPr>
        <w:t xml:space="preserve">During the study, the time points of tumor assessment will not be changed due to dose regimen adjustment, but will be calculated from the day of the first dose. </w:t>
      </w:r>
      <w:r w:rsidR="005D3551" w:rsidRPr="005D3551">
        <w:rPr>
          <w:rFonts w:eastAsiaTheme="minorEastAsia"/>
        </w:rPr>
        <w:t xml:space="preserve">Efficacy assessments </w:t>
      </w:r>
      <w:r w:rsidR="005D3551">
        <w:rPr>
          <w:rFonts w:eastAsiaTheme="minorEastAsia"/>
        </w:rPr>
        <w:t>are</w:t>
      </w:r>
      <w:r w:rsidR="005D3551" w:rsidRPr="005D3551">
        <w:rPr>
          <w:rFonts w:eastAsiaTheme="minorEastAsia"/>
        </w:rPr>
        <w:t xml:space="preserve"> performed every 6 weeks (42 days) from day 1 of cycle 1, with a window of ±3 da</w:t>
      </w:r>
      <w:r w:rsidR="005D3551">
        <w:rPr>
          <w:rFonts w:eastAsiaTheme="minorEastAsia"/>
        </w:rPr>
        <w:t>ys until the participant enters</w:t>
      </w:r>
      <w:r w:rsidR="005D3551" w:rsidRPr="005D3551">
        <w:rPr>
          <w:rFonts w:eastAsiaTheme="minorEastAsia"/>
        </w:rPr>
        <w:t xml:space="preserve"> maintenance </w:t>
      </w:r>
      <w:r w:rsidR="008F7415">
        <w:rPr>
          <w:rFonts w:eastAsiaTheme="minorEastAsia"/>
        </w:rPr>
        <w:t>treatment or have</w:t>
      </w:r>
      <w:r w:rsidR="005D3551" w:rsidRPr="005D3551">
        <w:rPr>
          <w:rFonts w:eastAsiaTheme="minorEastAsia"/>
        </w:rPr>
        <w:t xml:space="preserve"> radiographic</w:t>
      </w:r>
      <w:r w:rsidR="008F7415">
        <w:rPr>
          <w:rFonts w:eastAsiaTheme="minorEastAsia"/>
        </w:rPr>
        <w:t>-</w:t>
      </w:r>
      <w:r w:rsidR="005D3551" w:rsidRPr="005D3551">
        <w:rPr>
          <w:rFonts w:eastAsiaTheme="minorEastAsia"/>
        </w:rPr>
        <w:t xml:space="preserve">confirmed disease progression. The frequency of assessments </w:t>
      </w:r>
      <w:r w:rsidR="008F7415" w:rsidRPr="008F7415">
        <w:rPr>
          <w:rFonts w:eastAsiaTheme="minorEastAsia"/>
        </w:rPr>
        <w:t xml:space="preserve">will not be changed due to dose </w:t>
      </w:r>
      <w:r w:rsidR="005D3551" w:rsidRPr="005D3551">
        <w:rPr>
          <w:rFonts w:eastAsiaTheme="minorEastAsia"/>
        </w:rPr>
        <w:t xml:space="preserve">delay </w:t>
      </w:r>
      <w:r w:rsidR="008F7415">
        <w:rPr>
          <w:rFonts w:eastAsiaTheme="minorEastAsia"/>
        </w:rPr>
        <w:t>or interruption. When a patient receives</w:t>
      </w:r>
      <w:r w:rsidR="005D3551" w:rsidRPr="005D3551">
        <w:rPr>
          <w:rFonts w:eastAsiaTheme="minorEastAsia"/>
        </w:rPr>
        <w:t xml:space="preserve"> maintenance </w:t>
      </w:r>
      <w:r w:rsidR="008F7415">
        <w:rPr>
          <w:rFonts w:eastAsiaTheme="minorEastAsia"/>
        </w:rPr>
        <w:t>treatment</w:t>
      </w:r>
      <w:r w:rsidR="005D3551" w:rsidRPr="005D3551">
        <w:rPr>
          <w:rFonts w:eastAsiaTheme="minorEastAsia"/>
        </w:rPr>
        <w:t xml:space="preserve">, response assessments </w:t>
      </w:r>
      <w:r w:rsidR="008F7415">
        <w:rPr>
          <w:rFonts w:eastAsiaTheme="minorEastAsia"/>
        </w:rPr>
        <w:t>are</w:t>
      </w:r>
      <w:r w:rsidR="005D3551" w:rsidRPr="005D3551">
        <w:rPr>
          <w:rFonts w:eastAsiaTheme="minorEastAsia"/>
        </w:rPr>
        <w:t xml:space="preserve"> </w:t>
      </w:r>
      <w:r w:rsidR="008F7415">
        <w:rPr>
          <w:rFonts w:eastAsiaTheme="minorEastAsia"/>
        </w:rPr>
        <w:t>accessed</w:t>
      </w:r>
      <w:r w:rsidR="005D3551" w:rsidRPr="005D3551">
        <w:rPr>
          <w:rFonts w:eastAsiaTheme="minorEastAsia"/>
        </w:rPr>
        <w:t xml:space="preserve"> every 12 weeks (84 days), with a window of ±3 days until</w:t>
      </w:r>
      <w:r w:rsidR="008F7415">
        <w:rPr>
          <w:rFonts w:eastAsiaTheme="minorEastAsia"/>
        </w:rPr>
        <w:t xml:space="preserve"> </w:t>
      </w:r>
      <w:r w:rsidR="005D3551" w:rsidRPr="005D3551">
        <w:rPr>
          <w:rFonts w:eastAsiaTheme="minorEastAsia"/>
        </w:rPr>
        <w:t xml:space="preserve">imaging-confirmed disease progression. In addition to imaging, tumor markers are part of response assessment and should be examined at the same time point as imaging. </w:t>
      </w:r>
    </w:p>
    <w:p w14:paraId="4FE75996" w14:textId="19227E64" w:rsidR="005D3551" w:rsidRDefault="005D3551" w:rsidP="005D3551">
      <w:pPr>
        <w:rPr>
          <w:rFonts w:eastAsiaTheme="minorEastAsia"/>
        </w:rPr>
      </w:pPr>
      <w:r w:rsidRPr="005D3551">
        <w:rPr>
          <w:rFonts w:eastAsiaTheme="minorEastAsia"/>
        </w:rPr>
        <w:t xml:space="preserve">Additional imaging could be performed </w:t>
      </w:r>
      <w:r w:rsidR="008F7415">
        <w:rPr>
          <w:rFonts w:eastAsiaTheme="minorEastAsia"/>
        </w:rPr>
        <w:t>when clinically indicated.</w:t>
      </w:r>
      <w:r w:rsidR="00021F42">
        <w:rPr>
          <w:rFonts w:eastAsiaTheme="minorEastAsia" w:hint="eastAsia"/>
        </w:rPr>
        <w:t xml:space="preserve"> </w:t>
      </w:r>
      <w:r w:rsidRPr="005D3551">
        <w:rPr>
          <w:rFonts w:eastAsiaTheme="minorEastAsia"/>
        </w:rPr>
        <w:t xml:space="preserve">During the study, </w:t>
      </w:r>
      <w:r w:rsidRPr="005D3551">
        <w:rPr>
          <w:rFonts w:eastAsiaTheme="minorEastAsia"/>
        </w:rPr>
        <w:lastRenderedPageBreak/>
        <w:t xml:space="preserve">assessments include contrast-enhanced CT or MRI of the neck, chest, abdomen, and pelvis. If allergic to contrast-enhanced CT, plain CT scan of neck and chest plus MRI scan of abdomen and pelvis can be performed. Contrast-enhanced MRI and bone scans of the head </w:t>
      </w:r>
      <w:r w:rsidR="00021F42">
        <w:rPr>
          <w:rFonts w:eastAsiaTheme="minorEastAsia"/>
        </w:rPr>
        <w:t>are</w:t>
      </w:r>
      <w:r w:rsidRPr="005D3551">
        <w:rPr>
          <w:rFonts w:eastAsiaTheme="minorEastAsia"/>
        </w:rPr>
        <w:t xml:space="preserve"> performe</w:t>
      </w:r>
      <w:r w:rsidR="00021F42">
        <w:rPr>
          <w:rFonts w:eastAsiaTheme="minorEastAsia"/>
        </w:rPr>
        <w:t>d only when clinically indicated. The same imaging algorithm have</w:t>
      </w:r>
      <w:r w:rsidRPr="005D3551">
        <w:rPr>
          <w:rFonts w:eastAsiaTheme="minorEastAsia"/>
        </w:rPr>
        <w:t xml:space="preserve"> to be used for each subject through</w:t>
      </w:r>
      <w:r w:rsidR="00021F42">
        <w:rPr>
          <w:rFonts w:eastAsiaTheme="minorEastAsia"/>
        </w:rPr>
        <w:t>out the study. Investigators have</w:t>
      </w:r>
      <w:r w:rsidRPr="005D3551">
        <w:rPr>
          <w:rFonts w:eastAsiaTheme="minorEastAsia"/>
        </w:rPr>
        <w:t xml:space="preserve"> to review the results before the administration of the next cycle.</w:t>
      </w:r>
    </w:p>
    <w:p w14:paraId="74A55CB4" w14:textId="5683350F" w:rsidR="00D45C54" w:rsidRDefault="003E0392">
      <w:pPr>
        <w:pStyle w:val="P68B1DB1-366"/>
        <w:rPr>
          <w:rFonts w:hint="default"/>
        </w:rPr>
      </w:pPr>
      <w:bookmarkStart w:id="111" w:name="_Toc196548005"/>
      <w:r>
        <w:t>7.</w:t>
      </w:r>
      <w:r w:rsidR="008D19A8">
        <w:rPr>
          <w:rFonts w:hint="default"/>
        </w:rPr>
        <w:t>1</w:t>
      </w:r>
      <w:r w:rsidR="008D19A8">
        <w:t xml:space="preserve"> </w:t>
      </w:r>
      <w:r>
        <w:t xml:space="preserve">Evaluation </w:t>
      </w:r>
      <w:r w:rsidR="008F7046">
        <w:rPr>
          <w:rFonts w:hint="default"/>
        </w:rPr>
        <w:t>c</w:t>
      </w:r>
      <w:r>
        <w:t>riteria</w:t>
      </w:r>
      <w:bookmarkEnd w:id="111"/>
      <w:r>
        <w:t xml:space="preserve"> </w:t>
      </w:r>
      <w:bookmarkEnd w:id="110"/>
    </w:p>
    <w:p w14:paraId="3291D5BC" w14:textId="50775F92" w:rsidR="00D45C54" w:rsidRDefault="003D285C" w:rsidP="003127AF">
      <w:pPr>
        <w:pStyle w:val="P68B1DB1-125"/>
        <w:rPr>
          <w:rFonts w:hint="default"/>
        </w:rPr>
      </w:pPr>
      <w:r w:rsidRPr="003D285C">
        <w:t xml:space="preserve">The efficacy evaluation will be assessed by RECIST </w:t>
      </w:r>
      <w:r w:rsidR="008F7046">
        <w:t>criteria</w:t>
      </w:r>
      <w:r w:rsidR="008F7046" w:rsidRPr="008F7046">
        <w:t xml:space="preserve"> </w:t>
      </w:r>
      <w:r w:rsidR="008F7046" w:rsidRPr="003D285C">
        <w:t>v1.1</w:t>
      </w:r>
      <w:r w:rsidR="008F7046">
        <w:t>.</w:t>
      </w:r>
    </w:p>
    <w:p w14:paraId="1FC15049" w14:textId="7573E436" w:rsidR="00D45C54" w:rsidRDefault="003E0392">
      <w:pPr>
        <w:pStyle w:val="P68B1DB1-366"/>
        <w:rPr>
          <w:rFonts w:hint="default"/>
        </w:rPr>
      </w:pPr>
      <w:bookmarkStart w:id="112" w:name="_Toc33516909"/>
      <w:bookmarkStart w:id="113" w:name="_Toc196548006"/>
      <w:r>
        <w:t>7.</w:t>
      </w:r>
      <w:r w:rsidR="008D19A8">
        <w:rPr>
          <w:rFonts w:hint="default"/>
        </w:rPr>
        <w:t>2</w:t>
      </w:r>
      <w:r w:rsidR="008D19A8">
        <w:t xml:space="preserve"> </w:t>
      </w:r>
      <w:r>
        <w:t>Imaging Evaluation Requirements</w:t>
      </w:r>
      <w:bookmarkEnd w:id="113"/>
      <w:r>
        <w:t xml:space="preserve"> </w:t>
      </w:r>
      <w:bookmarkEnd w:id="112"/>
    </w:p>
    <w:p w14:paraId="45750971" w14:textId="02C101AF" w:rsidR="00D45C54" w:rsidRDefault="00260282" w:rsidP="009C3BA8">
      <w:pPr>
        <w:pStyle w:val="P68B1DB1-125"/>
        <w:rPr>
          <w:rFonts w:hint="default"/>
        </w:rPr>
      </w:pPr>
      <w:r w:rsidRPr="00260282">
        <w:t>The methods of radiographic assessment (CT or MRI) will be determined by the investigator. However, the assessment methods, machines, and technical parameters should be consistent throughout the study period. Contrast media is required for subjects without contraindications. For subjects who had received a radiographic assessment within 2</w:t>
      </w:r>
      <w:r w:rsidR="00584F96">
        <w:rPr>
          <w:rFonts w:hint="default"/>
        </w:rPr>
        <w:t>8</w:t>
      </w:r>
      <w:r w:rsidRPr="00260282">
        <w:t xml:space="preserve"> days </w:t>
      </w:r>
      <w:r w:rsidR="002601A1">
        <w:rPr>
          <w:rFonts w:hint="default"/>
        </w:rPr>
        <w:t xml:space="preserve">(with 42 days for bone scan) </w:t>
      </w:r>
      <w:r w:rsidRPr="00260282">
        <w:t xml:space="preserve">before the first dose using the same procedure in the same center, the radiographic assessment could be used as the baseline data in this trial. The baseline tumor assessment should include enhanced CT or MRI of the </w:t>
      </w:r>
      <w:r w:rsidR="002601A1">
        <w:rPr>
          <w:rFonts w:hint="default"/>
        </w:rPr>
        <w:t xml:space="preserve">neck, </w:t>
      </w:r>
      <w:r w:rsidRPr="00260282">
        <w:t xml:space="preserve">chest, abdomen, and pelvis (except for subjects with an allergy to contrast media). During screening, brain examination and bone scanning (for subjects without bone metastases during screening, determined according to clinical indicationst by study physician) should performed. </w:t>
      </w:r>
      <w:r w:rsidR="009C3BA8" w:rsidRPr="009C3BA8">
        <w:t>Imaging should be performed at all suspicious sites</w:t>
      </w:r>
      <w:r w:rsidR="009C3BA8">
        <w:rPr>
          <w:rFonts w:hint="default"/>
        </w:rPr>
        <w:t xml:space="preserve">. </w:t>
      </w:r>
      <w:r w:rsidR="009C3BA8" w:rsidRPr="009C3BA8">
        <w:t xml:space="preserve">For subjects with bone metastases, the lesion should be followed up using a bone scan. </w:t>
      </w:r>
      <w:r w:rsidR="009C3BA8">
        <w:rPr>
          <w:rFonts w:hint="default"/>
        </w:rPr>
        <w:t>R</w:t>
      </w:r>
      <w:r w:rsidR="009C3BA8" w:rsidRPr="009C3BA8">
        <w:t xml:space="preserve">eexamination at each tumor evaluation is not required if there is no clinical exacerbation, and reexamination should be performed promptly if there is clinical exacerbation. In cases in which disease progression </w:t>
      </w:r>
      <w:r w:rsidR="009C3BA8">
        <w:rPr>
          <w:rFonts w:hint="default"/>
        </w:rPr>
        <w:t>is</w:t>
      </w:r>
      <w:r w:rsidR="009C3BA8" w:rsidRPr="009C3BA8">
        <w:t xml:space="preserve"> suspected before the next scheduled evaluation, an unplanned tumor evaluation </w:t>
      </w:r>
      <w:r w:rsidR="009C3BA8">
        <w:rPr>
          <w:rFonts w:hint="default"/>
        </w:rPr>
        <w:t>i</w:t>
      </w:r>
      <w:r w:rsidR="009C3BA8" w:rsidRPr="009C3BA8">
        <w:t xml:space="preserve">s performed. Imaging during the trial </w:t>
      </w:r>
      <w:r w:rsidR="009C3BA8">
        <w:rPr>
          <w:rFonts w:hint="default"/>
        </w:rPr>
        <w:t>i</w:t>
      </w:r>
      <w:r w:rsidR="009C3BA8" w:rsidRPr="009C3BA8">
        <w:t>s recommended to include CT or MRI of the neck, chest, abdomen, pelvis, and other areas with lesions, with additional imaging of suspicious areas during the trial.</w:t>
      </w:r>
      <w:r w:rsidR="009C3BA8" w:rsidRPr="009C3BA8" w:rsidDel="009C3BA8">
        <w:rPr>
          <w:rFonts w:hint="default"/>
        </w:rPr>
        <w:t xml:space="preserve"> </w:t>
      </w:r>
    </w:p>
    <w:p w14:paraId="79839BC8" w14:textId="37B8D342" w:rsidR="00AF2C61" w:rsidRDefault="00AF2C61" w:rsidP="0025058B">
      <w:pPr>
        <w:pStyle w:val="P68B1DB1-366"/>
        <w:rPr>
          <w:rFonts w:hint="default"/>
        </w:rPr>
      </w:pPr>
      <w:bookmarkStart w:id="114" w:name="_Toc196548007"/>
      <w:r>
        <w:t>7.3 Procedure for confirming PD</w:t>
      </w:r>
      <w:bookmarkEnd w:id="114"/>
    </w:p>
    <w:p w14:paraId="5B430B09" w14:textId="2D637B88" w:rsidR="00AF2C61" w:rsidRDefault="00AF2C61" w:rsidP="00AF2C61">
      <w:pPr>
        <w:pStyle w:val="P68B1DB1-125"/>
        <w:rPr>
          <w:rFonts w:hint="default"/>
        </w:rPr>
      </w:pPr>
      <w:r>
        <w:t xml:space="preserve">The efficacy evaluation of this study </w:t>
      </w:r>
      <w:r w:rsidR="003365C2">
        <w:rPr>
          <w:rFonts w:hint="default"/>
        </w:rPr>
        <w:t>i</w:t>
      </w:r>
      <w:r>
        <w:t xml:space="preserve">s divided into study site investigator evaluation and </w:t>
      </w:r>
      <w:r w:rsidR="00716AEF">
        <w:t>IRC</w:t>
      </w:r>
      <w:r>
        <w:t xml:space="preserve"> evaluation. The continuation of medication during the study </w:t>
      </w:r>
      <w:r w:rsidR="003365C2">
        <w:rPr>
          <w:rFonts w:hint="default"/>
        </w:rPr>
        <w:t>is</w:t>
      </w:r>
      <w:r>
        <w:t xml:space="preserve"> assessed by authorized investigators at the study sites.</w:t>
      </w:r>
    </w:p>
    <w:p w14:paraId="43966998" w14:textId="360B4045" w:rsidR="00AF2C61" w:rsidRDefault="00AF2C61" w:rsidP="00AF2C61">
      <w:pPr>
        <w:pStyle w:val="P68B1DB1-125"/>
        <w:rPr>
          <w:rFonts w:hint="default"/>
        </w:rPr>
      </w:pPr>
      <w:r>
        <w:t>Additional details regarding independent central imaging procedures are provided in the Central Imaging Practices Manual, provided by the sponsor.</w:t>
      </w:r>
    </w:p>
    <w:p w14:paraId="35F7FFBB" w14:textId="77777777" w:rsidR="00D45C54" w:rsidRDefault="003E0392">
      <w:pPr>
        <w:pStyle w:val="P68B1DB1-366"/>
        <w:rPr>
          <w:rFonts w:hint="default"/>
        </w:rPr>
      </w:pPr>
      <w:bookmarkStart w:id="115" w:name="_Toc33516910"/>
      <w:bookmarkStart w:id="116" w:name="_Toc196548008"/>
      <w:r>
        <w:lastRenderedPageBreak/>
        <w:t>7.4 Evaluation indicators</w:t>
      </w:r>
      <w:bookmarkEnd w:id="116"/>
      <w:r>
        <w:t xml:space="preserve"> </w:t>
      </w:r>
      <w:bookmarkEnd w:id="115"/>
    </w:p>
    <w:p w14:paraId="061A6DF2" w14:textId="7741651B" w:rsidR="001944CD" w:rsidRDefault="001944CD" w:rsidP="003127AF">
      <w:r>
        <w:t>Progression-free survival (PFS): defined as the time from</w:t>
      </w:r>
      <w:r w:rsidR="00432CD4" w:rsidRPr="00432CD4">
        <w:t xml:space="preserve"> randomization</w:t>
      </w:r>
      <w:r>
        <w:t xml:space="preserve"> to disease progression or relapse, or death from any </w:t>
      </w:r>
      <w:r w:rsidR="00312C34">
        <w:t>cause (whichever occurs first).</w:t>
      </w:r>
    </w:p>
    <w:p w14:paraId="3EF89B8E" w14:textId="2166A78A" w:rsidR="001944CD" w:rsidRDefault="001944CD" w:rsidP="003127AF">
      <w:r>
        <w:t xml:space="preserve">Overall survival (OS): defined as the time from </w:t>
      </w:r>
      <w:r w:rsidR="00432CD4" w:rsidRPr="00432CD4">
        <w:t>randomization</w:t>
      </w:r>
      <w:r w:rsidRPr="00432CD4">
        <w:t xml:space="preserve"> </w:t>
      </w:r>
      <w:r w:rsidR="00312C34">
        <w:t>to death from any cause.</w:t>
      </w:r>
    </w:p>
    <w:p w14:paraId="62746ABB" w14:textId="5030D334" w:rsidR="00432CD4" w:rsidRDefault="00432CD4" w:rsidP="003127AF">
      <w:r w:rsidRPr="00432CD4">
        <w:t>Objective response rate (ORR): defined as the percentage of patients who had a complete response (CR) or partial response (PR) according to RECIST 1.1</w:t>
      </w:r>
      <w:r w:rsidR="00E246D4">
        <w:t>.</w:t>
      </w:r>
    </w:p>
    <w:p w14:paraId="272F611A" w14:textId="7EA94152" w:rsidR="001944CD" w:rsidRDefault="001944CD" w:rsidP="003127AF">
      <w:r>
        <w:t>Disease control rate (DCR): defined as the percentage of patients who had CR or PR, or had SD for 6 weeks or more</w:t>
      </w:r>
      <w:r w:rsidR="00432CD4">
        <w:t xml:space="preserve"> since </w:t>
      </w:r>
      <w:r w:rsidR="00432CD4" w:rsidRPr="00432CD4">
        <w:t>randomization</w:t>
      </w:r>
      <w:r>
        <w:t xml:space="preserve">, according to RECIST 1.1. </w:t>
      </w:r>
    </w:p>
    <w:p w14:paraId="5FACDBC4" w14:textId="3CA0016B" w:rsidR="001944CD" w:rsidRDefault="00312C34" w:rsidP="003127AF">
      <w:r>
        <w:t>Duration of</w:t>
      </w:r>
      <w:r w:rsidR="00432CD4">
        <w:t xml:space="preserve"> response (DOR</w:t>
      </w:r>
      <w:r w:rsidR="001944CD">
        <w:t>): defined as the time of first tumor response to first disease progression or death from any cause for patients with CR or PR, whichever occurs first.</w:t>
      </w:r>
    </w:p>
    <w:p w14:paraId="4E7C49A9" w14:textId="66C7EE66" w:rsidR="00434C07" w:rsidRDefault="00434C07" w:rsidP="00384EEC">
      <w:pPr>
        <w:pStyle w:val="P68B1DB1-366"/>
        <w:rPr>
          <w:rFonts w:hint="default"/>
        </w:rPr>
      </w:pPr>
      <w:bookmarkStart w:id="117" w:name="_Toc196548009"/>
      <w:r>
        <w:t xml:space="preserve">7.5 </w:t>
      </w:r>
      <w:r w:rsidR="00027019">
        <w:t>Patient-reported outcomes</w:t>
      </w:r>
      <w:r>
        <w:t xml:space="preserve"> (PRO)</w:t>
      </w:r>
      <w:bookmarkEnd w:id="117"/>
    </w:p>
    <w:p w14:paraId="1122ADE4" w14:textId="434F7F76" w:rsidR="00434C07" w:rsidRDefault="00434C07" w:rsidP="00434C07">
      <w:r>
        <w:t xml:space="preserve">The quality of life of patients </w:t>
      </w:r>
      <w:r w:rsidR="00027019">
        <w:t>is</w:t>
      </w:r>
      <w:r>
        <w:t xml:space="preserve"> evaluated through comprehensive questionnaires designed to assess various dimensions. The evaluation of health-related quality-of</w:t>
      </w:r>
      <w:r w:rsidR="00001B7C">
        <w:t>-life questionnaires constitute</w:t>
      </w:r>
      <w:r>
        <w:t xml:space="preserve"> an exploratory component of this project, with the objective of gathering information on medication usage at the earliest possible stage.  </w:t>
      </w:r>
    </w:p>
    <w:p w14:paraId="714EAE50" w14:textId="0CB9B3E9" w:rsidR="00434C07" w:rsidRDefault="00434C07" w:rsidP="00434C07">
      <w:r>
        <w:t xml:space="preserve">Health-related quality-of-life questionnaires </w:t>
      </w:r>
      <w:r w:rsidR="00001B7C">
        <w:t>are</w:t>
      </w:r>
      <w:r>
        <w:t xml:space="preserve"> required to be completed at designated time points. Patients </w:t>
      </w:r>
      <w:r w:rsidR="00001B7C">
        <w:t>are</w:t>
      </w:r>
      <w:r>
        <w:t xml:space="preserve"> instructed to fill out the questionnaire prior to undergoing any clinical tests and evaluations, before being informed about new diagnoses, and before initiating any new treatments in order to prevent their responses from being influenced by their healthcare providers or emerging conditions. The completed questionnaires will be retained as original data. Additionally, these questionnaires </w:t>
      </w:r>
      <w:r w:rsidR="00001B7C">
        <w:t>are</w:t>
      </w:r>
      <w:r>
        <w:t xml:space="preserve"> reviewed while assessing patients' clinical status at the time of completion. Adverse events that </w:t>
      </w:r>
      <w:r w:rsidR="00001B7C">
        <w:t>are</w:t>
      </w:r>
      <w:r>
        <w:t xml:space="preserve"> not identified during clinical assessments </w:t>
      </w:r>
      <w:r w:rsidR="00001B7C">
        <w:t>are</w:t>
      </w:r>
      <w:r>
        <w:t xml:space="preserve"> also documented in the Case Report Form (CRF).</w:t>
      </w:r>
    </w:p>
    <w:p w14:paraId="699D50F6" w14:textId="77777777" w:rsidR="00E70596" w:rsidRDefault="003F4208" w:rsidP="003F4208">
      <w:r>
        <w:t xml:space="preserve">The Quality of Life score, as measured by the QLQ-C30 questionnaire, is specifically designed for cancer patients to assess health-related quality of life. This instrument comprises five functional scales (physical, role, emotional, social, and cognitive), three symptom scales (fatigue, pain, nausea/vomiting), a health status scale, and individual items evaluating additional clinical symptoms such as dyspnea, sleep disturbances, constipation, diarrhea, and perceived financial stress. </w:t>
      </w:r>
    </w:p>
    <w:p w14:paraId="3C7EDBE4" w14:textId="195193BC" w:rsidR="003F4208" w:rsidRPr="00384EEC" w:rsidRDefault="003F4208" w:rsidP="003F4208">
      <w:pPr>
        <w:rPr>
          <w:rFonts w:eastAsiaTheme="minorEastAsia"/>
        </w:rPr>
      </w:pPr>
      <w:r>
        <w:t xml:space="preserve">Most items in the QLQ-C30 are analyzed using a 4-point Likert scale; however, a 7-point Likert scale is employed exclusively for assessing health status/quality of life. For clarity in presentation, all scores and individual items have been standardized to a 0-100 scale. In terms of functional status and quality of life measures, higher scores indicate better performance; </w:t>
      </w:r>
      <w:r>
        <w:lastRenderedPageBreak/>
        <w:t>conversely, with respect to clinical symptom scales and individual items assessed therein—higher scores signify greater severity.</w:t>
      </w:r>
    </w:p>
    <w:p w14:paraId="4B37A9EA" w14:textId="3E1CE463" w:rsidR="003F4208" w:rsidRDefault="003F4208" w:rsidP="003F4208">
      <w:r>
        <w:t>The EQ-5D questionnaire serves to evaluate patient health status/quality of life across five dimensions: mobility, self-care activities, usual activities (daily living), pain/discomfort levels, and anxiety/depression states. Each dimension encompasses three levels that reflect the degree of difficulties encountered by patients: no problems (level 1), moderate problems (level 2), and severe problems (level 3). The outcomes from these five domains are consolidated into an overall EQ-5D index ranging from 0 to 1—wherein '0' denotes the worst conceivable health state or death while '1' signifies optima</w:t>
      </w:r>
      <w:r w:rsidR="00402481">
        <w:t>l health condition. Additional</w:t>
      </w:r>
      <w:r>
        <w:t xml:space="preserve"> included is a visual analogue scale known as EQ-VAS which captures patients’ self-assessed health on a vertical continuum marked from ‘0’ representing the worst imaginable state to ‘100’ indicating the best possible state.</w:t>
      </w:r>
    </w:p>
    <w:p w14:paraId="4D967214" w14:textId="77777777" w:rsidR="00D45C54" w:rsidRDefault="003E0392" w:rsidP="00450804">
      <w:pPr>
        <w:pStyle w:val="1"/>
      </w:pPr>
      <w:bookmarkStart w:id="118" w:name="_Toc33516911"/>
      <w:bookmarkStart w:id="119" w:name="_Toc196548010"/>
      <w:r>
        <w:t>8</w:t>
      </w:r>
      <w:r w:rsidR="008D5009">
        <w:t>.</w:t>
      </w:r>
      <w:r>
        <w:t xml:space="preserve"> S</w:t>
      </w:r>
      <w:r w:rsidR="008D5009">
        <w:t>afety evaluation</w:t>
      </w:r>
      <w:bookmarkEnd w:id="119"/>
      <w:r>
        <w:t xml:space="preserve"> </w:t>
      </w:r>
      <w:bookmarkEnd w:id="118"/>
    </w:p>
    <w:p w14:paraId="1FA335FF" w14:textId="13029709" w:rsidR="00D45C54" w:rsidRDefault="003E0392">
      <w:pPr>
        <w:pStyle w:val="20"/>
      </w:pPr>
      <w:bookmarkStart w:id="120" w:name="_Toc33516912"/>
      <w:bookmarkStart w:id="121" w:name="_Toc196548011"/>
      <w:r>
        <w:t>8</w:t>
      </w:r>
      <w:r>
        <w:rPr>
          <w:rFonts w:hint="eastAsia"/>
        </w:rPr>
        <w:t>.1 Adverse events</w:t>
      </w:r>
      <w:bookmarkEnd w:id="121"/>
      <w:r>
        <w:rPr>
          <w:rFonts w:hint="eastAsia"/>
        </w:rPr>
        <w:t xml:space="preserve"> </w:t>
      </w:r>
      <w:bookmarkEnd w:id="120"/>
    </w:p>
    <w:p w14:paraId="535B2B1D" w14:textId="757A1EEF" w:rsidR="00D45C54" w:rsidRDefault="00E70596" w:rsidP="003127AF">
      <w:r w:rsidRPr="00E70596">
        <w:t xml:space="preserve">Adverse Event (AE) refers to all medical adverse events that occur after the subject received the investigational drug, which may be manifested as symptoms, signs, diseases, or laboratory abnormalities, but may not be causally related to the investigational drug. AE for this trial </w:t>
      </w:r>
      <w:r>
        <w:t>are</w:t>
      </w:r>
      <w:r w:rsidRPr="00E70596">
        <w:t xml:space="preserve"> collected from the time </w:t>
      </w:r>
      <w:r>
        <w:t>signing</w:t>
      </w:r>
      <w:r w:rsidRPr="00E70596">
        <w:t xml:space="preserve"> the informed consent form until 30 days after the last dose or the start of a new treatment for the target indication.</w:t>
      </w:r>
      <w:r w:rsidRPr="00E70596" w:rsidDel="00E70596">
        <w:t xml:space="preserve"> </w:t>
      </w:r>
    </w:p>
    <w:p w14:paraId="52E0CFA4" w14:textId="7BDA5286" w:rsidR="0052738B" w:rsidRPr="00384EEC" w:rsidRDefault="003E0392" w:rsidP="00384EEC">
      <w:pPr>
        <w:pStyle w:val="20"/>
      </w:pPr>
      <w:bookmarkStart w:id="122" w:name="_Toc33516913"/>
      <w:bookmarkStart w:id="123" w:name="_Toc196548012"/>
      <w:r>
        <w:t>8</w:t>
      </w:r>
      <w:r>
        <w:rPr>
          <w:rFonts w:hint="eastAsia"/>
        </w:rPr>
        <w:t>.2 Evaluation of Adverse Events</w:t>
      </w:r>
      <w:bookmarkEnd w:id="123"/>
      <w:r>
        <w:rPr>
          <w:rFonts w:hint="eastAsia"/>
        </w:rPr>
        <w:t xml:space="preserve"> </w:t>
      </w:r>
      <w:bookmarkEnd w:id="122"/>
    </w:p>
    <w:p w14:paraId="158ABB3F" w14:textId="6B5B9865" w:rsidR="00D45C54" w:rsidRDefault="0052738B" w:rsidP="003127AF">
      <w:r w:rsidRPr="0052738B">
        <w:t>The nature and severity of adverse events were assessed according to the National Cancer Institute Common Toxicity Criteria (NCI-CTC v5.0).</w:t>
      </w:r>
      <w:r>
        <w:rPr>
          <w:rFonts w:eastAsiaTheme="minorEastAsia"/>
        </w:rPr>
        <w:t xml:space="preserve"> </w:t>
      </w:r>
    </w:p>
    <w:p w14:paraId="4D383FD5" w14:textId="3B55E57E" w:rsidR="00D45C54" w:rsidRDefault="003E0392">
      <w:pPr>
        <w:pStyle w:val="20"/>
      </w:pPr>
      <w:bookmarkStart w:id="124" w:name="_Toc33516914"/>
      <w:bookmarkStart w:id="125" w:name="_Toc196548013"/>
      <w:r>
        <w:t>8</w:t>
      </w:r>
      <w:r>
        <w:rPr>
          <w:rFonts w:hint="eastAsia"/>
        </w:rPr>
        <w:t>.3 Recording of Adverse Events</w:t>
      </w:r>
      <w:bookmarkEnd w:id="125"/>
      <w:r>
        <w:rPr>
          <w:rFonts w:hint="eastAsia"/>
        </w:rPr>
        <w:t xml:space="preserve"> </w:t>
      </w:r>
      <w:bookmarkEnd w:id="124"/>
    </w:p>
    <w:p w14:paraId="01F5ACF1" w14:textId="0A41F343" w:rsidR="00D45C54" w:rsidRDefault="00F34A25" w:rsidP="003127AF">
      <w:pPr>
        <w:pStyle w:val="P68B1DB1-125"/>
        <w:rPr>
          <w:rFonts w:hint="default"/>
        </w:rPr>
      </w:pPr>
      <w:r w:rsidRPr="00F34A25">
        <w:t>During the reporting period of AEs, the investigator(s) are required to record any AEs, including SAEs, in the CRF/eCRF. For the report of AEs, the investigator(s) are required to use the correctly standardized medical terminology rather than colloquialism and abbreviations. The start date, severity grade as per NCI-CTCAE v5.0, stop date, causality to study drugs, effects on the trial, concomitant therapy, and recovery will be recorded.</w:t>
      </w:r>
      <w:r w:rsidR="003E0392">
        <w:t xml:space="preserve"> </w:t>
      </w:r>
    </w:p>
    <w:p w14:paraId="48F855DE" w14:textId="09B7953C" w:rsidR="00D45C54" w:rsidRDefault="003E0392">
      <w:pPr>
        <w:pStyle w:val="P68B1DB1-15621"/>
        <w:spacing w:before="120"/>
        <w:rPr>
          <w:rFonts w:hint="default"/>
        </w:rPr>
      </w:pPr>
      <w:r>
        <w:t>Diagnosis</w:t>
      </w:r>
      <w:r w:rsidR="00166AEA">
        <w:rPr>
          <w:rFonts w:hint="default"/>
        </w:rPr>
        <w:t xml:space="preserve"> vs symptoms and signs </w:t>
      </w:r>
    </w:p>
    <w:p w14:paraId="7A0307F4" w14:textId="7BBAB24E" w:rsidR="00D45C54" w:rsidRPr="003127AF" w:rsidRDefault="00F34A25" w:rsidP="003127AF">
      <w:pPr>
        <w:pStyle w:val="P68B1DB1-125"/>
        <w:rPr>
          <w:rFonts w:eastAsiaTheme="minorEastAsia" w:hint="default"/>
        </w:rPr>
      </w:pPr>
      <w:r w:rsidRPr="00F34A25">
        <w:rPr>
          <w:rFonts w:eastAsiaTheme="minorEastAsia"/>
        </w:rPr>
        <w:t xml:space="preserve">A diagnosis (if known) should be recorded on the CRF/eCRF rather than individual signs and symptoms (e.g., record only liver failure or hepatitis rather than jaundice, asterixis, and elevated </w:t>
      </w:r>
      <w:r w:rsidRPr="00F34A25">
        <w:rPr>
          <w:rFonts w:eastAsiaTheme="minorEastAsia"/>
        </w:rPr>
        <w:lastRenderedPageBreak/>
        <w:t>transaminases). However, if a constellation of signs and/or symptoms cannot be medically characterized as a single diagnosis or syndrome at the time of reporting, each event should be recorded on the CRF/eCRF as AEs.</w:t>
      </w:r>
    </w:p>
    <w:p w14:paraId="61551878" w14:textId="71E25B7B" w:rsidR="00D45C54" w:rsidRDefault="003E0392">
      <w:pPr>
        <w:pStyle w:val="P68B1DB1-15621"/>
        <w:spacing w:before="120"/>
        <w:rPr>
          <w:rFonts w:hint="default"/>
        </w:rPr>
      </w:pPr>
      <w:r>
        <w:t xml:space="preserve">Adverse </w:t>
      </w:r>
      <w:r w:rsidR="00166AEA">
        <w:rPr>
          <w:rFonts w:hint="default"/>
        </w:rPr>
        <w:t xml:space="preserve">events secondary to other events </w:t>
      </w:r>
    </w:p>
    <w:p w14:paraId="1898A51D" w14:textId="6589D9D7" w:rsidR="00D45C54" w:rsidRDefault="008B0C41" w:rsidP="003127AF">
      <w:pPr>
        <w:pStyle w:val="P68B1DB1-15621"/>
        <w:numPr>
          <w:ilvl w:val="0"/>
          <w:numId w:val="0"/>
        </w:numPr>
        <w:spacing w:before="120"/>
        <w:jc w:val="both"/>
        <w:rPr>
          <w:rFonts w:hint="default"/>
        </w:rPr>
      </w:pPr>
      <w:r w:rsidRPr="008B0C41">
        <w:rPr>
          <w:rFonts w:eastAsia="Times New Roman"/>
          <w:b w:val="0"/>
        </w:rPr>
        <w:t xml:space="preserve">In general, AEs occurring secondary to other events (e.g., cascade events or clinical sequelae) should be identified by their primary cause, except for severe or serious secondary events. However, medically significant AEs occurring secondary to an initiating event that are separated in time should be recorded as independent events on the CRF/eCRF. All AEs should be recorded separately as primary or secondary events if it is unclear as to whether the events are associated. </w:t>
      </w:r>
      <w:r w:rsidR="003E0392">
        <w:t xml:space="preserve"> </w:t>
      </w:r>
    </w:p>
    <w:p w14:paraId="33030421" w14:textId="15B987B6" w:rsidR="00D45C54" w:rsidRDefault="003E0392" w:rsidP="00C505BB">
      <w:pPr>
        <w:pStyle w:val="P68B1DB1-15621"/>
        <w:spacing w:before="120"/>
        <w:rPr>
          <w:rFonts w:hint="default"/>
        </w:rPr>
      </w:pPr>
      <w:r>
        <w:t xml:space="preserve">Continuous, </w:t>
      </w:r>
      <w:r w:rsidR="00C505BB" w:rsidRPr="00C505BB">
        <w:t>intermittent, or single AEs</w:t>
      </w:r>
      <w:r>
        <w:t xml:space="preserve"> (frequency of adverse events) </w:t>
      </w:r>
    </w:p>
    <w:p w14:paraId="15C2417B" w14:textId="77777777" w:rsidR="00C505BB" w:rsidRDefault="003E0392" w:rsidP="00C505BB">
      <w:pPr>
        <w:pStyle w:val="P68B1DB1-125"/>
        <w:rPr>
          <w:rFonts w:hint="default"/>
        </w:rPr>
      </w:pPr>
      <w:r>
        <w:t xml:space="preserve">Continuous AE </w:t>
      </w:r>
      <w:r w:rsidR="00C505BB">
        <w:t xml:space="preserve">extends </w:t>
      </w:r>
      <w:r w:rsidR="00C505BB">
        <w:rPr>
          <w:rFonts w:hint="default"/>
        </w:rPr>
        <w:t xml:space="preserve">to </w:t>
      </w:r>
      <w:r w:rsidR="00C505BB">
        <w:t>continuously, without resolution between cycles/courses, such as the upper respiratory tract infection lasting 5 days. The event must only be reported once unless the grade becomes more severe. For severity grade, the highest severity grade should be recorded.</w:t>
      </w:r>
    </w:p>
    <w:p w14:paraId="5856B6D7" w14:textId="77777777" w:rsidR="00C505BB" w:rsidRDefault="00C505BB" w:rsidP="00C505BB">
      <w:pPr>
        <w:pStyle w:val="P68B1DB1-125"/>
        <w:rPr>
          <w:rFonts w:hint="default"/>
        </w:rPr>
      </w:pPr>
      <w:r>
        <w:t>Intermittent AE occurs and resolves during a cycle/course of therapy, but without clinically significant outcomes, such as nausea and vomiting lasting for several days with the intermittent resolution, and persistent hypertension with intermittent resolution. The event must only be reported once. For severity grade, the highest severity grade should be recorded.</w:t>
      </w:r>
    </w:p>
    <w:p w14:paraId="11B147ED" w14:textId="77777777" w:rsidR="00C505BB" w:rsidRDefault="00C505BB" w:rsidP="00C505BB">
      <w:pPr>
        <w:pStyle w:val="P68B1DB1-125"/>
        <w:rPr>
          <w:rFonts w:hint="default"/>
        </w:rPr>
      </w:pPr>
      <w:r>
        <w:t xml:space="preserve">Single AE is one that occurs independently or only once during therapy, such as falls and one vomiting event during the trial. The event must only be reported once. </w:t>
      </w:r>
      <w:r>
        <w:rPr>
          <w:rFonts w:hint="default"/>
        </w:rPr>
        <w:t>F</w:t>
      </w:r>
      <w:r>
        <w:t>or example, an accident in which a subject falls; or vomiting that a subject only experiences once during the trial. Only one such AE should be recorded on the CRF/eCRF</w:t>
      </w:r>
      <w:r w:rsidR="00D73DC4">
        <w:rPr>
          <w:rFonts w:hint="default"/>
        </w:rPr>
        <w:t>.</w:t>
      </w:r>
    </w:p>
    <w:p w14:paraId="5920FF33" w14:textId="77777777" w:rsidR="00C505BB" w:rsidRDefault="00C505BB" w:rsidP="00C505BB">
      <w:pPr>
        <w:pStyle w:val="P68B1DB1-125"/>
        <w:rPr>
          <w:rFonts w:hint="default"/>
        </w:rPr>
      </w:pPr>
      <w:r>
        <w:t xml:space="preserve">It should be noted that these above events are recurrent after clinically significant resolution and meanwhile have no course continuity with the former, each recurrence of an AE should be recorded separately on the CRF/eCRF. </w:t>
      </w:r>
    </w:p>
    <w:p w14:paraId="77BF884D" w14:textId="77777777" w:rsidR="00D45C54" w:rsidRDefault="003E0392">
      <w:pPr>
        <w:pStyle w:val="P68B1DB1-15621"/>
        <w:spacing w:before="120"/>
        <w:rPr>
          <w:rFonts w:hint="default"/>
        </w:rPr>
      </w:pPr>
      <w:r>
        <w:t xml:space="preserve">Laboratory abnormalities or vital signs </w:t>
      </w:r>
    </w:p>
    <w:p w14:paraId="09DCF1A7" w14:textId="77777777" w:rsidR="0057503B" w:rsidRPr="0057503B" w:rsidRDefault="0057503B" w:rsidP="0057503B">
      <w:pPr>
        <w:pStyle w:val="P68B1DB1-125"/>
        <w:rPr>
          <w:rFonts w:eastAsiaTheme="minorEastAsia" w:hint="default"/>
        </w:rPr>
      </w:pPr>
      <w:r w:rsidRPr="0057503B">
        <w:rPr>
          <w:rFonts w:eastAsiaTheme="minorEastAsia"/>
        </w:rPr>
        <w:t>Laboratory test results will be recorded on the laboratory results pages of CRF. Not all abnormal laboratory tests and vital signs will be reported as AEs. Investigator(s) have the responsibility to review all laboratory findings and vital signs. Medical and scientific judgment should be exercised in deciding whether an isolated laboratory abnormality should be classified as an AE. Any abnormalities that meet one or more of the following conditions for clinical significance will be reported as AEs:</w:t>
      </w:r>
    </w:p>
    <w:p w14:paraId="7C2F5AEC" w14:textId="77777777" w:rsidR="0057503B" w:rsidRPr="0057503B" w:rsidRDefault="0057503B" w:rsidP="006D1B06">
      <w:pPr>
        <w:pStyle w:val="P68B1DB1-125"/>
        <w:numPr>
          <w:ilvl w:val="0"/>
          <w:numId w:val="16"/>
        </w:numPr>
        <w:rPr>
          <w:rFonts w:eastAsiaTheme="minorEastAsia" w:hint="default"/>
        </w:rPr>
      </w:pPr>
      <w:r w:rsidRPr="0057503B">
        <w:rPr>
          <w:rFonts w:eastAsiaTheme="minorEastAsia"/>
        </w:rPr>
        <w:lastRenderedPageBreak/>
        <w:t>Accompanied by clinical symptoms;</w:t>
      </w:r>
    </w:p>
    <w:p w14:paraId="3FC005F9" w14:textId="77777777" w:rsidR="0057503B" w:rsidRPr="0057503B" w:rsidRDefault="0057503B" w:rsidP="006D1B06">
      <w:pPr>
        <w:pStyle w:val="P68B1DB1-125"/>
        <w:numPr>
          <w:ilvl w:val="0"/>
          <w:numId w:val="16"/>
        </w:numPr>
        <w:rPr>
          <w:rFonts w:eastAsiaTheme="minorEastAsia" w:hint="default"/>
        </w:rPr>
      </w:pPr>
      <w:r w:rsidRPr="0057503B">
        <w:rPr>
          <w:rFonts w:eastAsiaTheme="minorEastAsia"/>
        </w:rPr>
        <w:t>Leading to a treatment change (e.g., dose modification, interruption, or discontinuation);</w:t>
      </w:r>
    </w:p>
    <w:p w14:paraId="44B1ED36" w14:textId="77777777" w:rsidR="0057503B" w:rsidRPr="0057503B" w:rsidRDefault="0057503B" w:rsidP="006D1B06">
      <w:pPr>
        <w:pStyle w:val="P68B1DB1-125"/>
        <w:numPr>
          <w:ilvl w:val="0"/>
          <w:numId w:val="16"/>
        </w:numPr>
        <w:rPr>
          <w:rFonts w:eastAsiaTheme="minorEastAsia" w:hint="default"/>
        </w:rPr>
      </w:pPr>
      <w:r w:rsidRPr="0057503B">
        <w:rPr>
          <w:rFonts w:eastAsiaTheme="minorEastAsia"/>
        </w:rPr>
        <w:t>Requiring medical intervention or the change of concomitant therapy (e.g., concomitant medication, new treatment, treatment interruption, discontinuation, or any other change);</w:t>
      </w:r>
    </w:p>
    <w:p w14:paraId="78E5FC97" w14:textId="77777777" w:rsidR="0057503B" w:rsidRPr="0057503B" w:rsidRDefault="0057503B" w:rsidP="006D1B06">
      <w:pPr>
        <w:pStyle w:val="P68B1DB1-125"/>
        <w:numPr>
          <w:ilvl w:val="0"/>
          <w:numId w:val="16"/>
        </w:numPr>
        <w:rPr>
          <w:rFonts w:eastAsiaTheme="minorEastAsia" w:hint="default"/>
        </w:rPr>
      </w:pPr>
      <w:r w:rsidRPr="0057503B">
        <w:rPr>
          <w:rFonts w:eastAsiaTheme="minorEastAsia"/>
        </w:rPr>
        <w:t>Have significant clinical significance as judged by the investigator.</w:t>
      </w:r>
    </w:p>
    <w:p w14:paraId="2A18341A" w14:textId="05A95620" w:rsidR="0057503B" w:rsidRDefault="0057503B" w:rsidP="003127AF">
      <w:pPr>
        <w:pStyle w:val="P68B1DB1-125"/>
        <w:rPr>
          <w:rFonts w:eastAsiaTheme="minorEastAsia" w:hint="default"/>
        </w:rPr>
      </w:pPr>
      <w:r w:rsidRPr="0057503B">
        <w:rPr>
          <w:rFonts w:eastAsiaTheme="minorEastAsia"/>
        </w:rPr>
        <w:t>If a clinically significant laboratory abnormality is a sign of a disease or syndrome (e.g., increased ALT/AST and bilirubin caused by hepatic dysfunction), only the diagnosis should be recorded on the CRF/eCRF (hepatic dysfunction). Otherwise, the abnormality should be recorded along with a descriptor indicating if the test result is above or below the normal range. If the abnormalities have corresponding standard clinical terms, the standard clinical terms should be recorded (e.g., an increase in blood potassium to 7.0 mmol/L should be recorded as hyperkalemia).</w:t>
      </w:r>
    </w:p>
    <w:p w14:paraId="4C59B2FC" w14:textId="5B7EE3D4" w:rsidR="00166AEA" w:rsidRPr="003127AF" w:rsidRDefault="00166AEA" w:rsidP="003127AF">
      <w:pPr>
        <w:pStyle w:val="P68B1DB1-125"/>
        <w:rPr>
          <w:rFonts w:eastAsiaTheme="minorEastAsia" w:hint="default"/>
        </w:rPr>
      </w:pPr>
      <w:r w:rsidRPr="00166AEA">
        <w:rPr>
          <w:rFonts w:eastAsiaTheme="minorEastAsia"/>
        </w:rPr>
        <w:t xml:space="preserve">When documenting a death event, if an </w:t>
      </w:r>
      <w:r>
        <w:rPr>
          <w:rFonts w:eastAsiaTheme="minorEastAsia"/>
        </w:rPr>
        <w:t>AE</w:t>
      </w:r>
      <w:r w:rsidRPr="00166AEA">
        <w:rPr>
          <w:rFonts w:eastAsiaTheme="minorEastAsia"/>
        </w:rPr>
        <w:t xml:space="preserve"> that led to the death is identified, it should be recorded as a singular medical concept in the Case Report Form (CRF)/electronic CRF (eCRF), and the incident must be reported as a </w:t>
      </w:r>
      <w:r>
        <w:rPr>
          <w:rFonts w:eastAsiaTheme="minorEastAsia"/>
        </w:rPr>
        <w:t>SAE</w:t>
      </w:r>
      <w:r w:rsidRPr="00166AEA">
        <w:rPr>
          <w:rFonts w:eastAsiaTheme="minorEastAsia"/>
        </w:rPr>
        <w:t>. In cases where the cause of death remains unknown, 'unknown cause of death' should be documented in the AE section of the CRF/eCRF. This designation should initially be treated as an SAE report, with subsequent investigations conducted to ascertain the precise cause of death. Records and SAE reports must be updated once the cause of death is determined. If tumor progression was responsible for the death, it should not be classified or reported as an AE/SAE.</w:t>
      </w:r>
    </w:p>
    <w:p w14:paraId="6BA4377C" w14:textId="77777777" w:rsidR="00D45C54" w:rsidRDefault="003E0392">
      <w:pPr>
        <w:pStyle w:val="P68B1DB1-15621"/>
        <w:spacing w:before="120"/>
        <w:rPr>
          <w:rFonts w:hint="default"/>
        </w:rPr>
      </w:pPr>
      <w:r>
        <w:t xml:space="preserve">Pre-existing medical conditions </w:t>
      </w:r>
    </w:p>
    <w:p w14:paraId="15F17E0B" w14:textId="67C09136" w:rsidR="00D45C54" w:rsidRDefault="003307D3" w:rsidP="003127AF">
      <w:pPr>
        <w:pStyle w:val="P68B1DB1-15621"/>
        <w:numPr>
          <w:ilvl w:val="0"/>
          <w:numId w:val="0"/>
        </w:numPr>
        <w:spacing w:before="120"/>
        <w:jc w:val="both"/>
        <w:rPr>
          <w:rFonts w:hint="default"/>
        </w:rPr>
      </w:pPr>
      <w:r w:rsidRPr="003307D3">
        <w:rPr>
          <w:rFonts w:eastAsia="Times New Roman"/>
          <w:b w:val="0"/>
        </w:rPr>
        <w:t>A preexisting medical condition should be recorded as an AE only if the frequency, severity, or character of the condition worsens</w:t>
      </w:r>
      <w:r>
        <w:rPr>
          <w:rFonts w:eastAsia="Times New Roman" w:hint="default"/>
          <w:b w:val="0"/>
        </w:rPr>
        <w:t xml:space="preserve"> (</w:t>
      </w:r>
      <w:r w:rsidRPr="003307D3">
        <w:rPr>
          <w:rFonts w:eastAsia="Times New Roman"/>
          <w:b w:val="0"/>
        </w:rPr>
        <w:t>except</w:t>
      </w:r>
      <w:r>
        <w:rPr>
          <w:rFonts w:eastAsia="Times New Roman" w:hint="default"/>
          <w:b w:val="0"/>
        </w:rPr>
        <w:t>e</w:t>
      </w:r>
      <w:r w:rsidRPr="003307D3">
        <w:rPr>
          <w:rFonts w:eastAsia="Times New Roman"/>
          <w:b w:val="0"/>
        </w:rPr>
        <w:t xml:space="preserve"> </w:t>
      </w:r>
      <w:r>
        <w:rPr>
          <w:rFonts w:eastAsia="Times New Roman" w:hint="default"/>
          <w:b w:val="0"/>
        </w:rPr>
        <w:t xml:space="preserve">the </w:t>
      </w:r>
      <w:r w:rsidRPr="003307D3">
        <w:rPr>
          <w:rFonts w:eastAsia="Times New Roman"/>
          <w:b w:val="0"/>
        </w:rPr>
        <w:t xml:space="preserve">worsening of the </w:t>
      </w:r>
      <w:r w:rsidR="00A97CAC" w:rsidRPr="003307D3">
        <w:rPr>
          <w:rFonts w:eastAsia="Times New Roman"/>
          <w:b w:val="0"/>
        </w:rPr>
        <w:t>studied</w:t>
      </w:r>
      <w:r w:rsidRPr="003307D3">
        <w:rPr>
          <w:rFonts w:eastAsia="Times New Roman"/>
          <w:b w:val="0"/>
        </w:rPr>
        <w:t>d</w:t>
      </w:r>
      <w:r w:rsidR="00A97CAC" w:rsidRPr="003307D3">
        <w:rPr>
          <w:rFonts w:eastAsia="Times New Roman"/>
          <w:b w:val="0"/>
        </w:rPr>
        <w:t xml:space="preserve"> </w:t>
      </w:r>
      <w:r w:rsidRPr="003307D3">
        <w:rPr>
          <w:rFonts w:eastAsia="Times New Roman"/>
          <w:b w:val="0"/>
        </w:rPr>
        <w:t>isease</w:t>
      </w:r>
      <w:r>
        <w:rPr>
          <w:rFonts w:eastAsia="Times New Roman" w:hint="default"/>
          <w:b w:val="0"/>
        </w:rPr>
        <w:t>)</w:t>
      </w:r>
      <w:r w:rsidRPr="003307D3">
        <w:rPr>
          <w:rFonts w:eastAsia="Times New Roman"/>
          <w:b w:val="0"/>
        </w:rPr>
        <w:t xml:space="preserve"> during the study. When recording such events, it is important to convey the concept that the preexisting condition has changed by including applicable descriptors (e.g., more frequent headaches, and aggravated hypertension)</w:t>
      </w:r>
      <w:r w:rsidR="003E0392">
        <w:t xml:space="preserve"> </w:t>
      </w:r>
    </w:p>
    <w:p w14:paraId="6C7D3858" w14:textId="77777777" w:rsidR="0081205B" w:rsidRDefault="0081205B" w:rsidP="0081205B">
      <w:pPr>
        <w:pStyle w:val="P68B1DB1-15621"/>
        <w:spacing w:before="120"/>
        <w:rPr>
          <w:rFonts w:hint="default"/>
        </w:rPr>
      </w:pPr>
      <w:r>
        <w:t>Hospitalization or prolongation of existing hospitalization</w:t>
      </w:r>
    </w:p>
    <w:p w14:paraId="1AE78BB2" w14:textId="77777777" w:rsidR="0081205B" w:rsidRPr="003127AF" w:rsidRDefault="0081205B" w:rsidP="003127AF">
      <w:pPr>
        <w:pStyle w:val="P68B1DB1-15621"/>
        <w:numPr>
          <w:ilvl w:val="0"/>
          <w:numId w:val="0"/>
        </w:numPr>
        <w:spacing w:before="120"/>
        <w:jc w:val="both"/>
        <w:rPr>
          <w:rFonts w:hint="default"/>
          <w:b w:val="0"/>
        </w:rPr>
      </w:pPr>
      <w:r w:rsidRPr="003127AF">
        <w:rPr>
          <w:rFonts w:hint="default"/>
          <w:b w:val="0"/>
        </w:rPr>
        <w:t>The following conditions leading to hospitalization or prolongation of existing hospitalization are not classified as SAEs:</w:t>
      </w:r>
    </w:p>
    <w:p w14:paraId="3FE6EBBA" w14:textId="77777777" w:rsidR="0081205B" w:rsidRPr="003127AF" w:rsidRDefault="0081205B" w:rsidP="006D1B06">
      <w:pPr>
        <w:pStyle w:val="P68B1DB1-15621"/>
        <w:numPr>
          <w:ilvl w:val="0"/>
          <w:numId w:val="17"/>
        </w:numPr>
        <w:spacing w:before="120"/>
        <w:jc w:val="both"/>
        <w:rPr>
          <w:rFonts w:hint="default"/>
          <w:b w:val="0"/>
        </w:rPr>
      </w:pPr>
      <w:r w:rsidRPr="003127AF">
        <w:rPr>
          <w:rFonts w:hint="default"/>
          <w:b w:val="0"/>
        </w:rPr>
        <w:t>The hospitalization or prolongation of existing hospitalization required by protocol (e.g., administration and efficacy evaluation);</w:t>
      </w:r>
    </w:p>
    <w:p w14:paraId="18EE2407" w14:textId="77777777" w:rsidR="0081205B" w:rsidRPr="003127AF" w:rsidRDefault="0081205B" w:rsidP="006D1B06">
      <w:pPr>
        <w:pStyle w:val="P68B1DB1-15621"/>
        <w:numPr>
          <w:ilvl w:val="0"/>
          <w:numId w:val="17"/>
        </w:numPr>
        <w:spacing w:before="120"/>
        <w:jc w:val="both"/>
        <w:rPr>
          <w:rFonts w:hint="default"/>
          <w:b w:val="0"/>
        </w:rPr>
      </w:pPr>
      <w:r w:rsidRPr="003127AF">
        <w:rPr>
          <w:rFonts w:hint="default"/>
          <w:b w:val="0"/>
        </w:rPr>
        <w:t xml:space="preserve">An elective hospitalization for a pre-existing condition unrelated to the study indication. </w:t>
      </w:r>
      <w:r w:rsidRPr="003127AF">
        <w:rPr>
          <w:rFonts w:hint="default"/>
          <w:b w:val="0"/>
        </w:rPr>
        <w:lastRenderedPageBreak/>
        <w:t>For example, the planned surgery or treatment before study or the scheduled surgery or treatment after enrollment. However, hospitalization for surgery or treatment due to disease worsening (surgery or treatment in advance) will be classified as SAEs.</w:t>
      </w:r>
    </w:p>
    <w:p w14:paraId="6570A501" w14:textId="77777777" w:rsidR="00D45C54" w:rsidRDefault="003E0392">
      <w:pPr>
        <w:pStyle w:val="P68B1DB1-15621"/>
        <w:spacing w:before="120"/>
        <w:rPr>
          <w:rFonts w:hint="default"/>
        </w:rPr>
      </w:pPr>
      <w:r>
        <w:t xml:space="preserve">Surgery </w:t>
      </w:r>
    </w:p>
    <w:p w14:paraId="2D770EE0" w14:textId="77777777" w:rsidR="00AC4720" w:rsidRPr="003127AF" w:rsidRDefault="00AC4720" w:rsidP="003127AF">
      <w:pPr>
        <w:pStyle w:val="P68B1DB1-125"/>
        <w:rPr>
          <w:rFonts w:eastAsiaTheme="minorEastAsia" w:hint="default"/>
        </w:rPr>
      </w:pPr>
      <w:r w:rsidRPr="00AC4720">
        <w:rPr>
          <w:rFonts w:eastAsiaTheme="minorEastAsia"/>
        </w:rPr>
        <w:t>If the disease for surgery is definite, the disease should be recorded as AE rather than surgery (e.g., for subjects who underwent inguinal herniorrhaphy, AE is inguinal hernia rather than inguinal herniorrhaphy). Otherwise, the surgery should be recorded as AE (e.g., for subjects who underwent abbreviated laparotomy, abbreviated laparotomy is AE).</w:t>
      </w:r>
    </w:p>
    <w:p w14:paraId="67031F67" w14:textId="77777777" w:rsidR="00D45C54" w:rsidRDefault="003E0392">
      <w:pPr>
        <w:pStyle w:val="P68B1DB1-15621"/>
        <w:spacing w:before="120"/>
        <w:rPr>
          <w:rFonts w:hint="default"/>
        </w:rPr>
      </w:pPr>
      <w:r>
        <w:t xml:space="preserve">Pregnancy </w:t>
      </w:r>
    </w:p>
    <w:p w14:paraId="7DD8A1E8" w14:textId="77777777" w:rsidR="00AC4720" w:rsidRPr="00AC4720" w:rsidRDefault="00AC4720" w:rsidP="00AC4720">
      <w:pPr>
        <w:pStyle w:val="P68B1DB1-125"/>
        <w:rPr>
          <w:rFonts w:eastAsiaTheme="minorEastAsia" w:hint="default"/>
        </w:rPr>
      </w:pPr>
      <w:r w:rsidRPr="00AC4720">
        <w:rPr>
          <w:rFonts w:eastAsiaTheme="minorEastAsia"/>
        </w:rPr>
        <w:t>If a female subject or a female partner(s) of a male subject becomes pregnant during the trial, the investigator(s) should be informed immediately. Investigator(s) are required to report to the sponsor within 24 hours of learning of its occurrence. Pregnant subjects should immediately stop using the study drug. The investigator should counsel the patient, and discuss the risks of continuing the pregnancy and the possible effects on the fetus. Pregnant subjects will be monitored until the end of pregnancy. All pregnancies within 30 days of the last administration will be reported to the investigator(s).</w:t>
      </w:r>
    </w:p>
    <w:p w14:paraId="7AC84C45" w14:textId="77777777" w:rsidR="00AC4720" w:rsidRPr="003127AF" w:rsidRDefault="00AC4720" w:rsidP="003127AF">
      <w:pPr>
        <w:pStyle w:val="P68B1DB1-125"/>
        <w:rPr>
          <w:rFonts w:eastAsiaTheme="minorEastAsia" w:hint="default"/>
        </w:rPr>
      </w:pPr>
      <w:r w:rsidRPr="00AC4720">
        <w:rPr>
          <w:rFonts w:eastAsiaTheme="minorEastAsia"/>
        </w:rPr>
        <w:t>Both induced and spontaneous abortions should be reported as SAEs. Any congenital anomalies/birth defects in infants born to female subjects or female partners of male subjects who had taken study drugs should be reported as SAEs.</w:t>
      </w:r>
    </w:p>
    <w:p w14:paraId="41A9CA0F" w14:textId="77777777" w:rsidR="00D45C54" w:rsidRDefault="003E0392">
      <w:pPr>
        <w:pStyle w:val="P68B1DB1-15621"/>
        <w:spacing w:before="120"/>
        <w:rPr>
          <w:rFonts w:hint="default"/>
        </w:rPr>
      </w:pPr>
      <w:r>
        <w:t xml:space="preserve">Disease progression </w:t>
      </w:r>
    </w:p>
    <w:p w14:paraId="29B96809" w14:textId="77777777" w:rsidR="00895DC6" w:rsidRPr="003127AF" w:rsidRDefault="00895DC6" w:rsidP="003127AF">
      <w:pPr>
        <w:pStyle w:val="P68B1DB1-125"/>
        <w:rPr>
          <w:rFonts w:eastAsiaTheme="minorEastAsia" w:hint="default"/>
        </w:rPr>
      </w:pPr>
      <w:r w:rsidRPr="00895DC6">
        <w:rPr>
          <w:rFonts w:eastAsiaTheme="minorEastAsia"/>
        </w:rPr>
        <w:t>If the observed progression is confirmed to be consistent with the expected pattern of primary tumor progression, it will not be considered an AE. The hospitalization due to this progression will also not be considered an SAE. If symptoms cannot be confirmed to be caused by tumor progression, or consistent with the expected pattern, the events will be considered an AE or an SAE.</w:t>
      </w:r>
    </w:p>
    <w:p w14:paraId="4201AE13" w14:textId="4E78C113" w:rsidR="00D45C54" w:rsidRDefault="003E0392">
      <w:pPr>
        <w:pStyle w:val="20"/>
      </w:pPr>
      <w:bookmarkStart w:id="126" w:name="_Toc33516915"/>
      <w:bookmarkStart w:id="127" w:name="_Toc196548014"/>
      <w:r>
        <w:t>8</w:t>
      </w:r>
      <w:r>
        <w:rPr>
          <w:rFonts w:hint="eastAsia"/>
        </w:rPr>
        <w:t>.4 Follow-up of Adverse Events</w:t>
      </w:r>
      <w:bookmarkEnd w:id="127"/>
      <w:r>
        <w:rPr>
          <w:rFonts w:hint="eastAsia"/>
        </w:rPr>
        <w:t xml:space="preserve"> </w:t>
      </w:r>
      <w:bookmarkEnd w:id="126"/>
    </w:p>
    <w:p w14:paraId="557FEFEF" w14:textId="77777777" w:rsidR="00721447" w:rsidRPr="003127AF" w:rsidRDefault="00721447" w:rsidP="00721447">
      <w:pPr>
        <w:spacing w:before="120"/>
        <w:rPr>
          <w:rFonts w:cs="Times New Roman"/>
          <w:color w:val="000000" w:themeColor="text1"/>
          <w:szCs w:val="21"/>
        </w:rPr>
      </w:pPr>
      <w:r w:rsidRPr="003127AF">
        <w:rPr>
          <w:rFonts w:cs="Times New Roman"/>
          <w:color w:val="000000" w:themeColor="text1"/>
          <w:szCs w:val="21"/>
        </w:rPr>
        <w:t>Investigator(s) are required to follow up all AEs until any of the following occurs:</w:t>
      </w:r>
    </w:p>
    <w:p w14:paraId="28248648" w14:textId="71EF6E34" w:rsidR="00721447" w:rsidRPr="003127AF" w:rsidRDefault="00721447" w:rsidP="006D1B06">
      <w:pPr>
        <w:pStyle w:val="affff0"/>
        <w:numPr>
          <w:ilvl w:val="0"/>
          <w:numId w:val="18"/>
        </w:numPr>
        <w:suppressAutoHyphens w:val="0"/>
        <w:topLinePunct w:val="0"/>
        <w:spacing w:beforeLines="50" w:before="120" w:line="240" w:lineRule="auto"/>
        <w:rPr>
          <w:rFonts w:cs="Times New Roman"/>
          <w:color w:val="000000" w:themeColor="text1"/>
          <w:szCs w:val="21"/>
        </w:rPr>
      </w:pPr>
      <w:r w:rsidRPr="003127AF">
        <w:rPr>
          <w:rFonts w:cs="Times New Roman"/>
          <w:color w:val="000000" w:themeColor="text1"/>
          <w:szCs w:val="21"/>
        </w:rPr>
        <w:t xml:space="preserve">AEs </w:t>
      </w:r>
      <w:r w:rsidR="00B607FE" w:rsidRPr="003127AF">
        <w:rPr>
          <w:rFonts w:cs="Times New Roman"/>
          <w:color w:val="000000" w:themeColor="text1"/>
          <w:szCs w:val="21"/>
        </w:rPr>
        <w:t>res</w:t>
      </w:r>
      <w:r w:rsidR="00B607FE">
        <w:rPr>
          <w:rFonts w:cs="Times New Roman"/>
          <w:color w:val="000000" w:themeColor="text1"/>
          <w:szCs w:val="21"/>
        </w:rPr>
        <w:t>tore</w:t>
      </w:r>
      <w:r w:rsidR="00B607FE" w:rsidRPr="003127AF">
        <w:rPr>
          <w:rFonts w:cs="Times New Roman"/>
          <w:color w:val="000000" w:themeColor="text1"/>
          <w:szCs w:val="21"/>
        </w:rPr>
        <w:t xml:space="preserve"> </w:t>
      </w:r>
      <w:r w:rsidRPr="003127AF">
        <w:rPr>
          <w:rFonts w:cs="Times New Roman"/>
          <w:color w:val="000000" w:themeColor="text1"/>
          <w:szCs w:val="21"/>
        </w:rPr>
        <w:t xml:space="preserve">to baseline; </w:t>
      </w:r>
    </w:p>
    <w:p w14:paraId="1C40458F" w14:textId="77777777" w:rsidR="00721447" w:rsidRPr="003127AF" w:rsidRDefault="00721447" w:rsidP="006D1B06">
      <w:pPr>
        <w:pStyle w:val="affff0"/>
        <w:numPr>
          <w:ilvl w:val="0"/>
          <w:numId w:val="18"/>
        </w:numPr>
        <w:suppressAutoHyphens w:val="0"/>
        <w:topLinePunct w:val="0"/>
        <w:spacing w:beforeLines="50" w:before="120" w:line="240" w:lineRule="auto"/>
        <w:rPr>
          <w:rFonts w:cs="Times New Roman"/>
          <w:color w:val="000000" w:themeColor="text1"/>
          <w:szCs w:val="21"/>
        </w:rPr>
      </w:pPr>
      <w:r w:rsidRPr="003127AF">
        <w:rPr>
          <w:rFonts w:cs="Times New Roman"/>
          <w:color w:val="000000" w:themeColor="text1"/>
          <w:szCs w:val="21"/>
        </w:rPr>
        <w:t>No further remission will be expected by the investigator(s);</w:t>
      </w:r>
    </w:p>
    <w:p w14:paraId="68B94AC6" w14:textId="77777777" w:rsidR="00721447" w:rsidRPr="003127AF" w:rsidRDefault="00721447" w:rsidP="006D1B06">
      <w:pPr>
        <w:pStyle w:val="affff0"/>
        <w:numPr>
          <w:ilvl w:val="0"/>
          <w:numId w:val="18"/>
        </w:numPr>
        <w:suppressAutoHyphens w:val="0"/>
        <w:topLinePunct w:val="0"/>
        <w:spacing w:beforeLines="50" w:before="120" w:line="240" w:lineRule="auto"/>
        <w:rPr>
          <w:rFonts w:cs="Times New Roman"/>
          <w:color w:val="000000" w:themeColor="text1"/>
          <w:szCs w:val="21"/>
        </w:rPr>
      </w:pPr>
      <w:r w:rsidRPr="003127AF">
        <w:rPr>
          <w:rFonts w:cs="Times New Roman"/>
          <w:color w:val="000000" w:themeColor="text1"/>
          <w:szCs w:val="21"/>
        </w:rPr>
        <w:t>Death;</w:t>
      </w:r>
    </w:p>
    <w:p w14:paraId="2776873E" w14:textId="77777777" w:rsidR="00721447" w:rsidRPr="003127AF" w:rsidRDefault="00721447" w:rsidP="006D1B06">
      <w:pPr>
        <w:pStyle w:val="affff0"/>
        <w:numPr>
          <w:ilvl w:val="0"/>
          <w:numId w:val="18"/>
        </w:numPr>
        <w:suppressAutoHyphens w:val="0"/>
        <w:topLinePunct w:val="0"/>
        <w:spacing w:beforeLines="50" w:before="120" w:line="240" w:lineRule="auto"/>
        <w:rPr>
          <w:rFonts w:cs="Times New Roman"/>
          <w:color w:val="000000" w:themeColor="text1"/>
          <w:szCs w:val="21"/>
        </w:rPr>
      </w:pPr>
      <w:r w:rsidRPr="003127AF">
        <w:rPr>
          <w:rFonts w:cs="Times New Roman"/>
          <w:color w:val="000000" w:themeColor="text1"/>
          <w:szCs w:val="21"/>
        </w:rPr>
        <w:t>Lost to follow-up;</w:t>
      </w:r>
    </w:p>
    <w:p w14:paraId="092F0BED" w14:textId="77777777" w:rsidR="00721447" w:rsidRPr="003127AF" w:rsidRDefault="00721447" w:rsidP="006D1B06">
      <w:pPr>
        <w:pStyle w:val="affff0"/>
        <w:numPr>
          <w:ilvl w:val="0"/>
          <w:numId w:val="18"/>
        </w:numPr>
        <w:suppressAutoHyphens w:val="0"/>
        <w:topLinePunct w:val="0"/>
        <w:spacing w:beforeLines="50" w:before="120" w:line="240" w:lineRule="auto"/>
        <w:rPr>
          <w:rFonts w:cs="Times New Roman"/>
          <w:color w:val="000000" w:themeColor="text1"/>
          <w:szCs w:val="21"/>
        </w:rPr>
      </w:pPr>
      <w:r w:rsidRPr="003127AF">
        <w:rPr>
          <w:rFonts w:cs="Times New Roman"/>
          <w:color w:val="000000" w:themeColor="text1"/>
          <w:szCs w:val="21"/>
        </w:rPr>
        <w:t>AEs that are not related to the study treatment confirmed by the investigator(s);</w:t>
      </w:r>
    </w:p>
    <w:p w14:paraId="6CE931A0" w14:textId="77777777" w:rsidR="00721447" w:rsidRPr="003127AF" w:rsidRDefault="00721447" w:rsidP="006D1B06">
      <w:pPr>
        <w:pStyle w:val="affff0"/>
        <w:numPr>
          <w:ilvl w:val="0"/>
          <w:numId w:val="18"/>
        </w:numPr>
        <w:suppressAutoHyphens w:val="0"/>
        <w:topLinePunct w:val="0"/>
        <w:spacing w:beforeLines="50" w:before="120" w:line="240" w:lineRule="auto"/>
        <w:rPr>
          <w:rFonts w:cs="Times New Roman"/>
          <w:color w:val="000000" w:themeColor="text1"/>
          <w:szCs w:val="21"/>
        </w:rPr>
      </w:pPr>
      <w:r w:rsidRPr="003127AF">
        <w:rPr>
          <w:rFonts w:cs="Times New Roman"/>
          <w:color w:val="000000" w:themeColor="text1"/>
          <w:szCs w:val="21"/>
        </w:rPr>
        <w:lastRenderedPageBreak/>
        <w:t xml:space="preserve">Starting new antitumor treatment; </w:t>
      </w:r>
    </w:p>
    <w:p w14:paraId="4921BF9C" w14:textId="77777777" w:rsidR="00721447" w:rsidRPr="003127AF" w:rsidRDefault="00721447" w:rsidP="006D1B06">
      <w:pPr>
        <w:pStyle w:val="affff0"/>
        <w:numPr>
          <w:ilvl w:val="0"/>
          <w:numId w:val="18"/>
        </w:numPr>
        <w:suppressAutoHyphens w:val="0"/>
        <w:topLinePunct w:val="0"/>
        <w:spacing w:beforeLines="50" w:before="120" w:line="240" w:lineRule="auto"/>
        <w:rPr>
          <w:rFonts w:cs="Times New Roman"/>
          <w:color w:val="000000" w:themeColor="text1"/>
          <w:szCs w:val="21"/>
        </w:rPr>
      </w:pPr>
      <w:r w:rsidRPr="003127AF">
        <w:rPr>
          <w:rFonts w:cs="Times New Roman"/>
          <w:color w:val="000000" w:themeColor="text1"/>
          <w:szCs w:val="21"/>
        </w:rPr>
        <w:t>End of clinical or safety data collection, or the database lock;</w:t>
      </w:r>
    </w:p>
    <w:p w14:paraId="2EDA7717" w14:textId="77777777" w:rsidR="00721447" w:rsidRPr="003127AF" w:rsidRDefault="00721447" w:rsidP="00721447">
      <w:pPr>
        <w:spacing w:before="120"/>
        <w:rPr>
          <w:rFonts w:cs="Times New Roman"/>
          <w:color w:val="000000" w:themeColor="text1"/>
          <w:szCs w:val="21"/>
        </w:rPr>
      </w:pPr>
      <w:r w:rsidRPr="003127AF">
        <w:rPr>
          <w:rFonts w:cs="Times New Roman"/>
          <w:color w:val="000000" w:themeColor="text1"/>
          <w:szCs w:val="21"/>
        </w:rPr>
        <w:t>The outcomes of each AE (including the date of resolution and death) need to be recorded in the CRF/eCRF.</w:t>
      </w:r>
    </w:p>
    <w:p w14:paraId="3CDED4FA" w14:textId="5674C17D" w:rsidR="00D45C54" w:rsidRDefault="003E0392">
      <w:pPr>
        <w:pStyle w:val="20"/>
      </w:pPr>
      <w:bookmarkStart w:id="128" w:name="_Toc33516916"/>
      <w:bookmarkStart w:id="129" w:name="_Toc196548015"/>
      <w:r>
        <w:t>8</w:t>
      </w:r>
      <w:r>
        <w:rPr>
          <w:rFonts w:hint="eastAsia"/>
        </w:rPr>
        <w:t xml:space="preserve">.5 </w:t>
      </w:r>
      <w:r w:rsidR="0096318E" w:rsidRPr="0096318E">
        <w:t>Causality to Study Drugs</w:t>
      </w:r>
      <w:bookmarkEnd w:id="129"/>
      <w:r w:rsidR="0096318E" w:rsidRPr="0096318E" w:rsidDel="0096318E">
        <w:rPr>
          <w:rFonts w:hint="eastAsia"/>
        </w:rPr>
        <w:t xml:space="preserve"> </w:t>
      </w:r>
      <w:bookmarkEnd w:id="128"/>
    </w:p>
    <w:p w14:paraId="4B9D4560" w14:textId="77777777" w:rsidR="007E5541" w:rsidRPr="003127AF" w:rsidRDefault="007E5541" w:rsidP="007E5541">
      <w:pPr>
        <w:spacing w:before="120"/>
        <w:rPr>
          <w:rFonts w:cs="Times New Roman"/>
          <w:color w:val="000000" w:themeColor="text1"/>
          <w:szCs w:val="21"/>
        </w:rPr>
      </w:pPr>
      <w:r w:rsidRPr="003127AF">
        <w:rPr>
          <w:rFonts w:cs="Times New Roman"/>
          <w:color w:val="000000" w:themeColor="text1"/>
          <w:szCs w:val="21"/>
        </w:rPr>
        <w:t>Investigator(s) are required to assess the causality of AEs to study drugs, according to the following 5 criteria:</w:t>
      </w:r>
    </w:p>
    <w:p w14:paraId="6B7B4372" w14:textId="77777777" w:rsidR="007E5541" w:rsidRPr="003127AF" w:rsidRDefault="007E5541" w:rsidP="007E5541">
      <w:pPr>
        <w:spacing w:before="120"/>
        <w:rPr>
          <w:rFonts w:cs="Times New Roman"/>
          <w:color w:val="000000" w:themeColor="text1"/>
          <w:szCs w:val="21"/>
        </w:rPr>
      </w:pPr>
      <w:r w:rsidRPr="003127AF">
        <w:rPr>
          <w:rFonts w:cs="Times New Roman"/>
          <w:color w:val="000000" w:themeColor="text1"/>
          <w:szCs w:val="21"/>
        </w:rPr>
        <w:t>(1) Whether the administration time and the suspected AEs exhibit a reasonable relationship;</w:t>
      </w:r>
    </w:p>
    <w:p w14:paraId="5C7CBD48" w14:textId="77777777" w:rsidR="00495DCA" w:rsidRDefault="007E5541" w:rsidP="007E5541">
      <w:pPr>
        <w:spacing w:before="120"/>
        <w:rPr>
          <w:rFonts w:cs="Times New Roman"/>
          <w:color w:val="000000" w:themeColor="text1"/>
          <w:szCs w:val="21"/>
        </w:rPr>
      </w:pPr>
      <w:r w:rsidRPr="003127AF">
        <w:rPr>
          <w:rFonts w:cs="Times New Roman"/>
          <w:color w:val="000000" w:themeColor="text1"/>
          <w:szCs w:val="21"/>
        </w:rPr>
        <w:t>(2) Whether the suspected AEs fulfill the criteria for the typical reactions of the drug;</w:t>
      </w:r>
      <w:r w:rsidR="00495DCA" w:rsidRPr="00495DCA">
        <w:rPr>
          <w:rFonts w:cs="Times New Roman"/>
          <w:color w:val="000000" w:themeColor="text1"/>
          <w:szCs w:val="21"/>
        </w:rPr>
        <w:t xml:space="preserve"> </w:t>
      </w:r>
    </w:p>
    <w:p w14:paraId="72D768DE" w14:textId="5E7B765D" w:rsidR="007E5541" w:rsidRPr="003127AF" w:rsidRDefault="00495DCA" w:rsidP="007E5541">
      <w:pPr>
        <w:spacing w:before="120"/>
        <w:rPr>
          <w:rFonts w:cs="Times New Roman"/>
          <w:color w:val="000000" w:themeColor="text1"/>
          <w:szCs w:val="21"/>
        </w:rPr>
      </w:pPr>
      <w:r w:rsidRPr="003127AF">
        <w:rPr>
          <w:rFonts w:cs="Times New Roman"/>
          <w:color w:val="000000" w:themeColor="text1"/>
          <w:szCs w:val="21"/>
        </w:rPr>
        <w:t>(3)</w:t>
      </w:r>
      <w:r>
        <w:rPr>
          <w:rFonts w:cs="Times New Roman"/>
          <w:color w:val="000000" w:themeColor="text1"/>
          <w:szCs w:val="21"/>
        </w:rPr>
        <w:t xml:space="preserve"> </w:t>
      </w:r>
      <w:r w:rsidRPr="003127AF">
        <w:rPr>
          <w:rFonts w:cs="Times New Roman"/>
          <w:color w:val="000000" w:themeColor="text1"/>
          <w:szCs w:val="21"/>
        </w:rPr>
        <w:t>Whether the suspected AEs disappear or are mitigated after drug discontinuation</w:t>
      </w:r>
      <w:r>
        <w:rPr>
          <w:rFonts w:cs="Times New Roman"/>
          <w:color w:val="000000" w:themeColor="text1"/>
          <w:szCs w:val="21"/>
        </w:rPr>
        <w:t xml:space="preserve"> or reduction</w:t>
      </w:r>
      <w:r w:rsidRPr="003127AF">
        <w:rPr>
          <w:rFonts w:cs="Times New Roman"/>
          <w:color w:val="000000" w:themeColor="text1"/>
          <w:szCs w:val="21"/>
        </w:rPr>
        <w:t>;</w:t>
      </w:r>
    </w:p>
    <w:p w14:paraId="224DAC58" w14:textId="67936A0F" w:rsidR="007E5541" w:rsidRPr="003127AF" w:rsidRDefault="00495DCA" w:rsidP="007E5541">
      <w:pPr>
        <w:spacing w:before="120"/>
        <w:rPr>
          <w:rFonts w:cs="Times New Roman"/>
          <w:color w:val="000000" w:themeColor="text1"/>
          <w:szCs w:val="21"/>
        </w:rPr>
      </w:pPr>
      <w:r w:rsidRPr="003127AF">
        <w:rPr>
          <w:rFonts w:cs="Times New Roman"/>
          <w:color w:val="000000" w:themeColor="text1"/>
          <w:szCs w:val="21"/>
        </w:rPr>
        <w:t>(4)</w:t>
      </w:r>
      <w:r w:rsidRPr="003127AF" w:rsidDel="00495DCA">
        <w:rPr>
          <w:rFonts w:cs="Times New Roman"/>
          <w:color w:val="000000" w:themeColor="text1"/>
          <w:szCs w:val="21"/>
        </w:rPr>
        <w:t xml:space="preserve"> </w:t>
      </w:r>
      <w:r w:rsidRPr="003127AF">
        <w:rPr>
          <w:rFonts w:cs="Times New Roman"/>
          <w:color w:val="000000" w:themeColor="text1"/>
          <w:szCs w:val="21"/>
        </w:rPr>
        <w:t>Whether the same AEs recurred after repetitive administration of the</w:t>
      </w:r>
      <w:r>
        <w:rPr>
          <w:rFonts w:cs="Times New Roman"/>
          <w:color w:val="000000" w:themeColor="text1"/>
          <w:szCs w:val="21"/>
        </w:rPr>
        <w:t xml:space="preserve"> study drugs;</w:t>
      </w:r>
      <w:r w:rsidRPr="003127AF" w:rsidDel="00495DCA">
        <w:rPr>
          <w:rFonts w:cs="Times New Roman"/>
          <w:color w:val="000000" w:themeColor="text1"/>
          <w:szCs w:val="21"/>
        </w:rPr>
        <w:t xml:space="preserve"> </w:t>
      </w:r>
    </w:p>
    <w:p w14:paraId="18D96A50" w14:textId="16CAE7ED" w:rsidR="007E5541" w:rsidRPr="003127AF" w:rsidRDefault="007E5541" w:rsidP="007E5541">
      <w:pPr>
        <w:spacing w:before="120"/>
        <w:rPr>
          <w:rFonts w:cs="Times New Roman"/>
          <w:color w:val="000000" w:themeColor="text1"/>
          <w:szCs w:val="21"/>
        </w:rPr>
      </w:pPr>
      <w:r w:rsidRPr="003127AF">
        <w:rPr>
          <w:rFonts w:cs="Times New Roman"/>
          <w:color w:val="000000" w:themeColor="text1"/>
          <w:szCs w:val="21"/>
        </w:rPr>
        <w:t xml:space="preserve">(5) </w:t>
      </w:r>
      <w:r w:rsidR="00495DCA" w:rsidRPr="003127AF">
        <w:rPr>
          <w:rFonts w:cs="Times New Roman"/>
          <w:color w:val="000000" w:themeColor="text1"/>
          <w:szCs w:val="21"/>
        </w:rPr>
        <w:t>Whether the suspected AEs can be explained by the effects of the combined drug, patient’s clinical condition, or other therapies</w:t>
      </w:r>
      <w:r w:rsidR="00495DCA">
        <w:rPr>
          <w:rFonts w:cs="Times New Roman"/>
          <w:color w:val="000000" w:themeColor="text1"/>
          <w:szCs w:val="21"/>
        </w:rPr>
        <w:t>.</w:t>
      </w:r>
    </w:p>
    <w:tbl>
      <w:tblPr>
        <w:tblStyle w:val="aff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382"/>
        <w:gridCol w:w="1382"/>
        <w:gridCol w:w="1383"/>
        <w:gridCol w:w="1383"/>
        <w:gridCol w:w="1383"/>
        <w:gridCol w:w="1383"/>
      </w:tblGrid>
      <w:tr w:rsidR="007E5541" w:rsidRPr="007E5541" w14:paraId="771D017A" w14:textId="77777777" w:rsidTr="00742CB8">
        <w:tc>
          <w:tcPr>
            <w:tcW w:w="1382" w:type="dxa"/>
          </w:tcPr>
          <w:p w14:paraId="67D03755" w14:textId="77777777" w:rsidR="007E5541" w:rsidRPr="003127AF" w:rsidRDefault="007E5541" w:rsidP="00742CB8">
            <w:pPr>
              <w:spacing w:before="120"/>
              <w:rPr>
                <w:color w:val="000000" w:themeColor="text1"/>
                <w:szCs w:val="21"/>
              </w:rPr>
            </w:pPr>
          </w:p>
        </w:tc>
        <w:tc>
          <w:tcPr>
            <w:tcW w:w="1382" w:type="dxa"/>
          </w:tcPr>
          <w:p w14:paraId="39E7A187" w14:textId="77777777" w:rsidR="007E5541" w:rsidRPr="003127AF" w:rsidRDefault="007E5541" w:rsidP="00742CB8">
            <w:pPr>
              <w:spacing w:before="120"/>
              <w:jc w:val="center"/>
              <w:rPr>
                <w:color w:val="000000" w:themeColor="text1"/>
                <w:szCs w:val="21"/>
              </w:rPr>
            </w:pPr>
            <w:r w:rsidRPr="003127AF">
              <w:rPr>
                <w:color w:val="000000" w:themeColor="text1"/>
                <w:szCs w:val="21"/>
              </w:rPr>
              <w:t>1</w:t>
            </w:r>
          </w:p>
        </w:tc>
        <w:tc>
          <w:tcPr>
            <w:tcW w:w="1383" w:type="dxa"/>
          </w:tcPr>
          <w:p w14:paraId="062C963B" w14:textId="77777777" w:rsidR="007E5541" w:rsidRPr="003127AF" w:rsidRDefault="007E5541" w:rsidP="00742CB8">
            <w:pPr>
              <w:spacing w:before="120"/>
              <w:jc w:val="center"/>
              <w:rPr>
                <w:color w:val="000000" w:themeColor="text1"/>
                <w:szCs w:val="21"/>
              </w:rPr>
            </w:pPr>
            <w:r w:rsidRPr="003127AF">
              <w:rPr>
                <w:color w:val="000000" w:themeColor="text1"/>
                <w:szCs w:val="21"/>
              </w:rPr>
              <w:t>2</w:t>
            </w:r>
          </w:p>
        </w:tc>
        <w:tc>
          <w:tcPr>
            <w:tcW w:w="1383" w:type="dxa"/>
          </w:tcPr>
          <w:p w14:paraId="778C1545" w14:textId="77777777" w:rsidR="007E5541" w:rsidRPr="003127AF" w:rsidRDefault="007E5541" w:rsidP="00742CB8">
            <w:pPr>
              <w:spacing w:before="120"/>
              <w:jc w:val="center"/>
              <w:rPr>
                <w:color w:val="000000" w:themeColor="text1"/>
                <w:szCs w:val="21"/>
              </w:rPr>
            </w:pPr>
            <w:r w:rsidRPr="003127AF">
              <w:rPr>
                <w:color w:val="000000" w:themeColor="text1"/>
                <w:szCs w:val="21"/>
              </w:rPr>
              <w:t>3</w:t>
            </w:r>
          </w:p>
        </w:tc>
        <w:tc>
          <w:tcPr>
            <w:tcW w:w="1383" w:type="dxa"/>
          </w:tcPr>
          <w:p w14:paraId="5418EEFA" w14:textId="77777777" w:rsidR="007E5541" w:rsidRPr="003127AF" w:rsidRDefault="007E5541" w:rsidP="00742CB8">
            <w:pPr>
              <w:spacing w:before="120"/>
              <w:jc w:val="center"/>
              <w:rPr>
                <w:color w:val="000000" w:themeColor="text1"/>
                <w:szCs w:val="21"/>
              </w:rPr>
            </w:pPr>
            <w:r w:rsidRPr="003127AF">
              <w:rPr>
                <w:color w:val="000000" w:themeColor="text1"/>
                <w:szCs w:val="21"/>
              </w:rPr>
              <w:t>4</w:t>
            </w:r>
          </w:p>
        </w:tc>
        <w:tc>
          <w:tcPr>
            <w:tcW w:w="1383" w:type="dxa"/>
          </w:tcPr>
          <w:p w14:paraId="5B94D0D9" w14:textId="77777777" w:rsidR="007E5541" w:rsidRPr="003127AF" w:rsidRDefault="007E5541" w:rsidP="00742CB8">
            <w:pPr>
              <w:spacing w:before="120"/>
              <w:jc w:val="center"/>
              <w:rPr>
                <w:color w:val="000000" w:themeColor="text1"/>
                <w:szCs w:val="21"/>
              </w:rPr>
            </w:pPr>
            <w:r w:rsidRPr="003127AF">
              <w:rPr>
                <w:color w:val="000000" w:themeColor="text1"/>
                <w:szCs w:val="21"/>
              </w:rPr>
              <w:t>5</w:t>
            </w:r>
          </w:p>
        </w:tc>
      </w:tr>
      <w:tr w:rsidR="007E5541" w:rsidRPr="007E5541" w14:paraId="4FBBA41F" w14:textId="77777777" w:rsidTr="00742CB8">
        <w:tc>
          <w:tcPr>
            <w:tcW w:w="1382" w:type="dxa"/>
          </w:tcPr>
          <w:p w14:paraId="2ECE8DB2" w14:textId="77777777" w:rsidR="007E5541" w:rsidRPr="003127AF" w:rsidRDefault="007E5541" w:rsidP="00742CB8">
            <w:pPr>
              <w:spacing w:before="120"/>
              <w:rPr>
                <w:color w:val="000000" w:themeColor="text1"/>
                <w:szCs w:val="21"/>
              </w:rPr>
            </w:pPr>
            <w:bookmarkStart w:id="130" w:name="OLE_LINK50"/>
            <w:r w:rsidRPr="003127AF">
              <w:rPr>
                <w:color w:val="000000" w:themeColor="text1"/>
                <w:szCs w:val="21"/>
              </w:rPr>
              <w:t>Definite</w:t>
            </w:r>
            <w:bookmarkEnd w:id="130"/>
          </w:p>
        </w:tc>
        <w:tc>
          <w:tcPr>
            <w:tcW w:w="1382" w:type="dxa"/>
          </w:tcPr>
          <w:p w14:paraId="451EC08D"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47CDC7B9"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3C73F0A1"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46E323F5"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12E7552F"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r>
      <w:tr w:rsidR="007E5541" w:rsidRPr="007E5541" w14:paraId="160EAA06" w14:textId="77777777" w:rsidTr="00742CB8">
        <w:tc>
          <w:tcPr>
            <w:tcW w:w="1382" w:type="dxa"/>
          </w:tcPr>
          <w:p w14:paraId="6C940E01" w14:textId="77777777" w:rsidR="007E5541" w:rsidRPr="003127AF" w:rsidRDefault="007E5541" w:rsidP="00742CB8">
            <w:pPr>
              <w:spacing w:before="120"/>
              <w:rPr>
                <w:color w:val="000000" w:themeColor="text1"/>
                <w:szCs w:val="21"/>
              </w:rPr>
            </w:pPr>
            <w:r w:rsidRPr="003127AF">
              <w:rPr>
                <w:color w:val="000000" w:themeColor="text1"/>
                <w:szCs w:val="21"/>
              </w:rPr>
              <w:t>Probable</w:t>
            </w:r>
          </w:p>
        </w:tc>
        <w:tc>
          <w:tcPr>
            <w:tcW w:w="1382" w:type="dxa"/>
          </w:tcPr>
          <w:p w14:paraId="06EA26EA"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5FE39DDF"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3A2C5D10"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52FAFB9D"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019396D9"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r>
      <w:tr w:rsidR="007E5541" w:rsidRPr="007E5541" w14:paraId="587E4552" w14:textId="77777777" w:rsidTr="00742CB8">
        <w:tc>
          <w:tcPr>
            <w:tcW w:w="1382" w:type="dxa"/>
          </w:tcPr>
          <w:p w14:paraId="4B9D5B95" w14:textId="77777777" w:rsidR="007E5541" w:rsidRPr="003127AF" w:rsidRDefault="007E5541" w:rsidP="00742CB8">
            <w:pPr>
              <w:spacing w:before="120"/>
              <w:rPr>
                <w:color w:val="000000" w:themeColor="text1"/>
                <w:szCs w:val="21"/>
              </w:rPr>
            </w:pPr>
            <w:r w:rsidRPr="003127AF">
              <w:rPr>
                <w:color w:val="000000" w:themeColor="text1"/>
                <w:szCs w:val="21"/>
              </w:rPr>
              <w:t>Possible</w:t>
            </w:r>
          </w:p>
        </w:tc>
        <w:tc>
          <w:tcPr>
            <w:tcW w:w="1382" w:type="dxa"/>
          </w:tcPr>
          <w:p w14:paraId="6ECF3955"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1ED75E14"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4740E3D5"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1F712F8F"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543A37DF"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r>
      <w:tr w:rsidR="007E5541" w:rsidRPr="007E5541" w14:paraId="3A468232" w14:textId="77777777" w:rsidTr="00742CB8">
        <w:tc>
          <w:tcPr>
            <w:tcW w:w="1382" w:type="dxa"/>
          </w:tcPr>
          <w:p w14:paraId="7F36366C" w14:textId="77777777" w:rsidR="007E5541" w:rsidRPr="003127AF" w:rsidRDefault="007E5541" w:rsidP="00742CB8">
            <w:pPr>
              <w:spacing w:before="120"/>
              <w:rPr>
                <w:color w:val="000000" w:themeColor="text1"/>
                <w:szCs w:val="21"/>
              </w:rPr>
            </w:pPr>
            <w:r w:rsidRPr="003127AF">
              <w:rPr>
                <w:color w:val="000000" w:themeColor="text1"/>
                <w:szCs w:val="21"/>
              </w:rPr>
              <w:t>Unlikely</w:t>
            </w:r>
          </w:p>
        </w:tc>
        <w:tc>
          <w:tcPr>
            <w:tcW w:w="1382" w:type="dxa"/>
          </w:tcPr>
          <w:p w14:paraId="5DD2D30E"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7BF7A9CE"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673A4F5A"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430311ED"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67D38FF4"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r>
      <w:tr w:rsidR="007E5541" w:rsidRPr="007E5541" w14:paraId="750FC9D0" w14:textId="77777777" w:rsidTr="00742CB8">
        <w:tc>
          <w:tcPr>
            <w:tcW w:w="1382" w:type="dxa"/>
          </w:tcPr>
          <w:p w14:paraId="3DFD89FC" w14:textId="77777777" w:rsidR="007E5541" w:rsidRPr="003127AF" w:rsidRDefault="007E5541" w:rsidP="00742CB8">
            <w:pPr>
              <w:spacing w:before="120"/>
              <w:rPr>
                <w:color w:val="000000" w:themeColor="text1"/>
                <w:szCs w:val="21"/>
              </w:rPr>
            </w:pPr>
            <w:r w:rsidRPr="003127AF">
              <w:rPr>
                <w:color w:val="000000" w:themeColor="text1"/>
                <w:szCs w:val="21"/>
              </w:rPr>
              <w:t>Unrelated</w:t>
            </w:r>
          </w:p>
        </w:tc>
        <w:tc>
          <w:tcPr>
            <w:tcW w:w="1382" w:type="dxa"/>
          </w:tcPr>
          <w:p w14:paraId="42A36FE0"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1307AA5C"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281F57ED"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557CE408"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c>
          <w:tcPr>
            <w:tcW w:w="1383" w:type="dxa"/>
          </w:tcPr>
          <w:p w14:paraId="3344E4F1" w14:textId="77777777" w:rsidR="007E5541" w:rsidRPr="003127AF" w:rsidRDefault="007E5541" w:rsidP="00742CB8">
            <w:pPr>
              <w:spacing w:before="120"/>
              <w:jc w:val="center"/>
              <w:rPr>
                <w:color w:val="000000" w:themeColor="text1"/>
                <w:szCs w:val="21"/>
              </w:rPr>
            </w:pPr>
            <w:r w:rsidRPr="003127AF">
              <w:rPr>
                <w:color w:val="000000" w:themeColor="text1"/>
                <w:szCs w:val="21"/>
              </w:rPr>
              <w:t>-</w:t>
            </w:r>
          </w:p>
        </w:tc>
      </w:tr>
    </w:tbl>
    <w:p w14:paraId="79BE2FB6" w14:textId="77777777" w:rsidR="007E5541" w:rsidRPr="003127AF" w:rsidRDefault="007E5541" w:rsidP="007E5541">
      <w:pPr>
        <w:spacing w:before="120"/>
        <w:rPr>
          <w:rFonts w:cs="Times New Roman"/>
          <w:color w:val="000000" w:themeColor="text1"/>
          <w:szCs w:val="21"/>
        </w:rPr>
      </w:pPr>
      <w:r w:rsidRPr="003127AF">
        <w:rPr>
          <w:rFonts w:cs="Times New Roman"/>
          <w:color w:val="000000" w:themeColor="text1"/>
          <w:szCs w:val="21"/>
        </w:rPr>
        <w:t>Note: +, Yes; -, No; ±, probably Yes or No; ?, unknown.</w:t>
      </w:r>
    </w:p>
    <w:p w14:paraId="103962C4" w14:textId="77777777" w:rsidR="007E5541" w:rsidRPr="003127AF" w:rsidRDefault="007E5541" w:rsidP="003127AF">
      <w:pPr>
        <w:pStyle w:val="P68B1DB1-125"/>
        <w:rPr>
          <w:rFonts w:eastAsiaTheme="minorEastAsia" w:hint="default"/>
          <w:color w:val="000000" w:themeColor="text1"/>
        </w:rPr>
      </w:pPr>
      <w:r w:rsidRPr="003127AF">
        <w:rPr>
          <w:rFonts w:cs="Times New Roman" w:hint="default"/>
          <w:color w:val="000000" w:themeColor="text1"/>
          <w:szCs w:val="21"/>
        </w:rPr>
        <w:t>AEs will be calculated as the sum of definitely-related, probably-related, and possibly-related events.</w:t>
      </w:r>
    </w:p>
    <w:p w14:paraId="3D8F3A99" w14:textId="45E6C20E" w:rsidR="00D45C54" w:rsidRDefault="003E0392">
      <w:pPr>
        <w:pStyle w:val="20"/>
      </w:pPr>
      <w:bookmarkStart w:id="131" w:name="_Toc33516917"/>
      <w:bookmarkStart w:id="132" w:name="_Toc196548016"/>
      <w:r>
        <w:t>8</w:t>
      </w:r>
      <w:r>
        <w:rPr>
          <w:rFonts w:hint="eastAsia"/>
        </w:rPr>
        <w:t>.6 Serious adverse event</w:t>
      </w:r>
      <w:bookmarkEnd w:id="132"/>
      <w:r>
        <w:rPr>
          <w:rFonts w:hint="eastAsia"/>
        </w:rPr>
        <w:t xml:space="preserve"> </w:t>
      </w:r>
      <w:bookmarkEnd w:id="131"/>
    </w:p>
    <w:p w14:paraId="207D5C1A" w14:textId="35C63BAB" w:rsidR="00AB7B7D" w:rsidRDefault="00573D7B" w:rsidP="00384EEC">
      <w:pPr>
        <w:pStyle w:val="P68B1DB1-125"/>
        <w:rPr>
          <w:rFonts w:hint="default"/>
        </w:rPr>
      </w:pPr>
      <w:r>
        <w:t>AEs that meet one or more of the following criteria are classified as SAE: death, life-threatening events</w:t>
      </w:r>
      <w:r w:rsidR="005A2BC1">
        <w:rPr>
          <w:rFonts w:hint="default"/>
        </w:rPr>
        <w:t xml:space="preserve"> </w:t>
      </w:r>
      <w:r w:rsidR="005A2BC1" w:rsidRPr="003127AF">
        <w:rPr>
          <w:rFonts w:eastAsiaTheme="minorEastAsia" w:cs="Times New Roman" w:hint="default"/>
        </w:rPr>
        <w:t>(imminent danger of death)</w:t>
      </w:r>
      <w:r>
        <w:t xml:space="preserve">, in-patient hospitalization or prolongation of existing hospitalization, a persistent or severe disability or incapacity, congenital anomalies/birth defects, or any AEs that, based upon appropriate medical judgment, may jeopardize the subject and may require medical or surgical intervention to prevent one of the outcomes listed above. </w:t>
      </w:r>
      <w:r>
        <w:lastRenderedPageBreak/>
        <w:t>Pregnancy in patients or their spouses will be reported as SAEs to the sponsor or their representative.</w:t>
      </w:r>
      <w:r w:rsidR="005A2BC1">
        <w:rPr>
          <w:rFonts w:hint="default"/>
        </w:rPr>
        <w:t xml:space="preserve"> </w:t>
      </w:r>
    </w:p>
    <w:p w14:paraId="5793A2AB" w14:textId="0AB14A6D" w:rsidR="00573D7B" w:rsidRDefault="00573D7B" w:rsidP="003127AF">
      <w:pPr>
        <w:pStyle w:val="P68B1DB1-125"/>
        <w:rPr>
          <w:rFonts w:hint="default"/>
        </w:rPr>
      </w:pPr>
      <w:r>
        <w:t xml:space="preserve">Disease progression (including signs and symptoms of progression) under the trial will not be reported as an SAE, but death due to disease progression during the trial or safety reporting period will be reported as an SAE. </w:t>
      </w:r>
    </w:p>
    <w:p w14:paraId="5DA176BB" w14:textId="29ED4C68" w:rsidR="00D45C54" w:rsidRDefault="003E0392">
      <w:pPr>
        <w:pStyle w:val="20"/>
      </w:pPr>
      <w:bookmarkStart w:id="133" w:name="_Toc33516918"/>
      <w:bookmarkStart w:id="134" w:name="_Toc196548017"/>
      <w:r>
        <w:t>8</w:t>
      </w:r>
      <w:r>
        <w:rPr>
          <w:rFonts w:hint="eastAsia"/>
        </w:rPr>
        <w:t xml:space="preserve">.7 </w:t>
      </w:r>
      <w:r w:rsidR="00B8648A" w:rsidRPr="00B8648A">
        <w:t>Management</w:t>
      </w:r>
      <w:r>
        <w:rPr>
          <w:rFonts w:hint="eastAsia"/>
        </w:rPr>
        <w:t xml:space="preserve"> of </w:t>
      </w:r>
      <w:r w:rsidR="00B8648A">
        <w:t>SAE</w:t>
      </w:r>
      <w:r>
        <w:rPr>
          <w:rFonts w:hint="eastAsia"/>
        </w:rPr>
        <w:t>s</w:t>
      </w:r>
      <w:bookmarkEnd w:id="134"/>
      <w:r>
        <w:rPr>
          <w:rFonts w:hint="eastAsia"/>
        </w:rPr>
        <w:t xml:space="preserve"> </w:t>
      </w:r>
      <w:bookmarkEnd w:id="133"/>
    </w:p>
    <w:p w14:paraId="1654DB72" w14:textId="22397B1B" w:rsidR="00B8648A" w:rsidRPr="003127AF" w:rsidRDefault="00B8648A" w:rsidP="003127AF">
      <w:pPr>
        <w:rPr>
          <w:rFonts w:eastAsiaTheme="minorEastAsia"/>
        </w:rPr>
      </w:pPr>
      <w:r w:rsidRPr="00B8648A">
        <w:rPr>
          <w:rFonts w:eastAsiaTheme="minorEastAsia"/>
        </w:rPr>
        <w:t>Any SAE, whether or not related to the study drug, occurring must provide the written report to the sponsor or their representative (</w:t>
      </w:r>
      <w:r w:rsidR="005A666E">
        <w:rPr>
          <w:rFonts w:eastAsiaTheme="minorEastAsia"/>
        </w:rPr>
        <w:t>AL3818</w:t>
      </w:r>
      <w:r w:rsidRPr="00B8648A">
        <w:rPr>
          <w:rFonts w:eastAsiaTheme="minorEastAsia"/>
        </w:rPr>
        <w:t xml:space="preserve">@cttq.com) within 24 hours of being aware of its occurrence, followed by the written follow-up report in detail. For death events, the investigator(s) have to provide the documents (e.g., autopsy and medical report) to the sponsor and ethics committee. The sponsor is required to immediately assess the severity of SAEs, their causality to the study drug, and whether it is an expected event. For suspected unexpected SAEs, the sponsor should quickly report to all participating investigators, clinical trial institutions, and the ethics committee, as well as the Drug Administration; Investigators are also required to inform these suspected unexpected SAEs of the ethics committee. Suspected and unexpected serious adverse events should also be reported by the sponsor to National Mecical Products Administration and local Commission of Health. </w:t>
      </w:r>
    </w:p>
    <w:p w14:paraId="115E73D8" w14:textId="370234DE" w:rsidR="008C3BE1" w:rsidRDefault="008C3BE1" w:rsidP="008C3BE1">
      <w:pPr>
        <w:pStyle w:val="1"/>
      </w:pPr>
      <w:bookmarkStart w:id="135" w:name="_Toc35442324"/>
      <w:bookmarkStart w:id="136" w:name="_Toc196548018"/>
      <w:r>
        <w:t xml:space="preserve">9. </w:t>
      </w:r>
      <w:r>
        <w:rPr>
          <w:rFonts w:hint="eastAsia"/>
        </w:rPr>
        <w:t>Source Documents and Obtaining Source Data/Documents</w:t>
      </w:r>
      <w:bookmarkEnd w:id="136"/>
      <w:r>
        <w:rPr>
          <w:rFonts w:hint="eastAsia"/>
        </w:rPr>
        <w:t xml:space="preserve"> </w:t>
      </w:r>
    </w:p>
    <w:p w14:paraId="6F8EECF3" w14:textId="77777777" w:rsidR="008C3BE1" w:rsidRPr="004070CC" w:rsidRDefault="008C3BE1" w:rsidP="008C3BE1">
      <w:pPr>
        <w:pStyle w:val="P68B1DB1-125"/>
        <w:rPr>
          <w:rFonts w:eastAsiaTheme="minorEastAsia" w:hint="default"/>
        </w:rPr>
      </w:pPr>
      <w:r w:rsidRPr="004070CC">
        <w:rPr>
          <w:rFonts w:eastAsiaTheme="minorEastAsia"/>
        </w:rPr>
        <w:t>In accordance with ICH E6, relevant regulations, and the requirements of the research organization for the protection of personal information of subjects, each center is required to properly maintain treatment and research records. Each center should allow the sponsor or its authorized representatives and regulatory authorities to review (and, if permitted by law, to copy) clinical records for quality reviews, audits, and evaluations of safety, progress, and validity of the data.</w:t>
      </w:r>
    </w:p>
    <w:p w14:paraId="59250B0E" w14:textId="77777777" w:rsidR="008C3BE1" w:rsidRPr="004070CC" w:rsidRDefault="008C3BE1" w:rsidP="008C3BE1">
      <w:pPr>
        <w:pStyle w:val="P68B1DB1-125"/>
        <w:rPr>
          <w:rFonts w:eastAsiaTheme="minorEastAsia" w:hint="default"/>
        </w:rPr>
      </w:pPr>
      <w:r w:rsidRPr="004070CC">
        <w:rPr>
          <w:rFonts w:eastAsiaTheme="minorEastAsia"/>
        </w:rPr>
        <w:t>The Raw data is the necessary information for the reconstruction and evaluation of clinical research and is the original record of clinical findings, observations, or other activities. Data records of these original documents include, but are not limited to: hospital records, laboratory records, memoranda, subject diary cards, pharmacy dispensing records, audio recordings of counseling sessions, recorded data from automated instruments, photocopied or transcribed records that have been verified and determined to be accurate and complete, microfilm, photographic negatives, microfilm or diskettes, x-rays, and documents and records of patients kept in pharmacies, laboratories and medical technology departments participating in the study.</w:t>
      </w:r>
    </w:p>
    <w:p w14:paraId="7D25FDC3" w14:textId="46E4C224" w:rsidR="008C3BE1" w:rsidRPr="004070CC" w:rsidRDefault="008C3BE1" w:rsidP="008C3BE1">
      <w:pPr>
        <w:pStyle w:val="P68B1DB1-125"/>
        <w:rPr>
          <w:rFonts w:eastAsiaTheme="minorEastAsia" w:hint="default"/>
        </w:rPr>
      </w:pPr>
      <w:r w:rsidRPr="004070CC">
        <w:rPr>
          <w:rFonts w:eastAsiaTheme="minorEastAsia"/>
        </w:rPr>
        <w:lastRenderedPageBreak/>
        <w:t>The original documents, which attests to the presence of the subject as well as confirms the integrity of the data collected, is archived at the investigator's center.</w:t>
      </w:r>
    </w:p>
    <w:p w14:paraId="35850E56" w14:textId="77777777" w:rsidR="008C3BE1" w:rsidRPr="004070CC" w:rsidRDefault="008C3BE1" w:rsidP="008C3BE1">
      <w:pPr>
        <w:pStyle w:val="P68B1DB1-125"/>
        <w:rPr>
          <w:rFonts w:eastAsiaTheme="minorEastAsia" w:hint="default"/>
        </w:rPr>
      </w:pPr>
      <w:r w:rsidRPr="004070CC">
        <w:rPr>
          <w:rFonts w:eastAsiaTheme="minorEastAsia"/>
        </w:rPr>
        <w:t>Data transferred from the original documents into the eCRF must be consistent with the original documents and any discrepancies must be explained. Depending on the trial, the investigator may require prior medical records or transfer records, as well as current medical records.</w:t>
      </w:r>
    </w:p>
    <w:p w14:paraId="4C83D3AE" w14:textId="77777777" w:rsidR="008C3BE1" w:rsidRPr="003127AF" w:rsidRDefault="008C3BE1" w:rsidP="008C3BE1">
      <w:pPr>
        <w:pStyle w:val="P68B1DB1-125"/>
        <w:rPr>
          <w:rFonts w:eastAsiaTheme="minorEastAsia" w:hint="default"/>
        </w:rPr>
      </w:pPr>
      <w:r w:rsidRPr="004070CC">
        <w:rPr>
          <w:rFonts w:eastAsiaTheme="minorEastAsia"/>
        </w:rPr>
        <w:t>The investigator/institution consents to trial-related inspections, audits, IRB/IEC audits, and regulatory inspections by providing direct access to all relevant source data/ documents. eCRFs/CRFs, as well as all source documents, including condition records and copies of laboratory and medical findings, must be readily available for for inspection by the clinical supervisors and auditors of sponsor and the health authority. Clinical supervisors and auditors may review all eCRFs/CRFs, as well as written informed consent forms.</w:t>
      </w:r>
    </w:p>
    <w:p w14:paraId="3A2C573F" w14:textId="6AB2FFA3" w:rsidR="00AA7CB7" w:rsidRDefault="00AA7CB7" w:rsidP="00AA7CB7">
      <w:pPr>
        <w:pStyle w:val="1"/>
      </w:pPr>
      <w:bookmarkStart w:id="137" w:name="_Toc196548019"/>
      <w:r>
        <w:rPr>
          <w:rFonts w:hint="eastAsia"/>
        </w:rPr>
        <w:t>1</w:t>
      </w:r>
      <w:r>
        <w:t>0.</w:t>
      </w:r>
      <w:r>
        <w:rPr>
          <w:rFonts w:hint="eastAsia"/>
        </w:rPr>
        <w:t xml:space="preserve"> Quality Control Assurance</w:t>
      </w:r>
      <w:bookmarkEnd w:id="137"/>
      <w:r>
        <w:rPr>
          <w:rFonts w:hint="eastAsia"/>
        </w:rPr>
        <w:t xml:space="preserve"> </w:t>
      </w:r>
    </w:p>
    <w:p w14:paraId="521BD5C4" w14:textId="77777777" w:rsidR="00AA7CB7" w:rsidRDefault="00AA7CB7" w:rsidP="00AA7CB7">
      <w:pPr>
        <w:pStyle w:val="P68B1DB1-125"/>
        <w:rPr>
          <w:rFonts w:hint="default"/>
        </w:rPr>
      </w:pPr>
      <w:r w:rsidRPr="002B676E">
        <w:t>Both sponsors and investigators should establish their own quality assurance systems, fulfill their respective responsibilities, and strictly follow the clinical trial protocols and adopt the appropriate standard operating procedures to ensure the implementation of quality control and quality assurance systems for clinical trials.</w:t>
      </w:r>
    </w:p>
    <w:p w14:paraId="10E49DCB" w14:textId="70060BFE" w:rsidR="00AA7CB7" w:rsidRDefault="00AA7CB7" w:rsidP="00AA7CB7">
      <w:pPr>
        <w:pStyle w:val="20"/>
      </w:pPr>
      <w:bookmarkStart w:id="138" w:name="_Toc196548020"/>
      <w:r>
        <w:rPr>
          <w:rFonts w:hint="eastAsia"/>
        </w:rPr>
        <w:t>1</w:t>
      </w:r>
      <w:r>
        <w:t>0</w:t>
      </w:r>
      <w:r>
        <w:rPr>
          <w:rFonts w:hint="eastAsia"/>
        </w:rPr>
        <w:t>.1 Quality assurance</w:t>
      </w:r>
      <w:bookmarkEnd w:id="138"/>
      <w:r>
        <w:rPr>
          <w:rFonts w:hint="eastAsia"/>
        </w:rPr>
        <w:t xml:space="preserve"> </w:t>
      </w:r>
    </w:p>
    <w:p w14:paraId="2D862334" w14:textId="77777777" w:rsidR="00AA7CB7" w:rsidRPr="003127AF" w:rsidRDefault="00AA7CB7" w:rsidP="00AA7CB7">
      <w:pPr>
        <w:pStyle w:val="P68B1DB1-125"/>
        <w:rPr>
          <w:rFonts w:eastAsiaTheme="minorEastAsia" w:hint="default"/>
        </w:rPr>
      </w:pPr>
      <w:r w:rsidRPr="002B676E">
        <w:rPr>
          <w:rFonts w:eastAsiaTheme="minorEastAsia"/>
        </w:rPr>
        <w:t>Prior to initiation, researchers should receive training on the trial protocol, so that researchers have a full understanding and knowledge of the clinical trial protocol and the specific connotations of its indicators. Quality control personnel should verify the basic conditions of the clinical trial to ensure that the conditions of the clinical trial can meet the requirements of the program. During the trial, researchers should perform clinical operations according to the departmental SOP and the requirements of the trial program, and make true, timely, complete and standardized records. The quality control personnel shall carry out quality verification of the trial process as well as the corresponding original records. After the end of the trial, the research unit organizes the corresponding project documents, which are checked by the quality control personnel and then filed for preservation. The quality assurance department of the clinical research unit audits the implementability of the conducted trials. When nonconformities are detected, the investigator and the head of the unit are promptly notified to make corrections, and the corrections are tracked.</w:t>
      </w:r>
    </w:p>
    <w:p w14:paraId="7F3A8F20" w14:textId="7E3120F3" w:rsidR="00AA7CB7" w:rsidRDefault="00AA7CB7" w:rsidP="00AA7CB7">
      <w:pPr>
        <w:pStyle w:val="20"/>
      </w:pPr>
      <w:bookmarkStart w:id="139" w:name="_Toc196548021"/>
      <w:r>
        <w:rPr>
          <w:rFonts w:hint="eastAsia"/>
        </w:rPr>
        <w:t>1</w:t>
      </w:r>
      <w:r>
        <w:t>0</w:t>
      </w:r>
      <w:r>
        <w:rPr>
          <w:rFonts w:hint="eastAsia"/>
        </w:rPr>
        <w:t>.</w:t>
      </w:r>
      <w:r>
        <w:t>2</w:t>
      </w:r>
      <w:r>
        <w:rPr>
          <w:rFonts w:hint="eastAsia"/>
        </w:rPr>
        <w:t xml:space="preserve"> Quality assurance of data transfer, calculation and reporting process</w:t>
      </w:r>
      <w:bookmarkEnd w:id="139"/>
      <w:r>
        <w:rPr>
          <w:rFonts w:hint="eastAsia"/>
        </w:rPr>
        <w:t xml:space="preserve"> </w:t>
      </w:r>
    </w:p>
    <w:p w14:paraId="0491B684" w14:textId="77777777" w:rsidR="00AA7CB7" w:rsidRPr="00EB2165" w:rsidRDefault="00AA7CB7" w:rsidP="00AA7CB7">
      <w:pPr>
        <w:pStyle w:val="P68B1DB1-125"/>
        <w:rPr>
          <w:rFonts w:eastAsiaTheme="minorEastAsia" w:hint="default"/>
        </w:rPr>
      </w:pPr>
      <w:r w:rsidRPr="00EB2165">
        <w:rPr>
          <w:rFonts w:eastAsiaTheme="minorEastAsia"/>
        </w:rPr>
        <w:lastRenderedPageBreak/>
        <w:t>After the research center data is entered into eCRF, the QC should verify the consistency of the eCRF data with the original records to ensure the accuracy. Verify of data entry in the eCRF system is 100% complete, accurate and consistent with the original record. Data items that were questionable or inconsistent with the original record shall promptly challenged and data entry personnel and investigators shall be urged to respond to the challenge, and inconsistent data were verified and corrected.</w:t>
      </w:r>
    </w:p>
    <w:p w14:paraId="65138B0A" w14:textId="77777777" w:rsidR="00AA7CB7" w:rsidRPr="00EB2165" w:rsidRDefault="00AA7CB7" w:rsidP="00AA7CB7">
      <w:pPr>
        <w:pStyle w:val="P68B1DB1-125"/>
        <w:rPr>
          <w:rFonts w:eastAsiaTheme="minorEastAsia" w:hint="default"/>
        </w:rPr>
      </w:pPr>
      <w:r w:rsidRPr="00EB2165">
        <w:rPr>
          <w:rFonts w:eastAsiaTheme="minorEastAsia"/>
        </w:rPr>
        <w:t>Data management department personnel verify the quality of data entry, and questionable results were sent in the form of a challenge to the investigator, who verified and corrected them. Quality control personnel verify data management documents, database data.</w:t>
      </w:r>
    </w:p>
    <w:p w14:paraId="39C9FB77" w14:textId="77777777" w:rsidR="00AA7CB7" w:rsidRPr="00EB2165" w:rsidRDefault="00AA7CB7" w:rsidP="00AA7CB7">
      <w:pPr>
        <w:pStyle w:val="P68B1DB1-125"/>
        <w:rPr>
          <w:rFonts w:eastAsiaTheme="minorEastAsia" w:hint="default"/>
        </w:rPr>
      </w:pPr>
      <w:r w:rsidRPr="00EB2165">
        <w:rPr>
          <w:rFonts w:eastAsiaTheme="minorEastAsia"/>
        </w:rPr>
        <w:t>Quality assurance personnel of the research center conduct random checks on data transfer documents, statistical analysis report data to ensure data accuracy.</w:t>
      </w:r>
    </w:p>
    <w:p w14:paraId="14C7E627" w14:textId="6C85EE2A" w:rsidR="008C3BE1" w:rsidRPr="0025058B" w:rsidRDefault="00F4489E" w:rsidP="00384EEC">
      <w:pPr>
        <w:pStyle w:val="P68B1DB1-125"/>
        <w:rPr>
          <w:rFonts w:hint="default"/>
        </w:rPr>
      </w:pPr>
      <w:r>
        <w:rPr>
          <w:rFonts w:eastAsiaTheme="minorEastAsia"/>
        </w:rPr>
        <w:t>The sponsor conducts audit</w:t>
      </w:r>
      <w:r w:rsidR="00AA7CB7" w:rsidRPr="00EB2165">
        <w:rPr>
          <w:rFonts w:eastAsiaTheme="minorEastAsia"/>
        </w:rPr>
        <w:t xml:space="preserve"> in different categories of the above process, sample testing process, data, reporting and billing process as needed, taking into account the progress of the trial and the verification results of the QC personnel/supervisors.</w:t>
      </w:r>
    </w:p>
    <w:p w14:paraId="618DDA8E" w14:textId="7033F842" w:rsidR="00D45C54" w:rsidRDefault="003E0392">
      <w:pPr>
        <w:pStyle w:val="1"/>
      </w:pPr>
      <w:bookmarkStart w:id="140" w:name="_Toc196548022"/>
      <w:r>
        <w:rPr>
          <w:rFonts w:hint="eastAsia"/>
        </w:rPr>
        <w:t>11</w:t>
      </w:r>
      <w:r w:rsidR="0020387C">
        <w:t>.</w:t>
      </w:r>
      <w:r>
        <w:rPr>
          <w:rFonts w:hint="eastAsia"/>
        </w:rPr>
        <w:t xml:space="preserve"> Data Management</w:t>
      </w:r>
      <w:bookmarkEnd w:id="140"/>
      <w:r>
        <w:rPr>
          <w:rFonts w:hint="eastAsia"/>
        </w:rPr>
        <w:t xml:space="preserve"> </w:t>
      </w:r>
      <w:bookmarkEnd w:id="135"/>
    </w:p>
    <w:p w14:paraId="1A06565A" w14:textId="2FF5CC43" w:rsidR="00D45C54" w:rsidRDefault="003E0392">
      <w:pPr>
        <w:pStyle w:val="20"/>
      </w:pPr>
      <w:bookmarkStart w:id="141" w:name="_Toc35442325"/>
      <w:bookmarkStart w:id="142" w:name="_Toc196548023"/>
      <w:r>
        <w:rPr>
          <w:rFonts w:hint="eastAsia"/>
        </w:rPr>
        <w:t>11.1 Data Entry</w:t>
      </w:r>
      <w:bookmarkEnd w:id="142"/>
      <w:r>
        <w:rPr>
          <w:rFonts w:hint="eastAsia"/>
        </w:rPr>
        <w:t xml:space="preserve"> </w:t>
      </w:r>
      <w:bookmarkEnd w:id="141"/>
    </w:p>
    <w:p w14:paraId="66968941" w14:textId="77777777" w:rsidR="00CF107E" w:rsidRPr="00CF107E" w:rsidRDefault="00CF107E" w:rsidP="00CF107E">
      <w:pPr>
        <w:rPr>
          <w:rFonts w:eastAsiaTheme="minorEastAsia"/>
        </w:rPr>
      </w:pPr>
      <w:r w:rsidRPr="00CF107E">
        <w:rPr>
          <w:rFonts w:eastAsiaTheme="minorEastAsia"/>
        </w:rPr>
        <w:t>The</w:t>
      </w:r>
      <w:r w:rsidRPr="00CF107E">
        <w:t xml:space="preserve"> </w:t>
      </w:r>
      <w:r w:rsidRPr="00CF107E">
        <w:rPr>
          <w:rFonts w:eastAsiaTheme="minorEastAsia"/>
        </w:rPr>
        <w:t>Electronic Case Report Form (eCRF) is used to manage and record the study data through the Electronic Data Capture System (EDC). EDC will automatically record the audit trace of all role operations such as data saving, modification, deletion, proofreading, audit, freezing, e-signature and lock.</w:t>
      </w:r>
    </w:p>
    <w:p w14:paraId="381C6286" w14:textId="77777777" w:rsidR="00CF107E" w:rsidRPr="00CF107E" w:rsidRDefault="00CF107E" w:rsidP="00CF107E">
      <w:pPr>
        <w:rPr>
          <w:rFonts w:eastAsiaTheme="minorEastAsia"/>
        </w:rPr>
      </w:pPr>
      <w:r w:rsidRPr="00CF107E">
        <w:rPr>
          <w:rFonts w:eastAsiaTheme="minorEastAsia"/>
        </w:rPr>
        <w:t>A clinical data manager finalized the data management plan (DMP) before the first subject is enrolled. DMP specifies and records all tasks of clinical data management in detail and comprehensively, including personnel roles, work content, operation specifications, etc. The database designer is responsible for creating the database, designing eCRF and logical verification according to the trial scheme, CDASH and internal standards, and conducting user acceptance test (UAT) of the system after the configuration is completed, and then the system is deployed online after the test is passed. Normal range configuration was completed before site activation or data entry. Researchers are required to receive user training and project training before being authorized to access the formal environment.</w:t>
      </w:r>
    </w:p>
    <w:p w14:paraId="33FC7557" w14:textId="77777777" w:rsidR="00CF107E" w:rsidRPr="00CF107E" w:rsidRDefault="00CF107E" w:rsidP="00CF107E">
      <w:pPr>
        <w:rPr>
          <w:rFonts w:eastAsiaTheme="minorEastAsia"/>
        </w:rPr>
      </w:pPr>
      <w:r w:rsidRPr="00CF107E">
        <w:rPr>
          <w:rFonts w:eastAsiaTheme="minorEastAsia"/>
        </w:rPr>
        <w:t xml:space="preserve">Authorized investigators are responsible for data entry, corrections, and revisions. Source data verification (SDV) are performed by clinical monitors against source documents to assess completeness and consistency and to challenge findings of incomplete or inconsistent data. </w:t>
      </w:r>
      <w:r w:rsidRPr="00CF107E">
        <w:rPr>
          <w:rFonts w:eastAsiaTheme="minorEastAsia"/>
        </w:rPr>
        <w:lastRenderedPageBreak/>
        <w:t>Clinical data managers review the accuracy, completeness and specification of study data according to eCRF Completion guideline (CCG) and data validation plan (DVP), and questioned the unreasonable logic or improperly recorded data. Researchers should timely reply and deal with questions, and fill in the reasons for modification of data. Clinical monitors and clinical data managers should promptly close resolved queries.</w:t>
      </w:r>
    </w:p>
    <w:p w14:paraId="0B2135CB" w14:textId="745C9246" w:rsidR="00CF107E" w:rsidRDefault="00CF107E" w:rsidP="00CF107E">
      <w:pPr>
        <w:rPr>
          <w:rFonts w:eastAsiaTheme="minorEastAsia"/>
        </w:rPr>
      </w:pPr>
      <w:r w:rsidRPr="00CF107E">
        <w:rPr>
          <w:rFonts w:eastAsiaTheme="minorEastAsia"/>
        </w:rPr>
        <w:t xml:space="preserve">The SAE consistency check </w:t>
      </w:r>
      <w:r>
        <w:rPr>
          <w:rFonts w:eastAsiaTheme="minorEastAsia"/>
        </w:rPr>
        <w:t>i</w:t>
      </w:r>
      <w:r w:rsidRPr="00CF107E">
        <w:rPr>
          <w:rFonts w:eastAsiaTheme="minorEastAsia"/>
        </w:rPr>
        <w:t xml:space="preserve">s completed by clinical data manager, project manager and pharmacovigilance specialist, and the completeness and consistency of AE data entered in the EDC and SAE data </w:t>
      </w:r>
      <w:r>
        <w:rPr>
          <w:rFonts w:eastAsiaTheme="minorEastAsia"/>
        </w:rPr>
        <w:t>are</w:t>
      </w:r>
      <w:r w:rsidRPr="00CF107E">
        <w:rPr>
          <w:rFonts w:eastAsiaTheme="minorEastAsia"/>
        </w:rPr>
        <w:t xml:space="preserve"> checked by manually assisted computer comparison.</w:t>
      </w:r>
    </w:p>
    <w:p w14:paraId="1A129A5E" w14:textId="6ABDB6F8" w:rsidR="00CF107E" w:rsidRPr="00CF107E" w:rsidRDefault="00CF107E" w:rsidP="00CF107E">
      <w:pPr>
        <w:rPr>
          <w:rFonts w:eastAsiaTheme="minorEastAsia"/>
        </w:rPr>
      </w:pPr>
      <w:r w:rsidRPr="00CF107E">
        <w:rPr>
          <w:rFonts w:eastAsiaTheme="minorEastAsia"/>
        </w:rPr>
        <w:t>After data entry, traceability and review, the final confirmation and electronic signature of the study data are performed by the investigators. Data changes are generally not allowed after the electronic signature. If there is any data change after the signature, the electronic signature is invalid. Researchers are required to sign the Electronic Signature Statement before implementing the electronic signature, which declares that the electronic signature has the same legal effect as the written handwritten signature. Usually the electronic signature is done after all the data is frozen.</w:t>
      </w:r>
    </w:p>
    <w:p w14:paraId="56B8C7B0" w14:textId="5BBFD987" w:rsidR="00CF107E" w:rsidRPr="00CF107E" w:rsidRDefault="00CF107E" w:rsidP="00CF107E">
      <w:pPr>
        <w:rPr>
          <w:rFonts w:eastAsiaTheme="minorEastAsia"/>
        </w:rPr>
      </w:pPr>
      <w:r w:rsidRPr="00CF107E">
        <w:rPr>
          <w:rFonts w:eastAsiaTheme="minorEastAsia"/>
        </w:rPr>
        <w:t>The names of AEs and comorbidities are coded using the MedDRA23.0 or higher dictionary, and the names of drugs are coded using the WHO</w:t>
      </w:r>
      <w:r w:rsidR="003B18C8">
        <w:rPr>
          <w:rFonts w:eastAsiaTheme="minorEastAsia"/>
        </w:rPr>
        <w:t xml:space="preserve"> </w:t>
      </w:r>
      <w:r w:rsidRPr="00CF107E">
        <w:rPr>
          <w:rFonts w:eastAsiaTheme="minorEastAsia"/>
        </w:rPr>
        <w:t>Drug</w:t>
      </w:r>
      <w:r w:rsidR="003B18C8">
        <w:rPr>
          <w:rFonts w:eastAsiaTheme="minorEastAsia"/>
        </w:rPr>
        <w:t xml:space="preserve"> </w:t>
      </w:r>
      <w:r w:rsidRPr="00CF107E">
        <w:rPr>
          <w:rFonts w:eastAsiaTheme="minorEastAsia"/>
        </w:rPr>
        <w:t>Global</w:t>
      </w:r>
      <w:r w:rsidR="003B18C8">
        <w:rPr>
          <w:rFonts w:eastAsiaTheme="minorEastAsia"/>
        </w:rPr>
        <w:t xml:space="preserve"> </w:t>
      </w:r>
      <w:r w:rsidRPr="00CF107E">
        <w:rPr>
          <w:rFonts w:eastAsiaTheme="minorEastAsia"/>
        </w:rPr>
        <w:t>2020 or higher dictionary. The medical codes are completed before the data lock.</w:t>
      </w:r>
    </w:p>
    <w:p w14:paraId="09D185FB" w14:textId="17DBB178" w:rsidR="00CF107E" w:rsidRPr="00CF107E" w:rsidRDefault="00CF107E" w:rsidP="00CF107E">
      <w:pPr>
        <w:rPr>
          <w:rFonts w:eastAsiaTheme="minorEastAsia"/>
        </w:rPr>
      </w:pPr>
      <w:r w:rsidRPr="00CF107E">
        <w:rPr>
          <w:rFonts w:eastAsiaTheme="minorEastAsia"/>
        </w:rPr>
        <w:t>After data cleaning, the clinical data manager write</w:t>
      </w:r>
      <w:r w:rsidR="003B18C8">
        <w:rPr>
          <w:rFonts w:eastAsiaTheme="minorEastAsia"/>
        </w:rPr>
        <w:t>s</w:t>
      </w:r>
      <w:r w:rsidRPr="00CF107E">
        <w:rPr>
          <w:rFonts w:eastAsiaTheme="minorEastAsia"/>
        </w:rPr>
        <w:t xml:space="preserve"> a data review report, and at a data review meeting, the principal investigator, statistician, project manager, medical staff, and data management staff discusse protocol violations and identified the population for statistical analysis.</w:t>
      </w:r>
    </w:p>
    <w:p w14:paraId="460D95E5" w14:textId="77777777" w:rsidR="00CF107E" w:rsidRPr="00CF107E" w:rsidRDefault="00CF107E" w:rsidP="00CF107E">
      <w:pPr>
        <w:rPr>
          <w:rFonts w:eastAsiaTheme="minorEastAsia"/>
        </w:rPr>
      </w:pPr>
      <w:r w:rsidRPr="00CF107E">
        <w:rPr>
          <w:rFonts w:eastAsiaTheme="minorEastAsia"/>
        </w:rPr>
        <w:t>After the clinical data manager confirme that the database lock task list is complete, the database lock is performed. After the database is locked, the principle is no longer unlocked. If it is necessary to unlock, the unlocking conditions and procedures must conform to the corresponding SOP, and the unlocking process must be carefully controlled and carefully recorded.</w:t>
      </w:r>
    </w:p>
    <w:p w14:paraId="4EEE4A29" w14:textId="1682065D" w:rsidR="00CF107E" w:rsidRPr="00384EEC" w:rsidRDefault="00CF107E" w:rsidP="00CF107E">
      <w:pPr>
        <w:rPr>
          <w:rFonts w:eastAsiaTheme="minorEastAsia"/>
        </w:rPr>
      </w:pPr>
      <w:r w:rsidRPr="00CF107E">
        <w:rPr>
          <w:rFonts w:eastAsiaTheme="minorEastAsia"/>
        </w:rPr>
        <w:t xml:space="preserve">After the database </w:t>
      </w:r>
      <w:r>
        <w:rPr>
          <w:rFonts w:eastAsiaTheme="minorEastAsia"/>
        </w:rPr>
        <w:t>i</w:t>
      </w:r>
      <w:r w:rsidRPr="00CF107E">
        <w:rPr>
          <w:rFonts w:eastAsiaTheme="minorEastAsia"/>
        </w:rPr>
        <w:t xml:space="preserve">s finally locked, the original database </w:t>
      </w:r>
      <w:r>
        <w:rPr>
          <w:rFonts w:eastAsiaTheme="minorEastAsia"/>
        </w:rPr>
        <w:t>i</w:t>
      </w:r>
      <w:r w:rsidRPr="00CF107E">
        <w:rPr>
          <w:rFonts w:eastAsiaTheme="minorEastAsia"/>
        </w:rPr>
        <w:t>s ex</w:t>
      </w:r>
      <w:r>
        <w:rPr>
          <w:rFonts w:eastAsiaTheme="minorEastAsia"/>
        </w:rPr>
        <w:t>ported, the SAS programmers make</w:t>
      </w:r>
      <w:r w:rsidRPr="00CF107E">
        <w:rPr>
          <w:rFonts w:eastAsiaTheme="minorEastAsia"/>
        </w:rPr>
        <w:t xml:space="preserve"> the analysis data sets, data description files and annotation CRFS, etc. The clinical data manager </w:t>
      </w:r>
      <w:r>
        <w:rPr>
          <w:rFonts w:eastAsiaTheme="minorEastAsia"/>
        </w:rPr>
        <w:t>i</w:t>
      </w:r>
      <w:r w:rsidRPr="00CF107E">
        <w:rPr>
          <w:rFonts w:eastAsiaTheme="minorEastAsia"/>
        </w:rPr>
        <w:t>s responsible for writing the data management report, detailing the data management execution process, and archiving all data management related materials.</w:t>
      </w:r>
    </w:p>
    <w:p w14:paraId="61463DE5" w14:textId="11C74031" w:rsidR="00CF107E" w:rsidRPr="00384EEC" w:rsidRDefault="00CF107E" w:rsidP="00CF107E">
      <w:pPr>
        <w:rPr>
          <w:rFonts w:eastAsiaTheme="minorEastAsia"/>
        </w:rPr>
      </w:pPr>
      <w:r w:rsidRPr="00CF107E">
        <w:rPr>
          <w:rFonts w:eastAsiaTheme="minorEastAsia"/>
        </w:rPr>
        <w:t>For detailed clinical data management tasks and quality assurance, see Data Management Standard Operating Procedures and Data Management Plan Research through electronic Data.</w:t>
      </w:r>
    </w:p>
    <w:p w14:paraId="03AA050E" w14:textId="5EC1615E" w:rsidR="00CF107E" w:rsidRPr="00384EEC" w:rsidRDefault="00CF107E" w:rsidP="00384EEC">
      <w:pPr>
        <w:rPr>
          <w:rFonts w:eastAsiaTheme="minorEastAsia"/>
        </w:rPr>
      </w:pPr>
      <w:r w:rsidRPr="00CF107E">
        <w:rPr>
          <w:rFonts w:eastAsiaTheme="minorEastAsia"/>
        </w:rPr>
        <w:lastRenderedPageBreak/>
        <w:t>The specific transmission form, frequency and content of external data management are described in the External Data Transmission Protocol.</w:t>
      </w:r>
    </w:p>
    <w:p w14:paraId="68082607" w14:textId="3EDF36E5" w:rsidR="00D45C54" w:rsidRDefault="003E0392" w:rsidP="00450804">
      <w:pPr>
        <w:pStyle w:val="1"/>
      </w:pPr>
      <w:bookmarkStart w:id="143" w:name="_Toc33516930"/>
      <w:bookmarkStart w:id="144" w:name="_Toc196548024"/>
      <w:r>
        <w:t>12</w:t>
      </w:r>
      <w:r w:rsidR="00727B2E">
        <w:t>.</w:t>
      </w:r>
      <w:r>
        <w:t xml:space="preserve"> Statistical analysis</w:t>
      </w:r>
      <w:bookmarkEnd w:id="143"/>
      <w:bookmarkEnd w:id="144"/>
    </w:p>
    <w:p w14:paraId="1BA7BC1A" w14:textId="715D9D2D" w:rsidR="00D45C54" w:rsidRDefault="003E0392">
      <w:pPr>
        <w:pStyle w:val="P68B1DB1-366"/>
        <w:rPr>
          <w:rFonts w:hint="default"/>
        </w:rPr>
      </w:pPr>
      <w:bookmarkStart w:id="145" w:name="_Toc33516931"/>
      <w:bookmarkStart w:id="146" w:name="_Toc196548025"/>
      <w:r>
        <w:t xml:space="preserve">12.1 </w:t>
      </w:r>
      <w:r w:rsidR="00F90D14" w:rsidRPr="00F90D14">
        <w:t>Analysis Datasets</w:t>
      </w:r>
      <w:bookmarkEnd w:id="145"/>
      <w:bookmarkEnd w:id="146"/>
    </w:p>
    <w:p w14:paraId="559A68A8" w14:textId="29C26AB0" w:rsidR="000C04BA" w:rsidRDefault="00824D4A" w:rsidP="006D1B06">
      <w:pPr>
        <w:pStyle w:val="a0"/>
        <w:numPr>
          <w:ilvl w:val="0"/>
          <w:numId w:val="32"/>
        </w:numPr>
        <w:spacing w:before="120"/>
      </w:pPr>
      <w:r w:rsidRPr="000C04BA">
        <w:t xml:space="preserve">Intention-to-treat (ITT): </w:t>
      </w:r>
      <w:r w:rsidR="003E0392" w:rsidRPr="00384EEC">
        <w:rPr>
          <w:b w:val="0"/>
        </w:rPr>
        <w:t>According to the intention-to-treat (ITT) principle,</w:t>
      </w:r>
      <w:r w:rsidR="0013468A" w:rsidRPr="0013468A">
        <w:t xml:space="preserve"> </w:t>
      </w:r>
      <w:r w:rsidR="0013468A">
        <w:rPr>
          <w:b w:val="0"/>
        </w:rPr>
        <w:t>a</w:t>
      </w:r>
      <w:r w:rsidR="0013468A" w:rsidRPr="0013468A">
        <w:rPr>
          <w:b w:val="0"/>
        </w:rPr>
        <w:t xml:space="preserve">ll randomized </w:t>
      </w:r>
      <w:r w:rsidR="0013468A">
        <w:rPr>
          <w:b w:val="0"/>
        </w:rPr>
        <w:t>patient</w:t>
      </w:r>
      <w:r w:rsidR="0013468A" w:rsidRPr="0013468A">
        <w:rPr>
          <w:b w:val="0"/>
        </w:rPr>
        <w:t xml:space="preserve">s </w:t>
      </w:r>
      <w:r w:rsidR="0013468A">
        <w:rPr>
          <w:b w:val="0"/>
        </w:rPr>
        <w:t>are</w:t>
      </w:r>
      <w:r w:rsidR="0013468A" w:rsidRPr="0013468A">
        <w:rPr>
          <w:b w:val="0"/>
        </w:rPr>
        <w:t xml:space="preserve"> analyzed for efficacy. Treatment assignment </w:t>
      </w:r>
      <w:r w:rsidR="0013468A">
        <w:rPr>
          <w:b w:val="0"/>
        </w:rPr>
        <w:t>is</w:t>
      </w:r>
      <w:r w:rsidR="0013468A" w:rsidRPr="0013468A">
        <w:rPr>
          <w:b w:val="0"/>
        </w:rPr>
        <w:t xml:space="preserve"> analyzed by randomization.</w:t>
      </w:r>
    </w:p>
    <w:p w14:paraId="3A20228F" w14:textId="7BBB1A7F" w:rsidR="00D45C54" w:rsidRPr="00384EEC" w:rsidRDefault="00CA7A44" w:rsidP="00384EEC">
      <w:pPr>
        <w:pStyle w:val="a0"/>
        <w:numPr>
          <w:ilvl w:val="0"/>
          <w:numId w:val="0"/>
        </w:numPr>
        <w:spacing w:before="120"/>
        <w:ind w:left="420"/>
      </w:pPr>
      <w:r w:rsidRPr="00384EEC">
        <w:rPr>
          <w:b w:val="0"/>
        </w:rPr>
        <w:t xml:space="preserve">The </w:t>
      </w:r>
      <w:r w:rsidR="000C04BA">
        <w:rPr>
          <w:b w:val="0"/>
        </w:rPr>
        <w:t>IIT</w:t>
      </w:r>
      <w:r w:rsidRPr="00384EEC">
        <w:rPr>
          <w:b w:val="0"/>
        </w:rPr>
        <w:t xml:space="preserve"> </w:t>
      </w:r>
      <w:r w:rsidR="000C04BA">
        <w:rPr>
          <w:b w:val="0"/>
        </w:rPr>
        <w:t>is</w:t>
      </w:r>
      <w:r w:rsidR="000C04BA" w:rsidRPr="00384EEC">
        <w:rPr>
          <w:b w:val="0"/>
        </w:rPr>
        <w:t xml:space="preserve"> </w:t>
      </w:r>
      <w:r w:rsidRPr="00384EEC">
        <w:rPr>
          <w:b w:val="0"/>
        </w:rPr>
        <w:t>used for baseline and demographic data and efficacy analysis.</w:t>
      </w:r>
    </w:p>
    <w:p w14:paraId="74F1D289" w14:textId="77777777" w:rsidR="009727D2" w:rsidRDefault="003E0392" w:rsidP="009727D2">
      <w:pPr>
        <w:pStyle w:val="P68B1DB1-15631"/>
        <w:numPr>
          <w:ilvl w:val="0"/>
          <w:numId w:val="32"/>
        </w:numPr>
        <w:spacing w:before="120"/>
        <w:rPr>
          <w:rFonts w:hint="default"/>
          <w:b w:val="0"/>
        </w:rPr>
      </w:pPr>
      <w:r w:rsidRPr="0013468A">
        <w:t xml:space="preserve">Per Protocol Set (PPS): </w:t>
      </w:r>
      <w:r w:rsidR="00114113" w:rsidRPr="0025058B">
        <w:rPr>
          <w:rFonts w:eastAsia="Times New Roman"/>
          <w:b w:val="0"/>
        </w:rPr>
        <w:t xml:space="preserve">All patients </w:t>
      </w:r>
      <w:r w:rsidR="00114113" w:rsidRPr="0013468A">
        <w:rPr>
          <w:rFonts w:eastAsia="Times New Roman" w:hint="default"/>
          <w:b w:val="0"/>
        </w:rPr>
        <w:t xml:space="preserve">who receive </w:t>
      </w:r>
      <w:r w:rsidR="0013468A">
        <w:rPr>
          <w:rFonts w:eastAsia="Times New Roman" w:hint="default"/>
          <w:b w:val="0"/>
        </w:rPr>
        <w:t>at least 2</w:t>
      </w:r>
      <w:r w:rsidR="00114113" w:rsidRPr="0025058B">
        <w:rPr>
          <w:rFonts w:eastAsia="Times New Roman"/>
          <w:b w:val="0"/>
        </w:rPr>
        <w:t xml:space="preserve"> cycle</w:t>
      </w:r>
      <w:r w:rsidR="0013468A">
        <w:rPr>
          <w:rFonts w:eastAsia="Times New Roman" w:hint="default"/>
          <w:b w:val="0"/>
        </w:rPr>
        <w:t>s</w:t>
      </w:r>
      <w:r w:rsidR="00114113" w:rsidRPr="0025058B">
        <w:rPr>
          <w:rFonts w:eastAsia="Times New Roman"/>
          <w:b w:val="0"/>
        </w:rPr>
        <w:t xml:space="preserve"> of</w:t>
      </w:r>
      <w:r w:rsidR="0013468A" w:rsidRPr="0013468A">
        <w:rPr>
          <w:rFonts w:eastAsia="Times New Roman"/>
          <w:b w:val="0"/>
        </w:rPr>
        <w:t xml:space="preserve"> </w:t>
      </w:r>
      <w:r w:rsidR="0013468A" w:rsidRPr="0006572D">
        <w:rPr>
          <w:rFonts w:eastAsia="Times New Roman"/>
          <w:b w:val="0"/>
        </w:rPr>
        <w:t>pre-defined</w:t>
      </w:r>
      <w:r w:rsidR="00114113" w:rsidRPr="0025058B">
        <w:rPr>
          <w:rFonts w:eastAsia="Times New Roman"/>
          <w:b w:val="0"/>
        </w:rPr>
        <w:t xml:space="preserve"> study treatment, had at least one imaging evaluation, </w:t>
      </w:r>
      <w:r w:rsidR="00114113" w:rsidRPr="0013468A">
        <w:rPr>
          <w:rFonts w:eastAsia="Times New Roman" w:hint="default"/>
          <w:b w:val="0"/>
        </w:rPr>
        <w:t>are not administered with the prohibited drugs during the trial</w:t>
      </w:r>
      <w:r w:rsidR="0013468A">
        <w:rPr>
          <w:rFonts w:ascii="宋体" w:hAnsi="宋体" w:cs="宋体"/>
          <w:b w:val="0"/>
        </w:rPr>
        <w:t>,</w:t>
      </w:r>
      <w:r w:rsidR="0013468A">
        <w:rPr>
          <w:rFonts w:ascii="宋体" w:hAnsi="宋体" w:cs="宋体" w:hint="default"/>
          <w:b w:val="0"/>
        </w:rPr>
        <w:t xml:space="preserve"> </w:t>
      </w:r>
      <w:r w:rsidR="00114113" w:rsidRPr="0013468A">
        <w:rPr>
          <w:rFonts w:eastAsia="Times New Roman" w:hint="default"/>
          <w:b w:val="0"/>
        </w:rPr>
        <w:t>without any major protocol deviation, with favorabl</w:t>
      </w:r>
      <w:r w:rsidR="009727D2">
        <w:rPr>
          <w:rFonts w:eastAsia="Times New Roman" w:hint="default"/>
          <w:b w:val="0"/>
        </w:rPr>
        <w:t>e compliance, and complete CRF.</w:t>
      </w:r>
    </w:p>
    <w:p w14:paraId="45C8A7B6" w14:textId="06AB4E91" w:rsidR="00D45C54" w:rsidRPr="009727D2" w:rsidRDefault="00114113" w:rsidP="009727D2">
      <w:pPr>
        <w:pStyle w:val="P68B1DB1-15631"/>
        <w:numPr>
          <w:ilvl w:val="0"/>
          <w:numId w:val="0"/>
        </w:numPr>
        <w:spacing w:before="120"/>
        <w:ind w:left="420"/>
        <w:rPr>
          <w:rFonts w:hint="default"/>
          <w:b w:val="0"/>
        </w:rPr>
      </w:pPr>
      <w:r w:rsidRPr="009727D2">
        <w:rPr>
          <w:rFonts w:hint="default"/>
          <w:b w:val="0"/>
        </w:rPr>
        <w:t xml:space="preserve">The final PPS will be </w:t>
      </w:r>
      <w:r w:rsidR="0013468A" w:rsidRPr="009727D2">
        <w:rPr>
          <w:b w:val="0"/>
        </w:rPr>
        <w:t xml:space="preserve">will be used for the primary </w:t>
      </w:r>
      <w:r w:rsidR="0013468A" w:rsidRPr="009727D2">
        <w:rPr>
          <w:rFonts w:hint="default"/>
          <w:b w:val="0"/>
        </w:rPr>
        <w:t>endpoint</w:t>
      </w:r>
      <w:r w:rsidR="0013468A" w:rsidRPr="009727D2">
        <w:rPr>
          <w:b w:val="0"/>
        </w:rPr>
        <w:t xml:space="preserve"> and key secondary </w:t>
      </w:r>
      <w:r w:rsidR="0013468A" w:rsidRPr="009727D2">
        <w:rPr>
          <w:rFonts w:hint="default"/>
          <w:b w:val="0"/>
        </w:rPr>
        <w:t xml:space="preserve">endpoints and </w:t>
      </w:r>
      <w:r w:rsidRPr="009727D2">
        <w:rPr>
          <w:b w:val="0"/>
        </w:rPr>
        <w:t>determined by the principal investigator, statisticians, and sponsors before the database lock.</w:t>
      </w:r>
    </w:p>
    <w:p w14:paraId="25DABA4D" w14:textId="31C7DBFB" w:rsidR="005F4BCE" w:rsidRDefault="003E0392" w:rsidP="006D1B06">
      <w:pPr>
        <w:pStyle w:val="a0"/>
        <w:numPr>
          <w:ilvl w:val="0"/>
          <w:numId w:val="32"/>
        </w:numPr>
        <w:spacing w:before="120"/>
        <w:rPr>
          <w:rFonts w:eastAsiaTheme="minorEastAsia"/>
        </w:rPr>
      </w:pPr>
      <w:r>
        <w:rPr>
          <w:rFonts w:hint="eastAsia"/>
        </w:rPr>
        <w:t xml:space="preserve">Safety Analysis Set </w:t>
      </w:r>
      <w:r w:rsidR="00742CB8">
        <w:t>(</w:t>
      </w:r>
      <w:r>
        <w:rPr>
          <w:rFonts w:hint="eastAsia"/>
        </w:rPr>
        <w:t>SS)</w:t>
      </w:r>
      <w:r w:rsidR="005F4BCE">
        <w:t xml:space="preserve">: </w:t>
      </w:r>
      <w:r w:rsidR="00742CB8" w:rsidRPr="005F4BCE">
        <w:rPr>
          <w:rFonts w:eastAsiaTheme="minorEastAsia"/>
          <w:b w:val="0"/>
        </w:rPr>
        <w:t>All randomized patients who receive at least one study treatment and have a</w:t>
      </w:r>
      <w:r w:rsidR="003F5E76" w:rsidRPr="005F4BCE">
        <w:rPr>
          <w:rFonts w:eastAsiaTheme="minorEastAsia"/>
          <w:b w:val="0"/>
        </w:rPr>
        <w:t xml:space="preserve">t least one safety assessment. </w:t>
      </w:r>
    </w:p>
    <w:p w14:paraId="25256034" w14:textId="15F0B39F" w:rsidR="005F4BCE" w:rsidRPr="005F4BCE" w:rsidRDefault="00742CB8" w:rsidP="00384EEC">
      <w:pPr>
        <w:pStyle w:val="a0"/>
        <w:numPr>
          <w:ilvl w:val="0"/>
          <w:numId w:val="0"/>
        </w:numPr>
        <w:spacing w:before="120"/>
        <w:ind w:left="420"/>
        <w:rPr>
          <w:rFonts w:eastAsiaTheme="minorEastAsia"/>
          <w:b w:val="0"/>
        </w:rPr>
      </w:pPr>
      <w:r w:rsidRPr="00384EEC">
        <w:rPr>
          <w:rFonts w:eastAsiaTheme="minorEastAsia"/>
          <w:b w:val="0"/>
        </w:rPr>
        <w:t>SS will be used for the safety analysis</w:t>
      </w:r>
      <w:r w:rsidR="005F4BCE">
        <w:rPr>
          <w:rFonts w:eastAsiaTheme="minorEastAsia"/>
          <w:b w:val="0"/>
        </w:rPr>
        <w:t xml:space="preserve">. </w:t>
      </w:r>
      <w:r w:rsidR="005F4BCE" w:rsidRPr="005F4BCE">
        <w:rPr>
          <w:rFonts w:eastAsiaTheme="minorEastAsia"/>
          <w:b w:val="0"/>
        </w:rPr>
        <w:t xml:space="preserve">Treatment assignment </w:t>
      </w:r>
      <w:r w:rsidR="005F4BCE">
        <w:rPr>
          <w:rFonts w:eastAsiaTheme="minorEastAsia"/>
          <w:b w:val="0"/>
        </w:rPr>
        <w:t>is</w:t>
      </w:r>
      <w:r w:rsidR="005F4BCE" w:rsidRPr="005F4BCE">
        <w:rPr>
          <w:rFonts w:eastAsiaTheme="minorEastAsia"/>
          <w:b w:val="0"/>
        </w:rPr>
        <w:t xml:space="preserve"> analyzed by actual assignment.</w:t>
      </w:r>
    </w:p>
    <w:p w14:paraId="52379E4E" w14:textId="456C1289" w:rsidR="00742CB8" w:rsidRPr="003127AF" w:rsidRDefault="00742CB8" w:rsidP="003127AF">
      <w:pPr>
        <w:pStyle w:val="P68B1DB1-125"/>
        <w:rPr>
          <w:rFonts w:eastAsiaTheme="minorEastAsia" w:hint="default"/>
        </w:rPr>
      </w:pPr>
      <w:r w:rsidRPr="00742CB8">
        <w:rPr>
          <w:rFonts w:eastAsiaTheme="minorEastAsia"/>
        </w:rPr>
        <w:t xml:space="preserve">Baseline characteristics analysis will be performed for the </w:t>
      </w:r>
      <w:r w:rsidR="005F4BCE">
        <w:rPr>
          <w:rFonts w:eastAsiaTheme="minorEastAsia" w:hint="default"/>
        </w:rPr>
        <w:t>ITT</w:t>
      </w:r>
      <w:r w:rsidRPr="00742CB8">
        <w:rPr>
          <w:rFonts w:eastAsiaTheme="minorEastAsia"/>
        </w:rPr>
        <w:t xml:space="preserve">. The analysis of the primary </w:t>
      </w:r>
      <w:r w:rsidR="005F4BCE">
        <w:rPr>
          <w:rFonts w:eastAsiaTheme="minorEastAsia" w:hint="default"/>
        </w:rPr>
        <w:t>endpoint</w:t>
      </w:r>
      <w:r w:rsidR="005F4BCE" w:rsidRPr="00742CB8">
        <w:rPr>
          <w:rFonts w:eastAsiaTheme="minorEastAsia"/>
        </w:rPr>
        <w:t xml:space="preserve"> </w:t>
      </w:r>
      <w:r w:rsidRPr="00742CB8">
        <w:rPr>
          <w:rFonts w:eastAsiaTheme="minorEastAsia"/>
        </w:rPr>
        <w:t xml:space="preserve">will be performed for the </w:t>
      </w:r>
      <w:r w:rsidR="005F4BCE">
        <w:rPr>
          <w:rFonts w:eastAsiaTheme="minorEastAsia" w:hint="default"/>
        </w:rPr>
        <w:t xml:space="preserve">ITT </w:t>
      </w:r>
      <w:r w:rsidRPr="00742CB8">
        <w:rPr>
          <w:rFonts w:eastAsiaTheme="minorEastAsia"/>
        </w:rPr>
        <w:t>and PPS</w:t>
      </w:r>
      <w:r w:rsidR="005F4BCE">
        <w:rPr>
          <w:rFonts w:eastAsiaTheme="minorEastAsia" w:hint="default"/>
        </w:rPr>
        <w:t>, and t</w:t>
      </w:r>
      <w:r w:rsidR="005F4BCE" w:rsidRPr="005F4BCE">
        <w:rPr>
          <w:rFonts w:eastAsiaTheme="minorEastAsia"/>
        </w:rPr>
        <w:t xml:space="preserve">he non-inferiority conclusion </w:t>
      </w:r>
      <w:r w:rsidR="005F4BCE">
        <w:rPr>
          <w:rFonts w:eastAsiaTheme="minorEastAsia" w:hint="default"/>
        </w:rPr>
        <w:t>is</w:t>
      </w:r>
      <w:r w:rsidR="005F4BCE">
        <w:rPr>
          <w:rFonts w:eastAsiaTheme="minorEastAsia"/>
        </w:rPr>
        <w:t xml:space="preserve"> dominated by the ITT</w:t>
      </w:r>
      <w:r w:rsidRPr="00742CB8">
        <w:rPr>
          <w:rFonts w:eastAsiaTheme="minorEastAsia"/>
        </w:rPr>
        <w:t>. The analysis of laboratory data, AEs, and adverse reactions will be performed for the SS.</w:t>
      </w:r>
    </w:p>
    <w:p w14:paraId="51910C5E" w14:textId="77777777" w:rsidR="00D45C54" w:rsidRDefault="003E0392">
      <w:pPr>
        <w:pStyle w:val="P68B1DB1-366"/>
        <w:rPr>
          <w:rFonts w:hint="default"/>
        </w:rPr>
      </w:pPr>
      <w:bookmarkStart w:id="147" w:name="_Toc33516932"/>
      <w:bookmarkStart w:id="148" w:name="_Toc196548026"/>
      <w:r>
        <w:t>12.2 Statistical Analysis Plan</w:t>
      </w:r>
      <w:bookmarkEnd w:id="148"/>
      <w:r>
        <w:t xml:space="preserve"> </w:t>
      </w:r>
      <w:bookmarkEnd w:id="147"/>
    </w:p>
    <w:p w14:paraId="449453B5" w14:textId="2F5237BD" w:rsidR="00D45C54" w:rsidRDefault="003E0392">
      <w:pPr>
        <w:pStyle w:val="3"/>
      </w:pPr>
      <w:bookmarkStart w:id="149" w:name="_Toc33516933"/>
      <w:bookmarkStart w:id="150" w:name="_Toc196548027"/>
      <w:r>
        <w:t>12</w:t>
      </w:r>
      <w:r>
        <w:rPr>
          <w:rFonts w:hint="eastAsia"/>
        </w:rPr>
        <w:t>.2.1 General Principle</w:t>
      </w:r>
      <w:bookmarkEnd w:id="149"/>
      <w:bookmarkEnd w:id="150"/>
    </w:p>
    <w:p w14:paraId="095C0D44" w14:textId="60A8EBDF" w:rsidR="00D20310" w:rsidRPr="00D20310" w:rsidRDefault="00D20310" w:rsidP="00D20310">
      <w:pPr>
        <w:pStyle w:val="P68B1DB1-125"/>
        <w:rPr>
          <w:rFonts w:eastAsiaTheme="minorEastAsia" w:hint="default"/>
        </w:rPr>
      </w:pPr>
      <w:r w:rsidRPr="00D20310">
        <w:rPr>
          <w:rFonts w:eastAsiaTheme="minorEastAsia"/>
        </w:rPr>
        <w:t xml:space="preserve">For quantitative variables, summary statistics will include the number of subjects, mean, standard deviation (SD), median, minimum, and maximum. The decimal places for the minimum or maximum will be the same as that recorded in the database. The decimal places for mean and median will report one more decimal place than the original data values in the </w:t>
      </w:r>
      <w:r w:rsidRPr="00D20310">
        <w:rPr>
          <w:rFonts w:eastAsiaTheme="minorEastAsia"/>
        </w:rPr>
        <w:lastRenderedPageBreak/>
        <w:t>database, and standard deviation will report two more decimal places than the original data values.</w:t>
      </w:r>
      <w:r w:rsidR="00024CB6" w:rsidRPr="00024CB6">
        <w:t xml:space="preserve"> </w:t>
      </w:r>
      <w:r w:rsidR="00024CB6" w:rsidRPr="00024CB6">
        <w:rPr>
          <w:rFonts w:eastAsiaTheme="minorEastAsia"/>
        </w:rPr>
        <w:t>All decimal places are at most four.</w:t>
      </w:r>
    </w:p>
    <w:p w14:paraId="59ABA46D" w14:textId="59D32374" w:rsidR="00D45C54" w:rsidRDefault="00D20310" w:rsidP="003127AF">
      <w:pPr>
        <w:pStyle w:val="P68B1DB1-125"/>
        <w:rPr>
          <w:rFonts w:hint="default"/>
        </w:rPr>
      </w:pPr>
      <w:r w:rsidRPr="00D20310">
        <w:rPr>
          <w:rFonts w:eastAsiaTheme="minorEastAsia"/>
        </w:rPr>
        <w:t>For categorical variables, frequency counts and percentage of patients will be presented. The percentage will be presented with two decimal places.</w:t>
      </w:r>
      <w:r w:rsidR="003E0392">
        <w:t xml:space="preserve"> </w:t>
      </w:r>
    </w:p>
    <w:p w14:paraId="28CFCA42" w14:textId="14040EDB" w:rsidR="00D45C54" w:rsidRDefault="003E0392">
      <w:pPr>
        <w:pStyle w:val="3"/>
      </w:pPr>
      <w:bookmarkStart w:id="151" w:name="_Toc33516934"/>
      <w:bookmarkStart w:id="152" w:name="_Toc196548028"/>
      <w:r w:rsidRPr="00E34982">
        <w:t>12.2.2 Test level</w:t>
      </w:r>
      <w:bookmarkEnd w:id="152"/>
      <w:r>
        <w:rPr>
          <w:rFonts w:hint="eastAsia"/>
        </w:rPr>
        <w:t xml:space="preserve"> </w:t>
      </w:r>
      <w:bookmarkEnd w:id="151"/>
    </w:p>
    <w:p w14:paraId="1EC23592" w14:textId="17C7D819" w:rsidR="00A97E63" w:rsidRDefault="00DD5EE6" w:rsidP="00E34982">
      <w:pPr>
        <w:rPr>
          <w:rFonts w:eastAsiaTheme="minorEastAsia"/>
        </w:rPr>
      </w:pPr>
      <w:r w:rsidRPr="00DD5EE6">
        <w:rPr>
          <w:rFonts w:eastAsiaTheme="minorEastAsia"/>
        </w:rPr>
        <w:t xml:space="preserve">The </w:t>
      </w:r>
      <w:r w:rsidR="00456365">
        <w:rPr>
          <w:rFonts w:eastAsiaTheme="minorEastAsia"/>
        </w:rPr>
        <w:t>primary endpoint</w:t>
      </w:r>
      <w:r w:rsidRPr="00DD5EE6">
        <w:rPr>
          <w:rFonts w:eastAsiaTheme="minorEastAsia"/>
        </w:rPr>
        <w:t xml:space="preserve"> </w:t>
      </w:r>
      <w:r w:rsidR="00456365">
        <w:rPr>
          <w:rFonts w:eastAsiaTheme="minorEastAsia"/>
        </w:rPr>
        <w:t>is</w:t>
      </w:r>
      <w:r w:rsidRPr="00DD5EE6">
        <w:rPr>
          <w:rFonts w:eastAsiaTheme="minorEastAsia"/>
        </w:rPr>
        <w:t xml:space="preserve"> tested for non-inferiority,</w:t>
      </w:r>
      <w:r w:rsidR="00456365">
        <w:rPr>
          <w:rFonts w:eastAsiaTheme="minorEastAsia"/>
        </w:rPr>
        <w:t xml:space="preserve"> with</w:t>
      </w:r>
      <w:r w:rsidRPr="00DD5EE6">
        <w:rPr>
          <w:rFonts w:eastAsiaTheme="minorEastAsia"/>
        </w:rPr>
        <w:t xml:space="preserve"> the test level </w:t>
      </w:r>
      <w:r w:rsidR="00456365">
        <w:rPr>
          <w:rFonts w:eastAsiaTheme="minorEastAsia"/>
        </w:rPr>
        <w:t>as</w:t>
      </w:r>
      <w:r w:rsidRPr="00DD5EE6">
        <w:rPr>
          <w:rFonts w:eastAsiaTheme="minorEastAsia"/>
        </w:rPr>
        <w:t xml:space="preserve"> one-sided 0.025, and the confidence interval </w:t>
      </w:r>
      <w:r w:rsidR="00456365">
        <w:rPr>
          <w:rFonts w:eastAsiaTheme="minorEastAsia"/>
        </w:rPr>
        <w:t>as</w:t>
      </w:r>
      <w:r w:rsidRPr="00DD5EE6">
        <w:rPr>
          <w:rFonts w:eastAsiaTheme="minorEastAsia"/>
        </w:rPr>
        <w:t xml:space="preserve"> 95% confidence. The upper limit of the 95% </w:t>
      </w:r>
      <w:r w:rsidR="00456365">
        <w:rPr>
          <w:rFonts w:eastAsiaTheme="minorEastAsia"/>
        </w:rPr>
        <w:t>CI</w:t>
      </w:r>
      <w:r w:rsidRPr="00DD5EE6">
        <w:rPr>
          <w:rFonts w:eastAsiaTheme="minorEastAsia"/>
        </w:rPr>
        <w:t xml:space="preserve"> of the HR of the primary </w:t>
      </w:r>
      <w:r w:rsidR="00456365">
        <w:rPr>
          <w:rFonts w:eastAsiaTheme="minorEastAsia"/>
        </w:rPr>
        <w:t>endpoint</w:t>
      </w:r>
      <w:r w:rsidRPr="00DD5EE6">
        <w:rPr>
          <w:rFonts w:eastAsiaTheme="minorEastAsia"/>
        </w:rPr>
        <w:t xml:space="preserve"> </w:t>
      </w:r>
      <w:r w:rsidR="00456365">
        <w:rPr>
          <w:rFonts w:eastAsiaTheme="minorEastAsia"/>
        </w:rPr>
        <w:t>(</w:t>
      </w:r>
      <w:r w:rsidRPr="00DD5EE6">
        <w:rPr>
          <w:rFonts w:eastAsiaTheme="minorEastAsia"/>
        </w:rPr>
        <w:t>PFS</w:t>
      </w:r>
      <w:r w:rsidR="00456365">
        <w:rPr>
          <w:rFonts w:eastAsiaTheme="minorEastAsia"/>
        </w:rPr>
        <w:t>)</w:t>
      </w:r>
      <w:r w:rsidRPr="00DD5EE6">
        <w:rPr>
          <w:rFonts w:eastAsiaTheme="minorEastAsia"/>
        </w:rPr>
        <w:t xml:space="preserve"> </w:t>
      </w:r>
      <w:r w:rsidR="00456365">
        <w:rPr>
          <w:rFonts w:eastAsiaTheme="minorEastAsia"/>
        </w:rPr>
        <w:t>experimental</w:t>
      </w:r>
      <w:r w:rsidRPr="00DD5EE6">
        <w:rPr>
          <w:rFonts w:eastAsiaTheme="minorEastAsia"/>
        </w:rPr>
        <w:t xml:space="preserve"> group compared with the control group </w:t>
      </w:r>
      <w:r w:rsidR="00456365">
        <w:rPr>
          <w:rFonts w:eastAsiaTheme="minorEastAsia"/>
        </w:rPr>
        <w:t>is</w:t>
      </w:r>
      <w:r w:rsidRPr="00DD5EE6">
        <w:rPr>
          <w:rFonts w:eastAsiaTheme="minorEastAsia"/>
        </w:rPr>
        <w:t xml:space="preserve"> less than the non-inferiority margin of 1.09, and the non-inferiority </w:t>
      </w:r>
      <w:r w:rsidR="00456365">
        <w:rPr>
          <w:rFonts w:eastAsiaTheme="minorEastAsia"/>
        </w:rPr>
        <w:t>is</w:t>
      </w:r>
      <w:r w:rsidRPr="00DD5EE6">
        <w:rPr>
          <w:rFonts w:eastAsiaTheme="minorEastAsia"/>
        </w:rPr>
        <w:t xml:space="preserve"> considered to be established. If the final result meets non-inferiority, superiority will be further tested, that is, whether the upper limit of 95%</w:t>
      </w:r>
      <w:r w:rsidR="00456365">
        <w:rPr>
          <w:rFonts w:eastAsiaTheme="minorEastAsia"/>
        </w:rPr>
        <w:t xml:space="preserve"> </w:t>
      </w:r>
      <w:r w:rsidRPr="00DD5EE6">
        <w:rPr>
          <w:rFonts w:eastAsiaTheme="minorEastAsia"/>
        </w:rPr>
        <w:t>CI of HR is less tha</w:t>
      </w:r>
      <w:r w:rsidR="00456365">
        <w:rPr>
          <w:rFonts w:eastAsiaTheme="minorEastAsia"/>
        </w:rPr>
        <w:t>n 1.</w:t>
      </w:r>
      <w:r w:rsidRPr="00DD5EE6">
        <w:rPr>
          <w:rFonts w:eastAsiaTheme="minorEastAsia"/>
        </w:rPr>
        <w:t xml:space="preserve"> This test </w:t>
      </w:r>
      <w:r w:rsidR="00456365">
        <w:rPr>
          <w:rFonts w:eastAsiaTheme="minorEastAsia"/>
        </w:rPr>
        <w:t>is</w:t>
      </w:r>
      <w:r w:rsidRPr="00DD5EE6">
        <w:rPr>
          <w:rFonts w:eastAsiaTheme="minorEastAsia"/>
        </w:rPr>
        <w:t xml:space="preserve"> based on the assumption of noninferiority, so no type </w:t>
      </w:r>
      <w:r>
        <w:rPr>
          <w:rFonts w:eastAsiaTheme="minorEastAsia"/>
        </w:rPr>
        <w:t xml:space="preserve">I error correction </w:t>
      </w:r>
      <w:r w:rsidR="00456365">
        <w:rPr>
          <w:rFonts w:eastAsiaTheme="minorEastAsia"/>
        </w:rPr>
        <w:t>is</w:t>
      </w:r>
      <w:r>
        <w:rPr>
          <w:rFonts w:eastAsiaTheme="minorEastAsia"/>
        </w:rPr>
        <w:t xml:space="preserve"> required</w:t>
      </w:r>
      <w:r w:rsidR="00E34982" w:rsidRPr="00E34982">
        <w:rPr>
          <w:rFonts w:eastAsiaTheme="minorEastAsia"/>
        </w:rPr>
        <w:t>.</w:t>
      </w:r>
      <w:r w:rsidR="00E34982">
        <w:rPr>
          <w:rFonts w:eastAsiaTheme="minorEastAsia"/>
        </w:rPr>
        <w:t xml:space="preserve"> </w:t>
      </w:r>
    </w:p>
    <w:p w14:paraId="468F0597" w14:textId="3F36924E" w:rsidR="00E34982" w:rsidRPr="00E34982" w:rsidRDefault="00E34982" w:rsidP="00E34982">
      <w:pPr>
        <w:rPr>
          <w:rFonts w:eastAsiaTheme="minorEastAsia"/>
        </w:rPr>
      </w:pPr>
      <w:r w:rsidRPr="00E34982">
        <w:rPr>
          <w:rFonts w:eastAsiaTheme="minorEastAsia"/>
        </w:rPr>
        <w:t xml:space="preserve">The test level for the secondary </w:t>
      </w:r>
      <w:r>
        <w:rPr>
          <w:rFonts w:eastAsiaTheme="minorEastAsia"/>
        </w:rPr>
        <w:t xml:space="preserve">endpoitts </w:t>
      </w:r>
      <w:r w:rsidRPr="00E34982">
        <w:rPr>
          <w:rFonts w:eastAsiaTheme="minorEastAsia"/>
        </w:rPr>
        <w:t xml:space="preserve">and safety analyses </w:t>
      </w:r>
      <w:r>
        <w:rPr>
          <w:rFonts w:eastAsiaTheme="minorEastAsia"/>
        </w:rPr>
        <w:t>is</w:t>
      </w:r>
      <w:r w:rsidRPr="00E34982">
        <w:rPr>
          <w:rFonts w:eastAsiaTheme="minorEastAsia"/>
        </w:rPr>
        <w:t xml:space="preserve"> α=0.05 (two-sided). A two-sided P value of 0.05 or less </w:t>
      </w:r>
      <w:r w:rsidR="00A97E63">
        <w:rPr>
          <w:rFonts w:eastAsiaTheme="minorEastAsia"/>
        </w:rPr>
        <w:t>is</w:t>
      </w:r>
      <w:r w:rsidR="00A97E63" w:rsidRPr="00E34982">
        <w:rPr>
          <w:rFonts w:eastAsiaTheme="minorEastAsia"/>
        </w:rPr>
        <w:t xml:space="preserve"> </w:t>
      </w:r>
      <w:r w:rsidRPr="00E34982">
        <w:rPr>
          <w:rFonts w:eastAsiaTheme="minorEastAsia"/>
        </w:rPr>
        <w:t xml:space="preserve">considered statistically significant. </w:t>
      </w:r>
      <w:r>
        <w:rPr>
          <w:rFonts w:eastAsiaTheme="minorEastAsia"/>
        </w:rPr>
        <w:t xml:space="preserve">The confidence interval </w:t>
      </w:r>
      <w:r w:rsidR="00A97E63">
        <w:rPr>
          <w:rFonts w:eastAsiaTheme="minorEastAsia"/>
        </w:rPr>
        <w:t xml:space="preserve">is </w:t>
      </w:r>
      <w:r>
        <w:rPr>
          <w:rFonts w:eastAsiaTheme="minorEastAsia"/>
        </w:rPr>
        <w:t>95%</w:t>
      </w:r>
      <w:r w:rsidRPr="00E34982">
        <w:rPr>
          <w:rFonts w:eastAsiaTheme="minorEastAsia"/>
        </w:rPr>
        <w:t>.</w:t>
      </w:r>
    </w:p>
    <w:p w14:paraId="745C0F3D" w14:textId="7718D686" w:rsidR="00D45C54" w:rsidRDefault="003E0392">
      <w:pPr>
        <w:pStyle w:val="3"/>
      </w:pPr>
      <w:bookmarkStart w:id="153" w:name="_Toc33516935"/>
      <w:bookmarkStart w:id="154" w:name="_Toc196548029"/>
      <w:r>
        <w:t>12</w:t>
      </w:r>
      <w:r>
        <w:rPr>
          <w:rFonts w:hint="eastAsia"/>
        </w:rPr>
        <w:t>.2.3 Hypothesis test</w:t>
      </w:r>
      <w:bookmarkEnd w:id="154"/>
      <w:r>
        <w:rPr>
          <w:rFonts w:hint="eastAsia"/>
        </w:rPr>
        <w:t xml:space="preserve"> </w:t>
      </w:r>
      <w:bookmarkEnd w:id="153"/>
    </w:p>
    <w:p w14:paraId="0AC17BCB" w14:textId="74833941" w:rsidR="00D45C54" w:rsidRDefault="003E0392">
      <w:pPr>
        <w:pStyle w:val="P68B1DB1-125"/>
        <w:ind w:firstLine="480"/>
        <w:rPr>
          <w:rFonts w:hint="default"/>
        </w:rPr>
      </w:pPr>
      <w:r>
        <w:t xml:space="preserve">The primary endpoint of this study </w:t>
      </w:r>
      <w:r w:rsidR="00E456AD">
        <w:rPr>
          <w:rFonts w:hint="default"/>
        </w:rPr>
        <w:t>is</w:t>
      </w:r>
      <w:r w:rsidR="00E456AD">
        <w:t xml:space="preserve"> </w:t>
      </w:r>
      <w:r>
        <w:t xml:space="preserve">PFS, and </w:t>
      </w:r>
      <w:r w:rsidR="00FF0C51" w:rsidRPr="00FF0C51">
        <w:t xml:space="preserve">Cox proportional hazards regression model </w:t>
      </w:r>
      <w:r w:rsidR="00FF0C51">
        <w:rPr>
          <w:rFonts w:hint="default"/>
        </w:rPr>
        <w:t>i</w:t>
      </w:r>
      <w:r w:rsidR="00FF0C51" w:rsidRPr="00FF0C51">
        <w:t xml:space="preserve">s used to estimate the Hazard Ratio (HR) between the two groups, and the non-inferiority margin </w:t>
      </w:r>
      <w:r w:rsidR="00FF0C51">
        <w:rPr>
          <w:rFonts w:hint="default"/>
        </w:rPr>
        <w:t>is</w:t>
      </w:r>
      <w:r w:rsidR="00FF0C51" w:rsidRPr="00FF0C51">
        <w:t xml:space="preserve"> HR</w:t>
      </w:r>
      <w:r w:rsidR="00FF0C51" w:rsidRPr="00384EEC">
        <w:rPr>
          <w:rFonts w:hint="default"/>
          <w:vertAlign w:val="subscript"/>
        </w:rPr>
        <w:t>0</w:t>
      </w:r>
      <w:r w:rsidR="00FF0C51" w:rsidRPr="00FF0C51">
        <w:t>=1.09. The test hypotheses are as follows:</w:t>
      </w:r>
      <w:r>
        <w:t xml:space="preserve"> </w:t>
      </w:r>
    </w:p>
    <w:p w14:paraId="3BB6CC20" w14:textId="58C24D9E" w:rsidR="00D45C54" w:rsidRDefault="003E0392">
      <w:pPr>
        <w:ind w:firstLine="480"/>
      </w:pPr>
      <w:r>
        <w:rPr>
          <w:i/>
        </w:rPr>
        <w:t>H</w:t>
      </w:r>
      <w:r w:rsidR="004301A0">
        <w:rPr>
          <w:rFonts w:hint="eastAsia"/>
          <w:vertAlign w:val="subscript"/>
        </w:rPr>
        <w:t>0</w:t>
      </w:r>
      <w:r w:rsidR="00FF0C51" w:rsidRPr="00FF0C51">
        <w:t xml:space="preserve"> </w:t>
      </w:r>
      <w:r w:rsidR="00FF0C51" w:rsidRPr="00384EEC">
        <w:t xml:space="preserve">The </w:t>
      </w:r>
      <w:r w:rsidR="00FF0C51">
        <w:t>HR</w:t>
      </w:r>
      <w:r w:rsidR="00FF0C51" w:rsidRPr="00384EEC">
        <w:t xml:space="preserve"> for the experimental and control groups</w:t>
      </w:r>
      <w:r w:rsidR="00FF0C51">
        <w:t xml:space="preserve"> </w:t>
      </w:r>
      <w:r w:rsidR="00FF0C51" w:rsidRPr="00384EEC">
        <w:rPr>
          <w:rFonts w:hint="eastAsia"/>
        </w:rPr>
        <w:t>≥</w:t>
      </w:r>
      <w:r w:rsidR="00FF0C51" w:rsidRPr="00384EEC">
        <w:t>HR</w:t>
      </w:r>
      <w:r w:rsidR="00FF0C51" w:rsidRPr="0025058B">
        <w:rPr>
          <w:vertAlign w:val="subscript"/>
        </w:rPr>
        <w:t>0</w:t>
      </w:r>
      <w:r w:rsidR="004301A0">
        <w:rPr>
          <w:rFonts w:hint="eastAsia"/>
        </w:rPr>
        <w:t>;</w:t>
      </w:r>
    </w:p>
    <w:p w14:paraId="53E6DF58" w14:textId="10E93088" w:rsidR="00C01831" w:rsidRDefault="004301A0" w:rsidP="0025058B">
      <w:pPr>
        <w:ind w:firstLine="480"/>
        <w:rPr>
          <w:rFonts w:eastAsiaTheme="minorEastAsia"/>
        </w:rPr>
      </w:pPr>
      <w:r>
        <w:rPr>
          <w:i/>
        </w:rPr>
        <w:t>H</w:t>
      </w:r>
      <w:r>
        <w:rPr>
          <w:rFonts w:hint="eastAsia"/>
          <w:vertAlign w:val="subscript"/>
        </w:rPr>
        <w:t>1</w:t>
      </w:r>
      <w:r w:rsidR="003E0392">
        <w:rPr>
          <w:rFonts w:hint="eastAsia"/>
        </w:rPr>
        <w:t xml:space="preserve">: </w:t>
      </w:r>
      <w:r w:rsidR="00FF0C51" w:rsidRPr="0003467A">
        <w:t xml:space="preserve">The </w:t>
      </w:r>
      <w:r w:rsidR="00FF0C51">
        <w:t>HR</w:t>
      </w:r>
      <w:r w:rsidR="00FF0C51" w:rsidRPr="0003467A">
        <w:t xml:space="preserve"> for the experimental and control groups</w:t>
      </w:r>
      <w:r w:rsidR="00FF0C51">
        <w:t xml:space="preserve"> </w:t>
      </w:r>
      <w:r w:rsidR="00FF0C51" w:rsidRPr="00384EEC">
        <w:rPr>
          <w:rFonts w:eastAsiaTheme="minorEastAsia" w:cs="Times New Roman"/>
        </w:rPr>
        <w:t>≤</w:t>
      </w:r>
      <w:r w:rsidR="00FF0C51" w:rsidRPr="0003467A">
        <w:t>HR</w:t>
      </w:r>
      <w:r w:rsidR="00FF0C51" w:rsidRPr="0003467A">
        <w:rPr>
          <w:vertAlign w:val="subscript"/>
        </w:rPr>
        <w:t>0</w:t>
      </w:r>
      <w:r w:rsidR="005A5983">
        <w:t>.</w:t>
      </w:r>
    </w:p>
    <w:p w14:paraId="4F497772" w14:textId="0DEAA60C" w:rsidR="00C01831" w:rsidRPr="00384EEC" w:rsidRDefault="00C01831">
      <w:pPr>
        <w:ind w:firstLine="480"/>
        <w:rPr>
          <w:rFonts w:eastAsiaTheme="minorEastAsia"/>
        </w:rPr>
      </w:pPr>
      <w:r w:rsidRPr="00384EEC">
        <w:rPr>
          <w:rFonts w:eastAsiaTheme="minorEastAsia"/>
        </w:rPr>
        <w:t>Test level: one-sided 0.025</w:t>
      </w:r>
      <w:r w:rsidR="0043679C">
        <w:rPr>
          <w:rFonts w:eastAsiaTheme="minorEastAsia"/>
        </w:rPr>
        <w:t>.</w:t>
      </w:r>
    </w:p>
    <w:p w14:paraId="186FF7B1" w14:textId="63D0F1E4" w:rsidR="00D45C54" w:rsidRDefault="003E0392">
      <w:pPr>
        <w:pStyle w:val="20"/>
      </w:pPr>
      <w:bookmarkStart w:id="155" w:name="_Toc33516936"/>
      <w:bookmarkStart w:id="156" w:name="_Toc196548030"/>
      <w:r>
        <w:t>12</w:t>
      </w:r>
      <w:r>
        <w:rPr>
          <w:rFonts w:hint="eastAsia"/>
        </w:rPr>
        <w:t>.3 Study Population</w:t>
      </w:r>
      <w:bookmarkEnd w:id="155"/>
      <w:bookmarkEnd w:id="156"/>
    </w:p>
    <w:p w14:paraId="1A7E051D" w14:textId="00D681C0" w:rsidR="00D45C54" w:rsidRDefault="003E0392">
      <w:pPr>
        <w:pStyle w:val="3"/>
      </w:pPr>
      <w:bookmarkStart w:id="157" w:name="_Toc33516937"/>
      <w:bookmarkStart w:id="158" w:name="_Toc196548031"/>
      <w:r>
        <w:t>1</w:t>
      </w:r>
      <w:r w:rsidR="0057080C">
        <w:t>2</w:t>
      </w:r>
      <w:r>
        <w:rPr>
          <w:rFonts w:hint="eastAsia"/>
        </w:rPr>
        <w:t xml:space="preserve">.3.1 </w:t>
      </w:r>
      <w:r w:rsidR="0003639B" w:rsidRPr="0003639B">
        <w:t>Subject disposition</w:t>
      </w:r>
      <w:bookmarkEnd w:id="157"/>
      <w:bookmarkEnd w:id="158"/>
    </w:p>
    <w:p w14:paraId="3F1F733E" w14:textId="58FC3B10" w:rsidR="00EB19FA" w:rsidRPr="00EB19FA" w:rsidRDefault="00EB19FA" w:rsidP="00384EEC">
      <w:pPr>
        <w:rPr>
          <w:rFonts w:eastAsiaTheme="minorEastAsia"/>
        </w:rPr>
      </w:pPr>
      <w:r w:rsidRPr="00EB19FA">
        <w:rPr>
          <w:rFonts w:eastAsiaTheme="minorEastAsia"/>
        </w:rPr>
        <w:t xml:space="preserve">The number and percentage of subjects who </w:t>
      </w:r>
      <w:r w:rsidR="00C147CF">
        <w:rPr>
          <w:rFonts w:eastAsiaTheme="minorEastAsia"/>
        </w:rPr>
        <w:t>are</w:t>
      </w:r>
      <w:r w:rsidRPr="00EB19FA">
        <w:rPr>
          <w:rFonts w:eastAsiaTheme="minorEastAsia"/>
        </w:rPr>
        <w:t xml:space="preserve"> screened, randomized, randomized and administrated, completed the treatment period, entered the maintenance treatment period, and early discontinuation of treatment were summarized in each</w:t>
      </w:r>
      <w:r w:rsidR="00C147CF">
        <w:rPr>
          <w:rFonts w:eastAsiaTheme="minorEastAsia"/>
        </w:rPr>
        <w:t xml:space="preserve"> center. The subjects who faile</w:t>
      </w:r>
      <w:r w:rsidRPr="00EB19FA">
        <w:rPr>
          <w:rFonts w:eastAsiaTheme="minorEastAsia"/>
        </w:rPr>
        <w:t xml:space="preserve"> the screening </w:t>
      </w:r>
      <w:r w:rsidR="00C147CF">
        <w:rPr>
          <w:rFonts w:eastAsiaTheme="minorEastAsia"/>
        </w:rPr>
        <w:t>are</w:t>
      </w:r>
      <w:r w:rsidRPr="00EB19FA">
        <w:rPr>
          <w:rFonts w:eastAsiaTheme="minorEastAsia"/>
        </w:rPr>
        <w:t xml:space="preserve"> grouped by center and main reason, and the subje</w:t>
      </w:r>
      <w:r w:rsidR="00C147CF">
        <w:rPr>
          <w:rFonts w:eastAsiaTheme="minorEastAsia"/>
        </w:rPr>
        <w:t>cts who prematurely discontinue</w:t>
      </w:r>
      <w:r w:rsidRPr="00EB19FA">
        <w:rPr>
          <w:rFonts w:eastAsiaTheme="minorEastAsia"/>
        </w:rPr>
        <w:t xml:space="preserve"> treatment after randomization </w:t>
      </w:r>
      <w:r w:rsidR="00C147CF">
        <w:rPr>
          <w:rFonts w:eastAsiaTheme="minorEastAsia"/>
        </w:rPr>
        <w:t>are</w:t>
      </w:r>
      <w:r w:rsidRPr="00EB19FA">
        <w:rPr>
          <w:rFonts w:eastAsiaTheme="minorEastAsia"/>
        </w:rPr>
        <w:t xml:space="preserve"> grouped by center, treatment group and main reason.</w:t>
      </w:r>
    </w:p>
    <w:p w14:paraId="4EA35124" w14:textId="23C1D264" w:rsidR="00EB19FA" w:rsidRPr="00384EEC" w:rsidRDefault="00EB19FA" w:rsidP="00384EEC">
      <w:pPr>
        <w:rPr>
          <w:rFonts w:eastAsiaTheme="minorEastAsia"/>
        </w:rPr>
      </w:pPr>
      <w:r w:rsidRPr="00EB19FA">
        <w:rPr>
          <w:rFonts w:eastAsiaTheme="minorEastAsia"/>
        </w:rPr>
        <w:t xml:space="preserve">Case distribution of each data set: the distribution of patients in each analysis population </w:t>
      </w:r>
      <w:r w:rsidR="00C147CF">
        <w:rPr>
          <w:rFonts w:eastAsiaTheme="minorEastAsia"/>
        </w:rPr>
        <w:t>i</w:t>
      </w:r>
      <w:r w:rsidRPr="00EB19FA">
        <w:rPr>
          <w:rFonts w:eastAsiaTheme="minorEastAsia"/>
        </w:rPr>
        <w:t xml:space="preserve">s summarized, and the reasons for excluding patients in each analysis population </w:t>
      </w:r>
      <w:r w:rsidR="00C147CF">
        <w:rPr>
          <w:rFonts w:eastAsiaTheme="minorEastAsia"/>
        </w:rPr>
        <w:t>are</w:t>
      </w:r>
      <w:r w:rsidRPr="00EB19FA">
        <w:rPr>
          <w:rFonts w:eastAsiaTheme="minorEastAsia"/>
        </w:rPr>
        <w:t xml:space="preserve"> summarized.</w:t>
      </w:r>
    </w:p>
    <w:p w14:paraId="65291242" w14:textId="4D70579D" w:rsidR="00EB19FA" w:rsidRPr="00384EEC" w:rsidRDefault="00EB19FA" w:rsidP="00384EEC">
      <w:pPr>
        <w:rPr>
          <w:rFonts w:eastAsiaTheme="minorEastAsia"/>
        </w:rPr>
      </w:pPr>
      <w:r w:rsidRPr="00EB19FA">
        <w:rPr>
          <w:rFonts w:eastAsiaTheme="minorEastAsia"/>
        </w:rPr>
        <w:t xml:space="preserve">Participants who </w:t>
      </w:r>
      <w:r w:rsidR="00C147CF">
        <w:rPr>
          <w:rFonts w:eastAsiaTheme="minorEastAsia"/>
        </w:rPr>
        <w:t>are</w:t>
      </w:r>
      <w:r w:rsidRPr="00EB19FA">
        <w:rPr>
          <w:rFonts w:eastAsiaTheme="minorEastAsia"/>
        </w:rPr>
        <w:t xml:space="preserve"> excluded from each analysis population </w:t>
      </w:r>
      <w:r w:rsidR="00C147CF">
        <w:rPr>
          <w:rFonts w:eastAsiaTheme="minorEastAsia"/>
        </w:rPr>
        <w:t>are</w:t>
      </w:r>
      <w:r w:rsidRPr="00EB19FA">
        <w:rPr>
          <w:rFonts w:eastAsiaTheme="minorEastAsia"/>
        </w:rPr>
        <w:t xml:space="preserve"> tabulated according to center </w:t>
      </w:r>
      <w:r w:rsidRPr="00EB19FA">
        <w:rPr>
          <w:rFonts w:eastAsiaTheme="minorEastAsia"/>
        </w:rPr>
        <w:lastRenderedPageBreak/>
        <w:t>and treatment group (including protocol violations and reasons for exclusion).</w:t>
      </w:r>
    </w:p>
    <w:p w14:paraId="37FF7C7A" w14:textId="0BC6498B" w:rsidR="0003639B" w:rsidRPr="003127AF" w:rsidRDefault="00EB19FA" w:rsidP="00384EEC">
      <w:pPr>
        <w:rPr>
          <w:rFonts w:eastAsiaTheme="minorEastAsia"/>
        </w:rPr>
      </w:pPr>
      <w:r w:rsidRPr="00EB19FA">
        <w:rPr>
          <w:rFonts w:eastAsiaTheme="minorEastAsia"/>
        </w:rPr>
        <w:t>Subje</w:t>
      </w:r>
      <w:r w:rsidR="00C147CF">
        <w:rPr>
          <w:rFonts w:eastAsiaTheme="minorEastAsia"/>
        </w:rPr>
        <w:t>cts who prematurely discontinue</w:t>
      </w:r>
      <w:r w:rsidRPr="00EB19FA">
        <w:rPr>
          <w:rFonts w:eastAsiaTheme="minorEastAsia"/>
        </w:rPr>
        <w:t xml:space="preserve"> treatment after randomization will be listed by center and treatment group group.</w:t>
      </w:r>
    </w:p>
    <w:p w14:paraId="5402E1A3" w14:textId="4565FFC1" w:rsidR="00D45C54" w:rsidRDefault="003E0392">
      <w:pPr>
        <w:pStyle w:val="3"/>
      </w:pPr>
      <w:bookmarkStart w:id="159" w:name="_Toc33516938"/>
      <w:bookmarkStart w:id="160" w:name="_Toc196548032"/>
      <w:r>
        <w:t>12</w:t>
      </w:r>
      <w:r>
        <w:rPr>
          <w:rFonts w:hint="eastAsia"/>
        </w:rPr>
        <w:t>.3.2 Protocol violations</w:t>
      </w:r>
      <w:bookmarkEnd w:id="159"/>
      <w:bookmarkEnd w:id="160"/>
    </w:p>
    <w:p w14:paraId="67787F05" w14:textId="5ABC2C90" w:rsidR="00FB2EE8" w:rsidRPr="00FB2EE8" w:rsidRDefault="00FB2EE8" w:rsidP="00384EEC">
      <w:r w:rsidRPr="00FB2EE8">
        <w:t xml:space="preserve">Significant protocol </w:t>
      </w:r>
      <w:r>
        <w:t>violation</w:t>
      </w:r>
      <w:r w:rsidRPr="00FB2EE8">
        <w:rPr>
          <w:b/>
        </w:rPr>
        <w:t xml:space="preserve"> </w:t>
      </w:r>
      <w:r w:rsidRPr="00FB2EE8">
        <w:t>will caus</w:t>
      </w:r>
      <w:r w:rsidRPr="007C5FE6">
        <w:t>e subjects to eliminate the PPS</w:t>
      </w:r>
      <w:r w:rsidRPr="00FB2EE8">
        <w:t>. The major protocol violation mainly included study inclusion and exclusion criteria, trial conduct, subject management or subject evaluation that affected the efficacy evaluation.</w:t>
      </w:r>
    </w:p>
    <w:p w14:paraId="0D970DB9" w14:textId="137BFE64" w:rsidR="00D45C54" w:rsidRDefault="00FB2EE8" w:rsidP="00384EEC">
      <w:r w:rsidRPr="00FB2EE8">
        <w:t xml:space="preserve">The occurrence of protocol violation </w:t>
      </w:r>
      <w:r>
        <w:t>i</w:t>
      </w:r>
      <w:r w:rsidRPr="00FB2EE8">
        <w:t>s summarized by treatment group based on ITT. By center and treatment group, the list describes all significant protocol violation</w:t>
      </w:r>
      <w:r w:rsidR="003E0392">
        <w:t xml:space="preserve"> </w:t>
      </w:r>
    </w:p>
    <w:p w14:paraId="76F62E12" w14:textId="4CD796BF" w:rsidR="00D45C54" w:rsidRDefault="003E0392">
      <w:pPr>
        <w:pStyle w:val="3"/>
      </w:pPr>
      <w:bookmarkStart w:id="161" w:name="_Toc33516939"/>
      <w:bookmarkStart w:id="162" w:name="_Toc196548033"/>
      <w:r>
        <w:t>12</w:t>
      </w:r>
      <w:r>
        <w:rPr>
          <w:rFonts w:hint="eastAsia"/>
        </w:rPr>
        <w:t xml:space="preserve">.3.3 </w:t>
      </w:r>
      <w:r w:rsidR="00AC6E58" w:rsidRPr="00AC6E58">
        <w:t>Demographics and Baseline Characteristics</w:t>
      </w:r>
      <w:bookmarkEnd w:id="162"/>
      <w:r w:rsidR="00AC6E58" w:rsidRPr="00AC6E58" w:rsidDel="00AC6E58">
        <w:rPr>
          <w:rFonts w:hint="eastAsia"/>
        </w:rPr>
        <w:t xml:space="preserve"> </w:t>
      </w:r>
      <w:r>
        <w:rPr>
          <w:rFonts w:hint="eastAsia"/>
        </w:rPr>
        <w:t xml:space="preserve"> </w:t>
      </w:r>
      <w:bookmarkEnd w:id="161"/>
    </w:p>
    <w:p w14:paraId="5D526DC3" w14:textId="6083FB9F" w:rsidR="00AC6E58" w:rsidRPr="00384EEC" w:rsidRDefault="00974CCD" w:rsidP="00384EEC">
      <w:pPr>
        <w:rPr>
          <w:rFonts w:eastAsiaTheme="minorEastAsia"/>
        </w:rPr>
      </w:pPr>
      <w:r w:rsidRPr="00974CCD">
        <w:rPr>
          <w:rFonts w:eastAsiaTheme="minorEastAsia"/>
        </w:rPr>
        <w:t xml:space="preserve">Demographic data, medical history, previous antineoplastic therapy, infection screening, quality of life questionnaire, comprehensive physical examination, serum pregnancy tests, tumor markers, 12-lead electrocardiogram, and laboratory tests (blood routine, urine routine, stool routine, thyroid function, coagulation function, blood biochemistry, blood lipase, blood amylase, etc.) </w:t>
      </w:r>
      <w:r>
        <w:rPr>
          <w:rFonts w:eastAsiaTheme="minorEastAsia"/>
        </w:rPr>
        <w:t>are</w:t>
      </w:r>
      <w:r w:rsidRPr="00974CCD">
        <w:rPr>
          <w:rFonts w:eastAsiaTheme="minorEastAsia"/>
        </w:rPr>
        <w:t xml:space="preserve"> collected. For continuous variables, the number of subjects without missing data, mean, standard deviation, median, minimum, and maximum values will be listed. For categorical variables, the number of subjects without missing data will be listed in the form of frequency tables (frequency and percentage).</w:t>
      </w:r>
    </w:p>
    <w:p w14:paraId="2B128679" w14:textId="51FEE263" w:rsidR="00D45C54" w:rsidRDefault="003E0392" w:rsidP="00384EEC">
      <w:r>
        <w:t xml:space="preserve">Baseline is defined as the last non-missing measurement prior to </w:t>
      </w:r>
      <w:r w:rsidR="00AC6E58">
        <w:t>first dose</w:t>
      </w:r>
      <w:r>
        <w:t xml:space="preserve">. </w:t>
      </w:r>
    </w:p>
    <w:p w14:paraId="00BD88AF" w14:textId="4D209307" w:rsidR="00D45C54" w:rsidRPr="002416E5" w:rsidRDefault="003E0392">
      <w:pPr>
        <w:pStyle w:val="20"/>
      </w:pPr>
      <w:bookmarkStart w:id="163" w:name="_Toc33516940"/>
      <w:bookmarkStart w:id="164" w:name="_Toc196548034"/>
      <w:r w:rsidRPr="002416E5">
        <w:t>12</w:t>
      </w:r>
      <w:r w:rsidRPr="002416E5">
        <w:rPr>
          <w:rFonts w:hint="eastAsia"/>
        </w:rPr>
        <w:t>.4 Efficacy evaluation</w:t>
      </w:r>
      <w:bookmarkEnd w:id="163"/>
      <w:bookmarkEnd w:id="164"/>
    </w:p>
    <w:p w14:paraId="023141F3" w14:textId="4258EE82" w:rsidR="00D45C54" w:rsidRDefault="003E0392">
      <w:pPr>
        <w:pStyle w:val="3"/>
      </w:pPr>
      <w:bookmarkStart w:id="165" w:name="_Toc33516941"/>
      <w:bookmarkStart w:id="166" w:name="_Toc196548035"/>
      <w:r>
        <w:t>12</w:t>
      </w:r>
      <w:r>
        <w:rPr>
          <w:rFonts w:hint="eastAsia"/>
        </w:rPr>
        <w:t>.4.1 Analysis of primary endpoint</w:t>
      </w:r>
      <w:bookmarkEnd w:id="166"/>
      <w:r>
        <w:rPr>
          <w:rFonts w:hint="eastAsia"/>
        </w:rPr>
        <w:t xml:space="preserve"> </w:t>
      </w:r>
      <w:bookmarkEnd w:id="165"/>
    </w:p>
    <w:p w14:paraId="36BBA660" w14:textId="2D6EBB12" w:rsidR="00D45C54" w:rsidRDefault="003E0392" w:rsidP="00384EEC">
      <w:pPr>
        <w:pStyle w:val="P68B1DB1-125"/>
        <w:rPr>
          <w:rFonts w:hint="default"/>
        </w:rPr>
      </w:pPr>
      <w:r>
        <w:t xml:space="preserve">Analysis of primary endpoint </w:t>
      </w:r>
      <w:r w:rsidR="00754DB5">
        <w:rPr>
          <w:rFonts w:hint="default"/>
        </w:rPr>
        <w:t>is</w:t>
      </w:r>
      <w:r w:rsidR="00754DB5">
        <w:t xml:space="preserve"> </w:t>
      </w:r>
      <w:r>
        <w:t xml:space="preserve">based on </w:t>
      </w:r>
      <w:r w:rsidR="0008203A">
        <w:rPr>
          <w:rFonts w:hint="default"/>
        </w:rPr>
        <w:t>ITT</w:t>
      </w:r>
      <w:r w:rsidR="0008203A">
        <w:t xml:space="preserve"> </w:t>
      </w:r>
      <w:r>
        <w:t xml:space="preserve">and </w:t>
      </w:r>
      <w:r w:rsidR="00754DB5">
        <w:rPr>
          <w:rFonts w:hint="default"/>
        </w:rPr>
        <w:t>PPS</w:t>
      </w:r>
      <w:r>
        <w:t xml:space="preserve">. </w:t>
      </w:r>
    </w:p>
    <w:p w14:paraId="007F55B4" w14:textId="77876B0F" w:rsidR="002C4CB4" w:rsidRDefault="00F64A24" w:rsidP="002C4CB4">
      <w:pPr>
        <w:pStyle w:val="P68B1DB1-125"/>
        <w:rPr>
          <w:rFonts w:hint="default"/>
        </w:rPr>
      </w:pPr>
      <w:r>
        <w:t xml:space="preserve">The median PFS </w:t>
      </w:r>
      <w:r w:rsidR="002C4CB4">
        <w:rPr>
          <w:rFonts w:hint="default"/>
        </w:rPr>
        <w:t xml:space="preserve">accessed by IRC </w:t>
      </w:r>
      <w:r>
        <w:t>will be estimated using the Kaplan-Meier method and presented with the Kaplan-Meier curve.</w:t>
      </w:r>
      <w:r w:rsidR="002C4CB4">
        <w:rPr>
          <w:rFonts w:hint="default"/>
        </w:rPr>
        <w:t xml:space="preserve"> </w:t>
      </w:r>
      <w:r>
        <w:t xml:space="preserve">The comparison of PFS between </w:t>
      </w:r>
      <w:r w:rsidR="005E6D24">
        <w:rPr>
          <w:rFonts w:hint="default"/>
        </w:rPr>
        <w:t>treatment groups</w:t>
      </w:r>
      <w:r>
        <w:t xml:space="preserve"> will be performed using a stratified log-rank test. The HR and the corresponding 95%</w:t>
      </w:r>
      <w:r w:rsidR="00485BDC">
        <w:rPr>
          <w:rFonts w:hint="default"/>
        </w:rPr>
        <w:t xml:space="preserve"> </w:t>
      </w:r>
      <w:r>
        <w:t>CI will also be provided based on a Cox proportional hazard model, using</w:t>
      </w:r>
      <w:r>
        <w:rPr>
          <w:rFonts w:hint="default"/>
        </w:rPr>
        <w:t xml:space="preserve"> </w:t>
      </w:r>
      <w:r w:rsidR="002C4CB4">
        <w:rPr>
          <w:rFonts w:hint="default"/>
        </w:rPr>
        <w:t>p</w:t>
      </w:r>
      <w:r w:rsidR="002C4CB4" w:rsidRPr="002C4CB4">
        <w:t>rim</w:t>
      </w:r>
      <w:r w:rsidR="002C4CB4">
        <w:t>ary tumor location (right/left)</w:t>
      </w:r>
      <w:r w:rsidR="002C4CB4">
        <w:rPr>
          <w:rFonts w:hint="default"/>
        </w:rPr>
        <w:t>, and</w:t>
      </w:r>
      <w:r w:rsidR="002C4CB4" w:rsidRPr="002C4CB4">
        <w:t xml:space="preserve"> </w:t>
      </w:r>
      <w:r w:rsidR="00EE7061" w:rsidRPr="00EE7061">
        <w:t xml:space="preserve">prior </w:t>
      </w:r>
      <w:r w:rsidR="002C4CB4" w:rsidRPr="00EE7061">
        <w:t>a</w:t>
      </w:r>
      <w:r w:rsidR="002C4CB4" w:rsidRPr="002C4CB4">
        <w:t>djuvant chemotherapy (yes/no)</w:t>
      </w:r>
      <w:r w:rsidR="002C4CB4" w:rsidRPr="002C4CB4" w:rsidDel="002C4CB4">
        <w:t xml:space="preserve"> </w:t>
      </w:r>
      <w:r>
        <w:t xml:space="preserve">as concomitant variables. </w:t>
      </w:r>
      <w:r w:rsidR="002C4CB4">
        <w:t xml:space="preserve">If the upper limit of 95% </w:t>
      </w:r>
      <w:r w:rsidR="00DE205B">
        <w:rPr>
          <w:rFonts w:hint="default"/>
        </w:rPr>
        <w:t>CI</w:t>
      </w:r>
      <w:r w:rsidR="002C4CB4">
        <w:t xml:space="preserve"> of HR of experimental group compared with control group in ITT</w:t>
      </w:r>
      <w:r w:rsidR="00DE205B">
        <w:t xml:space="preserve"> </w:t>
      </w:r>
      <w:r w:rsidR="00DE205B">
        <w:rPr>
          <w:rFonts w:hint="default"/>
        </w:rPr>
        <w:t>i</w:t>
      </w:r>
      <w:r w:rsidR="002C4CB4">
        <w:t>s less than the non-inferiority margin of 1.15, the efficacy of anlotinib combined with CapeO</w:t>
      </w:r>
      <w:r w:rsidR="00485BDC">
        <w:rPr>
          <w:rFonts w:hint="default"/>
        </w:rPr>
        <w:t>X</w:t>
      </w:r>
      <w:r w:rsidR="002C4CB4">
        <w:t xml:space="preserve"> chemotherapy in the first-line treatment of mCRC </w:t>
      </w:r>
      <w:r w:rsidR="00DE205B">
        <w:rPr>
          <w:rFonts w:hint="default"/>
        </w:rPr>
        <w:t>is considerd as</w:t>
      </w:r>
      <w:r w:rsidR="002C4CB4">
        <w:t xml:space="preserve"> non-inferior to that of bevacizumab combined with CapeO</w:t>
      </w:r>
      <w:r w:rsidR="00485BDC">
        <w:rPr>
          <w:rFonts w:hint="default"/>
        </w:rPr>
        <w:t>X</w:t>
      </w:r>
      <w:r w:rsidR="002C4CB4">
        <w:t xml:space="preserve"> chemotherapy.</w:t>
      </w:r>
    </w:p>
    <w:p w14:paraId="2583E813" w14:textId="72D621A1" w:rsidR="00F64A24" w:rsidRDefault="002C4CB4" w:rsidP="002C4CB4">
      <w:pPr>
        <w:pStyle w:val="P68B1DB1-125"/>
        <w:rPr>
          <w:rFonts w:hint="default"/>
        </w:rPr>
      </w:pPr>
      <w:r>
        <w:t xml:space="preserve">If the final result met noninferiority, superiority would be further tested (i.e., whether the upper </w:t>
      </w:r>
      <w:r>
        <w:lastRenderedPageBreak/>
        <w:t xml:space="preserve">limit of the 95% </w:t>
      </w:r>
      <w:r w:rsidR="00DE205B">
        <w:rPr>
          <w:rFonts w:hint="default"/>
        </w:rPr>
        <w:t xml:space="preserve">CI </w:t>
      </w:r>
      <w:r>
        <w:t xml:space="preserve">of the </w:t>
      </w:r>
      <w:r w:rsidR="00DE205B">
        <w:rPr>
          <w:rFonts w:hint="default"/>
        </w:rPr>
        <w:t>HR</w:t>
      </w:r>
      <w:r w:rsidR="00DE205B">
        <w:t xml:space="preserve"> </w:t>
      </w:r>
      <w:r w:rsidR="00DE205B">
        <w:rPr>
          <w:rFonts w:hint="default"/>
        </w:rPr>
        <w:t>i</w:t>
      </w:r>
      <w:r>
        <w:t>s less than 1).</w:t>
      </w:r>
    </w:p>
    <w:p w14:paraId="529C1CA3" w14:textId="54B890C7" w:rsidR="00D45C54" w:rsidRDefault="003E0392" w:rsidP="00384EEC">
      <w:pPr>
        <w:pStyle w:val="3"/>
      </w:pPr>
      <w:bookmarkStart w:id="167" w:name="_Toc33516942"/>
      <w:bookmarkStart w:id="168" w:name="_Toc196548036"/>
      <w:r>
        <w:t>12</w:t>
      </w:r>
      <w:r>
        <w:rPr>
          <w:rFonts w:hint="eastAsia"/>
        </w:rPr>
        <w:t xml:space="preserve">.4.2 Analysis of </w:t>
      </w:r>
      <w:r w:rsidR="00700EE1">
        <w:t>s</w:t>
      </w:r>
      <w:r w:rsidR="00700EE1">
        <w:rPr>
          <w:rFonts w:hint="eastAsia"/>
        </w:rPr>
        <w:t xml:space="preserve">econdary </w:t>
      </w:r>
      <w:r w:rsidR="0057402D" w:rsidRPr="0057402D">
        <w:t>endpoint</w:t>
      </w:r>
      <w:r w:rsidR="0057402D">
        <w:t>s</w:t>
      </w:r>
      <w:bookmarkEnd w:id="168"/>
      <w:r>
        <w:rPr>
          <w:rFonts w:hint="eastAsia"/>
        </w:rPr>
        <w:t xml:space="preserve"> </w:t>
      </w:r>
      <w:bookmarkEnd w:id="167"/>
    </w:p>
    <w:p w14:paraId="03363CAF" w14:textId="21230866" w:rsidR="003A55EE" w:rsidRPr="003127AF" w:rsidRDefault="003A55EE" w:rsidP="003127AF">
      <w:pPr>
        <w:pStyle w:val="P68B1DB1-125"/>
        <w:rPr>
          <w:rFonts w:eastAsiaTheme="minorEastAsia" w:hint="default"/>
        </w:rPr>
      </w:pPr>
      <w:r w:rsidRPr="003A55EE">
        <w:rPr>
          <w:rFonts w:eastAsiaTheme="minorEastAsia"/>
        </w:rPr>
        <w:t xml:space="preserve">The median PFS </w:t>
      </w:r>
      <w:r w:rsidR="00E964AA">
        <w:t>by investigator assessment</w:t>
      </w:r>
      <w:r w:rsidR="00935454">
        <w:rPr>
          <w:rFonts w:hint="default"/>
        </w:rPr>
        <w:t>:</w:t>
      </w:r>
      <w:r w:rsidR="00E964AA">
        <w:t xml:space="preserve"> </w:t>
      </w:r>
      <w:r w:rsidRPr="003A55EE">
        <w:rPr>
          <w:rFonts w:eastAsiaTheme="minorEastAsia"/>
        </w:rPr>
        <w:t>estimated using the Kaplan-Meier method and presented with the Kaplan-Meier curve.</w:t>
      </w:r>
      <w:r w:rsidR="00E964AA">
        <w:rPr>
          <w:rFonts w:eastAsiaTheme="minorEastAsia" w:hint="default"/>
        </w:rPr>
        <w:t xml:space="preserve"> </w:t>
      </w:r>
      <w:r w:rsidRPr="003A55EE">
        <w:rPr>
          <w:rFonts w:eastAsiaTheme="minorEastAsia"/>
        </w:rPr>
        <w:t xml:space="preserve">The comparison of PFS between </w:t>
      </w:r>
      <w:r w:rsidR="001637F1">
        <w:rPr>
          <w:rFonts w:eastAsiaTheme="minorEastAsia" w:hint="default"/>
        </w:rPr>
        <w:t>treatment groups</w:t>
      </w:r>
      <w:r w:rsidRPr="003A55EE">
        <w:rPr>
          <w:rFonts w:eastAsiaTheme="minorEastAsia"/>
        </w:rPr>
        <w:t xml:space="preserve"> will be performed using a stratified log-rank test. The HR and the corresponding 95%</w:t>
      </w:r>
      <w:r w:rsidR="00485BDC">
        <w:rPr>
          <w:rFonts w:eastAsiaTheme="minorEastAsia" w:hint="default"/>
        </w:rPr>
        <w:t xml:space="preserve"> </w:t>
      </w:r>
      <w:r w:rsidRPr="003A55EE">
        <w:rPr>
          <w:rFonts w:eastAsiaTheme="minorEastAsia"/>
        </w:rPr>
        <w:t xml:space="preserve">CI will also be provided based on a Cox proportional hazard model, using </w:t>
      </w:r>
      <w:r w:rsidR="00E964AA" w:rsidRPr="00E964AA">
        <w:rPr>
          <w:rFonts w:eastAsiaTheme="minorEastAsia"/>
        </w:rPr>
        <w:t xml:space="preserve">primary tumor location (right/left), and </w:t>
      </w:r>
      <w:r w:rsidR="00EE7061" w:rsidRPr="00EE7061">
        <w:rPr>
          <w:rFonts w:eastAsiaTheme="minorEastAsia"/>
        </w:rPr>
        <w:t xml:space="preserve">prior </w:t>
      </w:r>
      <w:r w:rsidR="00E964AA" w:rsidRPr="00EE7061">
        <w:rPr>
          <w:rFonts w:eastAsiaTheme="minorEastAsia"/>
        </w:rPr>
        <w:t>a</w:t>
      </w:r>
      <w:r w:rsidR="00E964AA" w:rsidRPr="00E964AA">
        <w:rPr>
          <w:rFonts w:eastAsiaTheme="minorEastAsia"/>
        </w:rPr>
        <w:t>djuvant chemotherapy (yes/no) as</w:t>
      </w:r>
      <w:r w:rsidRPr="003A55EE">
        <w:rPr>
          <w:rFonts w:eastAsiaTheme="minorEastAsia"/>
        </w:rPr>
        <w:t xml:space="preserve"> concomitant variables.</w:t>
      </w:r>
    </w:p>
    <w:p w14:paraId="56269409" w14:textId="7156D127" w:rsidR="007A5437" w:rsidRDefault="00935454" w:rsidP="00384EEC">
      <w:r>
        <w:t xml:space="preserve">ORR: </w:t>
      </w:r>
      <w:r w:rsidRPr="003A55EE">
        <w:t>The number and percentage of subjects</w:t>
      </w:r>
      <w:r w:rsidR="00485BDC">
        <w:t xml:space="preserve"> with an objective response (PR</w:t>
      </w:r>
      <w:r>
        <w:t>+</w:t>
      </w:r>
      <w:r w:rsidRPr="003A55EE">
        <w:t>CR) will be presented. The ORR and corresponding 95%</w:t>
      </w:r>
      <w:r w:rsidR="001637F1">
        <w:t xml:space="preserve"> </w:t>
      </w:r>
      <w:r w:rsidRPr="003A55EE">
        <w:t xml:space="preserve">CI will be summarized using F-distribution by binomial probabilities. The difference in ORR between intervention arms will be compared by </w:t>
      </w:r>
      <w:r w:rsidR="00135748" w:rsidRPr="00374520">
        <w:rPr>
          <w:rFonts w:eastAsia="宋体" w:cs="Times New Roman"/>
          <w:color w:val="000000"/>
        </w:rPr>
        <w:t>stratified Mantel-Haenszel test</w:t>
      </w:r>
      <w:r w:rsidRPr="003A55EE">
        <w:t xml:space="preserve">. </w:t>
      </w:r>
    </w:p>
    <w:p w14:paraId="4DA6FFB5" w14:textId="53FE84B4" w:rsidR="007A5437" w:rsidRPr="00384EEC" w:rsidRDefault="007A5437" w:rsidP="00384EEC">
      <w:pPr>
        <w:rPr>
          <w:rFonts w:eastAsiaTheme="minorEastAsia"/>
        </w:rPr>
      </w:pPr>
      <w:r>
        <w:t xml:space="preserve">DCR: </w:t>
      </w:r>
      <w:r w:rsidRPr="00CC5F7A">
        <w:rPr>
          <w:rFonts w:eastAsiaTheme="minorEastAsia"/>
        </w:rPr>
        <w:t>The number and percentage of subjects</w:t>
      </w:r>
      <w:r w:rsidR="00C167FF">
        <w:rPr>
          <w:rFonts w:eastAsiaTheme="minorEastAsia"/>
        </w:rPr>
        <w:t xml:space="preserve"> with an objective response (PR</w:t>
      </w:r>
      <w:r>
        <w:rPr>
          <w:rFonts w:eastAsiaTheme="minorEastAsia"/>
        </w:rPr>
        <w:t>+</w:t>
      </w:r>
      <w:r w:rsidRPr="00CC5F7A">
        <w:rPr>
          <w:rFonts w:eastAsiaTheme="minorEastAsia"/>
        </w:rPr>
        <w:t>CR</w:t>
      </w:r>
      <w:r>
        <w:rPr>
          <w:rFonts w:eastAsiaTheme="minorEastAsia"/>
        </w:rPr>
        <w:t>+SD</w:t>
      </w:r>
      <w:r w:rsidRPr="00CC5F7A">
        <w:rPr>
          <w:rFonts w:eastAsiaTheme="minorEastAsia"/>
        </w:rPr>
        <w:t xml:space="preserve">) will be presented. The </w:t>
      </w:r>
      <w:r w:rsidR="00557CB2">
        <w:rPr>
          <w:rFonts w:eastAsiaTheme="minorEastAsia"/>
        </w:rPr>
        <w:t>DCR</w:t>
      </w:r>
      <w:r w:rsidR="00557CB2" w:rsidRPr="00CC5F7A">
        <w:rPr>
          <w:rFonts w:eastAsiaTheme="minorEastAsia"/>
        </w:rPr>
        <w:t xml:space="preserve"> </w:t>
      </w:r>
      <w:r w:rsidRPr="00CC5F7A">
        <w:rPr>
          <w:rFonts w:eastAsiaTheme="minorEastAsia"/>
        </w:rPr>
        <w:t>and corresponding 95%</w:t>
      </w:r>
      <w:r w:rsidR="001637F1">
        <w:rPr>
          <w:rFonts w:eastAsiaTheme="minorEastAsia"/>
        </w:rPr>
        <w:t xml:space="preserve"> </w:t>
      </w:r>
      <w:r w:rsidRPr="00CC5F7A">
        <w:rPr>
          <w:rFonts w:eastAsiaTheme="minorEastAsia"/>
        </w:rPr>
        <w:t xml:space="preserve">CI will be summarized using F-distribution by binomial probabilities. The difference in </w:t>
      </w:r>
      <w:r w:rsidR="00557CB2">
        <w:rPr>
          <w:rFonts w:eastAsiaTheme="minorEastAsia"/>
        </w:rPr>
        <w:t>DCR</w:t>
      </w:r>
      <w:r w:rsidR="00557CB2" w:rsidRPr="00CC5F7A">
        <w:rPr>
          <w:rFonts w:eastAsiaTheme="minorEastAsia"/>
        </w:rPr>
        <w:t xml:space="preserve"> </w:t>
      </w:r>
      <w:r w:rsidRPr="00CC5F7A">
        <w:rPr>
          <w:rFonts w:eastAsiaTheme="minorEastAsia"/>
        </w:rPr>
        <w:t xml:space="preserve">between intervention arms will be compared by </w:t>
      </w:r>
      <w:r w:rsidR="00557CB2" w:rsidRPr="00374520">
        <w:rPr>
          <w:rFonts w:eastAsia="宋体" w:cs="Times New Roman"/>
          <w:color w:val="000000"/>
        </w:rPr>
        <w:t>stratified Mantel-Haenszel test</w:t>
      </w:r>
      <w:r w:rsidRPr="00CC5F7A">
        <w:rPr>
          <w:rFonts w:eastAsiaTheme="minorEastAsia"/>
        </w:rPr>
        <w:t xml:space="preserve">. </w:t>
      </w:r>
    </w:p>
    <w:p w14:paraId="38D4104D" w14:textId="580604E6" w:rsidR="007A5437" w:rsidRPr="00384EEC" w:rsidRDefault="007A5437" w:rsidP="00384EEC">
      <w:pPr>
        <w:rPr>
          <w:rFonts w:eastAsia="宋体"/>
        </w:rPr>
      </w:pPr>
      <w:r>
        <w:t xml:space="preserve">DOR: </w:t>
      </w:r>
      <w:r w:rsidRPr="009510A0">
        <w:rPr>
          <w:rFonts w:eastAsiaTheme="minorEastAsia"/>
        </w:rPr>
        <w:t xml:space="preserve">The median DOR will be estimated using the Kaplan-Meier method and presented with the Kaplan-Meier curve. The comparison of DOR between </w:t>
      </w:r>
      <w:r w:rsidR="001637F1">
        <w:rPr>
          <w:rFonts w:eastAsiaTheme="minorEastAsia"/>
        </w:rPr>
        <w:t>treatment groups</w:t>
      </w:r>
      <w:r w:rsidRPr="009510A0">
        <w:rPr>
          <w:rFonts w:eastAsiaTheme="minorEastAsia"/>
        </w:rPr>
        <w:t xml:space="preserve"> will be performed using a stratified log-rank test. </w:t>
      </w:r>
      <w:r w:rsidRPr="007A5437">
        <w:rPr>
          <w:rFonts w:eastAsiaTheme="minorEastAsia"/>
        </w:rPr>
        <w:t>The HR and the corresponding 95%</w:t>
      </w:r>
      <w:r w:rsidR="001637F1">
        <w:rPr>
          <w:rFonts w:eastAsiaTheme="minorEastAsia"/>
        </w:rPr>
        <w:t xml:space="preserve"> </w:t>
      </w:r>
      <w:r w:rsidRPr="007A5437">
        <w:rPr>
          <w:rFonts w:eastAsiaTheme="minorEastAsia"/>
        </w:rPr>
        <w:t xml:space="preserve">CI will also be provided based on a Cox proportional hazard model, using primary tumor location (right/left), and </w:t>
      </w:r>
      <w:r w:rsidR="00EE7061" w:rsidRPr="00EE7061">
        <w:rPr>
          <w:rFonts w:eastAsiaTheme="minorEastAsia"/>
        </w:rPr>
        <w:t xml:space="preserve">prior </w:t>
      </w:r>
      <w:r w:rsidRPr="00EE7061">
        <w:rPr>
          <w:rFonts w:eastAsiaTheme="minorEastAsia"/>
        </w:rPr>
        <w:t>a</w:t>
      </w:r>
      <w:r w:rsidRPr="007A5437">
        <w:rPr>
          <w:rFonts w:eastAsiaTheme="minorEastAsia"/>
        </w:rPr>
        <w:t>djuvant chemotherapy (yes/no) as concomitant variables.</w:t>
      </w:r>
      <w:r>
        <w:rPr>
          <w:rFonts w:eastAsiaTheme="minorEastAsia"/>
        </w:rPr>
        <w:t xml:space="preserve"> </w:t>
      </w:r>
      <w:r w:rsidRPr="007A5437">
        <w:rPr>
          <w:rFonts w:eastAsiaTheme="minorEastAsia"/>
        </w:rPr>
        <w:t>D</w:t>
      </w:r>
      <w:r w:rsidRPr="009510A0">
        <w:rPr>
          <w:rFonts w:eastAsiaTheme="minorEastAsia"/>
        </w:rPr>
        <w:t>OR will be only analyzed in responders.</w:t>
      </w:r>
    </w:p>
    <w:p w14:paraId="3E91FA39" w14:textId="0C78146D" w:rsidR="003A55EE" w:rsidRPr="003127AF" w:rsidRDefault="00935454" w:rsidP="00384EEC">
      <w:pPr>
        <w:rPr>
          <w:rFonts w:eastAsiaTheme="minorEastAsia"/>
        </w:rPr>
      </w:pPr>
      <w:r>
        <w:t>OS</w:t>
      </w:r>
      <w:r w:rsidR="007A5437">
        <w:t xml:space="preserve">: </w:t>
      </w:r>
      <w:r w:rsidR="003A55EE" w:rsidRPr="003A55EE">
        <w:rPr>
          <w:rFonts w:eastAsiaTheme="minorEastAsia"/>
        </w:rPr>
        <w:t xml:space="preserve">The median </w:t>
      </w:r>
      <w:r w:rsidR="003A55EE">
        <w:rPr>
          <w:rFonts w:eastAsiaTheme="minorEastAsia"/>
        </w:rPr>
        <w:t>OS</w:t>
      </w:r>
      <w:r w:rsidR="003A55EE" w:rsidRPr="003A55EE">
        <w:rPr>
          <w:rFonts w:eastAsiaTheme="minorEastAsia"/>
        </w:rPr>
        <w:t xml:space="preserve"> will be estimated using the Kaplan-Meier method and presented with the Kaplan-Meier curve.</w:t>
      </w:r>
      <w:r w:rsidR="004B2218">
        <w:rPr>
          <w:rFonts w:eastAsiaTheme="minorEastAsia"/>
        </w:rPr>
        <w:t xml:space="preserve"> </w:t>
      </w:r>
      <w:r w:rsidR="003A55EE" w:rsidRPr="003A55EE">
        <w:rPr>
          <w:rFonts w:eastAsiaTheme="minorEastAsia"/>
        </w:rPr>
        <w:t xml:space="preserve">The comparison of OS between </w:t>
      </w:r>
      <w:r w:rsidR="001637F1">
        <w:rPr>
          <w:rFonts w:eastAsiaTheme="minorEastAsia"/>
        </w:rPr>
        <w:t>treatment groups</w:t>
      </w:r>
      <w:r w:rsidR="003A55EE" w:rsidRPr="003A55EE">
        <w:rPr>
          <w:rFonts w:eastAsiaTheme="minorEastAsia"/>
        </w:rPr>
        <w:t xml:space="preserve"> will be performed using a stratified log-rank test. The HR and the corresponding 95%</w:t>
      </w:r>
      <w:r w:rsidR="001637F1">
        <w:rPr>
          <w:rFonts w:eastAsiaTheme="minorEastAsia"/>
        </w:rPr>
        <w:t xml:space="preserve"> </w:t>
      </w:r>
      <w:r w:rsidR="003A55EE" w:rsidRPr="003A55EE">
        <w:rPr>
          <w:rFonts w:eastAsiaTheme="minorEastAsia"/>
        </w:rPr>
        <w:t xml:space="preserve">CI will also be provided based on a Cox proportional hazard model, using </w:t>
      </w:r>
      <w:r w:rsidR="004B2218" w:rsidRPr="004B2218">
        <w:rPr>
          <w:rFonts w:eastAsiaTheme="minorEastAsia"/>
        </w:rPr>
        <w:t xml:space="preserve">primary tumor location (right/left), and </w:t>
      </w:r>
      <w:r w:rsidR="00EE7061" w:rsidRPr="00EE7061">
        <w:rPr>
          <w:rFonts w:eastAsiaTheme="minorEastAsia"/>
        </w:rPr>
        <w:t>prior</w:t>
      </w:r>
      <w:r w:rsidR="004B2218" w:rsidRPr="004B2218">
        <w:rPr>
          <w:rFonts w:eastAsiaTheme="minorEastAsia"/>
        </w:rPr>
        <w:t xml:space="preserve"> adjuvant chemotherapy (yes/no)</w:t>
      </w:r>
      <w:r w:rsidR="003A55EE" w:rsidRPr="003A55EE">
        <w:rPr>
          <w:rFonts w:eastAsiaTheme="minorEastAsia"/>
        </w:rPr>
        <w:t xml:space="preserve"> as concomitant variables.</w:t>
      </w:r>
    </w:p>
    <w:p w14:paraId="7635E834" w14:textId="146A85A5" w:rsidR="0048124D" w:rsidRDefault="00AB0BA6" w:rsidP="00384EEC">
      <w:r w:rsidRPr="00AB0BA6">
        <w:t>Resectio</w:t>
      </w:r>
      <w:r w:rsidRPr="00384EEC">
        <w:t>n</w:t>
      </w:r>
      <w:r w:rsidR="0048124D" w:rsidRPr="00384EEC">
        <w:t xml:space="preserve"> rate of liver metastasis: </w:t>
      </w:r>
      <w:r>
        <w:t>r</w:t>
      </w:r>
      <w:r w:rsidRPr="00384EEC">
        <w:t>esection</w:t>
      </w:r>
      <w:r w:rsidR="0048124D" w:rsidRPr="00384EEC">
        <w:t xml:space="preserve"> rate o</w:t>
      </w:r>
      <w:r w:rsidR="0048124D" w:rsidRPr="0048124D">
        <w:t xml:space="preserve">f </w:t>
      </w:r>
      <w:r w:rsidR="0048124D">
        <w:t>l</w:t>
      </w:r>
      <w:r w:rsidR="0048124D" w:rsidRPr="0048124D">
        <w:t>iver metastasis</w:t>
      </w:r>
      <w:r w:rsidR="00BB082F" w:rsidRPr="00BB082F">
        <w:rPr>
          <w:rFonts w:eastAsiaTheme="minorEastAsia"/>
        </w:rPr>
        <w:t xml:space="preserve"> and the corresponding 95%</w:t>
      </w:r>
      <w:r w:rsidR="001637F1">
        <w:rPr>
          <w:rFonts w:eastAsiaTheme="minorEastAsia"/>
        </w:rPr>
        <w:t xml:space="preserve"> </w:t>
      </w:r>
      <w:r w:rsidR="00BB082F" w:rsidRPr="00BB082F">
        <w:rPr>
          <w:rFonts w:eastAsiaTheme="minorEastAsia"/>
        </w:rPr>
        <w:t xml:space="preserve">CI for each </w:t>
      </w:r>
      <w:r w:rsidR="0048124D">
        <w:t>group</w:t>
      </w:r>
      <w:r w:rsidR="00BB082F" w:rsidRPr="00BB082F">
        <w:rPr>
          <w:rFonts w:eastAsiaTheme="minorEastAsia"/>
        </w:rPr>
        <w:t xml:space="preserve"> </w:t>
      </w:r>
      <w:r w:rsidR="0048124D">
        <w:t xml:space="preserve">will </w:t>
      </w:r>
      <w:r w:rsidR="0048124D" w:rsidRPr="0048124D">
        <w:t xml:space="preserve">be summarized using F-distribution by binomial probabilities. The difference between </w:t>
      </w:r>
      <w:r w:rsidR="0048124D">
        <w:t>group</w:t>
      </w:r>
      <w:r w:rsidR="0048124D" w:rsidRPr="0048124D">
        <w:t xml:space="preserve">s will be compared by the Chi-square test or Fisher's exact test. </w:t>
      </w:r>
    </w:p>
    <w:p w14:paraId="5BE26984" w14:textId="2084E902" w:rsidR="0075315E" w:rsidRDefault="000402B5" w:rsidP="0025058B">
      <w:r w:rsidRPr="000402B5">
        <w:t>quality of life (QoL)</w:t>
      </w:r>
      <w:r w:rsidR="0048124D">
        <w:t xml:space="preserve">: </w:t>
      </w:r>
      <w:r w:rsidR="0048124D" w:rsidRPr="0048124D">
        <w:t xml:space="preserve">The QLQ-C30 </w:t>
      </w:r>
      <w:r w:rsidR="0048124D">
        <w:t>i</w:t>
      </w:r>
      <w:r w:rsidR="0048124D" w:rsidRPr="0048124D">
        <w:t xml:space="preserve">s linearly transformed by the method of range, and crude scores </w:t>
      </w:r>
      <w:r w:rsidR="0048124D">
        <w:t>are</w:t>
      </w:r>
      <w:r w:rsidR="0048124D" w:rsidRPr="0048124D">
        <w:t xml:space="preserve"> converted to standardized scores with values ranging from 0 to 100. The results </w:t>
      </w:r>
      <w:r w:rsidR="0048124D">
        <w:t>are</w:t>
      </w:r>
      <w:r w:rsidR="0048124D" w:rsidRPr="0048124D">
        <w:t xml:space="preserve"> analyzed by descriptive statistics. Mean, standard deviation, median, minimum and maximum values </w:t>
      </w:r>
      <w:r w:rsidR="0048124D">
        <w:t>are</w:t>
      </w:r>
      <w:r w:rsidR="0048124D" w:rsidRPr="0048124D">
        <w:t xml:space="preserve"> calculated for each visit according to treatment group. Wilcoxon group rank test </w:t>
      </w:r>
      <w:r w:rsidR="0048124D">
        <w:t>i</w:t>
      </w:r>
      <w:r w:rsidR="0048124D" w:rsidRPr="0048124D">
        <w:t xml:space="preserve">s </w:t>
      </w:r>
      <w:r w:rsidR="0048124D" w:rsidRPr="0048124D">
        <w:lastRenderedPageBreak/>
        <w:t xml:space="preserve">used for comparison between groups. The </w:t>
      </w:r>
      <w:r w:rsidR="005E0E7F" w:rsidRPr="005E0E7F">
        <w:t>EQ-5D qualiy of life description questionnaire</w:t>
      </w:r>
      <w:r w:rsidR="0048124D" w:rsidRPr="0048124D">
        <w:t xml:space="preserve"> </w:t>
      </w:r>
      <w:r w:rsidR="0048124D">
        <w:t>i</w:t>
      </w:r>
      <w:r w:rsidR="0048124D" w:rsidRPr="0048124D">
        <w:t xml:space="preserve">s analyzed descriptively, and mean, standard deviation, median, minimum, and maximum values </w:t>
      </w:r>
      <w:r w:rsidR="0048124D">
        <w:t>are</w:t>
      </w:r>
      <w:r w:rsidR="0048124D" w:rsidRPr="0048124D">
        <w:t xml:space="preserve"> calculated for each visit by treatment group. Signed rank test </w:t>
      </w:r>
      <w:r w:rsidR="0048124D">
        <w:t>i</w:t>
      </w:r>
      <w:r w:rsidR="0048124D" w:rsidRPr="0048124D">
        <w:t xml:space="preserve">s used for intra-group comparison when necessary, and Wilcoxon group rank test </w:t>
      </w:r>
      <w:r w:rsidR="0048124D">
        <w:t>i</w:t>
      </w:r>
      <w:r w:rsidR="0048124D" w:rsidRPr="0048124D">
        <w:t>s used for inter-group comparison.</w:t>
      </w:r>
    </w:p>
    <w:p w14:paraId="5A1F70F2" w14:textId="486E602A" w:rsidR="00602902" w:rsidRDefault="00816DCA" w:rsidP="00384EEC">
      <w:pPr>
        <w:pStyle w:val="3"/>
      </w:pPr>
      <w:bookmarkStart w:id="169" w:name="_Toc196548037"/>
      <w:r>
        <w:t>12</w:t>
      </w:r>
      <w:r>
        <w:rPr>
          <w:rFonts w:hint="eastAsia"/>
        </w:rPr>
        <w:t>.4.</w:t>
      </w:r>
      <w:r w:rsidR="001F61D2">
        <w:t>3</w:t>
      </w:r>
      <w:r>
        <w:rPr>
          <w:rFonts w:hint="eastAsia"/>
        </w:rPr>
        <w:t xml:space="preserve"> </w:t>
      </w:r>
      <w:r w:rsidR="00602902">
        <w:t>List of individual efficacy data</w:t>
      </w:r>
      <w:bookmarkEnd w:id="169"/>
    </w:p>
    <w:p w14:paraId="7AD46119" w14:textId="6158C05C" w:rsidR="00816DCA" w:rsidRPr="00384EEC" w:rsidRDefault="00602902">
      <w:pPr>
        <w:rPr>
          <w:rFonts w:eastAsiaTheme="minorEastAsia"/>
        </w:rPr>
      </w:pPr>
      <w:r>
        <w:t>Data from all tumor assessments (including IRC assessments and investigator assessments) will be tabulated per subject, per visit (one line per subject, per visit). All efficacy data (including independent imaging assessments and investigator assessments) will be tabulated at the subject level (one line for each subject).</w:t>
      </w:r>
    </w:p>
    <w:p w14:paraId="78739C1F" w14:textId="34D8BE2A" w:rsidR="00602902" w:rsidRDefault="003E0392">
      <w:pPr>
        <w:pStyle w:val="20"/>
      </w:pPr>
      <w:bookmarkStart w:id="170" w:name="_Toc33516943"/>
      <w:bookmarkStart w:id="171" w:name="_Toc196548038"/>
      <w:r>
        <w:t>12</w:t>
      </w:r>
      <w:r>
        <w:rPr>
          <w:rFonts w:hint="eastAsia"/>
        </w:rPr>
        <w:t xml:space="preserve">.5 </w:t>
      </w:r>
      <w:bookmarkStart w:id="172" w:name="OLE_LINK10"/>
      <w:bookmarkStart w:id="173" w:name="OLE_LINK11"/>
      <w:r>
        <w:rPr>
          <w:rFonts w:hint="eastAsia"/>
        </w:rPr>
        <w:t>Safety evaluation</w:t>
      </w:r>
      <w:bookmarkEnd w:id="171"/>
      <w:bookmarkEnd w:id="172"/>
      <w:bookmarkEnd w:id="173"/>
      <w:r>
        <w:rPr>
          <w:rFonts w:hint="eastAsia"/>
        </w:rPr>
        <w:t xml:space="preserve"> </w:t>
      </w:r>
      <w:bookmarkEnd w:id="170"/>
    </w:p>
    <w:p w14:paraId="7A041EE1" w14:textId="2FFC2BCE" w:rsidR="001F61D2" w:rsidRPr="00384EEC" w:rsidRDefault="001F61D2" w:rsidP="00384EEC">
      <w:pPr>
        <w:rPr>
          <w:rFonts w:eastAsiaTheme="minorEastAsia"/>
        </w:rPr>
      </w:pPr>
      <w:r w:rsidRPr="001F61D2">
        <w:rPr>
          <w:rFonts w:eastAsiaTheme="minorEastAsia"/>
        </w:rPr>
        <w:t xml:space="preserve">The </w:t>
      </w:r>
      <w:r>
        <w:rPr>
          <w:rFonts w:eastAsiaTheme="minorEastAsia"/>
        </w:rPr>
        <w:t>s</w:t>
      </w:r>
      <w:r w:rsidRPr="001F61D2">
        <w:rPr>
          <w:rFonts w:eastAsiaTheme="minorEastAsia"/>
        </w:rPr>
        <w:t xml:space="preserve">afety evaluation will be based on the </w:t>
      </w:r>
      <w:r>
        <w:rPr>
          <w:rFonts w:eastAsiaTheme="minorEastAsia"/>
        </w:rPr>
        <w:t>SS</w:t>
      </w:r>
      <w:r w:rsidRPr="001F61D2">
        <w:rPr>
          <w:rFonts w:eastAsiaTheme="minorEastAsia"/>
        </w:rPr>
        <w:t>.</w:t>
      </w:r>
    </w:p>
    <w:p w14:paraId="2B7713DC" w14:textId="12468A9F" w:rsidR="00D45C54" w:rsidRDefault="003E0392">
      <w:pPr>
        <w:pStyle w:val="3"/>
      </w:pPr>
      <w:bookmarkStart w:id="174" w:name="_Toc33516944"/>
      <w:bookmarkStart w:id="175" w:name="_Toc196548039"/>
      <w:r>
        <w:t>12</w:t>
      </w:r>
      <w:r>
        <w:rPr>
          <w:rFonts w:hint="eastAsia"/>
        </w:rPr>
        <w:t>.5.1 Drug exposure</w:t>
      </w:r>
      <w:bookmarkEnd w:id="175"/>
      <w:r>
        <w:rPr>
          <w:rFonts w:hint="eastAsia"/>
        </w:rPr>
        <w:t xml:space="preserve"> </w:t>
      </w:r>
      <w:bookmarkEnd w:id="174"/>
    </w:p>
    <w:p w14:paraId="1241A715" w14:textId="77777777" w:rsidR="00241BDB" w:rsidRPr="00241BDB" w:rsidRDefault="00241BDB" w:rsidP="00241BDB">
      <w:pPr>
        <w:pStyle w:val="P68B1DB1-125"/>
        <w:rPr>
          <w:rFonts w:eastAsiaTheme="minorEastAsia" w:hint="default"/>
        </w:rPr>
      </w:pPr>
      <w:r w:rsidRPr="00241BDB">
        <w:rPr>
          <w:rFonts w:eastAsiaTheme="minorEastAsia"/>
        </w:rPr>
        <w:t>Treatment exposure will be summarized by mean, SD, minimum, maximum, and median in each intervention arm.</w:t>
      </w:r>
    </w:p>
    <w:p w14:paraId="7BB38107" w14:textId="77777777" w:rsidR="00241BDB" w:rsidRPr="00241BDB" w:rsidRDefault="00241BDB" w:rsidP="00241BDB">
      <w:pPr>
        <w:pStyle w:val="P68B1DB1-125"/>
        <w:rPr>
          <w:rFonts w:eastAsiaTheme="minorEastAsia" w:hint="default"/>
        </w:rPr>
      </w:pPr>
      <w:r w:rsidRPr="00241BDB">
        <w:rPr>
          <w:rFonts w:eastAsiaTheme="minorEastAsia"/>
        </w:rPr>
        <w:t>Treatment exposure, the completed treatment cycle, dose adjustment and reasons, and the cumulative number of dose adjustments will be summarized.</w:t>
      </w:r>
    </w:p>
    <w:p w14:paraId="3069F6C9" w14:textId="77777777" w:rsidR="00241BDB" w:rsidRPr="003127AF" w:rsidRDefault="00241BDB" w:rsidP="003127AF">
      <w:pPr>
        <w:pStyle w:val="P68B1DB1-125"/>
        <w:rPr>
          <w:rFonts w:eastAsiaTheme="minorEastAsia" w:hint="default"/>
        </w:rPr>
      </w:pPr>
      <w:r w:rsidRPr="00241BDB">
        <w:rPr>
          <w:rFonts w:eastAsiaTheme="minorEastAsia"/>
        </w:rPr>
        <w:t>Treatment duration, cumulative dose, dose intensity, and dosing compliance during the treatment will be statistically described.</w:t>
      </w:r>
    </w:p>
    <w:p w14:paraId="47D6AF0A" w14:textId="058F763B" w:rsidR="00D45C54" w:rsidRDefault="003E0392">
      <w:pPr>
        <w:pStyle w:val="3"/>
      </w:pPr>
      <w:bookmarkStart w:id="176" w:name="_Toc33516945"/>
      <w:bookmarkStart w:id="177" w:name="_Toc196548040"/>
      <w:r>
        <w:t>12</w:t>
      </w:r>
      <w:r>
        <w:rPr>
          <w:rFonts w:hint="eastAsia"/>
        </w:rPr>
        <w:t>.5.2 A</w:t>
      </w:r>
      <w:r w:rsidR="00241BDB">
        <w:t>E</w:t>
      </w:r>
      <w:r>
        <w:rPr>
          <w:rFonts w:hint="eastAsia"/>
        </w:rPr>
        <w:t>s</w:t>
      </w:r>
      <w:bookmarkEnd w:id="177"/>
      <w:r>
        <w:rPr>
          <w:rFonts w:hint="eastAsia"/>
        </w:rPr>
        <w:t xml:space="preserve"> </w:t>
      </w:r>
      <w:bookmarkEnd w:id="176"/>
    </w:p>
    <w:p w14:paraId="1205EFEC" w14:textId="5A471066" w:rsidR="00B3789C" w:rsidRDefault="00B3789C" w:rsidP="00B3789C">
      <w:pPr>
        <w:pStyle w:val="P68B1DB1-125"/>
        <w:rPr>
          <w:rFonts w:hint="default"/>
        </w:rPr>
      </w:pPr>
      <w:r>
        <w:t>All AEs will be coded using the Medical Dictionary for Regulatory Affairs (MedDRA) for safety analysis.</w:t>
      </w:r>
    </w:p>
    <w:p w14:paraId="734D0B8B" w14:textId="3554CD3E" w:rsidR="002A1637" w:rsidRDefault="002A1637" w:rsidP="00B3789C">
      <w:pPr>
        <w:pStyle w:val="P68B1DB1-125"/>
        <w:rPr>
          <w:rFonts w:hint="default"/>
        </w:rPr>
      </w:pPr>
      <w:r w:rsidRPr="002A1637">
        <w:t>Treatment Emergent Adverse Events (TE</w:t>
      </w:r>
      <w:r w:rsidRPr="002A1637">
        <w:rPr>
          <w:rFonts w:hint="default"/>
        </w:rPr>
        <w:t>AE</w:t>
      </w:r>
      <w:r w:rsidRPr="002A1637">
        <w:t>s)</w:t>
      </w:r>
      <w:r>
        <w:rPr>
          <w:rFonts w:hint="default"/>
        </w:rPr>
        <w:t xml:space="preserve"> are</w:t>
      </w:r>
      <w:r w:rsidRPr="002A1637">
        <w:t xml:space="preserve"> defined as adverse events that occurre or worsene after the use of the study drug</w:t>
      </w:r>
      <w:r>
        <w:rPr>
          <w:rFonts w:hint="default"/>
        </w:rPr>
        <w:t>.</w:t>
      </w:r>
    </w:p>
    <w:p w14:paraId="712BACA8" w14:textId="5795DA61" w:rsidR="002A1637" w:rsidRDefault="00B3789C" w:rsidP="00384EEC">
      <w:pPr>
        <w:pStyle w:val="P68B1DB1-125"/>
        <w:rPr>
          <w:rFonts w:hint="default"/>
        </w:rPr>
      </w:pPr>
      <w:r>
        <w:t>An overview table of AEs</w:t>
      </w:r>
      <w:r w:rsidR="002A1637">
        <w:rPr>
          <w:rFonts w:hint="default"/>
        </w:rPr>
        <w:t xml:space="preserve">, </w:t>
      </w:r>
      <w:r w:rsidR="002A1637" w:rsidRPr="002A1637">
        <w:t>TE</w:t>
      </w:r>
      <w:r w:rsidR="002A1637" w:rsidRPr="002A1637">
        <w:rPr>
          <w:rFonts w:hint="default"/>
        </w:rPr>
        <w:t>AE</w:t>
      </w:r>
      <w:r w:rsidR="002A1637" w:rsidRPr="002A1637">
        <w:t>s</w:t>
      </w:r>
      <w:r w:rsidR="002A1637">
        <w:rPr>
          <w:rFonts w:hint="default"/>
        </w:rPr>
        <w:t xml:space="preserve">, </w:t>
      </w:r>
      <w:r w:rsidR="002A1637">
        <w:t>TEAEs</w:t>
      </w:r>
      <w:r w:rsidR="002A1637" w:rsidRPr="007409C2">
        <w:t xml:space="preserve"> </w:t>
      </w:r>
      <w:r w:rsidR="002A1637">
        <w:t>with grade 3 or more</w:t>
      </w:r>
      <w:r w:rsidR="002A1637">
        <w:rPr>
          <w:rFonts w:hint="default"/>
        </w:rPr>
        <w:t xml:space="preserve">, SAEs, </w:t>
      </w:r>
      <w:r w:rsidR="002A1637">
        <w:t>treatment-related TEAEs</w:t>
      </w:r>
      <w:r w:rsidR="002A1637">
        <w:rPr>
          <w:rFonts w:hint="default"/>
        </w:rPr>
        <w:t xml:space="preserve">, </w:t>
      </w:r>
      <w:r w:rsidR="002A1637">
        <w:t>treatment-related SAEs</w:t>
      </w:r>
      <w:r w:rsidR="002A1637">
        <w:rPr>
          <w:rFonts w:hint="default"/>
        </w:rPr>
        <w:t xml:space="preserve">, </w:t>
      </w:r>
      <w:r w:rsidR="002A1637">
        <w:t xml:space="preserve">TEAEs leading to dose adjustment, treatment </w:t>
      </w:r>
      <w:r w:rsidR="002A1637">
        <w:rPr>
          <w:rFonts w:hint="default"/>
        </w:rPr>
        <w:t>termination</w:t>
      </w:r>
      <w:r w:rsidR="002A1637">
        <w:t>, study termination, and death</w:t>
      </w:r>
      <w:r>
        <w:t xml:space="preserve"> will be provided for each intervention arm by the MedDRA preferred term (PT) and primary system organ class (SOC), including the number of events and the number (incidence) of subjects</w:t>
      </w:r>
      <w:r w:rsidR="002A1637">
        <w:rPr>
          <w:rFonts w:hint="default"/>
        </w:rPr>
        <w:t>.</w:t>
      </w:r>
      <w:r>
        <w:t xml:space="preserve"> </w:t>
      </w:r>
      <w:r w:rsidR="002A1637">
        <w:t xml:space="preserve">A frequency table of AEs will be provided for each intervention arm by SOC and PT. The incidence will be calculated by the system, symptoms, and vital signs (the number of events is defined as the number of patients with at least one event). The number (percentage) of patients with TEAEs will also be provided by severity grade per NCI-CTCAE v5.0 and the causality to the study drugs. A patient will be counted only once </w:t>
      </w:r>
      <w:r w:rsidR="002A1637">
        <w:lastRenderedPageBreak/>
        <w:t>by the worst severity grade per NCI-CTCAE v5.0.</w:t>
      </w:r>
    </w:p>
    <w:p w14:paraId="234D786C" w14:textId="4B1C5B8E" w:rsidR="002A1637" w:rsidRDefault="002A1637" w:rsidP="002A1637">
      <w:pPr>
        <w:pStyle w:val="P68B1DB1-125"/>
        <w:rPr>
          <w:rFonts w:hint="default"/>
        </w:rPr>
      </w:pPr>
      <w:r>
        <w:t>The time to the first occurrence of TEAE will be analyzed from the overall level and the SOC and PT. Only some TE</w:t>
      </w:r>
      <w:r>
        <w:rPr>
          <w:rFonts w:hint="default"/>
        </w:rPr>
        <w:t>AE</w:t>
      </w:r>
      <w:r>
        <w:t xml:space="preserve">s of special interest </w:t>
      </w:r>
      <w:r>
        <w:rPr>
          <w:rFonts w:hint="default"/>
        </w:rPr>
        <w:t>are</w:t>
      </w:r>
      <w:r>
        <w:t xml:space="preserve"> analyzed.</w:t>
      </w:r>
    </w:p>
    <w:p w14:paraId="08D1E9AF" w14:textId="2AE7AF74" w:rsidR="00B3789C" w:rsidRPr="00384EEC" w:rsidRDefault="002A1637" w:rsidP="00384EEC">
      <w:pPr>
        <w:pStyle w:val="P68B1DB1-125"/>
        <w:rPr>
          <w:rFonts w:eastAsiaTheme="minorEastAsia" w:hint="default"/>
        </w:rPr>
      </w:pPr>
      <w:r>
        <w:t xml:space="preserve">Deaths, other </w:t>
      </w:r>
      <w:r w:rsidR="001D4605">
        <w:rPr>
          <w:rFonts w:hint="default"/>
        </w:rPr>
        <w:t>SAE</w:t>
      </w:r>
      <w:r>
        <w:t xml:space="preserve">s, and </w:t>
      </w:r>
      <w:r w:rsidR="001D4605">
        <w:rPr>
          <w:rFonts w:hint="default"/>
        </w:rPr>
        <w:t>AE</w:t>
      </w:r>
      <w:r>
        <w:t xml:space="preserve">s of </w:t>
      </w:r>
      <w:r w:rsidR="001D4605">
        <w:rPr>
          <w:rFonts w:hint="default"/>
        </w:rPr>
        <w:t>special interest</w:t>
      </w:r>
      <w:r>
        <w:t xml:space="preserve"> (AESI). Deaths refer to all deaths during the study period and deaths due to procedures initiated during the study period. Other </w:t>
      </w:r>
      <w:r w:rsidR="001D4605">
        <w:rPr>
          <w:rFonts w:hint="default"/>
        </w:rPr>
        <w:t>SAEs</w:t>
      </w:r>
      <w:r>
        <w:t xml:space="preserve"> </w:t>
      </w:r>
      <w:r w:rsidR="001D4605">
        <w:rPr>
          <w:rFonts w:hint="default"/>
        </w:rPr>
        <w:t>are</w:t>
      </w:r>
      <w:r>
        <w:t xml:space="preserve"> </w:t>
      </w:r>
      <w:r w:rsidR="001D4605">
        <w:rPr>
          <w:rFonts w:hint="default"/>
        </w:rPr>
        <w:t>SAE</w:t>
      </w:r>
      <w:r>
        <w:t xml:space="preserve">s other than death (including SAEs that </w:t>
      </w:r>
      <w:r w:rsidR="001D4605">
        <w:rPr>
          <w:rFonts w:hint="default"/>
        </w:rPr>
        <w:t>are</w:t>
      </w:r>
      <w:r>
        <w:t xml:space="preserve"> temporally related to or preceded death). AESI included significant hematologic and other laboratory abnormalities (except those meeting the definition of severe) and any events leading to an intervention, including dose reduction, discontinuation or interruption of a medication, or other significant concomitant therapy, except those reported as </w:t>
      </w:r>
      <w:r w:rsidR="001D4605">
        <w:rPr>
          <w:rFonts w:hint="default"/>
        </w:rPr>
        <w:t>SAE</w:t>
      </w:r>
      <w:r>
        <w:t>s.</w:t>
      </w:r>
      <w:r w:rsidR="003940D6" w:rsidRPr="003940D6">
        <w:t xml:space="preserve"> According to the classification of SOC and PT, the numbe</w:t>
      </w:r>
      <w:r w:rsidR="003940D6">
        <w:t>r</w:t>
      </w:r>
      <w:r w:rsidR="003940D6">
        <w:rPr>
          <w:rFonts w:hint="default"/>
        </w:rPr>
        <w:t xml:space="preserve"> </w:t>
      </w:r>
      <w:r w:rsidR="003940D6" w:rsidRPr="003940D6">
        <w:t xml:space="preserve">and incidence of the above-mentioned </w:t>
      </w:r>
      <w:r w:rsidR="003940D6">
        <w:rPr>
          <w:rFonts w:hint="default"/>
        </w:rPr>
        <w:t>AE</w:t>
      </w:r>
      <w:r w:rsidR="003940D6" w:rsidRPr="003940D6">
        <w:t>s and the</w:t>
      </w:r>
      <w:r w:rsidR="003940D6">
        <w:rPr>
          <w:rFonts w:hint="default"/>
        </w:rPr>
        <w:t xml:space="preserve"> AE</w:t>
      </w:r>
      <w:r w:rsidR="003940D6" w:rsidRPr="003940D6">
        <w:t xml:space="preserve">s related to the study drugs </w:t>
      </w:r>
      <w:r w:rsidR="003940D6">
        <w:rPr>
          <w:rFonts w:hint="default"/>
        </w:rPr>
        <w:t>are</w:t>
      </w:r>
      <w:r w:rsidR="003940D6" w:rsidRPr="003940D6">
        <w:t xml:space="preserve"> described. The number and the incidence of NCI-CTC AE version 5.0 toxicity grade </w:t>
      </w:r>
      <w:r w:rsidR="003940D6">
        <w:rPr>
          <w:rFonts w:hint="default"/>
        </w:rPr>
        <w:t>are</w:t>
      </w:r>
      <w:r w:rsidR="003940D6" w:rsidRPr="003940D6">
        <w:t xml:space="preserve"> calculated according to the SOC and PT classifications.</w:t>
      </w:r>
    </w:p>
    <w:p w14:paraId="37960717" w14:textId="77777777" w:rsidR="00B3789C" w:rsidRDefault="00B3789C" w:rsidP="00384EEC">
      <w:pPr>
        <w:pStyle w:val="P68B1DB1-125"/>
        <w:rPr>
          <w:rFonts w:hint="default"/>
        </w:rPr>
      </w:pPr>
      <w:r>
        <w:t>Listings of TEAEs and SAEs will be provided.</w:t>
      </w:r>
    </w:p>
    <w:p w14:paraId="4583C624" w14:textId="7414A808" w:rsidR="00D45C54" w:rsidRDefault="003E0392">
      <w:pPr>
        <w:pStyle w:val="3"/>
      </w:pPr>
      <w:bookmarkStart w:id="178" w:name="_Toc33516946"/>
      <w:bookmarkStart w:id="179" w:name="_Toc196548041"/>
      <w:r>
        <w:t>12</w:t>
      </w:r>
      <w:r>
        <w:rPr>
          <w:rFonts w:hint="eastAsia"/>
        </w:rPr>
        <w:t>.5.3 Vital Signs</w:t>
      </w:r>
      <w:bookmarkEnd w:id="179"/>
      <w:r>
        <w:rPr>
          <w:rFonts w:hint="eastAsia"/>
        </w:rPr>
        <w:t xml:space="preserve"> </w:t>
      </w:r>
      <w:bookmarkEnd w:id="178"/>
    </w:p>
    <w:p w14:paraId="6B552FD6" w14:textId="444C5DB0" w:rsidR="00851EDF" w:rsidRPr="003127AF" w:rsidRDefault="00851EDF" w:rsidP="003127AF">
      <w:pPr>
        <w:pStyle w:val="P68B1DB1-125"/>
        <w:rPr>
          <w:rFonts w:eastAsiaTheme="minorEastAsia" w:hint="default"/>
        </w:rPr>
      </w:pPr>
      <w:r w:rsidRPr="00851EDF">
        <w:rPr>
          <w:rFonts w:eastAsiaTheme="minorEastAsia"/>
        </w:rPr>
        <w:t xml:space="preserve">The values and changes in vital signs before and after the treatment will be summarized by </w:t>
      </w:r>
      <w:r w:rsidR="006A3AF6">
        <w:rPr>
          <w:rFonts w:eastAsiaTheme="minorEastAsia" w:hint="default"/>
        </w:rPr>
        <w:t xml:space="preserve">number, </w:t>
      </w:r>
      <w:r w:rsidRPr="00851EDF">
        <w:rPr>
          <w:rFonts w:eastAsiaTheme="minorEastAsia"/>
        </w:rPr>
        <w:t>mean, SD, minimum, maximum, and median in each intervention arm.</w:t>
      </w:r>
    </w:p>
    <w:p w14:paraId="64ED7232" w14:textId="5FEF9F8A" w:rsidR="00D45C54" w:rsidRDefault="003E0392">
      <w:pPr>
        <w:pStyle w:val="3"/>
      </w:pPr>
      <w:bookmarkStart w:id="180" w:name="_Toc33516947"/>
      <w:bookmarkStart w:id="181" w:name="_Toc196548042"/>
      <w:r>
        <w:t>12</w:t>
      </w:r>
      <w:r>
        <w:rPr>
          <w:rFonts w:hint="eastAsia"/>
        </w:rPr>
        <w:t>.5.4 Laboratory test indicators</w:t>
      </w:r>
      <w:bookmarkEnd w:id="181"/>
      <w:r>
        <w:rPr>
          <w:rFonts w:hint="eastAsia"/>
        </w:rPr>
        <w:t xml:space="preserve"> </w:t>
      </w:r>
      <w:bookmarkEnd w:id="180"/>
    </w:p>
    <w:p w14:paraId="3278F500" w14:textId="32B145F6" w:rsidR="00D000E7" w:rsidRPr="00384EEC" w:rsidRDefault="00D000E7" w:rsidP="00384EEC">
      <w:pPr>
        <w:rPr>
          <w:rFonts w:eastAsiaTheme="minorEastAsia"/>
        </w:rPr>
      </w:pPr>
      <w:r w:rsidRPr="00D000E7">
        <w:t>The number, mean, standard deviation, median, quartile, minimum, and maximum of baseline and each visit will be described according to treatment group. The change from baseline will be described as the number, mean, and standard deviation of the key blood routine, blood biochemistry, and coagulation function. Statistics and P values for pre-and post-treatment changes within groups and between-group comparison statistics and P values for changes from baseline are presented when necessary.</w:t>
      </w:r>
    </w:p>
    <w:p w14:paraId="539B05E0" w14:textId="77777777" w:rsidR="00663A58" w:rsidRDefault="00D000E7" w:rsidP="00384EEC">
      <w:r w:rsidRPr="00D000E7">
        <w:t xml:space="preserve">According to the normal range, the laboratory indicators </w:t>
      </w:r>
      <w:r w:rsidR="004B2AAB">
        <w:t>are</w:t>
      </w:r>
      <w:r w:rsidRPr="00D000E7">
        <w:t xml:space="preserve"> divided into low, normal and high, and the changes from normal or high baseline to low after baseline and normal or low baseline to high after baseline were described. Postbaseline low or high </w:t>
      </w:r>
      <w:r w:rsidR="004B2AAB">
        <w:t>i</w:t>
      </w:r>
      <w:r w:rsidRPr="00D000E7">
        <w:t>s calculated as the minimum or maxim</w:t>
      </w:r>
      <w:r w:rsidR="00663A58">
        <w:t>um postbaseline observed value.</w:t>
      </w:r>
    </w:p>
    <w:p w14:paraId="10CA5190" w14:textId="09FD405E" w:rsidR="00D000E7" w:rsidRPr="00384EEC" w:rsidRDefault="00D000E7" w:rsidP="00384EEC">
      <w:pPr>
        <w:rPr>
          <w:rFonts w:eastAsiaTheme="minorEastAsia"/>
        </w:rPr>
      </w:pPr>
      <w:r w:rsidRPr="00D000E7">
        <w:t>The levels of alanine aminotransferase (ALT), aspartate aminotransferase (AST), alkaline phosphatase (ALP) and total bilirubin (TBIL) were classified according to NCI-CTC AE 5.0 standard and described</w:t>
      </w:r>
      <w:r>
        <w:t xml:space="preserve"> by cross-classification table.</w:t>
      </w:r>
    </w:p>
    <w:p w14:paraId="0442CBF9" w14:textId="68EA4E14" w:rsidR="00851EDF" w:rsidRDefault="00D000E7" w:rsidP="00384EEC">
      <w:r w:rsidRPr="00D000E7">
        <w:t xml:space="preserve">All laboratory tests </w:t>
      </w:r>
      <w:r w:rsidR="004B2AAB">
        <w:t>are</w:t>
      </w:r>
      <w:r w:rsidRPr="00D000E7">
        <w:t xml:space="preserve"> tabulated and abnormal values </w:t>
      </w:r>
      <w:r w:rsidR="004B2AAB">
        <w:t>are</w:t>
      </w:r>
      <w:r w:rsidRPr="00D000E7">
        <w:t xml:space="preserve"> annotated.</w:t>
      </w:r>
      <w:r w:rsidRPr="00D000E7" w:rsidDel="00D000E7">
        <w:t xml:space="preserve"> </w:t>
      </w:r>
    </w:p>
    <w:p w14:paraId="3C847897" w14:textId="5CEE32EB" w:rsidR="00D45C54" w:rsidRDefault="003E0392">
      <w:pPr>
        <w:pStyle w:val="3"/>
      </w:pPr>
      <w:bookmarkStart w:id="182" w:name="_Toc33516948"/>
      <w:bookmarkStart w:id="183" w:name="_Toc196548043"/>
      <w:r>
        <w:lastRenderedPageBreak/>
        <w:t>12</w:t>
      </w:r>
      <w:r>
        <w:rPr>
          <w:rFonts w:hint="eastAsia"/>
        </w:rPr>
        <w:t xml:space="preserve">.5.5 </w:t>
      </w:r>
      <w:r>
        <w:t>1</w:t>
      </w:r>
      <w:r w:rsidR="00A9544F">
        <w:t>2</w:t>
      </w:r>
      <w:r>
        <w:rPr>
          <w:rFonts w:hint="eastAsia"/>
        </w:rPr>
        <w:t xml:space="preserve">-Electrocardiogram </w:t>
      </w:r>
      <w:bookmarkEnd w:id="182"/>
      <w:r>
        <w:rPr>
          <w:rFonts w:hint="eastAsia"/>
        </w:rPr>
        <w:t>Echocardiogram</w:t>
      </w:r>
      <w:bookmarkEnd w:id="183"/>
      <w:r>
        <w:rPr>
          <w:rFonts w:hint="eastAsia"/>
        </w:rPr>
        <w:t xml:space="preserve"> </w:t>
      </w:r>
    </w:p>
    <w:p w14:paraId="135587F1" w14:textId="44E28FCE" w:rsidR="00262F6F" w:rsidRPr="00384EEC" w:rsidRDefault="00262F6F" w:rsidP="00384EEC">
      <w:pPr>
        <w:rPr>
          <w:rFonts w:eastAsiaTheme="minorEastAsia"/>
        </w:rPr>
      </w:pPr>
      <w:r w:rsidRPr="00262F6F">
        <w:t xml:space="preserve">Continuous </w:t>
      </w:r>
      <w:r>
        <w:t>indicator</w:t>
      </w:r>
      <w:r w:rsidRPr="00262F6F">
        <w:t xml:space="preserve">s describe baseline means and standard deviations, maximum, minimum, and median values according to visit, and the change from baseline to visit describes means, standard deviations, and 95% </w:t>
      </w:r>
      <w:r>
        <w:t>CI</w:t>
      </w:r>
      <w:r w:rsidRPr="00262F6F">
        <w:t>s.</w:t>
      </w:r>
    </w:p>
    <w:p w14:paraId="4F231958" w14:textId="3E742C7A" w:rsidR="00262F6F" w:rsidRDefault="00262F6F" w:rsidP="00384EEC">
      <w:r w:rsidRPr="00262F6F">
        <w:t xml:space="preserve">The overall electrocardiogram assessment results </w:t>
      </w:r>
      <w:r>
        <w:t>are</w:t>
      </w:r>
      <w:r w:rsidRPr="00262F6F">
        <w:t xml:space="preserve"> used to describe the normal and abnormal changes before and after medication using the cross-classification table. The proportion of subjects with abnormal changes who </w:t>
      </w:r>
      <w:r>
        <w:t>are</w:t>
      </w:r>
      <w:r w:rsidRPr="00262F6F">
        <w:t xml:space="preserve"> described as having "clinically significant abnormalities," where the clinical significance of the abnormality </w:t>
      </w:r>
      <w:r>
        <w:t>i</w:t>
      </w:r>
      <w:r w:rsidRPr="00262F6F">
        <w:t>s judged by the investigator.</w:t>
      </w:r>
    </w:p>
    <w:p w14:paraId="4112FC97" w14:textId="3B127BC5" w:rsidR="00DA3B6B" w:rsidRDefault="00DA3B6B" w:rsidP="00DA3B6B">
      <w:pPr>
        <w:pStyle w:val="P68B1DB1-125"/>
        <w:rPr>
          <w:rFonts w:hint="default"/>
        </w:rPr>
      </w:pPr>
      <w:r>
        <w:t>The overall results of ECG will be presented with the crosstab.</w:t>
      </w:r>
    </w:p>
    <w:p w14:paraId="5C459EE2" w14:textId="40834E9E" w:rsidR="00D45C54" w:rsidRDefault="003E0392">
      <w:pPr>
        <w:pStyle w:val="3"/>
      </w:pPr>
      <w:bookmarkStart w:id="184" w:name="_Toc33516950"/>
      <w:bookmarkStart w:id="185" w:name="_Toc196548044"/>
      <w:r>
        <w:t>12</w:t>
      </w:r>
      <w:r>
        <w:rPr>
          <w:rFonts w:hint="eastAsia"/>
        </w:rPr>
        <w:t>.5.6 Concomitant medications</w:t>
      </w:r>
      <w:bookmarkEnd w:id="185"/>
      <w:r>
        <w:rPr>
          <w:rFonts w:hint="eastAsia"/>
        </w:rPr>
        <w:t xml:space="preserve"> </w:t>
      </w:r>
      <w:bookmarkEnd w:id="184"/>
    </w:p>
    <w:p w14:paraId="28E9704E" w14:textId="77777777" w:rsidR="00870F3A" w:rsidRDefault="004A68D8" w:rsidP="003127AF">
      <w:pPr>
        <w:pStyle w:val="P68B1DB1-125"/>
        <w:rPr>
          <w:rFonts w:hint="default"/>
        </w:rPr>
      </w:pPr>
      <w:r w:rsidRPr="004A68D8">
        <w:t xml:space="preserve">The number and percentage of concomitant medications during screening, treatment, and follow-up periods will be summarized. </w:t>
      </w:r>
    </w:p>
    <w:p w14:paraId="75ED3D42" w14:textId="5433B4E7" w:rsidR="004A68D8" w:rsidRDefault="004A68D8" w:rsidP="003127AF">
      <w:pPr>
        <w:pStyle w:val="P68B1DB1-125"/>
        <w:rPr>
          <w:rFonts w:hint="default"/>
        </w:rPr>
      </w:pPr>
      <w:r w:rsidRPr="004A68D8">
        <w:t>The Anatomical Therapeutic Chemical (ATC) codes in WHO</w:t>
      </w:r>
      <w:r w:rsidR="00870F3A">
        <w:rPr>
          <w:rFonts w:hint="default"/>
        </w:rPr>
        <w:t xml:space="preserve"> </w:t>
      </w:r>
      <w:r w:rsidRPr="004A68D8">
        <w:t>Drug Global will be used for coding concomitant medications. The frequency of concomitant medications will be listed by main anatomical groups and therapeutic subgroups in the SS population.</w:t>
      </w:r>
    </w:p>
    <w:p w14:paraId="34806112" w14:textId="50ED8A24" w:rsidR="00406EA1" w:rsidRDefault="00406EA1" w:rsidP="00384EEC">
      <w:pPr>
        <w:pStyle w:val="3"/>
      </w:pPr>
      <w:bookmarkStart w:id="186" w:name="_Toc196548045"/>
      <w:r>
        <w:t>12</w:t>
      </w:r>
      <w:r>
        <w:rPr>
          <w:rFonts w:hint="eastAsia"/>
        </w:rPr>
        <w:t>.</w:t>
      </w:r>
      <w:r>
        <w:t>5.</w:t>
      </w:r>
      <w:r w:rsidR="00870F3A">
        <w:t>7</w:t>
      </w:r>
      <w:r>
        <w:rPr>
          <w:rFonts w:hint="eastAsia"/>
        </w:rPr>
        <w:t xml:space="preserve"> Statistical analysis software</w:t>
      </w:r>
      <w:bookmarkEnd w:id="186"/>
      <w:r>
        <w:rPr>
          <w:rFonts w:hint="eastAsia"/>
        </w:rPr>
        <w:t xml:space="preserve"> </w:t>
      </w:r>
    </w:p>
    <w:p w14:paraId="3FCA60CE" w14:textId="43D96CD5" w:rsidR="00406EA1" w:rsidRPr="00384EEC" w:rsidRDefault="00406EA1" w:rsidP="003127AF">
      <w:pPr>
        <w:pStyle w:val="P68B1DB1-125"/>
        <w:rPr>
          <w:rFonts w:eastAsiaTheme="minorEastAsia" w:hint="default"/>
        </w:rPr>
      </w:pPr>
      <w:r w:rsidRPr="004070CC">
        <w:t>The data management will be provided by Chia Tai Tianqing Pharmaceutical Group Co., Ltd. The statistical analysis will be conducted by the Department of Biostatistics, School of Public Health, Nanjing Medical University. The statistical analysis will be performed using the SAS statistical package, version 9.4.</w:t>
      </w:r>
    </w:p>
    <w:p w14:paraId="1D1B0EFE" w14:textId="20710A7B" w:rsidR="00D45C54" w:rsidRPr="00627FFD" w:rsidRDefault="00303DF0" w:rsidP="00627FFD">
      <w:pPr>
        <w:pStyle w:val="1"/>
      </w:pPr>
      <w:bookmarkStart w:id="187" w:name="_Toc33516957"/>
      <w:bookmarkStart w:id="188" w:name="_Toc196548046"/>
      <w:r>
        <w:rPr>
          <w:rFonts w:hint="eastAsia"/>
        </w:rPr>
        <w:t>1</w:t>
      </w:r>
      <w:r>
        <w:t>3</w:t>
      </w:r>
      <w:r w:rsidR="00EB2165">
        <w:t>.</w:t>
      </w:r>
      <w:r w:rsidR="003E0392">
        <w:rPr>
          <w:rFonts w:hint="eastAsia"/>
        </w:rPr>
        <w:t xml:space="preserve"> Ethics </w:t>
      </w:r>
      <w:bookmarkEnd w:id="187"/>
      <w:r w:rsidR="00627FFD">
        <w:t xml:space="preserve">and </w:t>
      </w:r>
      <w:r w:rsidR="00627FFD" w:rsidRPr="00627FFD">
        <w:t>Informed Consent</w:t>
      </w:r>
      <w:bookmarkEnd w:id="188"/>
    </w:p>
    <w:p w14:paraId="1C264424" w14:textId="6812E0F7" w:rsidR="00822C55" w:rsidRDefault="00BD6BF8" w:rsidP="00BD6BF8">
      <w:pPr>
        <w:pStyle w:val="P68B1DB1-125"/>
        <w:rPr>
          <w:rFonts w:hint="default"/>
        </w:rPr>
      </w:pPr>
      <w:r>
        <w:t xml:space="preserve">The investigator </w:t>
      </w:r>
      <w:r>
        <w:rPr>
          <w:rFonts w:hint="default"/>
        </w:rPr>
        <w:t>must</w:t>
      </w:r>
      <w:r>
        <w:t xml:space="preserve"> ensure that the study is conducted in full compliance with the principles of the Declaration of Helsinki </w:t>
      </w:r>
      <w:r w:rsidR="00822C55">
        <w:rPr>
          <w:rFonts w:hint="default"/>
        </w:rPr>
        <w:t xml:space="preserve">(2010) </w:t>
      </w:r>
      <w:r>
        <w:t>or the laws and regulations of the country.</w:t>
      </w:r>
      <w:r w:rsidR="00822C55">
        <w:rPr>
          <w:rFonts w:hint="default"/>
        </w:rPr>
        <w:t xml:space="preserve"> </w:t>
      </w:r>
      <w:r w:rsidR="00822C55" w:rsidRPr="00822C55">
        <w:t xml:space="preserve">The trial protocol </w:t>
      </w:r>
      <w:r w:rsidR="00822C55">
        <w:rPr>
          <w:rFonts w:hint="default"/>
        </w:rPr>
        <w:t>i</w:t>
      </w:r>
      <w:r w:rsidR="00822C55" w:rsidRPr="00822C55">
        <w:t xml:space="preserve">s formulated before the start of the clinical trial, which </w:t>
      </w:r>
      <w:r w:rsidR="00822C55">
        <w:rPr>
          <w:rFonts w:hint="default"/>
        </w:rPr>
        <w:t>i</w:t>
      </w:r>
      <w:r w:rsidR="00822C55" w:rsidRPr="00822C55">
        <w:t>s agreed and signed by the investigators and the sponsor, and submitted to the ethics committee for approval. If the protocol needs to be revised during the actual implementation of the clinical trial, the revised trial protocol will be submitted to the ethics committee for approval before implementation. If important new information related to the trial drug is found, the informed consent form must be revised in writing and submitted to the ethics committee for approval, and the consent of the subjects should be obtained again.</w:t>
      </w:r>
    </w:p>
    <w:p w14:paraId="50D8F34F" w14:textId="1B47A666" w:rsidR="00822C55" w:rsidRDefault="00822C55" w:rsidP="00BD6BF8">
      <w:pPr>
        <w:pStyle w:val="P68B1DB1-125"/>
        <w:rPr>
          <w:rFonts w:hint="default"/>
        </w:rPr>
      </w:pPr>
      <w:r w:rsidRPr="00822C55">
        <w:t xml:space="preserve">Prior to the initiation of trial, the investigator must provide the subject with detailed information about the clinical trial, including the nature of the trial, the purpose of the trial, the possible </w:t>
      </w:r>
      <w:r w:rsidRPr="00822C55">
        <w:lastRenderedPageBreak/>
        <w:t>benefits and risks, alternative treatment options, and the rights and obligations of the subject. All participants provided informed consent and signed an informed consent form before starting the clinical trial.</w:t>
      </w:r>
    </w:p>
    <w:p w14:paraId="27B46A35" w14:textId="74461AF1" w:rsidR="00D45C54" w:rsidRDefault="003E0392">
      <w:pPr>
        <w:pStyle w:val="1"/>
      </w:pPr>
      <w:bookmarkStart w:id="189" w:name="_Toc33516961"/>
      <w:bookmarkStart w:id="190" w:name="_Toc196548047"/>
      <w:r>
        <w:rPr>
          <w:rFonts w:hint="eastAsia"/>
        </w:rPr>
        <w:t>1</w:t>
      </w:r>
      <w:r w:rsidR="000E125F">
        <w:t>4</w:t>
      </w:r>
      <w:r w:rsidR="00056F54">
        <w:t>.</w:t>
      </w:r>
      <w:r>
        <w:rPr>
          <w:rFonts w:hint="eastAsia"/>
        </w:rPr>
        <w:t xml:space="preserve"> Publication and patent of trial results</w:t>
      </w:r>
      <w:bookmarkEnd w:id="190"/>
      <w:r>
        <w:rPr>
          <w:rFonts w:hint="eastAsia"/>
        </w:rPr>
        <w:t xml:space="preserve"> </w:t>
      </w:r>
      <w:bookmarkEnd w:id="189"/>
    </w:p>
    <w:p w14:paraId="4F5B39D6" w14:textId="6A638A77" w:rsidR="007D53C1" w:rsidRDefault="007D53C1" w:rsidP="003127AF">
      <w:pPr>
        <w:pStyle w:val="P68B1DB1-125"/>
        <w:rPr>
          <w:rFonts w:hint="default"/>
        </w:rPr>
      </w:pPr>
      <w:r w:rsidRPr="007D53C1">
        <w:t xml:space="preserve">The trail results are owned by Chia Tai Tianqing Pharmaceutical Group Co., LTD. </w:t>
      </w:r>
      <w:r w:rsidR="00956D9D">
        <w:rPr>
          <w:rFonts w:hint="default"/>
        </w:rPr>
        <w:t>I</w:t>
      </w:r>
      <w:r w:rsidR="00956D9D" w:rsidRPr="007D53C1">
        <w:t xml:space="preserve">nvestigators </w:t>
      </w:r>
      <w:r w:rsidRPr="007D53C1">
        <w:t>(study sites) should obtain the consent from Chia Tai Tianqing Pharmaceutical Group Co., LTD before publishing the paper or when communicating the at academic conferences.</w:t>
      </w:r>
    </w:p>
    <w:p w14:paraId="380427F8" w14:textId="1AB5B1E2" w:rsidR="00D45C54" w:rsidRDefault="000E125F">
      <w:pPr>
        <w:pStyle w:val="P68B1DB1-215"/>
        <w:rPr>
          <w:rFonts w:hint="default"/>
        </w:rPr>
      </w:pPr>
      <w:r w:rsidRPr="00384EEC">
        <w:rPr>
          <w:rFonts w:hint="default"/>
        </w:rPr>
        <w:t xml:space="preserve">15. </w:t>
      </w:r>
      <w:bookmarkStart w:id="191" w:name="_Toc33516962"/>
      <w:r w:rsidR="003E0392" w:rsidRPr="00384EEC">
        <w:rPr>
          <w:rFonts w:hint="default"/>
        </w:rPr>
        <w:t>References</w:t>
      </w:r>
      <w:r w:rsidR="003E0392">
        <w:t xml:space="preserve"> </w:t>
      </w:r>
      <w:bookmarkEnd w:id="191"/>
    </w:p>
    <w:p w14:paraId="3D96FA64" w14:textId="50B7A750" w:rsidR="000E125F" w:rsidRPr="00384EEC" w:rsidRDefault="000E125F" w:rsidP="00384EEC">
      <w:pPr>
        <w:rPr>
          <w:rFonts w:eastAsiaTheme="minorEastAsia"/>
        </w:rPr>
      </w:pPr>
      <w:r w:rsidRPr="000E125F">
        <w:t>1) Technical Guidelines for clinical trials of antineoplastic drugs SFDA 2007.3</w:t>
      </w:r>
    </w:p>
    <w:p w14:paraId="6C0AE292" w14:textId="36F990EE" w:rsidR="000E125F" w:rsidRPr="00384EEC" w:rsidRDefault="000E125F" w:rsidP="00384EEC">
      <w:pPr>
        <w:rPr>
          <w:rFonts w:eastAsiaTheme="minorEastAsia"/>
        </w:rPr>
      </w:pPr>
      <w:r w:rsidRPr="000E125F">
        <w:t>2) Chinese Society of Clinical Oncology (CSCO) Guidelines for the diagnosis and treatment of Colorectal Cancer 2019</w:t>
      </w:r>
    </w:p>
    <w:p w14:paraId="1BAAB805" w14:textId="66357DC7" w:rsidR="000E125F" w:rsidRPr="00384EEC" w:rsidRDefault="000E125F" w:rsidP="00384EEC">
      <w:pPr>
        <w:rPr>
          <w:rFonts w:eastAsiaTheme="minorEastAsia"/>
        </w:rPr>
      </w:pPr>
      <w:r w:rsidRPr="000E125F">
        <w:t>3) Chinese Guidelines for Diagnosis and treatment of Colorectal Cancer by Medical Administration and Medical Administration Bureau of National Health and Family Planning Commission of the People's Republic of China &amp; Oncology Society of Chinese Medical Association (2017 edition)</w:t>
      </w:r>
    </w:p>
    <w:p w14:paraId="7AE37769" w14:textId="52AF5FC5" w:rsidR="000E125F" w:rsidRPr="00384EEC" w:rsidRDefault="000E125F" w:rsidP="00384EEC">
      <w:pPr>
        <w:rPr>
          <w:rFonts w:eastAsiaTheme="minorEastAsia"/>
        </w:rPr>
      </w:pPr>
      <w:r w:rsidRPr="000E125F">
        <w:t>4) Saltz L B, Clarke S, Diaz-Rubio E, et al. Bevacizumab in combination with oxaliplatin-based chemotherapy as first-line therap</w:t>
      </w:r>
      <w:r w:rsidR="000A45F3">
        <w:t xml:space="preserve">y in metastatic colorectal </w:t>
      </w:r>
      <w:r w:rsidRPr="000E125F">
        <w:t>cancer: a randomized phase III study[J]. Journal of clinical oncology, 2008, 26(12): 2013-2019.</w:t>
      </w:r>
    </w:p>
    <w:p w14:paraId="6E9ACF6B" w14:textId="2446E164" w:rsidR="000E125F" w:rsidRPr="00384EEC" w:rsidRDefault="000E125F" w:rsidP="00384EEC">
      <w:pPr>
        <w:rPr>
          <w:rFonts w:eastAsiaTheme="minorEastAsia"/>
        </w:rPr>
      </w:pPr>
      <w:r w:rsidRPr="000E125F">
        <w:t>5) Handbook of Clinical Oncology (6th edition) [M]. Beijing: People's Medical Publishing House, 2015.</w:t>
      </w:r>
    </w:p>
    <w:p w14:paraId="5668A133" w14:textId="783EF85D" w:rsidR="000E125F" w:rsidRPr="00384EEC" w:rsidRDefault="000E125F" w:rsidP="00384EEC">
      <w:pPr>
        <w:rPr>
          <w:rFonts w:eastAsiaTheme="minorEastAsia"/>
        </w:rPr>
      </w:pPr>
      <w:r w:rsidRPr="000E125F">
        <w:t>6) Zhengtai Tianqing, Anlotinib instructions, August 29, 2019 edition</w:t>
      </w:r>
    </w:p>
    <w:p w14:paraId="3291B354" w14:textId="625F3C64" w:rsidR="000E125F" w:rsidRPr="00384EEC" w:rsidRDefault="000E125F" w:rsidP="00384EEC">
      <w:pPr>
        <w:rPr>
          <w:rFonts w:eastAsiaTheme="minorEastAsia"/>
        </w:rPr>
      </w:pPr>
      <w:r w:rsidRPr="000E125F">
        <w:t>7) Roche, Bevacizumab package insert, June 13, 2019 edition</w:t>
      </w:r>
    </w:p>
    <w:p w14:paraId="0D0609EA" w14:textId="264D8048" w:rsidR="000E125F" w:rsidRPr="00384EEC" w:rsidRDefault="000E125F" w:rsidP="00384EEC">
      <w:pPr>
        <w:rPr>
          <w:rFonts w:eastAsiaTheme="minorEastAsia"/>
        </w:rPr>
      </w:pPr>
      <w:r w:rsidRPr="000E125F">
        <w:t>8) Roche, capecitabine Specification, June 13, 2019 edition</w:t>
      </w:r>
    </w:p>
    <w:p w14:paraId="78D6C180" w14:textId="344B2334" w:rsidR="000E125F" w:rsidRPr="00384EEC" w:rsidRDefault="000E125F" w:rsidP="00384EEC">
      <w:pPr>
        <w:rPr>
          <w:rFonts w:eastAsiaTheme="minorEastAsia"/>
        </w:rPr>
      </w:pPr>
      <w:r w:rsidRPr="000E125F">
        <w:t>9) Sanofi, Oxaliplatin for Injection Instructions, June 13, 2019 edition</w:t>
      </w:r>
    </w:p>
    <w:p w14:paraId="38D2F264" w14:textId="7B3833DF" w:rsidR="00D45C54" w:rsidRPr="003127AF" w:rsidRDefault="000E125F" w:rsidP="00384EEC">
      <w:pPr>
        <w:rPr>
          <w:rFonts w:eastAsiaTheme="minorEastAsia"/>
        </w:rPr>
      </w:pPr>
      <w:r w:rsidRPr="000E125F">
        <w:t>10) DeMets D L,Lan K K,Interim analysis: the alpha spending function approach.[J] .Stat Med, 1994, 13: 1341-52;  discussion 1353-6.</w:t>
      </w:r>
      <w:r w:rsidRPr="000E125F" w:rsidDel="000E125F">
        <w:t xml:space="preserve"> </w:t>
      </w:r>
      <w:bookmarkStart w:id="192" w:name="_附录1__ECOG体力状况计分标准_1"/>
      <w:bookmarkStart w:id="193" w:name="_附录2__Child-Pugh肝功能评分"/>
      <w:bookmarkStart w:id="194" w:name="_附录3__单次空腹给药药代动力学样品采集时间表"/>
      <w:bookmarkStart w:id="195" w:name="_附录_2_"/>
      <w:bookmarkStart w:id="196" w:name="_附录2__单次给药药代动力学样品采集时间表"/>
      <w:bookmarkStart w:id="197" w:name="_附录3__单次给药药代动力学样品采集时间表"/>
      <w:bookmarkStart w:id="198" w:name="_附录2__多次给药药代动力学样品采集时间表"/>
      <w:bookmarkStart w:id="199" w:name="_附录3__多次给药药代动力学样品采集时间表"/>
      <w:bookmarkStart w:id="200" w:name="_附录4__多次给药药代动力学样品采集时间表"/>
      <w:bookmarkStart w:id="201" w:name="_附录8__预期性不良反应的预防和处理措施"/>
      <w:bookmarkStart w:id="202" w:name="_附录5__疼痛调查问卷"/>
      <w:bookmarkStart w:id="203" w:name="_附录3__CK-MB/CK-BB检测（待补充）"/>
      <w:bookmarkStart w:id="204" w:name="_附录6__c-MET和Axl基因检测（待补充）"/>
      <w:bookmarkStart w:id="205" w:name="_附录7._多靶点酪氨酸激酶受体抑制剂常见的不良反应和严重不良反应的预防"/>
      <w:bookmarkStart w:id="206" w:name="_附录5._预期性严重不良反应的预防和处理措施"/>
      <w:bookmarkStart w:id="207" w:name="_附录5__预期性严重不良反应的预防和处理措施"/>
      <w:bookmarkStart w:id="208" w:name="_附录5__c-MET和Axl基因检测（待补充）"/>
      <w:bookmarkStart w:id="209" w:name="_附录4__骨痛及生活质量评估（请李东企补充）"/>
      <w:bookmarkStart w:id="210" w:name="_附录5__骨痛及生活质量评估（请李东企补充）"/>
      <w:bookmarkStart w:id="211" w:name="_附录7__预期性不良反应的预防和处理措施"/>
      <w:bookmarkStart w:id="212" w:name="_附录8__常见CYP3A4强诱导剂和强抑制剂"/>
      <w:bookmarkStart w:id="213" w:name="_附录6__常见CYP3A4强诱导剂和强抑制剂"/>
      <w:bookmarkStart w:id="214" w:name="_附录10__实体瘤疗效评价标准1.1版（RECIST"/>
      <w:bookmarkStart w:id="215" w:name="_附录6._常见CYP3A4强诱导剂和强抑制剂"/>
      <w:bookmarkStart w:id="216" w:name="_附录9__常见CYP3A4强诱导剂和强抑制剂"/>
      <w:bookmarkStart w:id="217" w:name="_附录9__实体瘤疗效评价标准1.1版（RECIST"/>
      <w:bookmarkStart w:id="218" w:name="_附录8._常见CYP3A4强诱导剂和强抑制剂（请张甜审核）"/>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sectPr w:rsidR="00D45C54" w:rsidRPr="003127AF">
      <w:pgSz w:w="11906" w:h="16838"/>
      <w:pgMar w:top="1559" w:right="1418" w:bottom="1418" w:left="1418" w:header="851" w:footer="992" w:gutter="0"/>
      <w:pgNumType w:fmt="numberInDash"/>
      <w:cols w:space="72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66BC75" w14:textId="77777777" w:rsidR="003F4ABE" w:rsidRDefault="003F4ABE">
      <w:pPr>
        <w:spacing w:line="240" w:lineRule="auto"/>
        <w:ind w:firstLine="480"/>
      </w:pPr>
      <w:r>
        <w:separator/>
      </w:r>
    </w:p>
  </w:endnote>
  <w:endnote w:type="continuationSeparator" w:id="0">
    <w:p w14:paraId="35A66650" w14:textId="77777777" w:rsidR="003F4ABE" w:rsidRDefault="003F4ABE">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default"/>
    <w:sig w:usb0="00000000" w:usb1="00000000" w:usb2="00000030" w:usb3="00000000" w:csb0="0008009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1CB88" w14:textId="77777777" w:rsidR="00135748" w:rsidRDefault="00135748">
    <w:pPr>
      <w:pStyle w:val="af2"/>
      <w:framePr w:wrap="around" w:vAnchor="text" w:hAnchor="margin" w:xAlign="right" w:y="1"/>
      <w:spacing w:before="60" w:after="60"/>
      <w:ind w:firstLine="480"/>
      <w:rPr>
        <w:rStyle w:val="aff5"/>
      </w:rPr>
    </w:pPr>
    <w:r>
      <w:fldChar w:fldCharType="begin"/>
    </w:r>
    <w:r>
      <w:rPr>
        <w:rStyle w:val="aff5"/>
      </w:rPr>
      <w:instrText xml:space="preserve">PAGE  </w:instrText>
    </w:r>
    <w:r>
      <w:fldChar w:fldCharType="end"/>
    </w:r>
  </w:p>
  <w:p w14:paraId="3409E468" w14:textId="77777777" w:rsidR="00135748" w:rsidRDefault="00135748">
    <w:pPr>
      <w:pStyle w:val="af2"/>
      <w:spacing w:before="60" w:after="60"/>
      <w:ind w:right="360" w:firstLine="48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982873"/>
    </w:sdtPr>
    <w:sdtContent>
      <w:p w14:paraId="6E3DF835" w14:textId="77777777" w:rsidR="00135748" w:rsidRDefault="00135748">
        <w:pPr>
          <w:pStyle w:val="af2"/>
          <w:ind w:firstLine="480"/>
          <w:jc w:val="center"/>
        </w:pP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66D5E" w14:textId="77777777" w:rsidR="00135748" w:rsidRDefault="00135748">
    <w:pPr>
      <w:pStyle w:val="af2"/>
      <w:spacing w:before="60" w:after="60"/>
      <w:ind w:firstLine="48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1627894"/>
    </w:sdtPr>
    <w:sdtEndPr>
      <w:rPr>
        <w:b/>
        <w:bCs/>
        <w:sz w:val="21"/>
      </w:rPr>
    </w:sdtEndPr>
    <w:sdtContent>
      <w:p w14:paraId="21699CCD" w14:textId="78A228E3" w:rsidR="00135748" w:rsidRDefault="00135748">
        <w:pPr>
          <w:pStyle w:val="af2"/>
          <w:ind w:firstLine="480"/>
          <w:jc w:val="center"/>
          <w:rPr>
            <w:b/>
            <w:bCs/>
            <w:sz w:val="21"/>
          </w:rPr>
        </w:pPr>
        <w:r>
          <w:rPr>
            <w:b/>
            <w:bCs/>
            <w:sz w:val="21"/>
          </w:rPr>
          <w:fldChar w:fldCharType="begin"/>
        </w:r>
        <w:r>
          <w:rPr>
            <w:b/>
            <w:bCs/>
            <w:sz w:val="21"/>
          </w:rPr>
          <w:instrText>PAGE   \* MERGEFORMAT</w:instrText>
        </w:r>
        <w:r>
          <w:rPr>
            <w:b/>
            <w:bCs/>
            <w:sz w:val="21"/>
          </w:rPr>
          <w:fldChar w:fldCharType="separate"/>
        </w:r>
        <w:r w:rsidR="00EF0680" w:rsidRPr="00EF0680">
          <w:rPr>
            <w:b/>
            <w:bCs/>
            <w:noProof/>
            <w:sz w:val="21"/>
            <w:lang w:val="zh-CN"/>
          </w:rPr>
          <w:t>iii</w:t>
        </w:r>
        <w:r>
          <w:rPr>
            <w:b/>
            <w:bCs/>
            <w:sz w:val="21"/>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4101882"/>
    </w:sdtPr>
    <w:sdtContent>
      <w:p w14:paraId="09517901" w14:textId="3E7D9458" w:rsidR="00135748" w:rsidRDefault="00135748">
        <w:pPr>
          <w:pStyle w:val="af2"/>
          <w:ind w:firstLine="480"/>
          <w:jc w:val="center"/>
        </w:pPr>
        <w:r>
          <w:rPr>
            <w:b/>
            <w:bCs/>
            <w:sz w:val="21"/>
          </w:rPr>
          <w:fldChar w:fldCharType="begin"/>
        </w:r>
        <w:r>
          <w:rPr>
            <w:b/>
            <w:bCs/>
            <w:sz w:val="21"/>
          </w:rPr>
          <w:instrText>PAGE   \* MERGEFORMAT</w:instrText>
        </w:r>
        <w:r>
          <w:rPr>
            <w:b/>
            <w:bCs/>
            <w:sz w:val="21"/>
          </w:rPr>
          <w:fldChar w:fldCharType="separate"/>
        </w:r>
        <w:r w:rsidR="00EF0680" w:rsidRPr="00EF0680">
          <w:rPr>
            <w:b/>
            <w:bCs/>
            <w:noProof/>
            <w:sz w:val="21"/>
            <w:lang w:val="zh-CN"/>
          </w:rPr>
          <w:t>-</w:t>
        </w:r>
        <w:r w:rsidR="00EF0680">
          <w:rPr>
            <w:b/>
            <w:bCs/>
            <w:noProof/>
            <w:sz w:val="21"/>
          </w:rPr>
          <w:t xml:space="preserve"> 17 -</w:t>
        </w:r>
        <w:r>
          <w:rPr>
            <w:b/>
            <w:bCs/>
            <w:sz w:val="21"/>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A8F538" w14:textId="77777777" w:rsidR="003F4ABE" w:rsidRDefault="003F4ABE">
      <w:pPr>
        <w:ind w:firstLine="480"/>
      </w:pPr>
      <w:r>
        <w:separator/>
      </w:r>
    </w:p>
  </w:footnote>
  <w:footnote w:type="continuationSeparator" w:id="0">
    <w:p w14:paraId="327A8BE7" w14:textId="77777777" w:rsidR="003F4ABE" w:rsidRDefault="003F4ABE">
      <w:pPr>
        <w:ind w:firstLine="48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AB071" w14:textId="77777777" w:rsidR="00135748" w:rsidRDefault="00135748">
    <w:pPr>
      <w:pStyle w:val="af4"/>
      <w:spacing w:before="60" w:after="60"/>
      <w:ind w:firstLine="48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46DAC" w14:textId="77777777" w:rsidR="00135748" w:rsidRPr="004B28F4" w:rsidRDefault="00135748" w:rsidP="00856263">
    <w:pPr>
      <w:pStyle w:val="17"/>
      <w:jc w:val="center"/>
      <w:rPr>
        <w:bCs/>
        <w:sz w:val="18"/>
        <w:szCs w:val="18"/>
        <w:u w:val="single"/>
      </w:rPr>
    </w:pPr>
  </w:p>
  <w:p w14:paraId="70837129" w14:textId="77777777" w:rsidR="00135748" w:rsidRDefault="00135748" w:rsidP="00856263">
    <w:pPr>
      <w:pStyle w:val="17"/>
      <w:jc w:val="center"/>
      <w:rPr>
        <w:bCs/>
        <w:sz w:val="18"/>
        <w:szCs w:val="18"/>
      </w:rPr>
    </w:pPr>
  </w:p>
  <w:p w14:paraId="615B5E18" w14:textId="0B7DB488" w:rsidR="00135748" w:rsidRPr="004B28F4" w:rsidRDefault="00135748" w:rsidP="00856263">
    <w:pPr>
      <w:pStyle w:val="17"/>
      <w:jc w:val="center"/>
      <w:rPr>
        <w:bCs/>
        <w:sz w:val="18"/>
        <w:szCs w:val="18"/>
        <w:u w:val="single"/>
      </w:rPr>
    </w:pPr>
    <w:r w:rsidRPr="004B28F4">
      <w:rPr>
        <w:bCs/>
        <w:sz w:val="18"/>
        <w:szCs w:val="18"/>
        <w:u w:val="single"/>
      </w:rPr>
      <w:t>Chia Tai Tianqing Pharmaceutical Group Co., Ltd.                                               ALTN-</w:t>
    </w:r>
    <w:r w:rsidRPr="004B28F4" w:rsidDel="00F9608F">
      <w:rPr>
        <w:bCs/>
        <w:sz w:val="18"/>
        <w:szCs w:val="18"/>
        <w:u w:val="single"/>
      </w:rPr>
      <w:t xml:space="preserve"> </w:t>
    </w:r>
    <w:r w:rsidRPr="004B28F4">
      <w:rPr>
        <w:bCs/>
        <w:sz w:val="18"/>
        <w:szCs w:val="18"/>
        <w:u w:val="single"/>
      </w:rPr>
      <w:t>III-02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52914" w14:textId="77777777" w:rsidR="00135748" w:rsidRDefault="00135748">
    <w:pPr>
      <w:pStyle w:val="af4"/>
      <w:spacing w:before="60" w:after="60"/>
      <w:ind w:firstLine="48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FFFFF83"/>
    <w:lvl w:ilvl="0">
      <w:start w:val="1"/>
      <w:numFmt w:val="bullet"/>
      <w:pStyle w:val="2"/>
      <w:lvlText w:val=""/>
      <w:lvlJc w:val="left"/>
      <w:pPr>
        <w:tabs>
          <w:tab w:val="left" w:pos="720"/>
        </w:tabs>
        <w:ind w:left="720" w:hanging="360"/>
      </w:pPr>
      <w:rPr>
        <w:rFonts w:ascii="Symbol" w:hAnsi="Symbol" w:hint="default"/>
      </w:rPr>
    </w:lvl>
  </w:abstractNum>
  <w:abstractNum w:abstractNumId="1"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2" w15:restartNumberingAfterBreak="0">
    <w:nsid w:val="029C48AA"/>
    <w:multiLevelType w:val="hybridMultilevel"/>
    <w:tmpl w:val="21F4F70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4CC48A7"/>
    <w:multiLevelType w:val="hybridMultilevel"/>
    <w:tmpl w:val="4072CFD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57E5DE1"/>
    <w:multiLevelType w:val="hybridMultilevel"/>
    <w:tmpl w:val="699CEBB2"/>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60F27B6"/>
    <w:multiLevelType w:val="hybridMultilevel"/>
    <w:tmpl w:val="9AC4FEA2"/>
    <w:lvl w:ilvl="0" w:tplc="04090009">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 w15:restartNumberingAfterBreak="0">
    <w:nsid w:val="081672B0"/>
    <w:multiLevelType w:val="multilevel"/>
    <w:tmpl w:val="081672B0"/>
    <w:lvl w:ilvl="0">
      <w:start w:val="1"/>
      <w:numFmt w:val="bullet"/>
      <w:pStyle w:val="a0"/>
      <w:lvlText w:val=""/>
      <w:lvlJc w:val="left"/>
      <w:pPr>
        <w:ind w:left="420" w:hanging="420"/>
      </w:pPr>
      <w:rPr>
        <w:rFonts w:ascii="Wingdings" w:hAnsi="Wingdings" w:hint="default"/>
        <w:b w:val="0"/>
        <w:i w:val="0"/>
        <w:caps w:val="0"/>
        <w:strike w:val="0"/>
        <w:dstrike w:val="0"/>
        <w:snapToGrid/>
        <w:vanish w:val="0"/>
        <w:spacing w:val="0"/>
        <w:w w:val="100"/>
        <w:kern w:val="0"/>
        <w:position w:val="0"/>
        <w:sz w:val="24"/>
        <w:vertAlign w:val="baseline"/>
        <w14:ligatures w14:val="none"/>
        <w14:numForm w14:val="default"/>
        <w14:numSpacing w14:val="proportional"/>
      </w:rPr>
    </w:lvl>
    <w:lvl w:ilvl="1">
      <w:start w:val="1"/>
      <w:numFmt w:val="decimalEnclosedCircle"/>
      <w:lvlText w:val="%2"/>
      <w:lvlJc w:val="left"/>
      <w:pPr>
        <w:ind w:left="780" w:hanging="360"/>
      </w:pPr>
      <w:rPr>
        <w:rFonts w:hint="default"/>
        <w:b w:val="0"/>
      </w:rPr>
    </w:lvl>
    <w:lvl w:ilvl="2">
      <w:start w:val="1"/>
      <w:numFmt w:val="lowerLetter"/>
      <w:lvlText w:val="%3."/>
      <w:lvlJc w:val="left"/>
      <w:pPr>
        <w:ind w:left="1200" w:hanging="36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9070870"/>
    <w:multiLevelType w:val="hybridMultilevel"/>
    <w:tmpl w:val="229C077E"/>
    <w:lvl w:ilvl="0" w:tplc="A036C60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0B851A36"/>
    <w:multiLevelType w:val="hybridMultilevel"/>
    <w:tmpl w:val="52EC865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4635EC4"/>
    <w:multiLevelType w:val="multilevel"/>
    <w:tmpl w:val="60B21870"/>
    <w:lvl w:ilvl="0">
      <w:start w:val="1"/>
      <w:numFmt w:val="decimal"/>
      <w:lvlText w:val="%1."/>
      <w:lvlJc w:val="left"/>
      <w:pPr>
        <w:ind w:left="420" w:hanging="420"/>
      </w:pPr>
      <w:rPr>
        <w:rFonts w:hint="default"/>
        <w:b w:val="0"/>
        <w:i w:val="0"/>
        <w:spacing w:val="0"/>
        <w:w w:val="100"/>
        <w:kern w:val="0"/>
        <w:position w:val="0"/>
        <w:sz w:val="24"/>
        <w14:ligatures w14:val="none"/>
        <w14:numForm w14:val="default"/>
        <w14:numSpacing w14:val="proportional"/>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16381BA9"/>
    <w:multiLevelType w:val="hybridMultilevel"/>
    <w:tmpl w:val="877887CC"/>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47B3B5E"/>
    <w:multiLevelType w:val="singleLevel"/>
    <w:tmpl w:val="247B3B5E"/>
    <w:lvl w:ilvl="0">
      <w:start w:val="1"/>
      <w:numFmt w:val="decimal"/>
      <w:pStyle w:val="Ref-List"/>
      <w:lvlText w:val="%1."/>
      <w:legacy w:legacy="1" w:legacySpace="288" w:legacyIndent="576"/>
      <w:lvlJc w:val="right"/>
      <w:pPr>
        <w:ind w:left="576" w:hanging="576"/>
      </w:pPr>
    </w:lvl>
  </w:abstractNum>
  <w:abstractNum w:abstractNumId="12" w15:restartNumberingAfterBreak="0">
    <w:nsid w:val="24AC16A7"/>
    <w:multiLevelType w:val="hybridMultilevel"/>
    <w:tmpl w:val="52EC865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7CB3F54"/>
    <w:multiLevelType w:val="hybridMultilevel"/>
    <w:tmpl w:val="1450B94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2B425112"/>
    <w:multiLevelType w:val="hybridMultilevel"/>
    <w:tmpl w:val="EAFEA002"/>
    <w:lvl w:ilvl="0" w:tplc="04090001">
      <w:start w:val="1"/>
      <w:numFmt w:val="bullet"/>
      <w:lvlText w:val=""/>
      <w:lvlJc w:val="left"/>
      <w:pPr>
        <w:ind w:left="1080" w:hanging="420"/>
      </w:pPr>
      <w:rPr>
        <w:rFonts w:ascii="Wingdings" w:hAnsi="Wingdings" w:hint="default"/>
      </w:rPr>
    </w:lvl>
    <w:lvl w:ilvl="1" w:tplc="04090003" w:tentative="1">
      <w:start w:val="1"/>
      <w:numFmt w:val="bullet"/>
      <w:lvlText w:val=""/>
      <w:lvlJc w:val="left"/>
      <w:pPr>
        <w:ind w:left="1500" w:hanging="420"/>
      </w:pPr>
      <w:rPr>
        <w:rFonts w:ascii="Wingdings" w:hAnsi="Wingdings" w:hint="default"/>
      </w:rPr>
    </w:lvl>
    <w:lvl w:ilvl="2" w:tplc="04090005"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3" w:tentative="1">
      <w:start w:val="1"/>
      <w:numFmt w:val="bullet"/>
      <w:lvlText w:val=""/>
      <w:lvlJc w:val="left"/>
      <w:pPr>
        <w:ind w:left="2760" w:hanging="420"/>
      </w:pPr>
      <w:rPr>
        <w:rFonts w:ascii="Wingdings" w:hAnsi="Wingdings" w:hint="default"/>
      </w:rPr>
    </w:lvl>
    <w:lvl w:ilvl="5" w:tplc="04090005"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3" w:tentative="1">
      <w:start w:val="1"/>
      <w:numFmt w:val="bullet"/>
      <w:lvlText w:val=""/>
      <w:lvlJc w:val="left"/>
      <w:pPr>
        <w:ind w:left="4020" w:hanging="420"/>
      </w:pPr>
      <w:rPr>
        <w:rFonts w:ascii="Wingdings" w:hAnsi="Wingdings" w:hint="default"/>
      </w:rPr>
    </w:lvl>
    <w:lvl w:ilvl="8" w:tplc="04090005" w:tentative="1">
      <w:start w:val="1"/>
      <w:numFmt w:val="bullet"/>
      <w:lvlText w:val=""/>
      <w:lvlJc w:val="left"/>
      <w:pPr>
        <w:ind w:left="4440" w:hanging="420"/>
      </w:pPr>
      <w:rPr>
        <w:rFonts w:ascii="Wingdings" w:hAnsi="Wingdings" w:hint="default"/>
      </w:rPr>
    </w:lvl>
  </w:abstractNum>
  <w:abstractNum w:abstractNumId="15" w15:restartNumberingAfterBreak="0">
    <w:nsid w:val="2CCF4714"/>
    <w:multiLevelType w:val="hybridMultilevel"/>
    <w:tmpl w:val="D6CE3E68"/>
    <w:lvl w:ilvl="0" w:tplc="04090019">
      <w:start w:val="1"/>
      <w:numFmt w:val="lowerLetter"/>
      <w:lvlText w:val="%1)"/>
      <w:lvlJc w:val="left"/>
      <w:pPr>
        <w:ind w:left="660" w:hanging="420"/>
      </w:p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6" w15:restartNumberingAfterBreak="0">
    <w:nsid w:val="2D056096"/>
    <w:multiLevelType w:val="hybridMultilevel"/>
    <w:tmpl w:val="653E783C"/>
    <w:lvl w:ilvl="0" w:tplc="A036C60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30AE4AD5"/>
    <w:multiLevelType w:val="hybridMultilevel"/>
    <w:tmpl w:val="EE2EE86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3AA3043"/>
    <w:multiLevelType w:val="multilevel"/>
    <w:tmpl w:val="33AA3043"/>
    <w:lvl w:ilvl="0">
      <w:start w:val="1"/>
      <w:numFmt w:val="bullet"/>
      <w:pStyle w:val="5"/>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15:restartNumberingAfterBreak="0">
    <w:nsid w:val="33DA0289"/>
    <w:multiLevelType w:val="hybridMultilevel"/>
    <w:tmpl w:val="03F666E8"/>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347B0030"/>
    <w:multiLevelType w:val="hybridMultilevel"/>
    <w:tmpl w:val="790AFD62"/>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348A5DC9"/>
    <w:multiLevelType w:val="multilevel"/>
    <w:tmpl w:val="86CCB818"/>
    <w:lvl w:ilvl="0">
      <w:start w:val="1"/>
      <w:numFmt w:val="decimal"/>
      <w:lvlText w:val="%1."/>
      <w:lvlJc w:val="left"/>
      <w:pPr>
        <w:ind w:left="420" w:hanging="420"/>
      </w:pPr>
      <w:rPr>
        <w:rFonts w:hint="default"/>
        <w:b w:val="0"/>
        <w:i w:val="0"/>
        <w:spacing w:val="0"/>
        <w:w w:val="100"/>
        <w:kern w:val="0"/>
        <w:position w:val="0"/>
        <w:sz w:val="24"/>
        <w14:ligatures w14:val="none"/>
        <w14:numForm w14:val="default"/>
        <w14:numSpacing w14:val="proportional"/>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2" w15:restartNumberingAfterBreak="0">
    <w:nsid w:val="353C6D64"/>
    <w:multiLevelType w:val="hybridMultilevel"/>
    <w:tmpl w:val="4544B1DC"/>
    <w:lvl w:ilvl="0" w:tplc="D6260F42">
      <w:start w:val="1"/>
      <w:numFmt w:val="decimal"/>
      <w:lvlText w:val="(%1)"/>
      <w:lvlJc w:val="left"/>
      <w:pPr>
        <w:ind w:left="900" w:hanging="420"/>
      </w:pPr>
      <w:rPr>
        <w:rFonts w:ascii="Times New Roman" w:eastAsia="宋体" w:hAnsi="Times New Roman" w:cs="宋体" w:hint="default"/>
        <w:b w:val="0"/>
        <w:bCs w:val="0"/>
        <w:i w:val="0"/>
        <w:iCs w:val="0"/>
        <w:spacing w:val="-39"/>
        <w:w w:val="100"/>
        <w:sz w:val="22"/>
        <w:szCs w:val="22"/>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3" w15:restartNumberingAfterBreak="0">
    <w:nsid w:val="3A6327D1"/>
    <w:multiLevelType w:val="multilevel"/>
    <w:tmpl w:val="3A6327D1"/>
    <w:lvl w:ilvl="0">
      <w:start w:val="1"/>
      <w:numFmt w:val="bullet"/>
      <w:pStyle w:val="a1"/>
      <w:lvlText w:val="●"/>
      <w:lvlJc w:val="left"/>
      <w:pPr>
        <w:ind w:left="420" w:hanging="420"/>
      </w:pPr>
      <w:rPr>
        <w:rFonts w:ascii="Times New Roman" w:eastAsia="宋体" w:hAnsi="Times New Roman" w:cs="Times New Roman" w:hint="default"/>
        <w:b w:val="0"/>
        <w:i w:val="0"/>
        <w:sz w:val="24"/>
        <w14:numSpacing w14:val="proportional"/>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4" w15:restartNumberingAfterBreak="0">
    <w:nsid w:val="3B2E0400"/>
    <w:multiLevelType w:val="hybridMultilevel"/>
    <w:tmpl w:val="2D7C54B2"/>
    <w:lvl w:ilvl="0" w:tplc="04090019">
      <w:start w:val="1"/>
      <w:numFmt w:val="lowerLetter"/>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25" w15:restartNumberingAfterBreak="0">
    <w:nsid w:val="42C13778"/>
    <w:multiLevelType w:val="hybridMultilevel"/>
    <w:tmpl w:val="2D7C54B2"/>
    <w:lvl w:ilvl="0" w:tplc="04090019">
      <w:start w:val="1"/>
      <w:numFmt w:val="lowerLetter"/>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26" w15:restartNumberingAfterBreak="0">
    <w:nsid w:val="443D10B5"/>
    <w:multiLevelType w:val="multilevel"/>
    <w:tmpl w:val="443D10B5"/>
    <w:lvl w:ilvl="0">
      <w:start w:val="1"/>
      <w:numFmt w:val="none"/>
      <w:pStyle w:val="Labeling3"/>
      <w:lvlText w:val="%1"/>
      <w:lvlJc w:val="left"/>
      <w:pPr>
        <w:tabs>
          <w:tab w:val="left" w:pos="0"/>
        </w:tabs>
        <w:ind w:left="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458C61AF"/>
    <w:multiLevelType w:val="hybridMultilevel"/>
    <w:tmpl w:val="BFACD4E2"/>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459D5C5F"/>
    <w:multiLevelType w:val="hybridMultilevel"/>
    <w:tmpl w:val="D6CE3E68"/>
    <w:lvl w:ilvl="0" w:tplc="04090019">
      <w:start w:val="1"/>
      <w:numFmt w:val="lowerLetter"/>
      <w:lvlText w:val="%1)"/>
      <w:lvlJc w:val="left"/>
      <w:pPr>
        <w:ind w:left="660" w:hanging="420"/>
      </w:p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9" w15:restartNumberingAfterBreak="0">
    <w:nsid w:val="478B65F2"/>
    <w:multiLevelType w:val="hybridMultilevel"/>
    <w:tmpl w:val="BC56D02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495B6593"/>
    <w:multiLevelType w:val="multilevel"/>
    <w:tmpl w:val="495B6593"/>
    <w:lvl w:ilvl="0">
      <w:start w:val="1"/>
      <w:numFmt w:val="decimal"/>
      <w:lvlText w:val="%1"/>
      <w:lvlJc w:val="left"/>
      <w:pPr>
        <w:ind w:left="432" w:hanging="432"/>
      </w:pPr>
      <w:rPr>
        <w:rFonts w:ascii="Times New Roman" w:hAnsi="Times New Roman" w:cs="Times New Roman" w:hint="default"/>
        <w:b/>
        <w:bCs/>
        <w:i w:val="0"/>
        <w:iCs w:val="0"/>
        <w:caps w:val="0"/>
        <w:smallCaps w:val="0"/>
        <w:strike w:val="0"/>
        <w:dstrike w:val="0"/>
        <w:color w:val="auto"/>
        <w:spacing w:val="0"/>
        <w:w w:val="100"/>
        <w:kern w:val="32"/>
        <w:position w:val="0"/>
        <w:sz w:val="28"/>
        <w:u w:val="none"/>
        <w14:shadow w14:blurRad="0" w14:dist="0" w14:dir="0" w14:sx="0" w14:sy="0" w14:kx="0" w14:ky="0" w14:algn="none">
          <w14:srgbClr w14:val="000000"/>
        </w14:shadow>
      </w:rPr>
    </w:lvl>
    <w:lvl w:ilvl="1">
      <w:start w:val="1"/>
      <w:numFmt w:val="decimal"/>
      <w:lvlText w:val="%1.%2"/>
      <w:lvlJc w:val="left"/>
      <w:pPr>
        <w:ind w:left="576" w:hanging="576"/>
      </w:pPr>
      <w:rPr>
        <w:rFonts w:hint="default"/>
        <w:b/>
        <w:i w:val="0"/>
        <w:caps w:val="0"/>
        <w:smallCaps w:val="0"/>
        <w:strike w:val="0"/>
        <w:color w:val="000000"/>
        <w:spacing w:val="0"/>
        <w:kern w:val="2"/>
        <w:position w:val="0"/>
        <w:sz w:val="24"/>
        <w:u w:val="none"/>
        <w14:shadow w14:blurRad="0" w14:dist="0" w14:dir="0" w14:sx="0" w14:sy="0" w14:kx="0" w14:ky="0" w14:algn="none">
          <w14:srgbClr w14:val="000000"/>
        </w14:shadow>
      </w:rPr>
    </w:lvl>
    <w:lvl w:ilvl="2">
      <w:start w:val="1"/>
      <w:numFmt w:val="decimal"/>
      <w:lvlText w:val="%1.%2.%3"/>
      <w:lvlJc w:val="left"/>
      <w:pPr>
        <w:ind w:left="720" w:hanging="720"/>
      </w:pPr>
      <w:rPr>
        <w:rFonts w:hint="default"/>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start w:val="1"/>
      <w:numFmt w:val="decimal"/>
      <w:lvlText w:val="%1.%2.%3.%4"/>
      <w:lvlJc w:val="left"/>
      <w:pPr>
        <w:ind w:left="864" w:hanging="864"/>
      </w:pPr>
      <w:rPr>
        <w:rFonts w:hint="default"/>
        <w:b/>
        <w:i w:val="0"/>
        <w:sz w:val="24"/>
      </w:rPr>
    </w:lvl>
    <w:lvl w:ilvl="4">
      <w:start w:val="1"/>
      <w:numFmt w:val="decimal"/>
      <w:lvlText w:val="%1.%2.%3.%4.%5"/>
      <w:lvlJc w:val="left"/>
      <w:pPr>
        <w:ind w:left="1008" w:hanging="1008"/>
      </w:pPr>
      <w:rPr>
        <w:rFonts w:hint="eastAsia"/>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31" w15:restartNumberingAfterBreak="0">
    <w:nsid w:val="49771D73"/>
    <w:multiLevelType w:val="hybridMultilevel"/>
    <w:tmpl w:val="2D7C54B2"/>
    <w:lvl w:ilvl="0" w:tplc="04090019">
      <w:start w:val="1"/>
      <w:numFmt w:val="lowerLetter"/>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32" w15:restartNumberingAfterBreak="0">
    <w:nsid w:val="4B373849"/>
    <w:multiLevelType w:val="hybridMultilevel"/>
    <w:tmpl w:val="1A72CC82"/>
    <w:lvl w:ilvl="0" w:tplc="04090019">
      <w:start w:val="1"/>
      <w:numFmt w:val="lowerLetter"/>
      <w:lvlText w:val="%1)"/>
      <w:lvlJc w:val="left"/>
      <w:pPr>
        <w:ind w:left="660" w:hanging="420"/>
      </w:p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33" w15:restartNumberingAfterBreak="0">
    <w:nsid w:val="4C99460D"/>
    <w:multiLevelType w:val="hybridMultilevel"/>
    <w:tmpl w:val="1A72CC82"/>
    <w:lvl w:ilvl="0" w:tplc="04090019">
      <w:start w:val="1"/>
      <w:numFmt w:val="lowerLetter"/>
      <w:lvlText w:val="%1)"/>
      <w:lvlJc w:val="left"/>
      <w:pPr>
        <w:ind w:left="660" w:hanging="420"/>
      </w:p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34" w15:restartNumberingAfterBreak="0">
    <w:nsid w:val="55D2108D"/>
    <w:multiLevelType w:val="hybridMultilevel"/>
    <w:tmpl w:val="74C41C66"/>
    <w:lvl w:ilvl="0" w:tplc="D6260F42">
      <w:start w:val="1"/>
      <w:numFmt w:val="decimal"/>
      <w:lvlText w:val="(%1)"/>
      <w:lvlJc w:val="left"/>
      <w:pPr>
        <w:ind w:left="900" w:hanging="420"/>
      </w:pPr>
      <w:rPr>
        <w:rFonts w:ascii="Times New Roman" w:eastAsia="宋体" w:hAnsi="Times New Roman" w:cs="宋体" w:hint="default"/>
        <w:b w:val="0"/>
        <w:bCs w:val="0"/>
        <w:i w:val="0"/>
        <w:iCs w:val="0"/>
        <w:spacing w:val="-39"/>
        <w:w w:val="100"/>
        <w:sz w:val="22"/>
        <w:szCs w:val="22"/>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5" w15:restartNumberingAfterBreak="0">
    <w:nsid w:val="577F6438"/>
    <w:multiLevelType w:val="hybridMultilevel"/>
    <w:tmpl w:val="21D2C62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 w15:restartNumberingAfterBreak="0">
    <w:nsid w:val="58614BB9"/>
    <w:multiLevelType w:val="multilevel"/>
    <w:tmpl w:val="58614BB9"/>
    <w:lvl w:ilvl="0">
      <w:start w:val="1"/>
      <w:numFmt w:val="decimal"/>
      <w:pStyle w:val="NumberedList"/>
      <w:lvlText w:val="%1."/>
      <w:lvlJc w:val="right"/>
      <w:pPr>
        <w:tabs>
          <w:tab w:val="left" w:pos="648"/>
        </w:tabs>
        <w:ind w:left="648"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7" w15:restartNumberingAfterBreak="0">
    <w:nsid w:val="59880D63"/>
    <w:multiLevelType w:val="multilevel"/>
    <w:tmpl w:val="59880D63"/>
    <w:lvl w:ilvl="0">
      <w:start w:val="1"/>
      <w:numFmt w:val="decimal"/>
      <w:pStyle w:val="table"/>
      <w:isLgl/>
      <w:lvlText w:val="表 29.%1"/>
      <w:lvlJc w:val="left"/>
      <w:pPr>
        <w:tabs>
          <w:tab w:val="left" w:pos="972"/>
        </w:tabs>
        <w:ind w:left="972" w:hanging="432"/>
      </w:pPr>
      <w:rPr>
        <w:rFonts w:ascii="Arial" w:hAnsi="Arial" w:cs="Arial" w:hint="default"/>
        <w:bCs w:val="0"/>
        <w:i w:val="0"/>
        <w:iCs w:val="0"/>
        <w:caps w:val="0"/>
        <w:smallCaps w:val="0"/>
        <w:strike w:val="0"/>
        <w:dstrike w:val="0"/>
        <w:vanish w:val="0"/>
        <w:color w:val="000000"/>
        <w:spacing w:val="0"/>
        <w:position w:val="0"/>
        <w:u w:val="none"/>
        <w:vertAlign w:val="baseline"/>
        <w:lang w:val="en-US"/>
        <w14:shadow w14:blurRad="0" w14:dist="0" w14:dir="0" w14:sx="0" w14:sy="0" w14:kx="0" w14:ky="0" w14:algn="none">
          <w14:srgbClr w14:val="000000"/>
        </w14:shadow>
      </w:rPr>
    </w:lvl>
    <w:lvl w:ilvl="1">
      <w:start w:val="1"/>
      <w:numFmt w:val="decimal"/>
      <w:lvlText w:val="%1.%2"/>
      <w:lvlJc w:val="left"/>
      <w:pPr>
        <w:tabs>
          <w:tab w:val="left" w:pos="576"/>
        </w:tabs>
        <w:ind w:left="576" w:hanging="576"/>
      </w:pPr>
      <w:rPr>
        <w:rFonts w:hint="eastAsia"/>
      </w:rPr>
    </w:lvl>
    <w:lvl w:ilvl="2">
      <w:start w:val="1"/>
      <w:numFmt w:val="decimal"/>
      <w:isLgl/>
      <w:lvlText w:val="%1.%2.%3"/>
      <w:lvlJc w:val="left"/>
      <w:pPr>
        <w:tabs>
          <w:tab w:val="left" w:pos="720"/>
        </w:tabs>
        <w:ind w:left="720" w:hanging="720"/>
      </w:pPr>
      <w:rPr>
        <w:rFonts w:hint="eastAsia"/>
      </w:rPr>
    </w:lvl>
    <w:lvl w:ilvl="3">
      <w:start w:val="1"/>
      <w:numFmt w:val="decimal"/>
      <w:lvlText w:val="%1.%2.%3.%4"/>
      <w:lvlJc w:val="left"/>
      <w:pPr>
        <w:tabs>
          <w:tab w:val="left" w:pos="864"/>
        </w:tabs>
        <w:ind w:left="864" w:hanging="864"/>
      </w:pPr>
      <w:rPr>
        <w:rFonts w:hint="eastAsia"/>
      </w:rPr>
    </w:lvl>
    <w:lvl w:ilvl="4">
      <w:start w:val="1"/>
      <w:numFmt w:val="decimal"/>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38" w15:restartNumberingAfterBreak="0">
    <w:nsid w:val="5C97570A"/>
    <w:multiLevelType w:val="hybridMultilevel"/>
    <w:tmpl w:val="BC849AD2"/>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5E72099C"/>
    <w:multiLevelType w:val="hybridMultilevel"/>
    <w:tmpl w:val="AFD27A00"/>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5F144E53"/>
    <w:multiLevelType w:val="multilevel"/>
    <w:tmpl w:val="5F144E53"/>
    <w:lvl w:ilvl="0">
      <w:start w:val="1"/>
      <w:numFmt w:val="bullet"/>
      <w:pStyle w:val="a2"/>
      <w:lvlText w:val="●"/>
      <w:lvlJc w:val="left"/>
      <w:pPr>
        <w:ind w:left="420" w:hanging="420"/>
      </w:pPr>
      <w:rPr>
        <w:rFonts w:ascii="Times New Roman" w:eastAsia="宋体" w:hAnsi="Times New Roman" w:cs="Times New Roman" w:hint="default"/>
        <w:b w:val="0"/>
        <w:i w:val="0"/>
        <w:sz w:val="24"/>
        <w14:numSpacing w14:val="proportional"/>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41" w15:restartNumberingAfterBreak="0">
    <w:nsid w:val="5F7B2A80"/>
    <w:multiLevelType w:val="hybridMultilevel"/>
    <w:tmpl w:val="2D7C54B2"/>
    <w:lvl w:ilvl="0" w:tplc="04090019">
      <w:start w:val="1"/>
      <w:numFmt w:val="lowerLetter"/>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42" w15:restartNumberingAfterBreak="0">
    <w:nsid w:val="656A632E"/>
    <w:multiLevelType w:val="hybridMultilevel"/>
    <w:tmpl w:val="856C0C9E"/>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3" w15:restartNumberingAfterBreak="0">
    <w:nsid w:val="6C8E49B3"/>
    <w:multiLevelType w:val="hybridMultilevel"/>
    <w:tmpl w:val="2B0E1B8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4" w15:restartNumberingAfterBreak="0">
    <w:nsid w:val="6CB534BA"/>
    <w:multiLevelType w:val="multilevel"/>
    <w:tmpl w:val="6CB534BA"/>
    <w:lvl w:ilvl="0">
      <w:start w:val="1"/>
      <w:numFmt w:val="none"/>
      <w:pStyle w:val="Labeling4"/>
      <w:lvlText w:val="%1"/>
      <w:lvlJc w:val="left"/>
      <w:pPr>
        <w:tabs>
          <w:tab w:val="left" w:pos="0"/>
        </w:tabs>
        <w:ind w:left="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5" w15:restartNumberingAfterBreak="0">
    <w:nsid w:val="6E092144"/>
    <w:multiLevelType w:val="hybridMultilevel"/>
    <w:tmpl w:val="140EAC8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6" w15:restartNumberingAfterBreak="0">
    <w:nsid w:val="6FC63E80"/>
    <w:multiLevelType w:val="hybridMultilevel"/>
    <w:tmpl w:val="193431A0"/>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15:restartNumberingAfterBreak="0">
    <w:nsid w:val="70BA700C"/>
    <w:multiLevelType w:val="hybridMultilevel"/>
    <w:tmpl w:val="8CB22922"/>
    <w:lvl w:ilvl="0" w:tplc="A036C60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8" w15:restartNumberingAfterBreak="0">
    <w:nsid w:val="7ADD3B7F"/>
    <w:multiLevelType w:val="hybridMultilevel"/>
    <w:tmpl w:val="2D7C54B2"/>
    <w:lvl w:ilvl="0" w:tplc="04090019">
      <w:start w:val="1"/>
      <w:numFmt w:val="lowerLetter"/>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49" w15:restartNumberingAfterBreak="0">
    <w:nsid w:val="7D2373FB"/>
    <w:multiLevelType w:val="multilevel"/>
    <w:tmpl w:val="D33059CC"/>
    <w:lvl w:ilvl="0">
      <w:start w:val="1"/>
      <w:numFmt w:val="decimal"/>
      <w:lvlText w:val="%1."/>
      <w:lvlJc w:val="left"/>
      <w:pPr>
        <w:ind w:left="284" w:hanging="284"/>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0" w15:restartNumberingAfterBreak="0">
    <w:nsid w:val="7DB37DBE"/>
    <w:multiLevelType w:val="hybridMultilevel"/>
    <w:tmpl w:val="2D7C54B2"/>
    <w:lvl w:ilvl="0" w:tplc="04090019">
      <w:start w:val="1"/>
      <w:numFmt w:val="lowerLetter"/>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51" w15:restartNumberingAfterBreak="0">
    <w:nsid w:val="7E264648"/>
    <w:multiLevelType w:val="hybridMultilevel"/>
    <w:tmpl w:val="DA64E80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52" w15:restartNumberingAfterBreak="0">
    <w:nsid w:val="7FBC189B"/>
    <w:multiLevelType w:val="hybridMultilevel"/>
    <w:tmpl w:val="E1900F8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8"/>
  </w:num>
  <w:num w:numId="2">
    <w:abstractNumId w:val="30"/>
  </w:num>
  <w:num w:numId="3">
    <w:abstractNumId w:val="1"/>
  </w:num>
  <w:num w:numId="4">
    <w:abstractNumId w:val="0"/>
  </w:num>
  <w:num w:numId="5">
    <w:abstractNumId w:val="37"/>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6"/>
  </w:num>
  <w:num w:numId="9">
    <w:abstractNumId w:val="11"/>
    <w:lvlOverride w:ilvl="0">
      <w:startOverride w:val="1"/>
    </w:lvlOverride>
  </w:num>
  <w:num w:numId="10">
    <w:abstractNumId w:val="6"/>
  </w:num>
  <w:num w:numId="11">
    <w:abstractNumId w:val="23"/>
  </w:num>
  <w:num w:numId="12">
    <w:abstractNumId w:val="40"/>
  </w:num>
  <w:num w:numId="13">
    <w:abstractNumId w:val="49"/>
  </w:num>
  <w:num w:numId="14">
    <w:abstractNumId w:val="9"/>
  </w:num>
  <w:num w:numId="15">
    <w:abstractNumId w:val="21"/>
  </w:num>
  <w:num w:numId="16">
    <w:abstractNumId w:val="43"/>
  </w:num>
  <w:num w:numId="17">
    <w:abstractNumId w:val="13"/>
  </w:num>
  <w:num w:numId="18">
    <w:abstractNumId w:val="47"/>
  </w:num>
  <w:num w:numId="19">
    <w:abstractNumId w:val="28"/>
  </w:num>
  <w:num w:numId="20">
    <w:abstractNumId w:val="32"/>
  </w:num>
  <w:num w:numId="21">
    <w:abstractNumId w:val="42"/>
  </w:num>
  <w:num w:numId="22">
    <w:abstractNumId w:val="20"/>
  </w:num>
  <w:num w:numId="23">
    <w:abstractNumId w:val="19"/>
  </w:num>
  <w:num w:numId="24">
    <w:abstractNumId w:val="39"/>
  </w:num>
  <w:num w:numId="25">
    <w:abstractNumId w:val="46"/>
  </w:num>
  <w:num w:numId="26">
    <w:abstractNumId w:val="4"/>
  </w:num>
  <w:num w:numId="27">
    <w:abstractNumId w:val="3"/>
  </w:num>
  <w:num w:numId="28">
    <w:abstractNumId w:val="7"/>
  </w:num>
  <w:num w:numId="29">
    <w:abstractNumId w:val="16"/>
  </w:num>
  <w:num w:numId="30">
    <w:abstractNumId w:val="5"/>
  </w:num>
  <w:num w:numId="31">
    <w:abstractNumId w:val="35"/>
  </w:num>
  <w:num w:numId="32">
    <w:abstractNumId w:val="2"/>
  </w:num>
  <w:num w:numId="33">
    <w:abstractNumId w:val="45"/>
  </w:num>
  <w:num w:numId="34">
    <w:abstractNumId w:val="17"/>
  </w:num>
  <w:num w:numId="35">
    <w:abstractNumId w:val="34"/>
  </w:num>
  <w:num w:numId="36">
    <w:abstractNumId w:val="41"/>
  </w:num>
  <w:num w:numId="37">
    <w:abstractNumId w:val="48"/>
  </w:num>
  <w:num w:numId="38">
    <w:abstractNumId w:val="24"/>
  </w:num>
  <w:num w:numId="39">
    <w:abstractNumId w:val="8"/>
  </w:num>
  <w:num w:numId="40">
    <w:abstractNumId w:val="14"/>
  </w:num>
  <w:num w:numId="41">
    <w:abstractNumId w:val="29"/>
  </w:num>
  <w:num w:numId="42">
    <w:abstractNumId w:val="51"/>
  </w:num>
  <w:num w:numId="43">
    <w:abstractNumId w:val="38"/>
  </w:num>
  <w:num w:numId="44">
    <w:abstractNumId w:val="52"/>
  </w:num>
  <w:num w:numId="45">
    <w:abstractNumId w:val="22"/>
  </w:num>
  <w:num w:numId="46">
    <w:abstractNumId w:val="25"/>
  </w:num>
  <w:num w:numId="47">
    <w:abstractNumId w:val="31"/>
  </w:num>
  <w:num w:numId="48">
    <w:abstractNumId w:val="50"/>
  </w:num>
  <w:num w:numId="49">
    <w:abstractNumId w:val="12"/>
  </w:num>
  <w:num w:numId="50">
    <w:abstractNumId w:val="15"/>
  </w:num>
  <w:num w:numId="51">
    <w:abstractNumId w:val="33"/>
  </w:num>
  <w:num w:numId="52">
    <w:abstractNumId w:val="27"/>
  </w:num>
  <w:num w:numId="53">
    <w:abstractNumId w:val="10"/>
  </w:num>
  <w:num w:numId="54">
    <w:abstractNumId w:val="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bordersDoNotSurroundHeader/>
  <w:bordersDoNotSurroundFooter/>
  <w:hideSpelling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3E3"/>
    <w:rsid w:val="EFF42438"/>
    <w:rsid w:val="FF4F146B"/>
    <w:rsid w:val="FFDEECB3"/>
    <w:rsid w:val="00000B0C"/>
    <w:rsid w:val="00000DA9"/>
    <w:rsid w:val="00000E3A"/>
    <w:rsid w:val="00000F97"/>
    <w:rsid w:val="000014B0"/>
    <w:rsid w:val="00001B7C"/>
    <w:rsid w:val="0000209A"/>
    <w:rsid w:val="000023E3"/>
    <w:rsid w:val="0000241C"/>
    <w:rsid w:val="0000251B"/>
    <w:rsid w:val="0000258E"/>
    <w:rsid w:val="0000323A"/>
    <w:rsid w:val="000036B4"/>
    <w:rsid w:val="00003A01"/>
    <w:rsid w:val="000041A0"/>
    <w:rsid w:val="000047C1"/>
    <w:rsid w:val="000048CB"/>
    <w:rsid w:val="00004D75"/>
    <w:rsid w:val="00004E97"/>
    <w:rsid w:val="0000519F"/>
    <w:rsid w:val="00005A8C"/>
    <w:rsid w:val="00005E52"/>
    <w:rsid w:val="00006343"/>
    <w:rsid w:val="0000636E"/>
    <w:rsid w:val="00006CFC"/>
    <w:rsid w:val="000071CD"/>
    <w:rsid w:val="0000741C"/>
    <w:rsid w:val="00010AB7"/>
    <w:rsid w:val="00011D55"/>
    <w:rsid w:val="00012213"/>
    <w:rsid w:val="000122DA"/>
    <w:rsid w:val="00012C4E"/>
    <w:rsid w:val="00013063"/>
    <w:rsid w:val="000131FF"/>
    <w:rsid w:val="00013B70"/>
    <w:rsid w:val="0001416A"/>
    <w:rsid w:val="00014956"/>
    <w:rsid w:val="00014EF5"/>
    <w:rsid w:val="0001501D"/>
    <w:rsid w:val="00015159"/>
    <w:rsid w:val="000152D8"/>
    <w:rsid w:val="000158D1"/>
    <w:rsid w:val="00016A36"/>
    <w:rsid w:val="00016A98"/>
    <w:rsid w:val="00017289"/>
    <w:rsid w:val="00017451"/>
    <w:rsid w:val="00017886"/>
    <w:rsid w:val="00017E82"/>
    <w:rsid w:val="000200A8"/>
    <w:rsid w:val="00020457"/>
    <w:rsid w:val="00020854"/>
    <w:rsid w:val="000209F0"/>
    <w:rsid w:val="00021C61"/>
    <w:rsid w:val="00021CF6"/>
    <w:rsid w:val="00021F42"/>
    <w:rsid w:val="0002222D"/>
    <w:rsid w:val="00022C2A"/>
    <w:rsid w:val="00022C95"/>
    <w:rsid w:val="0002337B"/>
    <w:rsid w:val="00023764"/>
    <w:rsid w:val="00023A22"/>
    <w:rsid w:val="00023C4B"/>
    <w:rsid w:val="000245FC"/>
    <w:rsid w:val="00024639"/>
    <w:rsid w:val="00024CB6"/>
    <w:rsid w:val="00024F70"/>
    <w:rsid w:val="00025655"/>
    <w:rsid w:val="00025C2E"/>
    <w:rsid w:val="00026C79"/>
    <w:rsid w:val="00027019"/>
    <w:rsid w:val="00030BC9"/>
    <w:rsid w:val="00030FD7"/>
    <w:rsid w:val="0003132F"/>
    <w:rsid w:val="0003198D"/>
    <w:rsid w:val="00031B0C"/>
    <w:rsid w:val="00032890"/>
    <w:rsid w:val="00033221"/>
    <w:rsid w:val="0003330B"/>
    <w:rsid w:val="00034346"/>
    <w:rsid w:val="00034414"/>
    <w:rsid w:val="00034B18"/>
    <w:rsid w:val="00034C99"/>
    <w:rsid w:val="000354E5"/>
    <w:rsid w:val="000359D0"/>
    <w:rsid w:val="0003639B"/>
    <w:rsid w:val="0003645D"/>
    <w:rsid w:val="000371E9"/>
    <w:rsid w:val="000373B0"/>
    <w:rsid w:val="000378FB"/>
    <w:rsid w:val="000400C7"/>
    <w:rsid w:val="000402B5"/>
    <w:rsid w:val="0004047E"/>
    <w:rsid w:val="00040A64"/>
    <w:rsid w:val="00041184"/>
    <w:rsid w:val="00041287"/>
    <w:rsid w:val="00041F49"/>
    <w:rsid w:val="000424BB"/>
    <w:rsid w:val="00042595"/>
    <w:rsid w:val="000435A9"/>
    <w:rsid w:val="0004365B"/>
    <w:rsid w:val="00043AA7"/>
    <w:rsid w:val="00043AE6"/>
    <w:rsid w:val="00044401"/>
    <w:rsid w:val="00044473"/>
    <w:rsid w:val="00044BDF"/>
    <w:rsid w:val="000459C8"/>
    <w:rsid w:val="00045C5D"/>
    <w:rsid w:val="00046B8B"/>
    <w:rsid w:val="00046C46"/>
    <w:rsid w:val="000477AE"/>
    <w:rsid w:val="00050CF8"/>
    <w:rsid w:val="00050DE9"/>
    <w:rsid w:val="00051477"/>
    <w:rsid w:val="000514DC"/>
    <w:rsid w:val="00051738"/>
    <w:rsid w:val="00051D8E"/>
    <w:rsid w:val="00051EDC"/>
    <w:rsid w:val="000521ED"/>
    <w:rsid w:val="0005227D"/>
    <w:rsid w:val="0005340F"/>
    <w:rsid w:val="00053B12"/>
    <w:rsid w:val="00053F1E"/>
    <w:rsid w:val="00054AC7"/>
    <w:rsid w:val="00055994"/>
    <w:rsid w:val="00055A2E"/>
    <w:rsid w:val="00055ACF"/>
    <w:rsid w:val="0005604C"/>
    <w:rsid w:val="0005623B"/>
    <w:rsid w:val="000567BD"/>
    <w:rsid w:val="00056F54"/>
    <w:rsid w:val="00057274"/>
    <w:rsid w:val="000572C1"/>
    <w:rsid w:val="0005777D"/>
    <w:rsid w:val="00060C79"/>
    <w:rsid w:val="0006221E"/>
    <w:rsid w:val="00062691"/>
    <w:rsid w:val="000631A4"/>
    <w:rsid w:val="0006393C"/>
    <w:rsid w:val="00063C9C"/>
    <w:rsid w:val="00063D86"/>
    <w:rsid w:val="00063DA6"/>
    <w:rsid w:val="0006407F"/>
    <w:rsid w:val="00064081"/>
    <w:rsid w:val="00064550"/>
    <w:rsid w:val="0006459D"/>
    <w:rsid w:val="00064F25"/>
    <w:rsid w:val="00065536"/>
    <w:rsid w:val="00065848"/>
    <w:rsid w:val="00065CD3"/>
    <w:rsid w:val="000665E1"/>
    <w:rsid w:val="000669A0"/>
    <w:rsid w:val="0006757D"/>
    <w:rsid w:val="0007010F"/>
    <w:rsid w:val="000702BB"/>
    <w:rsid w:val="000705E6"/>
    <w:rsid w:val="0007091D"/>
    <w:rsid w:val="00070932"/>
    <w:rsid w:val="00070A6C"/>
    <w:rsid w:val="0007108E"/>
    <w:rsid w:val="000723BF"/>
    <w:rsid w:val="000735D3"/>
    <w:rsid w:val="00074375"/>
    <w:rsid w:val="000750D6"/>
    <w:rsid w:val="00075343"/>
    <w:rsid w:val="0007538B"/>
    <w:rsid w:val="0007544D"/>
    <w:rsid w:val="0007546B"/>
    <w:rsid w:val="00075911"/>
    <w:rsid w:val="00075BDB"/>
    <w:rsid w:val="00075D5E"/>
    <w:rsid w:val="000760E0"/>
    <w:rsid w:val="000760FA"/>
    <w:rsid w:val="00076736"/>
    <w:rsid w:val="000771B0"/>
    <w:rsid w:val="00077551"/>
    <w:rsid w:val="00077614"/>
    <w:rsid w:val="00077C62"/>
    <w:rsid w:val="00080534"/>
    <w:rsid w:val="00080F2F"/>
    <w:rsid w:val="0008203A"/>
    <w:rsid w:val="0008278E"/>
    <w:rsid w:val="000830EB"/>
    <w:rsid w:val="000839E4"/>
    <w:rsid w:val="000843D7"/>
    <w:rsid w:val="000845A8"/>
    <w:rsid w:val="000847D9"/>
    <w:rsid w:val="00084AAF"/>
    <w:rsid w:val="00084DF3"/>
    <w:rsid w:val="00084E36"/>
    <w:rsid w:val="00084E37"/>
    <w:rsid w:val="00085673"/>
    <w:rsid w:val="00085904"/>
    <w:rsid w:val="00085DF8"/>
    <w:rsid w:val="000866FA"/>
    <w:rsid w:val="00086FD7"/>
    <w:rsid w:val="000875C7"/>
    <w:rsid w:val="0009009B"/>
    <w:rsid w:val="00090B1F"/>
    <w:rsid w:val="0009117F"/>
    <w:rsid w:val="00091551"/>
    <w:rsid w:val="000915D7"/>
    <w:rsid w:val="000918E5"/>
    <w:rsid w:val="000919CB"/>
    <w:rsid w:val="00091BE0"/>
    <w:rsid w:val="00091EE3"/>
    <w:rsid w:val="00092DBD"/>
    <w:rsid w:val="00092E20"/>
    <w:rsid w:val="00092FFC"/>
    <w:rsid w:val="0009320B"/>
    <w:rsid w:val="00093239"/>
    <w:rsid w:val="00093396"/>
    <w:rsid w:val="000934A3"/>
    <w:rsid w:val="00093DC6"/>
    <w:rsid w:val="000944AE"/>
    <w:rsid w:val="00094775"/>
    <w:rsid w:val="00094BD4"/>
    <w:rsid w:val="00095275"/>
    <w:rsid w:val="000958F0"/>
    <w:rsid w:val="00096171"/>
    <w:rsid w:val="00096570"/>
    <w:rsid w:val="0009662F"/>
    <w:rsid w:val="00096856"/>
    <w:rsid w:val="00097512"/>
    <w:rsid w:val="00097BBA"/>
    <w:rsid w:val="00097DD3"/>
    <w:rsid w:val="00097F63"/>
    <w:rsid w:val="000A114E"/>
    <w:rsid w:val="000A11AE"/>
    <w:rsid w:val="000A1DCE"/>
    <w:rsid w:val="000A3391"/>
    <w:rsid w:val="000A3B4A"/>
    <w:rsid w:val="000A4343"/>
    <w:rsid w:val="000A45F3"/>
    <w:rsid w:val="000A49E3"/>
    <w:rsid w:val="000A5219"/>
    <w:rsid w:val="000A5CFC"/>
    <w:rsid w:val="000A5EDE"/>
    <w:rsid w:val="000A645B"/>
    <w:rsid w:val="000A6E75"/>
    <w:rsid w:val="000A7262"/>
    <w:rsid w:val="000A74F3"/>
    <w:rsid w:val="000A7C0E"/>
    <w:rsid w:val="000A7FF3"/>
    <w:rsid w:val="000B08E6"/>
    <w:rsid w:val="000B179B"/>
    <w:rsid w:val="000B1BAB"/>
    <w:rsid w:val="000B1C9E"/>
    <w:rsid w:val="000B2B00"/>
    <w:rsid w:val="000B3222"/>
    <w:rsid w:val="000B3602"/>
    <w:rsid w:val="000B377F"/>
    <w:rsid w:val="000B3932"/>
    <w:rsid w:val="000B3C87"/>
    <w:rsid w:val="000B3FA3"/>
    <w:rsid w:val="000B4FD8"/>
    <w:rsid w:val="000B53F5"/>
    <w:rsid w:val="000B5908"/>
    <w:rsid w:val="000B6A45"/>
    <w:rsid w:val="000B70F2"/>
    <w:rsid w:val="000B7A66"/>
    <w:rsid w:val="000B7F74"/>
    <w:rsid w:val="000C04BA"/>
    <w:rsid w:val="000C07B6"/>
    <w:rsid w:val="000C094F"/>
    <w:rsid w:val="000C141A"/>
    <w:rsid w:val="000C15BF"/>
    <w:rsid w:val="000C17E5"/>
    <w:rsid w:val="000C1A82"/>
    <w:rsid w:val="000C1A89"/>
    <w:rsid w:val="000C2321"/>
    <w:rsid w:val="000C2B36"/>
    <w:rsid w:val="000C3BB9"/>
    <w:rsid w:val="000C402C"/>
    <w:rsid w:val="000C4035"/>
    <w:rsid w:val="000C4F4D"/>
    <w:rsid w:val="000C4F5F"/>
    <w:rsid w:val="000C52BD"/>
    <w:rsid w:val="000C5D21"/>
    <w:rsid w:val="000C615E"/>
    <w:rsid w:val="000C62D9"/>
    <w:rsid w:val="000C638C"/>
    <w:rsid w:val="000C6C5C"/>
    <w:rsid w:val="000C6F10"/>
    <w:rsid w:val="000C7B5D"/>
    <w:rsid w:val="000D0206"/>
    <w:rsid w:val="000D1011"/>
    <w:rsid w:val="000D1E14"/>
    <w:rsid w:val="000D2F62"/>
    <w:rsid w:val="000D3C06"/>
    <w:rsid w:val="000D4A61"/>
    <w:rsid w:val="000D4B88"/>
    <w:rsid w:val="000D53FA"/>
    <w:rsid w:val="000D5542"/>
    <w:rsid w:val="000D592F"/>
    <w:rsid w:val="000D5EA2"/>
    <w:rsid w:val="000D5ECB"/>
    <w:rsid w:val="000D6256"/>
    <w:rsid w:val="000D6765"/>
    <w:rsid w:val="000D6C8A"/>
    <w:rsid w:val="000D6E17"/>
    <w:rsid w:val="000D6FC4"/>
    <w:rsid w:val="000E0905"/>
    <w:rsid w:val="000E09D3"/>
    <w:rsid w:val="000E0F2A"/>
    <w:rsid w:val="000E0F99"/>
    <w:rsid w:val="000E125F"/>
    <w:rsid w:val="000E18E8"/>
    <w:rsid w:val="000E1956"/>
    <w:rsid w:val="000E2EA6"/>
    <w:rsid w:val="000E3E58"/>
    <w:rsid w:val="000E3E64"/>
    <w:rsid w:val="000E412A"/>
    <w:rsid w:val="000E53FE"/>
    <w:rsid w:val="000E5869"/>
    <w:rsid w:val="000E649D"/>
    <w:rsid w:val="000E67B0"/>
    <w:rsid w:val="000E6869"/>
    <w:rsid w:val="000E6CCB"/>
    <w:rsid w:val="000E71AE"/>
    <w:rsid w:val="000E7305"/>
    <w:rsid w:val="000E7331"/>
    <w:rsid w:val="000F019D"/>
    <w:rsid w:val="000F04A4"/>
    <w:rsid w:val="000F05F0"/>
    <w:rsid w:val="000F08E8"/>
    <w:rsid w:val="000F0FDD"/>
    <w:rsid w:val="000F1090"/>
    <w:rsid w:val="000F16F5"/>
    <w:rsid w:val="000F21E0"/>
    <w:rsid w:val="000F25B9"/>
    <w:rsid w:val="000F25FC"/>
    <w:rsid w:val="000F268E"/>
    <w:rsid w:val="000F392F"/>
    <w:rsid w:val="000F4207"/>
    <w:rsid w:val="000F4ECE"/>
    <w:rsid w:val="000F586D"/>
    <w:rsid w:val="000F665A"/>
    <w:rsid w:val="000F6696"/>
    <w:rsid w:val="000F6B63"/>
    <w:rsid w:val="000F6FBE"/>
    <w:rsid w:val="000F7220"/>
    <w:rsid w:val="000F74D0"/>
    <w:rsid w:val="000F77E7"/>
    <w:rsid w:val="000F7F23"/>
    <w:rsid w:val="00100188"/>
    <w:rsid w:val="001007D8"/>
    <w:rsid w:val="0010100C"/>
    <w:rsid w:val="0010193C"/>
    <w:rsid w:val="00102338"/>
    <w:rsid w:val="00102450"/>
    <w:rsid w:val="00102B46"/>
    <w:rsid w:val="00102D2E"/>
    <w:rsid w:val="00103236"/>
    <w:rsid w:val="001036FD"/>
    <w:rsid w:val="00103C4D"/>
    <w:rsid w:val="00104053"/>
    <w:rsid w:val="00104103"/>
    <w:rsid w:val="00104A47"/>
    <w:rsid w:val="00104F5C"/>
    <w:rsid w:val="001056EB"/>
    <w:rsid w:val="0010592E"/>
    <w:rsid w:val="00105EC7"/>
    <w:rsid w:val="001060B6"/>
    <w:rsid w:val="00106583"/>
    <w:rsid w:val="00106720"/>
    <w:rsid w:val="00106C83"/>
    <w:rsid w:val="0010707F"/>
    <w:rsid w:val="001072AD"/>
    <w:rsid w:val="00107AEA"/>
    <w:rsid w:val="00110A18"/>
    <w:rsid w:val="00110A8D"/>
    <w:rsid w:val="00111027"/>
    <w:rsid w:val="0011193C"/>
    <w:rsid w:val="00111CBC"/>
    <w:rsid w:val="00112755"/>
    <w:rsid w:val="00112A17"/>
    <w:rsid w:val="00113329"/>
    <w:rsid w:val="001134A3"/>
    <w:rsid w:val="00113879"/>
    <w:rsid w:val="001138F2"/>
    <w:rsid w:val="00114113"/>
    <w:rsid w:val="001142EB"/>
    <w:rsid w:val="00114481"/>
    <w:rsid w:val="00114C59"/>
    <w:rsid w:val="00114D0B"/>
    <w:rsid w:val="00114DD3"/>
    <w:rsid w:val="001151F9"/>
    <w:rsid w:val="0011597C"/>
    <w:rsid w:val="00116028"/>
    <w:rsid w:val="00116984"/>
    <w:rsid w:val="00116B1B"/>
    <w:rsid w:val="001170E9"/>
    <w:rsid w:val="001170F4"/>
    <w:rsid w:val="00117965"/>
    <w:rsid w:val="001201A2"/>
    <w:rsid w:val="001204A2"/>
    <w:rsid w:val="00120D5A"/>
    <w:rsid w:val="00121BDC"/>
    <w:rsid w:val="001225A6"/>
    <w:rsid w:val="00122862"/>
    <w:rsid w:val="00122962"/>
    <w:rsid w:val="00122E84"/>
    <w:rsid w:val="00122F54"/>
    <w:rsid w:val="001239BA"/>
    <w:rsid w:val="00123B1E"/>
    <w:rsid w:val="00123E7E"/>
    <w:rsid w:val="00124226"/>
    <w:rsid w:val="001242F3"/>
    <w:rsid w:val="0012461A"/>
    <w:rsid w:val="001248F3"/>
    <w:rsid w:val="00124C21"/>
    <w:rsid w:val="001251A2"/>
    <w:rsid w:val="00125F43"/>
    <w:rsid w:val="001263B1"/>
    <w:rsid w:val="00126F33"/>
    <w:rsid w:val="001270A4"/>
    <w:rsid w:val="0012724C"/>
    <w:rsid w:val="001273B7"/>
    <w:rsid w:val="0012772F"/>
    <w:rsid w:val="00127745"/>
    <w:rsid w:val="00127DC1"/>
    <w:rsid w:val="00130AED"/>
    <w:rsid w:val="00130B01"/>
    <w:rsid w:val="00130BB9"/>
    <w:rsid w:val="00131B31"/>
    <w:rsid w:val="00131C77"/>
    <w:rsid w:val="00131F08"/>
    <w:rsid w:val="0013237C"/>
    <w:rsid w:val="001326B1"/>
    <w:rsid w:val="00132885"/>
    <w:rsid w:val="00132C99"/>
    <w:rsid w:val="00133006"/>
    <w:rsid w:val="00134559"/>
    <w:rsid w:val="0013468A"/>
    <w:rsid w:val="001348AD"/>
    <w:rsid w:val="001348B8"/>
    <w:rsid w:val="001354C2"/>
    <w:rsid w:val="001354E6"/>
    <w:rsid w:val="0013568D"/>
    <w:rsid w:val="00135748"/>
    <w:rsid w:val="00136F3D"/>
    <w:rsid w:val="0013718A"/>
    <w:rsid w:val="001374C8"/>
    <w:rsid w:val="001377F2"/>
    <w:rsid w:val="001378DF"/>
    <w:rsid w:val="00137BF1"/>
    <w:rsid w:val="00137DF7"/>
    <w:rsid w:val="00140033"/>
    <w:rsid w:val="00140944"/>
    <w:rsid w:val="00142A0B"/>
    <w:rsid w:val="00142E1F"/>
    <w:rsid w:val="00142EC7"/>
    <w:rsid w:val="00143226"/>
    <w:rsid w:val="00143D69"/>
    <w:rsid w:val="00144500"/>
    <w:rsid w:val="00144989"/>
    <w:rsid w:val="00144DA1"/>
    <w:rsid w:val="00144EF4"/>
    <w:rsid w:val="001462A5"/>
    <w:rsid w:val="0014630C"/>
    <w:rsid w:val="0014645F"/>
    <w:rsid w:val="00146A34"/>
    <w:rsid w:val="00146DFF"/>
    <w:rsid w:val="0014755E"/>
    <w:rsid w:val="00147BB2"/>
    <w:rsid w:val="00147C77"/>
    <w:rsid w:val="00147DF3"/>
    <w:rsid w:val="00150920"/>
    <w:rsid w:val="00150ABA"/>
    <w:rsid w:val="001514D2"/>
    <w:rsid w:val="001515FB"/>
    <w:rsid w:val="00151CAE"/>
    <w:rsid w:val="00152598"/>
    <w:rsid w:val="00153593"/>
    <w:rsid w:val="0015374C"/>
    <w:rsid w:val="001537C4"/>
    <w:rsid w:val="00153F20"/>
    <w:rsid w:val="00154089"/>
    <w:rsid w:val="001540EF"/>
    <w:rsid w:val="00154CDC"/>
    <w:rsid w:val="00154E4A"/>
    <w:rsid w:val="00155273"/>
    <w:rsid w:val="00155A7C"/>
    <w:rsid w:val="00155D6A"/>
    <w:rsid w:val="0015631B"/>
    <w:rsid w:val="001568DA"/>
    <w:rsid w:val="0015690C"/>
    <w:rsid w:val="001569F0"/>
    <w:rsid w:val="00156C61"/>
    <w:rsid w:val="00156DD4"/>
    <w:rsid w:val="0015710C"/>
    <w:rsid w:val="00157116"/>
    <w:rsid w:val="0015713F"/>
    <w:rsid w:val="00157F9E"/>
    <w:rsid w:val="00160756"/>
    <w:rsid w:val="00160882"/>
    <w:rsid w:val="001612A0"/>
    <w:rsid w:val="00161339"/>
    <w:rsid w:val="00161990"/>
    <w:rsid w:val="00161FE5"/>
    <w:rsid w:val="001627AC"/>
    <w:rsid w:val="00162A8E"/>
    <w:rsid w:val="001630C0"/>
    <w:rsid w:val="001637F1"/>
    <w:rsid w:val="001643CA"/>
    <w:rsid w:val="00164ADD"/>
    <w:rsid w:val="00164B33"/>
    <w:rsid w:val="001654A4"/>
    <w:rsid w:val="00165CC4"/>
    <w:rsid w:val="001662AC"/>
    <w:rsid w:val="00166621"/>
    <w:rsid w:val="00166AEA"/>
    <w:rsid w:val="00166DD4"/>
    <w:rsid w:val="001671FA"/>
    <w:rsid w:val="001672B8"/>
    <w:rsid w:val="00167375"/>
    <w:rsid w:val="001677DB"/>
    <w:rsid w:val="00170FA8"/>
    <w:rsid w:val="001714F3"/>
    <w:rsid w:val="00171718"/>
    <w:rsid w:val="00171789"/>
    <w:rsid w:val="001717FB"/>
    <w:rsid w:val="00171C70"/>
    <w:rsid w:val="00171C8D"/>
    <w:rsid w:val="00171FE5"/>
    <w:rsid w:val="0017239F"/>
    <w:rsid w:val="00172841"/>
    <w:rsid w:val="0017317A"/>
    <w:rsid w:val="00173196"/>
    <w:rsid w:val="00173323"/>
    <w:rsid w:val="00173D33"/>
    <w:rsid w:val="0017459E"/>
    <w:rsid w:val="001747D8"/>
    <w:rsid w:val="00174B8F"/>
    <w:rsid w:val="0017539F"/>
    <w:rsid w:val="00175D02"/>
    <w:rsid w:val="00176408"/>
    <w:rsid w:val="00176550"/>
    <w:rsid w:val="001766BA"/>
    <w:rsid w:val="0017680C"/>
    <w:rsid w:val="00176D08"/>
    <w:rsid w:val="00177713"/>
    <w:rsid w:val="00177981"/>
    <w:rsid w:val="0018014E"/>
    <w:rsid w:val="00180748"/>
    <w:rsid w:val="00180A49"/>
    <w:rsid w:val="00180DC1"/>
    <w:rsid w:val="00181D28"/>
    <w:rsid w:val="00181E1E"/>
    <w:rsid w:val="00182985"/>
    <w:rsid w:val="00182E8F"/>
    <w:rsid w:val="001832D3"/>
    <w:rsid w:val="00183A4F"/>
    <w:rsid w:val="00183EC5"/>
    <w:rsid w:val="001848EC"/>
    <w:rsid w:val="00184C64"/>
    <w:rsid w:val="00184CA0"/>
    <w:rsid w:val="00184D7D"/>
    <w:rsid w:val="00184F5F"/>
    <w:rsid w:val="00185150"/>
    <w:rsid w:val="001856CC"/>
    <w:rsid w:val="00185D5B"/>
    <w:rsid w:val="00186C85"/>
    <w:rsid w:val="00187F21"/>
    <w:rsid w:val="00190505"/>
    <w:rsid w:val="00190A15"/>
    <w:rsid w:val="00190A87"/>
    <w:rsid w:val="00190D12"/>
    <w:rsid w:val="00190FD4"/>
    <w:rsid w:val="00191034"/>
    <w:rsid w:val="0019128F"/>
    <w:rsid w:val="001912B0"/>
    <w:rsid w:val="00192070"/>
    <w:rsid w:val="001924C8"/>
    <w:rsid w:val="00192792"/>
    <w:rsid w:val="00192966"/>
    <w:rsid w:val="00193471"/>
    <w:rsid w:val="0019354F"/>
    <w:rsid w:val="00194250"/>
    <w:rsid w:val="00194279"/>
    <w:rsid w:val="001944CD"/>
    <w:rsid w:val="00194C74"/>
    <w:rsid w:val="00194F6D"/>
    <w:rsid w:val="0019528D"/>
    <w:rsid w:val="00195553"/>
    <w:rsid w:val="00195796"/>
    <w:rsid w:val="00195937"/>
    <w:rsid w:val="00195BA9"/>
    <w:rsid w:val="00196315"/>
    <w:rsid w:val="00196952"/>
    <w:rsid w:val="00196A11"/>
    <w:rsid w:val="00196B0E"/>
    <w:rsid w:val="00196DA9"/>
    <w:rsid w:val="001971C9"/>
    <w:rsid w:val="001A0EAA"/>
    <w:rsid w:val="001A1E67"/>
    <w:rsid w:val="001A25A1"/>
    <w:rsid w:val="001A27C1"/>
    <w:rsid w:val="001A2E6C"/>
    <w:rsid w:val="001A3000"/>
    <w:rsid w:val="001A34DF"/>
    <w:rsid w:val="001A374D"/>
    <w:rsid w:val="001A4193"/>
    <w:rsid w:val="001A48BE"/>
    <w:rsid w:val="001A5310"/>
    <w:rsid w:val="001A55BA"/>
    <w:rsid w:val="001A5A11"/>
    <w:rsid w:val="001A606C"/>
    <w:rsid w:val="001A60D9"/>
    <w:rsid w:val="001A64C1"/>
    <w:rsid w:val="001A68FF"/>
    <w:rsid w:val="001A6944"/>
    <w:rsid w:val="001A6A87"/>
    <w:rsid w:val="001A7570"/>
    <w:rsid w:val="001A77AA"/>
    <w:rsid w:val="001A7953"/>
    <w:rsid w:val="001A7C5D"/>
    <w:rsid w:val="001A7F9F"/>
    <w:rsid w:val="001B01FA"/>
    <w:rsid w:val="001B0D0E"/>
    <w:rsid w:val="001B1353"/>
    <w:rsid w:val="001B1B62"/>
    <w:rsid w:val="001B1CBE"/>
    <w:rsid w:val="001B2563"/>
    <w:rsid w:val="001B28EE"/>
    <w:rsid w:val="001B29EC"/>
    <w:rsid w:val="001B2DAC"/>
    <w:rsid w:val="001B2E5B"/>
    <w:rsid w:val="001B394B"/>
    <w:rsid w:val="001B397D"/>
    <w:rsid w:val="001B3E33"/>
    <w:rsid w:val="001B4707"/>
    <w:rsid w:val="001B481F"/>
    <w:rsid w:val="001B4C76"/>
    <w:rsid w:val="001B4E2B"/>
    <w:rsid w:val="001B554C"/>
    <w:rsid w:val="001B5A4D"/>
    <w:rsid w:val="001B5B9E"/>
    <w:rsid w:val="001B5F2E"/>
    <w:rsid w:val="001B6227"/>
    <w:rsid w:val="001B638B"/>
    <w:rsid w:val="001B65A4"/>
    <w:rsid w:val="001B6658"/>
    <w:rsid w:val="001B697A"/>
    <w:rsid w:val="001C0548"/>
    <w:rsid w:val="001C1915"/>
    <w:rsid w:val="001C1AB3"/>
    <w:rsid w:val="001C3308"/>
    <w:rsid w:val="001C334D"/>
    <w:rsid w:val="001C36F0"/>
    <w:rsid w:val="001C3E7E"/>
    <w:rsid w:val="001C3FC1"/>
    <w:rsid w:val="001C4065"/>
    <w:rsid w:val="001C4174"/>
    <w:rsid w:val="001C4CB2"/>
    <w:rsid w:val="001C5547"/>
    <w:rsid w:val="001C5612"/>
    <w:rsid w:val="001C5C6E"/>
    <w:rsid w:val="001C61B3"/>
    <w:rsid w:val="001C6AB2"/>
    <w:rsid w:val="001C6C14"/>
    <w:rsid w:val="001C6CDF"/>
    <w:rsid w:val="001C6D88"/>
    <w:rsid w:val="001C6F47"/>
    <w:rsid w:val="001C713B"/>
    <w:rsid w:val="001C78F3"/>
    <w:rsid w:val="001C7F26"/>
    <w:rsid w:val="001D076C"/>
    <w:rsid w:val="001D0F3D"/>
    <w:rsid w:val="001D13C0"/>
    <w:rsid w:val="001D18F4"/>
    <w:rsid w:val="001D3D93"/>
    <w:rsid w:val="001D45FD"/>
    <w:rsid w:val="001D4605"/>
    <w:rsid w:val="001D4A03"/>
    <w:rsid w:val="001D4BBA"/>
    <w:rsid w:val="001D5661"/>
    <w:rsid w:val="001D681C"/>
    <w:rsid w:val="001D6A1B"/>
    <w:rsid w:val="001D6AB5"/>
    <w:rsid w:val="001D6E2D"/>
    <w:rsid w:val="001D7460"/>
    <w:rsid w:val="001D76A9"/>
    <w:rsid w:val="001E026F"/>
    <w:rsid w:val="001E07CF"/>
    <w:rsid w:val="001E08B1"/>
    <w:rsid w:val="001E0DC1"/>
    <w:rsid w:val="001E0E75"/>
    <w:rsid w:val="001E0FEA"/>
    <w:rsid w:val="001E10BC"/>
    <w:rsid w:val="001E13F3"/>
    <w:rsid w:val="001E2088"/>
    <w:rsid w:val="001E2B9A"/>
    <w:rsid w:val="001E4097"/>
    <w:rsid w:val="001E4494"/>
    <w:rsid w:val="001E4B20"/>
    <w:rsid w:val="001E61BF"/>
    <w:rsid w:val="001E68D0"/>
    <w:rsid w:val="001E6B14"/>
    <w:rsid w:val="001E6C4B"/>
    <w:rsid w:val="001E6D88"/>
    <w:rsid w:val="001E6DDF"/>
    <w:rsid w:val="001E75DA"/>
    <w:rsid w:val="001F0571"/>
    <w:rsid w:val="001F0622"/>
    <w:rsid w:val="001F0A55"/>
    <w:rsid w:val="001F0E5A"/>
    <w:rsid w:val="001F0F0A"/>
    <w:rsid w:val="001F18BC"/>
    <w:rsid w:val="001F2126"/>
    <w:rsid w:val="001F268B"/>
    <w:rsid w:val="001F32C4"/>
    <w:rsid w:val="001F3603"/>
    <w:rsid w:val="001F3B56"/>
    <w:rsid w:val="001F3B9D"/>
    <w:rsid w:val="001F4026"/>
    <w:rsid w:val="001F4337"/>
    <w:rsid w:val="001F4E04"/>
    <w:rsid w:val="001F5019"/>
    <w:rsid w:val="001F50F3"/>
    <w:rsid w:val="001F51A8"/>
    <w:rsid w:val="001F59A0"/>
    <w:rsid w:val="001F5E3D"/>
    <w:rsid w:val="001F5EF9"/>
    <w:rsid w:val="001F61D2"/>
    <w:rsid w:val="001F6580"/>
    <w:rsid w:val="001F68A4"/>
    <w:rsid w:val="001F6B57"/>
    <w:rsid w:val="001F7751"/>
    <w:rsid w:val="001F7AF2"/>
    <w:rsid w:val="001F7BEA"/>
    <w:rsid w:val="0020013D"/>
    <w:rsid w:val="00200289"/>
    <w:rsid w:val="00200603"/>
    <w:rsid w:val="00200C88"/>
    <w:rsid w:val="00200D86"/>
    <w:rsid w:val="00200F0C"/>
    <w:rsid w:val="002011BC"/>
    <w:rsid w:val="002014A9"/>
    <w:rsid w:val="0020206E"/>
    <w:rsid w:val="00202A87"/>
    <w:rsid w:val="00202E06"/>
    <w:rsid w:val="00203289"/>
    <w:rsid w:val="00203563"/>
    <w:rsid w:val="0020387C"/>
    <w:rsid w:val="00203ED8"/>
    <w:rsid w:val="00204EF9"/>
    <w:rsid w:val="00205050"/>
    <w:rsid w:val="00205066"/>
    <w:rsid w:val="00205C71"/>
    <w:rsid w:val="00205CDE"/>
    <w:rsid w:val="00206044"/>
    <w:rsid w:val="0020697B"/>
    <w:rsid w:val="00206DA0"/>
    <w:rsid w:val="00207205"/>
    <w:rsid w:val="002078D9"/>
    <w:rsid w:val="00207B10"/>
    <w:rsid w:val="00210B25"/>
    <w:rsid w:val="00210C9F"/>
    <w:rsid w:val="00211036"/>
    <w:rsid w:val="0021103C"/>
    <w:rsid w:val="002111AF"/>
    <w:rsid w:val="00211234"/>
    <w:rsid w:val="0021155A"/>
    <w:rsid w:val="0021176F"/>
    <w:rsid w:val="00212539"/>
    <w:rsid w:val="00212957"/>
    <w:rsid w:val="00212C04"/>
    <w:rsid w:val="00213231"/>
    <w:rsid w:val="00213F1C"/>
    <w:rsid w:val="00214926"/>
    <w:rsid w:val="00215301"/>
    <w:rsid w:val="002154BB"/>
    <w:rsid w:val="00215D44"/>
    <w:rsid w:val="00216275"/>
    <w:rsid w:val="00216332"/>
    <w:rsid w:val="00216A1D"/>
    <w:rsid w:val="00216A2D"/>
    <w:rsid w:val="00216F2A"/>
    <w:rsid w:val="00216F86"/>
    <w:rsid w:val="002171A7"/>
    <w:rsid w:val="00217428"/>
    <w:rsid w:val="00217459"/>
    <w:rsid w:val="00217BF1"/>
    <w:rsid w:val="00217F5A"/>
    <w:rsid w:val="0022007F"/>
    <w:rsid w:val="00220E67"/>
    <w:rsid w:val="00220F6A"/>
    <w:rsid w:val="002219C3"/>
    <w:rsid w:val="002219C7"/>
    <w:rsid w:val="00221EB3"/>
    <w:rsid w:val="002227AA"/>
    <w:rsid w:val="00222FA2"/>
    <w:rsid w:val="002232A4"/>
    <w:rsid w:val="00223E7E"/>
    <w:rsid w:val="00225E96"/>
    <w:rsid w:val="00226189"/>
    <w:rsid w:val="00226A28"/>
    <w:rsid w:val="00226B7B"/>
    <w:rsid w:val="002271D9"/>
    <w:rsid w:val="002273EA"/>
    <w:rsid w:val="00227E12"/>
    <w:rsid w:val="00230AC3"/>
    <w:rsid w:val="00231623"/>
    <w:rsid w:val="00231DD0"/>
    <w:rsid w:val="002339B7"/>
    <w:rsid w:val="00234ABC"/>
    <w:rsid w:val="002357E7"/>
    <w:rsid w:val="002359F1"/>
    <w:rsid w:val="00235EFA"/>
    <w:rsid w:val="002366B9"/>
    <w:rsid w:val="002369A4"/>
    <w:rsid w:val="00236BF4"/>
    <w:rsid w:val="00236EE5"/>
    <w:rsid w:val="00237229"/>
    <w:rsid w:val="002378B5"/>
    <w:rsid w:val="00237E96"/>
    <w:rsid w:val="0024059C"/>
    <w:rsid w:val="00241489"/>
    <w:rsid w:val="0024150B"/>
    <w:rsid w:val="002416E5"/>
    <w:rsid w:val="002418DF"/>
    <w:rsid w:val="002419E2"/>
    <w:rsid w:val="00241BDB"/>
    <w:rsid w:val="00242838"/>
    <w:rsid w:val="002430AA"/>
    <w:rsid w:val="00243512"/>
    <w:rsid w:val="00243584"/>
    <w:rsid w:val="00243FFF"/>
    <w:rsid w:val="00244A97"/>
    <w:rsid w:val="002454A9"/>
    <w:rsid w:val="0024598B"/>
    <w:rsid w:val="00250582"/>
    <w:rsid w:val="0025058B"/>
    <w:rsid w:val="00250BC2"/>
    <w:rsid w:val="00250D7C"/>
    <w:rsid w:val="00250F17"/>
    <w:rsid w:val="0025149E"/>
    <w:rsid w:val="002515A5"/>
    <w:rsid w:val="002518B4"/>
    <w:rsid w:val="002520D3"/>
    <w:rsid w:val="00252115"/>
    <w:rsid w:val="0025226D"/>
    <w:rsid w:val="00252F23"/>
    <w:rsid w:val="00252F76"/>
    <w:rsid w:val="00253740"/>
    <w:rsid w:val="002539D3"/>
    <w:rsid w:val="00253FC6"/>
    <w:rsid w:val="002545C2"/>
    <w:rsid w:val="002549C9"/>
    <w:rsid w:val="00254B39"/>
    <w:rsid w:val="00254E14"/>
    <w:rsid w:val="00255880"/>
    <w:rsid w:val="00255DC5"/>
    <w:rsid w:val="00256006"/>
    <w:rsid w:val="00256443"/>
    <w:rsid w:val="0025688F"/>
    <w:rsid w:val="002574D8"/>
    <w:rsid w:val="00257844"/>
    <w:rsid w:val="00260049"/>
    <w:rsid w:val="002601A1"/>
    <w:rsid w:val="00260282"/>
    <w:rsid w:val="0026041D"/>
    <w:rsid w:val="002604BF"/>
    <w:rsid w:val="002608D4"/>
    <w:rsid w:val="00260B62"/>
    <w:rsid w:val="00260FD6"/>
    <w:rsid w:val="00261298"/>
    <w:rsid w:val="0026172A"/>
    <w:rsid w:val="00261A89"/>
    <w:rsid w:val="00261D2E"/>
    <w:rsid w:val="002625F8"/>
    <w:rsid w:val="002627B2"/>
    <w:rsid w:val="00262F56"/>
    <w:rsid w:val="00262F6F"/>
    <w:rsid w:val="0026320E"/>
    <w:rsid w:val="002638E5"/>
    <w:rsid w:val="00263B80"/>
    <w:rsid w:val="00263D24"/>
    <w:rsid w:val="0026432E"/>
    <w:rsid w:val="002648DD"/>
    <w:rsid w:val="00264B9E"/>
    <w:rsid w:val="00264CF0"/>
    <w:rsid w:val="002656EF"/>
    <w:rsid w:val="00265A01"/>
    <w:rsid w:val="00265A84"/>
    <w:rsid w:val="00265BBF"/>
    <w:rsid w:val="0026625F"/>
    <w:rsid w:val="002666A5"/>
    <w:rsid w:val="00266AC6"/>
    <w:rsid w:val="002672F0"/>
    <w:rsid w:val="00267778"/>
    <w:rsid w:val="00267A7D"/>
    <w:rsid w:val="00270194"/>
    <w:rsid w:val="0027020F"/>
    <w:rsid w:val="00270986"/>
    <w:rsid w:val="00270AB7"/>
    <w:rsid w:val="00270AFF"/>
    <w:rsid w:val="00270CA5"/>
    <w:rsid w:val="0027171B"/>
    <w:rsid w:val="002719A5"/>
    <w:rsid w:val="00271B95"/>
    <w:rsid w:val="0027295C"/>
    <w:rsid w:val="00272FB9"/>
    <w:rsid w:val="002730B4"/>
    <w:rsid w:val="00273E29"/>
    <w:rsid w:val="00273E51"/>
    <w:rsid w:val="0027421F"/>
    <w:rsid w:val="002748F8"/>
    <w:rsid w:val="00274A58"/>
    <w:rsid w:val="00274DE1"/>
    <w:rsid w:val="00274F97"/>
    <w:rsid w:val="00275DDD"/>
    <w:rsid w:val="00276471"/>
    <w:rsid w:val="0027680A"/>
    <w:rsid w:val="00276A76"/>
    <w:rsid w:val="00276C1F"/>
    <w:rsid w:val="0027777D"/>
    <w:rsid w:val="00277C41"/>
    <w:rsid w:val="00277CF2"/>
    <w:rsid w:val="0028019B"/>
    <w:rsid w:val="00280A49"/>
    <w:rsid w:val="00280DC5"/>
    <w:rsid w:val="002812CA"/>
    <w:rsid w:val="00281697"/>
    <w:rsid w:val="002817B9"/>
    <w:rsid w:val="00282636"/>
    <w:rsid w:val="00282E31"/>
    <w:rsid w:val="00283506"/>
    <w:rsid w:val="00283541"/>
    <w:rsid w:val="00283662"/>
    <w:rsid w:val="00283778"/>
    <w:rsid w:val="00283B23"/>
    <w:rsid w:val="00283F5C"/>
    <w:rsid w:val="002848AB"/>
    <w:rsid w:val="002848EE"/>
    <w:rsid w:val="002854AD"/>
    <w:rsid w:val="00285584"/>
    <w:rsid w:val="00285B55"/>
    <w:rsid w:val="00286235"/>
    <w:rsid w:val="00286977"/>
    <w:rsid w:val="002869A4"/>
    <w:rsid w:val="002877DE"/>
    <w:rsid w:val="00287A3A"/>
    <w:rsid w:val="00287B03"/>
    <w:rsid w:val="00287B6C"/>
    <w:rsid w:val="00287DD3"/>
    <w:rsid w:val="002900E4"/>
    <w:rsid w:val="002901DD"/>
    <w:rsid w:val="00290FCE"/>
    <w:rsid w:val="00291352"/>
    <w:rsid w:val="00291CBB"/>
    <w:rsid w:val="00292257"/>
    <w:rsid w:val="00292664"/>
    <w:rsid w:val="00292A8A"/>
    <w:rsid w:val="00293760"/>
    <w:rsid w:val="00293BA6"/>
    <w:rsid w:val="00294B95"/>
    <w:rsid w:val="00294C70"/>
    <w:rsid w:val="00295C9B"/>
    <w:rsid w:val="00296334"/>
    <w:rsid w:val="0029698E"/>
    <w:rsid w:val="00296EC3"/>
    <w:rsid w:val="0029726D"/>
    <w:rsid w:val="00297761"/>
    <w:rsid w:val="00297853"/>
    <w:rsid w:val="002A000B"/>
    <w:rsid w:val="002A0896"/>
    <w:rsid w:val="002A0D87"/>
    <w:rsid w:val="002A1340"/>
    <w:rsid w:val="002A1637"/>
    <w:rsid w:val="002A26CF"/>
    <w:rsid w:val="002A27EA"/>
    <w:rsid w:val="002A31AE"/>
    <w:rsid w:val="002A38D5"/>
    <w:rsid w:val="002A3A3F"/>
    <w:rsid w:val="002A3B7F"/>
    <w:rsid w:val="002A41F3"/>
    <w:rsid w:val="002A49FA"/>
    <w:rsid w:val="002A4C64"/>
    <w:rsid w:val="002A78CA"/>
    <w:rsid w:val="002B00CB"/>
    <w:rsid w:val="002B0110"/>
    <w:rsid w:val="002B021B"/>
    <w:rsid w:val="002B099D"/>
    <w:rsid w:val="002B0AB7"/>
    <w:rsid w:val="002B150E"/>
    <w:rsid w:val="002B2440"/>
    <w:rsid w:val="002B2A69"/>
    <w:rsid w:val="002B2FA9"/>
    <w:rsid w:val="002B476D"/>
    <w:rsid w:val="002B47C6"/>
    <w:rsid w:val="002B4A3E"/>
    <w:rsid w:val="002B58E8"/>
    <w:rsid w:val="002B5EDF"/>
    <w:rsid w:val="002B61C9"/>
    <w:rsid w:val="002B676E"/>
    <w:rsid w:val="002B684C"/>
    <w:rsid w:val="002B6905"/>
    <w:rsid w:val="002B6C76"/>
    <w:rsid w:val="002B6C82"/>
    <w:rsid w:val="002C04C0"/>
    <w:rsid w:val="002C0AF8"/>
    <w:rsid w:val="002C14AA"/>
    <w:rsid w:val="002C1550"/>
    <w:rsid w:val="002C17A3"/>
    <w:rsid w:val="002C1A79"/>
    <w:rsid w:val="002C2031"/>
    <w:rsid w:val="002C2564"/>
    <w:rsid w:val="002C3824"/>
    <w:rsid w:val="002C3AA3"/>
    <w:rsid w:val="002C41AC"/>
    <w:rsid w:val="002C4CB4"/>
    <w:rsid w:val="002C537A"/>
    <w:rsid w:val="002C6AF1"/>
    <w:rsid w:val="002C6CED"/>
    <w:rsid w:val="002D0812"/>
    <w:rsid w:val="002D0923"/>
    <w:rsid w:val="002D10E4"/>
    <w:rsid w:val="002D12D4"/>
    <w:rsid w:val="002D24B0"/>
    <w:rsid w:val="002D42D3"/>
    <w:rsid w:val="002D486D"/>
    <w:rsid w:val="002D49B0"/>
    <w:rsid w:val="002D4B98"/>
    <w:rsid w:val="002D4E48"/>
    <w:rsid w:val="002D54C6"/>
    <w:rsid w:val="002D59BF"/>
    <w:rsid w:val="002D5EE5"/>
    <w:rsid w:val="002D64B8"/>
    <w:rsid w:val="002D6A44"/>
    <w:rsid w:val="002D6CDD"/>
    <w:rsid w:val="002D6ECD"/>
    <w:rsid w:val="002D74F8"/>
    <w:rsid w:val="002D76DA"/>
    <w:rsid w:val="002D76FC"/>
    <w:rsid w:val="002D7B7D"/>
    <w:rsid w:val="002D7C02"/>
    <w:rsid w:val="002D7FB4"/>
    <w:rsid w:val="002E05F8"/>
    <w:rsid w:val="002E0BCC"/>
    <w:rsid w:val="002E0F92"/>
    <w:rsid w:val="002E1382"/>
    <w:rsid w:val="002E1788"/>
    <w:rsid w:val="002E1836"/>
    <w:rsid w:val="002E1CCE"/>
    <w:rsid w:val="002E1FBC"/>
    <w:rsid w:val="002E2005"/>
    <w:rsid w:val="002E2862"/>
    <w:rsid w:val="002E2BA7"/>
    <w:rsid w:val="002E4130"/>
    <w:rsid w:val="002E42CE"/>
    <w:rsid w:val="002E4A63"/>
    <w:rsid w:val="002E4D15"/>
    <w:rsid w:val="002E4E4B"/>
    <w:rsid w:val="002E4EA8"/>
    <w:rsid w:val="002E5281"/>
    <w:rsid w:val="002E5638"/>
    <w:rsid w:val="002E5768"/>
    <w:rsid w:val="002E57C6"/>
    <w:rsid w:val="002E71DD"/>
    <w:rsid w:val="002E741B"/>
    <w:rsid w:val="002E74DF"/>
    <w:rsid w:val="002E78BD"/>
    <w:rsid w:val="002E79CB"/>
    <w:rsid w:val="002E7CF2"/>
    <w:rsid w:val="002E7D75"/>
    <w:rsid w:val="002F0485"/>
    <w:rsid w:val="002F065E"/>
    <w:rsid w:val="002F0F33"/>
    <w:rsid w:val="002F1E6B"/>
    <w:rsid w:val="002F230C"/>
    <w:rsid w:val="002F2C43"/>
    <w:rsid w:val="002F30C8"/>
    <w:rsid w:val="002F3227"/>
    <w:rsid w:val="002F331B"/>
    <w:rsid w:val="002F3B9C"/>
    <w:rsid w:val="002F4563"/>
    <w:rsid w:val="002F48BC"/>
    <w:rsid w:val="002F4E1D"/>
    <w:rsid w:val="002F5115"/>
    <w:rsid w:val="002F51B5"/>
    <w:rsid w:val="002F555C"/>
    <w:rsid w:val="002F62D5"/>
    <w:rsid w:val="002F65E5"/>
    <w:rsid w:val="002F7570"/>
    <w:rsid w:val="002F7754"/>
    <w:rsid w:val="00300367"/>
    <w:rsid w:val="00300BC8"/>
    <w:rsid w:val="00300EA8"/>
    <w:rsid w:val="00300F29"/>
    <w:rsid w:val="0030124B"/>
    <w:rsid w:val="0030151F"/>
    <w:rsid w:val="0030158F"/>
    <w:rsid w:val="003026E3"/>
    <w:rsid w:val="0030379C"/>
    <w:rsid w:val="0030381B"/>
    <w:rsid w:val="00303DF0"/>
    <w:rsid w:val="003044CC"/>
    <w:rsid w:val="003044E6"/>
    <w:rsid w:val="003045CD"/>
    <w:rsid w:val="00304606"/>
    <w:rsid w:val="00306F04"/>
    <w:rsid w:val="0030709C"/>
    <w:rsid w:val="003071BC"/>
    <w:rsid w:val="0030763B"/>
    <w:rsid w:val="00307AA0"/>
    <w:rsid w:val="00307B4E"/>
    <w:rsid w:val="00307F45"/>
    <w:rsid w:val="0031035B"/>
    <w:rsid w:val="00310736"/>
    <w:rsid w:val="00310749"/>
    <w:rsid w:val="00310AE7"/>
    <w:rsid w:val="00311DDD"/>
    <w:rsid w:val="003127AF"/>
    <w:rsid w:val="003129E8"/>
    <w:rsid w:val="00312C34"/>
    <w:rsid w:val="003135B5"/>
    <w:rsid w:val="00313901"/>
    <w:rsid w:val="00314127"/>
    <w:rsid w:val="00314A60"/>
    <w:rsid w:val="00314B79"/>
    <w:rsid w:val="003154C1"/>
    <w:rsid w:val="00315506"/>
    <w:rsid w:val="0031624C"/>
    <w:rsid w:val="003162BB"/>
    <w:rsid w:val="00316BB3"/>
    <w:rsid w:val="0031705D"/>
    <w:rsid w:val="0031769A"/>
    <w:rsid w:val="0031791C"/>
    <w:rsid w:val="00317BDA"/>
    <w:rsid w:val="00317D53"/>
    <w:rsid w:val="00320886"/>
    <w:rsid w:val="00320CBD"/>
    <w:rsid w:val="003221D1"/>
    <w:rsid w:val="00322243"/>
    <w:rsid w:val="00322BB8"/>
    <w:rsid w:val="00322E94"/>
    <w:rsid w:val="00323BD5"/>
    <w:rsid w:val="00324040"/>
    <w:rsid w:val="0032417C"/>
    <w:rsid w:val="003241C6"/>
    <w:rsid w:val="0032458C"/>
    <w:rsid w:val="00324824"/>
    <w:rsid w:val="00324FE0"/>
    <w:rsid w:val="0032554B"/>
    <w:rsid w:val="00325C73"/>
    <w:rsid w:val="00325CC4"/>
    <w:rsid w:val="00326EB0"/>
    <w:rsid w:val="003271E4"/>
    <w:rsid w:val="00327834"/>
    <w:rsid w:val="00327B8D"/>
    <w:rsid w:val="00330137"/>
    <w:rsid w:val="0033014B"/>
    <w:rsid w:val="003307D3"/>
    <w:rsid w:val="00330A1A"/>
    <w:rsid w:val="003312CE"/>
    <w:rsid w:val="00331D52"/>
    <w:rsid w:val="00332158"/>
    <w:rsid w:val="00332247"/>
    <w:rsid w:val="00332BBB"/>
    <w:rsid w:val="00333070"/>
    <w:rsid w:val="003339BF"/>
    <w:rsid w:val="0033469E"/>
    <w:rsid w:val="00334786"/>
    <w:rsid w:val="00334FDB"/>
    <w:rsid w:val="00335924"/>
    <w:rsid w:val="00335BAF"/>
    <w:rsid w:val="00335EF5"/>
    <w:rsid w:val="003365C2"/>
    <w:rsid w:val="00336CD9"/>
    <w:rsid w:val="00337198"/>
    <w:rsid w:val="003373ED"/>
    <w:rsid w:val="00337637"/>
    <w:rsid w:val="00340C96"/>
    <w:rsid w:val="00340F94"/>
    <w:rsid w:val="00340FB3"/>
    <w:rsid w:val="003413C4"/>
    <w:rsid w:val="003414B4"/>
    <w:rsid w:val="003415C1"/>
    <w:rsid w:val="003422D5"/>
    <w:rsid w:val="00342316"/>
    <w:rsid w:val="0034235F"/>
    <w:rsid w:val="00342A86"/>
    <w:rsid w:val="00342ADF"/>
    <w:rsid w:val="003431AC"/>
    <w:rsid w:val="003432D9"/>
    <w:rsid w:val="0034344D"/>
    <w:rsid w:val="00343517"/>
    <w:rsid w:val="00343BD9"/>
    <w:rsid w:val="00344A07"/>
    <w:rsid w:val="00344DA9"/>
    <w:rsid w:val="00345414"/>
    <w:rsid w:val="00345454"/>
    <w:rsid w:val="00346C45"/>
    <w:rsid w:val="00346CCF"/>
    <w:rsid w:val="00346D3C"/>
    <w:rsid w:val="00346EC4"/>
    <w:rsid w:val="0034777A"/>
    <w:rsid w:val="003478C8"/>
    <w:rsid w:val="0035235F"/>
    <w:rsid w:val="00352877"/>
    <w:rsid w:val="0035314F"/>
    <w:rsid w:val="003531D9"/>
    <w:rsid w:val="00353211"/>
    <w:rsid w:val="003547EB"/>
    <w:rsid w:val="00354C08"/>
    <w:rsid w:val="00355262"/>
    <w:rsid w:val="0035558B"/>
    <w:rsid w:val="003555CA"/>
    <w:rsid w:val="00355AC0"/>
    <w:rsid w:val="0035617B"/>
    <w:rsid w:val="003565A5"/>
    <w:rsid w:val="00356F53"/>
    <w:rsid w:val="00357047"/>
    <w:rsid w:val="0035765A"/>
    <w:rsid w:val="00357CF5"/>
    <w:rsid w:val="00357D7F"/>
    <w:rsid w:val="0036017D"/>
    <w:rsid w:val="00360230"/>
    <w:rsid w:val="00360E4C"/>
    <w:rsid w:val="00361151"/>
    <w:rsid w:val="00361432"/>
    <w:rsid w:val="003619BD"/>
    <w:rsid w:val="003628FA"/>
    <w:rsid w:val="00362B6B"/>
    <w:rsid w:val="00362DDC"/>
    <w:rsid w:val="00362F9B"/>
    <w:rsid w:val="003630CD"/>
    <w:rsid w:val="00363805"/>
    <w:rsid w:val="00364110"/>
    <w:rsid w:val="0036426E"/>
    <w:rsid w:val="00364FE9"/>
    <w:rsid w:val="00365265"/>
    <w:rsid w:val="0036540B"/>
    <w:rsid w:val="003657C3"/>
    <w:rsid w:val="0036616C"/>
    <w:rsid w:val="00367455"/>
    <w:rsid w:val="0036764B"/>
    <w:rsid w:val="00367AB7"/>
    <w:rsid w:val="00367D1E"/>
    <w:rsid w:val="00367E5C"/>
    <w:rsid w:val="003708E9"/>
    <w:rsid w:val="00370B76"/>
    <w:rsid w:val="00370E88"/>
    <w:rsid w:val="003714DA"/>
    <w:rsid w:val="0037279C"/>
    <w:rsid w:val="00372D84"/>
    <w:rsid w:val="00373642"/>
    <w:rsid w:val="00373FBF"/>
    <w:rsid w:val="00374040"/>
    <w:rsid w:val="0037404C"/>
    <w:rsid w:val="0037417E"/>
    <w:rsid w:val="0037435E"/>
    <w:rsid w:val="003745DF"/>
    <w:rsid w:val="00374920"/>
    <w:rsid w:val="003753AD"/>
    <w:rsid w:val="0037697F"/>
    <w:rsid w:val="00376C4C"/>
    <w:rsid w:val="00377424"/>
    <w:rsid w:val="00377EA2"/>
    <w:rsid w:val="00377FD1"/>
    <w:rsid w:val="00380576"/>
    <w:rsid w:val="003809BC"/>
    <w:rsid w:val="003809C7"/>
    <w:rsid w:val="00381A4C"/>
    <w:rsid w:val="00381BED"/>
    <w:rsid w:val="003827CD"/>
    <w:rsid w:val="00383441"/>
    <w:rsid w:val="003836BC"/>
    <w:rsid w:val="00383D36"/>
    <w:rsid w:val="00383EEB"/>
    <w:rsid w:val="0038433D"/>
    <w:rsid w:val="00384404"/>
    <w:rsid w:val="00384475"/>
    <w:rsid w:val="003845F5"/>
    <w:rsid w:val="003849ED"/>
    <w:rsid w:val="00384EC8"/>
    <w:rsid w:val="00384EEC"/>
    <w:rsid w:val="003855A4"/>
    <w:rsid w:val="003856A2"/>
    <w:rsid w:val="00386DB8"/>
    <w:rsid w:val="00386FE6"/>
    <w:rsid w:val="003876C8"/>
    <w:rsid w:val="00387B25"/>
    <w:rsid w:val="00387BA0"/>
    <w:rsid w:val="00387BE3"/>
    <w:rsid w:val="003907F7"/>
    <w:rsid w:val="00390D9F"/>
    <w:rsid w:val="00391450"/>
    <w:rsid w:val="0039170E"/>
    <w:rsid w:val="00391A5A"/>
    <w:rsid w:val="0039221C"/>
    <w:rsid w:val="00392BAA"/>
    <w:rsid w:val="0039325C"/>
    <w:rsid w:val="00393490"/>
    <w:rsid w:val="00393CD3"/>
    <w:rsid w:val="00393D97"/>
    <w:rsid w:val="003940D6"/>
    <w:rsid w:val="00394262"/>
    <w:rsid w:val="003949F7"/>
    <w:rsid w:val="00394ADF"/>
    <w:rsid w:val="00395905"/>
    <w:rsid w:val="00395DC2"/>
    <w:rsid w:val="00395F52"/>
    <w:rsid w:val="003962EE"/>
    <w:rsid w:val="00396315"/>
    <w:rsid w:val="00396876"/>
    <w:rsid w:val="00396EBC"/>
    <w:rsid w:val="00396F7C"/>
    <w:rsid w:val="003974A0"/>
    <w:rsid w:val="003979D2"/>
    <w:rsid w:val="00397CD4"/>
    <w:rsid w:val="003A00D0"/>
    <w:rsid w:val="003A1191"/>
    <w:rsid w:val="003A14D3"/>
    <w:rsid w:val="003A17C9"/>
    <w:rsid w:val="003A184E"/>
    <w:rsid w:val="003A216D"/>
    <w:rsid w:val="003A253C"/>
    <w:rsid w:val="003A3111"/>
    <w:rsid w:val="003A55EE"/>
    <w:rsid w:val="003A5F22"/>
    <w:rsid w:val="003A6511"/>
    <w:rsid w:val="003A70D9"/>
    <w:rsid w:val="003A79CE"/>
    <w:rsid w:val="003B06AE"/>
    <w:rsid w:val="003B0CC7"/>
    <w:rsid w:val="003B0E74"/>
    <w:rsid w:val="003B1381"/>
    <w:rsid w:val="003B145F"/>
    <w:rsid w:val="003B15D9"/>
    <w:rsid w:val="003B18C8"/>
    <w:rsid w:val="003B295F"/>
    <w:rsid w:val="003B2B23"/>
    <w:rsid w:val="003B2DEB"/>
    <w:rsid w:val="003B2E4C"/>
    <w:rsid w:val="003B30A5"/>
    <w:rsid w:val="003B30E6"/>
    <w:rsid w:val="003B37FD"/>
    <w:rsid w:val="003B382E"/>
    <w:rsid w:val="003B3CD6"/>
    <w:rsid w:val="003B3DE2"/>
    <w:rsid w:val="003B41D6"/>
    <w:rsid w:val="003B4BC6"/>
    <w:rsid w:val="003B5187"/>
    <w:rsid w:val="003B5CDF"/>
    <w:rsid w:val="003B6D21"/>
    <w:rsid w:val="003B7395"/>
    <w:rsid w:val="003B7AAE"/>
    <w:rsid w:val="003B7C0C"/>
    <w:rsid w:val="003B7D4F"/>
    <w:rsid w:val="003B7D9B"/>
    <w:rsid w:val="003B7FBB"/>
    <w:rsid w:val="003C020C"/>
    <w:rsid w:val="003C0374"/>
    <w:rsid w:val="003C0E53"/>
    <w:rsid w:val="003C0FB3"/>
    <w:rsid w:val="003C1C17"/>
    <w:rsid w:val="003C1D2E"/>
    <w:rsid w:val="003C2E17"/>
    <w:rsid w:val="003C3205"/>
    <w:rsid w:val="003C363C"/>
    <w:rsid w:val="003C377A"/>
    <w:rsid w:val="003C382F"/>
    <w:rsid w:val="003C3DD0"/>
    <w:rsid w:val="003C44C1"/>
    <w:rsid w:val="003C4E63"/>
    <w:rsid w:val="003C53E5"/>
    <w:rsid w:val="003C5589"/>
    <w:rsid w:val="003C579E"/>
    <w:rsid w:val="003C5BED"/>
    <w:rsid w:val="003C6370"/>
    <w:rsid w:val="003C64C0"/>
    <w:rsid w:val="003C66B2"/>
    <w:rsid w:val="003C7F39"/>
    <w:rsid w:val="003D00EA"/>
    <w:rsid w:val="003D018D"/>
    <w:rsid w:val="003D02D3"/>
    <w:rsid w:val="003D078E"/>
    <w:rsid w:val="003D0E3D"/>
    <w:rsid w:val="003D1DCA"/>
    <w:rsid w:val="003D20A7"/>
    <w:rsid w:val="003D213C"/>
    <w:rsid w:val="003D227B"/>
    <w:rsid w:val="003D2621"/>
    <w:rsid w:val="003D26B9"/>
    <w:rsid w:val="003D285C"/>
    <w:rsid w:val="003D331C"/>
    <w:rsid w:val="003D3B1C"/>
    <w:rsid w:val="003D3C1C"/>
    <w:rsid w:val="003D4091"/>
    <w:rsid w:val="003D42F2"/>
    <w:rsid w:val="003D446C"/>
    <w:rsid w:val="003D530E"/>
    <w:rsid w:val="003D5468"/>
    <w:rsid w:val="003D5B80"/>
    <w:rsid w:val="003D5F75"/>
    <w:rsid w:val="003D6100"/>
    <w:rsid w:val="003D6150"/>
    <w:rsid w:val="003D615A"/>
    <w:rsid w:val="003D61F4"/>
    <w:rsid w:val="003D6740"/>
    <w:rsid w:val="003D7942"/>
    <w:rsid w:val="003D7A54"/>
    <w:rsid w:val="003D7BCA"/>
    <w:rsid w:val="003E0392"/>
    <w:rsid w:val="003E1460"/>
    <w:rsid w:val="003E2036"/>
    <w:rsid w:val="003E2364"/>
    <w:rsid w:val="003E270A"/>
    <w:rsid w:val="003E285D"/>
    <w:rsid w:val="003E2C48"/>
    <w:rsid w:val="003E34F0"/>
    <w:rsid w:val="003E3A30"/>
    <w:rsid w:val="003E3F43"/>
    <w:rsid w:val="003E45A6"/>
    <w:rsid w:val="003E47CD"/>
    <w:rsid w:val="003E4BEE"/>
    <w:rsid w:val="003E5F0B"/>
    <w:rsid w:val="003E5F86"/>
    <w:rsid w:val="003E626F"/>
    <w:rsid w:val="003E6970"/>
    <w:rsid w:val="003E6F85"/>
    <w:rsid w:val="003E714A"/>
    <w:rsid w:val="003E7552"/>
    <w:rsid w:val="003E75DF"/>
    <w:rsid w:val="003F046A"/>
    <w:rsid w:val="003F22DC"/>
    <w:rsid w:val="003F27F2"/>
    <w:rsid w:val="003F2DFD"/>
    <w:rsid w:val="003F2FF4"/>
    <w:rsid w:val="003F319A"/>
    <w:rsid w:val="003F347C"/>
    <w:rsid w:val="003F35D9"/>
    <w:rsid w:val="003F36B5"/>
    <w:rsid w:val="003F396A"/>
    <w:rsid w:val="003F4125"/>
    <w:rsid w:val="003F41B5"/>
    <w:rsid w:val="003F4208"/>
    <w:rsid w:val="003F4ABE"/>
    <w:rsid w:val="003F50D2"/>
    <w:rsid w:val="003F549D"/>
    <w:rsid w:val="003F5E76"/>
    <w:rsid w:val="003F69D6"/>
    <w:rsid w:val="003F71EF"/>
    <w:rsid w:val="003F792E"/>
    <w:rsid w:val="003F7AF7"/>
    <w:rsid w:val="003F7C6D"/>
    <w:rsid w:val="00400451"/>
    <w:rsid w:val="004006E2"/>
    <w:rsid w:val="00400AC9"/>
    <w:rsid w:val="00400BB6"/>
    <w:rsid w:val="00400C2E"/>
    <w:rsid w:val="00401E81"/>
    <w:rsid w:val="00402481"/>
    <w:rsid w:val="004027E7"/>
    <w:rsid w:val="00402A96"/>
    <w:rsid w:val="00402C1F"/>
    <w:rsid w:val="004032BD"/>
    <w:rsid w:val="00403597"/>
    <w:rsid w:val="00403AFC"/>
    <w:rsid w:val="00403D00"/>
    <w:rsid w:val="004042AC"/>
    <w:rsid w:val="00404C04"/>
    <w:rsid w:val="00405B62"/>
    <w:rsid w:val="0040620C"/>
    <w:rsid w:val="00406BE2"/>
    <w:rsid w:val="00406D74"/>
    <w:rsid w:val="00406DF9"/>
    <w:rsid w:val="00406EA1"/>
    <w:rsid w:val="004070CC"/>
    <w:rsid w:val="00407680"/>
    <w:rsid w:val="0041035A"/>
    <w:rsid w:val="00410DFA"/>
    <w:rsid w:val="00412868"/>
    <w:rsid w:val="00412CA2"/>
    <w:rsid w:val="00412D1D"/>
    <w:rsid w:val="00412DF6"/>
    <w:rsid w:val="004130FB"/>
    <w:rsid w:val="00413509"/>
    <w:rsid w:val="0041360D"/>
    <w:rsid w:val="0041376B"/>
    <w:rsid w:val="004139D2"/>
    <w:rsid w:val="00413A02"/>
    <w:rsid w:val="00413A48"/>
    <w:rsid w:val="0041404D"/>
    <w:rsid w:val="0041442E"/>
    <w:rsid w:val="00414BE5"/>
    <w:rsid w:val="00414F82"/>
    <w:rsid w:val="00415D80"/>
    <w:rsid w:val="004161EE"/>
    <w:rsid w:val="00416490"/>
    <w:rsid w:val="00416890"/>
    <w:rsid w:val="00416D4B"/>
    <w:rsid w:val="00416E2A"/>
    <w:rsid w:val="00417C21"/>
    <w:rsid w:val="0042061A"/>
    <w:rsid w:val="00420734"/>
    <w:rsid w:val="00420BAD"/>
    <w:rsid w:val="00420DD7"/>
    <w:rsid w:val="00420DE7"/>
    <w:rsid w:val="00421090"/>
    <w:rsid w:val="004210CF"/>
    <w:rsid w:val="0042110E"/>
    <w:rsid w:val="004212BB"/>
    <w:rsid w:val="004216FF"/>
    <w:rsid w:val="00421C5C"/>
    <w:rsid w:val="00421D37"/>
    <w:rsid w:val="0042215A"/>
    <w:rsid w:val="00422890"/>
    <w:rsid w:val="00422ADD"/>
    <w:rsid w:val="00423D65"/>
    <w:rsid w:val="00424001"/>
    <w:rsid w:val="004247A8"/>
    <w:rsid w:val="00424A20"/>
    <w:rsid w:val="00424B2B"/>
    <w:rsid w:val="00424B3C"/>
    <w:rsid w:val="004253C5"/>
    <w:rsid w:val="0042560D"/>
    <w:rsid w:val="004258B3"/>
    <w:rsid w:val="00425971"/>
    <w:rsid w:val="00425CA9"/>
    <w:rsid w:val="00425F4C"/>
    <w:rsid w:val="00427606"/>
    <w:rsid w:val="00427713"/>
    <w:rsid w:val="004278ED"/>
    <w:rsid w:val="00430070"/>
    <w:rsid w:val="004301A0"/>
    <w:rsid w:val="004303D7"/>
    <w:rsid w:val="00430802"/>
    <w:rsid w:val="00430D4F"/>
    <w:rsid w:val="00430E20"/>
    <w:rsid w:val="00431496"/>
    <w:rsid w:val="00431500"/>
    <w:rsid w:val="0043227B"/>
    <w:rsid w:val="0043296B"/>
    <w:rsid w:val="00432CD4"/>
    <w:rsid w:val="00432D83"/>
    <w:rsid w:val="00432E64"/>
    <w:rsid w:val="004337FD"/>
    <w:rsid w:val="00433C99"/>
    <w:rsid w:val="00434158"/>
    <w:rsid w:val="00434C07"/>
    <w:rsid w:val="004354BF"/>
    <w:rsid w:val="004356E9"/>
    <w:rsid w:val="00435BE8"/>
    <w:rsid w:val="00435DA3"/>
    <w:rsid w:val="00436220"/>
    <w:rsid w:val="004366A1"/>
    <w:rsid w:val="0043679C"/>
    <w:rsid w:val="004368AA"/>
    <w:rsid w:val="00436D33"/>
    <w:rsid w:val="00436D51"/>
    <w:rsid w:val="00437026"/>
    <w:rsid w:val="0044035C"/>
    <w:rsid w:val="00440DE2"/>
    <w:rsid w:val="004413A3"/>
    <w:rsid w:val="00441C19"/>
    <w:rsid w:val="0044235F"/>
    <w:rsid w:val="00442CF2"/>
    <w:rsid w:val="00442D23"/>
    <w:rsid w:val="00442F57"/>
    <w:rsid w:val="00443023"/>
    <w:rsid w:val="004433A3"/>
    <w:rsid w:val="00443660"/>
    <w:rsid w:val="004436F4"/>
    <w:rsid w:val="00443C83"/>
    <w:rsid w:val="00443DA9"/>
    <w:rsid w:val="004445FF"/>
    <w:rsid w:val="00444E4D"/>
    <w:rsid w:val="004450A1"/>
    <w:rsid w:val="00445B46"/>
    <w:rsid w:val="00446067"/>
    <w:rsid w:val="0044622F"/>
    <w:rsid w:val="00446F18"/>
    <w:rsid w:val="00447516"/>
    <w:rsid w:val="00447900"/>
    <w:rsid w:val="00447ED4"/>
    <w:rsid w:val="004506F3"/>
    <w:rsid w:val="00450804"/>
    <w:rsid w:val="00450BEF"/>
    <w:rsid w:val="00450CE1"/>
    <w:rsid w:val="00451768"/>
    <w:rsid w:val="004518CF"/>
    <w:rsid w:val="00451D0D"/>
    <w:rsid w:val="00451FAA"/>
    <w:rsid w:val="00452198"/>
    <w:rsid w:val="004535AF"/>
    <w:rsid w:val="0045364B"/>
    <w:rsid w:val="00453663"/>
    <w:rsid w:val="00453BAE"/>
    <w:rsid w:val="00454677"/>
    <w:rsid w:val="004548DE"/>
    <w:rsid w:val="00454FBC"/>
    <w:rsid w:val="00455244"/>
    <w:rsid w:val="004562E0"/>
    <w:rsid w:val="00456365"/>
    <w:rsid w:val="00456CBA"/>
    <w:rsid w:val="0045741A"/>
    <w:rsid w:val="004578C5"/>
    <w:rsid w:val="00457F30"/>
    <w:rsid w:val="0046055E"/>
    <w:rsid w:val="00460C8C"/>
    <w:rsid w:val="004613CE"/>
    <w:rsid w:val="004613F4"/>
    <w:rsid w:val="004614BF"/>
    <w:rsid w:val="00461E1D"/>
    <w:rsid w:val="00462286"/>
    <w:rsid w:val="0046231C"/>
    <w:rsid w:val="00462543"/>
    <w:rsid w:val="00462F9A"/>
    <w:rsid w:val="004634B0"/>
    <w:rsid w:val="004639DA"/>
    <w:rsid w:val="00463F04"/>
    <w:rsid w:val="0046429F"/>
    <w:rsid w:val="00464787"/>
    <w:rsid w:val="00464A3E"/>
    <w:rsid w:val="004651A3"/>
    <w:rsid w:val="004651D1"/>
    <w:rsid w:val="004659AB"/>
    <w:rsid w:val="00465C89"/>
    <w:rsid w:val="00465F9D"/>
    <w:rsid w:val="00466DB7"/>
    <w:rsid w:val="0046739B"/>
    <w:rsid w:val="004675D7"/>
    <w:rsid w:val="00467667"/>
    <w:rsid w:val="00467A6C"/>
    <w:rsid w:val="00467FC1"/>
    <w:rsid w:val="00470081"/>
    <w:rsid w:val="00471B83"/>
    <w:rsid w:val="00471C08"/>
    <w:rsid w:val="0047212B"/>
    <w:rsid w:val="004733F9"/>
    <w:rsid w:val="0047343C"/>
    <w:rsid w:val="004737BF"/>
    <w:rsid w:val="004739A4"/>
    <w:rsid w:val="004739B8"/>
    <w:rsid w:val="004746B2"/>
    <w:rsid w:val="004749A0"/>
    <w:rsid w:val="00474A15"/>
    <w:rsid w:val="0047515F"/>
    <w:rsid w:val="00475291"/>
    <w:rsid w:val="00475993"/>
    <w:rsid w:val="00475C56"/>
    <w:rsid w:val="004762B2"/>
    <w:rsid w:val="004768BE"/>
    <w:rsid w:val="00476CB1"/>
    <w:rsid w:val="004772EF"/>
    <w:rsid w:val="00477652"/>
    <w:rsid w:val="00477BCA"/>
    <w:rsid w:val="00477C4E"/>
    <w:rsid w:val="0048024D"/>
    <w:rsid w:val="00480C08"/>
    <w:rsid w:val="00480EF2"/>
    <w:rsid w:val="004811EE"/>
    <w:rsid w:val="0048124D"/>
    <w:rsid w:val="0048173B"/>
    <w:rsid w:val="00481E29"/>
    <w:rsid w:val="00482040"/>
    <w:rsid w:val="004820C2"/>
    <w:rsid w:val="00482514"/>
    <w:rsid w:val="00482D3E"/>
    <w:rsid w:val="00482F17"/>
    <w:rsid w:val="0048318E"/>
    <w:rsid w:val="00483CAA"/>
    <w:rsid w:val="0048405B"/>
    <w:rsid w:val="004841D4"/>
    <w:rsid w:val="004841FE"/>
    <w:rsid w:val="00484354"/>
    <w:rsid w:val="004849BC"/>
    <w:rsid w:val="00484AED"/>
    <w:rsid w:val="00484F41"/>
    <w:rsid w:val="00485BDC"/>
    <w:rsid w:val="0048657F"/>
    <w:rsid w:val="004876D0"/>
    <w:rsid w:val="004877F1"/>
    <w:rsid w:val="00487C15"/>
    <w:rsid w:val="00490309"/>
    <w:rsid w:val="00490965"/>
    <w:rsid w:val="00490CCC"/>
    <w:rsid w:val="00490E15"/>
    <w:rsid w:val="004913A9"/>
    <w:rsid w:val="0049190B"/>
    <w:rsid w:val="00492755"/>
    <w:rsid w:val="00493379"/>
    <w:rsid w:val="00493484"/>
    <w:rsid w:val="00493915"/>
    <w:rsid w:val="00493D64"/>
    <w:rsid w:val="004943FF"/>
    <w:rsid w:val="00494999"/>
    <w:rsid w:val="00494BB5"/>
    <w:rsid w:val="00494EE9"/>
    <w:rsid w:val="00495163"/>
    <w:rsid w:val="00495DCA"/>
    <w:rsid w:val="0049606F"/>
    <w:rsid w:val="00496510"/>
    <w:rsid w:val="00496544"/>
    <w:rsid w:val="004965E1"/>
    <w:rsid w:val="00496977"/>
    <w:rsid w:val="00496AD9"/>
    <w:rsid w:val="00496BA0"/>
    <w:rsid w:val="00496F98"/>
    <w:rsid w:val="00497224"/>
    <w:rsid w:val="004977F8"/>
    <w:rsid w:val="004A04B5"/>
    <w:rsid w:val="004A1EAD"/>
    <w:rsid w:val="004A2D09"/>
    <w:rsid w:val="004A3340"/>
    <w:rsid w:val="004A3555"/>
    <w:rsid w:val="004A3613"/>
    <w:rsid w:val="004A36E9"/>
    <w:rsid w:val="004A37F8"/>
    <w:rsid w:val="004A3DFF"/>
    <w:rsid w:val="004A4A56"/>
    <w:rsid w:val="004A4E08"/>
    <w:rsid w:val="004A59CE"/>
    <w:rsid w:val="004A5BA1"/>
    <w:rsid w:val="004A619B"/>
    <w:rsid w:val="004A68D8"/>
    <w:rsid w:val="004A6D7B"/>
    <w:rsid w:val="004B0815"/>
    <w:rsid w:val="004B0E3B"/>
    <w:rsid w:val="004B114C"/>
    <w:rsid w:val="004B121F"/>
    <w:rsid w:val="004B12E8"/>
    <w:rsid w:val="004B1BC6"/>
    <w:rsid w:val="004B1C1A"/>
    <w:rsid w:val="004B1C56"/>
    <w:rsid w:val="004B20BE"/>
    <w:rsid w:val="004B21B5"/>
    <w:rsid w:val="004B2218"/>
    <w:rsid w:val="004B24E1"/>
    <w:rsid w:val="004B28F4"/>
    <w:rsid w:val="004B2AAB"/>
    <w:rsid w:val="004B3878"/>
    <w:rsid w:val="004B427B"/>
    <w:rsid w:val="004B4315"/>
    <w:rsid w:val="004B4959"/>
    <w:rsid w:val="004B565A"/>
    <w:rsid w:val="004B6827"/>
    <w:rsid w:val="004B6A13"/>
    <w:rsid w:val="004B6A7F"/>
    <w:rsid w:val="004B77DE"/>
    <w:rsid w:val="004B7DDA"/>
    <w:rsid w:val="004C0033"/>
    <w:rsid w:val="004C10EF"/>
    <w:rsid w:val="004C1D63"/>
    <w:rsid w:val="004C1DC3"/>
    <w:rsid w:val="004C1EF2"/>
    <w:rsid w:val="004C23DB"/>
    <w:rsid w:val="004C29C2"/>
    <w:rsid w:val="004C3989"/>
    <w:rsid w:val="004C39A0"/>
    <w:rsid w:val="004C3A27"/>
    <w:rsid w:val="004C3F8B"/>
    <w:rsid w:val="004C4009"/>
    <w:rsid w:val="004C4521"/>
    <w:rsid w:val="004C456F"/>
    <w:rsid w:val="004C4606"/>
    <w:rsid w:val="004C50FC"/>
    <w:rsid w:val="004C5C16"/>
    <w:rsid w:val="004C5F9C"/>
    <w:rsid w:val="004C637E"/>
    <w:rsid w:val="004C6B72"/>
    <w:rsid w:val="004C6DBE"/>
    <w:rsid w:val="004C7A04"/>
    <w:rsid w:val="004C7E2C"/>
    <w:rsid w:val="004D000F"/>
    <w:rsid w:val="004D0797"/>
    <w:rsid w:val="004D092A"/>
    <w:rsid w:val="004D0D74"/>
    <w:rsid w:val="004D0FB7"/>
    <w:rsid w:val="004D105D"/>
    <w:rsid w:val="004D1A6A"/>
    <w:rsid w:val="004D1B39"/>
    <w:rsid w:val="004D2180"/>
    <w:rsid w:val="004D26D1"/>
    <w:rsid w:val="004D376D"/>
    <w:rsid w:val="004D3C73"/>
    <w:rsid w:val="004D3D63"/>
    <w:rsid w:val="004D46A0"/>
    <w:rsid w:val="004D4833"/>
    <w:rsid w:val="004D4D2E"/>
    <w:rsid w:val="004D5388"/>
    <w:rsid w:val="004D5D47"/>
    <w:rsid w:val="004D608D"/>
    <w:rsid w:val="004D6A33"/>
    <w:rsid w:val="004E0108"/>
    <w:rsid w:val="004E0776"/>
    <w:rsid w:val="004E0E98"/>
    <w:rsid w:val="004E0FB6"/>
    <w:rsid w:val="004E12C3"/>
    <w:rsid w:val="004E16F2"/>
    <w:rsid w:val="004E19B5"/>
    <w:rsid w:val="004E1C52"/>
    <w:rsid w:val="004E1FF8"/>
    <w:rsid w:val="004E2302"/>
    <w:rsid w:val="004E2845"/>
    <w:rsid w:val="004E386B"/>
    <w:rsid w:val="004E39A4"/>
    <w:rsid w:val="004E3DC1"/>
    <w:rsid w:val="004E3F97"/>
    <w:rsid w:val="004E4190"/>
    <w:rsid w:val="004E41A7"/>
    <w:rsid w:val="004E4B17"/>
    <w:rsid w:val="004E4DAC"/>
    <w:rsid w:val="004E4F8D"/>
    <w:rsid w:val="004E5637"/>
    <w:rsid w:val="004E5969"/>
    <w:rsid w:val="004E5F6E"/>
    <w:rsid w:val="004E690F"/>
    <w:rsid w:val="004E75EF"/>
    <w:rsid w:val="004E7646"/>
    <w:rsid w:val="004E7A12"/>
    <w:rsid w:val="004E7DAB"/>
    <w:rsid w:val="004F01FD"/>
    <w:rsid w:val="004F053D"/>
    <w:rsid w:val="004F06C7"/>
    <w:rsid w:val="004F08DA"/>
    <w:rsid w:val="004F0998"/>
    <w:rsid w:val="004F0E99"/>
    <w:rsid w:val="004F0F4B"/>
    <w:rsid w:val="004F0F55"/>
    <w:rsid w:val="004F10DC"/>
    <w:rsid w:val="004F1F23"/>
    <w:rsid w:val="004F2063"/>
    <w:rsid w:val="004F2A29"/>
    <w:rsid w:val="004F2AFD"/>
    <w:rsid w:val="004F2FDB"/>
    <w:rsid w:val="004F30AF"/>
    <w:rsid w:val="004F3944"/>
    <w:rsid w:val="004F3A48"/>
    <w:rsid w:val="004F3F90"/>
    <w:rsid w:val="004F483E"/>
    <w:rsid w:val="004F4889"/>
    <w:rsid w:val="004F4BCD"/>
    <w:rsid w:val="004F4DAF"/>
    <w:rsid w:val="004F4E4F"/>
    <w:rsid w:val="004F503C"/>
    <w:rsid w:val="004F53F8"/>
    <w:rsid w:val="004F5549"/>
    <w:rsid w:val="004F64BA"/>
    <w:rsid w:val="004F669B"/>
    <w:rsid w:val="004F7029"/>
    <w:rsid w:val="004F718F"/>
    <w:rsid w:val="005000EB"/>
    <w:rsid w:val="005014E5"/>
    <w:rsid w:val="00501761"/>
    <w:rsid w:val="00501A03"/>
    <w:rsid w:val="00501D94"/>
    <w:rsid w:val="0050290A"/>
    <w:rsid w:val="00502BC3"/>
    <w:rsid w:val="00502CAA"/>
    <w:rsid w:val="005032AC"/>
    <w:rsid w:val="005036B5"/>
    <w:rsid w:val="00503857"/>
    <w:rsid w:val="00503E1B"/>
    <w:rsid w:val="005043E3"/>
    <w:rsid w:val="005049AF"/>
    <w:rsid w:val="00504E63"/>
    <w:rsid w:val="00505BC5"/>
    <w:rsid w:val="00505E55"/>
    <w:rsid w:val="0050632C"/>
    <w:rsid w:val="00506406"/>
    <w:rsid w:val="0050640F"/>
    <w:rsid w:val="00506DA1"/>
    <w:rsid w:val="00506F9B"/>
    <w:rsid w:val="00507083"/>
    <w:rsid w:val="005073B9"/>
    <w:rsid w:val="00507C70"/>
    <w:rsid w:val="00507F20"/>
    <w:rsid w:val="005107C0"/>
    <w:rsid w:val="00510CC5"/>
    <w:rsid w:val="0051105D"/>
    <w:rsid w:val="0051127C"/>
    <w:rsid w:val="005112DA"/>
    <w:rsid w:val="0051190F"/>
    <w:rsid w:val="00511ACE"/>
    <w:rsid w:val="00511E2D"/>
    <w:rsid w:val="00512423"/>
    <w:rsid w:val="00512467"/>
    <w:rsid w:val="0051297A"/>
    <w:rsid w:val="00512AF3"/>
    <w:rsid w:val="00512D2B"/>
    <w:rsid w:val="00514274"/>
    <w:rsid w:val="005148E7"/>
    <w:rsid w:val="00514B16"/>
    <w:rsid w:val="00514BF1"/>
    <w:rsid w:val="00514E1C"/>
    <w:rsid w:val="00514ED3"/>
    <w:rsid w:val="00514FD0"/>
    <w:rsid w:val="005161C5"/>
    <w:rsid w:val="00516695"/>
    <w:rsid w:val="00517564"/>
    <w:rsid w:val="00517A92"/>
    <w:rsid w:val="00520456"/>
    <w:rsid w:val="00520BBF"/>
    <w:rsid w:val="005214F1"/>
    <w:rsid w:val="005216D1"/>
    <w:rsid w:val="005216E1"/>
    <w:rsid w:val="005218C0"/>
    <w:rsid w:val="005218FA"/>
    <w:rsid w:val="00521AC9"/>
    <w:rsid w:val="00521D93"/>
    <w:rsid w:val="00522981"/>
    <w:rsid w:val="00522B97"/>
    <w:rsid w:val="0052308F"/>
    <w:rsid w:val="00523765"/>
    <w:rsid w:val="005237ED"/>
    <w:rsid w:val="00523DA8"/>
    <w:rsid w:val="00524130"/>
    <w:rsid w:val="0052437D"/>
    <w:rsid w:val="00524475"/>
    <w:rsid w:val="005249B6"/>
    <w:rsid w:val="00524A2E"/>
    <w:rsid w:val="00524B47"/>
    <w:rsid w:val="00524C04"/>
    <w:rsid w:val="00524FE5"/>
    <w:rsid w:val="00525179"/>
    <w:rsid w:val="00525921"/>
    <w:rsid w:val="00525932"/>
    <w:rsid w:val="00525CAD"/>
    <w:rsid w:val="00525F41"/>
    <w:rsid w:val="005268FA"/>
    <w:rsid w:val="00526A36"/>
    <w:rsid w:val="00526E18"/>
    <w:rsid w:val="0052738B"/>
    <w:rsid w:val="005274B5"/>
    <w:rsid w:val="005276D6"/>
    <w:rsid w:val="005277EC"/>
    <w:rsid w:val="005300EF"/>
    <w:rsid w:val="005303FF"/>
    <w:rsid w:val="00531329"/>
    <w:rsid w:val="0053134E"/>
    <w:rsid w:val="0053150C"/>
    <w:rsid w:val="005317A2"/>
    <w:rsid w:val="00531D12"/>
    <w:rsid w:val="00531F63"/>
    <w:rsid w:val="00532472"/>
    <w:rsid w:val="0053270C"/>
    <w:rsid w:val="00532811"/>
    <w:rsid w:val="00532924"/>
    <w:rsid w:val="00532ED1"/>
    <w:rsid w:val="00532FB2"/>
    <w:rsid w:val="0053386A"/>
    <w:rsid w:val="00533C32"/>
    <w:rsid w:val="00536B78"/>
    <w:rsid w:val="00536F0D"/>
    <w:rsid w:val="00537831"/>
    <w:rsid w:val="0053784D"/>
    <w:rsid w:val="00537C93"/>
    <w:rsid w:val="00537E71"/>
    <w:rsid w:val="005408BD"/>
    <w:rsid w:val="0054177C"/>
    <w:rsid w:val="00541A41"/>
    <w:rsid w:val="00541AC5"/>
    <w:rsid w:val="00541EEF"/>
    <w:rsid w:val="00541EF7"/>
    <w:rsid w:val="00542B79"/>
    <w:rsid w:val="00542CB3"/>
    <w:rsid w:val="005430AE"/>
    <w:rsid w:val="00543C69"/>
    <w:rsid w:val="00543DDB"/>
    <w:rsid w:val="005440B7"/>
    <w:rsid w:val="00544A62"/>
    <w:rsid w:val="005452C7"/>
    <w:rsid w:val="00545FE7"/>
    <w:rsid w:val="005461E0"/>
    <w:rsid w:val="00546488"/>
    <w:rsid w:val="00547391"/>
    <w:rsid w:val="0055054A"/>
    <w:rsid w:val="005505CA"/>
    <w:rsid w:val="00550D32"/>
    <w:rsid w:val="00552494"/>
    <w:rsid w:val="00552DF3"/>
    <w:rsid w:val="00553D95"/>
    <w:rsid w:val="0055430D"/>
    <w:rsid w:val="0055497B"/>
    <w:rsid w:val="00555720"/>
    <w:rsid w:val="0055585E"/>
    <w:rsid w:val="00555B06"/>
    <w:rsid w:val="00555DDE"/>
    <w:rsid w:val="005561EE"/>
    <w:rsid w:val="005569D0"/>
    <w:rsid w:val="00556C52"/>
    <w:rsid w:val="00556C89"/>
    <w:rsid w:val="00557CB2"/>
    <w:rsid w:val="0056055C"/>
    <w:rsid w:val="005607E6"/>
    <w:rsid w:val="00560ABE"/>
    <w:rsid w:val="00560F4D"/>
    <w:rsid w:val="0056109E"/>
    <w:rsid w:val="00561985"/>
    <w:rsid w:val="00561C14"/>
    <w:rsid w:val="00562253"/>
    <w:rsid w:val="005624FD"/>
    <w:rsid w:val="005629A8"/>
    <w:rsid w:val="005630A6"/>
    <w:rsid w:val="005632BC"/>
    <w:rsid w:val="005632C1"/>
    <w:rsid w:val="00563A16"/>
    <w:rsid w:val="00563B47"/>
    <w:rsid w:val="00563CF4"/>
    <w:rsid w:val="00564A5D"/>
    <w:rsid w:val="00564C4C"/>
    <w:rsid w:val="00564D5B"/>
    <w:rsid w:val="0056510A"/>
    <w:rsid w:val="005652E0"/>
    <w:rsid w:val="00565C90"/>
    <w:rsid w:val="00565DAB"/>
    <w:rsid w:val="00566351"/>
    <w:rsid w:val="00566406"/>
    <w:rsid w:val="00566440"/>
    <w:rsid w:val="00566DA4"/>
    <w:rsid w:val="0057080C"/>
    <w:rsid w:val="00570832"/>
    <w:rsid w:val="00570D1E"/>
    <w:rsid w:val="005711B7"/>
    <w:rsid w:val="0057172F"/>
    <w:rsid w:val="00571D2E"/>
    <w:rsid w:val="00571E40"/>
    <w:rsid w:val="005721A0"/>
    <w:rsid w:val="005722BA"/>
    <w:rsid w:val="00572301"/>
    <w:rsid w:val="0057269E"/>
    <w:rsid w:val="005736BC"/>
    <w:rsid w:val="00573A2E"/>
    <w:rsid w:val="00573D7B"/>
    <w:rsid w:val="0057402D"/>
    <w:rsid w:val="00574454"/>
    <w:rsid w:val="00574571"/>
    <w:rsid w:val="00574676"/>
    <w:rsid w:val="0057503B"/>
    <w:rsid w:val="00576291"/>
    <w:rsid w:val="00576463"/>
    <w:rsid w:val="00576546"/>
    <w:rsid w:val="005766F9"/>
    <w:rsid w:val="005767F9"/>
    <w:rsid w:val="00577375"/>
    <w:rsid w:val="00577568"/>
    <w:rsid w:val="00577A64"/>
    <w:rsid w:val="00577AFE"/>
    <w:rsid w:val="00580137"/>
    <w:rsid w:val="00580536"/>
    <w:rsid w:val="00580F2E"/>
    <w:rsid w:val="005812AE"/>
    <w:rsid w:val="005812F3"/>
    <w:rsid w:val="005817AE"/>
    <w:rsid w:val="00581C25"/>
    <w:rsid w:val="00582655"/>
    <w:rsid w:val="00582928"/>
    <w:rsid w:val="00583DBA"/>
    <w:rsid w:val="00584417"/>
    <w:rsid w:val="005848D7"/>
    <w:rsid w:val="00584C4F"/>
    <w:rsid w:val="00584DB0"/>
    <w:rsid w:val="00584F96"/>
    <w:rsid w:val="00585069"/>
    <w:rsid w:val="0058547C"/>
    <w:rsid w:val="0058648D"/>
    <w:rsid w:val="00586C29"/>
    <w:rsid w:val="0058701D"/>
    <w:rsid w:val="005872BE"/>
    <w:rsid w:val="00587428"/>
    <w:rsid w:val="005874F5"/>
    <w:rsid w:val="0058785F"/>
    <w:rsid w:val="0059119D"/>
    <w:rsid w:val="00591201"/>
    <w:rsid w:val="00591827"/>
    <w:rsid w:val="00592397"/>
    <w:rsid w:val="0059282C"/>
    <w:rsid w:val="00593CC9"/>
    <w:rsid w:val="0059411E"/>
    <w:rsid w:val="005941C9"/>
    <w:rsid w:val="005953AA"/>
    <w:rsid w:val="00595656"/>
    <w:rsid w:val="005956E2"/>
    <w:rsid w:val="00595A01"/>
    <w:rsid w:val="00596358"/>
    <w:rsid w:val="00596602"/>
    <w:rsid w:val="00596D48"/>
    <w:rsid w:val="00597219"/>
    <w:rsid w:val="005976EA"/>
    <w:rsid w:val="00597777"/>
    <w:rsid w:val="005A04DE"/>
    <w:rsid w:val="005A0A9A"/>
    <w:rsid w:val="005A0C8E"/>
    <w:rsid w:val="005A0DEF"/>
    <w:rsid w:val="005A16F4"/>
    <w:rsid w:val="005A1EE1"/>
    <w:rsid w:val="005A22A3"/>
    <w:rsid w:val="005A2328"/>
    <w:rsid w:val="005A2414"/>
    <w:rsid w:val="005A2874"/>
    <w:rsid w:val="005A2BC1"/>
    <w:rsid w:val="005A303B"/>
    <w:rsid w:val="005A33B5"/>
    <w:rsid w:val="005A45D6"/>
    <w:rsid w:val="005A4B80"/>
    <w:rsid w:val="005A4CCA"/>
    <w:rsid w:val="005A5983"/>
    <w:rsid w:val="005A5D57"/>
    <w:rsid w:val="005A5E25"/>
    <w:rsid w:val="005A610A"/>
    <w:rsid w:val="005A666E"/>
    <w:rsid w:val="005A6E1E"/>
    <w:rsid w:val="005A7091"/>
    <w:rsid w:val="005A7147"/>
    <w:rsid w:val="005A7347"/>
    <w:rsid w:val="005B02F1"/>
    <w:rsid w:val="005B0A93"/>
    <w:rsid w:val="005B0CC9"/>
    <w:rsid w:val="005B0EA2"/>
    <w:rsid w:val="005B127F"/>
    <w:rsid w:val="005B1687"/>
    <w:rsid w:val="005B17EC"/>
    <w:rsid w:val="005B1830"/>
    <w:rsid w:val="005B197E"/>
    <w:rsid w:val="005B2A32"/>
    <w:rsid w:val="005B2F89"/>
    <w:rsid w:val="005B3777"/>
    <w:rsid w:val="005B3928"/>
    <w:rsid w:val="005B397F"/>
    <w:rsid w:val="005B4FFA"/>
    <w:rsid w:val="005B5105"/>
    <w:rsid w:val="005B53F4"/>
    <w:rsid w:val="005B5F90"/>
    <w:rsid w:val="005B66D6"/>
    <w:rsid w:val="005B6D18"/>
    <w:rsid w:val="005B71CF"/>
    <w:rsid w:val="005B723A"/>
    <w:rsid w:val="005B7D85"/>
    <w:rsid w:val="005C060C"/>
    <w:rsid w:val="005C0983"/>
    <w:rsid w:val="005C0C41"/>
    <w:rsid w:val="005C1428"/>
    <w:rsid w:val="005C17FD"/>
    <w:rsid w:val="005C1A49"/>
    <w:rsid w:val="005C2303"/>
    <w:rsid w:val="005C234E"/>
    <w:rsid w:val="005C270D"/>
    <w:rsid w:val="005C410E"/>
    <w:rsid w:val="005C445D"/>
    <w:rsid w:val="005C5748"/>
    <w:rsid w:val="005C5B7E"/>
    <w:rsid w:val="005C6008"/>
    <w:rsid w:val="005C621C"/>
    <w:rsid w:val="005C6326"/>
    <w:rsid w:val="005C6774"/>
    <w:rsid w:val="005D10CA"/>
    <w:rsid w:val="005D13AB"/>
    <w:rsid w:val="005D2855"/>
    <w:rsid w:val="005D2A56"/>
    <w:rsid w:val="005D3551"/>
    <w:rsid w:val="005D4A5D"/>
    <w:rsid w:val="005D4DD8"/>
    <w:rsid w:val="005D569B"/>
    <w:rsid w:val="005D5F72"/>
    <w:rsid w:val="005D5FD0"/>
    <w:rsid w:val="005D642E"/>
    <w:rsid w:val="005D64EE"/>
    <w:rsid w:val="005D71AA"/>
    <w:rsid w:val="005D76D8"/>
    <w:rsid w:val="005D7E1E"/>
    <w:rsid w:val="005D7FE3"/>
    <w:rsid w:val="005E0D3E"/>
    <w:rsid w:val="005E0E7F"/>
    <w:rsid w:val="005E114C"/>
    <w:rsid w:val="005E15A7"/>
    <w:rsid w:val="005E16DA"/>
    <w:rsid w:val="005E1BFE"/>
    <w:rsid w:val="005E2B25"/>
    <w:rsid w:val="005E2C1E"/>
    <w:rsid w:val="005E340B"/>
    <w:rsid w:val="005E3A0B"/>
    <w:rsid w:val="005E3A22"/>
    <w:rsid w:val="005E3A3F"/>
    <w:rsid w:val="005E3A4F"/>
    <w:rsid w:val="005E3C47"/>
    <w:rsid w:val="005E4B84"/>
    <w:rsid w:val="005E4F8A"/>
    <w:rsid w:val="005E5106"/>
    <w:rsid w:val="005E5853"/>
    <w:rsid w:val="005E62DC"/>
    <w:rsid w:val="005E66F0"/>
    <w:rsid w:val="005E6D24"/>
    <w:rsid w:val="005E7953"/>
    <w:rsid w:val="005F05E0"/>
    <w:rsid w:val="005F0CE8"/>
    <w:rsid w:val="005F12AD"/>
    <w:rsid w:val="005F12BA"/>
    <w:rsid w:val="005F1F67"/>
    <w:rsid w:val="005F213F"/>
    <w:rsid w:val="005F227A"/>
    <w:rsid w:val="005F2A34"/>
    <w:rsid w:val="005F2F46"/>
    <w:rsid w:val="005F3663"/>
    <w:rsid w:val="005F3794"/>
    <w:rsid w:val="005F3A74"/>
    <w:rsid w:val="005F4672"/>
    <w:rsid w:val="005F4BCE"/>
    <w:rsid w:val="005F4DF0"/>
    <w:rsid w:val="005F50CB"/>
    <w:rsid w:val="005F52BF"/>
    <w:rsid w:val="005F5431"/>
    <w:rsid w:val="005F5898"/>
    <w:rsid w:val="005F65FD"/>
    <w:rsid w:val="005F6C0F"/>
    <w:rsid w:val="005F6C2A"/>
    <w:rsid w:val="005F7187"/>
    <w:rsid w:val="005F745A"/>
    <w:rsid w:val="005F74BF"/>
    <w:rsid w:val="005F7727"/>
    <w:rsid w:val="005F78E5"/>
    <w:rsid w:val="006000EA"/>
    <w:rsid w:val="00600484"/>
    <w:rsid w:val="006013E7"/>
    <w:rsid w:val="006014C9"/>
    <w:rsid w:val="00601D5F"/>
    <w:rsid w:val="0060262C"/>
    <w:rsid w:val="00602681"/>
    <w:rsid w:val="006026CD"/>
    <w:rsid w:val="00602902"/>
    <w:rsid w:val="00602EE2"/>
    <w:rsid w:val="006036AB"/>
    <w:rsid w:val="006037D6"/>
    <w:rsid w:val="00603862"/>
    <w:rsid w:val="00603BE7"/>
    <w:rsid w:val="00603F71"/>
    <w:rsid w:val="006043C2"/>
    <w:rsid w:val="006044DF"/>
    <w:rsid w:val="00604528"/>
    <w:rsid w:val="006046E6"/>
    <w:rsid w:val="00604DE8"/>
    <w:rsid w:val="00604EF0"/>
    <w:rsid w:val="00605188"/>
    <w:rsid w:val="006054F7"/>
    <w:rsid w:val="006055C0"/>
    <w:rsid w:val="0060567C"/>
    <w:rsid w:val="00605AA6"/>
    <w:rsid w:val="00605AF2"/>
    <w:rsid w:val="00605FE2"/>
    <w:rsid w:val="00606111"/>
    <w:rsid w:val="006069E2"/>
    <w:rsid w:val="00606DD2"/>
    <w:rsid w:val="006070BB"/>
    <w:rsid w:val="00607246"/>
    <w:rsid w:val="00607499"/>
    <w:rsid w:val="00607779"/>
    <w:rsid w:val="0060787A"/>
    <w:rsid w:val="00610295"/>
    <w:rsid w:val="00610507"/>
    <w:rsid w:val="006110E2"/>
    <w:rsid w:val="0061138D"/>
    <w:rsid w:val="00611903"/>
    <w:rsid w:val="00611C2B"/>
    <w:rsid w:val="00611E7B"/>
    <w:rsid w:val="006127EA"/>
    <w:rsid w:val="006129BB"/>
    <w:rsid w:val="00612EDD"/>
    <w:rsid w:val="00613173"/>
    <w:rsid w:val="00613ED7"/>
    <w:rsid w:val="00614180"/>
    <w:rsid w:val="006143E5"/>
    <w:rsid w:val="0061470F"/>
    <w:rsid w:val="00614EEC"/>
    <w:rsid w:val="0061509F"/>
    <w:rsid w:val="006150F8"/>
    <w:rsid w:val="0061547D"/>
    <w:rsid w:val="0061655E"/>
    <w:rsid w:val="00616715"/>
    <w:rsid w:val="006167CD"/>
    <w:rsid w:val="0061693A"/>
    <w:rsid w:val="00616B3C"/>
    <w:rsid w:val="006170FA"/>
    <w:rsid w:val="00617F6B"/>
    <w:rsid w:val="00620195"/>
    <w:rsid w:val="006203D3"/>
    <w:rsid w:val="00620EA4"/>
    <w:rsid w:val="00620EAE"/>
    <w:rsid w:val="00621700"/>
    <w:rsid w:val="00621726"/>
    <w:rsid w:val="00621771"/>
    <w:rsid w:val="00621CFE"/>
    <w:rsid w:val="00621E8D"/>
    <w:rsid w:val="00621F2D"/>
    <w:rsid w:val="0062284C"/>
    <w:rsid w:val="006235E5"/>
    <w:rsid w:val="0062417B"/>
    <w:rsid w:val="00624CD3"/>
    <w:rsid w:val="00624F2C"/>
    <w:rsid w:val="00625AF4"/>
    <w:rsid w:val="00626363"/>
    <w:rsid w:val="00626A6A"/>
    <w:rsid w:val="00626F16"/>
    <w:rsid w:val="0062717A"/>
    <w:rsid w:val="00627485"/>
    <w:rsid w:val="00627B53"/>
    <w:rsid w:val="00627FFD"/>
    <w:rsid w:val="00630545"/>
    <w:rsid w:val="00630636"/>
    <w:rsid w:val="00630AA7"/>
    <w:rsid w:val="00630AE4"/>
    <w:rsid w:val="006310A3"/>
    <w:rsid w:val="0063180B"/>
    <w:rsid w:val="00631B3E"/>
    <w:rsid w:val="006320F2"/>
    <w:rsid w:val="0063371F"/>
    <w:rsid w:val="006339EC"/>
    <w:rsid w:val="00634175"/>
    <w:rsid w:val="00634829"/>
    <w:rsid w:val="0063484E"/>
    <w:rsid w:val="00634C00"/>
    <w:rsid w:val="00635357"/>
    <w:rsid w:val="00636149"/>
    <w:rsid w:val="0063789E"/>
    <w:rsid w:val="006407E9"/>
    <w:rsid w:val="0064177C"/>
    <w:rsid w:val="00641A05"/>
    <w:rsid w:val="0064341B"/>
    <w:rsid w:val="00643D48"/>
    <w:rsid w:val="0064416B"/>
    <w:rsid w:val="00644383"/>
    <w:rsid w:val="00644906"/>
    <w:rsid w:val="00644C36"/>
    <w:rsid w:val="00644CC3"/>
    <w:rsid w:val="0064587C"/>
    <w:rsid w:val="00645B32"/>
    <w:rsid w:val="00645B8B"/>
    <w:rsid w:val="00645D43"/>
    <w:rsid w:val="00645E06"/>
    <w:rsid w:val="00645F8B"/>
    <w:rsid w:val="006463AF"/>
    <w:rsid w:val="006463D2"/>
    <w:rsid w:val="006467A8"/>
    <w:rsid w:val="006467AC"/>
    <w:rsid w:val="00646849"/>
    <w:rsid w:val="00646860"/>
    <w:rsid w:val="00646A53"/>
    <w:rsid w:val="00646FF3"/>
    <w:rsid w:val="00647135"/>
    <w:rsid w:val="006471CD"/>
    <w:rsid w:val="0064725D"/>
    <w:rsid w:val="0064744E"/>
    <w:rsid w:val="006475DA"/>
    <w:rsid w:val="00647715"/>
    <w:rsid w:val="0065000E"/>
    <w:rsid w:val="00650A01"/>
    <w:rsid w:val="00650BB7"/>
    <w:rsid w:val="00651124"/>
    <w:rsid w:val="006512C5"/>
    <w:rsid w:val="00651558"/>
    <w:rsid w:val="00651844"/>
    <w:rsid w:val="00651D78"/>
    <w:rsid w:val="0065247D"/>
    <w:rsid w:val="00653363"/>
    <w:rsid w:val="006535D9"/>
    <w:rsid w:val="006536D2"/>
    <w:rsid w:val="00653BFA"/>
    <w:rsid w:val="006545C4"/>
    <w:rsid w:val="006549AA"/>
    <w:rsid w:val="00655689"/>
    <w:rsid w:val="00656BFF"/>
    <w:rsid w:val="00656E44"/>
    <w:rsid w:val="00656F56"/>
    <w:rsid w:val="006579F2"/>
    <w:rsid w:val="00657CEC"/>
    <w:rsid w:val="00657F9F"/>
    <w:rsid w:val="00661152"/>
    <w:rsid w:val="006616A0"/>
    <w:rsid w:val="00661E0A"/>
    <w:rsid w:val="0066207C"/>
    <w:rsid w:val="00662838"/>
    <w:rsid w:val="006628FA"/>
    <w:rsid w:val="006629E1"/>
    <w:rsid w:val="006638C8"/>
    <w:rsid w:val="00663A58"/>
    <w:rsid w:val="006645FD"/>
    <w:rsid w:val="00665F02"/>
    <w:rsid w:val="0066600C"/>
    <w:rsid w:val="00666396"/>
    <w:rsid w:val="0066740D"/>
    <w:rsid w:val="006679CA"/>
    <w:rsid w:val="00667DE6"/>
    <w:rsid w:val="006708D2"/>
    <w:rsid w:val="00670A7B"/>
    <w:rsid w:val="00670F8D"/>
    <w:rsid w:val="00671605"/>
    <w:rsid w:val="00671689"/>
    <w:rsid w:val="00672047"/>
    <w:rsid w:val="0067267B"/>
    <w:rsid w:val="00672E0E"/>
    <w:rsid w:val="00672F41"/>
    <w:rsid w:val="006739E8"/>
    <w:rsid w:val="00673EA2"/>
    <w:rsid w:val="006746B8"/>
    <w:rsid w:val="006748DA"/>
    <w:rsid w:val="00675477"/>
    <w:rsid w:val="00675FED"/>
    <w:rsid w:val="006760B5"/>
    <w:rsid w:val="006763E0"/>
    <w:rsid w:val="00676A71"/>
    <w:rsid w:val="00677AF6"/>
    <w:rsid w:val="00677DDB"/>
    <w:rsid w:val="00680E1D"/>
    <w:rsid w:val="006810CC"/>
    <w:rsid w:val="006815DE"/>
    <w:rsid w:val="00681750"/>
    <w:rsid w:val="00681794"/>
    <w:rsid w:val="00681FDE"/>
    <w:rsid w:val="0068291A"/>
    <w:rsid w:val="00683175"/>
    <w:rsid w:val="00683209"/>
    <w:rsid w:val="00683B05"/>
    <w:rsid w:val="00683FD5"/>
    <w:rsid w:val="0068496B"/>
    <w:rsid w:val="00684A11"/>
    <w:rsid w:val="00684E60"/>
    <w:rsid w:val="006851F1"/>
    <w:rsid w:val="00686899"/>
    <w:rsid w:val="00687299"/>
    <w:rsid w:val="0068771E"/>
    <w:rsid w:val="0068772F"/>
    <w:rsid w:val="006903B8"/>
    <w:rsid w:val="0069070A"/>
    <w:rsid w:val="00690D04"/>
    <w:rsid w:val="00691423"/>
    <w:rsid w:val="00691965"/>
    <w:rsid w:val="00691CC6"/>
    <w:rsid w:val="00691F30"/>
    <w:rsid w:val="00691FB6"/>
    <w:rsid w:val="00692397"/>
    <w:rsid w:val="00692669"/>
    <w:rsid w:val="00692686"/>
    <w:rsid w:val="006938A2"/>
    <w:rsid w:val="00694959"/>
    <w:rsid w:val="00694B5B"/>
    <w:rsid w:val="00694F21"/>
    <w:rsid w:val="006962CE"/>
    <w:rsid w:val="0069729A"/>
    <w:rsid w:val="006973DC"/>
    <w:rsid w:val="00697831"/>
    <w:rsid w:val="006A0479"/>
    <w:rsid w:val="006A06C1"/>
    <w:rsid w:val="006A0A25"/>
    <w:rsid w:val="006A0C9F"/>
    <w:rsid w:val="006A0DE4"/>
    <w:rsid w:val="006A101F"/>
    <w:rsid w:val="006A114B"/>
    <w:rsid w:val="006A2ED9"/>
    <w:rsid w:val="006A3ACE"/>
    <w:rsid w:val="006A3AF6"/>
    <w:rsid w:val="006A3B0B"/>
    <w:rsid w:val="006A3E3C"/>
    <w:rsid w:val="006A405E"/>
    <w:rsid w:val="006A5AD7"/>
    <w:rsid w:val="006A5C7A"/>
    <w:rsid w:val="006A5CB0"/>
    <w:rsid w:val="006A6090"/>
    <w:rsid w:val="006A63AD"/>
    <w:rsid w:val="006A6AC6"/>
    <w:rsid w:val="006A72E6"/>
    <w:rsid w:val="006A7E72"/>
    <w:rsid w:val="006B1844"/>
    <w:rsid w:val="006B1897"/>
    <w:rsid w:val="006B2A67"/>
    <w:rsid w:val="006B341A"/>
    <w:rsid w:val="006B354D"/>
    <w:rsid w:val="006B39C0"/>
    <w:rsid w:val="006B3A5C"/>
    <w:rsid w:val="006B3A8B"/>
    <w:rsid w:val="006B3D33"/>
    <w:rsid w:val="006B3F2D"/>
    <w:rsid w:val="006B3FF4"/>
    <w:rsid w:val="006B4531"/>
    <w:rsid w:val="006B4DB6"/>
    <w:rsid w:val="006B4DFC"/>
    <w:rsid w:val="006B4E13"/>
    <w:rsid w:val="006B4EDA"/>
    <w:rsid w:val="006B5283"/>
    <w:rsid w:val="006B53E2"/>
    <w:rsid w:val="006B5575"/>
    <w:rsid w:val="006B58E9"/>
    <w:rsid w:val="006B61F2"/>
    <w:rsid w:val="006B67FE"/>
    <w:rsid w:val="006B70F2"/>
    <w:rsid w:val="006B78A0"/>
    <w:rsid w:val="006B7D24"/>
    <w:rsid w:val="006C0436"/>
    <w:rsid w:val="006C0724"/>
    <w:rsid w:val="006C0942"/>
    <w:rsid w:val="006C0AFF"/>
    <w:rsid w:val="006C0DAD"/>
    <w:rsid w:val="006C18C0"/>
    <w:rsid w:val="006C1D3E"/>
    <w:rsid w:val="006C2534"/>
    <w:rsid w:val="006C3216"/>
    <w:rsid w:val="006C371F"/>
    <w:rsid w:val="006C408C"/>
    <w:rsid w:val="006C4C7C"/>
    <w:rsid w:val="006C52FB"/>
    <w:rsid w:val="006C5BEB"/>
    <w:rsid w:val="006C60AC"/>
    <w:rsid w:val="006C65A2"/>
    <w:rsid w:val="006C68EE"/>
    <w:rsid w:val="006C6EB2"/>
    <w:rsid w:val="006C71D0"/>
    <w:rsid w:val="006C7806"/>
    <w:rsid w:val="006C7DB2"/>
    <w:rsid w:val="006D0957"/>
    <w:rsid w:val="006D1B06"/>
    <w:rsid w:val="006D271C"/>
    <w:rsid w:val="006D274B"/>
    <w:rsid w:val="006D2FDF"/>
    <w:rsid w:val="006D3173"/>
    <w:rsid w:val="006D5406"/>
    <w:rsid w:val="006D64B8"/>
    <w:rsid w:val="006D6604"/>
    <w:rsid w:val="006D687D"/>
    <w:rsid w:val="006D6C08"/>
    <w:rsid w:val="006D6F00"/>
    <w:rsid w:val="006D6F2B"/>
    <w:rsid w:val="006D7515"/>
    <w:rsid w:val="006D7CB9"/>
    <w:rsid w:val="006E0673"/>
    <w:rsid w:val="006E071F"/>
    <w:rsid w:val="006E0A97"/>
    <w:rsid w:val="006E0DB2"/>
    <w:rsid w:val="006E15FB"/>
    <w:rsid w:val="006E31A5"/>
    <w:rsid w:val="006E32A7"/>
    <w:rsid w:val="006E32F1"/>
    <w:rsid w:val="006E33E2"/>
    <w:rsid w:val="006E349E"/>
    <w:rsid w:val="006E34DA"/>
    <w:rsid w:val="006E3527"/>
    <w:rsid w:val="006E422D"/>
    <w:rsid w:val="006E4348"/>
    <w:rsid w:val="006E4760"/>
    <w:rsid w:val="006E47AD"/>
    <w:rsid w:val="006E5B47"/>
    <w:rsid w:val="006E5EF7"/>
    <w:rsid w:val="006E63B2"/>
    <w:rsid w:val="006E642C"/>
    <w:rsid w:val="006E65B9"/>
    <w:rsid w:val="006E6684"/>
    <w:rsid w:val="006E6B6C"/>
    <w:rsid w:val="006E6EBD"/>
    <w:rsid w:val="006E75D8"/>
    <w:rsid w:val="006E7723"/>
    <w:rsid w:val="006E79B4"/>
    <w:rsid w:val="006E7A81"/>
    <w:rsid w:val="006E7C90"/>
    <w:rsid w:val="006F0885"/>
    <w:rsid w:val="006F10F3"/>
    <w:rsid w:val="006F1BD0"/>
    <w:rsid w:val="006F2254"/>
    <w:rsid w:val="006F252C"/>
    <w:rsid w:val="006F26B7"/>
    <w:rsid w:val="006F3063"/>
    <w:rsid w:val="006F42B4"/>
    <w:rsid w:val="006F46E9"/>
    <w:rsid w:val="006F5A74"/>
    <w:rsid w:val="006F66F0"/>
    <w:rsid w:val="006F6A17"/>
    <w:rsid w:val="006F6CD6"/>
    <w:rsid w:val="006F6D1D"/>
    <w:rsid w:val="006F71D0"/>
    <w:rsid w:val="006F7DDD"/>
    <w:rsid w:val="0070030F"/>
    <w:rsid w:val="00700EB2"/>
    <w:rsid w:val="00700EE1"/>
    <w:rsid w:val="00700F30"/>
    <w:rsid w:val="00700FA6"/>
    <w:rsid w:val="007012B1"/>
    <w:rsid w:val="00701432"/>
    <w:rsid w:val="0070257C"/>
    <w:rsid w:val="0070263C"/>
    <w:rsid w:val="007026A5"/>
    <w:rsid w:val="00702B06"/>
    <w:rsid w:val="00702D30"/>
    <w:rsid w:val="00702E0F"/>
    <w:rsid w:val="00702E88"/>
    <w:rsid w:val="00703BB9"/>
    <w:rsid w:val="00703CEA"/>
    <w:rsid w:val="0070415C"/>
    <w:rsid w:val="00704204"/>
    <w:rsid w:val="00705052"/>
    <w:rsid w:val="0070519E"/>
    <w:rsid w:val="00705582"/>
    <w:rsid w:val="007059C7"/>
    <w:rsid w:val="00705A99"/>
    <w:rsid w:val="0070603E"/>
    <w:rsid w:val="007060FF"/>
    <w:rsid w:val="00706396"/>
    <w:rsid w:val="007065AC"/>
    <w:rsid w:val="00706709"/>
    <w:rsid w:val="00706BCE"/>
    <w:rsid w:val="00706C7E"/>
    <w:rsid w:val="007070C0"/>
    <w:rsid w:val="0070730D"/>
    <w:rsid w:val="007078E8"/>
    <w:rsid w:val="00707C03"/>
    <w:rsid w:val="00710CDD"/>
    <w:rsid w:val="0071137E"/>
    <w:rsid w:val="00711565"/>
    <w:rsid w:val="00711BF5"/>
    <w:rsid w:val="007120AA"/>
    <w:rsid w:val="00712286"/>
    <w:rsid w:val="00714463"/>
    <w:rsid w:val="007145B2"/>
    <w:rsid w:val="0071473D"/>
    <w:rsid w:val="0071498B"/>
    <w:rsid w:val="007159B6"/>
    <w:rsid w:val="00715A79"/>
    <w:rsid w:val="00715BD6"/>
    <w:rsid w:val="00716AEF"/>
    <w:rsid w:val="00717C59"/>
    <w:rsid w:val="00717E72"/>
    <w:rsid w:val="0072006E"/>
    <w:rsid w:val="00720169"/>
    <w:rsid w:val="00720568"/>
    <w:rsid w:val="007206F3"/>
    <w:rsid w:val="007208CE"/>
    <w:rsid w:val="00720DFE"/>
    <w:rsid w:val="00720F64"/>
    <w:rsid w:val="00721447"/>
    <w:rsid w:val="007215A7"/>
    <w:rsid w:val="00721616"/>
    <w:rsid w:val="00721753"/>
    <w:rsid w:val="007219CF"/>
    <w:rsid w:val="00721B4B"/>
    <w:rsid w:val="007222DD"/>
    <w:rsid w:val="00722431"/>
    <w:rsid w:val="0072375C"/>
    <w:rsid w:val="007241A7"/>
    <w:rsid w:val="007241B6"/>
    <w:rsid w:val="007245D6"/>
    <w:rsid w:val="007247A3"/>
    <w:rsid w:val="0072483A"/>
    <w:rsid w:val="00725380"/>
    <w:rsid w:val="00726748"/>
    <w:rsid w:val="00726DB3"/>
    <w:rsid w:val="0072718A"/>
    <w:rsid w:val="0072728F"/>
    <w:rsid w:val="00727B2E"/>
    <w:rsid w:val="00727BAF"/>
    <w:rsid w:val="00730419"/>
    <w:rsid w:val="0073099A"/>
    <w:rsid w:val="00730D87"/>
    <w:rsid w:val="0073152B"/>
    <w:rsid w:val="00731681"/>
    <w:rsid w:val="007317DD"/>
    <w:rsid w:val="00731E12"/>
    <w:rsid w:val="0073233B"/>
    <w:rsid w:val="007324AF"/>
    <w:rsid w:val="00732AB2"/>
    <w:rsid w:val="00732B79"/>
    <w:rsid w:val="00732E7F"/>
    <w:rsid w:val="00733E19"/>
    <w:rsid w:val="00734382"/>
    <w:rsid w:val="00734493"/>
    <w:rsid w:val="00734523"/>
    <w:rsid w:val="0073506B"/>
    <w:rsid w:val="00735226"/>
    <w:rsid w:val="0073550C"/>
    <w:rsid w:val="00735B7E"/>
    <w:rsid w:val="00735F67"/>
    <w:rsid w:val="00735FD3"/>
    <w:rsid w:val="007361E0"/>
    <w:rsid w:val="007362A2"/>
    <w:rsid w:val="007364FC"/>
    <w:rsid w:val="007365CA"/>
    <w:rsid w:val="00737172"/>
    <w:rsid w:val="00737272"/>
    <w:rsid w:val="00737888"/>
    <w:rsid w:val="00737C15"/>
    <w:rsid w:val="00737DCA"/>
    <w:rsid w:val="00740296"/>
    <w:rsid w:val="0074060D"/>
    <w:rsid w:val="007409C2"/>
    <w:rsid w:val="00740BF7"/>
    <w:rsid w:val="00740EF2"/>
    <w:rsid w:val="00740F3E"/>
    <w:rsid w:val="00740F62"/>
    <w:rsid w:val="00741DDF"/>
    <w:rsid w:val="00741F3D"/>
    <w:rsid w:val="00741F45"/>
    <w:rsid w:val="00741FE0"/>
    <w:rsid w:val="0074233D"/>
    <w:rsid w:val="007429BE"/>
    <w:rsid w:val="00742CB8"/>
    <w:rsid w:val="0074347E"/>
    <w:rsid w:val="00743B56"/>
    <w:rsid w:val="00743F42"/>
    <w:rsid w:val="007440D5"/>
    <w:rsid w:val="00744192"/>
    <w:rsid w:val="007441CF"/>
    <w:rsid w:val="007443A9"/>
    <w:rsid w:val="007445DA"/>
    <w:rsid w:val="007451C2"/>
    <w:rsid w:val="00745587"/>
    <w:rsid w:val="00746224"/>
    <w:rsid w:val="00746BC4"/>
    <w:rsid w:val="007471D3"/>
    <w:rsid w:val="0075078F"/>
    <w:rsid w:val="00750827"/>
    <w:rsid w:val="00751991"/>
    <w:rsid w:val="00751BD5"/>
    <w:rsid w:val="00751D4E"/>
    <w:rsid w:val="0075218C"/>
    <w:rsid w:val="007526F0"/>
    <w:rsid w:val="00752A21"/>
    <w:rsid w:val="00753024"/>
    <w:rsid w:val="0075315E"/>
    <w:rsid w:val="007534BE"/>
    <w:rsid w:val="0075386E"/>
    <w:rsid w:val="00753F43"/>
    <w:rsid w:val="00754771"/>
    <w:rsid w:val="00754DB5"/>
    <w:rsid w:val="00755DF9"/>
    <w:rsid w:val="007563FE"/>
    <w:rsid w:val="007564D1"/>
    <w:rsid w:val="0075664E"/>
    <w:rsid w:val="00756C3F"/>
    <w:rsid w:val="00756E5F"/>
    <w:rsid w:val="00756E70"/>
    <w:rsid w:val="00757018"/>
    <w:rsid w:val="00757088"/>
    <w:rsid w:val="00757127"/>
    <w:rsid w:val="007571BA"/>
    <w:rsid w:val="00757D8B"/>
    <w:rsid w:val="007601B8"/>
    <w:rsid w:val="00760A9E"/>
    <w:rsid w:val="00760BF4"/>
    <w:rsid w:val="0076132D"/>
    <w:rsid w:val="00761B0C"/>
    <w:rsid w:val="00761BC6"/>
    <w:rsid w:val="00762745"/>
    <w:rsid w:val="0076314A"/>
    <w:rsid w:val="00763224"/>
    <w:rsid w:val="00763479"/>
    <w:rsid w:val="00763999"/>
    <w:rsid w:val="00763B1F"/>
    <w:rsid w:val="0076405B"/>
    <w:rsid w:val="007641C5"/>
    <w:rsid w:val="00764596"/>
    <w:rsid w:val="0076470E"/>
    <w:rsid w:val="00764856"/>
    <w:rsid w:val="00764FEA"/>
    <w:rsid w:val="00765820"/>
    <w:rsid w:val="007662E5"/>
    <w:rsid w:val="00766B2A"/>
    <w:rsid w:val="00766CAA"/>
    <w:rsid w:val="00766CD9"/>
    <w:rsid w:val="00766F12"/>
    <w:rsid w:val="00767144"/>
    <w:rsid w:val="007673A5"/>
    <w:rsid w:val="00767793"/>
    <w:rsid w:val="00767994"/>
    <w:rsid w:val="00767A53"/>
    <w:rsid w:val="00770765"/>
    <w:rsid w:val="0077097C"/>
    <w:rsid w:val="007709DB"/>
    <w:rsid w:val="00771764"/>
    <w:rsid w:val="00771D8A"/>
    <w:rsid w:val="007724E7"/>
    <w:rsid w:val="00772ED3"/>
    <w:rsid w:val="00772F66"/>
    <w:rsid w:val="00773297"/>
    <w:rsid w:val="0077356B"/>
    <w:rsid w:val="00773629"/>
    <w:rsid w:val="00773D75"/>
    <w:rsid w:val="007742A8"/>
    <w:rsid w:val="00774AC6"/>
    <w:rsid w:val="0077504E"/>
    <w:rsid w:val="0077541B"/>
    <w:rsid w:val="00775A2D"/>
    <w:rsid w:val="00776E48"/>
    <w:rsid w:val="00777805"/>
    <w:rsid w:val="007800B8"/>
    <w:rsid w:val="007800CC"/>
    <w:rsid w:val="00780240"/>
    <w:rsid w:val="00780F38"/>
    <w:rsid w:val="0078175E"/>
    <w:rsid w:val="00781B68"/>
    <w:rsid w:val="007825A0"/>
    <w:rsid w:val="00782F59"/>
    <w:rsid w:val="007834B8"/>
    <w:rsid w:val="007840B1"/>
    <w:rsid w:val="00784A8E"/>
    <w:rsid w:val="00784ABB"/>
    <w:rsid w:val="00784C3D"/>
    <w:rsid w:val="00784F41"/>
    <w:rsid w:val="00785128"/>
    <w:rsid w:val="007851A9"/>
    <w:rsid w:val="0078539A"/>
    <w:rsid w:val="007857A3"/>
    <w:rsid w:val="00785920"/>
    <w:rsid w:val="00785AFD"/>
    <w:rsid w:val="00786072"/>
    <w:rsid w:val="007862DD"/>
    <w:rsid w:val="007863E4"/>
    <w:rsid w:val="00787158"/>
    <w:rsid w:val="007872AD"/>
    <w:rsid w:val="00787369"/>
    <w:rsid w:val="00787567"/>
    <w:rsid w:val="007878B8"/>
    <w:rsid w:val="00787A10"/>
    <w:rsid w:val="00787EC2"/>
    <w:rsid w:val="00787FB7"/>
    <w:rsid w:val="007909E8"/>
    <w:rsid w:val="00791A97"/>
    <w:rsid w:val="0079208E"/>
    <w:rsid w:val="00792779"/>
    <w:rsid w:val="00792C80"/>
    <w:rsid w:val="00792D5B"/>
    <w:rsid w:val="00792F5E"/>
    <w:rsid w:val="00793109"/>
    <w:rsid w:val="007931C9"/>
    <w:rsid w:val="00794720"/>
    <w:rsid w:val="0079492B"/>
    <w:rsid w:val="0079678D"/>
    <w:rsid w:val="00797083"/>
    <w:rsid w:val="007A0DBD"/>
    <w:rsid w:val="007A18E9"/>
    <w:rsid w:val="007A1BB0"/>
    <w:rsid w:val="007A1C59"/>
    <w:rsid w:val="007A1F3D"/>
    <w:rsid w:val="007A2C31"/>
    <w:rsid w:val="007A31A6"/>
    <w:rsid w:val="007A3821"/>
    <w:rsid w:val="007A3B30"/>
    <w:rsid w:val="007A46FE"/>
    <w:rsid w:val="007A4717"/>
    <w:rsid w:val="007A476B"/>
    <w:rsid w:val="007A49A4"/>
    <w:rsid w:val="007A4D39"/>
    <w:rsid w:val="007A504C"/>
    <w:rsid w:val="007A5437"/>
    <w:rsid w:val="007A5715"/>
    <w:rsid w:val="007A5869"/>
    <w:rsid w:val="007A58B7"/>
    <w:rsid w:val="007A58FD"/>
    <w:rsid w:val="007A5E97"/>
    <w:rsid w:val="007A600B"/>
    <w:rsid w:val="007A69F0"/>
    <w:rsid w:val="007A7255"/>
    <w:rsid w:val="007A7452"/>
    <w:rsid w:val="007A7481"/>
    <w:rsid w:val="007A7788"/>
    <w:rsid w:val="007A7980"/>
    <w:rsid w:val="007A7EC8"/>
    <w:rsid w:val="007B0B8C"/>
    <w:rsid w:val="007B0BD8"/>
    <w:rsid w:val="007B0C43"/>
    <w:rsid w:val="007B0D52"/>
    <w:rsid w:val="007B0DD2"/>
    <w:rsid w:val="007B249C"/>
    <w:rsid w:val="007B258C"/>
    <w:rsid w:val="007B2B52"/>
    <w:rsid w:val="007B2FA0"/>
    <w:rsid w:val="007B3157"/>
    <w:rsid w:val="007B3A67"/>
    <w:rsid w:val="007B3AAD"/>
    <w:rsid w:val="007B3D96"/>
    <w:rsid w:val="007B3E6B"/>
    <w:rsid w:val="007B3E78"/>
    <w:rsid w:val="007B459C"/>
    <w:rsid w:val="007B46EF"/>
    <w:rsid w:val="007B4872"/>
    <w:rsid w:val="007B49C1"/>
    <w:rsid w:val="007B4B0D"/>
    <w:rsid w:val="007B4EE2"/>
    <w:rsid w:val="007B548A"/>
    <w:rsid w:val="007B589F"/>
    <w:rsid w:val="007B6D43"/>
    <w:rsid w:val="007B71D9"/>
    <w:rsid w:val="007B7D40"/>
    <w:rsid w:val="007C0324"/>
    <w:rsid w:val="007C04C4"/>
    <w:rsid w:val="007C1890"/>
    <w:rsid w:val="007C1BAF"/>
    <w:rsid w:val="007C1BCE"/>
    <w:rsid w:val="007C1F44"/>
    <w:rsid w:val="007C2027"/>
    <w:rsid w:val="007C2775"/>
    <w:rsid w:val="007C3179"/>
    <w:rsid w:val="007C3B5F"/>
    <w:rsid w:val="007C3DC3"/>
    <w:rsid w:val="007C462D"/>
    <w:rsid w:val="007C5163"/>
    <w:rsid w:val="007C578B"/>
    <w:rsid w:val="007C594E"/>
    <w:rsid w:val="007C5D30"/>
    <w:rsid w:val="007C5EB1"/>
    <w:rsid w:val="007C5EC9"/>
    <w:rsid w:val="007C5FE6"/>
    <w:rsid w:val="007C6CE8"/>
    <w:rsid w:val="007C7059"/>
    <w:rsid w:val="007C776F"/>
    <w:rsid w:val="007D05CF"/>
    <w:rsid w:val="007D07DF"/>
    <w:rsid w:val="007D0AEF"/>
    <w:rsid w:val="007D1139"/>
    <w:rsid w:val="007D13C0"/>
    <w:rsid w:val="007D1FBF"/>
    <w:rsid w:val="007D2786"/>
    <w:rsid w:val="007D2A1A"/>
    <w:rsid w:val="007D2AFF"/>
    <w:rsid w:val="007D3461"/>
    <w:rsid w:val="007D3569"/>
    <w:rsid w:val="007D36A5"/>
    <w:rsid w:val="007D37DD"/>
    <w:rsid w:val="007D4354"/>
    <w:rsid w:val="007D438B"/>
    <w:rsid w:val="007D4604"/>
    <w:rsid w:val="007D53C1"/>
    <w:rsid w:val="007D5628"/>
    <w:rsid w:val="007D57B9"/>
    <w:rsid w:val="007D586B"/>
    <w:rsid w:val="007D5AB4"/>
    <w:rsid w:val="007D5FEF"/>
    <w:rsid w:val="007D60C8"/>
    <w:rsid w:val="007D7051"/>
    <w:rsid w:val="007D70FD"/>
    <w:rsid w:val="007E009E"/>
    <w:rsid w:val="007E018F"/>
    <w:rsid w:val="007E0215"/>
    <w:rsid w:val="007E1553"/>
    <w:rsid w:val="007E1CDA"/>
    <w:rsid w:val="007E2817"/>
    <w:rsid w:val="007E32B7"/>
    <w:rsid w:val="007E3588"/>
    <w:rsid w:val="007E3737"/>
    <w:rsid w:val="007E4598"/>
    <w:rsid w:val="007E549A"/>
    <w:rsid w:val="007E5541"/>
    <w:rsid w:val="007E55AA"/>
    <w:rsid w:val="007E565E"/>
    <w:rsid w:val="007E57EE"/>
    <w:rsid w:val="007E5B2D"/>
    <w:rsid w:val="007E5D10"/>
    <w:rsid w:val="007E6A09"/>
    <w:rsid w:val="007E7050"/>
    <w:rsid w:val="007E7136"/>
    <w:rsid w:val="007E71FB"/>
    <w:rsid w:val="007E7981"/>
    <w:rsid w:val="007E79F0"/>
    <w:rsid w:val="007F0553"/>
    <w:rsid w:val="007F07A5"/>
    <w:rsid w:val="007F08B7"/>
    <w:rsid w:val="007F0D71"/>
    <w:rsid w:val="007F0EBE"/>
    <w:rsid w:val="007F111B"/>
    <w:rsid w:val="007F13B2"/>
    <w:rsid w:val="007F1DFE"/>
    <w:rsid w:val="007F1E37"/>
    <w:rsid w:val="007F1EA0"/>
    <w:rsid w:val="007F2FA9"/>
    <w:rsid w:val="007F32C8"/>
    <w:rsid w:val="007F3472"/>
    <w:rsid w:val="007F3862"/>
    <w:rsid w:val="007F464B"/>
    <w:rsid w:val="007F4E5F"/>
    <w:rsid w:val="007F5B7C"/>
    <w:rsid w:val="007F696B"/>
    <w:rsid w:val="007F6C42"/>
    <w:rsid w:val="007F7278"/>
    <w:rsid w:val="007F7338"/>
    <w:rsid w:val="007F796F"/>
    <w:rsid w:val="007F7A2A"/>
    <w:rsid w:val="007F7C87"/>
    <w:rsid w:val="007F7CBD"/>
    <w:rsid w:val="00800A22"/>
    <w:rsid w:val="00800D1F"/>
    <w:rsid w:val="0080113F"/>
    <w:rsid w:val="008020F8"/>
    <w:rsid w:val="008022B2"/>
    <w:rsid w:val="00802338"/>
    <w:rsid w:val="0080242D"/>
    <w:rsid w:val="0080252E"/>
    <w:rsid w:val="008031EE"/>
    <w:rsid w:val="0080332F"/>
    <w:rsid w:val="0080394F"/>
    <w:rsid w:val="00803CE4"/>
    <w:rsid w:val="008047A6"/>
    <w:rsid w:val="00805CAD"/>
    <w:rsid w:val="00806111"/>
    <w:rsid w:val="0080617E"/>
    <w:rsid w:val="00806AD7"/>
    <w:rsid w:val="00806F93"/>
    <w:rsid w:val="00807071"/>
    <w:rsid w:val="008077DB"/>
    <w:rsid w:val="00810422"/>
    <w:rsid w:val="00810702"/>
    <w:rsid w:val="008108EE"/>
    <w:rsid w:val="00810D0E"/>
    <w:rsid w:val="00811593"/>
    <w:rsid w:val="0081184D"/>
    <w:rsid w:val="00811BB1"/>
    <w:rsid w:val="0081205B"/>
    <w:rsid w:val="00812338"/>
    <w:rsid w:val="0081249F"/>
    <w:rsid w:val="00812600"/>
    <w:rsid w:val="008126EC"/>
    <w:rsid w:val="0081284F"/>
    <w:rsid w:val="008142CB"/>
    <w:rsid w:val="008143A9"/>
    <w:rsid w:val="008149BA"/>
    <w:rsid w:val="008158E9"/>
    <w:rsid w:val="00816C41"/>
    <w:rsid w:val="00816DCA"/>
    <w:rsid w:val="00816EB0"/>
    <w:rsid w:val="0081728E"/>
    <w:rsid w:val="0081741C"/>
    <w:rsid w:val="0081746B"/>
    <w:rsid w:val="008179A9"/>
    <w:rsid w:val="008179F3"/>
    <w:rsid w:val="00817C04"/>
    <w:rsid w:val="00817C82"/>
    <w:rsid w:val="008202BA"/>
    <w:rsid w:val="00821A60"/>
    <w:rsid w:val="008224EE"/>
    <w:rsid w:val="00822C55"/>
    <w:rsid w:val="00823130"/>
    <w:rsid w:val="0082318E"/>
    <w:rsid w:val="00823499"/>
    <w:rsid w:val="00824093"/>
    <w:rsid w:val="008240BE"/>
    <w:rsid w:val="0082418D"/>
    <w:rsid w:val="008246A9"/>
    <w:rsid w:val="008249C6"/>
    <w:rsid w:val="00824A3D"/>
    <w:rsid w:val="00824D4A"/>
    <w:rsid w:val="00825019"/>
    <w:rsid w:val="00825020"/>
    <w:rsid w:val="008254BF"/>
    <w:rsid w:val="00825FBA"/>
    <w:rsid w:val="0082621D"/>
    <w:rsid w:val="00827114"/>
    <w:rsid w:val="00827746"/>
    <w:rsid w:val="00830097"/>
    <w:rsid w:val="00830217"/>
    <w:rsid w:val="0083076B"/>
    <w:rsid w:val="00830A71"/>
    <w:rsid w:val="00830F84"/>
    <w:rsid w:val="00831078"/>
    <w:rsid w:val="0083117D"/>
    <w:rsid w:val="0083126A"/>
    <w:rsid w:val="00831596"/>
    <w:rsid w:val="008318A5"/>
    <w:rsid w:val="00831978"/>
    <w:rsid w:val="00831AFA"/>
    <w:rsid w:val="00831F31"/>
    <w:rsid w:val="008329B3"/>
    <w:rsid w:val="00832CFA"/>
    <w:rsid w:val="00832F5A"/>
    <w:rsid w:val="00834726"/>
    <w:rsid w:val="00834756"/>
    <w:rsid w:val="008348F2"/>
    <w:rsid w:val="00840C4B"/>
    <w:rsid w:val="00840D4C"/>
    <w:rsid w:val="0084104E"/>
    <w:rsid w:val="0084106B"/>
    <w:rsid w:val="0084111F"/>
    <w:rsid w:val="0084112F"/>
    <w:rsid w:val="008413D5"/>
    <w:rsid w:val="00841493"/>
    <w:rsid w:val="0084178F"/>
    <w:rsid w:val="00841D33"/>
    <w:rsid w:val="00841E7A"/>
    <w:rsid w:val="00842274"/>
    <w:rsid w:val="008431EA"/>
    <w:rsid w:val="0084330D"/>
    <w:rsid w:val="00844D46"/>
    <w:rsid w:val="008456DC"/>
    <w:rsid w:val="00845BB3"/>
    <w:rsid w:val="0084611F"/>
    <w:rsid w:val="008462E3"/>
    <w:rsid w:val="008465AB"/>
    <w:rsid w:val="00846E59"/>
    <w:rsid w:val="008473D1"/>
    <w:rsid w:val="00847547"/>
    <w:rsid w:val="00847C95"/>
    <w:rsid w:val="0085007B"/>
    <w:rsid w:val="008500A9"/>
    <w:rsid w:val="00850A81"/>
    <w:rsid w:val="00850E81"/>
    <w:rsid w:val="0085100C"/>
    <w:rsid w:val="00851970"/>
    <w:rsid w:val="00851981"/>
    <w:rsid w:val="008519C8"/>
    <w:rsid w:val="00851AB8"/>
    <w:rsid w:val="00851DFC"/>
    <w:rsid w:val="00851EDF"/>
    <w:rsid w:val="0085221B"/>
    <w:rsid w:val="008523AB"/>
    <w:rsid w:val="008536D8"/>
    <w:rsid w:val="0085394F"/>
    <w:rsid w:val="00853FF9"/>
    <w:rsid w:val="00854118"/>
    <w:rsid w:val="0085496A"/>
    <w:rsid w:val="008551F7"/>
    <w:rsid w:val="0085524E"/>
    <w:rsid w:val="00855332"/>
    <w:rsid w:val="0085570D"/>
    <w:rsid w:val="008558CD"/>
    <w:rsid w:val="00855ED0"/>
    <w:rsid w:val="00855FD8"/>
    <w:rsid w:val="00856153"/>
    <w:rsid w:val="0085615E"/>
    <w:rsid w:val="00856263"/>
    <w:rsid w:val="00856424"/>
    <w:rsid w:val="008569EC"/>
    <w:rsid w:val="00856A11"/>
    <w:rsid w:val="00856F28"/>
    <w:rsid w:val="00857A49"/>
    <w:rsid w:val="00857C64"/>
    <w:rsid w:val="00857CC6"/>
    <w:rsid w:val="00857DC5"/>
    <w:rsid w:val="008600A4"/>
    <w:rsid w:val="008608FF"/>
    <w:rsid w:val="00860B5C"/>
    <w:rsid w:val="0086242B"/>
    <w:rsid w:val="00863025"/>
    <w:rsid w:val="00864044"/>
    <w:rsid w:val="008643AD"/>
    <w:rsid w:val="00864499"/>
    <w:rsid w:val="008652FC"/>
    <w:rsid w:val="008659D0"/>
    <w:rsid w:val="00865DBD"/>
    <w:rsid w:val="00865DCC"/>
    <w:rsid w:val="0086605F"/>
    <w:rsid w:val="00866AF7"/>
    <w:rsid w:val="00867640"/>
    <w:rsid w:val="00867A45"/>
    <w:rsid w:val="00870F3A"/>
    <w:rsid w:val="0087104B"/>
    <w:rsid w:val="00871295"/>
    <w:rsid w:val="008714D8"/>
    <w:rsid w:val="008715EC"/>
    <w:rsid w:val="0087178C"/>
    <w:rsid w:val="00871FD4"/>
    <w:rsid w:val="0087290B"/>
    <w:rsid w:val="0087291C"/>
    <w:rsid w:val="00872D0A"/>
    <w:rsid w:val="00873019"/>
    <w:rsid w:val="00873375"/>
    <w:rsid w:val="0087338B"/>
    <w:rsid w:val="008733B6"/>
    <w:rsid w:val="00873502"/>
    <w:rsid w:val="00873B9D"/>
    <w:rsid w:val="00874077"/>
    <w:rsid w:val="00874CB9"/>
    <w:rsid w:val="00875C45"/>
    <w:rsid w:val="00875E73"/>
    <w:rsid w:val="00876039"/>
    <w:rsid w:val="00876243"/>
    <w:rsid w:val="0087650C"/>
    <w:rsid w:val="0087665D"/>
    <w:rsid w:val="00876660"/>
    <w:rsid w:val="00876CFB"/>
    <w:rsid w:val="0087715B"/>
    <w:rsid w:val="00877689"/>
    <w:rsid w:val="008776C4"/>
    <w:rsid w:val="00877ADE"/>
    <w:rsid w:val="008804C4"/>
    <w:rsid w:val="00880B18"/>
    <w:rsid w:val="00880EDB"/>
    <w:rsid w:val="00880FD4"/>
    <w:rsid w:val="0088179A"/>
    <w:rsid w:val="008818B5"/>
    <w:rsid w:val="00881C94"/>
    <w:rsid w:val="008828E6"/>
    <w:rsid w:val="00883DBB"/>
    <w:rsid w:val="00883F43"/>
    <w:rsid w:val="00885509"/>
    <w:rsid w:val="00885E4E"/>
    <w:rsid w:val="00886423"/>
    <w:rsid w:val="00886615"/>
    <w:rsid w:val="008869F3"/>
    <w:rsid w:val="00886DEE"/>
    <w:rsid w:val="008872A1"/>
    <w:rsid w:val="008872B7"/>
    <w:rsid w:val="0088749F"/>
    <w:rsid w:val="0089132E"/>
    <w:rsid w:val="008915D0"/>
    <w:rsid w:val="0089163C"/>
    <w:rsid w:val="008916A5"/>
    <w:rsid w:val="0089176F"/>
    <w:rsid w:val="00891A32"/>
    <w:rsid w:val="00891E07"/>
    <w:rsid w:val="008924AD"/>
    <w:rsid w:val="00893848"/>
    <w:rsid w:val="008944BC"/>
    <w:rsid w:val="008946F8"/>
    <w:rsid w:val="008950E9"/>
    <w:rsid w:val="008952AA"/>
    <w:rsid w:val="00895393"/>
    <w:rsid w:val="008953C7"/>
    <w:rsid w:val="00895716"/>
    <w:rsid w:val="008958A2"/>
    <w:rsid w:val="00895DC6"/>
    <w:rsid w:val="00895F24"/>
    <w:rsid w:val="00896321"/>
    <w:rsid w:val="00896DE0"/>
    <w:rsid w:val="008976BF"/>
    <w:rsid w:val="00897D78"/>
    <w:rsid w:val="00897EF2"/>
    <w:rsid w:val="008A0027"/>
    <w:rsid w:val="008A02C2"/>
    <w:rsid w:val="008A09AA"/>
    <w:rsid w:val="008A109B"/>
    <w:rsid w:val="008A11CA"/>
    <w:rsid w:val="008A1418"/>
    <w:rsid w:val="008A14DA"/>
    <w:rsid w:val="008A165B"/>
    <w:rsid w:val="008A1BD6"/>
    <w:rsid w:val="008A2006"/>
    <w:rsid w:val="008A22DC"/>
    <w:rsid w:val="008A2717"/>
    <w:rsid w:val="008A2890"/>
    <w:rsid w:val="008A2D33"/>
    <w:rsid w:val="008A35B1"/>
    <w:rsid w:val="008A3943"/>
    <w:rsid w:val="008A3B03"/>
    <w:rsid w:val="008A3B3D"/>
    <w:rsid w:val="008A3BFE"/>
    <w:rsid w:val="008A3F8B"/>
    <w:rsid w:val="008A45D2"/>
    <w:rsid w:val="008A45F0"/>
    <w:rsid w:val="008A49BB"/>
    <w:rsid w:val="008A4A3A"/>
    <w:rsid w:val="008A4C0E"/>
    <w:rsid w:val="008A5E9C"/>
    <w:rsid w:val="008A62B3"/>
    <w:rsid w:val="008A6FF3"/>
    <w:rsid w:val="008A75D6"/>
    <w:rsid w:val="008A7A56"/>
    <w:rsid w:val="008B0160"/>
    <w:rsid w:val="008B0C41"/>
    <w:rsid w:val="008B13D0"/>
    <w:rsid w:val="008B1696"/>
    <w:rsid w:val="008B25C3"/>
    <w:rsid w:val="008B277D"/>
    <w:rsid w:val="008B2B4E"/>
    <w:rsid w:val="008B2F06"/>
    <w:rsid w:val="008B3400"/>
    <w:rsid w:val="008B3506"/>
    <w:rsid w:val="008B4167"/>
    <w:rsid w:val="008B43E8"/>
    <w:rsid w:val="008B4DD8"/>
    <w:rsid w:val="008B4E3C"/>
    <w:rsid w:val="008B538A"/>
    <w:rsid w:val="008B5955"/>
    <w:rsid w:val="008B5C76"/>
    <w:rsid w:val="008B5DAD"/>
    <w:rsid w:val="008B6969"/>
    <w:rsid w:val="008B6A1A"/>
    <w:rsid w:val="008B6B9A"/>
    <w:rsid w:val="008B73CD"/>
    <w:rsid w:val="008B745E"/>
    <w:rsid w:val="008B750D"/>
    <w:rsid w:val="008B7C28"/>
    <w:rsid w:val="008B7D79"/>
    <w:rsid w:val="008C01E0"/>
    <w:rsid w:val="008C0286"/>
    <w:rsid w:val="008C034F"/>
    <w:rsid w:val="008C041F"/>
    <w:rsid w:val="008C0668"/>
    <w:rsid w:val="008C1302"/>
    <w:rsid w:val="008C1FF1"/>
    <w:rsid w:val="008C248C"/>
    <w:rsid w:val="008C27E6"/>
    <w:rsid w:val="008C2BB1"/>
    <w:rsid w:val="008C30CA"/>
    <w:rsid w:val="008C32F8"/>
    <w:rsid w:val="008C360C"/>
    <w:rsid w:val="008C38A3"/>
    <w:rsid w:val="008C3BE1"/>
    <w:rsid w:val="008C4B03"/>
    <w:rsid w:val="008C5519"/>
    <w:rsid w:val="008C56C4"/>
    <w:rsid w:val="008C60A0"/>
    <w:rsid w:val="008C699F"/>
    <w:rsid w:val="008C6D33"/>
    <w:rsid w:val="008C6FF9"/>
    <w:rsid w:val="008C7B3D"/>
    <w:rsid w:val="008D02E1"/>
    <w:rsid w:val="008D0477"/>
    <w:rsid w:val="008D086B"/>
    <w:rsid w:val="008D0E4A"/>
    <w:rsid w:val="008D1464"/>
    <w:rsid w:val="008D193F"/>
    <w:rsid w:val="008D19A8"/>
    <w:rsid w:val="008D20DA"/>
    <w:rsid w:val="008D23E8"/>
    <w:rsid w:val="008D2716"/>
    <w:rsid w:val="008D300F"/>
    <w:rsid w:val="008D37A0"/>
    <w:rsid w:val="008D38A4"/>
    <w:rsid w:val="008D398C"/>
    <w:rsid w:val="008D3D52"/>
    <w:rsid w:val="008D4347"/>
    <w:rsid w:val="008D4758"/>
    <w:rsid w:val="008D47CE"/>
    <w:rsid w:val="008D4B81"/>
    <w:rsid w:val="008D4DBF"/>
    <w:rsid w:val="008D5009"/>
    <w:rsid w:val="008D5780"/>
    <w:rsid w:val="008D597B"/>
    <w:rsid w:val="008D5A32"/>
    <w:rsid w:val="008D5A79"/>
    <w:rsid w:val="008D619D"/>
    <w:rsid w:val="008D6295"/>
    <w:rsid w:val="008D6308"/>
    <w:rsid w:val="008D774C"/>
    <w:rsid w:val="008D7AC1"/>
    <w:rsid w:val="008E03B5"/>
    <w:rsid w:val="008E0915"/>
    <w:rsid w:val="008E0974"/>
    <w:rsid w:val="008E1FDF"/>
    <w:rsid w:val="008E2061"/>
    <w:rsid w:val="008E264A"/>
    <w:rsid w:val="008E29B3"/>
    <w:rsid w:val="008E2BDA"/>
    <w:rsid w:val="008E2DB7"/>
    <w:rsid w:val="008E302F"/>
    <w:rsid w:val="008E3050"/>
    <w:rsid w:val="008E359C"/>
    <w:rsid w:val="008E5352"/>
    <w:rsid w:val="008E5A33"/>
    <w:rsid w:val="008E5C10"/>
    <w:rsid w:val="008E6E99"/>
    <w:rsid w:val="008E72D5"/>
    <w:rsid w:val="008E7D56"/>
    <w:rsid w:val="008F073E"/>
    <w:rsid w:val="008F178F"/>
    <w:rsid w:val="008F1C64"/>
    <w:rsid w:val="008F269C"/>
    <w:rsid w:val="008F30CA"/>
    <w:rsid w:val="008F364E"/>
    <w:rsid w:val="008F47B0"/>
    <w:rsid w:val="008F49AF"/>
    <w:rsid w:val="008F4F35"/>
    <w:rsid w:val="008F5FFF"/>
    <w:rsid w:val="008F7046"/>
    <w:rsid w:val="008F73D3"/>
    <w:rsid w:val="008F7415"/>
    <w:rsid w:val="008F7433"/>
    <w:rsid w:val="009006E7"/>
    <w:rsid w:val="00900A15"/>
    <w:rsid w:val="00901708"/>
    <w:rsid w:val="0090173D"/>
    <w:rsid w:val="00901E8C"/>
    <w:rsid w:val="00902B9D"/>
    <w:rsid w:val="009037DD"/>
    <w:rsid w:val="00903B72"/>
    <w:rsid w:val="00904225"/>
    <w:rsid w:val="00905135"/>
    <w:rsid w:val="00905156"/>
    <w:rsid w:val="00905B74"/>
    <w:rsid w:val="009060B9"/>
    <w:rsid w:val="0090632F"/>
    <w:rsid w:val="00906B9D"/>
    <w:rsid w:val="00907061"/>
    <w:rsid w:val="00907716"/>
    <w:rsid w:val="00907B73"/>
    <w:rsid w:val="00910021"/>
    <w:rsid w:val="009101B5"/>
    <w:rsid w:val="00910322"/>
    <w:rsid w:val="0091087C"/>
    <w:rsid w:val="00910F1C"/>
    <w:rsid w:val="009110E4"/>
    <w:rsid w:val="009112C9"/>
    <w:rsid w:val="0091150A"/>
    <w:rsid w:val="00911917"/>
    <w:rsid w:val="009122EC"/>
    <w:rsid w:val="009126E4"/>
    <w:rsid w:val="00912A75"/>
    <w:rsid w:val="0091339E"/>
    <w:rsid w:val="0091350D"/>
    <w:rsid w:val="009135B7"/>
    <w:rsid w:val="00915BB5"/>
    <w:rsid w:val="00915FB3"/>
    <w:rsid w:val="00916AA8"/>
    <w:rsid w:val="009176C3"/>
    <w:rsid w:val="00917A78"/>
    <w:rsid w:val="00917AD0"/>
    <w:rsid w:val="00917F78"/>
    <w:rsid w:val="009203E0"/>
    <w:rsid w:val="0092083C"/>
    <w:rsid w:val="00920FEB"/>
    <w:rsid w:val="009214E8"/>
    <w:rsid w:val="00921D9B"/>
    <w:rsid w:val="00922265"/>
    <w:rsid w:val="009224CD"/>
    <w:rsid w:val="009227C4"/>
    <w:rsid w:val="0092297F"/>
    <w:rsid w:val="00922C36"/>
    <w:rsid w:val="00922E0E"/>
    <w:rsid w:val="00922E48"/>
    <w:rsid w:val="009234FA"/>
    <w:rsid w:val="00923545"/>
    <w:rsid w:val="00923878"/>
    <w:rsid w:val="00923E94"/>
    <w:rsid w:val="009240AD"/>
    <w:rsid w:val="0092458E"/>
    <w:rsid w:val="00924998"/>
    <w:rsid w:val="009255DE"/>
    <w:rsid w:val="00925BC2"/>
    <w:rsid w:val="009265DD"/>
    <w:rsid w:val="00926DAE"/>
    <w:rsid w:val="009272FC"/>
    <w:rsid w:val="00927313"/>
    <w:rsid w:val="00927A97"/>
    <w:rsid w:val="00927C85"/>
    <w:rsid w:val="00927F3B"/>
    <w:rsid w:val="00930092"/>
    <w:rsid w:val="0093054E"/>
    <w:rsid w:val="00930552"/>
    <w:rsid w:val="00930BF8"/>
    <w:rsid w:val="009316B2"/>
    <w:rsid w:val="00931A2C"/>
    <w:rsid w:val="00932176"/>
    <w:rsid w:val="00933B96"/>
    <w:rsid w:val="00934EE2"/>
    <w:rsid w:val="00935454"/>
    <w:rsid w:val="009356E9"/>
    <w:rsid w:val="0093578C"/>
    <w:rsid w:val="0093603B"/>
    <w:rsid w:val="00936481"/>
    <w:rsid w:val="009364B0"/>
    <w:rsid w:val="0093707D"/>
    <w:rsid w:val="009379C9"/>
    <w:rsid w:val="00937AA7"/>
    <w:rsid w:val="00937BE2"/>
    <w:rsid w:val="00937DAF"/>
    <w:rsid w:val="00937E76"/>
    <w:rsid w:val="0094044F"/>
    <w:rsid w:val="00941261"/>
    <w:rsid w:val="00941AA3"/>
    <w:rsid w:val="00941B42"/>
    <w:rsid w:val="00941B9C"/>
    <w:rsid w:val="0094201D"/>
    <w:rsid w:val="0094247C"/>
    <w:rsid w:val="00942B11"/>
    <w:rsid w:val="00942B5C"/>
    <w:rsid w:val="00942D8A"/>
    <w:rsid w:val="009432E3"/>
    <w:rsid w:val="009435E3"/>
    <w:rsid w:val="0094377A"/>
    <w:rsid w:val="0094393B"/>
    <w:rsid w:val="009440C7"/>
    <w:rsid w:val="0094432A"/>
    <w:rsid w:val="0094441D"/>
    <w:rsid w:val="00944B95"/>
    <w:rsid w:val="00944CD4"/>
    <w:rsid w:val="00944F50"/>
    <w:rsid w:val="00945EEF"/>
    <w:rsid w:val="009466C7"/>
    <w:rsid w:val="0094688C"/>
    <w:rsid w:val="00946B5C"/>
    <w:rsid w:val="00947167"/>
    <w:rsid w:val="00947348"/>
    <w:rsid w:val="0094741E"/>
    <w:rsid w:val="00947A30"/>
    <w:rsid w:val="00947B6B"/>
    <w:rsid w:val="009501E5"/>
    <w:rsid w:val="00950E7E"/>
    <w:rsid w:val="009510A0"/>
    <w:rsid w:val="009527E1"/>
    <w:rsid w:val="00952A2B"/>
    <w:rsid w:val="00952AA4"/>
    <w:rsid w:val="009534AF"/>
    <w:rsid w:val="00953D32"/>
    <w:rsid w:val="009540F6"/>
    <w:rsid w:val="00954911"/>
    <w:rsid w:val="00955223"/>
    <w:rsid w:val="00955DFB"/>
    <w:rsid w:val="009561EB"/>
    <w:rsid w:val="00956410"/>
    <w:rsid w:val="00956880"/>
    <w:rsid w:val="00956D9D"/>
    <w:rsid w:val="00956E1F"/>
    <w:rsid w:val="00956FB2"/>
    <w:rsid w:val="0095719A"/>
    <w:rsid w:val="00957400"/>
    <w:rsid w:val="009574C6"/>
    <w:rsid w:val="0095755E"/>
    <w:rsid w:val="00957B42"/>
    <w:rsid w:val="00957FD0"/>
    <w:rsid w:val="009600A6"/>
    <w:rsid w:val="00960CE7"/>
    <w:rsid w:val="0096116B"/>
    <w:rsid w:val="00961D8D"/>
    <w:rsid w:val="0096255F"/>
    <w:rsid w:val="009625BA"/>
    <w:rsid w:val="00962B74"/>
    <w:rsid w:val="0096318E"/>
    <w:rsid w:val="009632B4"/>
    <w:rsid w:val="00963546"/>
    <w:rsid w:val="00963C19"/>
    <w:rsid w:val="00964287"/>
    <w:rsid w:val="0096437C"/>
    <w:rsid w:val="0096463F"/>
    <w:rsid w:val="0096486E"/>
    <w:rsid w:val="00964ED3"/>
    <w:rsid w:val="00965691"/>
    <w:rsid w:val="009656EC"/>
    <w:rsid w:val="00965F2A"/>
    <w:rsid w:val="009660F4"/>
    <w:rsid w:val="009661EC"/>
    <w:rsid w:val="0096632E"/>
    <w:rsid w:val="00966364"/>
    <w:rsid w:val="00966829"/>
    <w:rsid w:val="00966AD8"/>
    <w:rsid w:val="00966C7B"/>
    <w:rsid w:val="009677ED"/>
    <w:rsid w:val="009679CD"/>
    <w:rsid w:val="009704AC"/>
    <w:rsid w:val="009707B6"/>
    <w:rsid w:val="009707CA"/>
    <w:rsid w:val="00971025"/>
    <w:rsid w:val="00971056"/>
    <w:rsid w:val="0097142A"/>
    <w:rsid w:val="00971B90"/>
    <w:rsid w:val="00971CF1"/>
    <w:rsid w:val="00972145"/>
    <w:rsid w:val="0097230F"/>
    <w:rsid w:val="00972784"/>
    <w:rsid w:val="009727D2"/>
    <w:rsid w:val="00972BF5"/>
    <w:rsid w:val="00972D56"/>
    <w:rsid w:val="009736EB"/>
    <w:rsid w:val="00973CA5"/>
    <w:rsid w:val="009742AE"/>
    <w:rsid w:val="00974CCD"/>
    <w:rsid w:val="00975351"/>
    <w:rsid w:val="009753A7"/>
    <w:rsid w:val="00975C0E"/>
    <w:rsid w:val="009766B5"/>
    <w:rsid w:val="009767E6"/>
    <w:rsid w:val="009773E9"/>
    <w:rsid w:val="00977851"/>
    <w:rsid w:val="00980473"/>
    <w:rsid w:val="00980889"/>
    <w:rsid w:val="00982147"/>
    <w:rsid w:val="00982979"/>
    <w:rsid w:val="00982ED0"/>
    <w:rsid w:val="009845A8"/>
    <w:rsid w:val="0098501F"/>
    <w:rsid w:val="0098608F"/>
    <w:rsid w:val="00986680"/>
    <w:rsid w:val="00986E6B"/>
    <w:rsid w:val="00987978"/>
    <w:rsid w:val="009914B9"/>
    <w:rsid w:val="00991529"/>
    <w:rsid w:val="009915C4"/>
    <w:rsid w:val="0099281F"/>
    <w:rsid w:val="00992926"/>
    <w:rsid w:val="00992BFF"/>
    <w:rsid w:val="00992D42"/>
    <w:rsid w:val="00992E36"/>
    <w:rsid w:val="00993557"/>
    <w:rsid w:val="00993740"/>
    <w:rsid w:val="00993C12"/>
    <w:rsid w:val="00993E28"/>
    <w:rsid w:val="00993FF1"/>
    <w:rsid w:val="0099418E"/>
    <w:rsid w:val="0099432B"/>
    <w:rsid w:val="0099435E"/>
    <w:rsid w:val="00995528"/>
    <w:rsid w:val="00995545"/>
    <w:rsid w:val="009957F4"/>
    <w:rsid w:val="00995EFB"/>
    <w:rsid w:val="0099621F"/>
    <w:rsid w:val="00996641"/>
    <w:rsid w:val="00996BCE"/>
    <w:rsid w:val="00997103"/>
    <w:rsid w:val="009972B5"/>
    <w:rsid w:val="00997351"/>
    <w:rsid w:val="009975D1"/>
    <w:rsid w:val="009979E4"/>
    <w:rsid w:val="00997BC7"/>
    <w:rsid w:val="00997D44"/>
    <w:rsid w:val="00997DD2"/>
    <w:rsid w:val="009A00C3"/>
    <w:rsid w:val="009A03A4"/>
    <w:rsid w:val="009A0B70"/>
    <w:rsid w:val="009A125D"/>
    <w:rsid w:val="009A19A2"/>
    <w:rsid w:val="009A231F"/>
    <w:rsid w:val="009A26BC"/>
    <w:rsid w:val="009A2E00"/>
    <w:rsid w:val="009A2FC6"/>
    <w:rsid w:val="009A3256"/>
    <w:rsid w:val="009A34BB"/>
    <w:rsid w:val="009A3B19"/>
    <w:rsid w:val="009A4009"/>
    <w:rsid w:val="009A512A"/>
    <w:rsid w:val="009A63E1"/>
    <w:rsid w:val="009A71FC"/>
    <w:rsid w:val="009A7944"/>
    <w:rsid w:val="009B008B"/>
    <w:rsid w:val="009B014E"/>
    <w:rsid w:val="009B1561"/>
    <w:rsid w:val="009B1573"/>
    <w:rsid w:val="009B1582"/>
    <w:rsid w:val="009B2273"/>
    <w:rsid w:val="009B28FA"/>
    <w:rsid w:val="009B2CC8"/>
    <w:rsid w:val="009B2EB0"/>
    <w:rsid w:val="009B30EC"/>
    <w:rsid w:val="009B3434"/>
    <w:rsid w:val="009B3B89"/>
    <w:rsid w:val="009B3C4D"/>
    <w:rsid w:val="009B4A90"/>
    <w:rsid w:val="009B5D21"/>
    <w:rsid w:val="009B621A"/>
    <w:rsid w:val="009B6C21"/>
    <w:rsid w:val="009B6D7F"/>
    <w:rsid w:val="009B73A8"/>
    <w:rsid w:val="009B7A0F"/>
    <w:rsid w:val="009C0158"/>
    <w:rsid w:val="009C0474"/>
    <w:rsid w:val="009C050B"/>
    <w:rsid w:val="009C0779"/>
    <w:rsid w:val="009C0EB4"/>
    <w:rsid w:val="009C108E"/>
    <w:rsid w:val="009C12A7"/>
    <w:rsid w:val="009C1337"/>
    <w:rsid w:val="009C1648"/>
    <w:rsid w:val="009C17AA"/>
    <w:rsid w:val="009C2BDA"/>
    <w:rsid w:val="009C3BA8"/>
    <w:rsid w:val="009C4A6A"/>
    <w:rsid w:val="009C4CC0"/>
    <w:rsid w:val="009C5A43"/>
    <w:rsid w:val="009C666F"/>
    <w:rsid w:val="009C6958"/>
    <w:rsid w:val="009C6B34"/>
    <w:rsid w:val="009C72E5"/>
    <w:rsid w:val="009C7CAA"/>
    <w:rsid w:val="009D023C"/>
    <w:rsid w:val="009D0ADC"/>
    <w:rsid w:val="009D108E"/>
    <w:rsid w:val="009D1988"/>
    <w:rsid w:val="009D2223"/>
    <w:rsid w:val="009D23BD"/>
    <w:rsid w:val="009D2575"/>
    <w:rsid w:val="009D3784"/>
    <w:rsid w:val="009D3847"/>
    <w:rsid w:val="009D3D5C"/>
    <w:rsid w:val="009D3E7F"/>
    <w:rsid w:val="009D4027"/>
    <w:rsid w:val="009D484E"/>
    <w:rsid w:val="009D4893"/>
    <w:rsid w:val="009D4B60"/>
    <w:rsid w:val="009D533B"/>
    <w:rsid w:val="009D63FB"/>
    <w:rsid w:val="009D643B"/>
    <w:rsid w:val="009D6452"/>
    <w:rsid w:val="009D6DCB"/>
    <w:rsid w:val="009D72C3"/>
    <w:rsid w:val="009D78B3"/>
    <w:rsid w:val="009D7920"/>
    <w:rsid w:val="009D7EEF"/>
    <w:rsid w:val="009E0A4D"/>
    <w:rsid w:val="009E0A4F"/>
    <w:rsid w:val="009E0BE2"/>
    <w:rsid w:val="009E1542"/>
    <w:rsid w:val="009E16DD"/>
    <w:rsid w:val="009E2DE9"/>
    <w:rsid w:val="009E3C7D"/>
    <w:rsid w:val="009E4316"/>
    <w:rsid w:val="009E46E7"/>
    <w:rsid w:val="009E470D"/>
    <w:rsid w:val="009E47AA"/>
    <w:rsid w:val="009E5ED2"/>
    <w:rsid w:val="009E6430"/>
    <w:rsid w:val="009E668D"/>
    <w:rsid w:val="009E6B57"/>
    <w:rsid w:val="009E6E4C"/>
    <w:rsid w:val="009F025E"/>
    <w:rsid w:val="009F0451"/>
    <w:rsid w:val="009F084B"/>
    <w:rsid w:val="009F159B"/>
    <w:rsid w:val="009F2743"/>
    <w:rsid w:val="009F2B4B"/>
    <w:rsid w:val="009F2CFE"/>
    <w:rsid w:val="009F30DD"/>
    <w:rsid w:val="009F3325"/>
    <w:rsid w:val="009F3694"/>
    <w:rsid w:val="009F3E01"/>
    <w:rsid w:val="009F43BE"/>
    <w:rsid w:val="009F47D1"/>
    <w:rsid w:val="009F4B61"/>
    <w:rsid w:val="009F520C"/>
    <w:rsid w:val="009F5B6B"/>
    <w:rsid w:val="009F6037"/>
    <w:rsid w:val="009F6191"/>
    <w:rsid w:val="009F6373"/>
    <w:rsid w:val="009F6BE4"/>
    <w:rsid w:val="009F72C0"/>
    <w:rsid w:val="009F7417"/>
    <w:rsid w:val="009F746E"/>
    <w:rsid w:val="009F75E2"/>
    <w:rsid w:val="009F7A13"/>
    <w:rsid w:val="009F7AF3"/>
    <w:rsid w:val="009F7E92"/>
    <w:rsid w:val="00A009CA"/>
    <w:rsid w:val="00A00AD7"/>
    <w:rsid w:val="00A00C51"/>
    <w:rsid w:val="00A010C3"/>
    <w:rsid w:val="00A0191C"/>
    <w:rsid w:val="00A0196A"/>
    <w:rsid w:val="00A01BAB"/>
    <w:rsid w:val="00A01FC1"/>
    <w:rsid w:val="00A0234D"/>
    <w:rsid w:val="00A0240A"/>
    <w:rsid w:val="00A026B9"/>
    <w:rsid w:val="00A02ED3"/>
    <w:rsid w:val="00A02F97"/>
    <w:rsid w:val="00A03041"/>
    <w:rsid w:val="00A03115"/>
    <w:rsid w:val="00A032C3"/>
    <w:rsid w:val="00A03AF6"/>
    <w:rsid w:val="00A03C59"/>
    <w:rsid w:val="00A04435"/>
    <w:rsid w:val="00A04566"/>
    <w:rsid w:val="00A04AD1"/>
    <w:rsid w:val="00A05ADB"/>
    <w:rsid w:val="00A05CA3"/>
    <w:rsid w:val="00A06689"/>
    <w:rsid w:val="00A07A8A"/>
    <w:rsid w:val="00A07E9B"/>
    <w:rsid w:val="00A1098A"/>
    <w:rsid w:val="00A1154E"/>
    <w:rsid w:val="00A12B08"/>
    <w:rsid w:val="00A1312E"/>
    <w:rsid w:val="00A1333E"/>
    <w:rsid w:val="00A13366"/>
    <w:rsid w:val="00A133F5"/>
    <w:rsid w:val="00A135C9"/>
    <w:rsid w:val="00A13AC9"/>
    <w:rsid w:val="00A13DAC"/>
    <w:rsid w:val="00A13DB0"/>
    <w:rsid w:val="00A1402B"/>
    <w:rsid w:val="00A14188"/>
    <w:rsid w:val="00A148A0"/>
    <w:rsid w:val="00A14981"/>
    <w:rsid w:val="00A15766"/>
    <w:rsid w:val="00A15C9F"/>
    <w:rsid w:val="00A161F6"/>
    <w:rsid w:val="00A16EB9"/>
    <w:rsid w:val="00A16F63"/>
    <w:rsid w:val="00A179E9"/>
    <w:rsid w:val="00A20436"/>
    <w:rsid w:val="00A20C3B"/>
    <w:rsid w:val="00A20D34"/>
    <w:rsid w:val="00A2114A"/>
    <w:rsid w:val="00A217C8"/>
    <w:rsid w:val="00A21C57"/>
    <w:rsid w:val="00A229E5"/>
    <w:rsid w:val="00A22D5F"/>
    <w:rsid w:val="00A22FE9"/>
    <w:rsid w:val="00A23639"/>
    <w:rsid w:val="00A23740"/>
    <w:rsid w:val="00A23EF2"/>
    <w:rsid w:val="00A23F3B"/>
    <w:rsid w:val="00A25060"/>
    <w:rsid w:val="00A26570"/>
    <w:rsid w:val="00A2671B"/>
    <w:rsid w:val="00A268C4"/>
    <w:rsid w:val="00A26A01"/>
    <w:rsid w:val="00A26BCA"/>
    <w:rsid w:val="00A26E3C"/>
    <w:rsid w:val="00A276F1"/>
    <w:rsid w:val="00A276F9"/>
    <w:rsid w:val="00A27CE5"/>
    <w:rsid w:val="00A30443"/>
    <w:rsid w:val="00A309A8"/>
    <w:rsid w:val="00A309FF"/>
    <w:rsid w:val="00A30FBC"/>
    <w:rsid w:val="00A31170"/>
    <w:rsid w:val="00A31342"/>
    <w:rsid w:val="00A319FC"/>
    <w:rsid w:val="00A334D5"/>
    <w:rsid w:val="00A3369C"/>
    <w:rsid w:val="00A33D2D"/>
    <w:rsid w:val="00A33DE1"/>
    <w:rsid w:val="00A3490E"/>
    <w:rsid w:val="00A35B96"/>
    <w:rsid w:val="00A36918"/>
    <w:rsid w:val="00A36CCD"/>
    <w:rsid w:val="00A37857"/>
    <w:rsid w:val="00A37BDB"/>
    <w:rsid w:val="00A37CC5"/>
    <w:rsid w:val="00A402F0"/>
    <w:rsid w:val="00A406BF"/>
    <w:rsid w:val="00A406FB"/>
    <w:rsid w:val="00A40A2E"/>
    <w:rsid w:val="00A41091"/>
    <w:rsid w:val="00A4152B"/>
    <w:rsid w:val="00A416BD"/>
    <w:rsid w:val="00A41F4C"/>
    <w:rsid w:val="00A42950"/>
    <w:rsid w:val="00A42B27"/>
    <w:rsid w:val="00A432D2"/>
    <w:rsid w:val="00A43516"/>
    <w:rsid w:val="00A43628"/>
    <w:rsid w:val="00A441AC"/>
    <w:rsid w:val="00A448E3"/>
    <w:rsid w:val="00A44B74"/>
    <w:rsid w:val="00A45470"/>
    <w:rsid w:val="00A46450"/>
    <w:rsid w:val="00A46A75"/>
    <w:rsid w:val="00A46B3F"/>
    <w:rsid w:val="00A4705F"/>
    <w:rsid w:val="00A47505"/>
    <w:rsid w:val="00A4765B"/>
    <w:rsid w:val="00A47FED"/>
    <w:rsid w:val="00A509BB"/>
    <w:rsid w:val="00A50F55"/>
    <w:rsid w:val="00A51BF3"/>
    <w:rsid w:val="00A52BB2"/>
    <w:rsid w:val="00A52C6F"/>
    <w:rsid w:val="00A531C3"/>
    <w:rsid w:val="00A53BA7"/>
    <w:rsid w:val="00A53CCB"/>
    <w:rsid w:val="00A53E03"/>
    <w:rsid w:val="00A53F13"/>
    <w:rsid w:val="00A54377"/>
    <w:rsid w:val="00A5446D"/>
    <w:rsid w:val="00A54EFB"/>
    <w:rsid w:val="00A54F1C"/>
    <w:rsid w:val="00A55251"/>
    <w:rsid w:val="00A55726"/>
    <w:rsid w:val="00A55C5F"/>
    <w:rsid w:val="00A55E75"/>
    <w:rsid w:val="00A5685B"/>
    <w:rsid w:val="00A568F4"/>
    <w:rsid w:val="00A5766A"/>
    <w:rsid w:val="00A5778B"/>
    <w:rsid w:val="00A60B3A"/>
    <w:rsid w:val="00A624E9"/>
    <w:rsid w:val="00A62644"/>
    <w:rsid w:val="00A62AEC"/>
    <w:rsid w:val="00A637F6"/>
    <w:rsid w:val="00A648A1"/>
    <w:rsid w:val="00A64BD6"/>
    <w:rsid w:val="00A64F3A"/>
    <w:rsid w:val="00A651B7"/>
    <w:rsid w:val="00A657CE"/>
    <w:rsid w:val="00A657F4"/>
    <w:rsid w:val="00A65881"/>
    <w:rsid w:val="00A658BE"/>
    <w:rsid w:val="00A65BF8"/>
    <w:rsid w:val="00A65C2E"/>
    <w:rsid w:val="00A65D42"/>
    <w:rsid w:val="00A664BC"/>
    <w:rsid w:val="00A66D4F"/>
    <w:rsid w:val="00A670CF"/>
    <w:rsid w:val="00A67173"/>
    <w:rsid w:val="00A675ED"/>
    <w:rsid w:val="00A67A03"/>
    <w:rsid w:val="00A67FF2"/>
    <w:rsid w:val="00A700BB"/>
    <w:rsid w:val="00A70110"/>
    <w:rsid w:val="00A703A0"/>
    <w:rsid w:val="00A70929"/>
    <w:rsid w:val="00A70A89"/>
    <w:rsid w:val="00A70B17"/>
    <w:rsid w:val="00A71942"/>
    <w:rsid w:val="00A71988"/>
    <w:rsid w:val="00A71AE1"/>
    <w:rsid w:val="00A7204D"/>
    <w:rsid w:val="00A7235B"/>
    <w:rsid w:val="00A72937"/>
    <w:rsid w:val="00A72954"/>
    <w:rsid w:val="00A72A41"/>
    <w:rsid w:val="00A72F3A"/>
    <w:rsid w:val="00A74DE9"/>
    <w:rsid w:val="00A7513E"/>
    <w:rsid w:val="00A751AA"/>
    <w:rsid w:val="00A761D7"/>
    <w:rsid w:val="00A76369"/>
    <w:rsid w:val="00A76AEA"/>
    <w:rsid w:val="00A76CC9"/>
    <w:rsid w:val="00A77741"/>
    <w:rsid w:val="00A77EA1"/>
    <w:rsid w:val="00A800A4"/>
    <w:rsid w:val="00A80937"/>
    <w:rsid w:val="00A80F28"/>
    <w:rsid w:val="00A81291"/>
    <w:rsid w:val="00A816AE"/>
    <w:rsid w:val="00A81CF4"/>
    <w:rsid w:val="00A8265C"/>
    <w:rsid w:val="00A82FC3"/>
    <w:rsid w:val="00A83030"/>
    <w:rsid w:val="00A834A6"/>
    <w:rsid w:val="00A835BE"/>
    <w:rsid w:val="00A838B9"/>
    <w:rsid w:val="00A842AF"/>
    <w:rsid w:val="00A84B69"/>
    <w:rsid w:val="00A84E49"/>
    <w:rsid w:val="00A85258"/>
    <w:rsid w:val="00A85A57"/>
    <w:rsid w:val="00A85F59"/>
    <w:rsid w:val="00A870CB"/>
    <w:rsid w:val="00A870D4"/>
    <w:rsid w:val="00A87934"/>
    <w:rsid w:val="00A879CF"/>
    <w:rsid w:val="00A902C3"/>
    <w:rsid w:val="00A906BE"/>
    <w:rsid w:val="00A90C46"/>
    <w:rsid w:val="00A910DA"/>
    <w:rsid w:val="00A919FC"/>
    <w:rsid w:val="00A91B23"/>
    <w:rsid w:val="00A91DE3"/>
    <w:rsid w:val="00A92565"/>
    <w:rsid w:val="00A93355"/>
    <w:rsid w:val="00A9338D"/>
    <w:rsid w:val="00A939A4"/>
    <w:rsid w:val="00A93B71"/>
    <w:rsid w:val="00A93F02"/>
    <w:rsid w:val="00A94126"/>
    <w:rsid w:val="00A94F6E"/>
    <w:rsid w:val="00A94F9F"/>
    <w:rsid w:val="00A95196"/>
    <w:rsid w:val="00A951F8"/>
    <w:rsid w:val="00A95407"/>
    <w:rsid w:val="00A9544F"/>
    <w:rsid w:val="00A958C2"/>
    <w:rsid w:val="00A96E07"/>
    <w:rsid w:val="00A97CAC"/>
    <w:rsid w:val="00A97E63"/>
    <w:rsid w:val="00A97FF8"/>
    <w:rsid w:val="00AA04A8"/>
    <w:rsid w:val="00AA0F46"/>
    <w:rsid w:val="00AA2A65"/>
    <w:rsid w:val="00AA3092"/>
    <w:rsid w:val="00AA30EB"/>
    <w:rsid w:val="00AA32D4"/>
    <w:rsid w:val="00AA38E4"/>
    <w:rsid w:val="00AA4767"/>
    <w:rsid w:val="00AA4EC4"/>
    <w:rsid w:val="00AA5260"/>
    <w:rsid w:val="00AA55E6"/>
    <w:rsid w:val="00AA5679"/>
    <w:rsid w:val="00AA59D2"/>
    <w:rsid w:val="00AA5CA1"/>
    <w:rsid w:val="00AA5E98"/>
    <w:rsid w:val="00AA5F60"/>
    <w:rsid w:val="00AA6572"/>
    <w:rsid w:val="00AA699B"/>
    <w:rsid w:val="00AA6B22"/>
    <w:rsid w:val="00AA712A"/>
    <w:rsid w:val="00AA7960"/>
    <w:rsid w:val="00AA79C1"/>
    <w:rsid w:val="00AA7C11"/>
    <w:rsid w:val="00AA7CB7"/>
    <w:rsid w:val="00AB0BA6"/>
    <w:rsid w:val="00AB1528"/>
    <w:rsid w:val="00AB1BD5"/>
    <w:rsid w:val="00AB1BF5"/>
    <w:rsid w:val="00AB2138"/>
    <w:rsid w:val="00AB2EA7"/>
    <w:rsid w:val="00AB2EFB"/>
    <w:rsid w:val="00AB300E"/>
    <w:rsid w:val="00AB3088"/>
    <w:rsid w:val="00AB313F"/>
    <w:rsid w:val="00AB31EF"/>
    <w:rsid w:val="00AB353A"/>
    <w:rsid w:val="00AB35BE"/>
    <w:rsid w:val="00AB3D84"/>
    <w:rsid w:val="00AB3E82"/>
    <w:rsid w:val="00AB3EA9"/>
    <w:rsid w:val="00AB4813"/>
    <w:rsid w:val="00AB4D49"/>
    <w:rsid w:val="00AB5515"/>
    <w:rsid w:val="00AB55AA"/>
    <w:rsid w:val="00AB6CF5"/>
    <w:rsid w:val="00AB70BD"/>
    <w:rsid w:val="00AB73EC"/>
    <w:rsid w:val="00AB76BF"/>
    <w:rsid w:val="00AB7B7D"/>
    <w:rsid w:val="00AC04C6"/>
    <w:rsid w:val="00AC0842"/>
    <w:rsid w:val="00AC0D01"/>
    <w:rsid w:val="00AC10C7"/>
    <w:rsid w:val="00AC11B0"/>
    <w:rsid w:val="00AC1250"/>
    <w:rsid w:val="00AC141E"/>
    <w:rsid w:val="00AC1D71"/>
    <w:rsid w:val="00AC23EA"/>
    <w:rsid w:val="00AC2D08"/>
    <w:rsid w:val="00AC2F16"/>
    <w:rsid w:val="00AC323A"/>
    <w:rsid w:val="00AC367F"/>
    <w:rsid w:val="00AC3CFE"/>
    <w:rsid w:val="00AC3D04"/>
    <w:rsid w:val="00AC4401"/>
    <w:rsid w:val="00AC4720"/>
    <w:rsid w:val="00AC47B4"/>
    <w:rsid w:val="00AC4C6E"/>
    <w:rsid w:val="00AC4E69"/>
    <w:rsid w:val="00AC53E2"/>
    <w:rsid w:val="00AC56AA"/>
    <w:rsid w:val="00AC578C"/>
    <w:rsid w:val="00AC6461"/>
    <w:rsid w:val="00AC6502"/>
    <w:rsid w:val="00AC6E58"/>
    <w:rsid w:val="00AC7B6D"/>
    <w:rsid w:val="00AD0A56"/>
    <w:rsid w:val="00AD0DF7"/>
    <w:rsid w:val="00AD1671"/>
    <w:rsid w:val="00AD16EE"/>
    <w:rsid w:val="00AD1CBB"/>
    <w:rsid w:val="00AD2A52"/>
    <w:rsid w:val="00AD2E44"/>
    <w:rsid w:val="00AD30B8"/>
    <w:rsid w:val="00AD3705"/>
    <w:rsid w:val="00AD37EA"/>
    <w:rsid w:val="00AD4233"/>
    <w:rsid w:val="00AD48F2"/>
    <w:rsid w:val="00AD5A48"/>
    <w:rsid w:val="00AD5C06"/>
    <w:rsid w:val="00AD5CED"/>
    <w:rsid w:val="00AD68D3"/>
    <w:rsid w:val="00AD6AFD"/>
    <w:rsid w:val="00AD7564"/>
    <w:rsid w:val="00AD765A"/>
    <w:rsid w:val="00AD7ADD"/>
    <w:rsid w:val="00AD7B48"/>
    <w:rsid w:val="00AD7C6A"/>
    <w:rsid w:val="00AD7D22"/>
    <w:rsid w:val="00AE0E71"/>
    <w:rsid w:val="00AE1415"/>
    <w:rsid w:val="00AE1530"/>
    <w:rsid w:val="00AE1766"/>
    <w:rsid w:val="00AE1A7F"/>
    <w:rsid w:val="00AE1A85"/>
    <w:rsid w:val="00AE2048"/>
    <w:rsid w:val="00AE210A"/>
    <w:rsid w:val="00AE259F"/>
    <w:rsid w:val="00AE27FB"/>
    <w:rsid w:val="00AE30A3"/>
    <w:rsid w:val="00AE3119"/>
    <w:rsid w:val="00AE3EE5"/>
    <w:rsid w:val="00AE47B6"/>
    <w:rsid w:val="00AE6086"/>
    <w:rsid w:val="00AE63FD"/>
    <w:rsid w:val="00AE6B13"/>
    <w:rsid w:val="00AE6E97"/>
    <w:rsid w:val="00AE7711"/>
    <w:rsid w:val="00AE7725"/>
    <w:rsid w:val="00AE780B"/>
    <w:rsid w:val="00AE79F6"/>
    <w:rsid w:val="00AE7F38"/>
    <w:rsid w:val="00AF05DC"/>
    <w:rsid w:val="00AF2014"/>
    <w:rsid w:val="00AF21D9"/>
    <w:rsid w:val="00AF25E6"/>
    <w:rsid w:val="00AF2C61"/>
    <w:rsid w:val="00AF3EBC"/>
    <w:rsid w:val="00AF3EE1"/>
    <w:rsid w:val="00AF4153"/>
    <w:rsid w:val="00AF44F5"/>
    <w:rsid w:val="00AF4BE4"/>
    <w:rsid w:val="00AF4E29"/>
    <w:rsid w:val="00AF548B"/>
    <w:rsid w:val="00AF6DE1"/>
    <w:rsid w:val="00AF7240"/>
    <w:rsid w:val="00AF7409"/>
    <w:rsid w:val="00AF751F"/>
    <w:rsid w:val="00AF7893"/>
    <w:rsid w:val="00AF7BF9"/>
    <w:rsid w:val="00B0061F"/>
    <w:rsid w:val="00B0215A"/>
    <w:rsid w:val="00B03493"/>
    <w:rsid w:val="00B035B3"/>
    <w:rsid w:val="00B03E50"/>
    <w:rsid w:val="00B04355"/>
    <w:rsid w:val="00B043A9"/>
    <w:rsid w:val="00B0453D"/>
    <w:rsid w:val="00B05839"/>
    <w:rsid w:val="00B05E40"/>
    <w:rsid w:val="00B05F05"/>
    <w:rsid w:val="00B0694E"/>
    <w:rsid w:val="00B075EC"/>
    <w:rsid w:val="00B10655"/>
    <w:rsid w:val="00B10BA3"/>
    <w:rsid w:val="00B10E8A"/>
    <w:rsid w:val="00B11214"/>
    <w:rsid w:val="00B11535"/>
    <w:rsid w:val="00B117D9"/>
    <w:rsid w:val="00B11EB7"/>
    <w:rsid w:val="00B126FB"/>
    <w:rsid w:val="00B12824"/>
    <w:rsid w:val="00B1300A"/>
    <w:rsid w:val="00B134D2"/>
    <w:rsid w:val="00B14961"/>
    <w:rsid w:val="00B14C7A"/>
    <w:rsid w:val="00B14DB3"/>
    <w:rsid w:val="00B14E29"/>
    <w:rsid w:val="00B14E8E"/>
    <w:rsid w:val="00B150DA"/>
    <w:rsid w:val="00B161D5"/>
    <w:rsid w:val="00B165DC"/>
    <w:rsid w:val="00B167FE"/>
    <w:rsid w:val="00B16A22"/>
    <w:rsid w:val="00B16F26"/>
    <w:rsid w:val="00B17002"/>
    <w:rsid w:val="00B174B2"/>
    <w:rsid w:val="00B20058"/>
    <w:rsid w:val="00B20643"/>
    <w:rsid w:val="00B20AB7"/>
    <w:rsid w:val="00B20FF5"/>
    <w:rsid w:val="00B21919"/>
    <w:rsid w:val="00B21A21"/>
    <w:rsid w:val="00B225B3"/>
    <w:rsid w:val="00B22C85"/>
    <w:rsid w:val="00B2306A"/>
    <w:rsid w:val="00B238FC"/>
    <w:rsid w:val="00B23DF1"/>
    <w:rsid w:val="00B23FDC"/>
    <w:rsid w:val="00B24114"/>
    <w:rsid w:val="00B24954"/>
    <w:rsid w:val="00B24A73"/>
    <w:rsid w:val="00B24A7F"/>
    <w:rsid w:val="00B2543A"/>
    <w:rsid w:val="00B2629C"/>
    <w:rsid w:val="00B26E07"/>
    <w:rsid w:val="00B26E87"/>
    <w:rsid w:val="00B271FE"/>
    <w:rsid w:val="00B2797E"/>
    <w:rsid w:val="00B311A2"/>
    <w:rsid w:val="00B314F8"/>
    <w:rsid w:val="00B3156D"/>
    <w:rsid w:val="00B319ED"/>
    <w:rsid w:val="00B3239C"/>
    <w:rsid w:val="00B324DE"/>
    <w:rsid w:val="00B32505"/>
    <w:rsid w:val="00B32572"/>
    <w:rsid w:val="00B32FE2"/>
    <w:rsid w:val="00B3399A"/>
    <w:rsid w:val="00B34331"/>
    <w:rsid w:val="00B344FC"/>
    <w:rsid w:val="00B34C19"/>
    <w:rsid w:val="00B35302"/>
    <w:rsid w:val="00B35305"/>
    <w:rsid w:val="00B36674"/>
    <w:rsid w:val="00B370F6"/>
    <w:rsid w:val="00B372DC"/>
    <w:rsid w:val="00B376E4"/>
    <w:rsid w:val="00B37826"/>
    <w:rsid w:val="00B37834"/>
    <w:rsid w:val="00B3789C"/>
    <w:rsid w:val="00B37973"/>
    <w:rsid w:val="00B37DAE"/>
    <w:rsid w:val="00B37EEE"/>
    <w:rsid w:val="00B37F21"/>
    <w:rsid w:val="00B4000B"/>
    <w:rsid w:val="00B40A42"/>
    <w:rsid w:val="00B4225B"/>
    <w:rsid w:val="00B428EA"/>
    <w:rsid w:val="00B42CFA"/>
    <w:rsid w:val="00B42EB5"/>
    <w:rsid w:val="00B44217"/>
    <w:rsid w:val="00B4434D"/>
    <w:rsid w:val="00B44AD8"/>
    <w:rsid w:val="00B44F94"/>
    <w:rsid w:val="00B45132"/>
    <w:rsid w:val="00B4623C"/>
    <w:rsid w:val="00B4663B"/>
    <w:rsid w:val="00B46867"/>
    <w:rsid w:val="00B469C3"/>
    <w:rsid w:val="00B46DD7"/>
    <w:rsid w:val="00B4774D"/>
    <w:rsid w:val="00B506A5"/>
    <w:rsid w:val="00B50A5D"/>
    <w:rsid w:val="00B50F35"/>
    <w:rsid w:val="00B517DB"/>
    <w:rsid w:val="00B52CA1"/>
    <w:rsid w:val="00B53032"/>
    <w:rsid w:val="00B536C8"/>
    <w:rsid w:val="00B53822"/>
    <w:rsid w:val="00B53D9E"/>
    <w:rsid w:val="00B53EE0"/>
    <w:rsid w:val="00B557D9"/>
    <w:rsid w:val="00B563A8"/>
    <w:rsid w:val="00B563BD"/>
    <w:rsid w:val="00B567EB"/>
    <w:rsid w:val="00B56952"/>
    <w:rsid w:val="00B56BF4"/>
    <w:rsid w:val="00B573B0"/>
    <w:rsid w:val="00B57695"/>
    <w:rsid w:val="00B57EEC"/>
    <w:rsid w:val="00B605BC"/>
    <w:rsid w:val="00B607FE"/>
    <w:rsid w:val="00B608DE"/>
    <w:rsid w:val="00B60A90"/>
    <w:rsid w:val="00B60CDB"/>
    <w:rsid w:val="00B61196"/>
    <w:rsid w:val="00B618A3"/>
    <w:rsid w:val="00B61D06"/>
    <w:rsid w:val="00B61DD9"/>
    <w:rsid w:val="00B61FE9"/>
    <w:rsid w:val="00B6253E"/>
    <w:rsid w:val="00B626A7"/>
    <w:rsid w:val="00B6277A"/>
    <w:rsid w:val="00B628FC"/>
    <w:rsid w:val="00B634C2"/>
    <w:rsid w:val="00B6391D"/>
    <w:rsid w:val="00B63A9A"/>
    <w:rsid w:val="00B63AA4"/>
    <w:rsid w:val="00B63B50"/>
    <w:rsid w:val="00B63CD5"/>
    <w:rsid w:val="00B64460"/>
    <w:rsid w:val="00B64549"/>
    <w:rsid w:val="00B65A17"/>
    <w:rsid w:val="00B65C8E"/>
    <w:rsid w:val="00B65D55"/>
    <w:rsid w:val="00B66686"/>
    <w:rsid w:val="00B66DF1"/>
    <w:rsid w:val="00B6720D"/>
    <w:rsid w:val="00B67318"/>
    <w:rsid w:val="00B6739C"/>
    <w:rsid w:val="00B6754F"/>
    <w:rsid w:val="00B67977"/>
    <w:rsid w:val="00B67E1B"/>
    <w:rsid w:val="00B67ED5"/>
    <w:rsid w:val="00B704CE"/>
    <w:rsid w:val="00B71169"/>
    <w:rsid w:val="00B715CD"/>
    <w:rsid w:val="00B727B7"/>
    <w:rsid w:val="00B7280F"/>
    <w:rsid w:val="00B72899"/>
    <w:rsid w:val="00B73250"/>
    <w:rsid w:val="00B73925"/>
    <w:rsid w:val="00B73DD8"/>
    <w:rsid w:val="00B74387"/>
    <w:rsid w:val="00B74664"/>
    <w:rsid w:val="00B74699"/>
    <w:rsid w:val="00B754B7"/>
    <w:rsid w:val="00B7574F"/>
    <w:rsid w:val="00B75907"/>
    <w:rsid w:val="00B765B2"/>
    <w:rsid w:val="00B766AF"/>
    <w:rsid w:val="00B766F1"/>
    <w:rsid w:val="00B76794"/>
    <w:rsid w:val="00B77503"/>
    <w:rsid w:val="00B77506"/>
    <w:rsid w:val="00B776B9"/>
    <w:rsid w:val="00B77B45"/>
    <w:rsid w:val="00B81407"/>
    <w:rsid w:val="00B81646"/>
    <w:rsid w:val="00B81887"/>
    <w:rsid w:val="00B820DA"/>
    <w:rsid w:val="00B82E73"/>
    <w:rsid w:val="00B83761"/>
    <w:rsid w:val="00B83DD4"/>
    <w:rsid w:val="00B8648A"/>
    <w:rsid w:val="00B86739"/>
    <w:rsid w:val="00B86C7E"/>
    <w:rsid w:val="00B87072"/>
    <w:rsid w:val="00B8761D"/>
    <w:rsid w:val="00B87DB3"/>
    <w:rsid w:val="00B87EB2"/>
    <w:rsid w:val="00B902DE"/>
    <w:rsid w:val="00B915FE"/>
    <w:rsid w:val="00B9160B"/>
    <w:rsid w:val="00B91702"/>
    <w:rsid w:val="00B91822"/>
    <w:rsid w:val="00B9214D"/>
    <w:rsid w:val="00B92C2B"/>
    <w:rsid w:val="00B92C4F"/>
    <w:rsid w:val="00B92E7A"/>
    <w:rsid w:val="00B939CD"/>
    <w:rsid w:val="00B93D30"/>
    <w:rsid w:val="00B940B3"/>
    <w:rsid w:val="00B947A7"/>
    <w:rsid w:val="00B94AB0"/>
    <w:rsid w:val="00B94B43"/>
    <w:rsid w:val="00B9547E"/>
    <w:rsid w:val="00B955C7"/>
    <w:rsid w:val="00B95C0F"/>
    <w:rsid w:val="00B95C9B"/>
    <w:rsid w:val="00B9643A"/>
    <w:rsid w:val="00B9698E"/>
    <w:rsid w:val="00B96A8F"/>
    <w:rsid w:val="00B96A9C"/>
    <w:rsid w:val="00B96C2F"/>
    <w:rsid w:val="00B97AB4"/>
    <w:rsid w:val="00B97AB8"/>
    <w:rsid w:val="00B97BCA"/>
    <w:rsid w:val="00B97E9E"/>
    <w:rsid w:val="00BA0638"/>
    <w:rsid w:val="00BA0BB6"/>
    <w:rsid w:val="00BA0EE8"/>
    <w:rsid w:val="00BA100B"/>
    <w:rsid w:val="00BA1168"/>
    <w:rsid w:val="00BA14C0"/>
    <w:rsid w:val="00BA19BA"/>
    <w:rsid w:val="00BA2084"/>
    <w:rsid w:val="00BA2116"/>
    <w:rsid w:val="00BA2902"/>
    <w:rsid w:val="00BA2DBC"/>
    <w:rsid w:val="00BA3422"/>
    <w:rsid w:val="00BA3AB7"/>
    <w:rsid w:val="00BA4125"/>
    <w:rsid w:val="00BA43C5"/>
    <w:rsid w:val="00BA4EDC"/>
    <w:rsid w:val="00BA550A"/>
    <w:rsid w:val="00BA602A"/>
    <w:rsid w:val="00BA60C3"/>
    <w:rsid w:val="00BA68B6"/>
    <w:rsid w:val="00BA7BC6"/>
    <w:rsid w:val="00BB0469"/>
    <w:rsid w:val="00BB082F"/>
    <w:rsid w:val="00BB0A0B"/>
    <w:rsid w:val="00BB0CF3"/>
    <w:rsid w:val="00BB1335"/>
    <w:rsid w:val="00BB29B8"/>
    <w:rsid w:val="00BB32B4"/>
    <w:rsid w:val="00BB3403"/>
    <w:rsid w:val="00BB3B12"/>
    <w:rsid w:val="00BB43AD"/>
    <w:rsid w:val="00BB4A48"/>
    <w:rsid w:val="00BB4C29"/>
    <w:rsid w:val="00BB4D28"/>
    <w:rsid w:val="00BB5297"/>
    <w:rsid w:val="00BB5E26"/>
    <w:rsid w:val="00BB60E8"/>
    <w:rsid w:val="00BB6190"/>
    <w:rsid w:val="00BB6281"/>
    <w:rsid w:val="00BB64D4"/>
    <w:rsid w:val="00BB67C5"/>
    <w:rsid w:val="00BB6801"/>
    <w:rsid w:val="00BB6925"/>
    <w:rsid w:val="00BB70DD"/>
    <w:rsid w:val="00BB7532"/>
    <w:rsid w:val="00BC0401"/>
    <w:rsid w:val="00BC0682"/>
    <w:rsid w:val="00BC0A41"/>
    <w:rsid w:val="00BC0EF7"/>
    <w:rsid w:val="00BC0FF9"/>
    <w:rsid w:val="00BC262B"/>
    <w:rsid w:val="00BC370F"/>
    <w:rsid w:val="00BC38E9"/>
    <w:rsid w:val="00BC3AD8"/>
    <w:rsid w:val="00BC419C"/>
    <w:rsid w:val="00BC4607"/>
    <w:rsid w:val="00BC486D"/>
    <w:rsid w:val="00BC4B42"/>
    <w:rsid w:val="00BC53D6"/>
    <w:rsid w:val="00BC55F1"/>
    <w:rsid w:val="00BC5850"/>
    <w:rsid w:val="00BC59D4"/>
    <w:rsid w:val="00BC5B7C"/>
    <w:rsid w:val="00BC622F"/>
    <w:rsid w:val="00BC7438"/>
    <w:rsid w:val="00BC74F7"/>
    <w:rsid w:val="00BD0273"/>
    <w:rsid w:val="00BD1224"/>
    <w:rsid w:val="00BD12DD"/>
    <w:rsid w:val="00BD1520"/>
    <w:rsid w:val="00BD18B2"/>
    <w:rsid w:val="00BD1A93"/>
    <w:rsid w:val="00BD1F2B"/>
    <w:rsid w:val="00BD3083"/>
    <w:rsid w:val="00BD413E"/>
    <w:rsid w:val="00BD47CE"/>
    <w:rsid w:val="00BD49C4"/>
    <w:rsid w:val="00BD50C5"/>
    <w:rsid w:val="00BD57D8"/>
    <w:rsid w:val="00BD6097"/>
    <w:rsid w:val="00BD60D3"/>
    <w:rsid w:val="00BD6287"/>
    <w:rsid w:val="00BD6799"/>
    <w:rsid w:val="00BD68F2"/>
    <w:rsid w:val="00BD6B2B"/>
    <w:rsid w:val="00BD6BF8"/>
    <w:rsid w:val="00BD6EC6"/>
    <w:rsid w:val="00BD7598"/>
    <w:rsid w:val="00BD7AFC"/>
    <w:rsid w:val="00BD7BC0"/>
    <w:rsid w:val="00BE00AD"/>
    <w:rsid w:val="00BE0133"/>
    <w:rsid w:val="00BE0168"/>
    <w:rsid w:val="00BE017F"/>
    <w:rsid w:val="00BE0883"/>
    <w:rsid w:val="00BE1426"/>
    <w:rsid w:val="00BE179B"/>
    <w:rsid w:val="00BE2C26"/>
    <w:rsid w:val="00BE2DB1"/>
    <w:rsid w:val="00BE2E8F"/>
    <w:rsid w:val="00BE3121"/>
    <w:rsid w:val="00BE320D"/>
    <w:rsid w:val="00BE3D82"/>
    <w:rsid w:val="00BE44D7"/>
    <w:rsid w:val="00BE4DEB"/>
    <w:rsid w:val="00BE4F37"/>
    <w:rsid w:val="00BE564D"/>
    <w:rsid w:val="00BE56F9"/>
    <w:rsid w:val="00BE5811"/>
    <w:rsid w:val="00BE5925"/>
    <w:rsid w:val="00BE5C26"/>
    <w:rsid w:val="00BE60CD"/>
    <w:rsid w:val="00BE6123"/>
    <w:rsid w:val="00BE636E"/>
    <w:rsid w:val="00BE6CB9"/>
    <w:rsid w:val="00BE71B8"/>
    <w:rsid w:val="00BE7359"/>
    <w:rsid w:val="00BE7721"/>
    <w:rsid w:val="00BE788D"/>
    <w:rsid w:val="00BF03E5"/>
    <w:rsid w:val="00BF0C42"/>
    <w:rsid w:val="00BF0CCD"/>
    <w:rsid w:val="00BF123B"/>
    <w:rsid w:val="00BF1888"/>
    <w:rsid w:val="00BF23D2"/>
    <w:rsid w:val="00BF276C"/>
    <w:rsid w:val="00BF297A"/>
    <w:rsid w:val="00BF2B34"/>
    <w:rsid w:val="00BF32B4"/>
    <w:rsid w:val="00BF3745"/>
    <w:rsid w:val="00BF3A8C"/>
    <w:rsid w:val="00BF3CDF"/>
    <w:rsid w:val="00BF3D18"/>
    <w:rsid w:val="00BF3E0B"/>
    <w:rsid w:val="00BF3E6A"/>
    <w:rsid w:val="00BF40DC"/>
    <w:rsid w:val="00BF4B00"/>
    <w:rsid w:val="00BF4BCC"/>
    <w:rsid w:val="00BF4FE6"/>
    <w:rsid w:val="00BF5638"/>
    <w:rsid w:val="00BF57BB"/>
    <w:rsid w:val="00BF5B1E"/>
    <w:rsid w:val="00BF6502"/>
    <w:rsid w:val="00BF6C93"/>
    <w:rsid w:val="00BF6DE8"/>
    <w:rsid w:val="00BF727F"/>
    <w:rsid w:val="00C00D57"/>
    <w:rsid w:val="00C01831"/>
    <w:rsid w:val="00C01E73"/>
    <w:rsid w:val="00C0202B"/>
    <w:rsid w:val="00C0246E"/>
    <w:rsid w:val="00C026C5"/>
    <w:rsid w:val="00C02B90"/>
    <w:rsid w:val="00C02F67"/>
    <w:rsid w:val="00C03822"/>
    <w:rsid w:val="00C0384A"/>
    <w:rsid w:val="00C04346"/>
    <w:rsid w:val="00C04633"/>
    <w:rsid w:val="00C04BC1"/>
    <w:rsid w:val="00C04E18"/>
    <w:rsid w:val="00C05219"/>
    <w:rsid w:val="00C05487"/>
    <w:rsid w:val="00C0566A"/>
    <w:rsid w:val="00C06038"/>
    <w:rsid w:val="00C07540"/>
    <w:rsid w:val="00C07DC2"/>
    <w:rsid w:val="00C07ECA"/>
    <w:rsid w:val="00C1043B"/>
    <w:rsid w:val="00C1050E"/>
    <w:rsid w:val="00C107F8"/>
    <w:rsid w:val="00C11B9D"/>
    <w:rsid w:val="00C121FB"/>
    <w:rsid w:val="00C1249D"/>
    <w:rsid w:val="00C12523"/>
    <w:rsid w:val="00C12BBD"/>
    <w:rsid w:val="00C14028"/>
    <w:rsid w:val="00C147CF"/>
    <w:rsid w:val="00C14920"/>
    <w:rsid w:val="00C14A13"/>
    <w:rsid w:val="00C14F26"/>
    <w:rsid w:val="00C15188"/>
    <w:rsid w:val="00C15318"/>
    <w:rsid w:val="00C15474"/>
    <w:rsid w:val="00C154C1"/>
    <w:rsid w:val="00C15794"/>
    <w:rsid w:val="00C15893"/>
    <w:rsid w:val="00C15A99"/>
    <w:rsid w:val="00C15B0F"/>
    <w:rsid w:val="00C16029"/>
    <w:rsid w:val="00C16140"/>
    <w:rsid w:val="00C161ED"/>
    <w:rsid w:val="00C167FF"/>
    <w:rsid w:val="00C16AFC"/>
    <w:rsid w:val="00C17526"/>
    <w:rsid w:val="00C17EAD"/>
    <w:rsid w:val="00C200C4"/>
    <w:rsid w:val="00C20150"/>
    <w:rsid w:val="00C20477"/>
    <w:rsid w:val="00C20701"/>
    <w:rsid w:val="00C20991"/>
    <w:rsid w:val="00C20BA4"/>
    <w:rsid w:val="00C20E0C"/>
    <w:rsid w:val="00C20E3D"/>
    <w:rsid w:val="00C20EFB"/>
    <w:rsid w:val="00C21259"/>
    <w:rsid w:val="00C2172A"/>
    <w:rsid w:val="00C21FC9"/>
    <w:rsid w:val="00C21FE9"/>
    <w:rsid w:val="00C2265B"/>
    <w:rsid w:val="00C2313F"/>
    <w:rsid w:val="00C237B9"/>
    <w:rsid w:val="00C23EC4"/>
    <w:rsid w:val="00C23FA7"/>
    <w:rsid w:val="00C24144"/>
    <w:rsid w:val="00C24A77"/>
    <w:rsid w:val="00C25160"/>
    <w:rsid w:val="00C27309"/>
    <w:rsid w:val="00C307D6"/>
    <w:rsid w:val="00C30824"/>
    <w:rsid w:val="00C30FE9"/>
    <w:rsid w:val="00C31AA3"/>
    <w:rsid w:val="00C320BB"/>
    <w:rsid w:val="00C32229"/>
    <w:rsid w:val="00C328BF"/>
    <w:rsid w:val="00C32EEC"/>
    <w:rsid w:val="00C335A4"/>
    <w:rsid w:val="00C33830"/>
    <w:rsid w:val="00C33CC4"/>
    <w:rsid w:val="00C33E1C"/>
    <w:rsid w:val="00C33EA8"/>
    <w:rsid w:val="00C347C1"/>
    <w:rsid w:val="00C34838"/>
    <w:rsid w:val="00C34839"/>
    <w:rsid w:val="00C34D17"/>
    <w:rsid w:val="00C3535F"/>
    <w:rsid w:val="00C355F3"/>
    <w:rsid w:val="00C358D2"/>
    <w:rsid w:val="00C36096"/>
    <w:rsid w:val="00C361B8"/>
    <w:rsid w:val="00C36456"/>
    <w:rsid w:val="00C369A9"/>
    <w:rsid w:val="00C36BE7"/>
    <w:rsid w:val="00C372C5"/>
    <w:rsid w:val="00C37C60"/>
    <w:rsid w:val="00C37D12"/>
    <w:rsid w:val="00C401ED"/>
    <w:rsid w:val="00C40270"/>
    <w:rsid w:val="00C404F5"/>
    <w:rsid w:val="00C40BEF"/>
    <w:rsid w:val="00C41CB2"/>
    <w:rsid w:val="00C42945"/>
    <w:rsid w:val="00C42A6A"/>
    <w:rsid w:val="00C43484"/>
    <w:rsid w:val="00C44127"/>
    <w:rsid w:val="00C44375"/>
    <w:rsid w:val="00C44671"/>
    <w:rsid w:val="00C45193"/>
    <w:rsid w:val="00C45A82"/>
    <w:rsid w:val="00C45D21"/>
    <w:rsid w:val="00C46434"/>
    <w:rsid w:val="00C46692"/>
    <w:rsid w:val="00C46907"/>
    <w:rsid w:val="00C46E41"/>
    <w:rsid w:val="00C474D3"/>
    <w:rsid w:val="00C479FE"/>
    <w:rsid w:val="00C505BB"/>
    <w:rsid w:val="00C50A90"/>
    <w:rsid w:val="00C51714"/>
    <w:rsid w:val="00C51BAD"/>
    <w:rsid w:val="00C5212B"/>
    <w:rsid w:val="00C52362"/>
    <w:rsid w:val="00C52487"/>
    <w:rsid w:val="00C52BD4"/>
    <w:rsid w:val="00C52F0F"/>
    <w:rsid w:val="00C533FD"/>
    <w:rsid w:val="00C53718"/>
    <w:rsid w:val="00C53AB1"/>
    <w:rsid w:val="00C53D08"/>
    <w:rsid w:val="00C53F17"/>
    <w:rsid w:val="00C54048"/>
    <w:rsid w:val="00C5405F"/>
    <w:rsid w:val="00C54949"/>
    <w:rsid w:val="00C55401"/>
    <w:rsid w:val="00C55569"/>
    <w:rsid w:val="00C557CE"/>
    <w:rsid w:val="00C55F50"/>
    <w:rsid w:val="00C56E83"/>
    <w:rsid w:val="00C56F49"/>
    <w:rsid w:val="00C572C4"/>
    <w:rsid w:val="00C573A4"/>
    <w:rsid w:val="00C574CB"/>
    <w:rsid w:val="00C579A1"/>
    <w:rsid w:val="00C57F85"/>
    <w:rsid w:val="00C60AE0"/>
    <w:rsid w:val="00C619BF"/>
    <w:rsid w:val="00C61A81"/>
    <w:rsid w:val="00C625B5"/>
    <w:rsid w:val="00C62A22"/>
    <w:rsid w:val="00C632EB"/>
    <w:rsid w:val="00C635A7"/>
    <w:rsid w:val="00C63CC1"/>
    <w:rsid w:val="00C63CFC"/>
    <w:rsid w:val="00C64429"/>
    <w:rsid w:val="00C64AE5"/>
    <w:rsid w:val="00C64CF2"/>
    <w:rsid w:val="00C65025"/>
    <w:rsid w:val="00C6549F"/>
    <w:rsid w:val="00C6576C"/>
    <w:rsid w:val="00C66285"/>
    <w:rsid w:val="00C66338"/>
    <w:rsid w:val="00C66397"/>
    <w:rsid w:val="00C66BB3"/>
    <w:rsid w:val="00C66F00"/>
    <w:rsid w:val="00C670CE"/>
    <w:rsid w:val="00C70A86"/>
    <w:rsid w:val="00C71082"/>
    <w:rsid w:val="00C7118C"/>
    <w:rsid w:val="00C714B1"/>
    <w:rsid w:val="00C715BD"/>
    <w:rsid w:val="00C71D16"/>
    <w:rsid w:val="00C7316C"/>
    <w:rsid w:val="00C738FE"/>
    <w:rsid w:val="00C74674"/>
    <w:rsid w:val="00C74CA6"/>
    <w:rsid w:val="00C74DD9"/>
    <w:rsid w:val="00C755D7"/>
    <w:rsid w:val="00C758A6"/>
    <w:rsid w:val="00C75A1B"/>
    <w:rsid w:val="00C75C15"/>
    <w:rsid w:val="00C76442"/>
    <w:rsid w:val="00C76530"/>
    <w:rsid w:val="00C76E55"/>
    <w:rsid w:val="00C7702D"/>
    <w:rsid w:val="00C775E4"/>
    <w:rsid w:val="00C77ED8"/>
    <w:rsid w:val="00C80D3B"/>
    <w:rsid w:val="00C80D69"/>
    <w:rsid w:val="00C8176C"/>
    <w:rsid w:val="00C81C27"/>
    <w:rsid w:val="00C8223F"/>
    <w:rsid w:val="00C826EC"/>
    <w:rsid w:val="00C83904"/>
    <w:rsid w:val="00C8449C"/>
    <w:rsid w:val="00C845B8"/>
    <w:rsid w:val="00C84D46"/>
    <w:rsid w:val="00C85583"/>
    <w:rsid w:val="00C860EA"/>
    <w:rsid w:val="00C869BA"/>
    <w:rsid w:val="00C86B9A"/>
    <w:rsid w:val="00C872CF"/>
    <w:rsid w:val="00C87FC0"/>
    <w:rsid w:val="00C900BC"/>
    <w:rsid w:val="00C903A8"/>
    <w:rsid w:val="00C903B8"/>
    <w:rsid w:val="00C905A4"/>
    <w:rsid w:val="00C91494"/>
    <w:rsid w:val="00C919DF"/>
    <w:rsid w:val="00C91E82"/>
    <w:rsid w:val="00C91EB5"/>
    <w:rsid w:val="00C929DB"/>
    <w:rsid w:val="00C9334F"/>
    <w:rsid w:val="00C937D6"/>
    <w:rsid w:val="00C93E15"/>
    <w:rsid w:val="00C950CB"/>
    <w:rsid w:val="00C96607"/>
    <w:rsid w:val="00C9692A"/>
    <w:rsid w:val="00C96A50"/>
    <w:rsid w:val="00C96EE4"/>
    <w:rsid w:val="00C977AE"/>
    <w:rsid w:val="00C97D31"/>
    <w:rsid w:val="00CA0076"/>
    <w:rsid w:val="00CA00B2"/>
    <w:rsid w:val="00CA07CD"/>
    <w:rsid w:val="00CA0A53"/>
    <w:rsid w:val="00CA0FE6"/>
    <w:rsid w:val="00CA10E2"/>
    <w:rsid w:val="00CA1544"/>
    <w:rsid w:val="00CA17B9"/>
    <w:rsid w:val="00CA1EC0"/>
    <w:rsid w:val="00CA2524"/>
    <w:rsid w:val="00CA26D9"/>
    <w:rsid w:val="00CA2DB7"/>
    <w:rsid w:val="00CA3061"/>
    <w:rsid w:val="00CA343D"/>
    <w:rsid w:val="00CA3B50"/>
    <w:rsid w:val="00CA4A98"/>
    <w:rsid w:val="00CA4B33"/>
    <w:rsid w:val="00CA4E98"/>
    <w:rsid w:val="00CA50CE"/>
    <w:rsid w:val="00CA5A8B"/>
    <w:rsid w:val="00CA5B06"/>
    <w:rsid w:val="00CA5C93"/>
    <w:rsid w:val="00CA6706"/>
    <w:rsid w:val="00CA6A33"/>
    <w:rsid w:val="00CA6C35"/>
    <w:rsid w:val="00CA7042"/>
    <w:rsid w:val="00CA7078"/>
    <w:rsid w:val="00CA713C"/>
    <w:rsid w:val="00CA7929"/>
    <w:rsid w:val="00CA7A44"/>
    <w:rsid w:val="00CB03BB"/>
    <w:rsid w:val="00CB0A19"/>
    <w:rsid w:val="00CB1233"/>
    <w:rsid w:val="00CB1262"/>
    <w:rsid w:val="00CB1680"/>
    <w:rsid w:val="00CB2478"/>
    <w:rsid w:val="00CB2A99"/>
    <w:rsid w:val="00CB2C33"/>
    <w:rsid w:val="00CB2D0E"/>
    <w:rsid w:val="00CB31D5"/>
    <w:rsid w:val="00CB3443"/>
    <w:rsid w:val="00CB3BF0"/>
    <w:rsid w:val="00CB42E7"/>
    <w:rsid w:val="00CB4B44"/>
    <w:rsid w:val="00CB5404"/>
    <w:rsid w:val="00CB5A64"/>
    <w:rsid w:val="00CB66CD"/>
    <w:rsid w:val="00CB746D"/>
    <w:rsid w:val="00CB74D7"/>
    <w:rsid w:val="00CB7A86"/>
    <w:rsid w:val="00CC1130"/>
    <w:rsid w:val="00CC17F7"/>
    <w:rsid w:val="00CC183E"/>
    <w:rsid w:val="00CC18D5"/>
    <w:rsid w:val="00CC269D"/>
    <w:rsid w:val="00CC2C07"/>
    <w:rsid w:val="00CC32DA"/>
    <w:rsid w:val="00CC369E"/>
    <w:rsid w:val="00CC39E6"/>
    <w:rsid w:val="00CC4830"/>
    <w:rsid w:val="00CC50BE"/>
    <w:rsid w:val="00CC5F7A"/>
    <w:rsid w:val="00CC6097"/>
    <w:rsid w:val="00CC6219"/>
    <w:rsid w:val="00CC6B5C"/>
    <w:rsid w:val="00CC7871"/>
    <w:rsid w:val="00CC7B8F"/>
    <w:rsid w:val="00CC7CB5"/>
    <w:rsid w:val="00CC7D80"/>
    <w:rsid w:val="00CD1EE0"/>
    <w:rsid w:val="00CD2422"/>
    <w:rsid w:val="00CD362D"/>
    <w:rsid w:val="00CD3934"/>
    <w:rsid w:val="00CD3E97"/>
    <w:rsid w:val="00CD4DD4"/>
    <w:rsid w:val="00CD4E9A"/>
    <w:rsid w:val="00CD5058"/>
    <w:rsid w:val="00CD519B"/>
    <w:rsid w:val="00CD57B1"/>
    <w:rsid w:val="00CD5AB6"/>
    <w:rsid w:val="00CD5F57"/>
    <w:rsid w:val="00CD605D"/>
    <w:rsid w:val="00CD6AF8"/>
    <w:rsid w:val="00CD79EE"/>
    <w:rsid w:val="00CD7AE0"/>
    <w:rsid w:val="00CE0F0F"/>
    <w:rsid w:val="00CE14D7"/>
    <w:rsid w:val="00CE14EA"/>
    <w:rsid w:val="00CE1D47"/>
    <w:rsid w:val="00CE2F7D"/>
    <w:rsid w:val="00CE31BA"/>
    <w:rsid w:val="00CE38CD"/>
    <w:rsid w:val="00CE3AB3"/>
    <w:rsid w:val="00CE4163"/>
    <w:rsid w:val="00CE474A"/>
    <w:rsid w:val="00CE4AB3"/>
    <w:rsid w:val="00CE4D2E"/>
    <w:rsid w:val="00CE543B"/>
    <w:rsid w:val="00CE5A50"/>
    <w:rsid w:val="00CE622B"/>
    <w:rsid w:val="00CE6363"/>
    <w:rsid w:val="00CE63FA"/>
    <w:rsid w:val="00CE6498"/>
    <w:rsid w:val="00CE656F"/>
    <w:rsid w:val="00CF0122"/>
    <w:rsid w:val="00CF02F8"/>
    <w:rsid w:val="00CF107E"/>
    <w:rsid w:val="00CF1F5C"/>
    <w:rsid w:val="00CF2355"/>
    <w:rsid w:val="00CF294A"/>
    <w:rsid w:val="00CF29B7"/>
    <w:rsid w:val="00CF2EA8"/>
    <w:rsid w:val="00CF3170"/>
    <w:rsid w:val="00CF32F8"/>
    <w:rsid w:val="00CF37FF"/>
    <w:rsid w:val="00CF3840"/>
    <w:rsid w:val="00CF39E6"/>
    <w:rsid w:val="00CF3A58"/>
    <w:rsid w:val="00CF4340"/>
    <w:rsid w:val="00CF59EE"/>
    <w:rsid w:val="00CF5D2E"/>
    <w:rsid w:val="00CF5F57"/>
    <w:rsid w:val="00CF619E"/>
    <w:rsid w:val="00CF6420"/>
    <w:rsid w:val="00CF6CC4"/>
    <w:rsid w:val="00CF6D84"/>
    <w:rsid w:val="00CF6E82"/>
    <w:rsid w:val="00CF719E"/>
    <w:rsid w:val="00CF7892"/>
    <w:rsid w:val="00CF7EAC"/>
    <w:rsid w:val="00CF7F82"/>
    <w:rsid w:val="00D000E7"/>
    <w:rsid w:val="00D001C9"/>
    <w:rsid w:val="00D0082A"/>
    <w:rsid w:val="00D009B3"/>
    <w:rsid w:val="00D00B30"/>
    <w:rsid w:val="00D00C6A"/>
    <w:rsid w:val="00D01131"/>
    <w:rsid w:val="00D0146F"/>
    <w:rsid w:val="00D014A6"/>
    <w:rsid w:val="00D01B34"/>
    <w:rsid w:val="00D01FC8"/>
    <w:rsid w:val="00D021F9"/>
    <w:rsid w:val="00D025EF"/>
    <w:rsid w:val="00D0270C"/>
    <w:rsid w:val="00D02731"/>
    <w:rsid w:val="00D035B0"/>
    <w:rsid w:val="00D03846"/>
    <w:rsid w:val="00D038ED"/>
    <w:rsid w:val="00D03E62"/>
    <w:rsid w:val="00D040EE"/>
    <w:rsid w:val="00D0513F"/>
    <w:rsid w:val="00D054BF"/>
    <w:rsid w:val="00D05596"/>
    <w:rsid w:val="00D05D5F"/>
    <w:rsid w:val="00D05F47"/>
    <w:rsid w:val="00D06225"/>
    <w:rsid w:val="00D0631A"/>
    <w:rsid w:val="00D06937"/>
    <w:rsid w:val="00D069AB"/>
    <w:rsid w:val="00D06E94"/>
    <w:rsid w:val="00D0784A"/>
    <w:rsid w:val="00D07EDA"/>
    <w:rsid w:val="00D10043"/>
    <w:rsid w:val="00D10607"/>
    <w:rsid w:val="00D10889"/>
    <w:rsid w:val="00D11D00"/>
    <w:rsid w:val="00D11F13"/>
    <w:rsid w:val="00D12144"/>
    <w:rsid w:val="00D127C6"/>
    <w:rsid w:val="00D12A10"/>
    <w:rsid w:val="00D12C4C"/>
    <w:rsid w:val="00D12C65"/>
    <w:rsid w:val="00D13111"/>
    <w:rsid w:val="00D13258"/>
    <w:rsid w:val="00D134EF"/>
    <w:rsid w:val="00D13920"/>
    <w:rsid w:val="00D141AC"/>
    <w:rsid w:val="00D143A5"/>
    <w:rsid w:val="00D147B8"/>
    <w:rsid w:val="00D14F5E"/>
    <w:rsid w:val="00D15A9C"/>
    <w:rsid w:val="00D15BB8"/>
    <w:rsid w:val="00D166C2"/>
    <w:rsid w:val="00D168FA"/>
    <w:rsid w:val="00D173C8"/>
    <w:rsid w:val="00D20310"/>
    <w:rsid w:val="00D20A96"/>
    <w:rsid w:val="00D20B1D"/>
    <w:rsid w:val="00D20E5B"/>
    <w:rsid w:val="00D216D0"/>
    <w:rsid w:val="00D21888"/>
    <w:rsid w:val="00D21F19"/>
    <w:rsid w:val="00D2264A"/>
    <w:rsid w:val="00D22891"/>
    <w:rsid w:val="00D22BC4"/>
    <w:rsid w:val="00D232F4"/>
    <w:rsid w:val="00D23883"/>
    <w:rsid w:val="00D23B50"/>
    <w:rsid w:val="00D23D4E"/>
    <w:rsid w:val="00D24B6E"/>
    <w:rsid w:val="00D25424"/>
    <w:rsid w:val="00D25D16"/>
    <w:rsid w:val="00D26035"/>
    <w:rsid w:val="00D2614B"/>
    <w:rsid w:val="00D26BE0"/>
    <w:rsid w:val="00D271DE"/>
    <w:rsid w:val="00D27D5E"/>
    <w:rsid w:val="00D30307"/>
    <w:rsid w:val="00D3074E"/>
    <w:rsid w:val="00D30A10"/>
    <w:rsid w:val="00D30D28"/>
    <w:rsid w:val="00D30D4F"/>
    <w:rsid w:val="00D30E22"/>
    <w:rsid w:val="00D32C20"/>
    <w:rsid w:val="00D336F1"/>
    <w:rsid w:val="00D33A67"/>
    <w:rsid w:val="00D33AB2"/>
    <w:rsid w:val="00D3471F"/>
    <w:rsid w:val="00D34EB0"/>
    <w:rsid w:val="00D35121"/>
    <w:rsid w:val="00D3553C"/>
    <w:rsid w:val="00D36048"/>
    <w:rsid w:val="00D36066"/>
    <w:rsid w:val="00D36BA6"/>
    <w:rsid w:val="00D36DCB"/>
    <w:rsid w:val="00D36F6C"/>
    <w:rsid w:val="00D36FEA"/>
    <w:rsid w:val="00D375DC"/>
    <w:rsid w:val="00D379CD"/>
    <w:rsid w:val="00D37A4D"/>
    <w:rsid w:val="00D37BA4"/>
    <w:rsid w:val="00D37ED1"/>
    <w:rsid w:val="00D40711"/>
    <w:rsid w:val="00D40821"/>
    <w:rsid w:val="00D4095D"/>
    <w:rsid w:val="00D40AD8"/>
    <w:rsid w:val="00D40BAE"/>
    <w:rsid w:val="00D40D85"/>
    <w:rsid w:val="00D42416"/>
    <w:rsid w:val="00D4267D"/>
    <w:rsid w:val="00D42C47"/>
    <w:rsid w:val="00D42CD1"/>
    <w:rsid w:val="00D431F1"/>
    <w:rsid w:val="00D4347B"/>
    <w:rsid w:val="00D43556"/>
    <w:rsid w:val="00D43E4E"/>
    <w:rsid w:val="00D43F23"/>
    <w:rsid w:val="00D440AF"/>
    <w:rsid w:val="00D44168"/>
    <w:rsid w:val="00D44B01"/>
    <w:rsid w:val="00D44C20"/>
    <w:rsid w:val="00D44F0D"/>
    <w:rsid w:val="00D45238"/>
    <w:rsid w:val="00D45612"/>
    <w:rsid w:val="00D4565E"/>
    <w:rsid w:val="00D45C0F"/>
    <w:rsid w:val="00D45C54"/>
    <w:rsid w:val="00D45EFD"/>
    <w:rsid w:val="00D46086"/>
    <w:rsid w:val="00D461BF"/>
    <w:rsid w:val="00D47099"/>
    <w:rsid w:val="00D5058E"/>
    <w:rsid w:val="00D50D70"/>
    <w:rsid w:val="00D50D74"/>
    <w:rsid w:val="00D51691"/>
    <w:rsid w:val="00D517FB"/>
    <w:rsid w:val="00D51975"/>
    <w:rsid w:val="00D51E4A"/>
    <w:rsid w:val="00D528B1"/>
    <w:rsid w:val="00D5297C"/>
    <w:rsid w:val="00D53722"/>
    <w:rsid w:val="00D53915"/>
    <w:rsid w:val="00D53E79"/>
    <w:rsid w:val="00D55487"/>
    <w:rsid w:val="00D55505"/>
    <w:rsid w:val="00D558AA"/>
    <w:rsid w:val="00D55A49"/>
    <w:rsid w:val="00D55D08"/>
    <w:rsid w:val="00D55EAE"/>
    <w:rsid w:val="00D56333"/>
    <w:rsid w:val="00D56DEB"/>
    <w:rsid w:val="00D57D42"/>
    <w:rsid w:val="00D57DF9"/>
    <w:rsid w:val="00D6000F"/>
    <w:rsid w:val="00D6046D"/>
    <w:rsid w:val="00D607B5"/>
    <w:rsid w:val="00D6137E"/>
    <w:rsid w:val="00D61946"/>
    <w:rsid w:val="00D6226F"/>
    <w:rsid w:val="00D6358C"/>
    <w:rsid w:val="00D63A40"/>
    <w:rsid w:val="00D640D5"/>
    <w:rsid w:val="00D6483E"/>
    <w:rsid w:val="00D65249"/>
    <w:rsid w:val="00D6536F"/>
    <w:rsid w:val="00D65BE5"/>
    <w:rsid w:val="00D66026"/>
    <w:rsid w:val="00D661EB"/>
    <w:rsid w:val="00D66452"/>
    <w:rsid w:val="00D6694F"/>
    <w:rsid w:val="00D672D3"/>
    <w:rsid w:val="00D679C1"/>
    <w:rsid w:val="00D67D0D"/>
    <w:rsid w:val="00D67F82"/>
    <w:rsid w:val="00D7053D"/>
    <w:rsid w:val="00D707D6"/>
    <w:rsid w:val="00D709AD"/>
    <w:rsid w:val="00D70E86"/>
    <w:rsid w:val="00D70FA5"/>
    <w:rsid w:val="00D71058"/>
    <w:rsid w:val="00D7191D"/>
    <w:rsid w:val="00D71BB1"/>
    <w:rsid w:val="00D71F27"/>
    <w:rsid w:val="00D72A9F"/>
    <w:rsid w:val="00D73DC4"/>
    <w:rsid w:val="00D74326"/>
    <w:rsid w:val="00D7523F"/>
    <w:rsid w:val="00D7524E"/>
    <w:rsid w:val="00D7557E"/>
    <w:rsid w:val="00D759CE"/>
    <w:rsid w:val="00D759E6"/>
    <w:rsid w:val="00D75D7F"/>
    <w:rsid w:val="00D7618D"/>
    <w:rsid w:val="00D764FF"/>
    <w:rsid w:val="00D769ED"/>
    <w:rsid w:val="00D76D8E"/>
    <w:rsid w:val="00D76E35"/>
    <w:rsid w:val="00D7720D"/>
    <w:rsid w:val="00D77F6F"/>
    <w:rsid w:val="00D81458"/>
    <w:rsid w:val="00D81F13"/>
    <w:rsid w:val="00D81F53"/>
    <w:rsid w:val="00D822FC"/>
    <w:rsid w:val="00D82601"/>
    <w:rsid w:val="00D82893"/>
    <w:rsid w:val="00D82BA7"/>
    <w:rsid w:val="00D83966"/>
    <w:rsid w:val="00D83FE5"/>
    <w:rsid w:val="00D842F0"/>
    <w:rsid w:val="00D84553"/>
    <w:rsid w:val="00D84C82"/>
    <w:rsid w:val="00D856F7"/>
    <w:rsid w:val="00D85D60"/>
    <w:rsid w:val="00D867BD"/>
    <w:rsid w:val="00D86BF6"/>
    <w:rsid w:val="00D87687"/>
    <w:rsid w:val="00D87BCD"/>
    <w:rsid w:val="00D87C81"/>
    <w:rsid w:val="00D87E6F"/>
    <w:rsid w:val="00D902A8"/>
    <w:rsid w:val="00D902B9"/>
    <w:rsid w:val="00D91156"/>
    <w:rsid w:val="00D918C8"/>
    <w:rsid w:val="00D91EDB"/>
    <w:rsid w:val="00D922C8"/>
    <w:rsid w:val="00D92647"/>
    <w:rsid w:val="00D92780"/>
    <w:rsid w:val="00D932BD"/>
    <w:rsid w:val="00D93B11"/>
    <w:rsid w:val="00D949A4"/>
    <w:rsid w:val="00D94BA6"/>
    <w:rsid w:val="00D95973"/>
    <w:rsid w:val="00D962B2"/>
    <w:rsid w:val="00D96957"/>
    <w:rsid w:val="00D9713D"/>
    <w:rsid w:val="00D9792B"/>
    <w:rsid w:val="00D979DA"/>
    <w:rsid w:val="00DA0F13"/>
    <w:rsid w:val="00DA15CA"/>
    <w:rsid w:val="00DA1DFC"/>
    <w:rsid w:val="00DA1E21"/>
    <w:rsid w:val="00DA20FE"/>
    <w:rsid w:val="00DA250A"/>
    <w:rsid w:val="00DA282E"/>
    <w:rsid w:val="00DA2A2B"/>
    <w:rsid w:val="00DA2B44"/>
    <w:rsid w:val="00DA2F77"/>
    <w:rsid w:val="00DA329E"/>
    <w:rsid w:val="00DA3B6B"/>
    <w:rsid w:val="00DA565B"/>
    <w:rsid w:val="00DA5DEA"/>
    <w:rsid w:val="00DA5F78"/>
    <w:rsid w:val="00DA660D"/>
    <w:rsid w:val="00DA6BD4"/>
    <w:rsid w:val="00DA7799"/>
    <w:rsid w:val="00DA7E81"/>
    <w:rsid w:val="00DB0664"/>
    <w:rsid w:val="00DB0C44"/>
    <w:rsid w:val="00DB0CB5"/>
    <w:rsid w:val="00DB18AB"/>
    <w:rsid w:val="00DB1EBF"/>
    <w:rsid w:val="00DB296A"/>
    <w:rsid w:val="00DB372A"/>
    <w:rsid w:val="00DB3BE4"/>
    <w:rsid w:val="00DB3E04"/>
    <w:rsid w:val="00DB46F7"/>
    <w:rsid w:val="00DB49A7"/>
    <w:rsid w:val="00DB4C3E"/>
    <w:rsid w:val="00DB5016"/>
    <w:rsid w:val="00DB50A3"/>
    <w:rsid w:val="00DB50D1"/>
    <w:rsid w:val="00DB5CD1"/>
    <w:rsid w:val="00DB603E"/>
    <w:rsid w:val="00DB7197"/>
    <w:rsid w:val="00DB722B"/>
    <w:rsid w:val="00DB7345"/>
    <w:rsid w:val="00DB7BCB"/>
    <w:rsid w:val="00DC0124"/>
    <w:rsid w:val="00DC06D1"/>
    <w:rsid w:val="00DC127B"/>
    <w:rsid w:val="00DC246D"/>
    <w:rsid w:val="00DC2531"/>
    <w:rsid w:val="00DC2B35"/>
    <w:rsid w:val="00DC2B9D"/>
    <w:rsid w:val="00DC3F39"/>
    <w:rsid w:val="00DC41B8"/>
    <w:rsid w:val="00DC5A5B"/>
    <w:rsid w:val="00DC7336"/>
    <w:rsid w:val="00DC79CC"/>
    <w:rsid w:val="00DC7FAA"/>
    <w:rsid w:val="00DD016E"/>
    <w:rsid w:val="00DD0258"/>
    <w:rsid w:val="00DD068F"/>
    <w:rsid w:val="00DD070C"/>
    <w:rsid w:val="00DD0C39"/>
    <w:rsid w:val="00DD0F0F"/>
    <w:rsid w:val="00DD1784"/>
    <w:rsid w:val="00DD19B5"/>
    <w:rsid w:val="00DD20A1"/>
    <w:rsid w:val="00DD2780"/>
    <w:rsid w:val="00DD3161"/>
    <w:rsid w:val="00DD3783"/>
    <w:rsid w:val="00DD3850"/>
    <w:rsid w:val="00DD3F56"/>
    <w:rsid w:val="00DD406F"/>
    <w:rsid w:val="00DD490C"/>
    <w:rsid w:val="00DD4A78"/>
    <w:rsid w:val="00DD4B00"/>
    <w:rsid w:val="00DD4D34"/>
    <w:rsid w:val="00DD5443"/>
    <w:rsid w:val="00DD5724"/>
    <w:rsid w:val="00DD5EE6"/>
    <w:rsid w:val="00DD6005"/>
    <w:rsid w:val="00DD636E"/>
    <w:rsid w:val="00DD6D00"/>
    <w:rsid w:val="00DD7011"/>
    <w:rsid w:val="00DE07B1"/>
    <w:rsid w:val="00DE08B5"/>
    <w:rsid w:val="00DE08F1"/>
    <w:rsid w:val="00DE12CF"/>
    <w:rsid w:val="00DE205B"/>
    <w:rsid w:val="00DE222D"/>
    <w:rsid w:val="00DE291E"/>
    <w:rsid w:val="00DE2A1C"/>
    <w:rsid w:val="00DE2D56"/>
    <w:rsid w:val="00DE317B"/>
    <w:rsid w:val="00DE4105"/>
    <w:rsid w:val="00DE4123"/>
    <w:rsid w:val="00DE4785"/>
    <w:rsid w:val="00DE496E"/>
    <w:rsid w:val="00DE505F"/>
    <w:rsid w:val="00DE55CD"/>
    <w:rsid w:val="00DE5D26"/>
    <w:rsid w:val="00DE604E"/>
    <w:rsid w:val="00DE625A"/>
    <w:rsid w:val="00DE6419"/>
    <w:rsid w:val="00DE6864"/>
    <w:rsid w:val="00DE7430"/>
    <w:rsid w:val="00DE74B9"/>
    <w:rsid w:val="00DE7C10"/>
    <w:rsid w:val="00DF0984"/>
    <w:rsid w:val="00DF145E"/>
    <w:rsid w:val="00DF1D26"/>
    <w:rsid w:val="00DF229A"/>
    <w:rsid w:val="00DF352E"/>
    <w:rsid w:val="00DF3DC7"/>
    <w:rsid w:val="00DF44A6"/>
    <w:rsid w:val="00DF4548"/>
    <w:rsid w:val="00DF55EA"/>
    <w:rsid w:val="00DF561D"/>
    <w:rsid w:val="00DF5B1D"/>
    <w:rsid w:val="00DF78D3"/>
    <w:rsid w:val="00DF7CA2"/>
    <w:rsid w:val="00E00222"/>
    <w:rsid w:val="00E00704"/>
    <w:rsid w:val="00E00875"/>
    <w:rsid w:val="00E0118B"/>
    <w:rsid w:val="00E0184B"/>
    <w:rsid w:val="00E02664"/>
    <w:rsid w:val="00E02A11"/>
    <w:rsid w:val="00E03011"/>
    <w:rsid w:val="00E037C3"/>
    <w:rsid w:val="00E037CF"/>
    <w:rsid w:val="00E042F8"/>
    <w:rsid w:val="00E04434"/>
    <w:rsid w:val="00E0525F"/>
    <w:rsid w:val="00E0559A"/>
    <w:rsid w:val="00E05A36"/>
    <w:rsid w:val="00E05BAE"/>
    <w:rsid w:val="00E06387"/>
    <w:rsid w:val="00E0661C"/>
    <w:rsid w:val="00E0674B"/>
    <w:rsid w:val="00E0675C"/>
    <w:rsid w:val="00E07475"/>
    <w:rsid w:val="00E078D3"/>
    <w:rsid w:val="00E10163"/>
    <w:rsid w:val="00E10403"/>
    <w:rsid w:val="00E109C6"/>
    <w:rsid w:val="00E1159C"/>
    <w:rsid w:val="00E11B6B"/>
    <w:rsid w:val="00E11DA0"/>
    <w:rsid w:val="00E11FC3"/>
    <w:rsid w:val="00E1202B"/>
    <w:rsid w:val="00E12241"/>
    <w:rsid w:val="00E13212"/>
    <w:rsid w:val="00E13235"/>
    <w:rsid w:val="00E13620"/>
    <w:rsid w:val="00E141F6"/>
    <w:rsid w:val="00E14480"/>
    <w:rsid w:val="00E14C61"/>
    <w:rsid w:val="00E14DFF"/>
    <w:rsid w:val="00E16F57"/>
    <w:rsid w:val="00E1723F"/>
    <w:rsid w:val="00E178DE"/>
    <w:rsid w:val="00E20413"/>
    <w:rsid w:val="00E206D0"/>
    <w:rsid w:val="00E2072D"/>
    <w:rsid w:val="00E20B1F"/>
    <w:rsid w:val="00E21B8F"/>
    <w:rsid w:val="00E21FDA"/>
    <w:rsid w:val="00E2272B"/>
    <w:rsid w:val="00E22977"/>
    <w:rsid w:val="00E2317B"/>
    <w:rsid w:val="00E23D52"/>
    <w:rsid w:val="00E23E53"/>
    <w:rsid w:val="00E23E77"/>
    <w:rsid w:val="00E246D4"/>
    <w:rsid w:val="00E247FD"/>
    <w:rsid w:val="00E24CDF"/>
    <w:rsid w:val="00E24DC9"/>
    <w:rsid w:val="00E25243"/>
    <w:rsid w:val="00E25433"/>
    <w:rsid w:val="00E26028"/>
    <w:rsid w:val="00E263C0"/>
    <w:rsid w:val="00E2698D"/>
    <w:rsid w:val="00E2705B"/>
    <w:rsid w:val="00E272AC"/>
    <w:rsid w:val="00E277F5"/>
    <w:rsid w:val="00E27901"/>
    <w:rsid w:val="00E30039"/>
    <w:rsid w:val="00E30419"/>
    <w:rsid w:val="00E310A4"/>
    <w:rsid w:val="00E31544"/>
    <w:rsid w:val="00E315A5"/>
    <w:rsid w:val="00E31FB9"/>
    <w:rsid w:val="00E32358"/>
    <w:rsid w:val="00E323E1"/>
    <w:rsid w:val="00E328B8"/>
    <w:rsid w:val="00E32915"/>
    <w:rsid w:val="00E3293C"/>
    <w:rsid w:val="00E32A1C"/>
    <w:rsid w:val="00E32B28"/>
    <w:rsid w:val="00E3351F"/>
    <w:rsid w:val="00E3364A"/>
    <w:rsid w:val="00E33834"/>
    <w:rsid w:val="00E3427F"/>
    <w:rsid w:val="00E34533"/>
    <w:rsid w:val="00E3485E"/>
    <w:rsid w:val="00E34982"/>
    <w:rsid w:val="00E34D68"/>
    <w:rsid w:val="00E35791"/>
    <w:rsid w:val="00E35C34"/>
    <w:rsid w:val="00E35E60"/>
    <w:rsid w:val="00E36B09"/>
    <w:rsid w:val="00E371A7"/>
    <w:rsid w:val="00E37602"/>
    <w:rsid w:val="00E3796E"/>
    <w:rsid w:val="00E37AA0"/>
    <w:rsid w:val="00E37E52"/>
    <w:rsid w:val="00E37EEB"/>
    <w:rsid w:val="00E40615"/>
    <w:rsid w:val="00E407CF"/>
    <w:rsid w:val="00E4093B"/>
    <w:rsid w:val="00E40D8B"/>
    <w:rsid w:val="00E410D6"/>
    <w:rsid w:val="00E4195F"/>
    <w:rsid w:val="00E41D4F"/>
    <w:rsid w:val="00E41FBA"/>
    <w:rsid w:val="00E42ACE"/>
    <w:rsid w:val="00E43865"/>
    <w:rsid w:val="00E43BEF"/>
    <w:rsid w:val="00E43DAC"/>
    <w:rsid w:val="00E449A7"/>
    <w:rsid w:val="00E44DF6"/>
    <w:rsid w:val="00E44E66"/>
    <w:rsid w:val="00E451FA"/>
    <w:rsid w:val="00E4544B"/>
    <w:rsid w:val="00E456AD"/>
    <w:rsid w:val="00E45B32"/>
    <w:rsid w:val="00E45ED8"/>
    <w:rsid w:val="00E461AD"/>
    <w:rsid w:val="00E4637B"/>
    <w:rsid w:val="00E4664B"/>
    <w:rsid w:val="00E466C5"/>
    <w:rsid w:val="00E46AB8"/>
    <w:rsid w:val="00E46AD1"/>
    <w:rsid w:val="00E47093"/>
    <w:rsid w:val="00E47343"/>
    <w:rsid w:val="00E478B3"/>
    <w:rsid w:val="00E47DF7"/>
    <w:rsid w:val="00E50AA2"/>
    <w:rsid w:val="00E50D5B"/>
    <w:rsid w:val="00E51405"/>
    <w:rsid w:val="00E516E2"/>
    <w:rsid w:val="00E51BFB"/>
    <w:rsid w:val="00E51D24"/>
    <w:rsid w:val="00E51E49"/>
    <w:rsid w:val="00E51FD3"/>
    <w:rsid w:val="00E520E9"/>
    <w:rsid w:val="00E521CE"/>
    <w:rsid w:val="00E52491"/>
    <w:rsid w:val="00E524A6"/>
    <w:rsid w:val="00E529E6"/>
    <w:rsid w:val="00E52D64"/>
    <w:rsid w:val="00E53A61"/>
    <w:rsid w:val="00E53D26"/>
    <w:rsid w:val="00E53F6A"/>
    <w:rsid w:val="00E55263"/>
    <w:rsid w:val="00E55892"/>
    <w:rsid w:val="00E559FD"/>
    <w:rsid w:val="00E55B22"/>
    <w:rsid w:val="00E567F1"/>
    <w:rsid w:val="00E5682A"/>
    <w:rsid w:val="00E573A3"/>
    <w:rsid w:val="00E574C9"/>
    <w:rsid w:val="00E57AD8"/>
    <w:rsid w:val="00E57BD6"/>
    <w:rsid w:val="00E60090"/>
    <w:rsid w:val="00E60214"/>
    <w:rsid w:val="00E6037E"/>
    <w:rsid w:val="00E60829"/>
    <w:rsid w:val="00E60BE7"/>
    <w:rsid w:val="00E61A79"/>
    <w:rsid w:val="00E61A9A"/>
    <w:rsid w:val="00E61CFE"/>
    <w:rsid w:val="00E62094"/>
    <w:rsid w:val="00E62178"/>
    <w:rsid w:val="00E624E5"/>
    <w:rsid w:val="00E62CDD"/>
    <w:rsid w:val="00E630AD"/>
    <w:rsid w:val="00E63526"/>
    <w:rsid w:val="00E6381A"/>
    <w:rsid w:val="00E646B7"/>
    <w:rsid w:val="00E65151"/>
    <w:rsid w:val="00E659CA"/>
    <w:rsid w:val="00E65A3D"/>
    <w:rsid w:val="00E65F55"/>
    <w:rsid w:val="00E6645E"/>
    <w:rsid w:val="00E66805"/>
    <w:rsid w:val="00E6683D"/>
    <w:rsid w:val="00E6726B"/>
    <w:rsid w:val="00E675C0"/>
    <w:rsid w:val="00E67A99"/>
    <w:rsid w:val="00E70533"/>
    <w:rsid w:val="00E70596"/>
    <w:rsid w:val="00E70D36"/>
    <w:rsid w:val="00E70D89"/>
    <w:rsid w:val="00E70E05"/>
    <w:rsid w:val="00E7114B"/>
    <w:rsid w:val="00E71415"/>
    <w:rsid w:val="00E7142D"/>
    <w:rsid w:val="00E71D9B"/>
    <w:rsid w:val="00E71F8C"/>
    <w:rsid w:val="00E7278E"/>
    <w:rsid w:val="00E728A3"/>
    <w:rsid w:val="00E72B33"/>
    <w:rsid w:val="00E72C2C"/>
    <w:rsid w:val="00E72F08"/>
    <w:rsid w:val="00E73197"/>
    <w:rsid w:val="00E7351A"/>
    <w:rsid w:val="00E73643"/>
    <w:rsid w:val="00E75E78"/>
    <w:rsid w:val="00E762E2"/>
    <w:rsid w:val="00E766BB"/>
    <w:rsid w:val="00E76A13"/>
    <w:rsid w:val="00E77086"/>
    <w:rsid w:val="00E801DF"/>
    <w:rsid w:val="00E802C9"/>
    <w:rsid w:val="00E809FE"/>
    <w:rsid w:val="00E80EC6"/>
    <w:rsid w:val="00E8117F"/>
    <w:rsid w:val="00E814C6"/>
    <w:rsid w:val="00E815BD"/>
    <w:rsid w:val="00E81782"/>
    <w:rsid w:val="00E825D3"/>
    <w:rsid w:val="00E8271F"/>
    <w:rsid w:val="00E82A40"/>
    <w:rsid w:val="00E83123"/>
    <w:rsid w:val="00E845AD"/>
    <w:rsid w:val="00E84C95"/>
    <w:rsid w:val="00E8512D"/>
    <w:rsid w:val="00E8572D"/>
    <w:rsid w:val="00E8652F"/>
    <w:rsid w:val="00E865E9"/>
    <w:rsid w:val="00E86915"/>
    <w:rsid w:val="00E9024B"/>
    <w:rsid w:val="00E906E6"/>
    <w:rsid w:val="00E90D06"/>
    <w:rsid w:val="00E9153F"/>
    <w:rsid w:val="00E91923"/>
    <w:rsid w:val="00E91BC4"/>
    <w:rsid w:val="00E91D05"/>
    <w:rsid w:val="00E9209A"/>
    <w:rsid w:val="00E92304"/>
    <w:rsid w:val="00E92B81"/>
    <w:rsid w:val="00E9302B"/>
    <w:rsid w:val="00E9331A"/>
    <w:rsid w:val="00E93B58"/>
    <w:rsid w:val="00E94244"/>
    <w:rsid w:val="00E942EF"/>
    <w:rsid w:val="00E9497E"/>
    <w:rsid w:val="00E954AC"/>
    <w:rsid w:val="00E95534"/>
    <w:rsid w:val="00E964AA"/>
    <w:rsid w:val="00E966C6"/>
    <w:rsid w:val="00E97AD5"/>
    <w:rsid w:val="00E97EC2"/>
    <w:rsid w:val="00EA01CD"/>
    <w:rsid w:val="00EA0414"/>
    <w:rsid w:val="00EA1D53"/>
    <w:rsid w:val="00EA225A"/>
    <w:rsid w:val="00EA2DFA"/>
    <w:rsid w:val="00EA2FFD"/>
    <w:rsid w:val="00EA4646"/>
    <w:rsid w:val="00EA4670"/>
    <w:rsid w:val="00EA4B6D"/>
    <w:rsid w:val="00EA56F5"/>
    <w:rsid w:val="00EA5D74"/>
    <w:rsid w:val="00EA5E2B"/>
    <w:rsid w:val="00EA63D4"/>
    <w:rsid w:val="00EA6F2A"/>
    <w:rsid w:val="00EA715E"/>
    <w:rsid w:val="00EA75F0"/>
    <w:rsid w:val="00EA7757"/>
    <w:rsid w:val="00EA7A66"/>
    <w:rsid w:val="00EA7C32"/>
    <w:rsid w:val="00EA7D22"/>
    <w:rsid w:val="00EA7FC7"/>
    <w:rsid w:val="00EB005E"/>
    <w:rsid w:val="00EB02E2"/>
    <w:rsid w:val="00EB08B3"/>
    <w:rsid w:val="00EB1096"/>
    <w:rsid w:val="00EB1250"/>
    <w:rsid w:val="00EB1759"/>
    <w:rsid w:val="00EB19FA"/>
    <w:rsid w:val="00EB1B5D"/>
    <w:rsid w:val="00EB1D6F"/>
    <w:rsid w:val="00EB2165"/>
    <w:rsid w:val="00EB2351"/>
    <w:rsid w:val="00EB26D7"/>
    <w:rsid w:val="00EB3D66"/>
    <w:rsid w:val="00EB3FE1"/>
    <w:rsid w:val="00EB4374"/>
    <w:rsid w:val="00EB5E62"/>
    <w:rsid w:val="00EB628A"/>
    <w:rsid w:val="00EB6507"/>
    <w:rsid w:val="00EB65B2"/>
    <w:rsid w:val="00EB6801"/>
    <w:rsid w:val="00EB680E"/>
    <w:rsid w:val="00EB688E"/>
    <w:rsid w:val="00EB783F"/>
    <w:rsid w:val="00EB798C"/>
    <w:rsid w:val="00EB7B13"/>
    <w:rsid w:val="00EB7FE2"/>
    <w:rsid w:val="00EC0504"/>
    <w:rsid w:val="00EC0688"/>
    <w:rsid w:val="00EC0ACA"/>
    <w:rsid w:val="00EC0C88"/>
    <w:rsid w:val="00EC1D6C"/>
    <w:rsid w:val="00EC2410"/>
    <w:rsid w:val="00EC2711"/>
    <w:rsid w:val="00EC2B6D"/>
    <w:rsid w:val="00EC30DC"/>
    <w:rsid w:val="00EC34E1"/>
    <w:rsid w:val="00EC4115"/>
    <w:rsid w:val="00EC4DAA"/>
    <w:rsid w:val="00EC5171"/>
    <w:rsid w:val="00EC53E7"/>
    <w:rsid w:val="00EC5CE5"/>
    <w:rsid w:val="00EC6016"/>
    <w:rsid w:val="00EC673C"/>
    <w:rsid w:val="00EC6A82"/>
    <w:rsid w:val="00EC6CF9"/>
    <w:rsid w:val="00EC7BF5"/>
    <w:rsid w:val="00ED076B"/>
    <w:rsid w:val="00ED0D9B"/>
    <w:rsid w:val="00ED2CFF"/>
    <w:rsid w:val="00ED3995"/>
    <w:rsid w:val="00ED3D56"/>
    <w:rsid w:val="00ED433D"/>
    <w:rsid w:val="00ED44A5"/>
    <w:rsid w:val="00ED45EC"/>
    <w:rsid w:val="00ED46AC"/>
    <w:rsid w:val="00ED53F0"/>
    <w:rsid w:val="00ED5695"/>
    <w:rsid w:val="00ED5C40"/>
    <w:rsid w:val="00ED63E6"/>
    <w:rsid w:val="00ED6CDA"/>
    <w:rsid w:val="00ED7183"/>
    <w:rsid w:val="00ED727B"/>
    <w:rsid w:val="00ED7523"/>
    <w:rsid w:val="00ED7550"/>
    <w:rsid w:val="00ED75BF"/>
    <w:rsid w:val="00ED7A4C"/>
    <w:rsid w:val="00EE02C7"/>
    <w:rsid w:val="00EE0837"/>
    <w:rsid w:val="00EE0BD5"/>
    <w:rsid w:val="00EE1738"/>
    <w:rsid w:val="00EE1909"/>
    <w:rsid w:val="00EE3270"/>
    <w:rsid w:val="00EE3372"/>
    <w:rsid w:val="00EE34EE"/>
    <w:rsid w:val="00EE35B3"/>
    <w:rsid w:val="00EE35BF"/>
    <w:rsid w:val="00EE3C8B"/>
    <w:rsid w:val="00EE3E94"/>
    <w:rsid w:val="00EE521A"/>
    <w:rsid w:val="00EE5478"/>
    <w:rsid w:val="00EE5BB3"/>
    <w:rsid w:val="00EE6572"/>
    <w:rsid w:val="00EE7061"/>
    <w:rsid w:val="00EE7A9D"/>
    <w:rsid w:val="00EE7BF8"/>
    <w:rsid w:val="00EE7E23"/>
    <w:rsid w:val="00EE7FDB"/>
    <w:rsid w:val="00EF0351"/>
    <w:rsid w:val="00EF04CB"/>
    <w:rsid w:val="00EF0680"/>
    <w:rsid w:val="00EF1060"/>
    <w:rsid w:val="00EF13BC"/>
    <w:rsid w:val="00EF1787"/>
    <w:rsid w:val="00EF2052"/>
    <w:rsid w:val="00EF26BD"/>
    <w:rsid w:val="00EF2B06"/>
    <w:rsid w:val="00EF3043"/>
    <w:rsid w:val="00EF34B6"/>
    <w:rsid w:val="00EF389F"/>
    <w:rsid w:val="00EF5013"/>
    <w:rsid w:val="00EF5640"/>
    <w:rsid w:val="00EF68D0"/>
    <w:rsid w:val="00EF7022"/>
    <w:rsid w:val="00EF73EB"/>
    <w:rsid w:val="00EF7A18"/>
    <w:rsid w:val="00EF7C63"/>
    <w:rsid w:val="00F00440"/>
    <w:rsid w:val="00F00969"/>
    <w:rsid w:val="00F01824"/>
    <w:rsid w:val="00F01922"/>
    <w:rsid w:val="00F0195D"/>
    <w:rsid w:val="00F01D6F"/>
    <w:rsid w:val="00F01EE8"/>
    <w:rsid w:val="00F01FB4"/>
    <w:rsid w:val="00F02073"/>
    <w:rsid w:val="00F0252C"/>
    <w:rsid w:val="00F02AB2"/>
    <w:rsid w:val="00F03E67"/>
    <w:rsid w:val="00F03EF5"/>
    <w:rsid w:val="00F0461C"/>
    <w:rsid w:val="00F04DF0"/>
    <w:rsid w:val="00F04EB2"/>
    <w:rsid w:val="00F0512A"/>
    <w:rsid w:val="00F05773"/>
    <w:rsid w:val="00F057BC"/>
    <w:rsid w:val="00F05E1E"/>
    <w:rsid w:val="00F05E56"/>
    <w:rsid w:val="00F0680B"/>
    <w:rsid w:val="00F06997"/>
    <w:rsid w:val="00F06E06"/>
    <w:rsid w:val="00F06FED"/>
    <w:rsid w:val="00F0712F"/>
    <w:rsid w:val="00F07741"/>
    <w:rsid w:val="00F079FB"/>
    <w:rsid w:val="00F07D96"/>
    <w:rsid w:val="00F10086"/>
    <w:rsid w:val="00F1019A"/>
    <w:rsid w:val="00F1076D"/>
    <w:rsid w:val="00F107FE"/>
    <w:rsid w:val="00F10D01"/>
    <w:rsid w:val="00F10F01"/>
    <w:rsid w:val="00F11358"/>
    <w:rsid w:val="00F11988"/>
    <w:rsid w:val="00F119E2"/>
    <w:rsid w:val="00F11E73"/>
    <w:rsid w:val="00F12BBB"/>
    <w:rsid w:val="00F12E60"/>
    <w:rsid w:val="00F13962"/>
    <w:rsid w:val="00F13F9E"/>
    <w:rsid w:val="00F142FD"/>
    <w:rsid w:val="00F15471"/>
    <w:rsid w:val="00F15D8E"/>
    <w:rsid w:val="00F15EF1"/>
    <w:rsid w:val="00F165CE"/>
    <w:rsid w:val="00F16767"/>
    <w:rsid w:val="00F16899"/>
    <w:rsid w:val="00F16A19"/>
    <w:rsid w:val="00F170FB"/>
    <w:rsid w:val="00F1760D"/>
    <w:rsid w:val="00F176E9"/>
    <w:rsid w:val="00F179CE"/>
    <w:rsid w:val="00F2069C"/>
    <w:rsid w:val="00F20B8A"/>
    <w:rsid w:val="00F211DC"/>
    <w:rsid w:val="00F221ED"/>
    <w:rsid w:val="00F2262B"/>
    <w:rsid w:val="00F22C77"/>
    <w:rsid w:val="00F234FD"/>
    <w:rsid w:val="00F235A5"/>
    <w:rsid w:val="00F23690"/>
    <w:rsid w:val="00F23A5D"/>
    <w:rsid w:val="00F24013"/>
    <w:rsid w:val="00F240F3"/>
    <w:rsid w:val="00F243BD"/>
    <w:rsid w:val="00F244D8"/>
    <w:rsid w:val="00F24834"/>
    <w:rsid w:val="00F24C04"/>
    <w:rsid w:val="00F24E00"/>
    <w:rsid w:val="00F24F82"/>
    <w:rsid w:val="00F26BFC"/>
    <w:rsid w:val="00F26E6B"/>
    <w:rsid w:val="00F26F04"/>
    <w:rsid w:val="00F27981"/>
    <w:rsid w:val="00F27B34"/>
    <w:rsid w:val="00F27C54"/>
    <w:rsid w:val="00F27C8D"/>
    <w:rsid w:val="00F27E09"/>
    <w:rsid w:val="00F30213"/>
    <w:rsid w:val="00F3023B"/>
    <w:rsid w:val="00F3074A"/>
    <w:rsid w:val="00F32332"/>
    <w:rsid w:val="00F32430"/>
    <w:rsid w:val="00F32522"/>
    <w:rsid w:val="00F33D48"/>
    <w:rsid w:val="00F33E40"/>
    <w:rsid w:val="00F3451D"/>
    <w:rsid w:val="00F34A25"/>
    <w:rsid w:val="00F354E5"/>
    <w:rsid w:val="00F358F8"/>
    <w:rsid w:val="00F361C6"/>
    <w:rsid w:val="00F37057"/>
    <w:rsid w:val="00F3759E"/>
    <w:rsid w:val="00F37F94"/>
    <w:rsid w:val="00F406DF"/>
    <w:rsid w:val="00F408F6"/>
    <w:rsid w:val="00F40CB2"/>
    <w:rsid w:val="00F40E34"/>
    <w:rsid w:val="00F41D12"/>
    <w:rsid w:val="00F42122"/>
    <w:rsid w:val="00F43B9D"/>
    <w:rsid w:val="00F43BFE"/>
    <w:rsid w:val="00F440ED"/>
    <w:rsid w:val="00F4412A"/>
    <w:rsid w:val="00F444B6"/>
    <w:rsid w:val="00F446E4"/>
    <w:rsid w:val="00F4489E"/>
    <w:rsid w:val="00F45816"/>
    <w:rsid w:val="00F45D31"/>
    <w:rsid w:val="00F45F86"/>
    <w:rsid w:val="00F46083"/>
    <w:rsid w:val="00F465BD"/>
    <w:rsid w:val="00F4771E"/>
    <w:rsid w:val="00F47835"/>
    <w:rsid w:val="00F50678"/>
    <w:rsid w:val="00F510AD"/>
    <w:rsid w:val="00F5136E"/>
    <w:rsid w:val="00F526DD"/>
    <w:rsid w:val="00F529CC"/>
    <w:rsid w:val="00F534FD"/>
    <w:rsid w:val="00F53589"/>
    <w:rsid w:val="00F540F0"/>
    <w:rsid w:val="00F542F0"/>
    <w:rsid w:val="00F54AA1"/>
    <w:rsid w:val="00F54B1D"/>
    <w:rsid w:val="00F55139"/>
    <w:rsid w:val="00F55D23"/>
    <w:rsid w:val="00F55E35"/>
    <w:rsid w:val="00F56371"/>
    <w:rsid w:val="00F56F7F"/>
    <w:rsid w:val="00F579D8"/>
    <w:rsid w:val="00F6018D"/>
    <w:rsid w:val="00F6041B"/>
    <w:rsid w:val="00F6060C"/>
    <w:rsid w:val="00F609FF"/>
    <w:rsid w:val="00F60D3C"/>
    <w:rsid w:val="00F61527"/>
    <w:rsid w:val="00F61735"/>
    <w:rsid w:val="00F61A9F"/>
    <w:rsid w:val="00F62274"/>
    <w:rsid w:val="00F62327"/>
    <w:rsid w:val="00F62586"/>
    <w:rsid w:val="00F63066"/>
    <w:rsid w:val="00F639D0"/>
    <w:rsid w:val="00F63B16"/>
    <w:rsid w:val="00F6458D"/>
    <w:rsid w:val="00F6482C"/>
    <w:rsid w:val="00F64989"/>
    <w:rsid w:val="00F64A24"/>
    <w:rsid w:val="00F64E59"/>
    <w:rsid w:val="00F64F70"/>
    <w:rsid w:val="00F65422"/>
    <w:rsid w:val="00F658E4"/>
    <w:rsid w:val="00F65DFA"/>
    <w:rsid w:val="00F666A9"/>
    <w:rsid w:val="00F6715A"/>
    <w:rsid w:val="00F67B88"/>
    <w:rsid w:val="00F70790"/>
    <w:rsid w:val="00F709A3"/>
    <w:rsid w:val="00F70E3E"/>
    <w:rsid w:val="00F70FD0"/>
    <w:rsid w:val="00F71301"/>
    <w:rsid w:val="00F7237B"/>
    <w:rsid w:val="00F7251A"/>
    <w:rsid w:val="00F7281D"/>
    <w:rsid w:val="00F72979"/>
    <w:rsid w:val="00F72DE0"/>
    <w:rsid w:val="00F731CF"/>
    <w:rsid w:val="00F736CA"/>
    <w:rsid w:val="00F737C1"/>
    <w:rsid w:val="00F73C92"/>
    <w:rsid w:val="00F73ED1"/>
    <w:rsid w:val="00F7400D"/>
    <w:rsid w:val="00F753FF"/>
    <w:rsid w:val="00F75809"/>
    <w:rsid w:val="00F76877"/>
    <w:rsid w:val="00F76946"/>
    <w:rsid w:val="00F774C2"/>
    <w:rsid w:val="00F775A2"/>
    <w:rsid w:val="00F7766C"/>
    <w:rsid w:val="00F80860"/>
    <w:rsid w:val="00F81727"/>
    <w:rsid w:val="00F81784"/>
    <w:rsid w:val="00F8192A"/>
    <w:rsid w:val="00F81CF8"/>
    <w:rsid w:val="00F82893"/>
    <w:rsid w:val="00F834BD"/>
    <w:rsid w:val="00F83736"/>
    <w:rsid w:val="00F83AB8"/>
    <w:rsid w:val="00F8518C"/>
    <w:rsid w:val="00F85756"/>
    <w:rsid w:val="00F85D14"/>
    <w:rsid w:val="00F8769D"/>
    <w:rsid w:val="00F87781"/>
    <w:rsid w:val="00F90081"/>
    <w:rsid w:val="00F90200"/>
    <w:rsid w:val="00F90D14"/>
    <w:rsid w:val="00F91833"/>
    <w:rsid w:val="00F919D7"/>
    <w:rsid w:val="00F924D9"/>
    <w:rsid w:val="00F93024"/>
    <w:rsid w:val="00F933C8"/>
    <w:rsid w:val="00F9364B"/>
    <w:rsid w:val="00F942D4"/>
    <w:rsid w:val="00F94A5A"/>
    <w:rsid w:val="00F94C48"/>
    <w:rsid w:val="00F94CCC"/>
    <w:rsid w:val="00F94CE0"/>
    <w:rsid w:val="00F9536D"/>
    <w:rsid w:val="00F95802"/>
    <w:rsid w:val="00F9608F"/>
    <w:rsid w:val="00F96224"/>
    <w:rsid w:val="00FA1258"/>
    <w:rsid w:val="00FA190D"/>
    <w:rsid w:val="00FA1D03"/>
    <w:rsid w:val="00FA1D6F"/>
    <w:rsid w:val="00FA2986"/>
    <w:rsid w:val="00FA2D6D"/>
    <w:rsid w:val="00FA3ECE"/>
    <w:rsid w:val="00FA41F1"/>
    <w:rsid w:val="00FA4316"/>
    <w:rsid w:val="00FA44EF"/>
    <w:rsid w:val="00FA4C2C"/>
    <w:rsid w:val="00FA50C5"/>
    <w:rsid w:val="00FA5394"/>
    <w:rsid w:val="00FA54C6"/>
    <w:rsid w:val="00FA5C92"/>
    <w:rsid w:val="00FA5FA1"/>
    <w:rsid w:val="00FA608D"/>
    <w:rsid w:val="00FA6126"/>
    <w:rsid w:val="00FA6182"/>
    <w:rsid w:val="00FA69A7"/>
    <w:rsid w:val="00FA73C6"/>
    <w:rsid w:val="00FA7652"/>
    <w:rsid w:val="00FA7B23"/>
    <w:rsid w:val="00FA7D1D"/>
    <w:rsid w:val="00FB08E9"/>
    <w:rsid w:val="00FB0C78"/>
    <w:rsid w:val="00FB1122"/>
    <w:rsid w:val="00FB1B4C"/>
    <w:rsid w:val="00FB1D6B"/>
    <w:rsid w:val="00FB1D8C"/>
    <w:rsid w:val="00FB1F94"/>
    <w:rsid w:val="00FB2063"/>
    <w:rsid w:val="00FB219F"/>
    <w:rsid w:val="00FB2226"/>
    <w:rsid w:val="00FB262E"/>
    <w:rsid w:val="00FB2A99"/>
    <w:rsid w:val="00FB2B63"/>
    <w:rsid w:val="00FB2E17"/>
    <w:rsid w:val="00FB2EE8"/>
    <w:rsid w:val="00FB302E"/>
    <w:rsid w:val="00FB376E"/>
    <w:rsid w:val="00FB37A4"/>
    <w:rsid w:val="00FB3850"/>
    <w:rsid w:val="00FB3E9C"/>
    <w:rsid w:val="00FB4FDD"/>
    <w:rsid w:val="00FB542F"/>
    <w:rsid w:val="00FB57C0"/>
    <w:rsid w:val="00FB5ABA"/>
    <w:rsid w:val="00FB66ED"/>
    <w:rsid w:val="00FB6837"/>
    <w:rsid w:val="00FB71A3"/>
    <w:rsid w:val="00FB75AB"/>
    <w:rsid w:val="00FB7DE4"/>
    <w:rsid w:val="00FC08FD"/>
    <w:rsid w:val="00FC0AE5"/>
    <w:rsid w:val="00FC11C8"/>
    <w:rsid w:val="00FC22DA"/>
    <w:rsid w:val="00FC23D5"/>
    <w:rsid w:val="00FC2CDF"/>
    <w:rsid w:val="00FC2F50"/>
    <w:rsid w:val="00FC369C"/>
    <w:rsid w:val="00FC3F4A"/>
    <w:rsid w:val="00FC4796"/>
    <w:rsid w:val="00FC4C96"/>
    <w:rsid w:val="00FC53EF"/>
    <w:rsid w:val="00FC567C"/>
    <w:rsid w:val="00FC649D"/>
    <w:rsid w:val="00FC64CF"/>
    <w:rsid w:val="00FC7415"/>
    <w:rsid w:val="00FC7431"/>
    <w:rsid w:val="00FC76F6"/>
    <w:rsid w:val="00FC7B10"/>
    <w:rsid w:val="00FD0318"/>
    <w:rsid w:val="00FD0445"/>
    <w:rsid w:val="00FD0460"/>
    <w:rsid w:val="00FD05AC"/>
    <w:rsid w:val="00FD0789"/>
    <w:rsid w:val="00FD0D9A"/>
    <w:rsid w:val="00FD1477"/>
    <w:rsid w:val="00FD251F"/>
    <w:rsid w:val="00FD253F"/>
    <w:rsid w:val="00FD30F6"/>
    <w:rsid w:val="00FD43C5"/>
    <w:rsid w:val="00FD4445"/>
    <w:rsid w:val="00FD448F"/>
    <w:rsid w:val="00FD5080"/>
    <w:rsid w:val="00FD5156"/>
    <w:rsid w:val="00FD5217"/>
    <w:rsid w:val="00FD6617"/>
    <w:rsid w:val="00FD7185"/>
    <w:rsid w:val="00FD74CB"/>
    <w:rsid w:val="00FD753A"/>
    <w:rsid w:val="00FD767F"/>
    <w:rsid w:val="00FD78FD"/>
    <w:rsid w:val="00FD7993"/>
    <w:rsid w:val="00FD79C8"/>
    <w:rsid w:val="00FE0237"/>
    <w:rsid w:val="00FE0A0A"/>
    <w:rsid w:val="00FE0B7D"/>
    <w:rsid w:val="00FE179E"/>
    <w:rsid w:val="00FE398C"/>
    <w:rsid w:val="00FE3F9E"/>
    <w:rsid w:val="00FE3FD3"/>
    <w:rsid w:val="00FE41A7"/>
    <w:rsid w:val="00FE425D"/>
    <w:rsid w:val="00FE43A5"/>
    <w:rsid w:val="00FE46E6"/>
    <w:rsid w:val="00FE4DA8"/>
    <w:rsid w:val="00FE4E3F"/>
    <w:rsid w:val="00FE5261"/>
    <w:rsid w:val="00FE5E54"/>
    <w:rsid w:val="00FE6FB2"/>
    <w:rsid w:val="00FE7837"/>
    <w:rsid w:val="00FE7B14"/>
    <w:rsid w:val="00FE7F9D"/>
    <w:rsid w:val="00FF02DE"/>
    <w:rsid w:val="00FF036A"/>
    <w:rsid w:val="00FF0C51"/>
    <w:rsid w:val="00FF0C58"/>
    <w:rsid w:val="00FF0FCA"/>
    <w:rsid w:val="00FF19D5"/>
    <w:rsid w:val="00FF1B21"/>
    <w:rsid w:val="00FF1E83"/>
    <w:rsid w:val="00FF2472"/>
    <w:rsid w:val="00FF26CE"/>
    <w:rsid w:val="00FF2BA4"/>
    <w:rsid w:val="00FF3897"/>
    <w:rsid w:val="00FF45AB"/>
    <w:rsid w:val="00FF4A05"/>
    <w:rsid w:val="00FF5443"/>
    <w:rsid w:val="00FF54AB"/>
    <w:rsid w:val="00FF589B"/>
    <w:rsid w:val="00FF5C9B"/>
    <w:rsid w:val="00FF6041"/>
    <w:rsid w:val="00FF64CC"/>
    <w:rsid w:val="00FF6549"/>
    <w:rsid w:val="00FF66BD"/>
    <w:rsid w:val="00FF79F2"/>
    <w:rsid w:val="00FF7D90"/>
    <w:rsid w:val="3A4FE5BE"/>
    <w:rsid w:val="45530B3C"/>
    <w:rsid w:val="5FC3B9F8"/>
    <w:rsid w:val="7C5F5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2C7220E"/>
  <w15:docId w15:val="{8CE92146-9956-4280-9DC1-1347234AC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lsdException w:name="heading 6" w:uiPriority="0"/>
    <w:lsdException w:name="heading 7" w:uiPriority="0"/>
    <w:lsdException w:name="heading 8" w:uiPriority="0"/>
    <w:lsdException w:name="heading 9"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iPriority="0" w:qFormat="1"/>
    <w:lsdException w:name="annotation text" w:uiPriority="0" w:unhideWhenUsed="1"/>
    <w:lsdException w:name="footer" w:uiPriority="0"/>
    <w:lsdException w:name="index heading" w:semiHidden="1" w:unhideWhenUsed="1"/>
    <w:lsdException w:name="caption" w:semiHidden="1" w:uiPriority="35"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iPriority="0" w:qFormat="1"/>
    <w:lsdException w:name="macro" w:semiHidden="1" w:unhideWhenUsed="1"/>
    <w:lsdException w:name="toa heading" w:semiHidden="1" w:unhideWhenUsed="1"/>
    <w:lsdException w:name="List" w:semiHidden="1" w:unhideWhenUsed="1"/>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FollowedHyperlink" w:uiPriority="0"/>
    <w:lsdException w:name="Strong" w:uiPriority="22"/>
    <w:lsdException w:name="Emphasis" w:uiPriority="20"/>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1717FB"/>
    <w:pPr>
      <w:widowControl w:val="0"/>
      <w:suppressAutoHyphens/>
      <w:topLinePunct/>
      <w:spacing w:line="360" w:lineRule="auto"/>
      <w:jc w:val="both"/>
    </w:pPr>
    <w:rPr>
      <w:rFonts w:ascii="Times New Roman" w:eastAsia="Times New Roman" w:hAnsi="Times New Roman"/>
      <w:sz w:val="24"/>
      <w14:numSpacing w14:val="proportional"/>
    </w:rPr>
  </w:style>
  <w:style w:type="paragraph" w:styleId="1">
    <w:name w:val="heading 1"/>
    <w:next w:val="a3"/>
    <w:link w:val="10"/>
    <w:uiPriority w:val="9"/>
    <w:qFormat/>
    <w:pPr>
      <w:widowControl w:val="0"/>
      <w:suppressAutoHyphens/>
      <w:topLinePunct/>
      <w:spacing w:before="240" w:after="120" w:line="360" w:lineRule="auto"/>
      <w:outlineLvl w:val="0"/>
    </w:pPr>
    <w:rPr>
      <w:rFonts w:ascii="Times New Roman" w:eastAsia="宋体" w:hAnsi="Times New Roman" w:cs="Times New Roman"/>
      <w:b/>
      <w:kern w:val="32"/>
      <w:sz w:val="30"/>
      <w14:numSpacing w14:val="proportional"/>
    </w:rPr>
  </w:style>
  <w:style w:type="paragraph" w:styleId="20">
    <w:name w:val="heading 2"/>
    <w:next w:val="a3"/>
    <w:link w:val="21"/>
    <w:uiPriority w:val="9"/>
    <w:qFormat/>
    <w:pPr>
      <w:widowControl w:val="0"/>
      <w:suppressAutoHyphens/>
      <w:topLinePunct/>
      <w:spacing w:before="120" w:line="360" w:lineRule="auto"/>
      <w:outlineLvl w:val="1"/>
    </w:pPr>
    <w:rPr>
      <w:rFonts w:ascii="Times New Roman" w:eastAsia="宋体" w:hAnsi="Times New Roman" w:cs="Times New Roman"/>
      <w:b/>
      <w:kern w:val="30"/>
      <w:sz w:val="28"/>
      <w14:numSpacing w14:val="proportional"/>
    </w:rPr>
  </w:style>
  <w:style w:type="paragraph" w:styleId="3">
    <w:name w:val="heading 3"/>
    <w:next w:val="a3"/>
    <w:link w:val="30"/>
    <w:uiPriority w:val="9"/>
    <w:qFormat/>
    <w:pPr>
      <w:widowControl w:val="0"/>
      <w:tabs>
        <w:tab w:val="left" w:pos="8364"/>
      </w:tabs>
      <w:suppressAutoHyphens/>
      <w:topLinePunct/>
      <w:spacing w:before="120" w:line="360" w:lineRule="auto"/>
      <w:outlineLvl w:val="2"/>
    </w:pPr>
    <w:rPr>
      <w:rFonts w:ascii="Times New Roman" w:eastAsia="宋体" w:hAnsi="Times New Roman" w:cs="Arial"/>
      <w:b/>
      <w:kern w:val="28"/>
      <w:sz w:val="24"/>
      <w14:numSpacing w14:val="proportional"/>
    </w:rPr>
  </w:style>
  <w:style w:type="paragraph" w:styleId="4">
    <w:name w:val="heading 4"/>
    <w:next w:val="a3"/>
    <w:link w:val="40"/>
    <w:qFormat/>
    <w:pPr>
      <w:widowControl w:val="0"/>
      <w:suppressAutoHyphens/>
      <w:topLinePunct/>
      <w:spacing w:line="360" w:lineRule="auto"/>
      <w:outlineLvl w:val="3"/>
    </w:pPr>
    <w:rPr>
      <w:rFonts w:ascii="Times New Roman" w:eastAsia="宋体" w:hAnsi="Times New Roman" w:cs="Times New Roman"/>
      <w:b/>
      <w:kern w:val="28"/>
      <w:sz w:val="24"/>
      <w14:numSpacing w14:val="proportional"/>
    </w:rPr>
  </w:style>
  <w:style w:type="paragraph" w:styleId="5">
    <w:name w:val="heading 5"/>
    <w:next w:val="a3"/>
    <w:link w:val="50"/>
    <w:pPr>
      <w:numPr>
        <w:numId w:val="1"/>
      </w:numPr>
      <w:spacing w:line="240" w:lineRule="exact"/>
      <w:outlineLvl w:val="4"/>
    </w:pPr>
    <w:rPr>
      <w:rFonts w:ascii="Times New Roman" w:eastAsia="宋体" w:hAnsi="Times New Roman" w:cs="Times New Roman"/>
      <w:b/>
      <w:kern w:val="28"/>
      <w:sz w:val="24"/>
      <w14:numSpacing w14:val="proportional"/>
    </w:rPr>
  </w:style>
  <w:style w:type="paragraph" w:styleId="6">
    <w:name w:val="heading 6"/>
    <w:basedOn w:val="a3"/>
    <w:next w:val="a3"/>
    <w:link w:val="60"/>
    <w:pPr>
      <w:numPr>
        <w:ilvl w:val="5"/>
        <w:numId w:val="2"/>
      </w:numPr>
      <w:spacing w:before="240" w:after="60"/>
      <w:outlineLvl w:val="5"/>
    </w:pPr>
    <w:rPr>
      <w:b/>
    </w:rPr>
  </w:style>
  <w:style w:type="paragraph" w:styleId="7">
    <w:name w:val="heading 7"/>
    <w:basedOn w:val="a3"/>
    <w:next w:val="a3"/>
    <w:link w:val="70"/>
    <w:pPr>
      <w:numPr>
        <w:ilvl w:val="6"/>
        <w:numId w:val="2"/>
      </w:numPr>
      <w:spacing w:before="240" w:after="60"/>
      <w:outlineLvl w:val="6"/>
    </w:pPr>
  </w:style>
  <w:style w:type="paragraph" w:styleId="8">
    <w:name w:val="heading 8"/>
    <w:basedOn w:val="a3"/>
    <w:next w:val="a3"/>
    <w:link w:val="80"/>
    <w:pPr>
      <w:numPr>
        <w:ilvl w:val="7"/>
        <w:numId w:val="2"/>
      </w:numPr>
      <w:spacing w:before="240" w:after="60"/>
      <w:outlineLvl w:val="7"/>
    </w:pPr>
    <w:rPr>
      <w:i/>
    </w:rPr>
  </w:style>
  <w:style w:type="paragraph" w:styleId="9">
    <w:name w:val="heading 9"/>
    <w:basedOn w:val="a3"/>
    <w:next w:val="a3"/>
    <w:link w:val="90"/>
    <w:uiPriority w:val="9"/>
    <w:unhideWhenUsed/>
    <w:pPr>
      <w:keepNext/>
      <w:keepLines/>
      <w:numPr>
        <w:ilvl w:val="8"/>
        <w:numId w:val="2"/>
      </w:numPr>
      <w:spacing w:before="240" w:after="64" w:line="320" w:lineRule="auto"/>
      <w:outlineLvl w:val="8"/>
    </w:pPr>
    <w:rPr>
      <w:rFonts w:asciiTheme="majorHAnsi" w:eastAsiaTheme="majorEastAsia" w:hAnsiTheme="majorHAnsi" w:cstheme="majorBidi"/>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71">
    <w:name w:val="toc 7"/>
    <w:basedOn w:val="a3"/>
    <w:next w:val="a3"/>
    <w:uiPriority w:val="39"/>
    <w:unhideWhenUsed/>
    <w:pPr>
      <w:spacing w:after="100" w:line="276" w:lineRule="auto"/>
      <w:ind w:left="1320"/>
    </w:pPr>
    <w:rPr>
      <w:rFonts w:ascii="Calibri" w:hAnsi="Calibri"/>
    </w:rPr>
  </w:style>
  <w:style w:type="paragraph" w:styleId="a7">
    <w:name w:val="table of authorities"/>
    <w:basedOn w:val="a3"/>
    <w:next w:val="a3"/>
    <w:semiHidden/>
    <w:qFormat/>
    <w:pPr>
      <w:ind w:left="210" w:hanging="210"/>
    </w:pPr>
  </w:style>
  <w:style w:type="paragraph" w:styleId="a">
    <w:name w:val="List Bullet"/>
    <w:basedOn w:val="a3"/>
    <w:pPr>
      <w:numPr>
        <w:numId w:val="3"/>
      </w:numPr>
    </w:pPr>
  </w:style>
  <w:style w:type="paragraph" w:styleId="a8">
    <w:name w:val="annotation text"/>
    <w:basedOn w:val="a3"/>
    <w:link w:val="a9"/>
    <w:unhideWhenUsed/>
  </w:style>
  <w:style w:type="paragraph" w:styleId="aa">
    <w:name w:val="Body Text"/>
    <w:basedOn w:val="a3"/>
    <w:link w:val="ab"/>
    <w:pPr>
      <w:widowControl/>
      <w:suppressAutoHyphens w:val="0"/>
      <w:topLinePunct w:val="0"/>
      <w:spacing w:after="120"/>
      <w:jc w:val="left"/>
    </w:pPr>
    <w:rPr>
      <w:rFonts w:asciiTheme="minorHAnsi" w:eastAsiaTheme="minorEastAsia" w:hAnsiTheme="minorHAnsi"/>
      <w:kern w:val="2"/>
      <w14:numSpacing w14:val="default"/>
    </w:rPr>
  </w:style>
  <w:style w:type="paragraph" w:styleId="2">
    <w:name w:val="List Bullet 2"/>
    <w:basedOn w:val="a3"/>
    <w:pPr>
      <w:numPr>
        <w:numId w:val="4"/>
      </w:numPr>
      <w:tabs>
        <w:tab w:val="clear" w:pos="720"/>
        <w:tab w:val="num" w:pos="360"/>
        <w:tab w:val="left" w:pos="643"/>
      </w:tabs>
      <w:spacing w:line="288" w:lineRule="auto"/>
      <w:ind w:left="643" w:firstLine="0"/>
    </w:pPr>
  </w:style>
  <w:style w:type="paragraph" w:styleId="51">
    <w:name w:val="toc 5"/>
    <w:basedOn w:val="a3"/>
    <w:next w:val="a3"/>
    <w:uiPriority w:val="39"/>
    <w:unhideWhenUsed/>
    <w:pPr>
      <w:spacing w:after="100" w:line="276" w:lineRule="auto"/>
      <w:ind w:left="880"/>
    </w:pPr>
    <w:rPr>
      <w:rFonts w:ascii="Calibri" w:hAnsi="Calibri"/>
    </w:rPr>
  </w:style>
  <w:style w:type="paragraph" w:styleId="31">
    <w:name w:val="toc 3"/>
    <w:next w:val="a3"/>
    <w:link w:val="32"/>
    <w:uiPriority w:val="39"/>
    <w:unhideWhenUsed/>
    <w:qFormat/>
    <w:pPr>
      <w:ind w:leftChars="200" w:left="200"/>
    </w:pPr>
    <w:rPr>
      <w:rFonts w:ascii="Times New Roman" w:eastAsia="宋体" w:hAnsi="Times New Roman"/>
      <w:sz w:val="22"/>
      <w14:numSpacing w14:val="proportional"/>
    </w:rPr>
  </w:style>
  <w:style w:type="paragraph" w:styleId="ac">
    <w:name w:val="Plain Text"/>
    <w:basedOn w:val="a3"/>
    <w:link w:val="ad"/>
    <w:rPr>
      <w:rFonts w:ascii="宋体" w:hAnsi="Courier New"/>
    </w:rPr>
  </w:style>
  <w:style w:type="paragraph" w:styleId="81">
    <w:name w:val="toc 8"/>
    <w:basedOn w:val="a3"/>
    <w:next w:val="a3"/>
    <w:uiPriority w:val="39"/>
    <w:unhideWhenUsed/>
    <w:pPr>
      <w:spacing w:after="100" w:line="276" w:lineRule="auto"/>
      <w:ind w:left="1540"/>
    </w:pPr>
    <w:rPr>
      <w:rFonts w:ascii="Calibri" w:hAnsi="Calibri"/>
    </w:rPr>
  </w:style>
  <w:style w:type="paragraph" w:styleId="ae">
    <w:name w:val="Date"/>
    <w:basedOn w:val="a3"/>
    <w:next w:val="a3"/>
    <w:link w:val="af"/>
  </w:style>
  <w:style w:type="paragraph" w:styleId="af0">
    <w:name w:val="Balloon Text"/>
    <w:basedOn w:val="a3"/>
    <w:link w:val="af1"/>
    <w:semiHidden/>
    <w:qFormat/>
    <w:rPr>
      <w:sz w:val="16"/>
    </w:rPr>
  </w:style>
  <w:style w:type="paragraph" w:styleId="af2">
    <w:name w:val="footer"/>
    <w:basedOn w:val="a3"/>
    <w:link w:val="af3"/>
    <w:pPr>
      <w:tabs>
        <w:tab w:val="center" w:pos="4320"/>
        <w:tab w:val="right" w:pos="8640"/>
      </w:tabs>
    </w:pPr>
  </w:style>
  <w:style w:type="paragraph" w:styleId="af4">
    <w:name w:val="header"/>
    <w:basedOn w:val="a3"/>
    <w:link w:val="af5"/>
    <w:uiPriority w:val="99"/>
    <w:pPr>
      <w:tabs>
        <w:tab w:val="center" w:pos="4320"/>
        <w:tab w:val="right" w:pos="8640"/>
      </w:tabs>
    </w:pPr>
    <w:rPr>
      <w:rFonts w:asciiTheme="minorHAnsi" w:eastAsiaTheme="minorEastAsia" w:hAnsiTheme="minorHAnsi"/>
    </w:rPr>
  </w:style>
  <w:style w:type="paragraph" w:styleId="11">
    <w:name w:val="toc 1"/>
    <w:next w:val="a3"/>
    <w:link w:val="12"/>
    <w:uiPriority w:val="39"/>
    <w:unhideWhenUsed/>
    <w:qFormat/>
    <w:pPr>
      <w:widowControl w:val="0"/>
      <w:suppressAutoHyphens/>
      <w:topLinePunct/>
      <w:spacing w:line="400" w:lineRule="exact"/>
    </w:pPr>
    <w:rPr>
      <w:rFonts w:ascii="Times New Roman" w:eastAsia="宋体" w:hAnsi="Times New Roman"/>
      <w:b/>
      <w:kern w:val="28"/>
      <w:sz w:val="24"/>
      <w14:numSpacing w14:val="proportional"/>
    </w:rPr>
  </w:style>
  <w:style w:type="paragraph" w:styleId="af6">
    <w:name w:val="Subtitle"/>
    <w:next w:val="a3"/>
    <w:link w:val="af7"/>
    <w:uiPriority w:val="11"/>
    <w:qFormat/>
    <w:pPr>
      <w:widowControl w:val="0"/>
      <w:suppressAutoHyphens/>
      <w:topLinePunct/>
      <w:spacing w:line="360" w:lineRule="auto"/>
      <w:jc w:val="center"/>
      <w:outlineLvl w:val="0"/>
    </w:pPr>
    <w:rPr>
      <w:rFonts w:ascii="Times New Roman" w:eastAsia="宋体" w:hAnsi="Times New Roman"/>
      <w:b/>
      <w:kern w:val="32"/>
      <w:sz w:val="30"/>
      <w14:numSpacing w14:val="proportional"/>
    </w:rPr>
  </w:style>
  <w:style w:type="paragraph" w:styleId="af8">
    <w:name w:val="footnote text"/>
    <w:basedOn w:val="a3"/>
    <w:link w:val="af9"/>
    <w:semiHidden/>
    <w:qFormat/>
    <w:pPr>
      <w:snapToGrid w:val="0"/>
    </w:pPr>
    <w:rPr>
      <w:sz w:val="18"/>
    </w:rPr>
  </w:style>
  <w:style w:type="paragraph" w:styleId="61">
    <w:name w:val="toc 6"/>
    <w:basedOn w:val="a3"/>
    <w:next w:val="a3"/>
    <w:uiPriority w:val="39"/>
    <w:unhideWhenUsed/>
    <w:pPr>
      <w:spacing w:after="100" w:line="276" w:lineRule="auto"/>
      <w:ind w:left="1100"/>
    </w:pPr>
    <w:rPr>
      <w:rFonts w:ascii="Calibri" w:hAnsi="Calibri"/>
    </w:rPr>
  </w:style>
  <w:style w:type="paragraph" w:styleId="afa">
    <w:name w:val="table of figures"/>
    <w:basedOn w:val="a3"/>
    <w:next w:val="a3"/>
    <w:link w:val="afb"/>
    <w:uiPriority w:val="99"/>
    <w:rPr>
      <w:rFonts w:asciiTheme="minorHAnsi" w:hAnsiTheme="minorHAnsi"/>
    </w:rPr>
  </w:style>
  <w:style w:type="paragraph" w:styleId="22">
    <w:name w:val="toc 2"/>
    <w:next w:val="a3"/>
    <w:link w:val="23"/>
    <w:uiPriority w:val="39"/>
    <w:unhideWhenUsed/>
    <w:qFormat/>
    <w:pPr>
      <w:widowControl w:val="0"/>
      <w:suppressAutoHyphens/>
      <w:topLinePunct/>
      <w:spacing w:line="400" w:lineRule="exact"/>
      <w:ind w:leftChars="100" w:left="100"/>
    </w:pPr>
    <w:rPr>
      <w:rFonts w:ascii="Times New Roman" w:eastAsia="宋体" w:hAnsi="Times New Roman"/>
      <w:sz w:val="24"/>
      <w14:numSpacing w14:val="proportional"/>
    </w:rPr>
  </w:style>
  <w:style w:type="paragraph" w:styleId="91">
    <w:name w:val="toc 9"/>
    <w:basedOn w:val="a3"/>
    <w:next w:val="a3"/>
    <w:uiPriority w:val="39"/>
    <w:unhideWhenUsed/>
    <w:pPr>
      <w:spacing w:after="100" w:line="276" w:lineRule="auto"/>
      <w:ind w:left="1760"/>
    </w:pPr>
    <w:rPr>
      <w:rFonts w:ascii="Calibri" w:hAnsi="Calibri"/>
    </w:rPr>
  </w:style>
  <w:style w:type="paragraph" w:styleId="afc">
    <w:name w:val="Normal (Web)"/>
    <w:basedOn w:val="a3"/>
    <w:link w:val="afd"/>
    <w:pPr>
      <w:spacing w:before="100" w:beforeAutospacing="1" w:after="100" w:afterAutospacing="1"/>
    </w:pPr>
    <w:rPr>
      <w:rFonts w:ascii="宋体" w:hAnsi="宋体" w:cs="宋体"/>
    </w:rPr>
  </w:style>
  <w:style w:type="paragraph" w:styleId="afe">
    <w:name w:val="Title"/>
    <w:next w:val="a3"/>
    <w:link w:val="aff"/>
    <w:qFormat/>
    <w:pPr>
      <w:widowControl w:val="0"/>
      <w:suppressAutoHyphens/>
      <w:topLinePunct/>
      <w:spacing w:line="360" w:lineRule="auto"/>
      <w:jc w:val="center"/>
    </w:pPr>
    <w:rPr>
      <w:rFonts w:ascii="Times New Roman" w:eastAsia="宋体" w:hAnsi="Times New Roman"/>
      <w:b/>
      <w:kern w:val="48"/>
      <w:sz w:val="44"/>
      <w14:numSpacing w14:val="proportional"/>
    </w:rPr>
  </w:style>
  <w:style w:type="paragraph" w:styleId="aff0">
    <w:name w:val="annotation subject"/>
    <w:basedOn w:val="a8"/>
    <w:next w:val="a8"/>
    <w:link w:val="aff1"/>
    <w:semiHidden/>
    <w:qFormat/>
    <w:rPr>
      <w:b/>
    </w:rPr>
  </w:style>
  <w:style w:type="table" w:styleId="aff2">
    <w:name w:val="Table Grid"/>
    <w:basedOn w:val="a5"/>
    <w:uiPriority w:val="39"/>
    <w:qFormat/>
    <w:pPr>
      <w:widowControl w:val="0"/>
      <w:adjustRightInd w:val="0"/>
      <w:spacing w:line="360" w:lineRule="atLeast"/>
      <w:jc w:val="both"/>
      <w:textAlignment w:val="baseline"/>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5"/>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ff4">
    <w:name w:val="Strong"/>
    <w:uiPriority w:val="22"/>
    <w:rPr>
      <w:b/>
    </w:rPr>
  </w:style>
  <w:style w:type="character" w:styleId="aff5">
    <w:name w:val="page number"/>
    <w:basedOn w:val="a4"/>
  </w:style>
  <w:style w:type="character" w:styleId="aff6">
    <w:name w:val="FollowedHyperlink"/>
    <w:rPr>
      <w:color w:val="800080"/>
      <w:u w:val="single"/>
    </w:rPr>
  </w:style>
  <w:style w:type="character" w:styleId="aff7">
    <w:name w:val="Emphasis"/>
    <w:uiPriority w:val="20"/>
    <w:rPr>
      <w:color w:val="CC0033"/>
    </w:rPr>
  </w:style>
  <w:style w:type="character" w:styleId="aff8">
    <w:name w:val="Hyperlink"/>
    <w:uiPriority w:val="99"/>
    <w:rPr>
      <w:color w:val="0000FF"/>
      <w:u w:val="single"/>
    </w:rPr>
  </w:style>
  <w:style w:type="character" w:styleId="aff9">
    <w:name w:val="annotation reference"/>
    <w:uiPriority w:val="99"/>
    <w:semiHidden/>
    <w:qFormat/>
    <w:rPr>
      <w:sz w:val="21"/>
    </w:rPr>
  </w:style>
  <w:style w:type="character" w:customStyle="1" w:styleId="10">
    <w:name w:val="标题 1 字符"/>
    <w:basedOn w:val="a4"/>
    <w:link w:val="1"/>
    <w:uiPriority w:val="9"/>
    <w:rPr>
      <w:rFonts w:ascii="Times New Roman" w:eastAsia="宋体" w:hAnsi="Times New Roman" w:cs="Times New Roman"/>
      <w:b/>
      <w:kern w:val="32"/>
      <w:sz w:val="30"/>
      <w14:numSpacing w14:val="proportional"/>
    </w:rPr>
  </w:style>
  <w:style w:type="character" w:customStyle="1" w:styleId="21">
    <w:name w:val="标题 2 字符"/>
    <w:basedOn w:val="a4"/>
    <w:link w:val="20"/>
    <w:uiPriority w:val="9"/>
    <w:qFormat/>
    <w:rPr>
      <w:rFonts w:ascii="Times New Roman" w:eastAsia="宋体" w:hAnsi="Times New Roman" w:cs="Times New Roman"/>
      <w:b/>
      <w:kern w:val="30"/>
      <w:sz w:val="28"/>
      <w14:numSpacing w14:val="proportional"/>
    </w:rPr>
  </w:style>
  <w:style w:type="character" w:customStyle="1" w:styleId="30">
    <w:name w:val="标题 3 字符"/>
    <w:basedOn w:val="a4"/>
    <w:link w:val="3"/>
    <w:uiPriority w:val="9"/>
    <w:qFormat/>
    <w:rPr>
      <w:rFonts w:ascii="Times New Roman" w:eastAsia="宋体" w:hAnsi="Times New Roman" w:cs="Arial"/>
      <w:b/>
      <w:kern w:val="28"/>
      <w:sz w:val="24"/>
      <w14:numSpacing w14:val="proportional"/>
    </w:rPr>
  </w:style>
  <w:style w:type="character" w:customStyle="1" w:styleId="40">
    <w:name w:val="标题 4 字符"/>
    <w:basedOn w:val="a4"/>
    <w:link w:val="4"/>
    <w:qFormat/>
    <w:rPr>
      <w:rFonts w:ascii="Times New Roman" w:eastAsia="宋体" w:hAnsi="Times New Roman" w:cs="Times New Roman"/>
      <w:b/>
      <w:kern w:val="28"/>
      <w:sz w:val="24"/>
      <w14:numSpacing w14:val="proportional"/>
    </w:rPr>
  </w:style>
  <w:style w:type="character" w:customStyle="1" w:styleId="50">
    <w:name w:val="标题 5 字符"/>
    <w:basedOn w:val="a4"/>
    <w:link w:val="5"/>
    <w:qFormat/>
    <w:rPr>
      <w:rFonts w:ascii="Times New Roman" w:eastAsia="宋体" w:hAnsi="Times New Roman" w:cs="Times New Roman"/>
      <w:b/>
      <w:kern w:val="28"/>
      <w:sz w:val="24"/>
      <w14:numSpacing w14:val="proportional"/>
    </w:rPr>
  </w:style>
  <w:style w:type="character" w:customStyle="1" w:styleId="60">
    <w:name w:val="标题 6 字符"/>
    <w:basedOn w:val="a4"/>
    <w:link w:val="6"/>
    <w:qFormat/>
    <w:rPr>
      <w:rFonts w:ascii="Times New Roman" w:eastAsia="Times New Roman" w:hAnsi="Times New Roman"/>
      <w:b/>
      <w:sz w:val="24"/>
      <w14:numSpacing w14:val="proportional"/>
    </w:rPr>
  </w:style>
  <w:style w:type="character" w:customStyle="1" w:styleId="70">
    <w:name w:val="标题 7 字符"/>
    <w:basedOn w:val="a4"/>
    <w:link w:val="7"/>
    <w:rPr>
      <w:rFonts w:ascii="Times New Roman" w:eastAsia="Times New Roman" w:hAnsi="Times New Roman"/>
      <w:sz w:val="24"/>
      <w14:numSpacing w14:val="proportional"/>
    </w:rPr>
  </w:style>
  <w:style w:type="character" w:customStyle="1" w:styleId="80">
    <w:name w:val="标题 8 字符"/>
    <w:basedOn w:val="a4"/>
    <w:link w:val="8"/>
    <w:qFormat/>
    <w:rPr>
      <w:rFonts w:ascii="Times New Roman" w:eastAsia="Times New Roman" w:hAnsi="Times New Roman"/>
      <w:i/>
      <w:sz w:val="24"/>
      <w14:numSpacing w14:val="proportional"/>
    </w:rPr>
  </w:style>
  <w:style w:type="character" w:customStyle="1" w:styleId="labellist">
    <w:name w:val="label_list"/>
  </w:style>
  <w:style w:type="character" w:customStyle="1" w:styleId="12">
    <w:name w:val="目录 1 字符"/>
    <w:basedOn w:val="a4"/>
    <w:link w:val="11"/>
    <w:uiPriority w:val="39"/>
    <w:semiHidden/>
    <w:qFormat/>
    <w:rPr>
      <w:rFonts w:ascii="Times New Roman" w:eastAsia="宋体" w:hAnsi="Times New Roman"/>
      <w:b/>
      <w:kern w:val="28"/>
      <w:sz w:val="24"/>
      <w14:numSpacing w14:val="proportional"/>
    </w:rPr>
  </w:style>
  <w:style w:type="character" w:customStyle="1" w:styleId="ParagraphChar">
    <w:name w:val="Paragraph Char"/>
    <w:link w:val="Paragraph"/>
    <w:qFormat/>
    <w:rPr>
      <w:sz w:val="24"/>
    </w:rPr>
  </w:style>
  <w:style w:type="paragraph" w:customStyle="1" w:styleId="Paragraph">
    <w:name w:val="Paragraph"/>
    <w:link w:val="ParagraphChar"/>
    <w:pPr>
      <w:spacing w:after="240"/>
    </w:pPr>
    <w:rPr>
      <w:kern w:val="2"/>
      <w:sz w:val="24"/>
    </w:rPr>
  </w:style>
  <w:style w:type="character" w:customStyle="1" w:styleId="ParagraphListChar">
    <w:name w:val="Paragraph List Char"/>
    <w:link w:val="ParagraphList"/>
    <w:qFormat/>
    <w:rPr>
      <w:rFonts w:ascii="Arial" w:eastAsia="宋体" w:hAnsi="Arial"/>
      <w:sz w:val="24"/>
    </w:rPr>
  </w:style>
  <w:style w:type="paragraph" w:customStyle="1" w:styleId="ParagraphList">
    <w:name w:val="Paragraph List"/>
    <w:basedOn w:val="Paragraph"/>
    <w:next w:val="Paragraph"/>
    <w:link w:val="ParagraphListChar"/>
    <w:pPr>
      <w:keepNext/>
      <w:spacing w:after="100" w:line="280" w:lineRule="exact"/>
    </w:pPr>
    <w:rPr>
      <w:rFonts w:ascii="Arial" w:eastAsia="宋体" w:hAnsi="Arial"/>
    </w:rPr>
  </w:style>
  <w:style w:type="character" w:customStyle="1" w:styleId="afd">
    <w:name w:val="普通(网站) 字符"/>
    <w:link w:val="afc"/>
    <w:qFormat/>
    <w:rPr>
      <w:rFonts w:ascii="宋体" w:eastAsia="宋体" w:hAnsi="宋体" w:cs="宋体"/>
      <w:sz w:val="24"/>
    </w:rPr>
  </w:style>
  <w:style w:type="character" w:customStyle="1" w:styleId="23">
    <w:name w:val="目录 2 字符"/>
    <w:basedOn w:val="a4"/>
    <w:link w:val="22"/>
    <w:uiPriority w:val="39"/>
    <w:semiHidden/>
    <w:qFormat/>
    <w:rPr>
      <w:rFonts w:ascii="Times New Roman" w:eastAsia="宋体" w:hAnsi="Times New Roman"/>
      <w:kern w:val="0"/>
      <w:sz w:val="24"/>
      <w14:numSpacing w14:val="proportional"/>
    </w:rPr>
  </w:style>
  <w:style w:type="character" w:customStyle="1" w:styleId="afb">
    <w:name w:val="图表目录 字符"/>
    <w:link w:val="afa"/>
    <w:qFormat/>
    <w:rPr>
      <w:rFonts w:eastAsia="宋体"/>
      <w:sz w:val="24"/>
    </w:rPr>
  </w:style>
  <w:style w:type="character" w:customStyle="1" w:styleId="tableChar">
    <w:name w:val="table Char"/>
    <w:link w:val="table"/>
    <w:qFormat/>
    <w:rPr>
      <w:rFonts w:ascii="宋体" w:hAnsi="宋体"/>
      <w:b/>
      <w:sz w:val="24"/>
      <w14:numSpacing w14:val="proportional"/>
    </w:rPr>
  </w:style>
  <w:style w:type="paragraph" w:customStyle="1" w:styleId="table">
    <w:name w:val="table"/>
    <w:basedOn w:val="afa"/>
    <w:link w:val="tableChar"/>
    <w:pPr>
      <w:numPr>
        <w:numId w:val="5"/>
      </w:numPr>
      <w:tabs>
        <w:tab w:val="clear" w:pos="972"/>
        <w:tab w:val="left" w:pos="360"/>
      </w:tabs>
      <w:snapToGrid w:val="0"/>
      <w:ind w:left="0" w:firstLine="0"/>
    </w:pPr>
    <w:rPr>
      <w:rFonts w:ascii="宋体" w:eastAsiaTheme="minorEastAsia" w:hAnsi="宋体"/>
      <w:b/>
    </w:rPr>
  </w:style>
  <w:style w:type="character" w:customStyle="1" w:styleId="af5">
    <w:name w:val="页眉 字符"/>
    <w:link w:val="af4"/>
    <w:uiPriority w:val="99"/>
    <w:qFormat/>
  </w:style>
  <w:style w:type="character" w:customStyle="1" w:styleId="journalname">
    <w:name w:val="journalname"/>
    <w:basedOn w:val="a4"/>
  </w:style>
  <w:style w:type="character" w:customStyle="1" w:styleId="style10">
    <w:name w:val="style10"/>
    <w:basedOn w:val="a4"/>
  </w:style>
  <w:style w:type="character" w:customStyle="1" w:styleId="Char">
    <w:name w:val="批注文字 Char"/>
    <w:uiPriority w:val="99"/>
    <w:semiHidden/>
    <w:qFormat/>
    <w:rPr>
      <w:kern w:val="2"/>
      <w:sz w:val="21"/>
    </w:rPr>
  </w:style>
  <w:style w:type="character" w:customStyle="1" w:styleId="longtext">
    <w:name w:val="long_text"/>
  </w:style>
  <w:style w:type="character" w:customStyle="1" w:styleId="aff">
    <w:name w:val="标题 字符"/>
    <w:link w:val="afe"/>
    <w:qFormat/>
    <w:rPr>
      <w:rFonts w:ascii="Times New Roman" w:eastAsia="宋体" w:hAnsi="Times New Roman"/>
      <w:b/>
      <w:kern w:val="48"/>
      <w:sz w:val="44"/>
      <w14:numSpacing w14:val="proportional"/>
    </w:rPr>
  </w:style>
  <w:style w:type="character" w:customStyle="1" w:styleId="32">
    <w:name w:val="目录 3 字符"/>
    <w:basedOn w:val="a4"/>
    <w:link w:val="31"/>
    <w:uiPriority w:val="39"/>
    <w:qFormat/>
    <w:rPr>
      <w:rFonts w:ascii="Times New Roman" w:eastAsia="宋体" w:hAnsi="Times New Roman"/>
      <w:kern w:val="0"/>
      <w:sz w:val="22"/>
      <w14:numSpacing w14:val="proportional"/>
    </w:rPr>
  </w:style>
  <w:style w:type="character" w:customStyle="1" w:styleId="a9">
    <w:name w:val="批注文字 字符"/>
    <w:basedOn w:val="a4"/>
    <w:link w:val="a8"/>
    <w:qFormat/>
    <w:rPr>
      <w:rFonts w:ascii="Times New Roman" w:eastAsia="宋体" w:hAnsi="Times New Roman" w:cs="Times New Roman"/>
    </w:rPr>
  </w:style>
  <w:style w:type="character" w:customStyle="1" w:styleId="aff1">
    <w:name w:val="批注主题 字符"/>
    <w:basedOn w:val="a9"/>
    <w:link w:val="aff0"/>
    <w:semiHidden/>
    <w:qFormat/>
    <w:rPr>
      <w:rFonts w:ascii="Times New Roman" w:eastAsia="宋体" w:hAnsi="Times New Roman" w:cs="Times New Roman"/>
      <w:b/>
    </w:rPr>
  </w:style>
  <w:style w:type="character" w:customStyle="1" w:styleId="af9">
    <w:name w:val="脚注文本 字符"/>
    <w:basedOn w:val="a4"/>
    <w:link w:val="af8"/>
    <w:semiHidden/>
    <w:qFormat/>
    <w:rPr>
      <w:rFonts w:ascii="Times New Roman" w:eastAsia="宋体" w:hAnsi="Times New Roman" w:cs="Times New Roman"/>
      <w:sz w:val="18"/>
    </w:rPr>
  </w:style>
  <w:style w:type="character" w:customStyle="1" w:styleId="af3">
    <w:name w:val="页脚 字符"/>
    <w:basedOn w:val="a4"/>
    <w:link w:val="af2"/>
    <w:qFormat/>
    <w:rPr>
      <w:rFonts w:ascii="Times New Roman" w:eastAsia="宋体" w:hAnsi="Times New Roman" w:cs="Times New Roman"/>
    </w:rPr>
  </w:style>
  <w:style w:type="character" w:customStyle="1" w:styleId="af1">
    <w:name w:val="批注框文本 字符"/>
    <w:basedOn w:val="a4"/>
    <w:link w:val="af0"/>
    <w:semiHidden/>
    <w:qFormat/>
    <w:rPr>
      <w:rFonts w:ascii="Times New Roman" w:eastAsia="宋体" w:hAnsi="Times New Roman" w:cs="Times New Roman"/>
      <w:sz w:val="16"/>
    </w:rPr>
  </w:style>
  <w:style w:type="character" w:customStyle="1" w:styleId="Char1">
    <w:name w:val="页眉 Char1"/>
    <w:basedOn w:val="a4"/>
    <w:uiPriority w:val="99"/>
    <w:semiHidden/>
    <w:qFormat/>
    <w:rPr>
      <w:rFonts w:ascii="Times New Roman" w:eastAsia="宋体" w:hAnsi="Times New Roman" w:cs="Times New Roman"/>
      <w:sz w:val="18"/>
    </w:rPr>
  </w:style>
  <w:style w:type="character" w:customStyle="1" w:styleId="af">
    <w:name w:val="日期 字符"/>
    <w:basedOn w:val="a4"/>
    <w:link w:val="ae"/>
    <w:qFormat/>
    <w:rPr>
      <w:rFonts w:ascii="Times New Roman" w:eastAsia="宋体" w:hAnsi="Times New Roman" w:cs="Times New Roman"/>
    </w:rPr>
  </w:style>
  <w:style w:type="character" w:customStyle="1" w:styleId="ad">
    <w:name w:val="纯文本 字符"/>
    <w:basedOn w:val="a4"/>
    <w:link w:val="ac"/>
    <w:uiPriority w:val="99"/>
    <w:qFormat/>
    <w:rPr>
      <w:rFonts w:ascii="宋体" w:eastAsia="宋体" w:hAnsi="Courier New" w:cs="Times New Roman"/>
    </w:rPr>
  </w:style>
  <w:style w:type="paragraph" w:customStyle="1" w:styleId="CM53">
    <w:name w:val="CM53"/>
    <w:basedOn w:val="Default"/>
    <w:next w:val="Default"/>
    <w:pPr>
      <w:spacing w:line="511" w:lineRule="atLeast"/>
    </w:pPr>
    <w:rPr>
      <w:rFonts w:cs="Times New Roman"/>
      <w:color w:val="auto"/>
    </w:rPr>
  </w:style>
  <w:style w:type="paragraph" w:customStyle="1" w:styleId="Default">
    <w:name w:val="Default"/>
    <w:pPr>
      <w:widowControl w:val="0"/>
      <w:autoSpaceDE w:val="0"/>
      <w:autoSpaceDN w:val="0"/>
      <w:adjustRightInd w:val="0"/>
      <w:spacing w:line="360" w:lineRule="atLeast"/>
      <w:jc w:val="both"/>
      <w:textAlignment w:val="baseline"/>
    </w:pPr>
    <w:rPr>
      <w:rFonts w:ascii="宋体" w:eastAsia="宋体" w:hAnsi="Times New Roman" w:cs="宋体"/>
      <w:color w:val="000000"/>
      <w:sz w:val="24"/>
    </w:rPr>
  </w:style>
  <w:style w:type="paragraph" w:customStyle="1" w:styleId="source1">
    <w:name w:val="source1"/>
    <w:basedOn w:val="a3"/>
    <w:pPr>
      <w:spacing w:before="120" w:line="240" w:lineRule="atLeast"/>
      <w:ind w:left="825"/>
    </w:pPr>
    <w:rPr>
      <w:rFonts w:ascii="宋体" w:hAnsi="宋体" w:cs="宋体"/>
      <w:sz w:val="18"/>
    </w:rPr>
  </w:style>
  <w:style w:type="paragraph" w:customStyle="1" w:styleId="CM182">
    <w:name w:val="CM182"/>
    <w:basedOn w:val="Default"/>
    <w:next w:val="Default"/>
    <w:rPr>
      <w:rFonts w:cs="Times New Roman"/>
      <w:color w:val="auto"/>
    </w:rPr>
  </w:style>
  <w:style w:type="paragraph" w:customStyle="1" w:styleId="CM49">
    <w:name w:val="CM49"/>
    <w:basedOn w:val="Default"/>
    <w:next w:val="Default"/>
    <w:pPr>
      <w:spacing w:after="213"/>
    </w:pPr>
    <w:rPr>
      <w:rFonts w:ascii="Arial" w:hAnsi="Arial" w:cs="Times New Roman"/>
      <w:color w:val="auto"/>
    </w:rPr>
  </w:style>
  <w:style w:type="paragraph" w:customStyle="1" w:styleId="CM55">
    <w:name w:val="CM55"/>
    <w:basedOn w:val="Default"/>
    <w:next w:val="Default"/>
    <w:pPr>
      <w:spacing w:after="608"/>
    </w:pPr>
    <w:rPr>
      <w:rFonts w:ascii="Arial" w:hAnsi="Arial" w:cs="Times New Roman"/>
      <w:color w:val="auto"/>
    </w:rPr>
  </w:style>
  <w:style w:type="paragraph" w:customStyle="1" w:styleId="13">
    <w:name w:val="格式1"/>
    <w:basedOn w:val="a3"/>
    <w:next w:val="Style1"/>
    <w:pPr>
      <w:keepNext/>
      <w:keepLines/>
      <w:tabs>
        <w:tab w:val="left" w:pos="360"/>
      </w:tabs>
      <w:spacing w:before="120"/>
      <w:ind w:left="360" w:hanging="360"/>
    </w:pPr>
  </w:style>
  <w:style w:type="paragraph" w:customStyle="1" w:styleId="Style1">
    <w:name w:val="Style1"/>
    <w:basedOn w:val="1"/>
    <w:pPr>
      <w:tabs>
        <w:tab w:val="left" w:pos="567"/>
        <w:tab w:val="left" w:pos="2160"/>
      </w:tabs>
      <w:ind w:left="2160" w:hanging="1800"/>
    </w:pPr>
    <w:rPr>
      <w:sz w:val="24"/>
      <w:u w:color="000000"/>
    </w:rPr>
  </w:style>
  <w:style w:type="paragraph" w:customStyle="1" w:styleId="CM36">
    <w:name w:val="CM36"/>
    <w:basedOn w:val="Default"/>
    <w:next w:val="Default"/>
    <w:pPr>
      <w:spacing w:line="588" w:lineRule="atLeast"/>
    </w:pPr>
    <w:rPr>
      <w:rFonts w:ascii="Arial" w:hAnsi="Arial" w:cs="Times New Roman"/>
      <w:color w:val="auto"/>
    </w:rPr>
  </w:style>
  <w:style w:type="paragraph" w:customStyle="1" w:styleId="CM70">
    <w:name w:val="CM70"/>
    <w:basedOn w:val="a3"/>
    <w:next w:val="a3"/>
    <w:uiPriority w:val="99"/>
    <w:pPr>
      <w:autoSpaceDE w:val="0"/>
      <w:autoSpaceDN w:val="0"/>
    </w:pPr>
  </w:style>
  <w:style w:type="paragraph" w:customStyle="1" w:styleId="Labeling3">
    <w:name w:val="Labeling 3"/>
    <w:basedOn w:val="a3"/>
    <w:next w:val="a3"/>
    <w:pPr>
      <w:keepNext/>
      <w:keepLines/>
      <w:numPr>
        <w:numId w:val="6"/>
      </w:numPr>
      <w:tabs>
        <w:tab w:val="left" w:pos="1584"/>
      </w:tabs>
      <w:spacing w:after="180"/>
      <w:outlineLvl w:val="2"/>
    </w:pPr>
    <w:rPr>
      <w:rFonts w:ascii="Arial" w:hAnsi="Arial"/>
    </w:rPr>
  </w:style>
  <w:style w:type="paragraph" w:customStyle="1" w:styleId="CM63">
    <w:name w:val="CM63"/>
    <w:basedOn w:val="a3"/>
    <w:next w:val="a3"/>
    <w:uiPriority w:val="99"/>
    <w:pPr>
      <w:autoSpaceDE w:val="0"/>
      <w:autoSpaceDN w:val="0"/>
    </w:pPr>
  </w:style>
  <w:style w:type="paragraph" w:customStyle="1" w:styleId="Labeling4">
    <w:name w:val="Labeling 4"/>
    <w:basedOn w:val="Labeling3"/>
    <w:next w:val="a3"/>
    <w:pPr>
      <w:numPr>
        <w:numId w:val="7"/>
      </w:numPr>
      <w:tabs>
        <w:tab w:val="clear" w:pos="1584"/>
        <w:tab w:val="left" w:pos="1944"/>
      </w:tabs>
      <w:outlineLvl w:val="3"/>
    </w:pPr>
    <w:rPr>
      <w:i/>
    </w:rPr>
  </w:style>
  <w:style w:type="paragraph" w:customStyle="1" w:styleId="CM57">
    <w:name w:val="CM57"/>
    <w:basedOn w:val="Default"/>
    <w:next w:val="Default"/>
    <w:pPr>
      <w:spacing w:after="908"/>
    </w:pPr>
    <w:rPr>
      <w:rFonts w:ascii="Arial" w:hAnsi="Arial" w:cs="Times New Roman"/>
      <w:color w:val="auto"/>
    </w:rPr>
  </w:style>
  <w:style w:type="paragraph" w:customStyle="1" w:styleId="CM51">
    <w:name w:val="CM51"/>
    <w:basedOn w:val="Default"/>
    <w:next w:val="Default"/>
    <w:pPr>
      <w:spacing w:after="60"/>
    </w:pPr>
    <w:rPr>
      <w:rFonts w:ascii="Arial" w:hAnsi="Arial" w:cs="Times New Roman"/>
      <w:color w:val="auto"/>
    </w:rPr>
  </w:style>
  <w:style w:type="paragraph" w:customStyle="1" w:styleId="reader-word-layer">
    <w:name w:val="reader-word-layer"/>
    <w:basedOn w:val="a3"/>
    <w:pPr>
      <w:spacing w:before="100" w:beforeAutospacing="1" w:after="100" w:afterAutospacing="1"/>
    </w:pPr>
    <w:rPr>
      <w:rFonts w:ascii="宋体" w:hAnsi="宋体" w:cs="宋体"/>
    </w:rPr>
  </w:style>
  <w:style w:type="paragraph" w:customStyle="1" w:styleId="CM26">
    <w:name w:val="CM26"/>
    <w:basedOn w:val="Default"/>
    <w:next w:val="Default"/>
    <w:pPr>
      <w:spacing w:line="311" w:lineRule="atLeast"/>
    </w:pPr>
    <w:rPr>
      <w:rFonts w:cs="Times New Roman"/>
      <w:color w:val="auto"/>
    </w:rPr>
  </w:style>
  <w:style w:type="paragraph" w:customStyle="1" w:styleId="CM54">
    <w:name w:val="CM54"/>
    <w:basedOn w:val="Default"/>
    <w:next w:val="Default"/>
    <w:pPr>
      <w:spacing w:after="185"/>
    </w:pPr>
    <w:rPr>
      <w:rFonts w:ascii="Arial" w:hAnsi="Arial" w:cs="Times New Roman"/>
      <w:color w:val="auto"/>
    </w:rPr>
  </w:style>
  <w:style w:type="paragraph" w:customStyle="1" w:styleId="C-TableText">
    <w:name w:val="C-Table Text"/>
    <w:pPr>
      <w:spacing w:before="60" w:after="60"/>
    </w:pPr>
    <w:rPr>
      <w:rFonts w:ascii="Times New Roman" w:eastAsia="Times New Roman" w:hAnsi="Times New Roman" w:cs="Times New Roman"/>
      <w:sz w:val="22"/>
    </w:rPr>
  </w:style>
  <w:style w:type="paragraph" w:customStyle="1" w:styleId="CM187">
    <w:name w:val="CM187"/>
    <w:basedOn w:val="Default"/>
    <w:next w:val="Default"/>
    <w:rPr>
      <w:rFonts w:cs="Times New Roman"/>
      <w:color w:val="auto"/>
    </w:rPr>
  </w:style>
  <w:style w:type="paragraph" w:customStyle="1" w:styleId="CM9">
    <w:name w:val="CM9"/>
    <w:basedOn w:val="Default"/>
    <w:next w:val="Default"/>
    <w:pPr>
      <w:spacing w:line="296" w:lineRule="atLeast"/>
    </w:pPr>
    <w:rPr>
      <w:rFonts w:ascii="Arial" w:hAnsi="Arial" w:cs="Times New Roman"/>
      <w:color w:val="auto"/>
    </w:rPr>
  </w:style>
  <w:style w:type="paragraph" w:customStyle="1" w:styleId="CM196">
    <w:name w:val="CM196"/>
    <w:basedOn w:val="Default"/>
    <w:next w:val="Default"/>
    <w:rPr>
      <w:rFonts w:cs="Times New Roman"/>
      <w:color w:val="auto"/>
    </w:rPr>
  </w:style>
  <w:style w:type="paragraph" w:customStyle="1" w:styleId="CM209">
    <w:name w:val="CM209"/>
    <w:basedOn w:val="Default"/>
    <w:next w:val="Default"/>
    <w:rPr>
      <w:rFonts w:cs="Times New Roman"/>
      <w:color w:val="auto"/>
    </w:rPr>
  </w:style>
  <w:style w:type="paragraph" w:customStyle="1" w:styleId="CM190">
    <w:name w:val="CM190"/>
    <w:basedOn w:val="Default"/>
    <w:next w:val="Default"/>
    <w:rPr>
      <w:rFonts w:cs="Times New Roman"/>
      <w:color w:val="auto"/>
    </w:rPr>
  </w:style>
  <w:style w:type="paragraph" w:customStyle="1" w:styleId="CM48">
    <w:name w:val="CM48"/>
    <w:basedOn w:val="Default"/>
    <w:next w:val="Default"/>
    <w:pPr>
      <w:spacing w:after="113"/>
    </w:pPr>
    <w:rPr>
      <w:rFonts w:ascii="Arial" w:hAnsi="Arial" w:cs="Times New Roman"/>
      <w:color w:val="auto"/>
    </w:rPr>
  </w:style>
  <w:style w:type="paragraph" w:customStyle="1" w:styleId="14">
    <w:name w:val="列表段落1"/>
    <w:basedOn w:val="a3"/>
    <w:link w:val="affa"/>
    <w:uiPriority w:val="34"/>
    <w:pPr>
      <w:ind w:firstLine="420"/>
    </w:pPr>
    <w:rPr>
      <w:rFonts w:ascii="宋体" w:hAnsi="宋体" w:cs="宋体"/>
    </w:rPr>
  </w:style>
  <w:style w:type="paragraph" w:customStyle="1" w:styleId="CM3">
    <w:name w:val="CM3"/>
    <w:basedOn w:val="Default"/>
    <w:next w:val="Default"/>
    <w:pPr>
      <w:spacing w:line="433" w:lineRule="atLeast"/>
    </w:pPr>
    <w:rPr>
      <w:rFonts w:cs="Times New Roman"/>
      <w:color w:val="auto"/>
    </w:rPr>
  </w:style>
  <w:style w:type="paragraph" w:customStyle="1" w:styleId="CM183">
    <w:name w:val="CM183"/>
    <w:basedOn w:val="Default"/>
    <w:next w:val="Default"/>
    <w:rPr>
      <w:rFonts w:cs="Times New Roman"/>
      <w:color w:val="auto"/>
    </w:rPr>
  </w:style>
  <w:style w:type="paragraph" w:customStyle="1" w:styleId="Style5">
    <w:name w:val="Style5"/>
    <w:basedOn w:val="3"/>
    <w:pPr>
      <w:tabs>
        <w:tab w:val="left" w:pos="567"/>
      </w:tabs>
      <w:spacing w:before="0"/>
    </w:pPr>
    <w:rPr>
      <w:rFonts w:cs="Times New Roman"/>
      <w:sz w:val="28"/>
    </w:rPr>
  </w:style>
  <w:style w:type="paragraph" w:customStyle="1" w:styleId="CM193">
    <w:name w:val="CM193"/>
    <w:basedOn w:val="Default"/>
    <w:next w:val="Default"/>
    <w:rPr>
      <w:rFonts w:cs="Times New Roman"/>
      <w:color w:val="auto"/>
    </w:rPr>
  </w:style>
  <w:style w:type="paragraph" w:customStyle="1" w:styleId="Style6">
    <w:name w:val="Style6"/>
    <w:basedOn w:val="4"/>
    <w:next w:val="4"/>
    <w:pPr>
      <w:snapToGrid w:val="0"/>
    </w:pPr>
    <w:rPr>
      <w:rFonts w:hAnsi="宋体"/>
    </w:rPr>
  </w:style>
  <w:style w:type="paragraph" w:customStyle="1" w:styleId="15">
    <w:name w:val="修订1"/>
    <w:uiPriority w:val="99"/>
    <w:unhideWhenUsed/>
    <w:rPr>
      <w:rFonts w:ascii="Times New Roman" w:eastAsia="宋体" w:hAnsi="Times New Roman" w:cs="Times New Roman"/>
      <w:kern w:val="2"/>
      <w:sz w:val="21"/>
    </w:rPr>
  </w:style>
  <w:style w:type="paragraph" w:customStyle="1" w:styleId="CM23">
    <w:name w:val="CM23"/>
    <w:basedOn w:val="Default"/>
    <w:next w:val="Default"/>
    <w:pPr>
      <w:spacing w:line="293" w:lineRule="atLeast"/>
    </w:pPr>
    <w:rPr>
      <w:rFonts w:ascii="Arial" w:hAnsi="Arial" w:cs="Times New Roman"/>
      <w:color w:val="auto"/>
    </w:rPr>
  </w:style>
  <w:style w:type="paragraph" w:customStyle="1" w:styleId="CM35">
    <w:name w:val="CM35"/>
    <w:basedOn w:val="Default"/>
    <w:next w:val="Default"/>
    <w:rPr>
      <w:rFonts w:ascii="Arial" w:hAnsi="Arial" w:cs="Times New Roman"/>
      <w:color w:val="auto"/>
    </w:rPr>
  </w:style>
  <w:style w:type="paragraph" w:customStyle="1" w:styleId="CM4">
    <w:name w:val="CM4"/>
    <w:basedOn w:val="Default"/>
    <w:next w:val="Default"/>
    <w:pPr>
      <w:spacing w:line="406" w:lineRule="atLeast"/>
    </w:pPr>
    <w:rPr>
      <w:rFonts w:ascii="Arial" w:hAnsi="Arial" w:cs="Times New Roman"/>
      <w:color w:val="auto"/>
    </w:rPr>
  </w:style>
  <w:style w:type="paragraph" w:customStyle="1" w:styleId="CM59">
    <w:name w:val="CM59"/>
    <w:basedOn w:val="Default"/>
    <w:next w:val="Default"/>
    <w:pPr>
      <w:spacing w:after="2345"/>
    </w:pPr>
    <w:rPr>
      <w:rFonts w:ascii="Arial" w:hAnsi="Arial" w:cs="Times New Roman"/>
      <w:color w:val="auto"/>
    </w:rPr>
  </w:style>
  <w:style w:type="paragraph" w:customStyle="1" w:styleId="16">
    <w:name w:val="列出段落1"/>
    <w:basedOn w:val="a3"/>
    <w:pPr>
      <w:ind w:firstLine="420"/>
    </w:pPr>
    <w:rPr>
      <w:rFonts w:ascii="Calibri" w:hAnsi="Calibri"/>
    </w:rPr>
  </w:style>
  <w:style w:type="paragraph" w:customStyle="1" w:styleId="CM16">
    <w:name w:val="CM16"/>
    <w:basedOn w:val="Default"/>
    <w:next w:val="Default"/>
    <w:rPr>
      <w:rFonts w:ascii="Arial" w:hAnsi="Arial" w:cs="Times New Roman"/>
      <w:color w:val="auto"/>
    </w:rPr>
  </w:style>
  <w:style w:type="paragraph" w:customStyle="1" w:styleId="CM47">
    <w:name w:val="CM47"/>
    <w:basedOn w:val="Default"/>
    <w:next w:val="Default"/>
    <w:pPr>
      <w:spacing w:after="473"/>
    </w:pPr>
    <w:rPr>
      <w:rFonts w:ascii="Arial" w:hAnsi="Arial" w:cs="Times New Roman"/>
      <w:color w:val="auto"/>
    </w:rPr>
  </w:style>
  <w:style w:type="paragraph" w:customStyle="1" w:styleId="CM37">
    <w:name w:val="CM37"/>
    <w:basedOn w:val="Default"/>
    <w:next w:val="Default"/>
    <w:pPr>
      <w:spacing w:line="293" w:lineRule="atLeast"/>
    </w:pPr>
    <w:rPr>
      <w:rFonts w:ascii="Arial" w:hAnsi="Arial" w:cs="Times New Roman"/>
      <w:color w:val="auto"/>
    </w:rPr>
  </w:style>
  <w:style w:type="paragraph" w:customStyle="1" w:styleId="CM6">
    <w:name w:val="CM6"/>
    <w:basedOn w:val="Default"/>
    <w:next w:val="Default"/>
    <w:pPr>
      <w:spacing w:line="313" w:lineRule="atLeast"/>
    </w:pPr>
    <w:rPr>
      <w:rFonts w:cs="Times New Roman"/>
      <w:color w:val="auto"/>
    </w:rPr>
  </w:style>
  <w:style w:type="paragraph" w:customStyle="1" w:styleId="CM46">
    <w:name w:val="CM46"/>
    <w:basedOn w:val="Default"/>
    <w:next w:val="Default"/>
    <w:pPr>
      <w:spacing w:after="298"/>
    </w:pPr>
    <w:rPr>
      <w:rFonts w:ascii="Arial" w:hAnsi="Arial" w:cs="Times New Roman"/>
      <w:color w:val="auto"/>
    </w:rPr>
  </w:style>
  <w:style w:type="paragraph" w:customStyle="1" w:styleId="Style2">
    <w:name w:val="Style2"/>
    <w:basedOn w:val="3"/>
    <w:pPr>
      <w:tabs>
        <w:tab w:val="left" w:pos="567"/>
      </w:tabs>
      <w:spacing w:before="100" w:beforeAutospacing="1" w:after="100" w:afterAutospacing="1"/>
    </w:pPr>
  </w:style>
  <w:style w:type="paragraph" w:customStyle="1" w:styleId="Style3">
    <w:name w:val="Style3"/>
    <w:basedOn w:val="4"/>
  </w:style>
  <w:style w:type="paragraph" w:customStyle="1" w:styleId="TableCellLeft">
    <w:name w:val="Table Cell Left"/>
    <w:basedOn w:val="a3"/>
    <w:pPr>
      <w:keepNext/>
      <w:keepLines/>
      <w:spacing w:before="50" w:after="50" w:line="240" w:lineRule="exact"/>
    </w:pPr>
    <w:rPr>
      <w:rFonts w:ascii="Arial" w:hAnsi="Arial"/>
      <w:sz w:val="20"/>
    </w:rPr>
  </w:style>
  <w:style w:type="paragraph" w:customStyle="1" w:styleId="TableText">
    <w:name w:val="Table Text"/>
    <w:pPr>
      <w:keepNext/>
      <w:keepLines/>
      <w:tabs>
        <w:tab w:val="left" w:pos="360"/>
      </w:tabs>
      <w:suppressAutoHyphens/>
      <w:spacing w:before="40" w:after="40" w:line="240" w:lineRule="atLeast"/>
    </w:pPr>
    <w:rPr>
      <w:rFonts w:ascii="Times New Roman" w:eastAsia="宋体" w:hAnsi="Times New Roman" w:cs="Times New Roman"/>
    </w:rPr>
  </w:style>
  <w:style w:type="paragraph" w:customStyle="1" w:styleId="reference">
    <w:name w:val="reference"/>
    <w:basedOn w:val="a7"/>
    <w:pPr>
      <w:snapToGrid w:val="0"/>
      <w:ind w:left="0" w:firstLine="0"/>
    </w:pPr>
  </w:style>
  <w:style w:type="paragraph" w:customStyle="1" w:styleId="CM43">
    <w:name w:val="CM43"/>
    <w:basedOn w:val="Default"/>
    <w:next w:val="Default"/>
    <w:rPr>
      <w:rFonts w:ascii="Arial" w:hAnsi="Arial" w:cs="Times New Roman"/>
      <w:color w:val="auto"/>
    </w:rPr>
  </w:style>
  <w:style w:type="paragraph" w:customStyle="1" w:styleId="CM13">
    <w:name w:val="CM13"/>
    <w:basedOn w:val="Default"/>
    <w:next w:val="Default"/>
    <w:pPr>
      <w:spacing w:line="293" w:lineRule="atLeast"/>
    </w:pPr>
    <w:rPr>
      <w:rFonts w:ascii="Arial" w:hAnsi="Arial" w:cs="Times New Roman"/>
      <w:color w:val="auto"/>
    </w:rPr>
  </w:style>
  <w:style w:type="paragraph" w:customStyle="1" w:styleId="Style4">
    <w:name w:val="Style4"/>
    <w:basedOn w:val="4"/>
  </w:style>
  <w:style w:type="paragraph" w:customStyle="1" w:styleId="CM58">
    <w:name w:val="CM58"/>
    <w:basedOn w:val="Default"/>
    <w:next w:val="Default"/>
    <w:pPr>
      <w:spacing w:after="2093"/>
    </w:pPr>
    <w:rPr>
      <w:rFonts w:ascii="Arial" w:hAnsi="Arial" w:cs="Times New Roman"/>
      <w:color w:val="auto"/>
    </w:rPr>
  </w:style>
  <w:style w:type="paragraph" w:customStyle="1" w:styleId="CM184">
    <w:name w:val="CM184"/>
    <w:basedOn w:val="Default"/>
    <w:next w:val="Default"/>
    <w:rPr>
      <w:rFonts w:cs="Times New Roman"/>
      <w:color w:val="auto"/>
    </w:rPr>
  </w:style>
  <w:style w:type="paragraph" w:customStyle="1" w:styleId="affb">
    <w:name w:val="新样式一"/>
    <w:basedOn w:val="a3"/>
    <w:pPr>
      <w:tabs>
        <w:tab w:val="right" w:pos="8366"/>
      </w:tabs>
      <w:autoSpaceDE w:val="0"/>
      <w:autoSpaceDN w:val="0"/>
      <w:spacing w:line="355" w:lineRule="exact"/>
    </w:pPr>
  </w:style>
  <w:style w:type="paragraph" w:customStyle="1" w:styleId="NumberedList">
    <w:name w:val="Numbered List"/>
    <w:pPr>
      <w:numPr>
        <w:numId w:val="8"/>
      </w:numPr>
      <w:suppressAutoHyphens/>
      <w:spacing w:before="120" w:after="120" w:line="360" w:lineRule="atLeast"/>
    </w:pPr>
    <w:rPr>
      <w:rFonts w:ascii="Times New Roman" w:eastAsia="宋体" w:hAnsi="Times New Roman" w:cs="Times New Roman"/>
      <w:sz w:val="24"/>
    </w:rPr>
  </w:style>
  <w:style w:type="paragraph" w:customStyle="1" w:styleId="Spacer">
    <w:name w:val="Spacer"/>
    <w:basedOn w:val="a3"/>
    <w:rPr>
      <w:rFonts w:eastAsia="Batang"/>
      <w:sz w:val="16"/>
    </w:rPr>
  </w:style>
  <w:style w:type="paragraph" w:customStyle="1" w:styleId="CM8">
    <w:name w:val="CM8"/>
    <w:basedOn w:val="Default"/>
    <w:next w:val="Default"/>
    <w:pPr>
      <w:spacing w:line="293" w:lineRule="atLeast"/>
    </w:pPr>
    <w:rPr>
      <w:rFonts w:ascii="Arial" w:hAnsi="Arial" w:cs="Times New Roman"/>
      <w:color w:val="auto"/>
    </w:rPr>
  </w:style>
  <w:style w:type="paragraph" w:customStyle="1" w:styleId="Ref-List">
    <w:name w:val="Ref-List"/>
    <w:pPr>
      <w:numPr>
        <w:numId w:val="9"/>
      </w:numPr>
      <w:spacing w:before="120" w:after="120"/>
    </w:pPr>
    <w:rPr>
      <w:rFonts w:ascii="Times New Roman" w:eastAsia="Batang" w:hAnsi="Times New Roman" w:cs="Times New Roman"/>
      <w:sz w:val="24"/>
    </w:rPr>
  </w:style>
  <w:style w:type="paragraph" w:customStyle="1" w:styleId="CM10">
    <w:name w:val="CM10"/>
    <w:basedOn w:val="Default"/>
    <w:next w:val="Default"/>
    <w:pPr>
      <w:spacing w:line="488" w:lineRule="atLeast"/>
    </w:pPr>
    <w:rPr>
      <w:rFonts w:cs="Times New Roman"/>
      <w:color w:val="auto"/>
    </w:rPr>
  </w:style>
  <w:style w:type="paragraph" w:customStyle="1" w:styleId="CM56">
    <w:name w:val="CM56"/>
    <w:basedOn w:val="Default"/>
    <w:next w:val="Default"/>
    <w:pPr>
      <w:spacing w:after="245"/>
    </w:pPr>
    <w:rPr>
      <w:rFonts w:ascii="Arial" w:hAnsi="Arial" w:cs="Times New Roman"/>
      <w:color w:val="auto"/>
    </w:rPr>
  </w:style>
  <w:style w:type="paragraph" w:customStyle="1" w:styleId="CM44">
    <w:name w:val="CM44"/>
    <w:basedOn w:val="Default"/>
    <w:next w:val="Default"/>
    <w:rPr>
      <w:rFonts w:ascii="Arial" w:hAnsi="Arial" w:cs="Times New Roman"/>
      <w:color w:val="auto"/>
    </w:rPr>
  </w:style>
  <w:style w:type="paragraph" w:customStyle="1" w:styleId="CM7">
    <w:name w:val="CM7"/>
    <w:basedOn w:val="Default"/>
    <w:next w:val="Default"/>
    <w:pPr>
      <w:spacing w:line="293" w:lineRule="atLeast"/>
    </w:pPr>
    <w:rPr>
      <w:rFonts w:ascii="Arial" w:hAnsi="Arial" w:cs="Times New Roman"/>
      <w:color w:val="auto"/>
    </w:rPr>
  </w:style>
  <w:style w:type="paragraph" w:customStyle="1" w:styleId="CM52">
    <w:name w:val="CM52"/>
    <w:basedOn w:val="Default"/>
    <w:next w:val="Default"/>
    <w:pPr>
      <w:spacing w:line="511" w:lineRule="atLeast"/>
    </w:pPr>
    <w:rPr>
      <w:rFonts w:cs="Times New Roman"/>
      <w:color w:val="auto"/>
    </w:rPr>
  </w:style>
  <w:style w:type="paragraph" w:customStyle="1" w:styleId="CM2">
    <w:name w:val="CM2"/>
    <w:basedOn w:val="Default"/>
    <w:next w:val="Default"/>
    <w:rPr>
      <w:rFonts w:ascii="Arial" w:hAnsi="Arial" w:cs="Times New Roman"/>
      <w:color w:val="auto"/>
    </w:rPr>
  </w:style>
  <w:style w:type="paragraph" w:customStyle="1" w:styleId="CM60">
    <w:name w:val="CM60"/>
    <w:basedOn w:val="Default"/>
    <w:next w:val="Default"/>
    <w:pPr>
      <w:spacing w:after="1183"/>
    </w:pPr>
    <w:rPr>
      <w:rFonts w:ascii="Arial" w:hAnsi="Arial" w:cs="Times New Roman"/>
      <w:color w:val="auto"/>
    </w:rPr>
  </w:style>
  <w:style w:type="paragraph" w:customStyle="1" w:styleId="CM45">
    <w:name w:val="CM45"/>
    <w:basedOn w:val="Default"/>
    <w:next w:val="Default"/>
    <w:rPr>
      <w:rFonts w:ascii="Arial" w:hAnsi="Arial" w:cs="Times New Roman"/>
      <w:color w:val="auto"/>
    </w:rPr>
  </w:style>
  <w:style w:type="paragraph" w:customStyle="1" w:styleId="affc">
    <w:name w:val="！正文"/>
    <w:link w:val="Char0"/>
    <w:pPr>
      <w:widowControl w:val="0"/>
      <w:spacing w:line="360" w:lineRule="auto"/>
      <w:ind w:firstLineChars="200" w:firstLine="200"/>
      <w:jc w:val="both"/>
    </w:pPr>
    <w:rPr>
      <w:rFonts w:ascii="Times New Roman" w:eastAsia="宋体" w:hAnsi="Times New Roman" w:cs="Times New Roman"/>
      <w:color w:val="000000"/>
      <w:kern w:val="2"/>
      <w:sz w:val="24"/>
      <w:u w:color="000000"/>
    </w:rPr>
  </w:style>
  <w:style w:type="character" w:customStyle="1" w:styleId="affa">
    <w:name w:val="列表段落 字符"/>
    <w:basedOn w:val="a4"/>
    <w:link w:val="14"/>
    <w:uiPriority w:val="34"/>
    <w:rPr>
      <w:rFonts w:ascii="宋体" w:eastAsia="宋体" w:hAnsi="宋体" w:cs="宋体"/>
      <w:kern w:val="0"/>
      <w:sz w:val="24"/>
    </w:rPr>
  </w:style>
  <w:style w:type="paragraph" w:customStyle="1" w:styleId="17">
    <w:name w:val="无间隔1"/>
    <w:link w:val="affd"/>
    <w:uiPriority w:val="1"/>
    <w:pPr>
      <w:widowControl w:val="0"/>
      <w:suppressAutoHyphens/>
      <w:topLinePunct/>
      <w:jc w:val="both"/>
    </w:pPr>
    <w:rPr>
      <w:rFonts w:ascii="Times New Roman" w:eastAsia="宋体" w:hAnsi="Times New Roman"/>
      <w:sz w:val="21"/>
      <w14:numSpacing w14:val="proportional"/>
    </w:rPr>
  </w:style>
  <w:style w:type="paragraph" w:customStyle="1" w:styleId="TOC1">
    <w:name w:val="TOC 标题1"/>
    <w:basedOn w:val="1"/>
    <w:next w:val="a3"/>
    <w:uiPriority w:val="39"/>
    <w:unhideWhenUsed/>
    <w:pPr>
      <w:keepLines/>
      <w:spacing w:before="480" w:after="0" w:line="276" w:lineRule="auto"/>
      <w:outlineLvl w:val="9"/>
    </w:pPr>
    <w:rPr>
      <w:rFonts w:asciiTheme="majorHAnsi" w:eastAsiaTheme="majorEastAsia" w:hAnsiTheme="majorHAnsi" w:cstheme="majorBidi"/>
      <w:color w:val="2E74B5" w:themeColor="accent1" w:themeShade="BF"/>
      <w:kern w:val="0"/>
      <w:sz w:val="28"/>
    </w:rPr>
  </w:style>
  <w:style w:type="paragraph" w:customStyle="1" w:styleId="affe">
    <w:name w:val="报告正文"/>
    <w:basedOn w:val="a3"/>
    <w:link w:val="Char2"/>
    <w:pPr>
      <w:spacing w:beforeLines="50" w:afterLines="50" w:line="300" w:lineRule="auto"/>
    </w:pPr>
  </w:style>
  <w:style w:type="character" w:customStyle="1" w:styleId="Char2">
    <w:name w:val="报告正文 Char"/>
    <w:basedOn w:val="a4"/>
    <w:link w:val="affe"/>
    <w:rPr>
      <w:rFonts w:ascii="Times New Roman" w:eastAsia="宋体" w:hAnsi="Times New Roman"/>
      <w:sz w:val="24"/>
    </w:rPr>
  </w:style>
  <w:style w:type="character" w:customStyle="1" w:styleId="90">
    <w:name w:val="标题 9 字符"/>
    <w:basedOn w:val="a4"/>
    <w:link w:val="9"/>
    <w:uiPriority w:val="9"/>
    <w:rPr>
      <w:rFonts w:asciiTheme="majorHAnsi" w:eastAsiaTheme="majorEastAsia" w:hAnsiTheme="majorHAnsi" w:cstheme="majorBidi"/>
      <w:sz w:val="24"/>
      <w14:numSpacing w14:val="proportional"/>
    </w:rPr>
  </w:style>
  <w:style w:type="character" w:customStyle="1" w:styleId="ref-journal">
    <w:name w:val="ref-journal"/>
    <w:basedOn w:val="a4"/>
  </w:style>
  <w:style w:type="character" w:customStyle="1" w:styleId="ref-vol">
    <w:name w:val="ref-vol"/>
    <w:basedOn w:val="a4"/>
  </w:style>
  <w:style w:type="table" w:customStyle="1" w:styleId="18">
    <w:name w:val="网格型1"/>
    <w:basedOn w:val="a5"/>
    <w:uiPriority w:val="39"/>
    <w:qFormat/>
    <w:pPr>
      <w:widowControl w:val="0"/>
      <w:adjustRightInd w:val="0"/>
      <w:spacing w:line="360" w:lineRule="atLeast"/>
      <w:jc w:val="both"/>
      <w:textAlignment w:val="baseline"/>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网格型3"/>
    <w:basedOn w:val="a5"/>
    <w:uiPriority w:val="59"/>
    <w:qFormat/>
    <w:pPr>
      <w:widowControl w:val="0"/>
      <w:adjustRightInd w:val="0"/>
      <w:spacing w:line="360" w:lineRule="atLeast"/>
      <w:jc w:val="both"/>
      <w:textAlignment w:val="baseline"/>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d">
    <w:name w:val="无间隔 字符"/>
    <w:basedOn w:val="a4"/>
    <w:link w:val="17"/>
    <w:uiPriority w:val="1"/>
    <w:rPr>
      <w:rFonts w:ascii="Times New Roman" w:eastAsia="宋体" w:hAnsi="Times New Roman"/>
      <w:kern w:val="0"/>
      <w14:numSpacing w14:val="proportional"/>
    </w:rPr>
  </w:style>
  <w:style w:type="paragraph" w:customStyle="1" w:styleId="a0">
    <w:name w:val="小标题"/>
    <w:next w:val="a3"/>
    <w:link w:val="afff"/>
    <w:qFormat/>
    <w:pPr>
      <w:widowControl w:val="0"/>
      <w:numPr>
        <w:numId w:val="10"/>
      </w:numPr>
      <w:suppressAutoHyphens/>
      <w:topLinePunct/>
      <w:spacing w:beforeLines="50" w:before="50" w:line="360" w:lineRule="auto"/>
    </w:pPr>
    <w:rPr>
      <w:rFonts w:ascii="Times New Roman" w:eastAsia="宋体" w:hAnsi="Times New Roman"/>
      <w:b/>
      <w:sz w:val="24"/>
      <w14:numSpacing w14:val="proportional"/>
    </w:rPr>
  </w:style>
  <w:style w:type="paragraph" w:customStyle="1" w:styleId="afff0">
    <w:name w:val="表格内容"/>
    <w:next w:val="a3"/>
    <w:link w:val="afff1"/>
    <w:qFormat/>
    <w:pPr>
      <w:widowControl w:val="0"/>
      <w:suppressAutoHyphens/>
      <w:topLinePunct/>
      <w:spacing w:line="400" w:lineRule="exact"/>
      <w:jc w:val="both"/>
    </w:pPr>
    <w:rPr>
      <w:rFonts w:ascii="Times New Roman" w:eastAsia="宋体" w:hAnsi="Times New Roman"/>
      <w:sz w:val="22"/>
      <w14:numSpacing w14:val="proportional"/>
    </w:rPr>
  </w:style>
  <w:style w:type="character" w:customStyle="1" w:styleId="afff">
    <w:name w:val="小标题 字符"/>
    <w:basedOn w:val="a4"/>
    <w:link w:val="a0"/>
    <w:rPr>
      <w:rFonts w:ascii="Times New Roman" w:eastAsia="宋体" w:hAnsi="Times New Roman"/>
      <w:b/>
      <w:sz w:val="24"/>
      <w14:numSpacing w14:val="proportional"/>
    </w:rPr>
  </w:style>
  <w:style w:type="character" w:customStyle="1" w:styleId="afff1">
    <w:name w:val="表格内容 字符"/>
    <w:basedOn w:val="a4"/>
    <w:link w:val="afff0"/>
    <w:rPr>
      <w:rFonts w:ascii="Times New Roman" w:eastAsia="宋体" w:hAnsi="Times New Roman"/>
      <w:kern w:val="0"/>
      <w:sz w:val="22"/>
      <w14:numSpacing w14:val="proportional"/>
    </w:rPr>
  </w:style>
  <w:style w:type="paragraph" w:customStyle="1" w:styleId="afff2">
    <w:name w:val="表格标题"/>
    <w:next w:val="a3"/>
    <w:link w:val="afff3"/>
    <w:qFormat/>
    <w:pPr>
      <w:widowControl w:val="0"/>
      <w:suppressAutoHyphens/>
      <w:topLinePunct/>
      <w:spacing w:before="120" w:line="400" w:lineRule="exact"/>
      <w:jc w:val="center"/>
    </w:pPr>
    <w:rPr>
      <w:rFonts w:ascii="Times New Roman" w:eastAsia="宋体" w:hAnsi="Times New Roman"/>
      <w:b/>
      <w:color w:val="000000"/>
      <w:kern w:val="24"/>
      <w:sz w:val="22"/>
      <w14:numSpacing w14:val="proportional"/>
    </w:rPr>
  </w:style>
  <w:style w:type="paragraph" w:customStyle="1" w:styleId="afff4">
    <w:name w:val="图片格式"/>
    <w:next w:val="a3"/>
    <w:link w:val="afff5"/>
    <w:qFormat/>
    <w:pPr>
      <w:widowControl w:val="0"/>
      <w:suppressAutoHyphens/>
      <w:topLinePunct/>
      <w:jc w:val="center"/>
    </w:pPr>
    <w:rPr>
      <w:rFonts w:ascii="Times New Roman" w:eastAsia="宋体" w:hAnsi="Times New Roman"/>
      <w:color w:val="000000"/>
      <w:sz w:val="22"/>
      <w14:numSpacing w14:val="proportional"/>
    </w:rPr>
  </w:style>
  <w:style w:type="character" w:customStyle="1" w:styleId="afff3">
    <w:name w:val="表格标题 字符"/>
    <w:basedOn w:val="a4"/>
    <w:link w:val="afff2"/>
    <w:rPr>
      <w:rFonts w:ascii="Times New Roman" w:eastAsia="宋体" w:hAnsi="Times New Roman"/>
      <w:b/>
      <w:color w:val="000000"/>
      <w:kern w:val="24"/>
      <w:sz w:val="22"/>
      <w14:numSpacing w14:val="proportional"/>
    </w:rPr>
  </w:style>
  <w:style w:type="paragraph" w:customStyle="1" w:styleId="afff6">
    <w:name w:val="图片标题"/>
    <w:next w:val="17"/>
    <w:link w:val="afff7"/>
    <w:qFormat/>
    <w:pPr>
      <w:widowControl w:val="0"/>
      <w:suppressAutoHyphens/>
      <w:topLinePunct/>
      <w:spacing w:after="240"/>
      <w:jc w:val="center"/>
    </w:pPr>
    <w:rPr>
      <w:rFonts w:ascii="Times New Roman" w:eastAsia="宋体" w:hAnsi="Times New Roman"/>
      <w:b/>
      <w:color w:val="000000"/>
      <w:sz w:val="21"/>
      <w14:numSpacing w14:val="proportional"/>
    </w:rPr>
  </w:style>
  <w:style w:type="character" w:customStyle="1" w:styleId="afff5">
    <w:name w:val="图片格式 字符"/>
    <w:basedOn w:val="a4"/>
    <w:link w:val="afff4"/>
    <w:rPr>
      <w:rFonts w:ascii="Times New Roman" w:eastAsia="宋体" w:hAnsi="Times New Roman"/>
      <w:color w:val="000000"/>
      <w:kern w:val="0"/>
      <w:sz w:val="22"/>
      <w14:numSpacing w14:val="proportional"/>
    </w:rPr>
  </w:style>
  <w:style w:type="character" w:customStyle="1" w:styleId="afff7">
    <w:name w:val="图片标题 字符"/>
    <w:basedOn w:val="a4"/>
    <w:link w:val="afff6"/>
    <w:rPr>
      <w:rFonts w:ascii="Times New Roman" w:eastAsia="宋体" w:hAnsi="Times New Roman"/>
      <w:b/>
      <w:color w:val="000000"/>
      <w:kern w:val="0"/>
      <w14:numSpacing w14:val="proportional"/>
    </w:rPr>
  </w:style>
  <w:style w:type="character" w:customStyle="1" w:styleId="af7">
    <w:name w:val="副标题 字符"/>
    <w:basedOn w:val="a4"/>
    <w:link w:val="af6"/>
    <w:uiPriority w:val="11"/>
    <w:rPr>
      <w:rFonts w:ascii="Times New Roman" w:eastAsia="宋体" w:hAnsi="Times New Roman"/>
      <w:b/>
      <w:kern w:val="32"/>
      <w:sz w:val="30"/>
      <w14:numSpacing w14:val="proportional"/>
    </w:rPr>
  </w:style>
  <w:style w:type="character" w:customStyle="1" w:styleId="19">
    <w:name w:val="未处理的提及1"/>
    <w:basedOn w:val="a4"/>
    <w:uiPriority w:val="99"/>
    <w:unhideWhenUsed/>
    <w:rPr>
      <w:color w:val="605E5C"/>
      <w:shd w:val="clear" w:color="auto" w:fill="E1DFDD"/>
    </w:rPr>
  </w:style>
  <w:style w:type="paragraph" w:customStyle="1" w:styleId="afff8">
    <w:name w:val="备注"/>
    <w:basedOn w:val="a3"/>
    <w:link w:val="afff9"/>
    <w:qFormat/>
    <w:pPr>
      <w:spacing w:line="240" w:lineRule="auto"/>
    </w:pPr>
    <w:rPr>
      <w:sz w:val="22"/>
    </w:rPr>
  </w:style>
  <w:style w:type="character" w:customStyle="1" w:styleId="afff9">
    <w:name w:val="备注 字符"/>
    <w:basedOn w:val="a4"/>
    <w:link w:val="afff8"/>
    <w:rPr>
      <w:rFonts w:ascii="Times New Roman" w:eastAsia="宋体" w:hAnsi="Times New Roman"/>
      <w:kern w:val="0"/>
      <w:sz w:val="22"/>
      <w14:numSpacing w14:val="proportional"/>
    </w:rPr>
  </w:style>
  <w:style w:type="table" w:customStyle="1" w:styleId="24">
    <w:name w:val="网格型2"/>
    <w:basedOn w:val="a5"/>
    <w:uiPriority w:val="39"/>
    <w:qFormat/>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
    <w:basedOn w:val="a5"/>
    <w:uiPriority w:val="39"/>
    <w:qFormat/>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摘要条目"/>
    <w:link w:val="afffa"/>
    <w:qFormat/>
    <w:pPr>
      <w:widowControl w:val="0"/>
      <w:numPr>
        <w:numId w:val="11"/>
      </w:numPr>
      <w:suppressAutoHyphens/>
      <w:topLinePunct/>
      <w:spacing w:line="400" w:lineRule="exact"/>
      <w:jc w:val="both"/>
    </w:pPr>
    <w:rPr>
      <w:rFonts w:ascii="Times New Roman" w:eastAsia="宋体" w:hAnsi="Times New Roman" w:cs="Times New Roman"/>
      <w:sz w:val="24"/>
      <w14:numSpacing w14:val="proportional"/>
    </w:rPr>
  </w:style>
  <w:style w:type="character" w:customStyle="1" w:styleId="afffa">
    <w:name w:val="摘要条目 字符"/>
    <w:basedOn w:val="a4"/>
    <w:link w:val="a1"/>
    <w:rPr>
      <w:rFonts w:ascii="Times New Roman" w:eastAsia="宋体" w:hAnsi="Times New Roman" w:cs="Times New Roman"/>
      <w:sz w:val="24"/>
      <w14:numSpacing w14:val="proportional"/>
    </w:rPr>
  </w:style>
  <w:style w:type="paragraph" w:customStyle="1" w:styleId="afffb">
    <w:name w:val="摘要正文"/>
    <w:link w:val="afffc"/>
    <w:qFormat/>
    <w:pPr>
      <w:widowControl w:val="0"/>
      <w:suppressAutoHyphens/>
      <w:topLinePunct/>
      <w:spacing w:line="400" w:lineRule="exact"/>
      <w:ind w:firstLineChars="200" w:firstLine="200"/>
      <w:jc w:val="both"/>
    </w:pPr>
    <w:rPr>
      <w:rFonts w:ascii="Times New Roman" w:eastAsia="宋体" w:hAnsi="Times New Roman" w:cs="Times New Roman"/>
      <w:sz w:val="24"/>
      <w14:numSpacing w14:val="proportional"/>
    </w:rPr>
  </w:style>
  <w:style w:type="character" w:customStyle="1" w:styleId="afffc">
    <w:name w:val="摘要正文 字符"/>
    <w:basedOn w:val="a4"/>
    <w:link w:val="afffb"/>
    <w:rPr>
      <w:rFonts w:ascii="Times New Roman" w:eastAsia="宋体" w:hAnsi="Times New Roman" w:cs="Times New Roman"/>
      <w:kern w:val="0"/>
      <w:sz w:val="24"/>
      <w14:numSpacing w14:val="proportional"/>
    </w:rPr>
  </w:style>
  <w:style w:type="character" w:customStyle="1" w:styleId="Char0">
    <w:name w:val="！正文 Char"/>
    <w:link w:val="affc"/>
    <w:rPr>
      <w:rFonts w:ascii="Times New Roman" w:eastAsia="宋体" w:hAnsi="Times New Roman" w:cs="Times New Roman"/>
      <w:color w:val="000000"/>
      <w:sz w:val="24"/>
      <w:u w:color="000000"/>
    </w:rPr>
  </w:style>
  <w:style w:type="paragraph" w:customStyle="1" w:styleId="a2">
    <w:name w:val="正文条目"/>
    <w:basedOn w:val="a3"/>
    <w:link w:val="afffd"/>
    <w:qFormat/>
    <w:pPr>
      <w:numPr>
        <w:numId w:val="12"/>
      </w:numPr>
      <w:ind w:left="964" w:hanging="482"/>
    </w:pPr>
  </w:style>
  <w:style w:type="table" w:customStyle="1" w:styleId="52">
    <w:name w:val="网格型5"/>
    <w:basedOn w:val="a5"/>
    <w:uiPriority w:val="39"/>
    <w:qFormat/>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d">
    <w:name w:val="正文条目 字符"/>
    <w:basedOn w:val="a4"/>
    <w:link w:val="a2"/>
    <w:rPr>
      <w:rFonts w:ascii="Times New Roman" w:eastAsia="Times New Roman" w:hAnsi="Times New Roman"/>
      <w:sz w:val="24"/>
      <w14:numSpacing w14:val="proportional"/>
    </w:rPr>
  </w:style>
  <w:style w:type="paragraph" w:customStyle="1" w:styleId="zl">
    <w:name w:val="zl"/>
    <w:basedOn w:val="a3"/>
    <w:pPr>
      <w:widowControl/>
      <w:suppressAutoHyphens w:val="0"/>
      <w:topLinePunct w:val="0"/>
      <w:spacing w:line="400" w:lineRule="exact"/>
      <w:jc w:val="left"/>
    </w:pPr>
    <w:rPr>
      <w:rFonts w:ascii="宋体" w:hAnsi="宋体" w:cs="宋体"/>
      <w14:numSpacing w14:val="default"/>
    </w:rPr>
  </w:style>
  <w:style w:type="paragraph" w:customStyle="1" w:styleId="afffe">
    <w:name w:val="条目"/>
    <w:link w:val="affff"/>
    <w:pPr>
      <w:widowControl w:val="0"/>
      <w:suppressAutoHyphens/>
      <w:topLinePunct/>
      <w:spacing w:line="400" w:lineRule="exact"/>
      <w:ind w:left="369" w:hanging="369"/>
      <w:jc w:val="both"/>
    </w:pPr>
    <w:rPr>
      <w:rFonts w:ascii="Times New Roman" w:eastAsia="宋体" w:hAnsi="Times New Roman" w:cs="Times New Roman"/>
      <w:sz w:val="24"/>
      <w14:numSpacing w14:val="proportional"/>
    </w:rPr>
  </w:style>
  <w:style w:type="character" w:customStyle="1" w:styleId="affff">
    <w:name w:val="条目 字符"/>
    <w:basedOn w:val="a4"/>
    <w:link w:val="afffe"/>
    <w:rPr>
      <w:rFonts w:ascii="Times New Roman" w:eastAsia="宋体" w:hAnsi="Times New Roman" w:cs="Times New Roman"/>
      <w:kern w:val="0"/>
      <w:sz w:val="24"/>
      <w14:numSpacing w14:val="proportional"/>
    </w:rPr>
  </w:style>
  <w:style w:type="table" w:customStyle="1" w:styleId="TableNormal">
    <w:name w:val="Table Normal"/>
    <w:uiPriority w:val="2"/>
    <w:unhideWhenUsed/>
    <w:qFormat/>
    <w:pPr>
      <w:widowControl w:val="0"/>
    </w:pPr>
    <w:rPr>
      <w:sz w:val="22"/>
    </w:rPr>
    <w:tblPr>
      <w:tblCellMar>
        <w:top w:w="0" w:type="dxa"/>
        <w:left w:w="0" w:type="dxa"/>
        <w:bottom w:w="0" w:type="dxa"/>
        <w:right w:w="0" w:type="dxa"/>
      </w:tblCellMar>
    </w:tblPr>
  </w:style>
  <w:style w:type="paragraph" w:customStyle="1" w:styleId="TableParagraph">
    <w:name w:val="Table Paragraph"/>
    <w:basedOn w:val="a3"/>
    <w:uiPriority w:val="1"/>
    <w:qFormat/>
    <w:pPr>
      <w:suppressAutoHyphens w:val="0"/>
      <w:topLinePunct w:val="0"/>
      <w:spacing w:line="240" w:lineRule="auto"/>
      <w:jc w:val="left"/>
    </w:pPr>
    <w:rPr>
      <w:rFonts w:asciiTheme="minorHAnsi" w:eastAsiaTheme="minorEastAsia" w:hAnsiTheme="minorHAnsi"/>
      <w:sz w:val="22"/>
      <w14:numSpacing w14:val="default"/>
    </w:rPr>
  </w:style>
  <w:style w:type="character" w:customStyle="1" w:styleId="ab">
    <w:name w:val="正文文本 字符"/>
    <w:link w:val="aa"/>
    <w:rPr>
      <w:sz w:val="24"/>
    </w:rPr>
  </w:style>
  <w:style w:type="character" w:customStyle="1" w:styleId="1a">
    <w:name w:val="正文文本 字符1"/>
    <w:basedOn w:val="a4"/>
    <w:semiHidden/>
    <w:rPr>
      <w:rFonts w:ascii="Times New Roman" w:eastAsia="宋体" w:hAnsi="Times New Roman"/>
      <w:kern w:val="0"/>
      <w:sz w:val="24"/>
      <w14:numSpacing w14:val="proportional"/>
    </w:rPr>
  </w:style>
  <w:style w:type="character" w:customStyle="1" w:styleId="high-light-bg4">
    <w:name w:val="high-light-bg4"/>
    <w:basedOn w:val="a4"/>
  </w:style>
  <w:style w:type="paragraph" w:styleId="affff0">
    <w:name w:val="List Paragraph"/>
    <w:basedOn w:val="a3"/>
    <w:uiPriority w:val="34"/>
    <w:qFormat/>
    <w:pPr>
      <w:ind w:firstLine="420"/>
    </w:pPr>
  </w:style>
  <w:style w:type="paragraph" w:customStyle="1" w:styleId="25">
    <w:name w:val="修订2"/>
    <w:hidden/>
    <w:uiPriority w:val="99"/>
    <w:semiHidden/>
    <w:rPr>
      <w:rFonts w:ascii="Times New Roman" w:eastAsia="宋体" w:hAnsi="Times New Roman"/>
      <w:sz w:val="24"/>
      <w14:numSpacing w14:val="proportional"/>
    </w:rPr>
  </w:style>
  <w:style w:type="paragraph" w:customStyle="1" w:styleId="P68B1DB1-331">
    <w:name w:val="P68B1DB1-331"/>
    <w:basedOn w:val="afe"/>
    <w:rPr>
      <w:rFonts w:hint="eastAsia"/>
    </w:rPr>
  </w:style>
  <w:style w:type="paragraph" w:customStyle="1" w:styleId="P68B1DB1-12">
    <w:name w:val="P68B1DB1-12"/>
    <w:basedOn w:val="a3"/>
    <w:rPr>
      <w:rFonts w:cs="Times New Roman" w:hint="eastAsia"/>
      <w:kern w:val="2"/>
      <w14:numSpacing w14:val="default"/>
    </w:rPr>
  </w:style>
  <w:style w:type="paragraph" w:customStyle="1" w:styleId="P68B1DB1-13">
    <w:name w:val="P68B1DB1-13"/>
    <w:basedOn w:val="a3"/>
    <w:rPr>
      <w:rFonts w:cs="Times New Roman"/>
      <w:kern w:val="2"/>
      <w14:numSpacing w14:val="default"/>
    </w:rPr>
  </w:style>
  <w:style w:type="paragraph" w:customStyle="1" w:styleId="P68B1DB1-14">
    <w:name w:val="P68B1DB1-14"/>
    <w:basedOn w:val="a3"/>
    <w:rPr>
      <w:rFonts w:cs="Times New Roman"/>
      <w:kern w:val="2"/>
      <w14:numSpacing w14:val="default"/>
    </w:rPr>
  </w:style>
  <w:style w:type="paragraph" w:customStyle="1" w:styleId="P68B1DB1-15">
    <w:name w:val="P68B1DB1-15"/>
    <w:basedOn w:val="a3"/>
    <w:rPr>
      <w:rFonts w:cs="Times New Roman" w:hint="eastAsia"/>
      <w:b/>
      <w:kern w:val="2"/>
      <w:sz w:val="21"/>
      <w14:numSpacing w14:val="default"/>
    </w:rPr>
  </w:style>
  <w:style w:type="paragraph" w:customStyle="1" w:styleId="P68B1DB1-16">
    <w:name w:val="P68B1DB1-16"/>
    <w:basedOn w:val="a3"/>
    <w:rPr>
      <w:rFonts w:ascii="宋体" w:hAnsi="宋体" w:cs="Arial" w:hint="eastAsia"/>
      <w:sz w:val="21"/>
    </w:rPr>
  </w:style>
  <w:style w:type="paragraph" w:customStyle="1" w:styleId="P68B1DB1-337">
    <w:name w:val="P68B1DB1-337"/>
    <w:basedOn w:val="afe"/>
    <w:rPr>
      <w:rFonts w:hint="eastAsia"/>
      <w:sz w:val="30"/>
      <w:u w:color="000000"/>
    </w:rPr>
  </w:style>
  <w:style w:type="paragraph" w:customStyle="1" w:styleId="P68B1DB1-18">
    <w:name w:val="P68B1DB1-18"/>
    <w:basedOn w:val="a3"/>
    <w:rPr>
      <w:rFonts w:cs="Times New Roman" w:hint="eastAsia"/>
    </w:rPr>
  </w:style>
  <w:style w:type="paragraph" w:customStyle="1" w:styleId="P68B1DB1-19">
    <w:name w:val="P68B1DB1-19"/>
    <w:basedOn w:val="a3"/>
    <w:rPr>
      <w:rFonts w:cs="Times New Roman"/>
    </w:rPr>
  </w:style>
  <w:style w:type="paragraph" w:customStyle="1" w:styleId="P68B1DB1-110">
    <w:name w:val="P68B1DB1-110"/>
    <w:basedOn w:val="a3"/>
    <w:rPr>
      <w:rFonts w:cs="Times New Roman"/>
      <w:kern w:val="2"/>
      <w:sz w:val="21"/>
      <w14:numSpacing w14:val="default"/>
    </w:rPr>
  </w:style>
  <w:style w:type="paragraph" w:customStyle="1" w:styleId="P68B1DB1-3311">
    <w:name w:val="P68B1DB1-3311"/>
    <w:basedOn w:val="afe"/>
    <w:rPr>
      <w:rFonts w:hint="eastAsia"/>
      <w:sz w:val="30"/>
    </w:rPr>
  </w:style>
  <w:style w:type="paragraph" w:customStyle="1" w:styleId="P68B1DB1-2612">
    <w:name w:val="P68B1DB1-2612"/>
    <w:basedOn w:val="af6"/>
    <w:rPr>
      <w:rFonts w:hint="eastAsia"/>
    </w:rPr>
  </w:style>
  <w:style w:type="paragraph" w:customStyle="1" w:styleId="P68B1DB1-10413">
    <w:name w:val="P68B1DB1-10413"/>
    <w:basedOn w:val="14"/>
    <w:rPr>
      <w:rFonts w:ascii="Times New Roman" w:hAnsi="Times New Roman" w:cs="Times New Roman" w:hint="eastAsia"/>
    </w:rPr>
  </w:style>
  <w:style w:type="paragraph" w:customStyle="1" w:styleId="P68B1DB1-114">
    <w:name w:val="P68B1DB1-114"/>
    <w:basedOn w:val="a3"/>
    <w:rPr>
      <w:rFonts w:cs="Times New Roman"/>
    </w:rPr>
  </w:style>
  <w:style w:type="paragraph" w:customStyle="1" w:styleId="P68B1DB1-215">
    <w:name w:val="P68B1DB1-215"/>
    <w:basedOn w:val="1"/>
    <w:rPr>
      <w:rFonts w:hint="eastAsia"/>
    </w:rPr>
  </w:style>
  <w:style w:type="paragraph" w:customStyle="1" w:styleId="P68B1DB1-116">
    <w:name w:val="P68B1DB1-116"/>
    <w:basedOn w:val="a3"/>
    <w:rPr>
      <w:rFonts w:cs="Times New Roman"/>
      <w:b/>
      <w:color w:val="000000"/>
    </w:rPr>
  </w:style>
  <w:style w:type="paragraph" w:customStyle="1" w:styleId="P68B1DB1-117">
    <w:name w:val="P68B1DB1-117"/>
    <w:basedOn w:val="a3"/>
    <w:rPr>
      <w:rFonts w:cs="Times New Roman"/>
      <w:color w:val="000000"/>
      <w:kern w:val="2"/>
      <w14:numSpacing w14:val="default"/>
    </w:rPr>
  </w:style>
  <w:style w:type="paragraph" w:customStyle="1" w:styleId="P68B1DB1-118">
    <w:name w:val="P68B1DB1-118"/>
    <w:basedOn w:val="a3"/>
    <w:rPr>
      <w:rFonts w:cs="Times New Roman" w:hint="eastAsia"/>
      <w:color w:val="000000"/>
      <w:kern w:val="2"/>
      <w14:numSpacing w14:val="default"/>
    </w:rPr>
  </w:style>
  <w:style w:type="paragraph" w:customStyle="1" w:styleId="P68B1DB1-119">
    <w:name w:val="P68B1DB1-119"/>
    <w:basedOn w:val="a3"/>
    <w:rPr>
      <w:rFonts w:cs="Times New Roman" w:hint="eastAsia"/>
      <w:b/>
    </w:rPr>
  </w:style>
  <w:style w:type="paragraph" w:customStyle="1" w:styleId="P68B1DB1-17420">
    <w:name w:val="P68B1DB1-17420"/>
    <w:basedOn w:val="afffb"/>
    <w:rPr>
      <w:rFonts w:hint="eastAsia"/>
    </w:rPr>
  </w:style>
  <w:style w:type="paragraph" w:customStyle="1" w:styleId="P68B1DB1-15621">
    <w:name w:val="P68B1DB1-15621"/>
    <w:basedOn w:val="a0"/>
    <w:rPr>
      <w:rFonts w:hint="eastAsia"/>
    </w:rPr>
  </w:style>
  <w:style w:type="paragraph" w:customStyle="1" w:styleId="P68B1DB1-18122">
    <w:name w:val="P68B1DB1-18122"/>
    <w:basedOn w:val="afffe"/>
    <w:rPr>
      <w:rFonts w:hint="eastAsia"/>
    </w:rPr>
  </w:style>
  <w:style w:type="paragraph" w:customStyle="1" w:styleId="P68B1DB1-17223">
    <w:name w:val="P68B1DB1-17223"/>
    <w:basedOn w:val="a1"/>
    <w:rPr>
      <w:rFonts w:hint="eastAsia"/>
    </w:rPr>
  </w:style>
  <w:style w:type="paragraph" w:customStyle="1" w:styleId="P68B1DB1-10424">
    <w:name w:val="P68B1DB1-10424"/>
    <w:basedOn w:val="14"/>
    <w:rPr>
      <w:rFonts w:cs="Times New Roman" w:hint="eastAsia"/>
    </w:rPr>
  </w:style>
  <w:style w:type="paragraph" w:customStyle="1" w:styleId="P68B1DB1-125">
    <w:name w:val="P68B1DB1-125"/>
    <w:basedOn w:val="a3"/>
    <w:rPr>
      <w:rFonts w:hint="eastAsia"/>
    </w:rPr>
  </w:style>
  <w:style w:type="paragraph" w:customStyle="1" w:styleId="P68B1DB1-10426">
    <w:name w:val="P68B1DB1-10426"/>
    <w:basedOn w:val="14"/>
    <w:rPr>
      <w:rFonts w:ascii="Times New Roman" w:hAnsi="Times New Roman" w:hint="eastAsia"/>
    </w:rPr>
  </w:style>
  <w:style w:type="paragraph" w:customStyle="1" w:styleId="P68B1DB1-10427">
    <w:name w:val="P68B1DB1-10427"/>
    <w:basedOn w:val="14"/>
    <w:rPr>
      <w:rFonts w:hint="eastAsia"/>
      <w:color w:val="000000"/>
    </w:rPr>
  </w:style>
  <w:style w:type="paragraph" w:customStyle="1" w:styleId="P68B1DB1-10428">
    <w:name w:val="P68B1DB1-10428"/>
    <w:basedOn w:val="14"/>
    <w:rPr>
      <w:rFonts w:hint="eastAsia"/>
    </w:rPr>
  </w:style>
  <w:style w:type="paragraph" w:customStyle="1" w:styleId="P68B1DB1-129">
    <w:name w:val="P68B1DB1-129"/>
    <w:basedOn w:val="a3"/>
    <w:rPr>
      <w:rFonts w:hint="eastAsia"/>
    </w:rPr>
  </w:style>
  <w:style w:type="paragraph" w:customStyle="1" w:styleId="P68B1DB1-130">
    <w:name w:val="P68B1DB1-130"/>
    <w:basedOn w:val="a3"/>
    <w:rPr>
      <w:rFonts w:hint="eastAsia"/>
      <w:color w:val="000000"/>
    </w:rPr>
  </w:style>
  <w:style w:type="paragraph" w:customStyle="1" w:styleId="P68B1DB1-15631">
    <w:name w:val="P68B1DB1-15631"/>
    <w:basedOn w:val="a0"/>
    <w:rPr>
      <w:rFonts w:hint="eastAsia"/>
    </w:rPr>
  </w:style>
  <w:style w:type="paragraph" w:customStyle="1" w:styleId="P68B1DB1-15732">
    <w:name w:val="P68B1DB1-15732"/>
    <w:basedOn w:val="afff0"/>
    <w:rPr>
      <w:b/>
      <w:sz w:val="18"/>
    </w:rPr>
  </w:style>
  <w:style w:type="paragraph" w:customStyle="1" w:styleId="P68B1DB1-15733">
    <w:name w:val="P68B1DB1-15733"/>
    <w:basedOn w:val="afff0"/>
    <w:rPr>
      <w:rFonts w:hint="eastAsia"/>
      <w:b/>
      <w:sz w:val="18"/>
    </w:rPr>
  </w:style>
  <w:style w:type="paragraph" w:customStyle="1" w:styleId="P68B1DB1-15734">
    <w:name w:val="P68B1DB1-15734"/>
    <w:basedOn w:val="afff0"/>
    <w:rPr>
      <w:rFonts w:hint="eastAsia"/>
      <w:b/>
      <w:sz w:val="18"/>
    </w:rPr>
  </w:style>
  <w:style w:type="paragraph" w:customStyle="1" w:styleId="P68B1DB1-135">
    <w:name w:val="P68B1DB1-135"/>
    <w:basedOn w:val="a3"/>
    <w:rPr>
      <w:b/>
      <w:sz w:val="18"/>
    </w:rPr>
  </w:style>
  <w:style w:type="paragraph" w:customStyle="1" w:styleId="P68B1DB1-15736">
    <w:name w:val="P68B1DB1-15736"/>
    <w:basedOn w:val="afff0"/>
    <w:rPr>
      <w:rFonts w:cs="Times New Roman" w:hint="eastAsia"/>
      <w:b/>
      <w:sz w:val="18"/>
    </w:rPr>
  </w:style>
  <w:style w:type="paragraph" w:customStyle="1" w:styleId="P68B1DB1-15737">
    <w:name w:val="P68B1DB1-15737"/>
    <w:basedOn w:val="afff0"/>
    <w:rPr>
      <w:sz w:val="18"/>
    </w:rPr>
  </w:style>
  <w:style w:type="paragraph" w:customStyle="1" w:styleId="P68B1DB1-15738">
    <w:name w:val="P68B1DB1-15738"/>
    <w:basedOn w:val="afff0"/>
    <w:rPr>
      <w:rFonts w:hint="eastAsia"/>
      <w:sz w:val="18"/>
    </w:rPr>
  </w:style>
  <w:style w:type="paragraph" w:customStyle="1" w:styleId="P68B1DB1-15739">
    <w:name w:val="P68B1DB1-15739"/>
    <w:basedOn w:val="afff0"/>
    <w:rPr>
      <w:rFonts w:hint="eastAsia"/>
      <w:sz w:val="18"/>
    </w:rPr>
  </w:style>
  <w:style w:type="paragraph" w:customStyle="1" w:styleId="P68B1DB1-15740">
    <w:name w:val="P68B1DB1-15740"/>
    <w:basedOn w:val="afff0"/>
    <w:rPr>
      <w:rFonts w:cs="微软雅黑" w:hint="eastAsia"/>
      <w:b/>
      <w:sz w:val="18"/>
    </w:rPr>
  </w:style>
  <w:style w:type="paragraph" w:customStyle="1" w:styleId="P68B1DB1-16841">
    <w:name w:val="P68B1DB1-16841"/>
    <w:basedOn w:val="afff8"/>
    <w:rPr>
      <w:rFonts w:hint="eastAsia"/>
    </w:rPr>
  </w:style>
  <w:style w:type="paragraph" w:customStyle="1" w:styleId="P68B1DB1-16842">
    <w:name w:val="P68B1DB1-16842"/>
    <w:basedOn w:val="afff8"/>
    <w:rPr>
      <w:rFonts w:hint="eastAsia"/>
    </w:rPr>
  </w:style>
  <w:style w:type="paragraph" w:customStyle="1" w:styleId="P68B1DB1-143">
    <w:name w:val="P68B1DB1-143"/>
    <w:basedOn w:val="a3"/>
    <w:rPr>
      <w:rFonts w:hint="eastAsia"/>
      <w:b/>
      <w:sz w:val="18"/>
    </w:rPr>
  </w:style>
  <w:style w:type="paragraph" w:customStyle="1" w:styleId="P68B1DB1-15744">
    <w:name w:val="P68B1DB1-15744"/>
    <w:basedOn w:val="afff0"/>
    <w:rPr>
      <w:rFonts w:hint="eastAsia"/>
      <w:b/>
    </w:rPr>
  </w:style>
  <w:style w:type="paragraph" w:customStyle="1" w:styleId="P68B1DB1-15745">
    <w:name w:val="P68B1DB1-15745"/>
    <w:basedOn w:val="afff0"/>
    <w:rPr>
      <w:rFonts w:hint="eastAsia"/>
    </w:rPr>
  </w:style>
  <w:style w:type="paragraph" w:customStyle="1" w:styleId="P68B1DB1-546">
    <w:name w:val="P68B1DB1-546"/>
    <w:basedOn w:val="4"/>
    <w:rPr>
      <w:rFonts w:hint="eastAsia"/>
    </w:rPr>
  </w:style>
  <w:style w:type="paragraph" w:customStyle="1" w:styleId="P68B1DB1-15747">
    <w:name w:val="P68B1DB1-15747"/>
    <w:basedOn w:val="afff0"/>
    <w:rPr>
      <w:b/>
    </w:rPr>
  </w:style>
  <w:style w:type="paragraph" w:customStyle="1" w:styleId="P68B1DB1-17748">
    <w:name w:val="P68B1DB1-17748"/>
    <w:basedOn w:val="a2"/>
    <w:pPr>
      <w:ind w:left="420" w:hanging="420"/>
    </w:pPr>
    <w:rPr>
      <w:rFonts w:hint="eastAsia"/>
    </w:rPr>
  </w:style>
  <w:style w:type="paragraph" w:customStyle="1" w:styleId="P68B1DB1-149">
    <w:name w:val="P68B1DB1-149"/>
    <w:basedOn w:val="a3"/>
    <w:rPr>
      <w:rFonts w:hint="eastAsia"/>
      <w:color w:val="000000" w:themeColor="text1"/>
      <w:sz w:val="21"/>
    </w:rPr>
  </w:style>
  <w:style w:type="paragraph" w:customStyle="1" w:styleId="P68B1DB1-150">
    <w:name w:val="P68B1DB1-150"/>
    <w:basedOn w:val="a3"/>
    <w:rPr>
      <w:color w:val="000000" w:themeColor="text1"/>
      <w:sz w:val="21"/>
    </w:rPr>
  </w:style>
  <w:style w:type="paragraph" w:customStyle="1" w:styleId="P68B1DB1-1551">
    <w:name w:val="P68B1DB1-1551"/>
    <w:basedOn w:val="aa"/>
    <w:rPr>
      <w:rFonts w:ascii="Times New Roman" w:hAnsi="Times New Roman" w:cs="Times New Roman" w:hint="eastAsia"/>
      <w:color w:val="000000" w:themeColor="text1"/>
      <w:sz w:val="21"/>
    </w:rPr>
  </w:style>
  <w:style w:type="paragraph" w:customStyle="1" w:styleId="P68B1DB1-1552">
    <w:name w:val="P68B1DB1-1552"/>
    <w:basedOn w:val="aa"/>
    <w:rPr>
      <w:color w:val="000000" w:themeColor="text1"/>
      <w:sz w:val="21"/>
    </w:rPr>
  </w:style>
  <w:style w:type="paragraph" w:customStyle="1" w:styleId="P68B1DB1-153">
    <w:name w:val="P68B1DB1-153"/>
    <w:basedOn w:val="a3"/>
    <w:rPr>
      <w:rFonts w:cs="Times New Roman" w:hint="eastAsia"/>
      <w:color w:val="000000" w:themeColor="text1"/>
      <w:sz w:val="21"/>
    </w:rPr>
  </w:style>
  <w:style w:type="paragraph" w:customStyle="1" w:styleId="P68B1DB1-354">
    <w:name w:val="P68B1DB1-354"/>
    <w:basedOn w:val="20"/>
    <w:rPr>
      <w:rFonts w:hint="eastAsia"/>
    </w:rPr>
  </w:style>
  <w:style w:type="paragraph" w:customStyle="1" w:styleId="P68B1DB1-10455">
    <w:name w:val="P68B1DB1-10455"/>
    <w:basedOn w:val="14"/>
    <w:rPr>
      <w:rFonts w:ascii="Times New Roman" w:hAnsi="Times New Roman" w:cstheme="minorBidi" w:hint="eastAsia"/>
    </w:rPr>
  </w:style>
  <w:style w:type="paragraph" w:customStyle="1" w:styleId="P68B1DB1-15756">
    <w:name w:val="P68B1DB1-15756"/>
    <w:basedOn w:val="afff0"/>
    <w:rPr>
      <w:rFonts w:hint="eastAsia"/>
      <w:b/>
    </w:rPr>
  </w:style>
  <w:style w:type="paragraph" w:customStyle="1" w:styleId="P68B1DB1-15757">
    <w:name w:val="P68B1DB1-15757"/>
    <w:basedOn w:val="afff0"/>
    <w:rPr>
      <w:rFonts w:cs="Times New Roman" w:hint="eastAsia"/>
    </w:rPr>
  </w:style>
  <w:style w:type="paragraph" w:customStyle="1" w:styleId="P68B1DB1-17258">
    <w:name w:val="P68B1DB1-17258"/>
    <w:basedOn w:val="a1"/>
    <w:rPr>
      <w:rFonts w:hint="eastAsia"/>
      <w:sz w:val="22"/>
    </w:rPr>
  </w:style>
  <w:style w:type="paragraph" w:customStyle="1" w:styleId="P68B1DB1-17259">
    <w:name w:val="P68B1DB1-17259"/>
    <w:basedOn w:val="a1"/>
    <w:rPr>
      <w:sz w:val="22"/>
    </w:rPr>
  </w:style>
  <w:style w:type="paragraph" w:customStyle="1" w:styleId="P68B1DB1-17260">
    <w:name w:val="P68B1DB1-17260"/>
    <w:basedOn w:val="a1"/>
    <w:rPr>
      <w:rFonts w:hint="eastAsia"/>
      <w:sz w:val="22"/>
    </w:rPr>
  </w:style>
  <w:style w:type="paragraph" w:customStyle="1" w:styleId="P68B1DB1-15761">
    <w:name w:val="P68B1DB1-15761"/>
    <w:basedOn w:val="afff0"/>
    <w:rPr>
      <w:rFonts w:cs="Times New Roman" w:hint="eastAsia"/>
      <w:b/>
    </w:rPr>
  </w:style>
  <w:style w:type="paragraph" w:customStyle="1" w:styleId="P68B1DB1-262">
    <w:name w:val="P68B1DB1-262"/>
    <w:basedOn w:val="1"/>
    <w:rPr>
      <w:rFonts w:hint="eastAsia"/>
    </w:rPr>
  </w:style>
  <w:style w:type="paragraph" w:customStyle="1" w:styleId="P68B1DB1-163">
    <w:name w:val="P68B1DB1-163"/>
    <w:basedOn w:val="a3"/>
    <w:rPr>
      <w:rFonts w:cs="Times New Roman" w:hint="eastAsia"/>
      <w:b/>
      <w:sz w:val="22"/>
    </w:rPr>
  </w:style>
  <w:style w:type="paragraph" w:customStyle="1" w:styleId="P68B1DB1-164">
    <w:name w:val="P68B1DB1-164"/>
    <w:basedOn w:val="a3"/>
    <w:rPr>
      <w:rFonts w:cs="Times New Roman" w:hint="eastAsia"/>
      <w:b/>
      <w:sz w:val="36"/>
    </w:rPr>
  </w:style>
  <w:style w:type="paragraph" w:customStyle="1" w:styleId="P68B1DB1-165">
    <w:name w:val="P68B1DB1-165"/>
    <w:basedOn w:val="a3"/>
    <w:rPr>
      <w:rFonts w:cs="Times New Roman" w:hint="eastAsia"/>
      <w:sz w:val="32"/>
    </w:rPr>
  </w:style>
  <w:style w:type="paragraph" w:customStyle="1" w:styleId="P68B1DB1-366">
    <w:name w:val="P68B1DB1-366"/>
    <w:basedOn w:val="20"/>
    <w:rPr>
      <w:rFonts w:hint="eastAsia"/>
    </w:rPr>
  </w:style>
  <w:style w:type="paragraph" w:customStyle="1" w:styleId="P68B1DB1-17767">
    <w:name w:val="P68B1DB1-17767"/>
    <w:basedOn w:val="a2"/>
    <w:rPr>
      <w:rFonts w:hint="eastAsia"/>
    </w:rPr>
  </w:style>
  <w:style w:type="paragraph" w:customStyle="1" w:styleId="P68B1DB1-15668">
    <w:name w:val="P68B1DB1-15668"/>
    <w:basedOn w:val="a0"/>
    <w:rPr>
      <w:rFonts w:hint="eastAsia"/>
    </w:rPr>
  </w:style>
  <w:style w:type="paragraph" w:customStyle="1" w:styleId="P68B1DB1-469">
    <w:name w:val="P68B1DB1-469"/>
    <w:basedOn w:val="3"/>
    <w:rPr>
      <w:rFonts w:hint="eastAsia"/>
    </w:rPr>
  </w:style>
  <w:style w:type="paragraph" w:customStyle="1" w:styleId="P68B1DB1-12570">
    <w:name w:val="P68B1DB1-12570"/>
    <w:basedOn w:val="reference"/>
    <w:rPr>
      <w:sz w:val="22"/>
    </w:rPr>
  </w:style>
  <w:style w:type="paragraph" w:customStyle="1" w:styleId="P68B1DB1-15771">
    <w:name w:val="P68B1DB1-15771"/>
    <w:basedOn w:val="afff0"/>
    <w:rPr>
      <w:b/>
      <w:color w:val="000000" w:themeColor="text1" w:themeShade="BF"/>
    </w:rPr>
  </w:style>
  <w:style w:type="paragraph" w:customStyle="1" w:styleId="P68B1DB1-15772">
    <w:name w:val="P68B1DB1-15772"/>
    <w:basedOn w:val="afff0"/>
    <w:rPr>
      <w:color w:val="000000" w:themeColor="text1" w:themeShade="BF"/>
    </w:rPr>
  </w:style>
  <w:style w:type="paragraph" w:customStyle="1" w:styleId="P68B1DB1-173">
    <w:name w:val="P68B1DB1-173"/>
    <w:basedOn w:val="a3"/>
    <w:rPr>
      <w:sz w:val="28"/>
    </w:rPr>
  </w:style>
  <w:style w:type="paragraph" w:customStyle="1" w:styleId="P68B1DB1-15774">
    <w:name w:val="P68B1DB1-15774"/>
    <w:basedOn w:val="afff0"/>
    <w:rPr>
      <w:rFonts w:cs="Times New Roman"/>
    </w:rPr>
  </w:style>
  <w:style w:type="paragraph" w:customStyle="1" w:styleId="P68B1DB1-175">
    <w:name w:val="P68B1DB1-175"/>
    <w:basedOn w:val="a3"/>
    <w:rPr>
      <w:rFonts w:eastAsia="楷体" w:cs="Times New Roman"/>
      <w:b/>
      <w:sz w:val="22"/>
    </w:rPr>
  </w:style>
  <w:style w:type="paragraph" w:customStyle="1" w:styleId="P68B1DB1-10476">
    <w:name w:val="P68B1DB1-10476"/>
    <w:basedOn w:val="14"/>
    <w:rPr>
      <w:rFonts w:ascii="Times New Roman" w:hAnsi="Times New Roman" w:cs="Times New Roman"/>
      <w:sz w:val="22"/>
    </w:rPr>
  </w:style>
  <w:style w:type="paragraph" w:customStyle="1" w:styleId="P68B1DB1-177">
    <w:name w:val="P68B1DB1-177"/>
    <w:basedOn w:val="a3"/>
    <w:rPr>
      <w:rFonts w:cs="Times New Roman"/>
      <w:sz w:val="22"/>
    </w:rPr>
  </w:style>
  <w:style w:type="paragraph" w:customStyle="1" w:styleId="P68B1DB1-178">
    <w:name w:val="P68B1DB1-178"/>
    <w:basedOn w:val="a3"/>
    <w:rPr>
      <w:rFonts w:eastAsiaTheme="minorEastAsia" w:cs="Times New Roman"/>
      <w:b/>
    </w:rPr>
  </w:style>
  <w:style w:type="table" w:customStyle="1" w:styleId="62">
    <w:name w:val="网格型6"/>
    <w:basedOn w:val="a5"/>
    <w:next w:val="aff2"/>
    <w:uiPriority w:val="39"/>
    <w:qFormat/>
    <w:rsid w:val="00DC41B8"/>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网格型7"/>
    <w:basedOn w:val="a5"/>
    <w:next w:val="aff2"/>
    <w:uiPriority w:val="39"/>
    <w:qFormat/>
    <w:rsid w:val="00D01131"/>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8B1DB1-a23">
    <w:name w:val="P68B1DB1-a23"/>
    <w:basedOn w:val="a3"/>
    <w:rsid w:val="006F1BD0"/>
    <w:pPr>
      <w:suppressAutoHyphens w:val="0"/>
      <w:topLinePunct w:val="0"/>
      <w:spacing w:line="240" w:lineRule="auto"/>
    </w:pPr>
    <w:rPr>
      <w:rFonts w:eastAsia="宋体" w:cs="Times New Roman"/>
      <w:kern w:val="2"/>
      <w14:numSpacing w14:val="default"/>
    </w:rPr>
  </w:style>
  <w:style w:type="paragraph" w:customStyle="1" w:styleId="P68B1DB1-TableParagraph6">
    <w:name w:val="P68B1DB1-TableParagraph6"/>
    <w:basedOn w:val="TableParagraph"/>
    <w:rsid w:val="00735226"/>
    <w:pPr>
      <w:autoSpaceDE w:val="0"/>
      <w:autoSpaceDN w:val="0"/>
      <w:jc w:val="center"/>
    </w:pPr>
    <w:rPr>
      <w:rFonts w:ascii="宋体" w:eastAsia="宋体" w:hAnsi="宋体" w:cs="宋体"/>
      <w:color w:val="000007"/>
      <w:sz w:val="24"/>
    </w:rPr>
  </w:style>
  <w:style w:type="paragraph" w:customStyle="1" w:styleId="P68B1DB1-TableParagraph7">
    <w:name w:val="P68B1DB1-TableParagraph7"/>
    <w:basedOn w:val="TableParagraph"/>
    <w:rsid w:val="00735226"/>
    <w:pPr>
      <w:autoSpaceDE w:val="0"/>
      <w:autoSpaceDN w:val="0"/>
      <w:jc w:val="center"/>
    </w:pPr>
    <w:rPr>
      <w:rFonts w:ascii="Times New Roman" w:eastAsia="宋体" w:hAnsi="宋体" w:cs="宋体"/>
      <w:color w:val="000007"/>
      <w:sz w:val="24"/>
    </w:rPr>
  </w:style>
  <w:style w:type="paragraph" w:customStyle="1" w:styleId="P68B1DB1-TableParagraph16">
    <w:name w:val="P68B1DB1-TableParagraph16"/>
    <w:basedOn w:val="TableParagraph"/>
    <w:rsid w:val="00735226"/>
    <w:pPr>
      <w:autoSpaceDE w:val="0"/>
      <w:autoSpaceDN w:val="0"/>
      <w:jc w:val="center"/>
    </w:pPr>
    <w:rPr>
      <w:rFonts w:ascii="微软雅黑" w:eastAsia="微软雅黑" w:hAnsi="宋体" w:cs="宋体"/>
      <w:b/>
      <w:color w:val="000007"/>
      <w:sz w:val="24"/>
    </w:rPr>
  </w:style>
  <w:style w:type="paragraph" w:customStyle="1" w:styleId="P68B1DB1-TableParagraph19">
    <w:name w:val="P68B1DB1-TableParagraph19"/>
    <w:basedOn w:val="TableParagraph"/>
    <w:rsid w:val="00735226"/>
    <w:pPr>
      <w:autoSpaceDE w:val="0"/>
      <w:autoSpaceDN w:val="0"/>
      <w:jc w:val="center"/>
    </w:pPr>
    <w:rPr>
      <w:rFonts w:ascii="Times New Roman" w:eastAsia="宋体" w:hAnsi="Times New Roman" w:cs="宋体"/>
      <w:color w:val="000007"/>
      <w:sz w:val="24"/>
    </w:rPr>
  </w:style>
  <w:style w:type="paragraph" w:customStyle="1" w:styleId="P68B1DB1-Normal36">
    <w:name w:val="P68B1DB1-Normal36"/>
    <w:basedOn w:val="a3"/>
    <w:rsid w:val="00735226"/>
    <w:pPr>
      <w:suppressAutoHyphens w:val="0"/>
      <w:topLinePunct w:val="0"/>
      <w:autoSpaceDE w:val="0"/>
      <w:autoSpaceDN w:val="0"/>
      <w:spacing w:line="240" w:lineRule="auto"/>
      <w:jc w:val="left"/>
    </w:pPr>
    <w:rPr>
      <w:rFonts w:ascii="宋体" w:eastAsia="宋体" w:hAnsi="宋体" w:cs="宋体"/>
      <w:b/>
      <w:color w:val="000007"/>
      <w14:numSpacing w14:val="default"/>
    </w:rPr>
  </w:style>
  <w:style w:type="paragraph" w:customStyle="1" w:styleId="P68B1DB1-TableParagraph37">
    <w:name w:val="P68B1DB1-TableParagraph37"/>
    <w:basedOn w:val="TableParagraph"/>
    <w:rsid w:val="00735226"/>
    <w:pPr>
      <w:autoSpaceDE w:val="0"/>
      <w:autoSpaceDN w:val="0"/>
      <w:jc w:val="center"/>
    </w:pPr>
    <w:rPr>
      <w:rFonts w:ascii="宋体" w:eastAsia="宋体" w:hAnsi="宋体" w:cs="宋体"/>
      <w:b/>
      <w:color w:val="000007"/>
    </w:rPr>
  </w:style>
  <w:style w:type="paragraph" w:customStyle="1" w:styleId="P68B1DB1-TableParagraph38">
    <w:name w:val="P68B1DB1-TableParagraph38"/>
    <w:basedOn w:val="TableParagraph"/>
    <w:rsid w:val="00735226"/>
    <w:pPr>
      <w:autoSpaceDE w:val="0"/>
      <w:autoSpaceDN w:val="0"/>
      <w:jc w:val="center"/>
    </w:pPr>
    <w:rPr>
      <w:rFonts w:ascii="Times New Roman" w:eastAsia="微软雅黑" w:hAnsi="宋体" w:cs="宋体"/>
      <w:b/>
      <w:color w:val="000007"/>
      <w:sz w:val="24"/>
    </w:rPr>
  </w:style>
  <w:style w:type="paragraph" w:customStyle="1" w:styleId="P68B1DB1-Normal39">
    <w:name w:val="P68B1DB1-Normal39"/>
    <w:basedOn w:val="a3"/>
    <w:rsid w:val="00735226"/>
    <w:pPr>
      <w:suppressAutoHyphens w:val="0"/>
      <w:topLinePunct w:val="0"/>
      <w:autoSpaceDE w:val="0"/>
      <w:autoSpaceDN w:val="0"/>
      <w:spacing w:line="240" w:lineRule="auto"/>
      <w:jc w:val="left"/>
    </w:pPr>
    <w:rPr>
      <w:rFonts w:ascii="宋体" w:eastAsia="宋体" w:hAnsi="宋体" w:cs="宋体"/>
      <w:b/>
      <w:color w:val="000007"/>
      <w:sz w:val="22"/>
      <w14:numSpacing w14:val="default"/>
    </w:rPr>
  </w:style>
  <w:style w:type="paragraph" w:customStyle="1" w:styleId="P68B1DB1-TableParagraph40">
    <w:name w:val="P68B1DB1-TableParagraph40"/>
    <w:basedOn w:val="TableParagraph"/>
    <w:rsid w:val="00735226"/>
    <w:pPr>
      <w:autoSpaceDE w:val="0"/>
      <w:autoSpaceDN w:val="0"/>
      <w:jc w:val="center"/>
    </w:pPr>
    <w:rPr>
      <w:rFonts w:ascii="宋体" w:eastAsia="宋体" w:hAnsi="宋体" w:cs="宋体"/>
      <w:b/>
      <w:color w:val="000007"/>
      <w:sz w:val="24"/>
    </w:rPr>
  </w:style>
  <w:style w:type="paragraph" w:customStyle="1" w:styleId="P68B1DB1-TableParagraph41">
    <w:name w:val="P68B1DB1-TableParagraph41"/>
    <w:basedOn w:val="TableParagraph"/>
    <w:rsid w:val="00735226"/>
    <w:pPr>
      <w:autoSpaceDE w:val="0"/>
      <w:autoSpaceDN w:val="0"/>
      <w:jc w:val="center"/>
    </w:pPr>
    <w:rPr>
      <w:rFonts w:ascii="Times New Roman" w:eastAsia="宋体" w:hAnsi="宋体" w:cs="宋体"/>
      <w:b/>
      <w:color w:val="000007"/>
      <w:sz w:val="24"/>
    </w:rPr>
  </w:style>
  <w:style w:type="paragraph" w:customStyle="1" w:styleId="P68B1DB1-Heading342">
    <w:name w:val="P68B1DB1-Heading342"/>
    <w:basedOn w:val="3"/>
    <w:rsid w:val="0000519F"/>
    <w:pPr>
      <w:tabs>
        <w:tab w:val="clear" w:pos="8364"/>
      </w:tabs>
      <w:suppressAutoHyphens w:val="0"/>
      <w:topLinePunct w:val="0"/>
      <w:autoSpaceDE w:val="0"/>
      <w:autoSpaceDN w:val="0"/>
      <w:spacing w:before="0" w:line="240" w:lineRule="auto"/>
      <w:ind w:left="977"/>
    </w:pPr>
    <w:rPr>
      <w:rFonts w:eastAsia="微软雅黑" w:hAnsi="微软雅黑" w:cs="微软雅黑"/>
      <w:color w:val="000007"/>
      <w:kern w:val="0"/>
      <w14:numSpacing w14:val="default"/>
    </w:rPr>
  </w:style>
  <w:style w:type="paragraph" w:customStyle="1" w:styleId="P68B1DB1-TableParagraph43">
    <w:name w:val="P68B1DB1-TableParagraph43"/>
    <w:basedOn w:val="TableParagraph"/>
    <w:rsid w:val="0000519F"/>
    <w:pPr>
      <w:autoSpaceDE w:val="0"/>
      <w:autoSpaceDN w:val="0"/>
      <w:jc w:val="center"/>
    </w:pPr>
    <w:rPr>
      <w:rFonts w:ascii="Times New Roman" w:eastAsia="宋体" w:hAnsi="Times New Roman" w:cs="宋体"/>
      <w:sz w:val="24"/>
    </w:rPr>
  </w:style>
  <w:style w:type="paragraph" w:customStyle="1" w:styleId="P68B1DB1-TableParagraph18">
    <w:name w:val="P68B1DB1-TableParagraph18"/>
    <w:basedOn w:val="TableParagraph"/>
    <w:rsid w:val="0025058B"/>
    <w:pPr>
      <w:autoSpaceDE w:val="0"/>
      <w:autoSpaceDN w:val="0"/>
      <w:jc w:val="center"/>
    </w:pPr>
    <w:rPr>
      <w:rFonts w:ascii="微软雅黑" w:eastAsia="微软雅黑" w:hAnsi="宋体" w:cs="宋体"/>
      <w:b/>
      <w:color w:val="000007"/>
      <w:sz w:val="21"/>
    </w:rPr>
  </w:style>
  <w:style w:type="paragraph" w:customStyle="1" w:styleId="P68B1DB1-TableParagraph20">
    <w:name w:val="P68B1DB1-TableParagraph20"/>
    <w:basedOn w:val="TableParagraph"/>
    <w:rsid w:val="0025058B"/>
    <w:pPr>
      <w:autoSpaceDE w:val="0"/>
      <w:autoSpaceDN w:val="0"/>
      <w:jc w:val="center"/>
    </w:pPr>
    <w:rPr>
      <w:rFonts w:ascii="Times New Roman" w:eastAsia="宋体" w:hAnsi="宋体" w:cs="宋体"/>
      <w:b/>
      <w:color w:val="000007"/>
      <w:sz w:val="21"/>
    </w:rPr>
  </w:style>
  <w:style w:type="paragraph" w:customStyle="1" w:styleId="P68B1DB1-TableParagraph21">
    <w:name w:val="P68B1DB1-TableParagraph21"/>
    <w:basedOn w:val="TableParagraph"/>
    <w:rsid w:val="0025058B"/>
    <w:pPr>
      <w:autoSpaceDE w:val="0"/>
      <w:autoSpaceDN w:val="0"/>
      <w:jc w:val="center"/>
    </w:pPr>
    <w:rPr>
      <w:rFonts w:ascii="Times New Roman" w:eastAsia="微软雅黑" w:hAnsi="宋体" w:cs="宋体"/>
      <w:b/>
      <w:color w:val="000007"/>
      <w:sz w:val="21"/>
    </w:rPr>
  </w:style>
  <w:style w:type="table" w:customStyle="1" w:styleId="TableNormal1">
    <w:name w:val="Table Normal1"/>
    <w:uiPriority w:val="2"/>
    <w:semiHidden/>
    <w:unhideWhenUsed/>
    <w:qFormat/>
    <w:rsid w:val="0025058B"/>
    <w:pPr>
      <w:widowControl w:val="0"/>
      <w:autoSpaceDE w:val="0"/>
      <w:autoSpaceDN w:val="0"/>
    </w:pPr>
    <w:rPr>
      <w:sz w:val="22"/>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085DF8"/>
    <w:pPr>
      <w:widowControl w:val="0"/>
      <w:autoSpaceDE w:val="0"/>
      <w:autoSpaceDN w:val="0"/>
    </w:pPr>
    <w:rPr>
      <w:sz w:val="22"/>
    </w:rPr>
    <w:tblPr>
      <w:tblInd w:w="0" w:type="dxa"/>
      <w:tblCellMar>
        <w:top w:w="0" w:type="dxa"/>
        <w:left w:w="0" w:type="dxa"/>
        <w:bottom w:w="0" w:type="dxa"/>
        <w:right w:w="0" w:type="dxa"/>
      </w:tblCellMar>
    </w:tblPr>
  </w:style>
  <w:style w:type="paragraph" w:customStyle="1" w:styleId="P68B1DB1-TableParagraph13">
    <w:name w:val="P68B1DB1-TableParagraph13"/>
    <w:basedOn w:val="TableParagraph"/>
    <w:rsid w:val="00085DF8"/>
    <w:pPr>
      <w:autoSpaceDE w:val="0"/>
      <w:autoSpaceDN w:val="0"/>
      <w:jc w:val="center"/>
    </w:pPr>
    <w:rPr>
      <w:rFonts w:ascii="宋体" w:eastAsia="宋体" w:hAnsi="宋体" w:cs="宋体"/>
      <w:sz w:val="24"/>
    </w:rPr>
  </w:style>
  <w:style w:type="paragraph" w:customStyle="1" w:styleId="P68B1DB1-TableParagraph14">
    <w:name w:val="P68B1DB1-TableParagraph14"/>
    <w:basedOn w:val="TableParagraph"/>
    <w:rsid w:val="00085DF8"/>
    <w:pPr>
      <w:autoSpaceDE w:val="0"/>
      <w:autoSpaceDN w:val="0"/>
      <w:jc w:val="center"/>
    </w:pPr>
    <w:rPr>
      <w:rFonts w:ascii="Times New Roman" w:eastAsia="宋体" w:hAnsi="宋体" w:cs="宋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E6BB42-8D63-49A1-89EF-D28599D3B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84</Pages>
  <Words>25676</Words>
  <Characters>146354</Characters>
  <Application>Microsoft Office Word</Application>
  <DocSecurity>0</DocSecurity>
  <Lines>1219</Lines>
  <Paragraphs>343</Paragraphs>
  <ScaleCrop>false</ScaleCrop>
  <Company>Microsoft</Company>
  <LinksUpToDate>false</LinksUpToDate>
  <CharactersWithSpaces>171687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aaaa</dc:creator>
  <cp:lastModifiedBy>黄纪烨</cp:lastModifiedBy>
  <cp:revision>7</cp:revision>
  <cp:lastPrinted>2021-01-05T23:20:00Z</cp:lastPrinted>
  <dcterms:created xsi:type="dcterms:W3CDTF">2024-12-09T11:58:00Z</dcterms:created>
  <dcterms:modified xsi:type="dcterms:W3CDTF">2025-04-26T00:19:00Z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2052-5.4.0.7913</vt:lpwstr>
  </property>
  <property fmtid="{D5CDD505-2E9C-101B-9397-08002B2CF9AE}" pid="3" name="ICV">
    <vt:lpwstr>694425A8D0AD39DF91D1136576F97CA3_42</vt:lpwstr>
  </property>
</Properties>
</file>