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B77" w:rsidRPr="00134BDC" w:rsidRDefault="00C35B77" w:rsidP="00C35B77">
      <w:pPr>
        <w:spacing w:line="480" w:lineRule="auto"/>
        <w:outlineLvl w:val="0"/>
        <w:rPr>
          <w:rFonts w:ascii="Times New Roman" w:hAnsi="Times New Roman" w:cs="Times New Roman"/>
          <w:b/>
        </w:rPr>
      </w:pPr>
      <w:r>
        <w:rPr>
          <w:rFonts w:ascii="Times New Roman" w:hAnsi="Times New Roman" w:cs="Times New Roman"/>
          <w:b/>
        </w:rPr>
        <w:t>Supplementary material</w:t>
      </w:r>
    </w:p>
    <w:p w:rsidR="00C35B77" w:rsidRDefault="00C35B77" w:rsidP="00C35B77">
      <w:pPr>
        <w:autoSpaceDE w:val="0"/>
        <w:autoSpaceDN w:val="0"/>
        <w:adjustRightInd w:val="0"/>
        <w:spacing w:before="240" w:after="140" w:line="480" w:lineRule="auto"/>
        <w:outlineLvl w:val="0"/>
        <w:rPr>
          <w:rFonts w:ascii="Times New Roman" w:hAnsi="Times New Roman" w:cs="Times New Roman"/>
          <w:color w:val="000000" w:themeColor="text1"/>
        </w:rPr>
      </w:pPr>
      <w:r>
        <w:rPr>
          <w:rFonts w:ascii="Times New Roman" w:hAnsi="Times New Roman" w:cs="Times New Roman"/>
        </w:rPr>
        <w:t xml:space="preserve"> </w:t>
      </w:r>
      <w:r w:rsidRPr="0037543C">
        <w:rPr>
          <w:rFonts w:ascii="Times New Roman" w:hAnsi="Times New Roman" w:cs="Times New Roman"/>
          <w:b/>
          <w:color w:val="000000" w:themeColor="text1"/>
        </w:rPr>
        <w:t xml:space="preserve">Appendix </w:t>
      </w:r>
      <w:r>
        <w:rPr>
          <w:rFonts w:ascii="Times New Roman" w:hAnsi="Times New Roman" w:cs="Times New Roman"/>
          <w:b/>
          <w:color w:val="000000" w:themeColor="text1"/>
        </w:rPr>
        <w:t xml:space="preserve">A. </w:t>
      </w:r>
      <w:r w:rsidRPr="0037543C">
        <w:rPr>
          <w:rFonts w:ascii="Times New Roman" w:hAnsi="Times New Roman" w:cs="Times New Roman"/>
          <w:color w:val="000000" w:themeColor="text1"/>
        </w:rPr>
        <w:t>Sensitivity analysis</w:t>
      </w:r>
    </w:p>
    <w:p w:rsidR="00C35B77" w:rsidRDefault="00C35B77" w:rsidP="00C35B77">
      <w:pPr>
        <w:spacing w:line="480" w:lineRule="auto"/>
        <w:rPr>
          <w:rFonts w:ascii="Times New Roman" w:hAnsi="Times New Roman" w:cs="Times New Roman"/>
        </w:rPr>
      </w:pPr>
      <w:r>
        <w:rPr>
          <w:rFonts w:ascii="Times New Roman" w:eastAsiaTheme="minorHAnsi" w:hAnsi="Times New Roman" w:cs="Times New Roman"/>
        </w:rPr>
        <w:t>Fig. A1 shows the color plot with continuous variations in both N concentration and the benefit from toxin production (</w:t>
      </w:r>
      <w:r>
        <w:rPr>
          <w:rFonts w:ascii="Cambria Math" w:eastAsiaTheme="minorHAnsi" w:hAnsi="Cambria Math" w:cs="Times New Roman"/>
        </w:rPr>
        <w:t>𝛽</w:t>
      </w:r>
      <w:r>
        <w:rPr>
          <w:rFonts w:ascii="Times New Roman" w:eastAsiaTheme="minorHAnsi" w:hAnsi="Times New Roman" w:cs="Times New Roman"/>
        </w:rPr>
        <w:t xml:space="preserve">). </w:t>
      </w:r>
      <w:r>
        <w:rPr>
          <w:rFonts w:ascii="Times New Roman" w:hAnsi="Times New Roman" w:cs="Times New Roman"/>
        </w:rPr>
        <w:t xml:space="preserve">The toxin production rate is high when the benefit from toxin production remains within certain range. However, it decreases at very high benefit range as organisms receive large benefit by producing small amount of toxin (Fig. A1b). As a result, benefits of toxin production in terms of population growth rate remains high when benefits are high and also N concentration is high. </w:t>
      </w:r>
    </w:p>
    <w:p w:rsidR="00C35B77" w:rsidRDefault="00C35B77" w:rsidP="00C35B77">
      <w:pPr>
        <w:autoSpaceDE w:val="0"/>
        <w:autoSpaceDN w:val="0"/>
        <w:adjustRightInd w:val="0"/>
        <w:spacing w:before="240" w:after="140" w:line="480" w:lineRule="auto"/>
        <w:rPr>
          <w:rFonts w:ascii="Times New Roman" w:eastAsiaTheme="minorHAnsi" w:hAnsi="Times New Roman" w:cs="Times New Roman"/>
        </w:rPr>
      </w:pPr>
      <w:r>
        <w:rPr>
          <w:rFonts w:ascii="Times New Roman" w:eastAsiaTheme="minorHAnsi" w:hAnsi="Times New Roman" w:cs="Times New Roman"/>
        </w:rPr>
        <w:t xml:space="preserve">Fig. A2 shows the color plot with continuous variations in both N concentration and the </w:t>
      </w:r>
      <w:r>
        <w:rPr>
          <w:rFonts w:ascii="Times New Roman" w:hAnsi="Times New Roman" w:cs="Times New Roman"/>
        </w:rPr>
        <w:t>metabolic cost of synthesizing toxin</w:t>
      </w:r>
      <w:r>
        <w:rPr>
          <w:rFonts w:ascii="Times New Roman" w:eastAsiaTheme="minorHAnsi" w:hAnsi="Times New Roman" w:cs="Times New Roman"/>
        </w:rPr>
        <w:t xml:space="preserve"> (</w:t>
      </w:r>
      <m:oMath>
        <m:sSub>
          <m:sSubPr>
            <m:ctrlPr>
              <w:rPr>
                <w:rFonts w:ascii="Cambria Math" w:hAnsi="Cambria Math"/>
              </w:rPr>
            </m:ctrlPr>
          </m:sSubPr>
          <m:e>
            <m:r>
              <w:rPr>
                <w:rFonts w:ascii="Cambria Math" w:hAnsi="Cambria Math"/>
              </w:rPr>
              <m:t>r</m:t>
            </m:r>
          </m:e>
          <m:sub>
            <m:r>
              <w:rPr>
                <w:rFonts w:ascii="Cambria Math" w:hAnsi="Cambria Math"/>
              </w:rPr>
              <m:t>T</m:t>
            </m:r>
          </m:sub>
        </m:sSub>
      </m:oMath>
      <w:r>
        <w:rPr>
          <w:rFonts w:ascii="Times New Roman" w:eastAsiaTheme="minorHAnsi" w:hAnsi="Times New Roman" w:cs="Times New Roman"/>
        </w:rPr>
        <w:t>). When the cost is relatively low, an increase in N concentration increases toxin production (Fig A2b), as organisms get more benefit from</w:t>
      </w:r>
      <w:bookmarkStart w:id="0" w:name="_GoBack"/>
      <w:bookmarkEnd w:id="0"/>
      <w:r>
        <w:rPr>
          <w:rFonts w:ascii="Times New Roman" w:eastAsiaTheme="minorHAnsi" w:hAnsi="Times New Roman" w:cs="Times New Roman"/>
        </w:rPr>
        <w:t xml:space="preserve"> toxin production rather than increasing division rate. However, when the toxin production is costly and N is sufficient in the system, organisms invest their energy in increasing division rate rather than production of costly toxin. Although, since low N does not support high growth, organisms produce toxin to increase their population growth rate in spite of their high cost.</w:t>
      </w:r>
    </w:p>
    <w:p w:rsidR="00C35B77" w:rsidRDefault="00C35B77" w:rsidP="00C35B77">
      <w:pPr>
        <w:spacing w:line="480" w:lineRule="auto"/>
        <w:rPr>
          <w:rFonts w:ascii="Times New Roman" w:hAnsi="Times New Roman" w:cs="Times New Roman"/>
        </w:rPr>
      </w:pPr>
    </w:p>
    <w:p w:rsidR="00C35B77" w:rsidRDefault="00C35B77" w:rsidP="00C35B77">
      <w:pPr>
        <w:spacing w:line="480" w:lineRule="auto"/>
        <w:rPr>
          <w:rFonts w:ascii="Times New Roman" w:hAnsi="Times New Roman" w:cs="Times New Roman"/>
        </w:rPr>
      </w:pPr>
    </w:p>
    <w:p w:rsidR="00C35B77" w:rsidRDefault="00C35B77" w:rsidP="00C35B77">
      <w:pPr>
        <w:spacing w:line="480" w:lineRule="auto"/>
        <w:rPr>
          <w:rFonts w:ascii="Times New Roman" w:hAnsi="Times New Roman" w:cs="Times New Roman"/>
        </w:rPr>
      </w:pPr>
    </w:p>
    <w:p w:rsidR="00C35B77" w:rsidRDefault="00C35B77" w:rsidP="00C35B77">
      <w:pPr>
        <w:spacing w:line="480" w:lineRule="auto"/>
        <w:rPr>
          <w:rFonts w:ascii="Times New Roman" w:hAnsi="Times New Roman" w:cs="Times New Roman"/>
        </w:rPr>
      </w:pPr>
    </w:p>
    <w:p w:rsidR="00C35B77" w:rsidRDefault="00C35B77" w:rsidP="00C35B77">
      <w:pPr>
        <w:spacing w:line="480" w:lineRule="auto"/>
        <w:rPr>
          <w:rFonts w:ascii="Times New Roman" w:hAnsi="Times New Roman" w:cs="Times New Roman"/>
        </w:rPr>
      </w:pPr>
    </w:p>
    <w:p w:rsidR="00C35B77" w:rsidRDefault="00C35B77" w:rsidP="00C35B77">
      <w:pPr>
        <w:spacing w:line="480" w:lineRule="auto"/>
        <w:rPr>
          <w:rFonts w:ascii="Times New Roman" w:hAnsi="Times New Roman" w:cs="Times New Roman"/>
        </w:rPr>
      </w:pPr>
    </w:p>
    <w:p w:rsidR="00C35B77" w:rsidRDefault="00C35B77" w:rsidP="00C35B77">
      <w:pPr>
        <w:spacing w:line="480" w:lineRule="auto"/>
        <w:rPr>
          <w:rFonts w:ascii="Times New Roman" w:hAnsi="Times New Roman" w:cs="Times New Roman"/>
        </w:rPr>
      </w:pPr>
    </w:p>
    <w:p w:rsidR="00C35B77" w:rsidRDefault="00C35B77" w:rsidP="00C35B77">
      <w:pPr>
        <w:spacing w:line="480" w:lineRule="auto"/>
        <w:rPr>
          <w:rFonts w:ascii="Times New Roman" w:hAnsi="Times New Roman" w:cs="Times New Roman"/>
        </w:rPr>
      </w:pPr>
    </w:p>
    <w:p w:rsidR="00C35B77" w:rsidRPr="00134BDC" w:rsidRDefault="00C35B77" w:rsidP="00C35B77">
      <w:pPr>
        <w:spacing w:line="480" w:lineRule="auto"/>
        <w:outlineLvl w:val="0"/>
        <w:rPr>
          <w:rFonts w:ascii="Times New Roman" w:hAnsi="Times New Roman" w:cs="Times New Roman"/>
          <w:b/>
        </w:rPr>
      </w:pPr>
      <w:r>
        <w:rPr>
          <w:rFonts w:ascii="Times New Roman" w:hAnsi="Times New Roman" w:cs="Times New Roman"/>
          <w:b/>
          <w:color w:val="000000" w:themeColor="text1"/>
        </w:rPr>
        <w:lastRenderedPageBreak/>
        <w:t>Figure legends</w:t>
      </w:r>
    </w:p>
    <w:p w:rsidR="00C35B77" w:rsidRDefault="00C35B77" w:rsidP="00C35B77">
      <w:pPr>
        <w:spacing w:line="480" w:lineRule="auto"/>
        <w:rPr>
          <w:rFonts w:ascii="Times New Roman" w:hAnsi="Times New Roman" w:cs="Times New Roman"/>
        </w:rPr>
      </w:pPr>
      <w:r w:rsidRPr="00502C4E">
        <w:rPr>
          <w:rFonts w:ascii="Times New Roman" w:hAnsi="Times New Roman" w:cs="Times New Roman"/>
          <w:b/>
        </w:rPr>
        <w:t>Figure A1.</w:t>
      </w:r>
      <w:r>
        <w:rPr>
          <w:rFonts w:ascii="Times New Roman" w:hAnsi="Times New Roman" w:cs="Times New Roman"/>
        </w:rPr>
        <w:t xml:space="preserve"> Surface plots of optimal allocation of N to toxin production (a), toxin production rate (b), and cellular toxin content (c), as well as absolute and relative changes in cell division rate ((</w:t>
      </w:r>
      <m:oMath>
        <m:r>
          <m:rPr>
            <m:sty m:val="p"/>
          </m:rPr>
          <w:rPr>
            <w:rFonts w:ascii="Cambria Math" w:hAnsi="Cambria Math" w:cs="Times New Roman"/>
          </w:rPr>
          <m:t>µ</m:t>
        </m:r>
        <m:d>
          <m:dPr>
            <m:ctrlPr>
              <w:rPr>
                <w:rFonts w:ascii="Cambria Math" w:hAnsi="Cambria Math"/>
                <w:i/>
              </w:rPr>
            </m:ctrlPr>
          </m:dPr>
          <m:e>
            <m:sSup>
              <m:sSupPr>
                <m:ctrlPr>
                  <w:rPr>
                    <w:rFonts w:ascii="Cambria Math" w:hAnsi="Cambria Math"/>
                    <w:i/>
                  </w:rPr>
                </m:ctrlPr>
              </m:sSupPr>
              <m:e>
                <m:r>
                  <w:rPr>
                    <w:rFonts w:ascii="Cambria Math" w:hAnsi="Cambria Math"/>
                  </w:rPr>
                  <m:t>θ</m:t>
                </m:r>
              </m:e>
              <m:sup>
                <m:r>
                  <w:rPr>
                    <w:rFonts w:ascii="Cambria Math" w:hAnsi="Cambria Math"/>
                  </w:rPr>
                  <m:t>*</m:t>
                </m:r>
              </m:sup>
            </m:sSup>
          </m:e>
        </m:d>
        <m:r>
          <w:rPr>
            <w:rFonts w:ascii="Cambria Math" w:hAnsi="Cambria Math"/>
          </w:rPr>
          <m:t>-</m:t>
        </m:r>
      </m:oMath>
      <w:r>
        <w:rPr>
          <w:rFonts w:ascii="Times New Roman" w:hAnsi="Times New Roman" w:cs="Times New Roman"/>
        </w:rPr>
        <w:t>µ</w:t>
      </w:r>
      <m:oMath>
        <m:d>
          <m:dPr>
            <m:ctrlPr>
              <w:rPr>
                <w:rFonts w:ascii="Cambria Math" w:hAnsi="Cambria Math"/>
                <w:i/>
              </w:rPr>
            </m:ctrlPr>
          </m:dPr>
          <m:e>
            <m:r>
              <w:rPr>
                <w:rFonts w:ascii="Cambria Math" w:hAnsi="Cambria Math"/>
              </w:rPr>
              <m:t>θ=0</m:t>
            </m:r>
          </m:e>
        </m:d>
        <m:r>
          <w:rPr>
            <w:rFonts w:ascii="Cambria Math" w:hAnsi="Cambria Math"/>
          </w:rPr>
          <m:t xml:space="preserve"> </m:t>
        </m:r>
      </m:oMath>
      <w:r>
        <w:rPr>
          <w:rFonts w:ascii="Times New Roman" w:hAnsi="Times New Roman" w:cs="Times New Roman"/>
        </w:rPr>
        <w:t>and (</w:t>
      </w:r>
      <m:oMath>
        <m:r>
          <m:rPr>
            <m:sty m:val="p"/>
          </m:rPr>
          <w:rPr>
            <w:rFonts w:ascii="Cambria Math" w:hAnsi="Cambria Math" w:cs="Times New Roman"/>
          </w:rPr>
          <m:t>µ</m:t>
        </m:r>
        <m:d>
          <m:dPr>
            <m:ctrlPr>
              <w:rPr>
                <w:rFonts w:ascii="Cambria Math" w:hAnsi="Cambria Math"/>
                <w:i/>
              </w:rPr>
            </m:ctrlPr>
          </m:dPr>
          <m:e>
            <m:sSup>
              <m:sSupPr>
                <m:ctrlPr>
                  <w:rPr>
                    <w:rFonts w:ascii="Cambria Math" w:hAnsi="Cambria Math"/>
                    <w:i/>
                  </w:rPr>
                </m:ctrlPr>
              </m:sSupPr>
              <m:e>
                <m:r>
                  <w:rPr>
                    <w:rFonts w:ascii="Cambria Math" w:hAnsi="Cambria Math"/>
                  </w:rPr>
                  <m:t>θ</m:t>
                </m:r>
              </m:e>
              <m:sup>
                <m:r>
                  <w:rPr>
                    <w:rFonts w:ascii="Cambria Math" w:hAnsi="Cambria Math"/>
                  </w:rPr>
                  <m:t>*</m:t>
                </m:r>
              </m:sup>
            </m:sSup>
          </m:e>
        </m:d>
        <m:r>
          <w:rPr>
            <w:rFonts w:ascii="Cambria Math" w:hAnsi="Cambria Math"/>
          </w:rPr>
          <m:t>-</m:t>
        </m:r>
      </m:oMath>
      <w:r>
        <w:rPr>
          <w:rFonts w:ascii="Times New Roman" w:hAnsi="Times New Roman" w:cs="Times New Roman"/>
        </w:rPr>
        <w:t>µ</w:t>
      </w:r>
      <m:oMath>
        <m:d>
          <m:dPr>
            <m:ctrlPr>
              <w:rPr>
                <w:rFonts w:ascii="Cambria Math" w:hAnsi="Cambria Math"/>
                <w:i/>
              </w:rPr>
            </m:ctrlPr>
          </m:dPr>
          <m:e>
            <m:r>
              <w:rPr>
                <w:rFonts w:ascii="Cambria Math" w:hAnsi="Cambria Math"/>
              </w:rPr>
              <m:t>θ=0</m:t>
            </m:r>
          </m:e>
        </m:d>
      </m:oMath>
      <w:r>
        <w:rPr>
          <w:rFonts w:ascii="Times New Roman" w:hAnsi="Times New Roman" w:cs="Times New Roman"/>
        </w:rPr>
        <w:t>)×100/µ</w:t>
      </w:r>
      <m:oMath>
        <m:d>
          <m:dPr>
            <m:ctrlPr>
              <w:rPr>
                <w:rFonts w:ascii="Cambria Math" w:hAnsi="Cambria Math"/>
                <w:i/>
              </w:rPr>
            </m:ctrlPr>
          </m:dPr>
          <m:e>
            <m:r>
              <w:rPr>
                <w:rFonts w:ascii="Cambria Math" w:hAnsi="Cambria Math"/>
              </w:rPr>
              <m:t>θ=0</m:t>
            </m:r>
          </m:e>
        </m:d>
      </m:oMath>
      <w:r>
        <w:rPr>
          <w:rFonts w:ascii="Times New Roman" w:hAnsi="Times New Roman" w:cs="Times New Roman"/>
        </w:rPr>
        <w:t>)) (d, e), and population growth rates ((</w:t>
      </w:r>
      <m:oMath>
        <m:r>
          <m:rPr>
            <m:sty m:val="p"/>
          </m:rPr>
          <w:rPr>
            <w:rFonts w:ascii="Cambria Math" w:hAnsi="Cambria Math" w:cs="Times New Roman"/>
          </w:rPr>
          <m:t>g</m:t>
        </m:r>
        <m:d>
          <m:dPr>
            <m:ctrlPr>
              <w:rPr>
                <w:rFonts w:ascii="Cambria Math" w:hAnsi="Cambria Math"/>
                <w:i/>
              </w:rPr>
            </m:ctrlPr>
          </m:dPr>
          <m:e>
            <m:sSup>
              <m:sSupPr>
                <m:ctrlPr>
                  <w:rPr>
                    <w:rFonts w:ascii="Cambria Math" w:hAnsi="Cambria Math"/>
                    <w:i/>
                  </w:rPr>
                </m:ctrlPr>
              </m:sSupPr>
              <m:e>
                <m:r>
                  <w:rPr>
                    <w:rFonts w:ascii="Cambria Math" w:hAnsi="Cambria Math"/>
                  </w:rPr>
                  <m:t>θ</m:t>
                </m:r>
              </m:e>
              <m:sup>
                <m:r>
                  <w:rPr>
                    <w:rFonts w:ascii="Cambria Math" w:hAnsi="Cambria Math"/>
                  </w:rPr>
                  <m:t>*</m:t>
                </m:r>
              </m:sup>
            </m:sSup>
          </m:e>
        </m:d>
        <m:r>
          <w:rPr>
            <w:rFonts w:ascii="Cambria Math" w:hAnsi="Cambria Math"/>
          </w:rPr>
          <m:t>-</m:t>
        </m:r>
      </m:oMath>
      <w:r>
        <w:rPr>
          <w:rFonts w:ascii="Times New Roman" w:hAnsi="Times New Roman" w:cs="Times New Roman"/>
        </w:rPr>
        <w:t>g</w:t>
      </w:r>
      <m:oMath>
        <m:d>
          <m:dPr>
            <m:ctrlPr>
              <w:rPr>
                <w:rFonts w:ascii="Cambria Math" w:hAnsi="Cambria Math"/>
                <w:i/>
              </w:rPr>
            </m:ctrlPr>
          </m:dPr>
          <m:e>
            <m:r>
              <w:rPr>
                <w:rFonts w:ascii="Cambria Math" w:hAnsi="Cambria Math"/>
              </w:rPr>
              <m:t>θ=0</m:t>
            </m:r>
          </m:e>
        </m:d>
        <m:r>
          <w:rPr>
            <w:rFonts w:ascii="Cambria Math" w:hAnsi="Cambria Math"/>
          </w:rPr>
          <m:t xml:space="preserve"> </m:t>
        </m:r>
      </m:oMath>
      <w:r>
        <w:rPr>
          <w:rFonts w:ascii="Times New Roman" w:hAnsi="Times New Roman" w:cs="Times New Roman"/>
        </w:rPr>
        <w:t>and (</w:t>
      </w:r>
      <m:oMath>
        <m:r>
          <m:rPr>
            <m:sty m:val="p"/>
          </m:rPr>
          <w:rPr>
            <w:rFonts w:ascii="Cambria Math" w:hAnsi="Cambria Math" w:cs="Times New Roman"/>
          </w:rPr>
          <m:t>g</m:t>
        </m:r>
        <m:d>
          <m:dPr>
            <m:ctrlPr>
              <w:rPr>
                <w:rFonts w:ascii="Cambria Math" w:hAnsi="Cambria Math"/>
                <w:i/>
              </w:rPr>
            </m:ctrlPr>
          </m:dPr>
          <m:e>
            <m:sSup>
              <m:sSupPr>
                <m:ctrlPr>
                  <w:rPr>
                    <w:rFonts w:ascii="Cambria Math" w:hAnsi="Cambria Math"/>
                    <w:i/>
                  </w:rPr>
                </m:ctrlPr>
              </m:sSupPr>
              <m:e>
                <m:r>
                  <w:rPr>
                    <w:rFonts w:ascii="Cambria Math" w:hAnsi="Cambria Math"/>
                  </w:rPr>
                  <m:t>θ</m:t>
                </m:r>
              </m:e>
              <m:sup>
                <m:r>
                  <w:rPr>
                    <w:rFonts w:ascii="Cambria Math" w:hAnsi="Cambria Math"/>
                  </w:rPr>
                  <m:t>*</m:t>
                </m:r>
              </m:sup>
            </m:sSup>
          </m:e>
        </m:d>
        <m:r>
          <w:rPr>
            <w:rFonts w:ascii="Cambria Math" w:hAnsi="Cambria Math"/>
          </w:rPr>
          <m:t>-g</m:t>
        </m:r>
        <m:d>
          <m:dPr>
            <m:ctrlPr>
              <w:rPr>
                <w:rFonts w:ascii="Cambria Math" w:hAnsi="Cambria Math"/>
                <w:i/>
              </w:rPr>
            </m:ctrlPr>
          </m:dPr>
          <m:e>
            <m:r>
              <w:rPr>
                <w:rFonts w:ascii="Cambria Math" w:hAnsi="Cambria Math"/>
              </w:rPr>
              <m:t>θ=0</m:t>
            </m:r>
          </m:e>
        </m:d>
      </m:oMath>
      <w:r>
        <w:rPr>
          <w:rFonts w:ascii="Times New Roman" w:hAnsi="Times New Roman" w:cs="Times New Roman"/>
        </w:rPr>
        <w:t>)×100/g</w:t>
      </w:r>
      <m:oMath>
        <m:d>
          <m:dPr>
            <m:ctrlPr>
              <w:rPr>
                <w:rFonts w:ascii="Cambria Math" w:hAnsi="Cambria Math"/>
                <w:i/>
              </w:rPr>
            </m:ctrlPr>
          </m:dPr>
          <m:e>
            <m:r>
              <w:rPr>
                <w:rFonts w:ascii="Cambria Math" w:hAnsi="Cambria Math"/>
              </w:rPr>
              <m:t>θ=0</m:t>
            </m:r>
          </m:e>
        </m:d>
      </m:oMath>
      <w:r>
        <w:rPr>
          <w:rFonts w:ascii="Times New Roman" w:hAnsi="Times New Roman" w:cs="Times New Roman"/>
        </w:rPr>
        <w:t>)) (f, g) of defended relative to undefended cells as a function of N-availability and the strength of toxicity (</w:t>
      </w:r>
      <w:r>
        <w:rPr>
          <w:rFonts w:ascii="Cambria Math" w:hAnsi="Cambria Math" w:cs="Times New Roman"/>
        </w:rPr>
        <w:t>𝛽</w:t>
      </w:r>
      <w:r>
        <w:rPr>
          <w:rFonts w:ascii="Times New Roman" w:hAnsi="Times New Roman" w:cs="Times New Roman"/>
        </w:rPr>
        <w:t>).</w:t>
      </w:r>
      <w:r w:rsidR="008A706F">
        <w:rPr>
          <w:rFonts w:ascii="Times New Roman" w:hAnsi="Times New Roman" w:cs="Times New Roman"/>
        </w:rPr>
        <w:t xml:space="preserve"> </w:t>
      </w:r>
      <w:r w:rsidR="0048204E">
        <w:rPr>
          <w:rFonts w:ascii="Times New Roman" w:hAnsi="Times New Roman" w:cs="Times New Roman"/>
        </w:rPr>
        <w:t>The</w:t>
      </w:r>
      <w:r w:rsidR="001F468A">
        <w:rPr>
          <w:rFonts w:ascii="Times New Roman" w:hAnsi="Times New Roman" w:cs="Times New Roman"/>
        </w:rPr>
        <w:t xml:space="preserve"> position</w:t>
      </w:r>
      <w:r w:rsidR="00754964">
        <w:rPr>
          <w:rFonts w:ascii="Times New Roman" w:hAnsi="Times New Roman" w:cs="Times New Roman"/>
        </w:rPr>
        <w:t xml:space="preserve"> of</w:t>
      </w:r>
      <w:r w:rsidR="0048204E">
        <w:rPr>
          <w:rFonts w:ascii="Times New Roman" w:hAnsi="Times New Roman" w:cs="Times New Roman"/>
        </w:rPr>
        <w:t xml:space="preserve"> arrow indicates the value of </w:t>
      </w:r>
      <w:r w:rsidR="0048204E">
        <w:rPr>
          <w:rFonts w:ascii="Cambria Math" w:hAnsi="Cambria Math" w:cs="Times New Roman"/>
        </w:rPr>
        <w:t>𝛽</w:t>
      </w:r>
      <w:r w:rsidR="0048204E">
        <w:rPr>
          <w:rFonts w:ascii="Times New Roman" w:hAnsi="Times New Roman" w:cs="Times New Roman"/>
        </w:rPr>
        <w:t xml:space="preserve"> used for other figures. </w:t>
      </w:r>
      <w:r>
        <w:rPr>
          <w:rFonts w:ascii="Times New Roman" w:hAnsi="Times New Roman" w:cs="Times New Roman"/>
        </w:rPr>
        <w:t xml:space="preserve">The phytoplankton biomasses </w:t>
      </w:r>
      <w:r w:rsidRPr="00C2235B">
        <w:rPr>
          <w:rFonts w:ascii="Times New Roman" w:eastAsiaTheme="minorHAnsi" w:hAnsi="Times New Roman" w:cs="Times New Roman"/>
        </w:rPr>
        <w:t>X</w:t>
      </w:r>
      <w:r>
        <w:rPr>
          <w:rFonts w:ascii="Times New Roman" w:eastAsiaTheme="minorHAnsi" w:hAnsi="Times New Roman" w:cs="Times New Roman"/>
        </w:rPr>
        <w:t>=</w:t>
      </w:r>
      <m:oMath>
        <m:r>
          <w:rPr>
            <w:rFonts w:ascii="Cambria Math" w:eastAsiaTheme="minorHAnsi" w:hAnsi="Cambria Math" w:cs="Times New Roman"/>
          </w:rPr>
          <m:t xml:space="preserve">90 </m:t>
        </m:r>
        <m:r>
          <w:rPr>
            <w:rFonts w:ascii="Cambria Math" w:hAnsi="Cambria Math" w:cs="Times New Roman"/>
          </w:rPr>
          <m:t>μ</m:t>
        </m:r>
        <m:r>
          <m:rPr>
            <m:sty m:val="p"/>
          </m:rPr>
          <w:rPr>
            <w:rFonts w:ascii="Cambria Math" w:hAnsi="Cambria Math"/>
          </w:rPr>
          <m:t xml:space="preserve">g C </m:t>
        </m:r>
        <m:sSup>
          <m:sSupPr>
            <m:ctrlPr>
              <w:rPr>
                <w:rFonts w:ascii="Cambria Math" w:hAnsi="Cambria Math"/>
              </w:rPr>
            </m:ctrlPr>
          </m:sSupPr>
          <m:e>
            <m:r>
              <w:rPr>
                <w:rFonts w:ascii="Cambria Math" w:hAnsi="Cambria Math" w:cs="Times New Roman"/>
              </w:rPr>
              <m:t>L</m:t>
            </m:r>
          </m:e>
          <m:sup>
            <m:r>
              <m:rPr>
                <m:sty m:val="p"/>
              </m:rPr>
              <w:rPr>
                <w:rFonts w:ascii="Cambria Math" w:hAnsi="Cambria Math"/>
              </w:rPr>
              <m:t>-1</m:t>
            </m:r>
          </m:sup>
        </m:sSup>
      </m:oMath>
      <w:r>
        <w:rPr>
          <w:rFonts w:ascii="Times New Roman" w:eastAsiaTheme="minorHAnsi" w:hAnsi="Times New Roman" w:cs="Times New Roman"/>
        </w:rPr>
        <w:t xml:space="preserve">, </w:t>
      </w:r>
      <w:r>
        <w:rPr>
          <w:rFonts w:ascii="Times New Roman" w:hAnsi="Times New Roman" w:cs="Times New Roman"/>
        </w:rPr>
        <w:t>zooplankton biomasses Z</w:t>
      </w:r>
      <w:r>
        <w:rPr>
          <w:rFonts w:ascii="Times New Roman" w:eastAsiaTheme="minorHAnsi" w:hAnsi="Times New Roman" w:cs="Times New Roman"/>
        </w:rPr>
        <w:t>=1</w:t>
      </w:r>
      <m:oMath>
        <m:r>
          <w:rPr>
            <w:rFonts w:ascii="Cambria Math" w:eastAsiaTheme="minorHAnsi" w:hAnsi="Cambria Math" w:cs="Times New Roman"/>
          </w:rPr>
          <m:t xml:space="preserve">0 </m:t>
        </m:r>
        <m:r>
          <w:rPr>
            <w:rFonts w:ascii="Cambria Math" w:hAnsi="Cambria Math" w:cs="Times New Roman"/>
          </w:rPr>
          <m:t>μ</m:t>
        </m:r>
        <m:r>
          <m:rPr>
            <m:sty m:val="p"/>
          </m:rPr>
          <w:rPr>
            <w:rFonts w:ascii="Cambria Math" w:hAnsi="Cambria Math"/>
          </w:rPr>
          <m:t xml:space="preserve">g C </m:t>
        </m:r>
        <m:sSup>
          <m:sSupPr>
            <m:ctrlPr>
              <w:rPr>
                <w:rFonts w:ascii="Cambria Math" w:hAnsi="Cambria Math"/>
              </w:rPr>
            </m:ctrlPr>
          </m:sSupPr>
          <m:e>
            <m:r>
              <w:rPr>
                <w:rFonts w:ascii="Cambria Math" w:hAnsi="Cambria Math" w:cs="Times New Roman"/>
              </w:rPr>
              <m:t>L</m:t>
            </m:r>
          </m:e>
          <m:sup>
            <m:r>
              <m:rPr>
                <m:sty m:val="p"/>
              </m:rPr>
              <w:rPr>
                <w:rFonts w:ascii="Cambria Math" w:hAnsi="Cambria Math"/>
              </w:rPr>
              <m:t>-1</m:t>
            </m:r>
          </m:sup>
        </m:sSup>
      </m:oMath>
      <w:r>
        <w:rPr>
          <w:rFonts w:ascii="Times New Roman" w:hAnsi="Times New Roman" w:cs="Times New Roman"/>
        </w:rPr>
        <w:t>,</w:t>
      </w:r>
      <w:r>
        <w:rPr>
          <w:rFonts w:ascii="Times New Roman" w:eastAsiaTheme="minorHAnsi" w:hAnsi="Times New Roman" w:cs="Times New Roman"/>
        </w:rPr>
        <w:t xml:space="preserve"> light intensity </w:t>
      </w:r>
      <w:r>
        <w:rPr>
          <w:rFonts w:ascii="Times New Roman" w:hAnsi="Times New Roman" w:cs="Times New Roman"/>
        </w:rPr>
        <w:t xml:space="preserve">L=150 </w:t>
      </w:r>
      <m:oMath>
        <m:r>
          <w:rPr>
            <w:rFonts w:ascii="Cambria Math" w:hAnsi="Cambria Math"/>
          </w:rPr>
          <m:t>μ</m:t>
        </m:r>
        <m:r>
          <m:rPr>
            <m:sty m:val="p"/>
          </m:rPr>
          <w:rPr>
            <w:rFonts w:ascii="Cambria Math" w:hAnsi="Cambria Math"/>
          </w:rPr>
          <m:t xml:space="preserve">E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sSup>
          <m:sSupPr>
            <m:ctrlPr>
              <w:rPr>
                <w:rFonts w:ascii="Cambria Math" w:hAnsi="Cambria Math"/>
              </w:rPr>
            </m:ctrlPr>
          </m:sSupPr>
          <m:e>
            <m:r>
              <m:rPr>
                <m:sty m:val="p"/>
              </m:rPr>
              <w:rPr>
                <w:rFonts w:ascii="Cambria Math" w:hAnsi="Cambria Math" w:hint="eastAsia"/>
              </w:rPr>
              <m:t>s</m:t>
            </m:r>
          </m:e>
          <m:sup>
            <m:r>
              <m:rPr>
                <m:sty m:val="p"/>
              </m:rPr>
              <w:rPr>
                <w:rFonts w:ascii="Cambria Math" w:hAnsi="Cambria Math"/>
              </w:rPr>
              <m:t>-1</m:t>
            </m:r>
          </m:sup>
        </m:sSup>
      </m:oMath>
      <w:r>
        <w:rPr>
          <w:rFonts w:ascii="Times New Roman" w:hAnsi="Times New Roman" w:cs="Times New Roman"/>
        </w:rPr>
        <w:t xml:space="preserve">, and </w:t>
      </w:r>
      <w:r>
        <w:rPr>
          <w:rFonts w:ascii="Times New Roman" w:eastAsiaTheme="minorHAnsi" w:hAnsi="Times New Roman" w:cs="Times New Roman"/>
        </w:rPr>
        <w:t xml:space="preserve">phosphorous concentration </w:t>
      </w:r>
      <w:r>
        <w:rPr>
          <w:rFonts w:ascii="Times New Roman" w:hAnsi="Times New Roman" w:cs="Times New Roman"/>
        </w:rPr>
        <w:t xml:space="preserve">P=120 </w:t>
      </w:r>
      <m:oMath>
        <m:r>
          <w:rPr>
            <w:rFonts w:ascii="Cambria Math" w:hAnsi="Cambria Math"/>
          </w:rPr>
          <m:t>μ</m:t>
        </m:r>
        <m:r>
          <m:rPr>
            <m:sty m:val="p"/>
          </m:rPr>
          <w:rPr>
            <w:rFonts w:ascii="Cambria Math" w:hAnsi="Cambria Math"/>
          </w:rPr>
          <m:t xml:space="preserve">g P </m:t>
        </m:r>
        <m:sSup>
          <m:sSupPr>
            <m:ctrlPr>
              <w:rPr>
                <w:rFonts w:ascii="Cambria Math" w:hAnsi="Cambria Math"/>
              </w:rPr>
            </m:ctrlPr>
          </m:sSupPr>
          <m:e>
            <m:r>
              <m:rPr>
                <m:sty m:val="p"/>
              </m:rPr>
              <w:rPr>
                <w:rFonts w:ascii="Cambria Math" w:hAnsi="Cambria Math" w:cs="Times New Roman"/>
              </w:rPr>
              <m:t>L</m:t>
            </m:r>
          </m:e>
          <m:sup>
            <m:r>
              <m:rPr>
                <m:sty m:val="p"/>
              </m:rPr>
              <w:rPr>
                <w:rFonts w:ascii="Cambria Math" w:hAnsi="Cambria Math"/>
              </w:rPr>
              <m:t>-1</m:t>
            </m:r>
          </m:sup>
        </m:sSup>
      </m:oMath>
      <w:r>
        <w:rPr>
          <w:rFonts w:ascii="Times New Roman" w:eastAsiaTheme="minorHAnsi" w:hAnsi="Times New Roman" w:cs="Times New Roman"/>
        </w:rPr>
        <w:t xml:space="preserve"> in all plots.</w:t>
      </w:r>
    </w:p>
    <w:p w:rsidR="00C35B77" w:rsidRDefault="00C35B77" w:rsidP="00C35B77">
      <w:pPr>
        <w:spacing w:line="480" w:lineRule="auto"/>
        <w:rPr>
          <w:rFonts w:ascii="Times New Roman" w:hAnsi="Times New Roman" w:cs="Times New Roman"/>
        </w:rPr>
      </w:pPr>
      <w:r w:rsidRPr="00502C4E">
        <w:rPr>
          <w:rFonts w:ascii="Times New Roman" w:hAnsi="Times New Roman" w:cs="Times New Roman"/>
          <w:b/>
        </w:rPr>
        <w:t>Figure A2.</w:t>
      </w:r>
      <w:r>
        <w:rPr>
          <w:rFonts w:ascii="Times New Roman" w:hAnsi="Times New Roman" w:cs="Times New Roman"/>
        </w:rPr>
        <w:t xml:space="preserve"> Surface plots of optimal allocation of N to toxin production (a), toxin production rate (b), and cellular toxin content (c) as well as absolute and relative changes in cell division rate ((</w:t>
      </w:r>
      <m:oMath>
        <m:r>
          <m:rPr>
            <m:sty m:val="p"/>
          </m:rPr>
          <w:rPr>
            <w:rFonts w:ascii="Cambria Math" w:hAnsi="Cambria Math" w:cs="Times New Roman"/>
          </w:rPr>
          <m:t>µ</m:t>
        </m:r>
        <m:d>
          <m:dPr>
            <m:ctrlPr>
              <w:rPr>
                <w:rFonts w:ascii="Cambria Math" w:hAnsi="Cambria Math"/>
                <w:i/>
              </w:rPr>
            </m:ctrlPr>
          </m:dPr>
          <m:e>
            <m:sSup>
              <m:sSupPr>
                <m:ctrlPr>
                  <w:rPr>
                    <w:rFonts w:ascii="Cambria Math" w:hAnsi="Cambria Math"/>
                    <w:i/>
                  </w:rPr>
                </m:ctrlPr>
              </m:sSupPr>
              <m:e>
                <m:r>
                  <w:rPr>
                    <w:rFonts w:ascii="Cambria Math" w:hAnsi="Cambria Math"/>
                  </w:rPr>
                  <m:t>θ</m:t>
                </m:r>
              </m:e>
              <m:sup>
                <m:r>
                  <w:rPr>
                    <w:rFonts w:ascii="Cambria Math" w:hAnsi="Cambria Math"/>
                  </w:rPr>
                  <m:t>*</m:t>
                </m:r>
              </m:sup>
            </m:sSup>
          </m:e>
        </m:d>
        <m:r>
          <w:rPr>
            <w:rFonts w:ascii="Cambria Math" w:hAnsi="Cambria Math"/>
          </w:rPr>
          <m:t>-</m:t>
        </m:r>
      </m:oMath>
      <w:r>
        <w:rPr>
          <w:rFonts w:ascii="Times New Roman" w:hAnsi="Times New Roman" w:cs="Times New Roman"/>
        </w:rPr>
        <w:t>µ</w:t>
      </w:r>
      <m:oMath>
        <m:d>
          <m:dPr>
            <m:ctrlPr>
              <w:rPr>
                <w:rFonts w:ascii="Cambria Math" w:hAnsi="Cambria Math"/>
                <w:i/>
              </w:rPr>
            </m:ctrlPr>
          </m:dPr>
          <m:e>
            <m:r>
              <w:rPr>
                <w:rFonts w:ascii="Cambria Math" w:hAnsi="Cambria Math"/>
              </w:rPr>
              <m:t>θ=0</m:t>
            </m:r>
          </m:e>
        </m:d>
        <m:r>
          <w:rPr>
            <w:rFonts w:ascii="Cambria Math" w:hAnsi="Cambria Math" w:cs="Times New Roman"/>
          </w:rPr>
          <m:t xml:space="preserve"> </m:t>
        </m:r>
      </m:oMath>
      <w:r>
        <w:rPr>
          <w:rFonts w:ascii="Times New Roman" w:hAnsi="Times New Roman" w:cs="Times New Roman"/>
        </w:rPr>
        <w:t>and (</w:t>
      </w:r>
      <m:oMath>
        <m:r>
          <m:rPr>
            <m:sty m:val="p"/>
          </m:rPr>
          <w:rPr>
            <w:rFonts w:ascii="Cambria Math" w:hAnsi="Cambria Math" w:cs="Times New Roman"/>
          </w:rPr>
          <m:t>µ</m:t>
        </m:r>
        <m:d>
          <m:dPr>
            <m:ctrlPr>
              <w:rPr>
                <w:rFonts w:ascii="Cambria Math" w:hAnsi="Cambria Math"/>
                <w:i/>
              </w:rPr>
            </m:ctrlPr>
          </m:dPr>
          <m:e>
            <m:sSup>
              <m:sSupPr>
                <m:ctrlPr>
                  <w:rPr>
                    <w:rFonts w:ascii="Cambria Math" w:hAnsi="Cambria Math"/>
                    <w:i/>
                  </w:rPr>
                </m:ctrlPr>
              </m:sSupPr>
              <m:e>
                <m:r>
                  <w:rPr>
                    <w:rFonts w:ascii="Cambria Math" w:hAnsi="Cambria Math"/>
                  </w:rPr>
                  <m:t>θ</m:t>
                </m:r>
              </m:e>
              <m:sup>
                <m:r>
                  <w:rPr>
                    <w:rFonts w:ascii="Cambria Math" w:hAnsi="Cambria Math"/>
                  </w:rPr>
                  <m:t>*</m:t>
                </m:r>
              </m:sup>
            </m:sSup>
          </m:e>
        </m:d>
        <m:r>
          <w:rPr>
            <w:rFonts w:ascii="Cambria Math" w:hAnsi="Cambria Math"/>
          </w:rPr>
          <m:t>-</m:t>
        </m:r>
      </m:oMath>
      <w:r>
        <w:rPr>
          <w:rFonts w:ascii="Times New Roman" w:hAnsi="Times New Roman" w:cs="Times New Roman"/>
        </w:rPr>
        <w:t>µ</w:t>
      </w:r>
      <m:oMath>
        <m:d>
          <m:dPr>
            <m:ctrlPr>
              <w:rPr>
                <w:rFonts w:ascii="Cambria Math" w:hAnsi="Cambria Math"/>
                <w:i/>
              </w:rPr>
            </m:ctrlPr>
          </m:dPr>
          <m:e>
            <m:r>
              <w:rPr>
                <w:rFonts w:ascii="Cambria Math" w:hAnsi="Cambria Math"/>
              </w:rPr>
              <m:t>θ=0</m:t>
            </m:r>
          </m:e>
        </m:d>
      </m:oMath>
      <w:r>
        <w:rPr>
          <w:rFonts w:ascii="Times New Roman" w:hAnsi="Times New Roman" w:cs="Times New Roman"/>
        </w:rPr>
        <w:t>)×100/µ</w:t>
      </w:r>
      <m:oMath>
        <m:d>
          <m:dPr>
            <m:ctrlPr>
              <w:rPr>
                <w:rFonts w:ascii="Cambria Math" w:hAnsi="Cambria Math"/>
                <w:i/>
              </w:rPr>
            </m:ctrlPr>
          </m:dPr>
          <m:e>
            <m:r>
              <w:rPr>
                <w:rFonts w:ascii="Cambria Math" w:hAnsi="Cambria Math"/>
              </w:rPr>
              <m:t>θ=0</m:t>
            </m:r>
          </m:e>
        </m:d>
      </m:oMath>
      <w:r>
        <w:rPr>
          <w:rFonts w:ascii="Times New Roman" w:hAnsi="Times New Roman" w:cs="Times New Roman"/>
        </w:rPr>
        <w:t>)) (d, e) and population growth rates ((</w:t>
      </w:r>
      <m:oMath>
        <m:r>
          <m:rPr>
            <m:sty m:val="p"/>
          </m:rPr>
          <w:rPr>
            <w:rFonts w:ascii="Cambria Math" w:hAnsi="Cambria Math" w:cs="Times New Roman"/>
          </w:rPr>
          <m:t>g</m:t>
        </m:r>
        <m:d>
          <m:dPr>
            <m:ctrlPr>
              <w:rPr>
                <w:rFonts w:ascii="Cambria Math" w:hAnsi="Cambria Math"/>
                <w:i/>
              </w:rPr>
            </m:ctrlPr>
          </m:dPr>
          <m:e>
            <m:sSup>
              <m:sSupPr>
                <m:ctrlPr>
                  <w:rPr>
                    <w:rFonts w:ascii="Cambria Math" w:hAnsi="Cambria Math"/>
                    <w:i/>
                  </w:rPr>
                </m:ctrlPr>
              </m:sSupPr>
              <m:e>
                <m:r>
                  <w:rPr>
                    <w:rFonts w:ascii="Cambria Math" w:hAnsi="Cambria Math"/>
                  </w:rPr>
                  <m:t>θ</m:t>
                </m:r>
              </m:e>
              <m:sup>
                <m:r>
                  <w:rPr>
                    <w:rFonts w:ascii="Cambria Math" w:hAnsi="Cambria Math"/>
                  </w:rPr>
                  <m:t>*</m:t>
                </m:r>
              </m:sup>
            </m:sSup>
          </m:e>
        </m:d>
        <m:r>
          <w:rPr>
            <w:rFonts w:ascii="Cambria Math" w:hAnsi="Cambria Math"/>
          </w:rPr>
          <m:t>-</m:t>
        </m:r>
      </m:oMath>
      <w:r>
        <w:rPr>
          <w:rFonts w:ascii="Times New Roman" w:hAnsi="Times New Roman" w:cs="Times New Roman"/>
        </w:rPr>
        <w:t>g</w:t>
      </w:r>
      <m:oMath>
        <m:d>
          <m:dPr>
            <m:ctrlPr>
              <w:rPr>
                <w:rFonts w:ascii="Cambria Math" w:hAnsi="Cambria Math"/>
                <w:i/>
              </w:rPr>
            </m:ctrlPr>
          </m:dPr>
          <m:e>
            <m:r>
              <w:rPr>
                <w:rFonts w:ascii="Cambria Math" w:hAnsi="Cambria Math"/>
              </w:rPr>
              <m:t>θ=0</m:t>
            </m:r>
          </m:e>
        </m:d>
        <m:r>
          <w:rPr>
            <w:rFonts w:ascii="Cambria Math" w:hAnsi="Cambria Math"/>
          </w:rPr>
          <m:t xml:space="preserve"> </m:t>
        </m:r>
      </m:oMath>
      <w:r>
        <w:rPr>
          <w:rFonts w:ascii="Times New Roman" w:hAnsi="Times New Roman" w:cs="Times New Roman"/>
        </w:rPr>
        <w:t>and (</w:t>
      </w:r>
      <m:oMath>
        <m:r>
          <m:rPr>
            <m:sty m:val="p"/>
          </m:rPr>
          <w:rPr>
            <w:rFonts w:ascii="Cambria Math" w:hAnsi="Cambria Math" w:cs="Times New Roman"/>
          </w:rPr>
          <m:t>g</m:t>
        </m:r>
        <m:d>
          <m:dPr>
            <m:ctrlPr>
              <w:rPr>
                <w:rFonts w:ascii="Cambria Math" w:hAnsi="Cambria Math"/>
                <w:i/>
              </w:rPr>
            </m:ctrlPr>
          </m:dPr>
          <m:e>
            <m:sSup>
              <m:sSupPr>
                <m:ctrlPr>
                  <w:rPr>
                    <w:rFonts w:ascii="Cambria Math" w:hAnsi="Cambria Math"/>
                    <w:i/>
                  </w:rPr>
                </m:ctrlPr>
              </m:sSupPr>
              <m:e>
                <m:r>
                  <w:rPr>
                    <w:rFonts w:ascii="Cambria Math" w:hAnsi="Cambria Math"/>
                  </w:rPr>
                  <m:t>θ</m:t>
                </m:r>
              </m:e>
              <m:sup>
                <m:r>
                  <w:rPr>
                    <w:rFonts w:ascii="Cambria Math" w:hAnsi="Cambria Math"/>
                  </w:rPr>
                  <m:t>*</m:t>
                </m:r>
              </m:sup>
            </m:sSup>
          </m:e>
        </m:d>
        <m:r>
          <w:rPr>
            <w:rFonts w:ascii="Cambria Math" w:hAnsi="Cambria Math"/>
          </w:rPr>
          <m:t>-g</m:t>
        </m:r>
        <m:d>
          <m:dPr>
            <m:ctrlPr>
              <w:rPr>
                <w:rFonts w:ascii="Cambria Math" w:hAnsi="Cambria Math"/>
                <w:i/>
              </w:rPr>
            </m:ctrlPr>
          </m:dPr>
          <m:e>
            <m:r>
              <w:rPr>
                <w:rFonts w:ascii="Cambria Math" w:hAnsi="Cambria Math"/>
              </w:rPr>
              <m:t>θ=0</m:t>
            </m:r>
          </m:e>
        </m:d>
      </m:oMath>
      <w:r>
        <w:rPr>
          <w:rFonts w:ascii="Times New Roman" w:hAnsi="Times New Roman" w:cs="Times New Roman"/>
        </w:rPr>
        <w:t>)×100/g</w:t>
      </w:r>
      <m:oMath>
        <m:d>
          <m:dPr>
            <m:ctrlPr>
              <w:rPr>
                <w:rFonts w:ascii="Cambria Math" w:hAnsi="Cambria Math"/>
                <w:i/>
              </w:rPr>
            </m:ctrlPr>
          </m:dPr>
          <m:e>
            <m:r>
              <w:rPr>
                <w:rFonts w:ascii="Cambria Math" w:hAnsi="Cambria Math"/>
              </w:rPr>
              <m:t>θ=0</m:t>
            </m:r>
          </m:e>
        </m:d>
      </m:oMath>
      <w:r>
        <w:rPr>
          <w:rFonts w:ascii="Times New Roman" w:hAnsi="Times New Roman" w:cs="Times New Roman"/>
        </w:rPr>
        <w:t>)) (f, g) of defended relative to undefended cells as a function of N-availability and the cost of toxin production (</w:t>
      </w:r>
      <m:oMath>
        <m:sSub>
          <m:sSubPr>
            <m:ctrlPr>
              <w:rPr>
                <w:rFonts w:ascii="Cambria Math" w:hAnsi="Cambria Math"/>
              </w:rPr>
            </m:ctrlPr>
          </m:sSubPr>
          <m:e>
            <m:r>
              <w:rPr>
                <w:rFonts w:ascii="Cambria Math" w:hAnsi="Cambria Math"/>
              </w:rPr>
              <m:t>r</m:t>
            </m:r>
          </m:e>
          <m:sub>
            <m:r>
              <w:rPr>
                <w:rFonts w:ascii="Cambria Math" w:hAnsi="Cambria Math"/>
              </w:rPr>
              <m:t>T</m:t>
            </m:r>
          </m:sub>
        </m:sSub>
      </m:oMath>
      <w:r>
        <w:rPr>
          <w:rFonts w:ascii="Times New Roman" w:hAnsi="Times New Roman" w:cs="Times New Roman"/>
        </w:rPr>
        <w:t xml:space="preserve">). </w:t>
      </w:r>
      <w:r w:rsidR="0048204E">
        <w:rPr>
          <w:rFonts w:ascii="Times New Roman" w:hAnsi="Times New Roman" w:cs="Times New Roman"/>
        </w:rPr>
        <w:t>The</w:t>
      </w:r>
      <w:r w:rsidR="001F468A">
        <w:rPr>
          <w:rFonts w:ascii="Times New Roman" w:hAnsi="Times New Roman" w:cs="Times New Roman"/>
        </w:rPr>
        <w:t xml:space="preserve"> position</w:t>
      </w:r>
      <w:r w:rsidR="0048204E">
        <w:rPr>
          <w:rFonts w:ascii="Times New Roman" w:hAnsi="Times New Roman" w:cs="Times New Roman"/>
        </w:rPr>
        <w:t xml:space="preserve"> </w:t>
      </w:r>
      <w:r w:rsidR="00C96E97">
        <w:rPr>
          <w:rFonts w:ascii="Times New Roman" w:hAnsi="Times New Roman" w:cs="Times New Roman"/>
        </w:rPr>
        <w:t xml:space="preserve">of </w:t>
      </w:r>
      <w:r w:rsidR="0048204E">
        <w:rPr>
          <w:rFonts w:ascii="Times New Roman" w:hAnsi="Times New Roman" w:cs="Times New Roman"/>
        </w:rPr>
        <w:t xml:space="preserve">arrow indicates the value of </w:t>
      </w:r>
      <m:oMath>
        <m:sSub>
          <m:sSubPr>
            <m:ctrlPr>
              <w:rPr>
                <w:rFonts w:ascii="Cambria Math" w:hAnsi="Cambria Math"/>
              </w:rPr>
            </m:ctrlPr>
          </m:sSubPr>
          <m:e>
            <m:r>
              <w:rPr>
                <w:rFonts w:ascii="Cambria Math" w:hAnsi="Cambria Math"/>
              </w:rPr>
              <m:t>r</m:t>
            </m:r>
          </m:e>
          <m:sub>
            <m:r>
              <w:rPr>
                <w:rFonts w:ascii="Cambria Math" w:hAnsi="Cambria Math"/>
              </w:rPr>
              <m:t>T</m:t>
            </m:r>
          </m:sub>
        </m:sSub>
      </m:oMath>
      <w:r w:rsidR="0048204E">
        <w:rPr>
          <w:rFonts w:ascii="Times New Roman" w:hAnsi="Times New Roman" w:cs="Times New Roman"/>
        </w:rPr>
        <w:t xml:space="preserve"> used for other figures. </w:t>
      </w:r>
      <w:r>
        <w:rPr>
          <w:rFonts w:ascii="Times New Roman" w:hAnsi="Times New Roman" w:cs="Times New Roman"/>
        </w:rPr>
        <w:t xml:space="preserve">The phytoplankton biomasses </w:t>
      </w:r>
      <w:r w:rsidRPr="00C2235B">
        <w:rPr>
          <w:rFonts w:ascii="Times New Roman" w:eastAsiaTheme="minorHAnsi" w:hAnsi="Times New Roman" w:cs="Times New Roman"/>
        </w:rPr>
        <w:t>X</w:t>
      </w:r>
      <w:r>
        <w:rPr>
          <w:rFonts w:ascii="Times New Roman" w:eastAsiaTheme="minorHAnsi" w:hAnsi="Times New Roman" w:cs="Times New Roman"/>
        </w:rPr>
        <w:t>=</w:t>
      </w:r>
      <m:oMath>
        <m:r>
          <w:rPr>
            <w:rFonts w:ascii="Cambria Math" w:eastAsiaTheme="minorHAnsi" w:hAnsi="Cambria Math" w:cs="Times New Roman"/>
          </w:rPr>
          <m:t xml:space="preserve">90 </m:t>
        </m:r>
        <m:r>
          <w:rPr>
            <w:rFonts w:ascii="Cambria Math" w:hAnsi="Cambria Math" w:cs="Times New Roman"/>
          </w:rPr>
          <m:t>μ</m:t>
        </m:r>
        <m:r>
          <m:rPr>
            <m:sty m:val="p"/>
          </m:rPr>
          <w:rPr>
            <w:rFonts w:ascii="Cambria Math" w:hAnsi="Cambria Math"/>
          </w:rPr>
          <m:t xml:space="preserve">g C </m:t>
        </m:r>
        <m:sSup>
          <m:sSupPr>
            <m:ctrlPr>
              <w:rPr>
                <w:rFonts w:ascii="Cambria Math" w:hAnsi="Cambria Math"/>
              </w:rPr>
            </m:ctrlPr>
          </m:sSupPr>
          <m:e>
            <m:r>
              <w:rPr>
                <w:rFonts w:ascii="Cambria Math" w:hAnsi="Cambria Math" w:cs="Times New Roman"/>
              </w:rPr>
              <m:t>L</m:t>
            </m:r>
          </m:e>
          <m:sup>
            <m:r>
              <m:rPr>
                <m:sty m:val="p"/>
              </m:rPr>
              <w:rPr>
                <w:rFonts w:ascii="Cambria Math" w:hAnsi="Cambria Math"/>
              </w:rPr>
              <m:t>-1</m:t>
            </m:r>
          </m:sup>
        </m:sSup>
      </m:oMath>
      <w:r>
        <w:rPr>
          <w:rFonts w:ascii="Times New Roman" w:eastAsiaTheme="minorHAnsi" w:hAnsi="Times New Roman" w:cs="Times New Roman"/>
        </w:rPr>
        <w:t xml:space="preserve">, </w:t>
      </w:r>
      <w:r>
        <w:rPr>
          <w:rFonts w:ascii="Times New Roman" w:hAnsi="Times New Roman" w:cs="Times New Roman"/>
        </w:rPr>
        <w:t>zooplankton biomasses Z</w:t>
      </w:r>
      <w:r>
        <w:rPr>
          <w:rFonts w:ascii="Times New Roman" w:eastAsiaTheme="minorHAnsi" w:hAnsi="Times New Roman" w:cs="Times New Roman"/>
        </w:rPr>
        <w:t>=1</w:t>
      </w:r>
      <m:oMath>
        <m:r>
          <w:rPr>
            <w:rFonts w:ascii="Cambria Math" w:eastAsiaTheme="minorHAnsi" w:hAnsi="Cambria Math" w:cs="Times New Roman"/>
          </w:rPr>
          <m:t xml:space="preserve">0 </m:t>
        </m:r>
        <m:r>
          <w:rPr>
            <w:rFonts w:ascii="Cambria Math" w:hAnsi="Cambria Math" w:cs="Times New Roman"/>
          </w:rPr>
          <m:t>μ</m:t>
        </m:r>
        <m:r>
          <m:rPr>
            <m:sty m:val="p"/>
          </m:rPr>
          <w:rPr>
            <w:rFonts w:ascii="Cambria Math" w:hAnsi="Cambria Math"/>
          </w:rPr>
          <m:t xml:space="preserve">g C </m:t>
        </m:r>
        <m:sSup>
          <m:sSupPr>
            <m:ctrlPr>
              <w:rPr>
                <w:rFonts w:ascii="Cambria Math" w:hAnsi="Cambria Math"/>
              </w:rPr>
            </m:ctrlPr>
          </m:sSupPr>
          <m:e>
            <m:r>
              <w:rPr>
                <w:rFonts w:ascii="Cambria Math" w:hAnsi="Cambria Math" w:cs="Times New Roman"/>
              </w:rPr>
              <m:t>L</m:t>
            </m:r>
          </m:e>
          <m:sup>
            <m:r>
              <m:rPr>
                <m:sty m:val="p"/>
              </m:rPr>
              <w:rPr>
                <w:rFonts w:ascii="Cambria Math" w:hAnsi="Cambria Math"/>
              </w:rPr>
              <m:t>-1</m:t>
            </m:r>
          </m:sup>
        </m:sSup>
      </m:oMath>
      <w:r>
        <w:rPr>
          <w:rFonts w:ascii="Times New Roman" w:hAnsi="Times New Roman" w:cs="Times New Roman"/>
        </w:rPr>
        <w:t>,</w:t>
      </w:r>
      <w:r>
        <w:rPr>
          <w:rFonts w:ascii="Times New Roman" w:eastAsiaTheme="minorHAnsi" w:hAnsi="Times New Roman" w:cs="Times New Roman"/>
        </w:rPr>
        <w:t xml:space="preserve"> light intensity </w:t>
      </w:r>
      <w:r>
        <w:rPr>
          <w:rFonts w:ascii="Times New Roman" w:hAnsi="Times New Roman" w:cs="Times New Roman"/>
        </w:rPr>
        <w:t xml:space="preserve">L=150 </w:t>
      </w:r>
      <m:oMath>
        <m:r>
          <w:rPr>
            <w:rFonts w:ascii="Cambria Math" w:hAnsi="Cambria Math"/>
          </w:rPr>
          <m:t>μ</m:t>
        </m:r>
        <m:r>
          <m:rPr>
            <m:sty m:val="p"/>
          </m:rPr>
          <w:rPr>
            <w:rFonts w:ascii="Cambria Math" w:hAnsi="Cambria Math"/>
          </w:rPr>
          <m:t xml:space="preserve">E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sSup>
          <m:sSupPr>
            <m:ctrlPr>
              <w:rPr>
                <w:rFonts w:ascii="Cambria Math" w:hAnsi="Cambria Math"/>
              </w:rPr>
            </m:ctrlPr>
          </m:sSupPr>
          <m:e>
            <m:r>
              <m:rPr>
                <m:sty m:val="p"/>
              </m:rPr>
              <w:rPr>
                <w:rFonts w:ascii="Cambria Math" w:hAnsi="Cambria Math" w:hint="eastAsia"/>
              </w:rPr>
              <m:t>s</m:t>
            </m:r>
          </m:e>
          <m:sup>
            <m:r>
              <m:rPr>
                <m:sty m:val="p"/>
              </m:rPr>
              <w:rPr>
                <w:rFonts w:ascii="Cambria Math" w:hAnsi="Cambria Math"/>
              </w:rPr>
              <m:t>-1</m:t>
            </m:r>
          </m:sup>
        </m:sSup>
      </m:oMath>
      <w:r>
        <w:rPr>
          <w:rFonts w:ascii="Times New Roman" w:hAnsi="Times New Roman" w:cs="Times New Roman"/>
        </w:rPr>
        <w:t xml:space="preserve">, and </w:t>
      </w:r>
      <w:r>
        <w:rPr>
          <w:rFonts w:ascii="Times New Roman" w:eastAsiaTheme="minorHAnsi" w:hAnsi="Times New Roman" w:cs="Times New Roman"/>
        </w:rPr>
        <w:t xml:space="preserve">phosphorous concentration </w:t>
      </w:r>
      <w:r>
        <w:rPr>
          <w:rFonts w:ascii="Times New Roman" w:hAnsi="Times New Roman" w:cs="Times New Roman"/>
        </w:rPr>
        <w:t xml:space="preserve">P=120 </w:t>
      </w:r>
      <m:oMath>
        <m:r>
          <w:rPr>
            <w:rFonts w:ascii="Cambria Math" w:hAnsi="Cambria Math"/>
          </w:rPr>
          <m:t>μ</m:t>
        </m:r>
        <m:r>
          <m:rPr>
            <m:sty m:val="p"/>
          </m:rPr>
          <w:rPr>
            <w:rFonts w:ascii="Cambria Math" w:hAnsi="Cambria Math"/>
          </w:rPr>
          <m:t xml:space="preserve">g P </m:t>
        </m:r>
        <m:sSup>
          <m:sSupPr>
            <m:ctrlPr>
              <w:rPr>
                <w:rFonts w:ascii="Cambria Math" w:hAnsi="Cambria Math"/>
              </w:rPr>
            </m:ctrlPr>
          </m:sSupPr>
          <m:e>
            <m:r>
              <m:rPr>
                <m:sty m:val="p"/>
              </m:rPr>
              <w:rPr>
                <w:rFonts w:ascii="Cambria Math" w:hAnsi="Cambria Math" w:cs="Times New Roman"/>
              </w:rPr>
              <m:t>L</m:t>
            </m:r>
          </m:e>
          <m:sup>
            <m:r>
              <m:rPr>
                <m:sty m:val="p"/>
              </m:rPr>
              <w:rPr>
                <w:rFonts w:ascii="Cambria Math" w:hAnsi="Cambria Math"/>
              </w:rPr>
              <m:t>-1</m:t>
            </m:r>
          </m:sup>
        </m:sSup>
      </m:oMath>
      <w:r>
        <w:rPr>
          <w:rFonts w:ascii="Times New Roman" w:eastAsiaTheme="minorHAnsi" w:hAnsi="Times New Roman" w:cs="Times New Roman"/>
        </w:rPr>
        <w:t xml:space="preserve"> in all plots.</w:t>
      </w:r>
    </w:p>
    <w:p w:rsidR="00360F28" w:rsidRDefault="00BE3728" w:rsidP="00C35B77">
      <w:pPr>
        <w:spacing w:line="480" w:lineRule="auto"/>
        <w:rPr>
          <w:rFonts w:ascii="Times New Roman" w:eastAsiaTheme="minorHAnsi" w:hAnsi="Times New Roman" w:cs="Times New Roman"/>
        </w:rPr>
      </w:pPr>
      <w:r>
        <w:rPr>
          <w:rFonts w:ascii="Times New Roman" w:eastAsiaTheme="minorHAnsi" w:hAnsi="Times New Roman" w:cs="Times New Roman"/>
          <w:noProof/>
        </w:rPr>
        <w:lastRenderedPageBreak/>
        <w:drawing>
          <wp:inline distT="0" distB="0" distL="0" distR="0" wp14:anchorId="15EB40F7" wp14:editId="7D27FAF3">
            <wp:extent cx="5395620" cy="7981950"/>
            <wp:effectExtent l="0" t="0" r="0" b="0"/>
            <wp:docPr id="1" name="Picture 1" descr="H:\Ken_Toxin\Submitted\ISME\2_1st review\Matlab files\Matlab_programmes\fig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en_Toxin\Submitted\ISME\2_1st review\Matlab files\Matlab_programmes\figA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2796" cy="7992566"/>
                    </a:xfrm>
                    <a:prstGeom prst="rect">
                      <a:avLst/>
                    </a:prstGeom>
                    <a:noFill/>
                    <a:ln>
                      <a:noFill/>
                    </a:ln>
                  </pic:spPr>
                </pic:pic>
              </a:graphicData>
            </a:graphic>
          </wp:inline>
        </w:drawing>
      </w:r>
    </w:p>
    <w:p w:rsidR="00C35B77" w:rsidRDefault="00C35B77" w:rsidP="00C35B77">
      <w:pPr>
        <w:spacing w:line="480" w:lineRule="auto"/>
        <w:rPr>
          <w:rFonts w:ascii="Times New Roman" w:hAnsi="Times New Roman" w:cs="Times New Roman"/>
        </w:rPr>
      </w:pPr>
      <w:r>
        <w:rPr>
          <w:rFonts w:ascii="Times New Roman" w:hAnsi="Times New Roman" w:cs="Times New Roman"/>
        </w:rPr>
        <w:t>Figure A1</w:t>
      </w:r>
    </w:p>
    <w:p w:rsidR="00360F28" w:rsidRDefault="0053490E" w:rsidP="00C35B77">
      <w:pP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509CC094" wp14:editId="2894C429">
            <wp:extent cx="5591175" cy="8271242"/>
            <wp:effectExtent l="0" t="0" r="0" b="0"/>
            <wp:docPr id="3" name="Picture 3" descr="H:\Ken_Toxin\Submitted\ISME\2_1st review\Matlab files\Matlab_programmes\fig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en_Toxin\Submitted\ISME\2_1st review\Matlab files\Matlab_programmes\figA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93949" cy="8275345"/>
                    </a:xfrm>
                    <a:prstGeom prst="rect">
                      <a:avLst/>
                    </a:prstGeom>
                    <a:noFill/>
                    <a:ln>
                      <a:noFill/>
                    </a:ln>
                  </pic:spPr>
                </pic:pic>
              </a:graphicData>
            </a:graphic>
          </wp:inline>
        </w:drawing>
      </w:r>
    </w:p>
    <w:p w:rsidR="00AC5592" w:rsidRDefault="00C35B77" w:rsidP="00C35B77">
      <w:r w:rsidRPr="00502C4E">
        <w:rPr>
          <w:rFonts w:ascii="Times New Roman" w:hAnsi="Times New Roman" w:cs="Times New Roman"/>
          <w:color w:val="000000" w:themeColor="text1"/>
        </w:rPr>
        <w:t>Figure A2</w:t>
      </w:r>
    </w:p>
    <w:sectPr w:rsidR="00AC559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bhendu Chakraborty">
    <w15:presenceInfo w15:providerId="AD" w15:userId="S-1-5-21-4207196655-1284807994-987816898-698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3CA"/>
    <w:rsid w:val="001F468A"/>
    <w:rsid w:val="00207EA1"/>
    <w:rsid w:val="00360F28"/>
    <w:rsid w:val="0048204E"/>
    <w:rsid w:val="0053490E"/>
    <w:rsid w:val="00603DA9"/>
    <w:rsid w:val="00754964"/>
    <w:rsid w:val="008A706F"/>
    <w:rsid w:val="00AC5592"/>
    <w:rsid w:val="00BC2851"/>
    <w:rsid w:val="00BD2E4D"/>
    <w:rsid w:val="00BE2EB5"/>
    <w:rsid w:val="00BE3728"/>
    <w:rsid w:val="00C35B77"/>
    <w:rsid w:val="00C96E97"/>
    <w:rsid w:val="00CE03CA"/>
    <w:rsid w:val="00F105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B77"/>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20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4E"/>
    <w:rPr>
      <w:rFonts w:ascii="Segoe UI" w:eastAsiaTheme="minorEastAsia"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B77"/>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20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4E"/>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DTU AQUA</Company>
  <LinksUpToDate>false</LinksUpToDate>
  <CharactersWithSpaces>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Subhendu Chakraborty</dc:creator>
  <cp:keywords/>
  <dc:description/>
  <cp:lastModifiedBy>Marina Pancic</cp:lastModifiedBy>
  <cp:revision>14</cp:revision>
  <dcterms:created xsi:type="dcterms:W3CDTF">2018-04-10T12:20:00Z</dcterms:created>
  <dcterms:modified xsi:type="dcterms:W3CDTF">2018-06-28T13:44:00Z</dcterms:modified>
</cp:coreProperties>
</file>