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59" w:rsidRPr="00264CD7" w:rsidRDefault="00F87A59" w:rsidP="00F87A59">
      <w:pPr>
        <w:tabs>
          <w:tab w:val="left" w:pos="2410"/>
        </w:tabs>
        <w:spacing w:line="480" w:lineRule="auto"/>
        <w:contextualSpacing/>
        <w:rPr>
          <w:rFonts w:cstheme="minorHAnsi"/>
          <w:b/>
          <w:bCs/>
          <w:lang w:val="en-CA"/>
        </w:rPr>
      </w:pPr>
      <w:r w:rsidRPr="00264CD7">
        <w:rPr>
          <w:rFonts w:cstheme="minorHAnsi"/>
          <w:b/>
          <w:bCs/>
          <w:lang w:val="en-CA"/>
        </w:rPr>
        <w:t>Supplementary Information</w:t>
      </w:r>
    </w:p>
    <w:p w:rsidR="00F87A59" w:rsidRPr="00264CD7" w:rsidRDefault="00F87A59" w:rsidP="00F87A59">
      <w:pPr>
        <w:tabs>
          <w:tab w:val="left" w:pos="2410"/>
        </w:tabs>
        <w:spacing w:line="480" w:lineRule="auto"/>
        <w:contextualSpacing/>
        <w:rPr>
          <w:lang w:val="en-CA"/>
        </w:rPr>
      </w:pPr>
      <w:r w:rsidRPr="000A19F4">
        <w:rPr>
          <w:rFonts w:ascii="Calibri" w:hAnsi="Calibri" w:cs="Calibri"/>
          <w:b/>
          <w:bCs/>
          <w:sz w:val="22"/>
          <w:szCs w:val="22"/>
          <w:lang w:val="en-US" w:eastAsia="en-US"/>
        </w:rPr>
        <w:t xml:space="preserve">Supplementary Figure 1: 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>(</w:t>
      </w:r>
      <w:r w:rsidRPr="000A19F4">
        <w:rPr>
          <w:rFonts w:ascii="Calibri" w:hAnsi="Calibri" w:cs="Calibri"/>
          <w:b/>
          <w:bCs/>
          <w:sz w:val="22"/>
          <w:szCs w:val="22"/>
          <w:lang w:val="en-US" w:eastAsia="en-US"/>
        </w:rPr>
        <w:t>a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 xml:space="preserve">) Structure of PUL‐MAN1, 2 and 3, pathways responsible for the utilization of YM by </w:t>
      </w:r>
      <w:r w:rsidRPr="000A19F4">
        <w:rPr>
          <w:rFonts w:ascii="Calibri" w:hAnsi="Calibri" w:cs="Calibri"/>
          <w:i/>
          <w:iCs/>
          <w:sz w:val="22"/>
          <w:szCs w:val="22"/>
          <w:lang w:val="en-US" w:eastAsia="en-US"/>
        </w:rPr>
        <w:t>B. theta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>. (</w:t>
      </w:r>
      <w:r w:rsidRPr="000A19F4">
        <w:rPr>
          <w:rFonts w:ascii="Calibri" w:hAnsi="Calibri" w:cs="Calibri"/>
          <w:b/>
          <w:bCs/>
          <w:sz w:val="22"/>
          <w:szCs w:val="22"/>
          <w:lang w:val="en-US" w:eastAsia="en-US"/>
        </w:rPr>
        <w:t>b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>) Composition and linkage structure of YM. (</w:t>
      </w:r>
      <w:r w:rsidRPr="000A19F4">
        <w:rPr>
          <w:rFonts w:ascii="Calibri" w:hAnsi="Calibri" w:cs="Calibri"/>
          <w:b/>
          <w:bCs/>
          <w:sz w:val="22"/>
          <w:szCs w:val="22"/>
          <w:lang w:val="en-US" w:eastAsia="en-US"/>
        </w:rPr>
        <w:t>c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 xml:space="preserve">) Structure of PUL‐RGII1, 2, and 3 responsible for the utilization of RGII by </w:t>
      </w:r>
      <w:r w:rsidRPr="000A19F4">
        <w:rPr>
          <w:rFonts w:ascii="Calibri" w:hAnsi="Calibri" w:cs="Calibri"/>
          <w:i/>
          <w:iCs/>
          <w:sz w:val="22"/>
          <w:szCs w:val="22"/>
          <w:lang w:val="en-US" w:eastAsia="en-US"/>
        </w:rPr>
        <w:t>B. theta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>. Annotated genes and enzyme family are labeled. (</w:t>
      </w:r>
      <w:r w:rsidRPr="000A19F4">
        <w:rPr>
          <w:rFonts w:ascii="Calibri" w:hAnsi="Calibri" w:cs="Calibri"/>
          <w:b/>
          <w:bCs/>
          <w:sz w:val="22"/>
          <w:szCs w:val="22"/>
          <w:lang w:val="en-US" w:eastAsia="en-US"/>
        </w:rPr>
        <w:t>d</w:t>
      </w:r>
      <w:r w:rsidRPr="000A19F4">
        <w:rPr>
          <w:rFonts w:ascii="Calibri" w:hAnsi="Calibri" w:cs="Calibri"/>
          <w:sz w:val="22"/>
          <w:szCs w:val="22"/>
          <w:lang w:val="en-US" w:eastAsia="en-US"/>
        </w:rPr>
        <w:t xml:space="preserve">) Composition and linkage structure of RGII. Annotated genes and enzyme families are labeled. The gray boxes denote the genes that were removed by mutagenesis. </w:t>
      </w:r>
      <w:proofErr w:type="spellStart"/>
      <w:r w:rsidRPr="000A19F4">
        <w:rPr>
          <w:rFonts w:ascii="Calibri" w:hAnsi="Calibri" w:cs="Calibri"/>
          <w:sz w:val="22"/>
          <w:szCs w:val="22"/>
          <w:lang w:val="en-US" w:eastAsia="en-US"/>
        </w:rPr>
        <w:t>Monosaccharides</w:t>
      </w:r>
      <w:proofErr w:type="spellEnd"/>
      <w:r w:rsidRPr="000A19F4">
        <w:rPr>
          <w:rFonts w:ascii="Calibri" w:hAnsi="Calibri" w:cs="Calibri"/>
          <w:sz w:val="22"/>
          <w:szCs w:val="22"/>
          <w:lang w:val="en-US" w:eastAsia="en-US"/>
        </w:rPr>
        <w:t xml:space="preserve"> are depicted using the Consortium for Functional </w:t>
      </w:r>
      <w:proofErr w:type="spellStart"/>
      <w:r w:rsidRPr="000A19F4">
        <w:rPr>
          <w:rFonts w:ascii="Calibri" w:hAnsi="Calibri" w:cs="Calibri"/>
          <w:sz w:val="22"/>
          <w:szCs w:val="22"/>
          <w:lang w:val="en-US" w:eastAsia="en-US"/>
        </w:rPr>
        <w:t>Glycomics</w:t>
      </w:r>
      <w:proofErr w:type="spellEnd"/>
      <w:r w:rsidRPr="000A19F4">
        <w:rPr>
          <w:rFonts w:ascii="Calibri" w:hAnsi="Calibri" w:cs="Calibri"/>
          <w:sz w:val="22"/>
          <w:szCs w:val="22"/>
          <w:lang w:val="en-US" w:eastAsia="en-US"/>
        </w:rPr>
        <w:t xml:space="preserve"> nomenclature (18). </w:t>
      </w:r>
    </w:p>
    <w:p w:rsidR="00F87A59" w:rsidRPr="000B7D4F" w:rsidRDefault="00F87A59" w:rsidP="00F87A59">
      <w:pPr>
        <w:tabs>
          <w:tab w:val="left" w:pos="2410"/>
        </w:tabs>
        <w:spacing w:before="100" w:beforeAutospacing="1" w:after="100" w:afterAutospacing="1" w:line="480" w:lineRule="auto"/>
        <w:contextualSpacing/>
        <w:rPr>
          <w:bCs/>
          <w:lang w:val="en-US"/>
        </w:rPr>
      </w:pPr>
      <w:r w:rsidRPr="00415156">
        <w:rPr>
          <w:b/>
          <w:bCs/>
          <w:lang w:val="en-US"/>
        </w:rPr>
        <w:t>Supplementary Figure 2:</w:t>
      </w:r>
      <w:r w:rsidRPr="00415156">
        <w:rPr>
          <w:bCs/>
          <w:lang w:val="en-US"/>
        </w:rPr>
        <w:t xml:space="preserve"> Full panel display of fluorescently labeled </w:t>
      </w:r>
      <w:r w:rsidRPr="00415156">
        <w:rPr>
          <w:bCs/>
          <w:i/>
          <w:iCs/>
          <w:lang w:val="en-US"/>
        </w:rPr>
        <w:t xml:space="preserve">B. theta </w:t>
      </w:r>
      <w:r w:rsidRPr="00415156">
        <w:rPr>
          <w:bCs/>
          <w:lang w:val="en-US"/>
        </w:rPr>
        <w:t xml:space="preserve">mutant strains visualized by super-resolution structured illumination microscopy (SR-SIM). Cells are stained with DAPI (blue), FLA-YM or FLA- RGII (green), and Nile Red (red); and displayed at 0* (true zero), 0 (directly after glycan addition), 24 and 72 hours. (A &amp; B) Wild-type </w:t>
      </w:r>
      <w:r w:rsidRPr="00415156">
        <w:rPr>
          <w:bCs/>
          <w:i/>
          <w:iCs/>
          <w:lang w:val="en-US"/>
        </w:rPr>
        <w:t xml:space="preserve">B. theta </w:t>
      </w:r>
      <w:r w:rsidRPr="00415156">
        <w:rPr>
          <w:bCs/>
          <w:lang w:val="en-US"/>
        </w:rPr>
        <w:t xml:space="preserve">and mutant Bt∆MAN1/2/3 cells labeled with FLA-YM. (C &amp; D) Wild-type </w:t>
      </w:r>
      <w:r w:rsidRPr="00415156">
        <w:rPr>
          <w:bCs/>
          <w:i/>
          <w:iCs/>
          <w:lang w:val="en-US"/>
        </w:rPr>
        <w:t xml:space="preserve">B. theta </w:t>
      </w:r>
      <w:r w:rsidRPr="00415156">
        <w:rPr>
          <w:bCs/>
          <w:lang w:val="en-US"/>
        </w:rPr>
        <w:t xml:space="preserve">and mutant </w:t>
      </w:r>
      <w:proofErr w:type="spellStart"/>
      <w:r w:rsidRPr="00415156">
        <w:rPr>
          <w:bCs/>
          <w:lang w:val="en-US"/>
        </w:rPr>
        <w:t>Bt∆RGII</w:t>
      </w:r>
      <w:proofErr w:type="spellEnd"/>
      <w:r w:rsidRPr="00415156">
        <w:rPr>
          <w:bCs/>
          <w:lang w:val="en-US"/>
        </w:rPr>
        <w:t xml:space="preserve"> cells labeled with FLA-RGII. </w:t>
      </w:r>
      <w:r w:rsidRPr="000B7D4F">
        <w:rPr>
          <w:bCs/>
          <w:lang w:val="en-US"/>
        </w:rPr>
        <w:t xml:space="preserve">Size bars = 2 </w:t>
      </w:r>
      <w:r w:rsidRPr="00415156">
        <w:rPr>
          <w:bCs/>
        </w:rPr>
        <w:t>μ</w:t>
      </w:r>
      <w:r w:rsidRPr="000B7D4F">
        <w:rPr>
          <w:bCs/>
          <w:lang w:val="en-US"/>
        </w:rPr>
        <w:t xml:space="preserve">M. </w:t>
      </w:r>
    </w:p>
    <w:p w:rsidR="00F87A59" w:rsidRDefault="00F87A59" w:rsidP="00F87A59">
      <w:pPr>
        <w:tabs>
          <w:tab w:val="left" w:pos="2410"/>
        </w:tabs>
        <w:spacing w:before="100" w:beforeAutospacing="1" w:after="100" w:afterAutospacing="1" w:line="480" w:lineRule="auto"/>
        <w:contextualSpacing/>
        <w:rPr>
          <w:lang w:val="en-US"/>
        </w:rPr>
      </w:pPr>
    </w:p>
    <w:p w:rsidR="00F87A59" w:rsidRPr="0021775E" w:rsidRDefault="00F87A59" w:rsidP="00F87A59">
      <w:pPr>
        <w:tabs>
          <w:tab w:val="left" w:pos="2410"/>
        </w:tabs>
        <w:spacing w:before="100" w:beforeAutospacing="1" w:after="100" w:afterAutospacing="1" w:line="480" w:lineRule="auto"/>
        <w:contextualSpacing/>
        <w:rPr>
          <w:rFonts w:cstheme="minorHAnsi"/>
          <w:lang w:val="en-US"/>
        </w:rPr>
      </w:pPr>
      <w:r w:rsidRPr="0021775E">
        <w:rPr>
          <w:rFonts w:cstheme="minorHAnsi"/>
          <w:b/>
          <w:bCs/>
          <w:lang w:val="en-US"/>
        </w:rPr>
        <w:t>Supplementary Figure 3:</w:t>
      </w:r>
      <w:r w:rsidRPr="0021775E">
        <w:rPr>
          <w:rFonts w:cstheme="minorHAnsi"/>
          <w:lang w:val="en-US"/>
        </w:rPr>
        <w:t xml:space="preserve"> Time-dependent uptake of fluorescent glycan conjugates by </w:t>
      </w:r>
    </w:p>
    <w:p w:rsidR="00F87A59" w:rsidRDefault="00F87A59" w:rsidP="00F87A59">
      <w:pPr>
        <w:tabs>
          <w:tab w:val="left" w:pos="2410"/>
        </w:tabs>
        <w:spacing w:before="100" w:beforeAutospacing="1" w:after="100" w:afterAutospacing="1" w:line="480" w:lineRule="auto"/>
        <w:contextualSpacing/>
        <w:rPr>
          <w:rFonts w:cstheme="minorHAnsi"/>
          <w:lang w:val="en-US"/>
        </w:rPr>
      </w:pPr>
      <w:proofErr w:type="gramStart"/>
      <w:r w:rsidRPr="0021775E">
        <w:rPr>
          <w:rFonts w:cstheme="minorHAnsi"/>
          <w:i/>
          <w:iCs/>
          <w:lang w:val="en-US"/>
        </w:rPr>
        <w:t>B. theta</w:t>
      </w:r>
      <w:r w:rsidRPr="0021775E">
        <w:rPr>
          <w:rFonts w:cstheme="minorHAnsi"/>
          <w:lang w:val="en-US"/>
        </w:rPr>
        <w:t>.</w:t>
      </w:r>
      <w:proofErr w:type="gramEnd"/>
      <w:r w:rsidRPr="0021775E">
        <w:rPr>
          <w:rFonts w:cstheme="minorHAnsi"/>
          <w:lang w:val="en-US"/>
        </w:rPr>
        <w:t xml:space="preserve"> </w:t>
      </w:r>
      <w:r w:rsidRPr="0021775E">
        <w:rPr>
          <w:rFonts w:cstheme="minorHAnsi"/>
          <w:b/>
          <w:bCs/>
          <w:lang w:val="en-US"/>
        </w:rPr>
        <w:t>A</w:t>
      </w:r>
      <w:r w:rsidRPr="0021775E">
        <w:rPr>
          <w:rFonts w:cstheme="minorHAnsi"/>
          <w:lang w:val="en-US"/>
        </w:rPr>
        <w:t xml:space="preserve">) </w:t>
      </w:r>
      <w:r>
        <w:rPr>
          <w:rFonts w:cstheme="minorHAnsi"/>
          <w:lang w:val="en-US"/>
        </w:rPr>
        <w:t>Change</w:t>
      </w:r>
      <w:r w:rsidRPr="0021775E">
        <w:rPr>
          <w:rFonts w:cstheme="minorHAnsi"/>
          <w:lang w:val="en-US"/>
        </w:rPr>
        <w:t xml:space="preserve"> in mean fluorescence intensity of </w:t>
      </w:r>
      <w:r w:rsidRPr="0021775E">
        <w:rPr>
          <w:rFonts w:cstheme="minorHAnsi"/>
          <w:i/>
          <w:iCs/>
          <w:lang w:val="en-US"/>
        </w:rPr>
        <w:t>B. theta</w:t>
      </w:r>
      <w:r w:rsidRPr="0021775E">
        <w:rPr>
          <w:rFonts w:cstheme="minorHAnsi"/>
          <w:lang w:val="en-US"/>
        </w:rPr>
        <w:t xml:space="preserve"> (white) and Bt∆MAN1/2/3 (dashed) incubated with FLA-YM and a control (</w:t>
      </w:r>
      <w:r w:rsidRPr="0021775E">
        <w:rPr>
          <w:rFonts w:cstheme="minorHAnsi"/>
          <w:i/>
          <w:iCs/>
          <w:lang w:val="en-US"/>
        </w:rPr>
        <w:t>B. theta</w:t>
      </w:r>
      <w:r w:rsidRPr="0021775E">
        <w:rPr>
          <w:rFonts w:cstheme="minorHAnsi"/>
          <w:lang w:val="en-US"/>
        </w:rPr>
        <w:t xml:space="preserve"> incubated with unlabeled YM, bla</w:t>
      </w:r>
      <w:r>
        <w:rPr>
          <w:rFonts w:cstheme="minorHAnsi"/>
          <w:lang w:val="en-US"/>
        </w:rPr>
        <w:t>ck) over time (0* (true zero), 1 min</w:t>
      </w:r>
      <w:r w:rsidRPr="0021775E">
        <w:rPr>
          <w:rFonts w:cstheme="minorHAnsi"/>
          <w:lang w:val="en-US"/>
        </w:rPr>
        <w:t xml:space="preserve"> (directly after glycan addition), 24 and 72 hours). </w:t>
      </w:r>
      <w:r w:rsidRPr="0021775E">
        <w:rPr>
          <w:rFonts w:cstheme="minorHAnsi"/>
          <w:b/>
          <w:bCs/>
          <w:lang w:val="en-US"/>
        </w:rPr>
        <w:t>B</w:t>
      </w:r>
      <w:r w:rsidRPr="0021775E">
        <w:rPr>
          <w:rFonts w:cstheme="minorHAnsi"/>
          <w:lang w:val="en-US"/>
        </w:rPr>
        <w:t xml:space="preserve">) </w:t>
      </w:r>
      <w:r>
        <w:rPr>
          <w:rFonts w:cstheme="minorHAnsi"/>
          <w:lang w:val="en-US"/>
        </w:rPr>
        <w:t>C</w:t>
      </w:r>
      <w:r w:rsidRPr="0021775E">
        <w:rPr>
          <w:rFonts w:cstheme="minorHAnsi"/>
          <w:lang w:val="en-US"/>
        </w:rPr>
        <w:t xml:space="preserve">hange in mean fluorescence intensity of </w:t>
      </w:r>
      <w:r w:rsidRPr="0021775E">
        <w:rPr>
          <w:rFonts w:cstheme="minorHAnsi"/>
          <w:i/>
          <w:iCs/>
          <w:lang w:val="en-US"/>
        </w:rPr>
        <w:t>B. theta</w:t>
      </w:r>
      <w:r w:rsidRPr="0021775E">
        <w:rPr>
          <w:rFonts w:cstheme="minorHAnsi"/>
          <w:lang w:val="en-US"/>
        </w:rPr>
        <w:t xml:space="preserve"> (white) and </w:t>
      </w:r>
      <w:proofErr w:type="spellStart"/>
      <w:r w:rsidRPr="0021775E">
        <w:rPr>
          <w:rFonts w:cstheme="minorHAnsi"/>
          <w:lang w:val="en-US"/>
        </w:rPr>
        <w:t>Bt∆RGII</w:t>
      </w:r>
      <w:proofErr w:type="spellEnd"/>
      <w:r w:rsidRPr="0021775E">
        <w:rPr>
          <w:rFonts w:cstheme="minorHAnsi"/>
          <w:lang w:val="en-US"/>
        </w:rPr>
        <w:t xml:space="preserve"> (dashed) incubated with FLA-RGII and a control (</w:t>
      </w:r>
      <w:r w:rsidRPr="0021775E">
        <w:rPr>
          <w:rFonts w:cstheme="minorHAnsi"/>
          <w:i/>
          <w:iCs/>
          <w:lang w:val="en-US"/>
        </w:rPr>
        <w:t>B. theta</w:t>
      </w:r>
      <w:r w:rsidRPr="0021775E">
        <w:rPr>
          <w:rFonts w:cstheme="minorHAnsi"/>
          <w:lang w:val="en-US"/>
        </w:rPr>
        <w:t xml:space="preserve"> incubated with unlabeled RGII, black) over time (0* </w:t>
      </w:r>
      <w:r>
        <w:rPr>
          <w:rFonts w:cstheme="minorHAnsi"/>
          <w:lang w:val="en-US"/>
        </w:rPr>
        <w:t>(true zero), 1min</w:t>
      </w:r>
      <w:r w:rsidRPr="0021775E">
        <w:rPr>
          <w:rFonts w:cstheme="minorHAnsi"/>
          <w:lang w:val="en-US"/>
        </w:rPr>
        <w:t xml:space="preserve"> (directly after glycan addition), 24 and 72 hours). N=8,500 and error bars = standard deviation.</w:t>
      </w:r>
    </w:p>
    <w:p w:rsidR="00F87A59" w:rsidRPr="00264CD7" w:rsidRDefault="00F87A59" w:rsidP="00F87A59">
      <w:pPr>
        <w:tabs>
          <w:tab w:val="left" w:pos="2410"/>
        </w:tabs>
        <w:spacing w:before="100" w:beforeAutospacing="1" w:after="100" w:afterAutospacing="1" w:line="480" w:lineRule="auto"/>
        <w:contextualSpacing/>
        <w:rPr>
          <w:lang w:val="en-CA"/>
        </w:rPr>
      </w:pPr>
    </w:p>
    <w:p w:rsidR="00F87A59" w:rsidRDefault="00F87A59" w:rsidP="00F87A59">
      <w:pPr>
        <w:tabs>
          <w:tab w:val="left" w:pos="2410"/>
        </w:tabs>
        <w:autoSpaceDE w:val="0"/>
        <w:autoSpaceDN w:val="0"/>
        <w:adjustRightInd w:val="0"/>
        <w:spacing w:before="100" w:after="100" w:line="480" w:lineRule="auto"/>
        <w:rPr>
          <w:rFonts w:eastAsiaTheme="minorHAnsi"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>Supplementary Figure 4:</w:t>
      </w:r>
      <w:r>
        <w:rPr>
          <w:rFonts w:eastAsiaTheme="minorHAnsi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lang w:val="en-US" w:eastAsia="en-US"/>
        </w:rPr>
        <w:t>Epifluorescence</w:t>
      </w:r>
      <w:proofErr w:type="spellEnd"/>
      <w:r>
        <w:rPr>
          <w:rFonts w:eastAsiaTheme="minorHAnsi"/>
          <w:b/>
          <w:bCs/>
          <w:lang w:val="en-US" w:eastAsia="en-US"/>
        </w:rPr>
        <w:t xml:space="preserve"> microscopy images of enzyme protection assays.</w:t>
      </w:r>
      <w:r>
        <w:rPr>
          <w:rFonts w:eastAsiaTheme="minorHAnsi"/>
          <w:lang w:val="en-US" w:eastAsia="en-US"/>
        </w:rPr>
        <w:t xml:space="preserve"> </w:t>
      </w:r>
      <w:r>
        <w:rPr>
          <w:rFonts w:eastAsiaTheme="minorHAnsi"/>
          <w:b/>
          <w:bCs/>
          <w:lang w:val="en-US" w:eastAsia="en-US"/>
        </w:rPr>
        <w:t>A &amp; B)</w:t>
      </w:r>
      <w:r>
        <w:rPr>
          <w:rFonts w:eastAsiaTheme="minorHAnsi"/>
          <w:lang w:val="en-US" w:eastAsia="en-US"/>
        </w:rPr>
        <w:t xml:space="preserve"> Negative and positive control showing cells grown on YM and cells incubated in FLA-</w:t>
      </w:r>
      <w:r>
        <w:rPr>
          <w:rFonts w:eastAsiaTheme="minorHAnsi"/>
          <w:lang w:val="en-US" w:eastAsia="en-US"/>
        </w:rPr>
        <w:lastRenderedPageBreak/>
        <w:t xml:space="preserve">YM. </w:t>
      </w:r>
      <w:r>
        <w:rPr>
          <w:rFonts w:eastAsiaTheme="minorHAnsi"/>
          <w:b/>
          <w:bCs/>
          <w:lang w:val="en-US" w:eastAsia="en-US"/>
        </w:rPr>
        <w:t>C &amp; D)</w:t>
      </w:r>
      <w:r>
        <w:rPr>
          <w:rFonts w:eastAsiaTheme="minorHAnsi"/>
          <w:lang w:val="en-US" w:eastAsia="en-US"/>
        </w:rPr>
        <w:t xml:space="preserve"> FLA-YM stained cells incubated in YM specific enzymes. </w:t>
      </w:r>
      <w:r>
        <w:rPr>
          <w:rFonts w:eastAsiaTheme="minorHAnsi"/>
          <w:b/>
          <w:bCs/>
          <w:lang w:val="en-US" w:eastAsia="en-US"/>
        </w:rPr>
        <w:t>E)</w:t>
      </w:r>
      <w:r>
        <w:rPr>
          <w:rFonts w:eastAsiaTheme="minorHAnsi"/>
          <w:lang w:val="en-US" w:eastAsia="en-US"/>
        </w:rPr>
        <w:t xml:space="preserve"> FGC treated with YM-specific enzymes before incubation with </w:t>
      </w:r>
      <w:r>
        <w:rPr>
          <w:rFonts w:eastAsiaTheme="minorHAnsi"/>
          <w:i/>
          <w:iCs/>
          <w:lang w:val="en-US" w:eastAsia="en-US"/>
        </w:rPr>
        <w:t xml:space="preserve">B. theta. </w:t>
      </w:r>
      <w:r>
        <w:rPr>
          <w:rFonts w:eastAsiaTheme="minorHAnsi"/>
          <w:lang w:val="en-US" w:eastAsia="en-US"/>
        </w:rPr>
        <w:t>Exposure times are consistent between images and signal loss represents depletion of FLA-YM. Scale bar = 5 µm.</w:t>
      </w:r>
    </w:p>
    <w:p w:rsidR="00EA3EDB" w:rsidRDefault="00EA3EDB">
      <w:bookmarkStart w:id="0" w:name="_GoBack"/>
      <w:bookmarkEnd w:id="0"/>
    </w:p>
    <w:sectPr w:rsidR="00EA3ED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59"/>
    <w:rsid w:val="00EA3EDB"/>
    <w:rsid w:val="00F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jhhehema</dc:creator>
  <cp:lastModifiedBy>jhhehema</cp:lastModifiedBy>
  <cp:revision>1</cp:revision>
  <dcterms:created xsi:type="dcterms:W3CDTF">2018-12-04T09:16:00Z</dcterms:created>
  <dcterms:modified xsi:type="dcterms:W3CDTF">2018-12-04T09:16:00Z</dcterms:modified>
</cp:coreProperties>
</file>