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4CC" w:rsidRPr="00CF41A6" w:rsidRDefault="00CF41A6" w:rsidP="006014CC">
      <w:pPr>
        <w:pStyle w:val="Heading2"/>
        <w:spacing w:line="480" w:lineRule="auto"/>
        <w:rPr>
          <w:rFonts w:ascii="Arial" w:eastAsiaTheme="minorEastAsia" w:hAnsi="Arial" w:cs="Arial"/>
          <w:color w:val="auto"/>
        </w:rPr>
      </w:pPr>
      <w:r w:rsidRPr="00CF41A6">
        <w:rPr>
          <w:rFonts w:ascii="Arial" w:eastAsiaTheme="minorEastAsia" w:hAnsi="Arial" w:cs="Arial"/>
          <w:color w:val="auto"/>
        </w:rPr>
        <w:t>Supplementary Information</w:t>
      </w:r>
    </w:p>
    <w:p w:rsidR="00CF41A6" w:rsidRDefault="00CF41A6" w:rsidP="006014CC">
      <w:pPr>
        <w:pStyle w:val="Heading2"/>
        <w:spacing w:line="480" w:lineRule="auto"/>
        <w:rPr>
          <w:rFonts w:ascii="Arial" w:hAnsi="Arial" w:cs="Arial"/>
          <w:color w:val="auto"/>
        </w:rPr>
      </w:pPr>
    </w:p>
    <w:p w:rsidR="006014CC" w:rsidRPr="00CF41A6" w:rsidRDefault="00CF41A6" w:rsidP="006014CC">
      <w:pPr>
        <w:pStyle w:val="Heading2"/>
        <w:spacing w:line="480" w:lineRule="auto"/>
        <w:rPr>
          <w:rFonts w:ascii="Arial" w:hAnsi="Arial" w:cs="Arial"/>
          <w:color w:val="auto"/>
        </w:rPr>
      </w:pPr>
      <w:r w:rsidRPr="00CF41A6">
        <w:rPr>
          <w:rFonts w:ascii="Arial" w:hAnsi="Arial" w:cs="Arial"/>
          <w:color w:val="auto"/>
        </w:rPr>
        <w:t>Title</w:t>
      </w:r>
    </w:p>
    <w:p w:rsidR="006014CC" w:rsidRPr="00CF41A6" w:rsidRDefault="006014CC" w:rsidP="006014CC">
      <w:pPr>
        <w:spacing w:line="480" w:lineRule="auto"/>
        <w:jc w:val="both"/>
        <w:rPr>
          <w:rFonts w:ascii="Arial" w:hAnsi="Arial" w:cs="Arial"/>
        </w:rPr>
      </w:pPr>
      <w:r w:rsidRPr="00CF41A6">
        <w:rPr>
          <w:rFonts w:ascii="Arial" w:hAnsi="Arial" w:cs="Arial"/>
        </w:rPr>
        <w:t xml:space="preserve">Selection for antibiotic resistance is reduced </w:t>
      </w:r>
      <w:r w:rsidR="00A54A1A">
        <w:rPr>
          <w:rFonts w:ascii="Arial" w:hAnsi="Arial" w:cs="Arial"/>
        </w:rPr>
        <w:t>when embedded in a natural microbial community</w:t>
      </w:r>
    </w:p>
    <w:p w:rsidR="006014CC" w:rsidRPr="00CF41A6" w:rsidRDefault="00CF41A6" w:rsidP="006014CC">
      <w:pPr>
        <w:pStyle w:val="Heading2"/>
        <w:spacing w:line="480" w:lineRule="auto"/>
        <w:rPr>
          <w:rFonts w:ascii="Arial" w:hAnsi="Arial" w:cs="Arial"/>
          <w:color w:val="auto"/>
        </w:rPr>
      </w:pPr>
      <w:r w:rsidRPr="00CF41A6">
        <w:rPr>
          <w:rFonts w:ascii="Arial" w:hAnsi="Arial" w:cs="Arial"/>
          <w:color w:val="auto"/>
        </w:rPr>
        <w:t>Author list</w:t>
      </w:r>
    </w:p>
    <w:p w:rsidR="006014CC" w:rsidRPr="0092450D" w:rsidRDefault="006014CC" w:rsidP="006014CC">
      <w:pPr>
        <w:spacing w:line="480" w:lineRule="auto"/>
        <w:jc w:val="both"/>
        <w:rPr>
          <w:rFonts w:ascii="Arial" w:hAnsi="Arial" w:cs="Arial"/>
          <w:lang w:val="de-DE"/>
        </w:rPr>
      </w:pPr>
      <w:r w:rsidRPr="0092450D">
        <w:rPr>
          <w:rFonts w:ascii="Arial" w:hAnsi="Arial" w:cs="Arial"/>
          <w:lang w:val="de-DE"/>
        </w:rPr>
        <w:t>Uli Klümper</w:t>
      </w:r>
      <w:r w:rsidRPr="0092450D">
        <w:rPr>
          <w:rFonts w:ascii="Arial" w:hAnsi="Arial" w:cs="Arial"/>
          <w:vertAlign w:val="superscript"/>
          <w:lang w:val="de-DE"/>
        </w:rPr>
        <w:t>1,2,*</w:t>
      </w:r>
      <w:r w:rsidRPr="0092450D">
        <w:rPr>
          <w:rFonts w:ascii="Arial" w:hAnsi="Arial" w:cs="Arial"/>
          <w:lang w:val="de-DE"/>
        </w:rPr>
        <w:t>, Mario Recker</w:t>
      </w:r>
      <w:r w:rsidRPr="0092450D">
        <w:rPr>
          <w:rFonts w:ascii="Arial" w:hAnsi="Arial" w:cs="Arial"/>
          <w:vertAlign w:val="superscript"/>
          <w:lang w:val="de-DE"/>
        </w:rPr>
        <w:t>3</w:t>
      </w:r>
      <w:r w:rsidRPr="0092450D">
        <w:rPr>
          <w:rFonts w:ascii="Arial" w:hAnsi="Arial" w:cs="Arial"/>
          <w:lang w:val="de-DE"/>
        </w:rPr>
        <w:t>, Lihong Zhang</w:t>
      </w:r>
      <w:r w:rsidRPr="0092450D">
        <w:rPr>
          <w:rFonts w:ascii="Arial" w:hAnsi="Arial" w:cs="Arial"/>
          <w:vertAlign w:val="superscript"/>
          <w:lang w:val="de-DE"/>
        </w:rPr>
        <w:t>2</w:t>
      </w:r>
      <w:r w:rsidRPr="0092450D">
        <w:rPr>
          <w:rFonts w:ascii="Arial" w:hAnsi="Arial" w:cs="Arial"/>
          <w:lang w:val="de-DE"/>
        </w:rPr>
        <w:t>, Xiaole Yin</w:t>
      </w:r>
      <w:r w:rsidRPr="0092450D">
        <w:rPr>
          <w:rFonts w:ascii="Arial" w:hAnsi="Arial" w:cs="Arial"/>
          <w:vertAlign w:val="superscript"/>
          <w:lang w:val="de-DE"/>
        </w:rPr>
        <w:t>4</w:t>
      </w:r>
      <w:r w:rsidRPr="0092450D">
        <w:rPr>
          <w:rFonts w:ascii="Arial" w:hAnsi="Arial" w:cs="Arial"/>
          <w:lang w:val="de-DE"/>
        </w:rPr>
        <w:t>, Tong Zhang</w:t>
      </w:r>
      <w:r w:rsidRPr="0092450D">
        <w:rPr>
          <w:rFonts w:ascii="Arial" w:hAnsi="Arial" w:cs="Arial"/>
          <w:vertAlign w:val="superscript"/>
          <w:lang w:val="de-DE"/>
        </w:rPr>
        <w:t>4</w:t>
      </w:r>
      <w:r w:rsidRPr="0092450D">
        <w:rPr>
          <w:rFonts w:ascii="Arial" w:hAnsi="Arial" w:cs="Arial"/>
          <w:lang w:val="de-DE"/>
        </w:rPr>
        <w:t>, Angus Buckling</w:t>
      </w:r>
      <w:r w:rsidRPr="0092450D">
        <w:rPr>
          <w:rFonts w:ascii="Arial" w:hAnsi="Arial" w:cs="Arial"/>
          <w:vertAlign w:val="superscript"/>
          <w:lang w:val="de-DE"/>
        </w:rPr>
        <w:t>1</w:t>
      </w:r>
      <w:r w:rsidRPr="0092450D">
        <w:rPr>
          <w:rFonts w:ascii="Arial" w:hAnsi="Arial" w:cs="Arial"/>
          <w:lang w:val="de-DE"/>
        </w:rPr>
        <w:t>, William H. Gaze</w:t>
      </w:r>
      <w:r w:rsidRPr="0092450D">
        <w:rPr>
          <w:rFonts w:ascii="Arial" w:hAnsi="Arial" w:cs="Arial"/>
          <w:vertAlign w:val="superscript"/>
          <w:lang w:val="de-DE"/>
        </w:rPr>
        <w:t>2</w:t>
      </w:r>
    </w:p>
    <w:p w:rsidR="006014CC" w:rsidRPr="00E73C54" w:rsidRDefault="006014CC" w:rsidP="006014CC">
      <w:pPr>
        <w:pStyle w:val="NoSpacing"/>
        <w:spacing w:line="480" w:lineRule="auto"/>
        <w:rPr>
          <w:rFonts w:ascii="Arial" w:hAnsi="Arial" w:cs="Arial"/>
        </w:rPr>
      </w:pPr>
      <w:r w:rsidRPr="00E73C54">
        <w:rPr>
          <w:rFonts w:ascii="Arial" w:hAnsi="Arial" w:cs="Arial"/>
          <w:vertAlign w:val="superscript"/>
        </w:rPr>
        <w:t>1</w:t>
      </w:r>
      <w:r w:rsidRPr="00E73C54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LES &amp; ESI</w:t>
      </w:r>
      <w:r w:rsidRPr="00E73C54">
        <w:rPr>
          <w:rFonts w:ascii="Arial" w:hAnsi="Arial" w:cs="Arial"/>
        </w:rPr>
        <w:t>, University of Exeter, Penryn, Cornwall, United Kingdom</w:t>
      </w:r>
    </w:p>
    <w:p w:rsidR="006014CC" w:rsidRPr="00E73C54" w:rsidRDefault="006014CC" w:rsidP="006014CC">
      <w:pPr>
        <w:pStyle w:val="NoSpacing"/>
        <w:spacing w:line="480" w:lineRule="auto"/>
        <w:rPr>
          <w:rFonts w:ascii="Arial" w:hAnsi="Arial" w:cs="Arial"/>
        </w:rPr>
      </w:pPr>
      <w:r w:rsidRPr="00E73C54">
        <w:rPr>
          <w:rFonts w:ascii="Arial" w:hAnsi="Arial" w:cs="Arial"/>
          <w:vertAlign w:val="superscript"/>
        </w:rPr>
        <w:t>2</w:t>
      </w:r>
      <w:r w:rsidRPr="00E73C54">
        <w:rPr>
          <w:rFonts w:ascii="Arial" w:hAnsi="Arial" w:cs="Arial"/>
        </w:rPr>
        <w:t xml:space="preserve"> European Centre for Environment and Human Health, University of Exeter Medical School, ESI, Penryn, Cornwall, United Kingdom</w:t>
      </w:r>
    </w:p>
    <w:p w:rsidR="006014CC" w:rsidRPr="00E73C54" w:rsidRDefault="006014CC" w:rsidP="006014CC">
      <w:pPr>
        <w:pStyle w:val="NoSpacing"/>
        <w:spacing w:line="480" w:lineRule="auto"/>
        <w:rPr>
          <w:rFonts w:ascii="Arial" w:hAnsi="Arial" w:cs="Arial"/>
        </w:rPr>
      </w:pPr>
      <w:r w:rsidRPr="00E73C54">
        <w:rPr>
          <w:rFonts w:ascii="Arial" w:hAnsi="Arial" w:cs="Arial"/>
          <w:vertAlign w:val="superscript"/>
        </w:rPr>
        <w:t>3</w:t>
      </w:r>
      <w:r w:rsidRPr="00E73C54">
        <w:rPr>
          <w:rFonts w:ascii="Arial" w:hAnsi="Arial" w:cs="Arial"/>
        </w:rPr>
        <w:t xml:space="preserve"> </w:t>
      </w:r>
      <w:proofErr w:type="gramStart"/>
      <w:r w:rsidRPr="00E73C54">
        <w:rPr>
          <w:rFonts w:ascii="Arial" w:hAnsi="Arial" w:cs="Arial"/>
        </w:rPr>
        <w:t>College</w:t>
      </w:r>
      <w:proofErr w:type="gramEnd"/>
      <w:r w:rsidRPr="00E73C54">
        <w:rPr>
          <w:rFonts w:ascii="Arial" w:hAnsi="Arial" w:cs="Arial"/>
        </w:rPr>
        <w:t xml:space="preserve"> of Engineering, Mathematics and Physical Sciences, University of Exeter, Penryn, Cornwall, United Kingdom</w:t>
      </w:r>
    </w:p>
    <w:p w:rsidR="006014CC" w:rsidRPr="00E73C54" w:rsidRDefault="006014CC" w:rsidP="006014CC">
      <w:pPr>
        <w:pStyle w:val="NoSpacing"/>
        <w:spacing w:line="480" w:lineRule="auto"/>
        <w:rPr>
          <w:rFonts w:ascii="Arial" w:hAnsi="Arial" w:cs="Arial"/>
        </w:rPr>
      </w:pPr>
      <w:r w:rsidRPr="00E73C54">
        <w:rPr>
          <w:rFonts w:ascii="Arial" w:hAnsi="Arial" w:cs="Arial"/>
          <w:vertAlign w:val="superscript"/>
        </w:rPr>
        <w:t>4</w:t>
      </w:r>
      <w:r w:rsidRPr="00E73C54">
        <w:rPr>
          <w:rFonts w:ascii="Arial" w:hAnsi="Arial" w:cs="Arial"/>
        </w:rPr>
        <w:t xml:space="preserve"> </w:t>
      </w:r>
      <w:proofErr w:type="gramStart"/>
      <w:r w:rsidRPr="00E73C54">
        <w:rPr>
          <w:rFonts w:ascii="Arial" w:hAnsi="Arial" w:cs="Arial"/>
        </w:rPr>
        <w:t>Department</w:t>
      </w:r>
      <w:proofErr w:type="gramEnd"/>
      <w:r w:rsidRPr="00E73C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of</w:t>
      </w:r>
      <w:r w:rsidRPr="00E73C54">
        <w:rPr>
          <w:rFonts w:ascii="Arial" w:hAnsi="Arial" w:cs="Arial"/>
        </w:rPr>
        <w:t xml:space="preserve"> Civil Engineering, University of Hong Kong, Hong Kong, China</w:t>
      </w:r>
    </w:p>
    <w:p w:rsidR="006014CC" w:rsidRPr="00E73C54" w:rsidRDefault="006014CC" w:rsidP="006014CC">
      <w:pPr>
        <w:pStyle w:val="NoSpacing"/>
        <w:spacing w:line="480" w:lineRule="auto"/>
        <w:rPr>
          <w:rFonts w:ascii="Arial" w:hAnsi="Arial" w:cs="Arial"/>
          <w:vertAlign w:val="superscript"/>
        </w:rPr>
      </w:pPr>
    </w:p>
    <w:p w:rsidR="006014CC" w:rsidRDefault="006014CC" w:rsidP="006014CC">
      <w:pPr>
        <w:pStyle w:val="NoSpacing"/>
        <w:spacing w:line="480" w:lineRule="auto"/>
        <w:rPr>
          <w:rFonts w:ascii="Arial" w:hAnsi="Arial" w:cs="Arial"/>
        </w:rPr>
      </w:pPr>
      <w:r w:rsidRPr="00E73C54">
        <w:rPr>
          <w:rFonts w:ascii="Arial" w:hAnsi="Arial" w:cs="Arial"/>
          <w:vertAlign w:val="superscript"/>
        </w:rPr>
        <w:t>*</w:t>
      </w:r>
      <w:r w:rsidRPr="00E73C54">
        <w:rPr>
          <w:rFonts w:ascii="Arial" w:hAnsi="Arial" w:cs="Arial"/>
        </w:rPr>
        <w:t>corresponding author:</w:t>
      </w:r>
    </w:p>
    <w:p w:rsidR="006014CC" w:rsidRDefault="006014CC" w:rsidP="006014CC">
      <w:pPr>
        <w:pStyle w:val="NoSpacing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Uli Klümper</w:t>
      </w:r>
    </w:p>
    <w:p w:rsidR="006014CC" w:rsidRDefault="006014CC" w:rsidP="006014CC">
      <w:pPr>
        <w:pStyle w:val="NoSpacing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CLES &amp; ESI University of Exeter</w:t>
      </w:r>
    </w:p>
    <w:p w:rsidR="006014CC" w:rsidRDefault="006014CC" w:rsidP="006014CC">
      <w:pPr>
        <w:pStyle w:val="NoSpacing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TR109FE Penryn</w:t>
      </w:r>
    </w:p>
    <w:p w:rsidR="006014CC" w:rsidRPr="00E73C54" w:rsidRDefault="006014CC" w:rsidP="006014CC">
      <w:pPr>
        <w:pStyle w:val="NoSpacing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United Kingdom</w:t>
      </w:r>
    </w:p>
    <w:p w:rsidR="006014CC" w:rsidRPr="00E73C54" w:rsidRDefault="006014CC" w:rsidP="006014CC">
      <w:pPr>
        <w:pStyle w:val="NoSpacing"/>
        <w:spacing w:line="480" w:lineRule="auto"/>
        <w:rPr>
          <w:rFonts w:ascii="Arial" w:hAnsi="Arial" w:cs="Arial"/>
        </w:rPr>
      </w:pPr>
      <w:r w:rsidRPr="00E73C54">
        <w:rPr>
          <w:rFonts w:ascii="Arial" w:hAnsi="Arial" w:cs="Arial"/>
        </w:rPr>
        <w:t xml:space="preserve">Email: </w:t>
      </w:r>
      <w:hyperlink r:id="rId5" w:history="1">
        <w:r w:rsidRPr="00E73C54">
          <w:rPr>
            <w:rStyle w:val="Hyperlink"/>
            <w:rFonts w:ascii="Arial" w:hAnsi="Arial" w:cs="Arial"/>
          </w:rPr>
          <w:t>u.klumper@exeter.ac.uk</w:t>
        </w:r>
      </w:hyperlink>
    </w:p>
    <w:p w:rsidR="006014CC" w:rsidRPr="00E73C54" w:rsidRDefault="006014CC" w:rsidP="006014CC">
      <w:pPr>
        <w:pStyle w:val="NoSpacing"/>
        <w:spacing w:line="480" w:lineRule="auto"/>
        <w:rPr>
          <w:rFonts w:ascii="Arial" w:hAnsi="Arial" w:cs="Arial"/>
        </w:rPr>
      </w:pPr>
      <w:r w:rsidRPr="00E73C54">
        <w:rPr>
          <w:rFonts w:ascii="Arial" w:hAnsi="Arial" w:cs="Arial"/>
        </w:rPr>
        <w:t>Phone: (+44)7497497338</w:t>
      </w:r>
    </w:p>
    <w:p w:rsidR="006014CC" w:rsidRPr="00D37F57" w:rsidRDefault="006014CC" w:rsidP="006014CC">
      <w:r w:rsidRPr="00E73C54">
        <w:rPr>
          <w:rFonts w:ascii="Arial" w:hAnsi="Arial" w:cs="Arial"/>
        </w:rPr>
        <w:t>ORCID: 0000-0002-4169-6548</w:t>
      </w:r>
    </w:p>
    <w:p w:rsidR="006014CC" w:rsidRDefault="006014CC" w:rsidP="006014CC">
      <w:pPr>
        <w:spacing w:line="480" w:lineRule="auto"/>
        <w:jc w:val="both"/>
        <w:rPr>
          <w:rFonts w:ascii="Arial" w:eastAsiaTheme="minorEastAsia" w:hAnsi="Arial" w:cs="Arial"/>
          <w:b/>
          <w:sz w:val="18"/>
          <w:szCs w:val="18"/>
        </w:rPr>
        <w:sectPr w:rsidR="006014CC" w:rsidSect="00D37F57">
          <w:pgSz w:w="11906" w:h="16838" w:code="9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:rsidR="00FE1C83" w:rsidRPr="00FE1C83" w:rsidRDefault="00FE1C83" w:rsidP="00FE1C83">
      <w:pPr>
        <w:pStyle w:val="NoSpacing"/>
        <w:spacing w:line="480" w:lineRule="auto"/>
        <w:jc w:val="both"/>
        <w:rPr>
          <w:rFonts w:ascii="Arial" w:hAnsi="Arial" w:cs="Arial"/>
          <w:b/>
          <w:sz w:val="26"/>
          <w:szCs w:val="26"/>
        </w:rPr>
      </w:pPr>
      <w:r w:rsidRPr="00FE1C83">
        <w:rPr>
          <w:rFonts w:ascii="Arial" w:hAnsi="Arial" w:cs="Arial"/>
          <w:b/>
          <w:sz w:val="26"/>
          <w:szCs w:val="26"/>
        </w:rPr>
        <w:lastRenderedPageBreak/>
        <w:t>Figure Legends</w:t>
      </w:r>
    </w:p>
    <w:p w:rsidR="00C354C4" w:rsidRPr="00FE1C83" w:rsidRDefault="00C354C4" w:rsidP="00C354C4">
      <w:pPr>
        <w:pStyle w:val="NoSpacing"/>
        <w:spacing w:line="480" w:lineRule="auto"/>
        <w:jc w:val="both"/>
        <w:rPr>
          <w:rFonts w:ascii="Arial" w:hAnsi="Arial" w:cs="Arial"/>
          <w:b/>
        </w:rPr>
      </w:pPr>
      <w:r w:rsidRPr="00FE1C83">
        <w:rPr>
          <w:rFonts w:ascii="Arial" w:hAnsi="Arial" w:cs="Arial"/>
          <w:b/>
        </w:rPr>
        <w:t>Figure SI</w:t>
      </w:r>
      <w:r>
        <w:rPr>
          <w:rFonts w:ascii="Arial" w:hAnsi="Arial" w:cs="Arial"/>
          <w:b/>
        </w:rPr>
        <w:t>1</w:t>
      </w:r>
      <w:r w:rsidRPr="00FE1C83">
        <w:rPr>
          <w:rFonts w:ascii="Arial" w:hAnsi="Arial" w:cs="Arial"/>
          <w:b/>
        </w:rPr>
        <w:t xml:space="preserve">. </w:t>
      </w:r>
      <w:proofErr w:type="gramStart"/>
      <w:r w:rsidRPr="00FE1C83">
        <w:rPr>
          <w:rFonts w:ascii="Arial" w:hAnsi="Arial" w:cs="Arial"/>
          <w:b/>
        </w:rPr>
        <w:t>Community analysis for gentamicin reactors.</w:t>
      </w:r>
      <w:proofErr w:type="gramEnd"/>
      <w:r w:rsidRPr="00FE1C83">
        <w:rPr>
          <w:rFonts w:ascii="Arial" w:hAnsi="Arial" w:cs="Arial"/>
          <w:b/>
        </w:rPr>
        <w:t xml:space="preserve"> </w:t>
      </w:r>
    </w:p>
    <w:p w:rsidR="00C354C4" w:rsidRDefault="00C354C4" w:rsidP="00C354C4">
      <w:pPr>
        <w:pStyle w:val="NoSpacing"/>
        <w:spacing w:line="480" w:lineRule="auto"/>
        <w:jc w:val="both"/>
        <w:rPr>
          <w:rFonts w:ascii="Arial" w:hAnsi="Arial" w:cs="Arial"/>
        </w:rPr>
      </w:pPr>
      <w:r w:rsidRPr="00FE1C83">
        <w:rPr>
          <w:rFonts w:ascii="Arial" w:hAnsi="Arial" w:cs="Arial"/>
        </w:rPr>
        <w:t>(A): Non-metric 2-dimensional scaling analysis (NMDS) revealing distinct clustering of original fecal community, inoculum and reactors after 3 day incubation. Ordination based on the Bray-Curtis dissimilarity metric. (B) Bar chart based on phylum distribution.</w:t>
      </w:r>
    </w:p>
    <w:p w:rsidR="00C354C4" w:rsidRPr="00FE1C83" w:rsidRDefault="00C354C4" w:rsidP="00C354C4">
      <w:pPr>
        <w:pStyle w:val="NoSpacing"/>
        <w:spacing w:line="480" w:lineRule="auto"/>
        <w:jc w:val="both"/>
        <w:rPr>
          <w:rFonts w:ascii="Arial" w:hAnsi="Arial" w:cs="Arial"/>
        </w:rPr>
      </w:pPr>
    </w:p>
    <w:p w:rsidR="00C354C4" w:rsidRPr="00FE1C83" w:rsidRDefault="00C354C4" w:rsidP="00C354C4">
      <w:pPr>
        <w:pStyle w:val="NoSpacing"/>
        <w:spacing w:line="480" w:lineRule="auto"/>
        <w:jc w:val="both"/>
        <w:rPr>
          <w:rFonts w:ascii="Arial" w:hAnsi="Arial" w:cs="Arial"/>
          <w:b/>
        </w:rPr>
      </w:pPr>
      <w:r w:rsidRPr="00FE1C83">
        <w:rPr>
          <w:rFonts w:ascii="Arial" w:hAnsi="Arial" w:cs="Arial"/>
          <w:b/>
        </w:rPr>
        <w:t>Figure SI</w:t>
      </w:r>
      <w:r>
        <w:rPr>
          <w:rFonts w:ascii="Arial" w:hAnsi="Arial" w:cs="Arial"/>
          <w:b/>
        </w:rPr>
        <w:t>2</w:t>
      </w:r>
      <w:r w:rsidRPr="00FE1C83">
        <w:rPr>
          <w:rFonts w:ascii="Arial" w:hAnsi="Arial" w:cs="Arial"/>
          <w:b/>
        </w:rPr>
        <w:t xml:space="preserve">. </w:t>
      </w:r>
      <w:proofErr w:type="gramStart"/>
      <w:r w:rsidRPr="00FE1C83">
        <w:rPr>
          <w:rFonts w:ascii="Arial" w:hAnsi="Arial" w:cs="Arial"/>
          <w:b/>
        </w:rPr>
        <w:t>Community analysis for kanamycin reactors.</w:t>
      </w:r>
      <w:proofErr w:type="gramEnd"/>
      <w:r w:rsidRPr="00FE1C83">
        <w:rPr>
          <w:rFonts w:ascii="Arial" w:hAnsi="Arial" w:cs="Arial"/>
          <w:b/>
        </w:rPr>
        <w:t xml:space="preserve"> </w:t>
      </w:r>
    </w:p>
    <w:p w:rsidR="00C354C4" w:rsidRDefault="00C354C4" w:rsidP="00C354C4">
      <w:pPr>
        <w:pStyle w:val="NoSpacing"/>
        <w:spacing w:line="480" w:lineRule="auto"/>
        <w:jc w:val="both"/>
        <w:rPr>
          <w:rFonts w:ascii="Arial" w:hAnsi="Arial" w:cs="Arial"/>
        </w:rPr>
      </w:pPr>
      <w:proofErr w:type="gramStart"/>
      <w:r w:rsidRPr="00FE1C83">
        <w:rPr>
          <w:rFonts w:ascii="Arial" w:hAnsi="Arial" w:cs="Arial"/>
        </w:rPr>
        <w:t>(A) Non-metric 2-dimensional scaling analysis (NMDS) revealing distinct clustering of original fecal community, inoculum and reactors after 3 day incubation.</w:t>
      </w:r>
      <w:proofErr w:type="gramEnd"/>
      <w:r w:rsidRPr="00FE1C83">
        <w:rPr>
          <w:rFonts w:ascii="Arial" w:hAnsi="Arial" w:cs="Arial"/>
        </w:rPr>
        <w:t xml:space="preserve"> Ordination based on the Bray-Curtis dissimilarity metric. (B) Bar chart based on phylum distribution.</w:t>
      </w:r>
    </w:p>
    <w:p w:rsidR="00C354C4" w:rsidRDefault="00C354C4" w:rsidP="00FE1C83">
      <w:pPr>
        <w:pStyle w:val="NoSpacing"/>
        <w:spacing w:line="480" w:lineRule="auto"/>
        <w:jc w:val="both"/>
        <w:rPr>
          <w:rFonts w:ascii="Arial" w:hAnsi="Arial" w:cs="Arial"/>
          <w:b/>
        </w:rPr>
      </w:pPr>
    </w:p>
    <w:p w:rsidR="00FE1C83" w:rsidRPr="00FE1C83" w:rsidRDefault="00FE1C83" w:rsidP="00FE1C83">
      <w:pPr>
        <w:pStyle w:val="NoSpacing"/>
        <w:spacing w:line="480" w:lineRule="auto"/>
        <w:jc w:val="both"/>
        <w:rPr>
          <w:rFonts w:ascii="Arial" w:hAnsi="Arial" w:cs="Arial"/>
        </w:rPr>
      </w:pPr>
      <w:r w:rsidRPr="00FE1C83">
        <w:rPr>
          <w:rFonts w:ascii="Arial" w:hAnsi="Arial" w:cs="Arial"/>
          <w:b/>
        </w:rPr>
        <w:t>Figure SI</w:t>
      </w:r>
      <w:r w:rsidR="00C354C4">
        <w:rPr>
          <w:rFonts w:ascii="Arial" w:hAnsi="Arial" w:cs="Arial"/>
          <w:b/>
        </w:rPr>
        <w:t>3</w:t>
      </w:r>
      <w:r w:rsidRPr="00FE1C83">
        <w:rPr>
          <w:rFonts w:ascii="Arial" w:hAnsi="Arial" w:cs="Arial"/>
          <w:b/>
        </w:rPr>
        <w:t>. Contour plots showing the growth reduction of the susceptible strain</w:t>
      </w:r>
      <w:r w:rsidRPr="00FE1C83">
        <w:rPr>
          <w:rFonts w:ascii="Arial" w:hAnsi="Arial" w:cs="Arial"/>
        </w:rPr>
        <w:t xml:space="preserve">, </w:t>
      </w:r>
    </w:p>
    <w:p w:rsidR="00C354C4" w:rsidRDefault="00FE1C83" w:rsidP="00FE1C83">
      <w:pPr>
        <w:pStyle w:val="NoSpacing"/>
        <w:spacing w:line="480" w:lineRule="auto"/>
        <w:jc w:val="both"/>
        <w:rPr>
          <w:rFonts w:ascii="Arial" w:hAnsi="Arial" w:cs="Arial"/>
        </w:rPr>
      </w:pPr>
      <w:proofErr w:type="gramStart"/>
      <w:r w:rsidRPr="00FE1C83">
        <w:rPr>
          <w:rFonts w:ascii="Arial" w:hAnsi="Arial" w:cs="Arial"/>
        </w:rPr>
        <w:t>dependent</w:t>
      </w:r>
      <w:proofErr w:type="gramEnd"/>
      <w:r w:rsidRPr="00FE1C83">
        <w:rPr>
          <w:rFonts w:ascii="Arial" w:hAnsi="Arial" w:cs="Arial"/>
        </w:rPr>
        <w:t xml:space="preserve"> on the Kanamycin concentration and size of the community, for the two scenarios used in the mathematical model: density independent (a) and dependent (b) resistance </w:t>
      </w:r>
    </w:p>
    <w:p w:rsidR="00F35DD1" w:rsidRPr="00FE1C83" w:rsidRDefault="00F35DD1" w:rsidP="00FE1C83">
      <w:pPr>
        <w:pStyle w:val="NoSpacing"/>
        <w:spacing w:line="48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C354C4" w:rsidRDefault="00C354C4" w:rsidP="00FE1C83">
      <w:pPr>
        <w:pStyle w:val="NoSpacing"/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Figure SI4. </w:t>
      </w:r>
      <w:proofErr w:type="gramStart"/>
      <w:r>
        <w:rPr>
          <w:rFonts w:ascii="Arial" w:hAnsi="Arial" w:cs="Arial"/>
          <w:b/>
        </w:rPr>
        <w:t>Simulated community dynamics.</w:t>
      </w:r>
      <w:proofErr w:type="gramEnd"/>
    </w:p>
    <w:p w:rsidR="00C354C4" w:rsidRDefault="00C354C4" w:rsidP="00FE1C83">
      <w:pPr>
        <w:pStyle w:val="NoSpacing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Illustrative example of modelled community dynamics (here for Kanamycin 20 μg/mL).</w:t>
      </w:r>
      <w:proofErr w:type="gramEnd"/>
      <w:r>
        <w:rPr>
          <w:rFonts w:ascii="Arial" w:hAnsi="Arial" w:cs="Arial"/>
        </w:rPr>
        <w:t xml:space="preserve"> C</w:t>
      </w:r>
      <w:r w:rsidRPr="00C354C4">
        <w:rPr>
          <w:rFonts w:ascii="Arial" w:hAnsi="Arial" w:cs="Arial"/>
        </w:rPr>
        <w:t>hange</w:t>
      </w:r>
      <w:r>
        <w:rPr>
          <w:rFonts w:ascii="Arial" w:hAnsi="Arial" w:cs="Arial"/>
        </w:rPr>
        <w:t>s</w:t>
      </w:r>
      <w:r w:rsidRPr="00C354C4">
        <w:rPr>
          <w:rFonts w:ascii="Arial" w:hAnsi="Arial" w:cs="Arial"/>
        </w:rPr>
        <w:t xml:space="preserve"> in abundance of both focal strains as well as the community </w:t>
      </w:r>
      <w:r>
        <w:rPr>
          <w:rFonts w:ascii="Arial" w:hAnsi="Arial" w:cs="Arial"/>
        </w:rPr>
        <w:t>through the course of</w:t>
      </w:r>
      <w:r w:rsidRPr="00C354C4">
        <w:rPr>
          <w:rFonts w:ascii="Arial" w:hAnsi="Arial" w:cs="Arial"/>
        </w:rPr>
        <w:t xml:space="preserve"> the experiment </w:t>
      </w:r>
      <w:r>
        <w:rPr>
          <w:rFonts w:ascii="Arial" w:hAnsi="Arial" w:cs="Arial"/>
        </w:rPr>
        <w:t xml:space="preserve">are displayed in combination with two transfers. </w:t>
      </w:r>
      <w:r w:rsidRPr="00C354C4">
        <w:rPr>
          <w:rFonts w:ascii="Arial" w:hAnsi="Arial" w:cs="Arial"/>
        </w:rPr>
        <w:t xml:space="preserve">Simulation was performed using the parameters </w:t>
      </w:r>
      <w:r>
        <w:rPr>
          <w:rFonts w:ascii="Arial" w:hAnsi="Arial" w:cs="Arial"/>
        </w:rPr>
        <w:t xml:space="preserve">gained from the model based on start and end-point densities. </w:t>
      </w:r>
    </w:p>
    <w:p w:rsidR="0092450D" w:rsidRPr="0092450D" w:rsidRDefault="0092450D" w:rsidP="00FE1C83">
      <w:pPr>
        <w:pStyle w:val="NoSpacing"/>
        <w:spacing w:line="480" w:lineRule="auto"/>
        <w:jc w:val="both"/>
        <w:rPr>
          <w:rFonts w:ascii="Arial" w:hAnsi="Arial" w:cs="Arial"/>
        </w:rPr>
      </w:pPr>
    </w:p>
    <w:p w:rsidR="00CF41A6" w:rsidRPr="00FE1C83" w:rsidRDefault="006014CC" w:rsidP="00FE1C83">
      <w:pPr>
        <w:pStyle w:val="NoSpacing"/>
        <w:spacing w:line="480" w:lineRule="auto"/>
        <w:jc w:val="both"/>
        <w:rPr>
          <w:rFonts w:ascii="Arial" w:hAnsi="Arial" w:cs="Arial"/>
          <w:b/>
        </w:rPr>
      </w:pPr>
      <w:r w:rsidRPr="00FE1C83">
        <w:rPr>
          <w:rFonts w:ascii="Arial" w:hAnsi="Arial" w:cs="Arial"/>
          <w:b/>
        </w:rPr>
        <w:t>Figure SI</w:t>
      </w:r>
      <w:r w:rsidR="00C354C4">
        <w:rPr>
          <w:rFonts w:ascii="Arial" w:hAnsi="Arial" w:cs="Arial"/>
          <w:b/>
        </w:rPr>
        <w:t>5.</w:t>
      </w:r>
      <w:r w:rsidRPr="00FE1C83">
        <w:rPr>
          <w:rFonts w:ascii="Arial" w:hAnsi="Arial" w:cs="Arial"/>
          <w:b/>
        </w:rPr>
        <w:t xml:space="preserve"> </w:t>
      </w:r>
      <w:proofErr w:type="gramStart"/>
      <w:r w:rsidRPr="00FE1C83">
        <w:rPr>
          <w:rFonts w:ascii="Arial" w:hAnsi="Arial" w:cs="Arial"/>
          <w:b/>
        </w:rPr>
        <w:t>Relative abundance of the focal species after 3 days of the competition experiment</w:t>
      </w:r>
      <w:r w:rsidR="00FE1C83">
        <w:rPr>
          <w:rFonts w:ascii="Arial" w:hAnsi="Arial" w:cs="Arial"/>
          <w:b/>
        </w:rPr>
        <w:t>.</w:t>
      </w:r>
      <w:proofErr w:type="gramEnd"/>
      <w:r w:rsidRPr="00FE1C83">
        <w:rPr>
          <w:rFonts w:ascii="Arial" w:hAnsi="Arial" w:cs="Arial"/>
          <w:b/>
        </w:rPr>
        <w:t xml:space="preserve"> </w:t>
      </w:r>
    </w:p>
    <w:p w:rsidR="00F35DD1" w:rsidRPr="00FE1C83" w:rsidRDefault="00CF41A6" w:rsidP="00FE1C83">
      <w:pPr>
        <w:pStyle w:val="NoSpacing"/>
        <w:spacing w:line="480" w:lineRule="auto"/>
        <w:jc w:val="both"/>
        <w:rPr>
          <w:rFonts w:ascii="Arial" w:hAnsi="Arial" w:cs="Arial"/>
        </w:rPr>
      </w:pPr>
      <w:r w:rsidRPr="00FE1C83">
        <w:rPr>
          <w:rFonts w:ascii="Arial" w:hAnsi="Arial" w:cs="Arial"/>
        </w:rPr>
        <w:t xml:space="preserve">Values shown are </w:t>
      </w:r>
      <w:r w:rsidR="006014CC" w:rsidRPr="00FE1C83">
        <w:rPr>
          <w:rFonts w:ascii="Arial" w:hAnsi="Arial" w:cs="Arial"/>
        </w:rPr>
        <w:t>mean ± SD</w:t>
      </w:r>
      <w:r w:rsidRPr="00FE1C83">
        <w:rPr>
          <w:rFonts w:ascii="Arial" w:hAnsi="Arial" w:cs="Arial"/>
        </w:rPr>
        <w:t xml:space="preserve"> (</w:t>
      </w:r>
      <w:r w:rsidR="006014CC" w:rsidRPr="00FE1C83">
        <w:rPr>
          <w:rFonts w:ascii="Arial" w:hAnsi="Arial" w:cs="Arial"/>
        </w:rPr>
        <w:t xml:space="preserve">n=6, resistant: black, susceptible: grey). </w:t>
      </w:r>
      <w:r w:rsidRPr="00FE1C83">
        <w:rPr>
          <w:rFonts w:ascii="Arial" w:hAnsi="Arial" w:cs="Arial"/>
        </w:rPr>
        <w:t>(</w:t>
      </w:r>
      <w:r w:rsidR="006014CC" w:rsidRPr="00FE1C83">
        <w:rPr>
          <w:rFonts w:ascii="Arial" w:hAnsi="Arial" w:cs="Arial"/>
        </w:rPr>
        <w:t>A</w:t>
      </w:r>
      <w:r w:rsidRPr="00FE1C83">
        <w:rPr>
          <w:rFonts w:ascii="Arial" w:hAnsi="Arial" w:cs="Arial"/>
        </w:rPr>
        <w:t>)</w:t>
      </w:r>
      <w:r w:rsidR="006014CC" w:rsidRPr="00FE1C83">
        <w:rPr>
          <w:rFonts w:ascii="Arial" w:hAnsi="Arial" w:cs="Arial"/>
        </w:rPr>
        <w:t xml:space="preserve"> gentamicin, absolute values including community; </w:t>
      </w:r>
      <w:r w:rsidRPr="00FE1C83">
        <w:rPr>
          <w:rFonts w:ascii="Arial" w:hAnsi="Arial" w:cs="Arial"/>
        </w:rPr>
        <w:t>(</w:t>
      </w:r>
      <w:r w:rsidR="006014CC" w:rsidRPr="00FE1C83">
        <w:rPr>
          <w:rFonts w:ascii="Arial" w:hAnsi="Arial" w:cs="Arial"/>
        </w:rPr>
        <w:t>B</w:t>
      </w:r>
      <w:r w:rsidRPr="00FE1C83">
        <w:rPr>
          <w:rFonts w:ascii="Arial" w:hAnsi="Arial" w:cs="Arial"/>
        </w:rPr>
        <w:t>)</w:t>
      </w:r>
      <w:r w:rsidR="006014CC" w:rsidRPr="00FE1C83">
        <w:rPr>
          <w:rFonts w:ascii="Arial" w:hAnsi="Arial" w:cs="Arial"/>
        </w:rPr>
        <w:t xml:space="preserve"> gentamicin, ratio of the isogenic pair of the focal species </w:t>
      </w:r>
      <w:r w:rsidRPr="00FE1C83">
        <w:rPr>
          <w:rFonts w:ascii="Arial" w:hAnsi="Arial" w:cs="Arial"/>
        </w:rPr>
        <w:t>(</w:t>
      </w:r>
      <w:r w:rsidR="006014CC" w:rsidRPr="00FE1C83">
        <w:rPr>
          <w:rFonts w:ascii="Arial" w:hAnsi="Arial" w:cs="Arial"/>
        </w:rPr>
        <w:t>C</w:t>
      </w:r>
      <w:r w:rsidRPr="00FE1C83">
        <w:rPr>
          <w:rFonts w:ascii="Arial" w:hAnsi="Arial" w:cs="Arial"/>
        </w:rPr>
        <w:t>)</w:t>
      </w:r>
      <w:r w:rsidR="006014CC" w:rsidRPr="00FE1C83">
        <w:rPr>
          <w:rFonts w:ascii="Arial" w:hAnsi="Arial" w:cs="Arial"/>
        </w:rPr>
        <w:t xml:space="preserve"> kanamycin, absolute values including community; </w:t>
      </w:r>
      <w:r w:rsidRPr="00FE1C83">
        <w:rPr>
          <w:rFonts w:ascii="Arial" w:hAnsi="Arial" w:cs="Arial"/>
        </w:rPr>
        <w:t>(D)</w:t>
      </w:r>
      <w:r w:rsidR="006014CC" w:rsidRPr="00FE1C83">
        <w:rPr>
          <w:rFonts w:ascii="Arial" w:hAnsi="Arial" w:cs="Arial"/>
        </w:rPr>
        <w:t xml:space="preserve"> kanamycin, ratio of the isogenic pair of the focal species</w:t>
      </w:r>
      <w:r w:rsidRPr="00FE1C83">
        <w:rPr>
          <w:rFonts w:ascii="Arial" w:hAnsi="Arial" w:cs="Arial"/>
        </w:rPr>
        <w:t>.</w:t>
      </w:r>
    </w:p>
    <w:sectPr w:rsidR="00F35DD1" w:rsidRPr="00FE1C83" w:rsidSect="00FE1C83">
      <w:pgSz w:w="11906" w:h="16838" w:code="9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4CC"/>
    <w:rsid w:val="006014CC"/>
    <w:rsid w:val="008F467F"/>
    <w:rsid w:val="0092450D"/>
    <w:rsid w:val="00A54A1A"/>
    <w:rsid w:val="00C15D2C"/>
    <w:rsid w:val="00C354C4"/>
    <w:rsid w:val="00CF41A6"/>
    <w:rsid w:val="00F35DD1"/>
    <w:rsid w:val="00FE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4C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14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014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014CC"/>
    <w:rPr>
      <w:color w:val="0000FF"/>
      <w:u w:val="single"/>
    </w:rPr>
  </w:style>
  <w:style w:type="paragraph" w:styleId="NoSpacing">
    <w:name w:val="No Spacing"/>
    <w:uiPriority w:val="1"/>
    <w:qFormat/>
    <w:rsid w:val="006014CC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6014CC"/>
  </w:style>
  <w:style w:type="paragraph" w:styleId="BalloonText">
    <w:name w:val="Balloon Text"/>
    <w:basedOn w:val="Normal"/>
    <w:link w:val="BalloonTextChar"/>
    <w:uiPriority w:val="99"/>
    <w:semiHidden/>
    <w:unhideWhenUsed/>
    <w:rsid w:val="00F35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D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4C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14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014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014CC"/>
    <w:rPr>
      <w:color w:val="0000FF"/>
      <w:u w:val="single"/>
    </w:rPr>
  </w:style>
  <w:style w:type="paragraph" w:styleId="NoSpacing">
    <w:name w:val="No Spacing"/>
    <w:uiPriority w:val="1"/>
    <w:qFormat/>
    <w:rsid w:val="006014CC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6014CC"/>
  </w:style>
  <w:style w:type="paragraph" w:styleId="BalloonText">
    <w:name w:val="Balloon Text"/>
    <w:basedOn w:val="Normal"/>
    <w:link w:val="BalloonTextChar"/>
    <w:uiPriority w:val="99"/>
    <w:semiHidden/>
    <w:unhideWhenUsed/>
    <w:rsid w:val="00F35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.klumper@exete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Klumper, Uli</dc:creator>
  <cp:lastModifiedBy>Klumper, Uli</cp:lastModifiedBy>
  <cp:revision>3</cp:revision>
  <cp:lastPrinted>2019-01-24T13:24:00Z</cp:lastPrinted>
  <dcterms:created xsi:type="dcterms:W3CDTF">2019-06-17T06:54:00Z</dcterms:created>
  <dcterms:modified xsi:type="dcterms:W3CDTF">2019-06-23T14:58:00Z</dcterms:modified>
</cp:coreProperties>
</file>