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9F423C" w14:textId="20C4A78D" w:rsidR="00795622" w:rsidRDefault="004009CC">
      <w:pPr>
        <w:rPr>
          <w:b/>
          <w:sz w:val="28"/>
          <w:szCs w:val="28"/>
        </w:rPr>
      </w:pPr>
      <w:r w:rsidRPr="00BD44E3">
        <w:rPr>
          <w:b/>
          <w:sz w:val="28"/>
          <w:szCs w:val="28"/>
        </w:rPr>
        <w:t>Supplementary Figure</w:t>
      </w:r>
      <w:r w:rsidR="007A4A1C">
        <w:rPr>
          <w:b/>
          <w:sz w:val="28"/>
          <w:szCs w:val="28"/>
        </w:rPr>
        <w:t xml:space="preserve"> Legends</w:t>
      </w:r>
    </w:p>
    <w:p w14:paraId="3806822F" w14:textId="6CBD1552" w:rsidR="00BD44E3" w:rsidRDefault="00BD44E3">
      <w:pPr>
        <w:rPr>
          <w:b/>
          <w:sz w:val="28"/>
          <w:szCs w:val="28"/>
        </w:rPr>
      </w:pPr>
    </w:p>
    <w:p w14:paraId="73465FAA" w14:textId="61167A21" w:rsidR="00CB6E83" w:rsidRPr="00567E16" w:rsidRDefault="004009CC" w:rsidP="00CD2899">
      <w:r w:rsidRPr="00B1001B">
        <w:rPr>
          <w:b/>
          <w:bCs/>
        </w:rPr>
        <w:t xml:space="preserve">Figure </w:t>
      </w:r>
      <w:r w:rsidR="00466372" w:rsidRPr="00B1001B">
        <w:rPr>
          <w:b/>
          <w:bCs/>
        </w:rPr>
        <w:t>S</w:t>
      </w:r>
      <w:r w:rsidR="000E0864">
        <w:rPr>
          <w:b/>
          <w:bCs/>
        </w:rPr>
        <w:t>1</w:t>
      </w:r>
      <w:r w:rsidRPr="00B1001B">
        <w:rPr>
          <w:b/>
          <w:bCs/>
        </w:rPr>
        <w:t xml:space="preserve">. </w:t>
      </w:r>
      <w:r w:rsidR="00CB6E83" w:rsidRPr="00B1001B">
        <w:rPr>
          <w:b/>
          <w:bCs/>
        </w:rPr>
        <w:t>Root growth rate o</w:t>
      </w:r>
      <w:r w:rsidR="000D380E">
        <w:rPr>
          <w:b/>
          <w:bCs/>
        </w:rPr>
        <w:t>ver</w:t>
      </w:r>
      <w:r w:rsidR="00CB6E83" w:rsidRPr="00B1001B">
        <w:rPr>
          <w:b/>
          <w:bCs/>
        </w:rPr>
        <w:t xml:space="preserve"> time.</w:t>
      </w:r>
      <w:r w:rsidR="00CB6E83" w:rsidRPr="00B1001B">
        <w:t xml:space="preserve"> </w:t>
      </w:r>
      <w:r w:rsidR="009035C3" w:rsidRPr="000D380E">
        <w:rPr>
          <w:b/>
        </w:rPr>
        <w:t>(</w:t>
      </w:r>
      <w:r w:rsidR="00CB6E83" w:rsidRPr="000D380E">
        <w:rPr>
          <w:b/>
        </w:rPr>
        <w:t>a)</w:t>
      </w:r>
      <w:r w:rsidR="00CB6E83" w:rsidRPr="00B1001B">
        <w:t xml:space="preserve"> Surface area occupied by root </w:t>
      </w:r>
      <w:r w:rsidR="00F536B0" w:rsidRPr="00B1001B">
        <w:t>over</w:t>
      </w:r>
      <w:r w:rsidR="00CB6E83" w:rsidRPr="00B1001B">
        <w:t xml:space="preserve"> time</w:t>
      </w:r>
      <w:r w:rsidR="009035C3">
        <w:t xml:space="preserve"> in </w:t>
      </w:r>
      <w:r w:rsidR="007A4A1C">
        <w:t>six</w:t>
      </w:r>
      <w:r w:rsidR="009035C3">
        <w:t xml:space="preserve"> host root</w:t>
      </w:r>
      <w:r w:rsidR="000D380E">
        <w:t xml:space="preserve"> replicates</w:t>
      </w:r>
      <w:r w:rsidR="00C82597">
        <w:t xml:space="preserve">. </w:t>
      </w:r>
      <w:r w:rsidR="00CB6E83" w:rsidRPr="00B1001B">
        <w:t xml:space="preserve">The </w:t>
      </w:r>
      <w:r w:rsidR="008B4702">
        <w:t>s</w:t>
      </w:r>
      <w:r w:rsidR="00CB6E83" w:rsidRPr="00B1001B">
        <w:t xml:space="preserve">ymbols correspond to the inoculated (gray-squares) and non-inoculated (black-circles) root. The dashed-lines serves as a visual guide. </w:t>
      </w:r>
      <w:r w:rsidR="009035C3" w:rsidRPr="000D380E">
        <w:rPr>
          <w:b/>
        </w:rPr>
        <w:t>(</w:t>
      </w:r>
      <w:r w:rsidR="00CB6E83" w:rsidRPr="000D380E">
        <w:rPr>
          <w:b/>
        </w:rPr>
        <w:t>b)</w:t>
      </w:r>
      <w:r w:rsidR="00CB6E83" w:rsidRPr="00B1001B">
        <w:t xml:space="preserve"> A zoomed-in image sequence of an inoculated root is shown. After </w:t>
      </w:r>
      <w:r w:rsidR="007A4A1C">
        <w:t>five</w:t>
      </w:r>
      <w:r w:rsidR="00CB6E83" w:rsidRPr="00B1001B">
        <w:t xml:space="preserve"> months, the </w:t>
      </w:r>
      <w:r w:rsidR="00D97811">
        <w:t>growth and sporulation of the</w:t>
      </w:r>
      <w:r w:rsidR="00CB6E83" w:rsidRPr="00B1001B">
        <w:t xml:space="preserve"> extraradical fungal network </w:t>
      </w:r>
      <w:r w:rsidR="00D97811">
        <w:t>is still</w:t>
      </w:r>
      <w:r w:rsidR="00CB6E83" w:rsidRPr="00B1001B">
        <w:t xml:space="preserve"> observable.</w:t>
      </w:r>
      <w:r w:rsidR="00567E16">
        <w:t xml:space="preserve"> </w:t>
      </w:r>
      <w:r w:rsidR="00FC7C41">
        <w:t xml:space="preserve">The white arrows </w:t>
      </w:r>
      <w:r w:rsidR="00783FF5">
        <w:t xml:space="preserve">point to single spores or clusters. The thin </w:t>
      </w:r>
      <w:r w:rsidR="008B4702">
        <w:t xml:space="preserve">mycelium </w:t>
      </w:r>
      <w:r w:rsidR="00783FF5">
        <w:t xml:space="preserve">connecting the spores correspond to the fungal network. </w:t>
      </w:r>
      <w:r w:rsidR="00567E16">
        <w:t>(</w:t>
      </w:r>
      <w:proofErr w:type="spellStart"/>
      <w:r w:rsidR="00567E16">
        <w:t>n</w:t>
      </w:r>
      <w:r w:rsidR="00567E16">
        <w:rPr>
          <w:vertAlign w:val="subscript"/>
        </w:rPr>
        <w:t>inoculated</w:t>
      </w:r>
      <w:proofErr w:type="spellEnd"/>
      <w:r w:rsidR="00567E16">
        <w:t xml:space="preserve">=3, </w:t>
      </w:r>
      <w:proofErr w:type="spellStart"/>
      <w:r w:rsidR="00567E16">
        <w:t>n</w:t>
      </w:r>
      <w:r w:rsidR="00567E16">
        <w:rPr>
          <w:vertAlign w:val="subscript"/>
        </w:rPr>
        <w:t>non</w:t>
      </w:r>
      <w:proofErr w:type="spellEnd"/>
      <w:r w:rsidR="00567E16">
        <w:rPr>
          <w:vertAlign w:val="subscript"/>
        </w:rPr>
        <w:t>-inocul</w:t>
      </w:r>
      <w:r w:rsidR="00264BDE">
        <w:rPr>
          <w:vertAlign w:val="subscript"/>
        </w:rPr>
        <w:t>a</w:t>
      </w:r>
      <w:r w:rsidR="00567E16">
        <w:rPr>
          <w:vertAlign w:val="subscript"/>
        </w:rPr>
        <w:t>ted</w:t>
      </w:r>
      <w:r w:rsidR="00567E16">
        <w:t>=3).</w:t>
      </w:r>
    </w:p>
    <w:p w14:paraId="0FF4FA40" w14:textId="77777777" w:rsidR="004009CC" w:rsidRDefault="004009CC"/>
    <w:p w14:paraId="43079D4A" w14:textId="720F0B0D" w:rsidR="000E0864" w:rsidRPr="007A4A1C" w:rsidRDefault="000E0864" w:rsidP="000E0864">
      <w:pPr>
        <w:spacing w:after="200" w:line="276" w:lineRule="auto"/>
        <w:rPr>
          <w:b/>
        </w:rPr>
      </w:pPr>
      <w:r w:rsidRPr="00CB7A92">
        <w:rPr>
          <w:b/>
          <w:bCs/>
        </w:rPr>
        <w:t>Figure S</w:t>
      </w:r>
      <w:r>
        <w:rPr>
          <w:b/>
          <w:bCs/>
        </w:rPr>
        <w:t>2</w:t>
      </w:r>
      <w:r w:rsidRPr="00CB7A92">
        <w:rPr>
          <w:b/>
          <w:bCs/>
        </w:rPr>
        <w:t>.</w:t>
      </w:r>
      <w:r w:rsidRPr="00CB7A92">
        <w:rPr>
          <w:b/>
        </w:rPr>
        <w:t xml:space="preserve"> P concentration in host roots.</w:t>
      </w:r>
      <w:r w:rsidRPr="00CB7A92">
        <w:t xml:space="preserve"> (</w:t>
      </w:r>
      <w:r w:rsidRPr="00CB7A92">
        <w:rPr>
          <w:b/>
          <w:bCs/>
        </w:rPr>
        <w:t>a</w:t>
      </w:r>
      <w:r w:rsidRPr="00CB7A92">
        <w:t>) Total P concentration in nmol/mg host roots. P concentration was significantly higher in the control roots compared to roots growing under low-P conditions. The asterisk indicates a p-value &lt; 0.05. Means ± SEM</w:t>
      </w:r>
      <w:r>
        <w:t>.</w:t>
      </w:r>
    </w:p>
    <w:p w14:paraId="6563DC4F" w14:textId="77777777" w:rsidR="000E0864" w:rsidRDefault="000E0864">
      <w:pPr>
        <w:rPr>
          <w:b/>
        </w:rPr>
      </w:pPr>
    </w:p>
    <w:p w14:paraId="4431300F" w14:textId="2E5DF3EF" w:rsidR="004009CC" w:rsidRPr="00787BD5" w:rsidRDefault="004009CC">
      <w:r w:rsidRPr="001F5EC7">
        <w:rPr>
          <w:b/>
        </w:rPr>
        <w:t xml:space="preserve">Figure </w:t>
      </w:r>
      <w:r w:rsidR="00097D68" w:rsidRPr="001F5EC7">
        <w:rPr>
          <w:b/>
        </w:rPr>
        <w:t>S</w:t>
      </w:r>
      <w:r w:rsidR="00097D68">
        <w:rPr>
          <w:b/>
        </w:rPr>
        <w:t>3</w:t>
      </w:r>
      <w:r w:rsidRPr="001F5EC7">
        <w:rPr>
          <w:b/>
        </w:rPr>
        <w:t>.</w:t>
      </w:r>
      <w:r>
        <w:t xml:space="preserve"> </w:t>
      </w:r>
      <w:r w:rsidR="00787BD5" w:rsidRPr="00787BD5">
        <w:rPr>
          <w:b/>
          <w:bCs/>
        </w:rPr>
        <w:t>Arbuscular mycorrhizal colonization of</w:t>
      </w:r>
      <w:r w:rsidR="002C1FD3">
        <w:rPr>
          <w:b/>
          <w:bCs/>
        </w:rPr>
        <w:t xml:space="preserve"> host</w:t>
      </w:r>
      <w:r w:rsidR="00787BD5" w:rsidRPr="00787BD5">
        <w:rPr>
          <w:b/>
          <w:bCs/>
        </w:rPr>
        <w:t xml:space="preserve"> roots</w:t>
      </w:r>
      <w:r w:rsidR="002C1FD3">
        <w:rPr>
          <w:b/>
          <w:bCs/>
        </w:rPr>
        <w:t xml:space="preserve"> per treatment per compartment</w:t>
      </w:r>
      <w:r w:rsidR="00787BD5" w:rsidRPr="00787BD5">
        <w:rPr>
          <w:b/>
          <w:bCs/>
        </w:rPr>
        <w:t>.</w:t>
      </w:r>
      <w:r w:rsidR="00787BD5">
        <w:t xml:space="preserve"> We confirmed the presence of hyphal colonization by microscopy</w:t>
      </w:r>
      <w:r w:rsidR="002C1FD3">
        <w:t xml:space="preserve">. </w:t>
      </w:r>
      <w:r w:rsidR="007A4A1C" w:rsidRPr="007A4A1C">
        <w:rPr>
          <w:b/>
          <w:bCs/>
        </w:rPr>
        <w:t>(a</w:t>
      </w:r>
      <w:r w:rsidR="00787BD5" w:rsidRPr="007A4A1C">
        <w:rPr>
          <w:b/>
          <w:bCs/>
        </w:rPr>
        <w:t>)</w:t>
      </w:r>
      <w:r w:rsidR="00787BD5">
        <w:t xml:space="preserve"> </w:t>
      </w:r>
      <w:r w:rsidR="002C1FD3">
        <w:t>The p</w:t>
      </w:r>
      <w:r w:rsidR="00787BD5">
        <w:t>ercentage of hyphal colonization</w:t>
      </w:r>
      <w:r w:rsidR="002C1FD3">
        <w:t xml:space="preserve">. </w:t>
      </w:r>
      <w:r w:rsidR="007A4A1C" w:rsidRPr="007A4A1C">
        <w:rPr>
          <w:b/>
          <w:bCs/>
        </w:rPr>
        <w:t>(b</w:t>
      </w:r>
      <w:r w:rsidR="00787BD5" w:rsidRPr="007A4A1C">
        <w:rPr>
          <w:b/>
          <w:bCs/>
        </w:rPr>
        <w:t>)</w:t>
      </w:r>
      <w:r w:rsidR="00787BD5">
        <w:t xml:space="preserve"> </w:t>
      </w:r>
      <w:r w:rsidR="002C1FD3">
        <w:t>The p</w:t>
      </w:r>
      <w:r w:rsidR="00787BD5">
        <w:t>ercentage of arbuscules</w:t>
      </w:r>
      <w:r w:rsidR="002C1FD3">
        <w:t>.</w:t>
      </w:r>
      <w:r w:rsidR="007A4A1C">
        <w:t xml:space="preserve"> </w:t>
      </w:r>
      <w:r w:rsidR="007A4A1C" w:rsidRPr="007A4A1C">
        <w:rPr>
          <w:b/>
          <w:bCs/>
        </w:rPr>
        <w:t>(c</w:t>
      </w:r>
      <w:r w:rsidR="00787BD5" w:rsidRPr="007A4A1C">
        <w:rPr>
          <w:b/>
          <w:bCs/>
        </w:rPr>
        <w:t xml:space="preserve">) </w:t>
      </w:r>
      <w:r w:rsidR="002C1FD3">
        <w:t>The p</w:t>
      </w:r>
      <w:r w:rsidR="00787BD5">
        <w:t>ercentage of vesicles</w:t>
      </w:r>
      <w:r w:rsidR="002C1FD3">
        <w:t>. (</w:t>
      </w:r>
      <w:proofErr w:type="spellStart"/>
      <w:r w:rsidR="002C1FD3">
        <w:t>n</w:t>
      </w:r>
      <w:r w:rsidR="002C1FD3">
        <w:rPr>
          <w:vertAlign w:val="subscript"/>
        </w:rPr>
        <w:t>control,established</w:t>
      </w:r>
      <w:proofErr w:type="spellEnd"/>
      <w:r w:rsidR="002C1FD3">
        <w:t xml:space="preserve">=5, </w:t>
      </w:r>
      <w:proofErr w:type="spellStart"/>
      <w:r w:rsidR="002C1FD3">
        <w:t>n</w:t>
      </w:r>
      <w:r w:rsidR="002C1FD3">
        <w:rPr>
          <w:vertAlign w:val="subscript"/>
        </w:rPr>
        <w:t>control,young</w:t>
      </w:r>
      <w:proofErr w:type="spellEnd"/>
      <w:r w:rsidR="002C1FD3">
        <w:rPr>
          <w:vertAlign w:val="subscript"/>
        </w:rPr>
        <w:t xml:space="preserve"> </w:t>
      </w:r>
      <w:r w:rsidR="002C1FD3">
        <w:t xml:space="preserve">=2, </w:t>
      </w:r>
      <w:proofErr w:type="spellStart"/>
      <w:r w:rsidR="002C1FD3">
        <w:t>n</w:t>
      </w:r>
      <w:r w:rsidR="002C1FD3">
        <w:rPr>
          <w:vertAlign w:val="subscript"/>
        </w:rPr>
        <w:t>low-P,established</w:t>
      </w:r>
      <w:proofErr w:type="spellEnd"/>
      <w:r w:rsidR="002C1FD3">
        <w:rPr>
          <w:vertAlign w:val="subscript"/>
        </w:rPr>
        <w:t xml:space="preserve"> </w:t>
      </w:r>
      <w:r w:rsidR="002C1FD3">
        <w:t xml:space="preserve">=5, </w:t>
      </w:r>
      <w:proofErr w:type="spellStart"/>
      <w:r w:rsidR="002C1FD3">
        <w:t>n</w:t>
      </w:r>
      <w:r w:rsidR="002C1FD3">
        <w:rPr>
          <w:vertAlign w:val="subscript"/>
        </w:rPr>
        <w:t>low-P,young</w:t>
      </w:r>
      <w:proofErr w:type="spellEnd"/>
      <w:r w:rsidR="002C1FD3">
        <w:t>=1)</w:t>
      </w:r>
      <w:r w:rsidR="00CB7A92">
        <w:t>.</w:t>
      </w:r>
    </w:p>
    <w:p w14:paraId="565624B4" w14:textId="77777777" w:rsidR="006370D4" w:rsidRDefault="006370D4"/>
    <w:p w14:paraId="41181724" w14:textId="57F01954" w:rsidR="0050771C" w:rsidRPr="0078610D" w:rsidRDefault="006370D4" w:rsidP="0050771C">
      <w:pPr>
        <w:rPr>
          <w:color w:val="222222"/>
          <w:shd w:val="clear" w:color="auto" w:fill="FFFFFF"/>
        </w:rPr>
      </w:pPr>
      <w:r w:rsidRPr="00BD44E3">
        <w:rPr>
          <w:b/>
          <w:bCs/>
        </w:rPr>
        <w:t xml:space="preserve">Video S1. </w:t>
      </w:r>
      <w:r w:rsidRPr="00BD44E3">
        <w:rPr>
          <w:b/>
          <w:bCs/>
          <w:color w:val="222222"/>
          <w:shd w:val="clear" w:color="auto" w:fill="FFFFFF"/>
        </w:rPr>
        <w:t xml:space="preserve">Synchronous </w:t>
      </w:r>
      <w:r w:rsidR="0078610D">
        <w:rPr>
          <w:b/>
          <w:bCs/>
          <w:color w:val="222222"/>
          <w:shd w:val="clear" w:color="auto" w:fill="FFFFFF"/>
        </w:rPr>
        <w:t>B</w:t>
      </w:r>
      <w:r w:rsidRPr="00BD44E3">
        <w:rPr>
          <w:b/>
          <w:bCs/>
          <w:color w:val="222222"/>
          <w:shd w:val="clear" w:color="auto" w:fill="FFFFFF"/>
        </w:rPr>
        <w:t>right</w:t>
      </w:r>
      <w:r w:rsidR="0078610D">
        <w:rPr>
          <w:b/>
          <w:bCs/>
          <w:color w:val="222222"/>
          <w:shd w:val="clear" w:color="auto" w:fill="FFFFFF"/>
        </w:rPr>
        <w:t>-</w:t>
      </w:r>
      <w:r w:rsidRPr="00BD44E3">
        <w:rPr>
          <w:b/>
          <w:bCs/>
          <w:color w:val="222222"/>
          <w:shd w:val="clear" w:color="auto" w:fill="FFFFFF"/>
        </w:rPr>
        <w:t xml:space="preserve">field and </w:t>
      </w:r>
      <w:r w:rsidR="00076BF9">
        <w:rPr>
          <w:b/>
          <w:bCs/>
          <w:color w:val="222222"/>
          <w:shd w:val="clear" w:color="auto" w:fill="FFFFFF"/>
        </w:rPr>
        <w:t>F</w:t>
      </w:r>
      <w:r w:rsidRPr="00BD44E3">
        <w:rPr>
          <w:b/>
          <w:bCs/>
          <w:color w:val="222222"/>
          <w:shd w:val="clear" w:color="auto" w:fill="FFFFFF"/>
        </w:rPr>
        <w:t xml:space="preserve">luorescence video from a transformed root organ culture inoculated with </w:t>
      </w:r>
      <w:r w:rsidRPr="00BD44E3">
        <w:rPr>
          <w:b/>
          <w:bCs/>
          <w:i/>
          <w:iCs/>
          <w:color w:val="222222"/>
          <w:shd w:val="clear" w:color="auto" w:fill="FFFFFF"/>
        </w:rPr>
        <w:t>R. irregularis</w:t>
      </w:r>
      <w:r w:rsidR="00BD44E3">
        <w:rPr>
          <w:b/>
          <w:bCs/>
          <w:i/>
          <w:iCs/>
          <w:color w:val="222222"/>
          <w:shd w:val="clear" w:color="auto" w:fill="FFFFFF"/>
        </w:rPr>
        <w:t xml:space="preserve"> </w:t>
      </w:r>
      <w:r w:rsidR="00BD44E3">
        <w:rPr>
          <w:b/>
          <w:bCs/>
          <w:iCs/>
          <w:color w:val="222222"/>
          <w:shd w:val="clear" w:color="auto" w:fill="FFFFFF"/>
        </w:rPr>
        <w:t>exposed to QD-apatite</w:t>
      </w:r>
      <w:r w:rsidRPr="00BD44E3">
        <w:rPr>
          <w:color w:val="222222"/>
          <w:shd w:val="clear" w:color="auto" w:fill="FFFFFF"/>
        </w:rPr>
        <w:t>.</w:t>
      </w:r>
      <w:r w:rsidRPr="00BD44E3">
        <w:rPr>
          <w:color w:val="222222"/>
        </w:rPr>
        <w:t xml:space="preserve"> </w:t>
      </w:r>
      <w:r w:rsidR="0050771C" w:rsidRPr="0078610D">
        <w:rPr>
          <w:color w:val="222222"/>
          <w:shd w:val="clear" w:color="auto" w:fill="FFFFFF"/>
        </w:rPr>
        <w:t>A week after the addition of the QD-apatite solution, clogging is induced in the</w:t>
      </w:r>
      <w:r w:rsidR="00141268">
        <w:rPr>
          <w:color w:val="222222"/>
          <w:shd w:val="clear" w:color="auto" w:fill="FFFFFF"/>
        </w:rPr>
        <w:t xml:space="preserve"> intrahyphal </w:t>
      </w:r>
      <w:r w:rsidR="0050771C" w:rsidRPr="0078610D">
        <w:rPr>
          <w:color w:val="222222"/>
          <w:shd w:val="clear" w:color="auto" w:fill="FFFFFF"/>
        </w:rPr>
        <w:t xml:space="preserve">flow due to formation of large vacuoles inside the hyphae. </w:t>
      </w:r>
      <w:r w:rsidR="0050771C">
        <w:rPr>
          <w:color w:val="222222"/>
          <w:shd w:val="clear" w:color="auto" w:fill="FFFFFF"/>
        </w:rPr>
        <w:t xml:space="preserve">The synchronous illumination allows to observe the QD-apatite (big-bright areas) and the cytoplasmic flow at the same time. </w:t>
      </w:r>
      <w:r w:rsidR="0050771C" w:rsidRPr="0078610D">
        <w:t xml:space="preserve">The video has color ascribed via Lookup table (LUT) using </w:t>
      </w:r>
      <w:proofErr w:type="spellStart"/>
      <w:r w:rsidR="0050771C" w:rsidRPr="0078610D">
        <w:t>imageJ</w:t>
      </w:r>
      <w:proofErr w:type="spellEnd"/>
      <w:r w:rsidR="0050771C" w:rsidRPr="0078610D">
        <w:t xml:space="preserve"> (</w:t>
      </w:r>
      <w:proofErr w:type="spellStart"/>
      <w:r w:rsidR="0050771C" w:rsidRPr="0078610D">
        <w:t>mpl</w:t>
      </w:r>
      <w:proofErr w:type="spellEnd"/>
      <w:r w:rsidR="0050771C" w:rsidRPr="0078610D">
        <w:t>-plasma color palette).</w:t>
      </w:r>
      <w:r w:rsidR="0050771C">
        <w:t xml:space="preserve"> </w:t>
      </w:r>
    </w:p>
    <w:p w14:paraId="2BEB03FB" w14:textId="77777777" w:rsidR="0078610D" w:rsidRPr="00BD44E3" w:rsidRDefault="0078610D"/>
    <w:p w14:paraId="6AAD2BF4" w14:textId="0F5B4758" w:rsidR="0078610D" w:rsidRDefault="006370D4" w:rsidP="0078610D">
      <w:r w:rsidRPr="00BD44E3">
        <w:rPr>
          <w:b/>
          <w:bCs/>
        </w:rPr>
        <w:t xml:space="preserve">Video S2. </w:t>
      </w:r>
      <w:r w:rsidR="0078610D">
        <w:rPr>
          <w:b/>
          <w:bCs/>
          <w:color w:val="222222"/>
          <w:shd w:val="clear" w:color="auto" w:fill="FFFFFF"/>
        </w:rPr>
        <w:t>B</w:t>
      </w:r>
      <w:r w:rsidR="00BD44E3" w:rsidRPr="00BD44E3">
        <w:rPr>
          <w:b/>
          <w:bCs/>
          <w:color w:val="222222"/>
          <w:shd w:val="clear" w:color="auto" w:fill="FFFFFF"/>
        </w:rPr>
        <w:t>right</w:t>
      </w:r>
      <w:r w:rsidR="0078610D">
        <w:rPr>
          <w:b/>
          <w:bCs/>
          <w:color w:val="222222"/>
          <w:shd w:val="clear" w:color="auto" w:fill="FFFFFF"/>
        </w:rPr>
        <w:t>-</w:t>
      </w:r>
      <w:r w:rsidR="00BD44E3" w:rsidRPr="00BD44E3">
        <w:rPr>
          <w:b/>
          <w:bCs/>
          <w:color w:val="222222"/>
          <w:shd w:val="clear" w:color="auto" w:fill="FFFFFF"/>
        </w:rPr>
        <w:t xml:space="preserve">field video from a transformed root organ culture inoculated with </w:t>
      </w:r>
      <w:r w:rsidR="00BD44E3" w:rsidRPr="00BD44E3">
        <w:rPr>
          <w:b/>
          <w:bCs/>
          <w:i/>
          <w:iCs/>
          <w:color w:val="222222"/>
          <w:shd w:val="clear" w:color="auto" w:fill="FFFFFF"/>
        </w:rPr>
        <w:t>R. irregularis</w:t>
      </w:r>
      <w:r w:rsidR="00BD44E3">
        <w:rPr>
          <w:b/>
          <w:bCs/>
          <w:i/>
          <w:iCs/>
          <w:color w:val="222222"/>
          <w:shd w:val="clear" w:color="auto" w:fill="FFFFFF"/>
        </w:rPr>
        <w:t xml:space="preserve"> </w:t>
      </w:r>
      <w:r w:rsidR="00BD44E3">
        <w:rPr>
          <w:b/>
          <w:bCs/>
          <w:iCs/>
          <w:color w:val="222222"/>
          <w:shd w:val="clear" w:color="auto" w:fill="FFFFFF"/>
        </w:rPr>
        <w:t>not exposed to QD-apatite</w:t>
      </w:r>
      <w:r w:rsidR="00BD44E3" w:rsidRPr="00BD44E3">
        <w:rPr>
          <w:color w:val="222222"/>
          <w:shd w:val="clear" w:color="auto" w:fill="FFFFFF"/>
        </w:rPr>
        <w:t>.</w:t>
      </w:r>
      <w:r w:rsidR="00BD44E3" w:rsidRPr="00BD44E3">
        <w:rPr>
          <w:color w:val="222222"/>
        </w:rPr>
        <w:t xml:space="preserve"> </w:t>
      </w:r>
      <w:r w:rsidR="0050771C" w:rsidRPr="0050771C">
        <w:rPr>
          <w:color w:val="222222"/>
          <w:shd w:val="clear" w:color="auto" w:fill="FFFFFF"/>
        </w:rPr>
        <w:t xml:space="preserve"> </w:t>
      </w:r>
      <w:r w:rsidR="0050771C" w:rsidRPr="00BD44E3">
        <w:rPr>
          <w:color w:val="222222"/>
          <w:shd w:val="clear" w:color="auto" w:fill="FFFFFF"/>
        </w:rPr>
        <w:t>A simultaneous bi-directional flow is observed over the time, towards and away the root.</w:t>
      </w:r>
      <w:r w:rsidR="0050771C">
        <w:rPr>
          <w:color w:val="222222"/>
          <w:shd w:val="clear" w:color="auto" w:fill="FFFFFF"/>
        </w:rPr>
        <w:t xml:space="preserve"> In this case, </w:t>
      </w:r>
      <w:r w:rsidR="00141268">
        <w:rPr>
          <w:color w:val="222222"/>
          <w:shd w:val="clear" w:color="auto" w:fill="FFFFFF"/>
        </w:rPr>
        <w:t>when no QD-apatite is added,</w:t>
      </w:r>
      <w:r w:rsidR="0050771C">
        <w:rPr>
          <w:color w:val="222222"/>
          <w:shd w:val="clear" w:color="auto" w:fill="FFFFFF"/>
        </w:rPr>
        <w:t xml:space="preserve"> no translocation of large vacuoles is observed. </w:t>
      </w:r>
      <w:r w:rsidR="0050771C" w:rsidRPr="0078610D">
        <w:t xml:space="preserve">The video has color ascribed via Lookup table (LUT) using </w:t>
      </w:r>
      <w:proofErr w:type="spellStart"/>
      <w:r w:rsidR="0050771C" w:rsidRPr="0078610D">
        <w:t>imageJ</w:t>
      </w:r>
      <w:proofErr w:type="spellEnd"/>
      <w:r w:rsidR="0050771C" w:rsidRPr="0078610D">
        <w:t xml:space="preserve"> (</w:t>
      </w:r>
      <w:proofErr w:type="spellStart"/>
      <w:r w:rsidR="0050771C" w:rsidRPr="0078610D">
        <w:t>mpl</w:t>
      </w:r>
      <w:proofErr w:type="spellEnd"/>
      <w:r w:rsidR="0050771C" w:rsidRPr="0078610D">
        <w:t>-plasma color palette).</w:t>
      </w:r>
    </w:p>
    <w:p w14:paraId="3BCCC560" w14:textId="39BCB583" w:rsidR="00243E3C" w:rsidRDefault="00243E3C" w:rsidP="0078610D"/>
    <w:p w14:paraId="56FB5494" w14:textId="77777777" w:rsidR="00243E3C" w:rsidRPr="00243E3C" w:rsidRDefault="00243E3C" w:rsidP="00243E3C">
      <w:pPr>
        <w:rPr>
          <w:rFonts w:eastAsia="Times New Roman"/>
          <w:b/>
          <w:bCs/>
          <w:color w:val="000000"/>
          <w:lang w:val="en-GB" w:eastAsia="nl-NL"/>
        </w:rPr>
      </w:pPr>
      <w:r w:rsidRPr="00243E3C">
        <w:rPr>
          <w:rFonts w:eastAsia="Times New Roman"/>
          <w:b/>
          <w:bCs/>
          <w:color w:val="000000"/>
          <w:lang w:val="en-GB" w:eastAsia="nl-NL"/>
        </w:rPr>
        <w:t xml:space="preserve">Table S1. </w:t>
      </w:r>
      <w:r w:rsidRPr="00243E3C">
        <w:rPr>
          <w:rFonts w:eastAsia="Times New Roman"/>
          <w:color w:val="000000"/>
          <w:lang w:val="en-GB" w:eastAsia="nl-NL"/>
        </w:rPr>
        <w:t>Summary of the data, number of replicates (n), mean, standard deviation (SD), standard error or the mean (SE) and 95% confidence intervals (CI) are provided.</w:t>
      </w:r>
    </w:p>
    <w:p w14:paraId="178C40ED" w14:textId="77777777" w:rsidR="00243E3C" w:rsidRPr="00243E3C" w:rsidRDefault="00243E3C" w:rsidP="0078610D">
      <w:pPr>
        <w:rPr>
          <w:color w:val="222222"/>
          <w:shd w:val="clear" w:color="auto" w:fill="FFFFFF"/>
          <w:lang w:val="en-GB"/>
        </w:rPr>
      </w:pPr>
    </w:p>
    <w:p w14:paraId="47679310" w14:textId="1C725ED7" w:rsidR="006370D4" w:rsidRPr="00BD44E3" w:rsidRDefault="006370D4"/>
    <w:sectPr w:rsidR="006370D4" w:rsidRPr="00BD44E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E9F"/>
    <w:rsid w:val="0001012A"/>
    <w:rsid w:val="00076BF9"/>
    <w:rsid w:val="00097D68"/>
    <w:rsid w:val="000D380E"/>
    <w:rsid w:val="000E0864"/>
    <w:rsid w:val="00111826"/>
    <w:rsid w:val="00115146"/>
    <w:rsid w:val="0011538D"/>
    <w:rsid w:val="00135A77"/>
    <w:rsid w:val="00141268"/>
    <w:rsid w:val="00150E9F"/>
    <w:rsid w:val="00163C8F"/>
    <w:rsid w:val="00174118"/>
    <w:rsid w:val="00175F64"/>
    <w:rsid w:val="001F5EC7"/>
    <w:rsid w:val="002270C1"/>
    <w:rsid w:val="00243E3C"/>
    <w:rsid w:val="00264BDE"/>
    <w:rsid w:val="0029732E"/>
    <w:rsid w:val="002C1FD3"/>
    <w:rsid w:val="002C4CD9"/>
    <w:rsid w:val="00324F44"/>
    <w:rsid w:val="00345B4B"/>
    <w:rsid w:val="003D7111"/>
    <w:rsid w:val="004009CC"/>
    <w:rsid w:val="00412F94"/>
    <w:rsid w:val="00466372"/>
    <w:rsid w:val="00471E4F"/>
    <w:rsid w:val="004738C1"/>
    <w:rsid w:val="004E2B12"/>
    <w:rsid w:val="004E6904"/>
    <w:rsid w:val="00505F4D"/>
    <w:rsid w:val="0050771C"/>
    <w:rsid w:val="005456B6"/>
    <w:rsid w:val="00567E16"/>
    <w:rsid w:val="005B2731"/>
    <w:rsid w:val="00614F83"/>
    <w:rsid w:val="00624482"/>
    <w:rsid w:val="006370D4"/>
    <w:rsid w:val="00694DDA"/>
    <w:rsid w:val="006F5914"/>
    <w:rsid w:val="006F6B70"/>
    <w:rsid w:val="006F7D14"/>
    <w:rsid w:val="0071315C"/>
    <w:rsid w:val="00721644"/>
    <w:rsid w:val="00737F92"/>
    <w:rsid w:val="00774D0A"/>
    <w:rsid w:val="00783FF5"/>
    <w:rsid w:val="0078610D"/>
    <w:rsid w:val="00787BD5"/>
    <w:rsid w:val="00795622"/>
    <w:rsid w:val="007A4A1C"/>
    <w:rsid w:val="008235E7"/>
    <w:rsid w:val="00865AFD"/>
    <w:rsid w:val="008B4702"/>
    <w:rsid w:val="008D6DDF"/>
    <w:rsid w:val="009035C3"/>
    <w:rsid w:val="00907504"/>
    <w:rsid w:val="009968D7"/>
    <w:rsid w:val="00997D40"/>
    <w:rsid w:val="00A148B0"/>
    <w:rsid w:val="00A467C2"/>
    <w:rsid w:val="00AA24CB"/>
    <w:rsid w:val="00B1001B"/>
    <w:rsid w:val="00B25F13"/>
    <w:rsid w:val="00B54BD2"/>
    <w:rsid w:val="00BD44E3"/>
    <w:rsid w:val="00BD7995"/>
    <w:rsid w:val="00BE671C"/>
    <w:rsid w:val="00C37D56"/>
    <w:rsid w:val="00C82597"/>
    <w:rsid w:val="00CB3C0E"/>
    <w:rsid w:val="00CB6E83"/>
    <w:rsid w:val="00CB7A92"/>
    <w:rsid w:val="00CB7F8A"/>
    <w:rsid w:val="00CD2899"/>
    <w:rsid w:val="00CF69A3"/>
    <w:rsid w:val="00D103B8"/>
    <w:rsid w:val="00D44E9B"/>
    <w:rsid w:val="00D60B6D"/>
    <w:rsid w:val="00D97811"/>
    <w:rsid w:val="00E17AD6"/>
    <w:rsid w:val="00E510EA"/>
    <w:rsid w:val="00E96A4B"/>
    <w:rsid w:val="00EF228D"/>
    <w:rsid w:val="00F536B0"/>
    <w:rsid w:val="00F6361B"/>
    <w:rsid w:val="00FC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33C92"/>
  <w15:docId w15:val="{3D5BBF1E-E74B-4E9B-8E35-7DB6E2C63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71E4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71E4F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471E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471E4F"/>
    <w:rPr>
      <w:rFonts w:ascii="Courier New" w:eastAsia="Times New Roman" w:hAnsi="Courier New" w:cs="Courier New"/>
      <w:sz w:val="20"/>
      <w:szCs w:val="20"/>
    </w:rPr>
  </w:style>
  <w:style w:type="character" w:customStyle="1" w:styleId="gd15mcfceub">
    <w:name w:val="gd15mcfceub"/>
    <w:basedOn w:val="Standaardalinea-lettertype"/>
    <w:rsid w:val="00471E4F"/>
  </w:style>
  <w:style w:type="paragraph" w:styleId="Ballontekst">
    <w:name w:val="Balloon Text"/>
    <w:basedOn w:val="Standaard"/>
    <w:link w:val="BallontekstChar"/>
    <w:uiPriority w:val="99"/>
    <w:semiHidden/>
    <w:unhideWhenUsed/>
    <w:rsid w:val="00907504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7504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1001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22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F228D"/>
    <w:rPr>
      <w:rFonts w:asciiTheme="minorHAnsi" w:hAnsiTheme="minorHAnsi" w:cstheme="minorBidi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F228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968D7"/>
    <w:rPr>
      <w:rFonts w:ascii="Times New Roman" w:hAnsi="Times New Roman" w:cs="Times New Roman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968D7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9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1955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Vrije Universiteit Amsterdam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Anouk</dc:creator>
  <cp:lastModifiedBy>Anouk van 't Padje</cp:lastModifiedBy>
  <cp:revision>3</cp:revision>
  <dcterms:created xsi:type="dcterms:W3CDTF">2020-09-04T10:32:00Z</dcterms:created>
  <dcterms:modified xsi:type="dcterms:W3CDTF">2020-09-14T08:49:00Z</dcterms:modified>
</cp:coreProperties>
</file>