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A6E" w:rsidRDefault="00BE06D0">
      <w:pPr>
        <w:pStyle w:val="Body"/>
        <w:spacing w:before="0" w:line="360" w:lineRule="auto"/>
        <w:jc w:val="both"/>
        <w:rPr>
          <w:rFonts w:ascii="Arial" w:eastAsia="Arial" w:hAnsi="Arial" w:cs="Arial"/>
          <w:b/>
          <w:bCs/>
          <w:sz w:val="22"/>
          <w:szCs w:val="22"/>
        </w:rPr>
      </w:pPr>
      <w:r>
        <w:rPr>
          <w:rFonts w:ascii="Arial" w:hAnsi="Arial"/>
          <w:b/>
          <w:bCs/>
          <w:sz w:val="22"/>
          <w:szCs w:val="22"/>
        </w:rPr>
        <w:t>Supplementary Results</w:t>
      </w:r>
    </w:p>
    <w:p w:rsidR="00D02A6E" w:rsidRDefault="00D02A6E">
      <w:pPr>
        <w:pStyle w:val="Body"/>
        <w:spacing w:before="0" w:line="360" w:lineRule="auto"/>
        <w:jc w:val="both"/>
        <w:rPr>
          <w:rFonts w:ascii="Arial" w:eastAsia="Arial" w:hAnsi="Arial" w:cs="Arial"/>
          <w:b/>
          <w:bCs/>
          <w:sz w:val="22"/>
          <w:szCs w:val="22"/>
        </w:rPr>
      </w:pPr>
    </w:p>
    <w:p w:rsidR="00D02A6E" w:rsidRDefault="00BE06D0">
      <w:pPr>
        <w:pStyle w:val="Body"/>
        <w:spacing w:before="0" w:line="360" w:lineRule="auto"/>
        <w:jc w:val="both"/>
        <w:rPr>
          <w:rFonts w:ascii="Arial" w:eastAsia="Arial" w:hAnsi="Arial" w:cs="Arial"/>
          <w:b/>
          <w:bCs/>
          <w:sz w:val="22"/>
          <w:szCs w:val="22"/>
        </w:rPr>
      </w:pPr>
      <w:r>
        <w:rPr>
          <w:rFonts w:ascii="Arial" w:hAnsi="Arial"/>
          <w:b/>
          <w:bCs/>
          <w:sz w:val="22"/>
          <w:szCs w:val="22"/>
        </w:rPr>
        <w:t>FISH</w:t>
      </w:r>
    </w:p>
    <w:p w:rsidR="00D02A6E" w:rsidRDefault="00BE06D0">
      <w:pPr>
        <w:pStyle w:val="Body"/>
        <w:spacing w:before="0" w:line="360" w:lineRule="auto"/>
        <w:jc w:val="both"/>
        <w:rPr>
          <w:rFonts w:ascii="Arial" w:eastAsia="Arial" w:hAnsi="Arial" w:cs="Arial"/>
          <w:sz w:val="22"/>
          <w:szCs w:val="22"/>
        </w:rPr>
      </w:pPr>
      <w:r>
        <w:rPr>
          <w:rFonts w:ascii="Arial" w:hAnsi="Arial"/>
          <w:sz w:val="22"/>
          <w:szCs w:val="22"/>
        </w:rPr>
        <w:t>We designed probes to specifically target Pun4 populations (Pun4s) and a broader clade composed of previously recovered sequences from Helgoland related to the Pun4</w:t>
      </w:r>
      <w:r>
        <w:rPr>
          <w:rFonts w:ascii="Arial" w:hAnsi="Arial"/>
          <w:sz w:val="22"/>
          <w:szCs w:val="22"/>
          <w:lang w:val="fr-FR"/>
        </w:rPr>
        <w:t xml:space="preserve"> population</w:t>
      </w:r>
      <w:r>
        <w:rPr>
          <w:rFonts w:ascii="Arial" w:hAnsi="Arial"/>
          <w:sz w:val="22"/>
          <w:szCs w:val="22"/>
        </w:rPr>
        <w:t xml:space="preserve"> (Pun4b; </w:t>
      </w:r>
      <w:r w:rsidRPr="006C28F4">
        <w:rPr>
          <w:rFonts w:ascii="Arial" w:hAnsi="Arial"/>
          <w:color w:val="000000" w:themeColor="text1"/>
          <w:sz w:val="22"/>
          <w:szCs w:val="22"/>
        </w:rPr>
        <w:t>Fig. S</w:t>
      </w:r>
      <w:r w:rsidR="006C28F4" w:rsidRPr="006C28F4">
        <w:rPr>
          <w:rFonts w:ascii="Arial" w:hAnsi="Arial"/>
          <w:color w:val="000000" w:themeColor="text1"/>
          <w:sz w:val="22"/>
          <w:szCs w:val="22"/>
        </w:rPr>
        <w:t>5</w:t>
      </w:r>
      <w:r w:rsidRPr="006C28F4">
        <w:rPr>
          <w:rFonts w:ascii="Arial" w:hAnsi="Arial"/>
          <w:color w:val="000000" w:themeColor="text1"/>
          <w:sz w:val="22"/>
          <w:szCs w:val="22"/>
        </w:rPr>
        <w:t>b</w:t>
      </w:r>
      <w:r>
        <w:rPr>
          <w:rFonts w:ascii="Arial" w:hAnsi="Arial"/>
          <w:sz w:val="22"/>
          <w:szCs w:val="22"/>
        </w:rPr>
        <w:t xml:space="preserve">). </w:t>
      </w:r>
      <w:proofErr w:type="spellStart"/>
      <w:r w:rsidR="006C28F4">
        <w:rPr>
          <w:rFonts w:ascii="Arial" w:hAnsi="Arial"/>
          <w:sz w:val="22"/>
          <w:szCs w:val="22"/>
        </w:rPr>
        <w:t>Visualised</w:t>
      </w:r>
      <w:proofErr w:type="spellEnd"/>
      <w:r>
        <w:rPr>
          <w:rFonts w:ascii="Arial" w:hAnsi="Arial"/>
          <w:sz w:val="22"/>
          <w:szCs w:val="22"/>
        </w:rPr>
        <w:t xml:space="preserve"> Pun4 cells using Pun4b and Pun4s followed a similar abundance pattern</w:t>
      </w:r>
      <w:r w:rsidR="006C28F4">
        <w:rPr>
          <w:rFonts w:ascii="Arial" w:hAnsi="Arial"/>
          <w:sz w:val="22"/>
          <w:szCs w:val="22"/>
        </w:rPr>
        <w:t>,</w:t>
      </w:r>
      <w:r>
        <w:rPr>
          <w:rFonts w:ascii="Arial" w:hAnsi="Arial"/>
          <w:sz w:val="22"/>
          <w:szCs w:val="22"/>
        </w:rPr>
        <w:t xml:space="preserve"> but higher cell counts were determined using the former probe as expected (Fig. S</w:t>
      </w:r>
      <w:r w:rsidR="00D76AF3">
        <w:rPr>
          <w:rFonts w:ascii="Arial" w:hAnsi="Arial"/>
          <w:sz w:val="22"/>
          <w:szCs w:val="22"/>
        </w:rPr>
        <w:t>R</w:t>
      </w:r>
      <w:r>
        <w:rPr>
          <w:rFonts w:ascii="Arial" w:hAnsi="Arial"/>
          <w:sz w:val="22"/>
          <w:szCs w:val="22"/>
        </w:rPr>
        <w:t>1).</w:t>
      </w:r>
    </w:p>
    <w:p w:rsidR="00D02A6E" w:rsidRDefault="00D02A6E">
      <w:pPr>
        <w:pStyle w:val="Body"/>
        <w:spacing w:before="0" w:line="360" w:lineRule="auto"/>
        <w:jc w:val="both"/>
        <w:rPr>
          <w:rFonts w:ascii="Arial" w:eastAsia="Arial" w:hAnsi="Arial" w:cs="Arial"/>
          <w:sz w:val="22"/>
          <w:szCs w:val="22"/>
        </w:rPr>
      </w:pPr>
    </w:p>
    <w:p w:rsidR="00D02A6E" w:rsidRDefault="00BE06D0">
      <w:pPr>
        <w:pStyle w:val="Body"/>
        <w:spacing w:before="0" w:line="360" w:lineRule="auto"/>
        <w:jc w:val="both"/>
        <w:rPr>
          <w:rFonts w:ascii="Arial" w:eastAsia="Arial" w:hAnsi="Arial" w:cs="Arial"/>
          <w:sz w:val="22"/>
          <w:szCs w:val="22"/>
        </w:rPr>
      </w:pPr>
      <w:r>
        <w:rPr>
          <w:rFonts w:ascii="Arial" w:hAnsi="Arial"/>
          <w:b/>
          <w:bCs/>
          <w:sz w:val="22"/>
          <w:szCs w:val="22"/>
        </w:rPr>
        <w:t>Fig. SR1.</w:t>
      </w:r>
      <w:r>
        <w:rPr>
          <w:rFonts w:ascii="Arial" w:hAnsi="Arial"/>
          <w:sz w:val="22"/>
          <w:szCs w:val="22"/>
        </w:rPr>
        <w:t xml:space="preserve">  Cell count comparison between probes Pun4b and Pun4s using CARD-FISH.</w:t>
      </w:r>
    </w:p>
    <w:p w:rsidR="00D02A6E" w:rsidRDefault="00D02A6E">
      <w:pPr>
        <w:pStyle w:val="Body"/>
        <w:spacing w:before="0" w:line="360" w:lineRule="auto"/>
        <w:jc w:val="both"/>
        <w:rPr>
          <w:rFonts w:ascii="Arial" w:eastAsia="Arial" w:hAnsi="Arial" w:cs="Arial"/>
          <w:sz w:val="22"/>
          <w:szCs w:val="22"/>
        </w:rPr>
      </w:pPr>
    </w:p>
    <w:p w:rsidR="00D02A6E" w:rsidRDefault="00BE06D0">
      <w:pPr>
        <w:pStyle w:val="Body"/>
        <w:spacing w:before="0" w:line="360" w:lineRule="auto"/>
        <w:jc w:val="both"/>
        <w:rPr>
          <w:rFonts w:ascii="Arial" w:eastAsia="Arial" w:hAnsi="Arial" w:cs="Arial"/>
          <w:b/>
          <w:bCs/>
          <w:sz w:val="22"/>
          <w:szCs w:val="22"/>
        </w:rPr>
      </w:pPr>
      <w:r>
        <w:rPr>
          <w:rFonts w:ascii="Arial" w:hAnsi="Arial"/>
          <w:b/>
          <w:bCs/>
          <w:i/>
          <w:iCs/>
          <w:sz w:val="22"/>
          <w:szCs w:val="22"/>
        </w:rPr>
        <w:t>Verruc</w:t>
      </w:r>
      <w:r>
        <w:rPr>
          <w:noProof/>
        </w:rPr>
        <w:drawing>
          <wp:anchor distT="152400" distB="152400" distL="152400" distR="152400" simplePos="0" relativeHeight="251659264" behindDoc="0" locked="0" layoutInCell="1" allowOverlap="1">
            <wp:simplePos x="0" y="0"/>
            <wp:positionH relativeFrom="page">
              <wp:posOffset>914400</wp:posOffset>
            </wp:positionH>
            <wp:positionV relativeFrom="page">
              <wp:posOffset>2736776</wp:posOffset>
            </wp:positionV>
            <wp:extent cx="5943600" cy="2292424"/>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6">
                      <a:extLst/>
                    </a:blip>
                    <a:stretch>
                      <a:fillRect/>
                    </a:stretch>
                  </pic:blipFill>
                  <pic:spPr>
                    <a:xfrm>
                      <a:off x="0" y="0"/>
                      <a:ext cx="5943600" cy="2292424"/>
                    </a:xfrm>
                    <a:prstGeom prst="rect">
                      <a:avLst/>
                    </a:prstGeom>
                    <a:ln w="12700" cap="flat">
                      <a:noFill/>
                      <a:miter lim="400000"/>
                    </a:ln>
                    <a:effectLst/>
                  </pic:spPr>
                </pic:pic>
              </a:graphicData>
            </a:graphic>
          </wp:anchor>
        </w:drawing>
      </w:r>
      <w:r>
        <w:rPr>
          <w:rFonts w:ascii="Arial" w:hAnsi="Arial"/>
          <w:b/>
          <w:bCs/>
          <w:i/>
          <w:iCs/>
          <w:sz w:val="22"/>
          <w:szCs w:val="22"/>
        </w:rPr>
        <w:t>omicrobiota</w:t>
      </w:r>
      <w:r>
        <w:rPr>
          <w:rFonts w:ascii="Arial" w:hAnsi="Arial"/>
          <w:b/>
          <w:bCs/>
          <w:sz w:val="22"/>
          <w:szCs w:val="22"/>
        </w:rPr>
        <w:t xml:space="preserve"> populations from Helgoland compared to previously reported genomes and MAGs.</w:t>
      </w:r>
    </w:p>
    <w:p w:rsidR="00D02A6E" w:rsidRDefault="00BE06D0">
      <w:pPr>
        <w:pStyle w:val="Body"/>
        <w:spacing w:before="0" w:line="360" w:lineRule="auto"/>
        <w:jc w:val="both"/>
        <w:rPr>
          <w:rFonts w:ascii="Arial" w:eastAsia="Arial" w:hAnsi="Arial" w:cs="Arial"/>
          <w:sz w:val="22"/>
          <w:szCs w:val="22"/>
        </w:rPr>
      </w:pPr>
      <w:r>
        <w:rPr>
          <w:rFonts w:ascii="Arial" w:eastAsia="Arial" w:hAnsi="Arial" w:cs="Arial"/>
          <w:sz w:val="22"/>
          <w:szCs w:val="22"/>
        </w:rPr>
        <w:tab/>
        <w:t xml:space="preserve">A comparison to 636 previously recovered </w:t>
      </w:r>
      <w:r>
        <w:rPr>
          <w:rFonts w:ascii="Arial" w:hAnsi="Arial"/>
          <w:i/>
          <w:iCs/>
          <w:sz w:val="22"/>
          <w:szCs w:val="22"/>
        </w:rPr>
        <w:t>Verrucomicrobiota</w:t>
      </w:r>
      <w:r>
        <w:rPr>
          <w:rFonts w:ascii="Arial" w:hAnsi="Arial"/>
          <w:sz w:val="22"/>
          <w:szCs w:val="22"/>
        </w:rPr>
        <w:t xml:space="preserve"> isolates and MAGs further highlights the diversity of Helgoland MAGs (</w:t>
      </w:r>
      <w:r w:rsidRPr="006C28F4">
        <w:rPr>
          <w:rFonts w:ascii="Arial" w:hAnsi="Arial"/>
          <w:color w:val="000000" w:themeColor="text1"/>
          <w:sz w:val="22"/>
          <w:szCs w:val="22"/>
        </w:rPr>
        <w:t>Fig. 2</w:t>
      </w:r>
      <w:r>
        <w:rPr>
          <w:rFonts w:ascii="Arial" w:hAnsi="Arial"/>
          <w:sz w:val="22"/>
          <w:szCs w:val="22"/>
        </w:rPr>
        <w:t xml:space="preserve">). Most recovered genomes from Helgoland shared average amino acid identity (AAI) values of ~68%-80% compared with previously recovered MAGs from marine samples, indicating their similarity at the genus level. For instance, within the </w:t>
      </w:r>
      <w:r>
        <w:rPr>
          <w:rFonts w:ascii="Arial" w:hAnsi="Arial"/>
          <w:i/>
          <w:iCs/>
          <w:sz w:val="22"/>
          <w:szCs w:val="22"/>
        </w:rPr>
        <w:t>Akkermansiaceae</w:t>
      </w:r>
      <w:r>
        <w:rPr>
          <w:rFonts w:ascii="Arial" w:hAnsi="Arial"/>
          <w:sz w:val="22"/>
          <w:szCs w:val="22"/>
        </w:rPr>
        <w:t xml:space="preserve"> family (Akk4-8), most MAGs belonged to the UBA985 genus, contained in a subclade composed of genomes obtained from marine samples of the TARA and Ocean Sampling Day Consortia. MAG Akk4 shares 98% and 99.8% ANI with the MAGs UBA7329 and UBA8040 obtained from these two sampling projects, respectively. MAGs MB1, MB2, and MB3 of the MB11C04 family shared ~74%-79% AAI with MAG ARS76 recovered in the Indian Ocean of the TARA expedition. An independent clade containing the MB4 MAG shared 71.1% AAI with UBA1276 obtained in </w:t>
      </w:r>
      <w:proofErr w:type="gramStart"/>
      <w:r>
        <w:rPr>
          <w:rFonts w:ascii="Arial" w:hAnsi="Arial"/>
          <w:sz w:val="22"/>
          <w:szCs w:val="22"/>
        </w:rPr>
        <w:t>Mediterranean sea</w:t>
      </w:r>
      <w:proofErr w:type="gramEnd"/>
      <w:r>
        <w:rPr>
          <w:rFonts w:ascii="Arial" w:hAnsi="Arial"/>
          <w:sz w:val="22"/>
          <w:szCs w:val="22"/>
        </w:rPr>
        <w:t xml:space="preserve"> surface waters. A clade consisting of MAGs </w:t>
      </w:r>
      <w:r>
        <w:rPr>
          <w:rFonts w:ascii="Arial" w:hAnsi="Arial"/>
          <w:sz w:val="22"/>
          <w:szCs w:val="22"/>
        </w:rPr>
        <w:lastRenderedPageBreak/>
        <w:t xml:space="preserve">MB5-8 shared ~68%-77% AAI with MAGs obtained from the Indian Ocean (IN48 and TARA_ION_00036) and North East Atlantic (TARA_ANE_00064). MAGs of the </w:t>
      </w:r>
      <w:r>
        <w:rPr>
          <w:rFonts w:ascii="Arial" w:hAnsi="Arial"/>
          <w:i/>
          <w:iCs/>
          <w:sz w:val="22"/>
          <w:szCs w:val="22"/>
        </w:rPr>
        <w:t>Puniceicoccaceae</w:t>
      </w:r>
      <w:r>
        <w:rPr>
          <w:rFonts w:ascii="Arial" w:hAnsi="Arial"/>
          <w:sz w:val="22"/>
          <w:szCs w:val="22"/>
        </w:rPr>
        <w:t xml:space="preserve"> family were located in a clade corresponding to the BACL24 genus. The 25 genomes in the </w:t>
      </w:r>
      <w:r>
        <w:rPr>
          <w:rFonts w:ascii="Arial" w:hAnsi="Arial"/>
          <w:sz w:val="22"/>
          <w:szCs w:val="22"/>
          <w:lang w:val="de-DE"/>
        </w:rPr>
        <w:t>BACL24</w:t>
      </w:r>
      <w:r>
        <w:rPr>
          <w:rFonts w:ascii="Arial" w:hAnsi="Arial"/>
          <w:sz w:val="22"/>
          <w:szCs w:val="22"/>
        </w:rPr>
        <w:t xml:space="preserve"> clade, but excluding MAG UBA1513 that was obtained from a sediment sample, were obtained from marine water samples. Among them, a recently described fucose-degrading isolate </w:t>
      </w:r>
      <w:r>
        <w:rPr>
          <w:rFonts w:ascii="Arial" w:hAnsi="Arial"/>
          <w:i/>
          <w:iCs/>
          <w:sz w:val="22"/>
          <w:szCs w:val="22"/>
        </w:rPr>
        <w:t>Lentimonas</w:t>
      </w:r>
      <w:r>
        <w:rPr>
          <w:rFonts w:ascii="Arial" w:hAnsi="Arial"/>
          <w:sz w:val="22"/>
          <w:szCs w:val="22"/>
        </w:rPr>
        <w:t xml:space="preserve"> </w:t>
      </w:r>
      <w:r>
        <w:rPr>
          <w:rFonts w:ascii="Arial" w:eastAsia="Arial" w:hAnsi="Arial" w:cs="Arial"/>
          <w:sz w:val="22"/>
          <w:szCs w:val="22"/>
        </w:rPr>
        <w:fldChar w:fldCharType="begin"/>
      </w:r>
      <w:r>
        <w:rPr>
          <w:rFonts w:ascii="Arial" w:eastAsia="Arial" w:hAnsi="Arial" w:cs="Arial"/>
          <w:sz w:val="22"/>
          <w:szCs w:val="22"/>
        </w:rPr>
        <w:instrText xml:space="preserve"> ADDIN EN.CITE &lt;EndNote&gt;&lt;Cite  &gt;&lt;Author&gt;Sichert, A.; Corzett, C. H.; Schechter, M. S.; Unfried, F.; Markert, S.; Becher, D.; Fernandez-Guerra, A.; Liebeke, M.; Schweder, T.; Polz, M. F.; Hehemann, J. H.&lt;/Author&gt;&lt;Year&gt;2020&lt;/Year&gt;&lt;RecNum&gt;224&lt;/RecNum&gt;&lt;Prefix&gt;&lt;/Prefix&gt;&lt;Suffix&gt;&lt;/Suffix&gt;&lt;Pages&gt;&lt;/Pages&gt;&lt;DisplayText&gt;1&lt;/DisplayText&gt;&lt;record&gt;&lt;database name="MPI-EndNoteLib_v2.enl" path="/Users/lorellan/ownCloud/EndNote_backup/MPI-EndNoteLib_v2.enl"&gt;MPI-EndNoteLib_v2.enl&lt;/database&gt;&lt;source-app name="EndNote" version="19.3"&gt;EndNote&lt;/source-app&gt;&lt;rec-number&gt;224&lt;/rec-number&gt;&lt;foreign-keys&gt;&lt;key app="EN" db-id="w9vwtrpro2w9ste9dwbva5zsreftsp5p29s5"&gt;224&lt;/key&gt;&lt;/foreign-keys&gt;&lt;ref-type name="Journal Article"&gt;17&lt;/ref-type&gt;&lt;contributors&gt;&lt;authors&gt;&lt;author&gt;&lt;style face="normal" font="default" size="100%"&gt;Sichert, A.&lt;/style&gt;&lt;/author&gt;&lt;author&gt;&lt;style face="normal" font="default" size="100%"&gt;Corzett, C. H.&lt;/style&gt;&lt;/author&gt;&lt;author&gt;&lt;style face="normal" font="default" size="100%"&gt;Schechter, M. S.&lt;/style&gt;&lt;/author&gt;&lt;author&gt;&lt;style face="normal" font="default" size="100%"&gt;Unfried, F.&lt;/style&gt;&lt;/author&gt;&lt;author&gt;&lt;style face="normal" font="default" size="100%"&gt;Markert, S.&lt;/style&gt;&lt;/author&gt;&lt;author&gt;&lt;style face="normal" font="default" size="100%"&gt;Becher, D.&lt;/style&gt;&lt;/author&gt;&lt;author&gt;&lt;style face="normal" font="default" size="100%"&gt;Fernandez-Guerra, A.&lt;/style&gt;&lt;/author&gt;&lt;author&gt;&lt;style face="normal" font="default" size="100%"&gt;Liebeke, M.&lt;/style&gt;&lt;/author&gt;&lt;author&gt;&lt;style face="normal" font="default" size="100%"&gt;Schweder, T.&lt;/style&gt;&lt;/author&gt;&lt;author&gt;&lt;style face="normal" font="default" size="100%"&gt;Polz, M. F.&lt;/style&gt;&lt;/author&gt;&lt;author&gt;&lt;style face="normal" font="default" size="100%"&gt;Hehemann, J. H.&lt;/style&gt;&lt;/author&gt;&lt;/authors&gt;&lt;/contributors&gt;&lt;auth-address&gt;&lt;style face="normal" font="default" size="100%"&gt;Max Planck Institute for Marine Microbiology, Bremen, Germany. Center for Marine Environmental Sciences, MARUM, University of Bremen, Bremen, Germany. Department of Civil and Environmental Engineering, Massachusetts Institute of Technology, Cambridge, MA, USA. Molecular and Computational Biology Section, Department of Biological Sciences, University of Southern California, Los Angeles, CA, USA. Pharmaceutical Biotechnology, Institute of Pharmacy, University of Greifswald, Greifswald, Germany. Institute of Marine Biotechnology, Greifswald, Germany. Microbial Proteomics, Institute of Microbiology, University of Greifswald, Greifswald, Germany. Lundbeck Foundation GeoGenetics Centre, GLOBE Institute, University of Copenhagen, Copenhagen, Denmark. Division of Microbial Ecology, Centre for Microbiology and Environmental Systems Science, University of Vienna, Vienna, Austria. Max Planck Institute for Marine Microbiology, Bremen, Germany. jhhehemann@marum.de. Center for Marine Environmental Sciences, MARUM, University of Bremen, Bremen, Germany. jhhehemann@marum.de.&lt;/style&gt;&lt;/auth-address&gt;&lt;titles&gt;&lt;title&gt;&lt;style face="normal" font="default" size="100%"&gt;Verrucomicrobia use hundreds of enzymes to digest the algal polysaccharide fucoidan&lt;/style&gt;&lt;/title&gt;&lt;secondary-title&gt;&lt;style face="normal" font="default" size="100%"&gt;Nat Microbiol&lt;/style&gt;&lt;/secondary-title&gt;&lt;/titles&gt;&lt;periodical&gt;&lt;full-title&gt;&lt;style face="normal" font="default" size="100%"&gt;Nat Microbiol&lt;/style&gt;&lt;/full-title&gt;&lt;/periodical&gt;&lt;edition&gt;&lt;style face="normal" font="default" size="100%"&gt;2020/05/27&lt;/style&gt;&lt;/edition&gt;&lt;dates&gt;&lt;year&gt;&lt;style face="normal" font="default" size="100%"&gt;2020&lt;/style&gt;&lt;/year&gt;&lt;pub-dates&gt;&lt;date&gt;&lt;style face="normal" font="default" size="100%"&gt;May 25&lt;/style&gt;&lt;/date&gt;&lt;/pub-dates&gt;&lt;/dates&gt;&lt;isbn&gt;&lt;style face="normal" font="default" size="100%"&gt;2058-5276 (Electronic) 2058-5276 (Linking)&lt;/style&gt;&lt;/isbn&gt;&lt;accession-num&gt;&lt;style face="normal" font="default" size="100%"&gt;32451471&lt;/style&gt;&lt;/accession-num&gt;&lt;abstract&gt;&lt;style face="normal" font="default" size="100%"&gt;Brown algae are important players in the global carbon cycle by fixing carbon dioxide into 1 Gt of biomass annually, yet the fate of fucoidan-their major cell wall polysaccharide-remains poorly understood. Microbial degradation of fucoidans is slower than that of other polysaccharides, suggesting that fucoidans are more recalcitrant and may sequester carbon in the ocean. This may be due to the complex, branched and highly sulfated structure of fucoidans, which also varies among species of brown algae. Here, we show that 'Lentimonas' sp. CC4, belonging to the Verrucomicrobia, acquired a remarkably complex machinery for the degradation of six different fucoidans. The strain accumulated 284 putative fucoidanases, including glycoside hydrolases, sulfatases and carbohydrate esterases, which are primarily located on a 0.89-megabase pair plasmid. Proteomics reveals that these enzymes assemble into substrate-specific pathways requiring about 100 enzymes per fucoidan from different species of brown algae. These enzymes depolymerize fucoidan into fucose, which is metabolized in a proteome-costly bacterial microcompartment that spatially constrains the metabolism of the toxic intermediate lactaldehyde. Marine metagenomes and microbial genomes show that Verrucomicrobia including 'Lentimonas' are abundant and highly specialized degraders of fucoidans and other complex polysaccharides. Overall, the complexity of the pathways underscores why fucoidans are probably recalcitrant and more slowly degraded, since only highly specialized organisms can effectively degrade them in the ocean.&lt;/style&gt;&lt;/abstract&gt;&lt;notes&gt;&lt;style face="normal" font="default" size="100%"&gt;Sichert, Andreas Corzett, Christopher H Schechter, Matthew S Unfried, Frank Markert, Stephanie Becher, Dorte Fernandez-Guerra, Antonio Liebeke, Manuel Schweder, Thomas Polz, Martin F Hehemann, Jan-Hendrik eng HE 7217/1-1/Deutsche Forschungsgemeinschaft (German Research Foundation) BE 3869/4-1/Deutsche Forschungsgemeinschaft (German Research Foundation) SCHW 595/10-1/Deutsche Forschungsgemeinschaft (German Research Foundation) DE-SC0008743/DOE | Advanced Research Projects Agency - Energy (Advanced Research Projects Agency - Energy - U.S. Department of Energy) England Nat Microbiol. 2020 May 25. pii: 10.1038/s41564-020-0720-2. doi: 10.1038/s41564-020-0720-2.&lt;/style&gt;&lt;/notes&gt;&lt;urls&gt;&lt;related-urls&gt;&lt;url&gt;&lt;style face="normal" font="default" size="100%"&gt;https://www.ncbi.nlm.nih.gov/pubmed/32451471&lt;/style&gt;&lt;/url&gt;&lt;url&gt;&lt;style face="normal" font="default" size="100%"&gt;https://www.nature.com/articles/s41564-020-0720-2&lt;/style&gt;&lt;/url&gt;&lt;/related-urls&gt;&lt;pdf-urls&gt;&lt;url&gt;internal-pdf://3829176367/s41564-020-0720-2 (1).pdf&lt;/url&gt;&lt;/pdf-urls&gt;&lt;/urls&gt;&lt;electronic-resource-num&gt;&lt;style face="normal" font="default" size="100%"&gt;10.1038/s41564-020-0720-2&lt;/style&gt;&lt;/electronic-resource-num&gt;&lt;/record&gt;&lt;/Cite&gt;&lt;/EndNote&gt;</w:instrText>
      </w:r>
      <w:r>
        <w:rPr>
          <w:rFonts w:ascii="Arial" w:eastAsia="Arial" w:hAnsi="Arial" w:cs="Arial"/>
          <w:sz w:val="22"/>
          <w:szCs w:val="22"/>
        </w:rPr>
        <w:fldChar w:fldCharType="separate"/>
      </w:r>
      <w:r>
        <w:rPr>
          <w:rFonts w:ascii="Arial" w:hAnsi="Arial"/>
          <w:sz w:val="22"/>
          <w:szCs w:val="22"/>
        </w:rPr>
        <w:t>1</w:t>
      </w:r>
      <w:r>
        <w:rPr>
          <w:rFonts w:ascii="Arial" w:eastAsia="Arial" w:hAnsi="Arial" w:cs="Arial"/>
          <w:sz w:val="22"/>
          <w:szCs w:val="22"/>
        </w:rPr>
        <w:fldChar w:fldCharType="end"/>
      </w:r>
      <w:r>
        <w:rPr>
          <w:rFonts w:ascii="Arial" w:hAnsi="Arial"/>
          <w:sz w:val="22"/>
          <w:szCs w:val="22"/>
        </w:rPr>
        <w:t xml:space="preserve"> shared 83.3% AAI (SD 18.13%, 1,693 proteins) with Pun6, the closest relative MAG from Helgoland. However, this </w:t>
      </w:r>
      <w:r>
        <w:rPr>
          <w:rFonts w:ascii="Arial" w:hAnsi="Arial"/>
          <w:i/>
          <w:iCs/>
          <w:sz w:val="22"/>
          <w:szCs w:val="22"/>
        </w:rPr>
        <w:t>Lentimonas</w:t>
      </w:r>
      <w:r>
        <w:rPr>
          <w:rFonts w:ascii="Arial" w:hAnsi="Arial"/>
          <w:sz w:val="22"/>
          <w:szCs w:val="22"/>
        </w:rPr>
        <w:t xml:space="preserve"> isolate has a chromosome larger than the average member of the </w:t>
      </w:r>
      <w:r>
        <w:rPr>
          <w:rFonts w:ascii="Arial" w:hAnsi="Arial"/>
          <w:i/>
          <w:iCs/>
          <w:sz w:val="22"/>
          <w:szCs w:val="22"/>
          <w:lang w:val="it-IT"/>
        </w:rPr>
        <w:t>Puniceicoccaceae</w:t>
      </w:r>
      <w:r>
        <w:rPr>
          <w:rFonts w:ascii="Arial" w:hAnsi="Arial"/>
          <w:sz w:val="22"/>
          <w:szCs w:val="22"/>
        </w:rPr>
        <w:t xml:space="preserve"> family (3.9 Mbp </w:t>
      </w:r>
      <w:r w:rsidR="006C28F4">
        <w:rPr>
          <w:rFonts w:ascii="Arial" w:hAnsi="Arial"/>
          <w:sz w:val="22"/>
          <w:szCs w:val="22"/>
        </w:rPr>
        <w:t>vs</w:t>
      </w:r>
      <w:r>
        <w:rPr>
          <w:rFonts w:ascii="Arial" w:hAnsi="Arial"/>
          <w:sz w:val="22"/>
          <w:szCs w:val="22"/>
        </w:rPr>
        <w:t xml:space="preserve"> ~2.3 Mbp). Other closer relatives</w:t>
      </w:r>
      <w:r w:rsidR="006C28F4">
        <w:rPr>
          <w:rFonts w:ascii="Arial" w:hAnsi="Arial"/>
          <w:sz w:val="22"/>
          <w:szCs w:val="22"/>
        </w:rPr>
        <w:t>,</w:t>
      </w:r>
      <w:r>
        <w:rPr>
          <w:rFonts w:ascii="Arial" w:hAnsi="Arial"/>
          <w:sz w:val="22"/>
          <w:szCs w:val="22"/>
        </w:rPr>
        <w:t xml:space="preserve"> such as UBA5964, collected from the surface of the Baltic Sea</w:t>
      </w:r>
      <w:r w:rsidR="006C28F4">
        <w:rPr>
          <w:rFonts w:ascii="Arial" w:hAnsi="Arial"/>
          <w:sz w:val="22"/>
          <w:szCs w:val="22"/>
        </w:rPr>
        <w:t>,</w:t>
      </w:r>
      <w:r>
        <w:rPr>
          <w:rFonts w:ascii="Arial" w:hAnsi="Arial"/>
          <w:sz w:val="22"/>
          <w:szCs w:val="22"/>
        </w:rPr>
        <w:t xml:space="preserve"> shared </w:t>
      </w:r>
      <w:r w:rsidR="006C28F4">
        <w:rPr>
          <w:rFonts w:ascii="Arial" w:hAnsi="Arial"/>
          <w:sz w:val="22"/>
          <w:szCs w:val="22"/>
        </w:rPr>
        <w:t xml:space="preserve">an </w:t>
      </w:r>
      <w:r>
        <w:rPr>
          <w:rFonts w:ascii="Arial" w:hAnsi="Arial"/>
          <w:sz w:val="22"/>
          <w:szCs w:val="22"/>
        </w:rPr>
        <w:t xml:space="preserve">ANI of 89.2% with Pun5. Relatives of Pun1 were NP23 (TARA Ocean) and </w:t>
      </w:r>
      <w:r>
        <w:rPr>
          <w:rFonts w:ascii="Arial" w:hAnsi="Arial"/>
          <w:i/>
          <w:iCs/>
          <w:sz w:val="22"/>
          <w:szCs w:val="22"/>
        </w:rPr>
        <w:t>Coraliomargarita</w:t>
      </w:r>
      <w:r>
        <w:rPr>
          <w:rFonts w:ascii="Arial" w:hAnsi="Arial"/>
          <w:sz w:val="22"/>
          <w:szCs w:val="22"/>
        </w:rPr>
        <w:t xml:space="preserve"> sp. WN38 with 75% and 68.2% AAI. In contrast, other Helgoland MAGs were closely related to those obtained from freshwater environments. For instance, MAG Akk3 of the </w:t>
      </w:r>
      <w:r>
        <w:rPr>
          <w:rFonts w:ascii="Arial" w:hAnsi="Arial"/>
          <w:i/>
          <w:iCs/>
          <w:sz w:val="22"/>
          <w:szCs w:val="22"/>
        </w:rPr>
        <w:t>Akkermansiaceae</w:t>
      </w:r>
      <w:r>
        <w:rPr>
          <w:rFonts w:ascii="Arial" w:hAnsi="Arial"/>
          <w:sz w:val="22"/>
          <w:szCs w:val="22"/>
        </w:rPr>
        <w:t xml:space="preserve"> family is contained within a clade mostly composed of genomes from freshwater environments. The closest relative is the ME12612 MAG sharing 79.4% ANI, obtained from Lake Mendota, a drainage type eutrophic lake located in Wisconsin, USA </w:t>
      </w:r>
      <w:r>
        <w:rPr>
          <w:rFonts w:ascii="Arial" w:eastAsia="Arial" w:hAnsi="Arial" w:cs="Arial"/>
          <w:sz w:val="22"/>
          <w:szCs w:val="22"/>
        </w:rPr>
        <w:fldChar w:fldCharType="begin"/>
      </w:r>
      <w:r>
        <w:rPr>
          <w:rFonts w:ascii="Arial" w:eastAsia="Arial" w:hAnsi="Arial" w:cs="Arial"/>
          <w:sz w:val="22"/>
          <w:szCs w:val="22"/>
        </w:rPr>
        <w:instrText xml:space="preserve"> ADDIN EN.CITE &lt;EndNote&gt;&lt;Cite  &gt;&lt;Author&gt;He, Shaomei; Stevens, Sarah LR; Chan, Leong-Keat; Bertilsson, Stefan; del Rio, Tijana Glavina; Tringe, Susannah G; Malmstrom, Rex R; McMahon, Katherine D&lt;/Author&gt;&lt;Year&gt;2017&lt;/Year&gt;&lt;RecNum&gt;114&lt;/RecNum&gt;&lt;Prefix&gt;&lt;/Prefix&gt;&lt;Suffix&gt;&lt;/Suffix&gt;&lt;Pages&gt;&lt;/Pages&gt;&lt;DisplayText&gt;2&lt;/DisplayText&gt;&lt;record&gt;&lt;database name="MPI-EndNoteLib_v2.enl" path="/Users/lorellan/ownCloud/EndNote_backup/MPI-EndNoteLib_v2.enl"&gt;MPI-EndNoteLib_v2.enl&lt;/database&gt;&lt;source-app name="EndNote" version="19.3"&gt;EndNote&lt;/source-app&gt;&lt;rec-number&gt;114&lt;/rec-number&gt;&lt;foreign-keys&gt;&lt;key app="EN" db-id="w9vwtrpro2w9ste9dwbva5zsreftsp5p29s5"&gt;114&lt;/key&gt;&lt;/foreign-keys&gt;&lt;ref-type name="Journal Article"&gt;17&lt;/ref-type&gt;&lt;contributors&gt;&lt;authors&gt;&lt;author&gt;&lt;style face="normal" font="default" size="100%"&gt;He, Shaomei&lt;/style&gt;&lt;/author&gt;&lt;author&gt;&lt;style face="normal" font="default" size="100%"&gt;Stevens, Sarah LR&lt;/style&gt;&lt;/author&gt;&lt;author&gt;&lt;style face="normal" font="default" size="100%"&gt;Chan, Leong-Keat&lt;/style&gt;&lt;/author&gt;&lt;author&gt;&lt;style face="normal" font="default" size="100%"&gt;Bertilsson, Stefan&lt;/style&gt;&lt;/author&gt;&lt;author&gt;&lt;style face="normal" font="default" size="100%"&gt;del Rio, Tijana Glavina&lt;/style&gt;&lt;/author&gt;&lt;author&gt;&lt;style face="normal" font="default" size="100%"&gt;Tringe, Susannah G&lt;/style&gt;&lt;/author&gt;&lt;author&gt;&lt;style face="normal" font="default" size="100%"&gt;Malmstrom, Rex R&lt;/style&gt;&lt;/author&gt;&lt;author&gt;&lt;style face="normal" font="default" size="100%"&gt;McMahon, Katherine D&lt;/style&gt;&lt;/author&gt;&lt;/authors&gt;&lt;/contributors&gt;&lt;titles&gt;&lt;title&gt;&lt;style face="normal" font="default" size="100%"&gt;Ecophysiology of Freshwater Verrucomicrobia Inferred from Metagenome-Assembled Genomes&lt;/style&gt;&lt;/title&gt;&lt;secondary-title&gt;&lt;style face="normal" font="default" size="100%"&gt;mSphere&lt;/style&gt;&lt;/secondary-title&gt;&lt;/titles&gt;&lt;periodical&gt;&lt;full-title&gt;&lt;style face="normal" font="default" size="100%"&gt;mSphere&lt;/style&gt;&lt;/full-title&gt;&lt;/periodical&gt;&lt;pages&gt;&lt;style face="normal" font="default" size="100%"&gt;e00277-17&lt;/style&gt;&lt;/pages&gt;&lt;volume&gt;&lt;style face="normal" font="default" size="100%"&gt;2&lt;/style&gt;&lt;/volume&gt;&lt;number&gt;&lt;style face="normal" font="default" size="100%"&gt;5&lt;/style&gt;&lt;/number&gt;&lt;dates&gt;&lt;year&gt;&lt;style face="normal" font="default" size="100%"&gt;2017&lt;/style&gt;&lt;/year&gt;&lt;/dates&gt;&lt;isbn&gt;&lt;style face="normal" font="default" size="100%"&gt;2379-5042&lt;/style&gt;&lt;/isbn&gt;&lt;urls&gt;&lt;related-urls&gt;&lt;url&gt;&lt;style face="normal" font="default" size="100%"&gt;https://www.ncbi.nlm.nih.gov/pmc/articles/PMC5615132/pdf/mSphere.00277-17.pdf&lt;/style&gt;&lt;/url&gt;&lt;/related-urls&gt;&lt;pdf-urls&gt;&lt;url&gt;internal-pdf://3829176402/He-2017-Ecophysiology of Freshwater Verrucomic.pdf&lt;/url&gt;&lt;/pdf-urls&gt;&lt;/urls&gt;&lt;/record&gt;&lt;/Cite&gt;&lt;/EndNote&gt;</w:instrText>
      </w:r>
      <w:r>
        <w:rPr>
          <w:rFonts w:ascii="Arial" w:eastAsia="Arial" w:hAnsi="Arial" w:cs="Arial"/>
          <w:sz w:val="22"/>
          <w:szCs w:val="22"/>
        </w:rPr>
        <w:fldChar w:fldCharType="separate"/>
      </w:r>
      <w:r>
        <w:rPr>
          <w:rFonts w:ascii="Arial" w:hAnsi="Arial"/>
          <w:sz w:val="22"/>
          <w:szCs w:val="22"/>
        </w:rPr>
        <w:t>2</w:t>
      </w:r>
      <w:r>
        <w:rPr>
          <w:rFonts w:ascii="Arial" w:eastAsia="Arial" w:hAnsi="Arial" w:cs="Arial"/>
          <w:sz w:val="22"/>
          <w:szCs w:val="22"/>
        </w:rPr>
        <w:fldChar w:fldCharType="end"/>
      </w:r>
      <w:r>
        <w:rPr>
          <w:rFonts w:ascii="Arial" w:hAnsi="Arial"/>
          <w:sz w:val="22"/>
          <w:szCs w:val="22"/>
        </w:rPr>
        <w:t>. Other MAGs such as Ver1 (</w:t>
      </w:r>
      <w:r>
        <w:rPr>
          <w:rFonts w:ascii="Arial" w:hAnsi="Arial"/>
          <w:i/>
          <w:iCs/>
          <w:sz w:val="22"/>
          <w:szCs w:val="22"/>
        </w:rPr>
        <w:t>Opitutales</w:t>
      </w:r>
      <w:r>
        <w:rPr>
          <w:rFonts w:ascii="Arial" w:hAnsi="Arial"/>
          <w:sz w:val="22"/>
          <w:szCs w:val="22"/>
        </w:rPr>
        <w:t>) and Len1 (</w:t>
      </w:r>
      <w:r>
        <w:rPr>
          <w:rFonts w:ascii="Arial" w:hAnsi="Arial"/>
          <w:i/>
          <w:iCs/>
          <w:sz w:val="22"/>
          <w:szCs w:val="22"/>
        </w:rPr>
        <w:t>Lentisphaeria</w:t>
      </w:r>
      <w:r>
        <w:rPr>
          <w:rFonts w:ascii="Arial" w:hAnsi="Arial"/>
          <w:sz w:val="22"/>
          <w:szCs w:val="22"/>
        </w:rPr>
        <w:t>) were distantly related to MAGs in the reference set and shared less than 48% AAI with their closest relatives, indicating these genomes have a somewhat higher degree of novelty. However, a recently recovered MAG from fluids derived from deep terrestrial subsurface shale following hydraulic fracturing (West Virginia, USA)</w:t>
      </w:r>
      <w:r>
        <w:rPr>
          <w:rFonts w:ascii="Arial" w:eastAsia="Arial" w:hAnsi="Arial" w:cs="Arial"/>
          <w:sz w:val="22"/>
          <w:szCs w:val="22"/>
        </w:rPr>
        <w:fldChar w:fldCharType="begin"/>
      </w:r>
      <w:r>
        <w:rPr>
          <w:rFonts w:ascii="Arial" w:eastAsia="Arial" w:hAnsi="Arial" w:cs="Arial"/>
          <w:sz w:val="22"/>
          <w:szCs w:val="22"/>
        </w:rPr>
        <w:instrText xml:space="preserve"> ADDIN EN.CITE &lt;EndNote&gt;&lt;Cite  &gt;&lt;Author&gt;Nixon, S. L.; Daly, R. A.; Borton, M. A.; Solden, L. M.; Welch, S. A.; Cole, D. R.; Mouser, P. J.; Wilkins, M. J.; Wrighton, K. C.&lt;/Author&gt;&lt;Year&gt;2019&lt;/Year&gt;&lt;RecNum&gt;207&lt;/RecNum&gt;&lt;Prefix&gt;&lt;/Prefix&gt;&lt;Suffix&gt;&lt;/Suffix&gt;&lt;Pages&gt;&lt;/Pages&gt;&lt;DisplayText&gt;3&lt;/DisplayText&gt;&lt;record&gt;&lt;database name="MPI-EndNoteLib_v2.enl" path="/Users/lorellan/ownCloud/EndNote_backup/MPI-EndNoteLib_v2.enl"&gt;MPI-EndNoteLib_v2.enl&lt;/database&gt;&lt;source-app name="EndNote" version="19.3"&gt;EndNote&lt;/source-app&gt;&lt;rec-number&gt;207&lt;/rec-number&gt;&lt;foreign-keys&gt;&lt;key app="EN" db-id="w9vwtrpro2w9ste9dwbva5zsreftsp5p29s5"&gt;207&lt;/key&gt;&lt;/foreign-keys&gt;&lt;ref-type name="Journal Article"&gt;17&lt;/ref-type&gt;&lt;contributors&gt;&lt;authors&gt;&lt;author&gt;&lt;style face="normal" font="default" size="100%"&gt;Nixon, S. L.&lt;/style&gt;&lt;/author&gt;&lt;author&gt;&lt;style face="normal" font="default" size="100%"&gt;Daly, R. A.&lt;/style&gt;&lt;/author&gt;&lt;author&gt;&lt;style face="normal" font="default" size="100%"&gt;Borton, M. A.&lt;/style&gt;&lt;/author&gt;&lt;author&gt;&lt;style face="normal" font="default" size="100%"&gt;Solden, L. M.&lt;/style&gt;&lt;/author&gt;&lt;author&gt;&lt;style face="normal" font="default" size="100%"&gt;Welch, S. A.&lt;/style&gt;&lt;/author&gt;&lt;author&gt;&lt;style face="normal" font="default" size="100%"&gt;Cole, D. R.&lt;/style&gt;&lt;/author&gt;&lt;author&gt;&lt;style face="normal" font="default" size="100%"&gt;Mouser, P. J.&lt;/style&gt;&lt;/author&gt;&lt;author&gt;&lt;style face="normal" font="default" size="100%"&gt;Wilkins, M. J.&lt;/style&gt;&lt;/author&gt;&lt;author&gt;&lt;style face="normal" font="default" size="100%"&gt;Wrighton, K. C.&lt;/style&gt;&lt;/author&gt;&lt;/authors&gt;&lt;/contributors&gt;&lt;auth-address&gt;&lt;style face="normal" font="default" size="100%"&gt;Department of Earth and Environmental Sciences, University of Manchester, Manchester, United Kingdom sophie.nixon@manchester.ac.uk kwrighton@gmail.com. Soil and Crop Sciences, Colorado State University, Fort Collins, Colorado, USA. Centre for Microbial Pathogenesis, The Research Institute at Nationwide Children's Hospital, Columbus, Ohio, USA. School of Earth Sciences, The Ohio State University, Columbus, Ohio, USA. College of Engineering and Physical Sciences, University of New Hampshire, Durham, New Hampshire, USA. Soil and Crop Sciences, Colorado State University, Fort Collins, Colorado, USA sophie.nixon@manchester.ac.uk kwrighton@gmail.com.&lt;/style&gt;&lt;/auth-address&gt;&lt;titles&gt;&lt;title&gt;&lt;style face="normal" font="default" size="100%"&gt;Genome-Resolved Metagenomics Extends the Environmental Distribution of the Verrucomicrobia Phylum to the Deep Terrestrial Subsurface&lt;/style&gt;&lt;/title&gt;&lt;secondary-title&gt;&lt;style face="normal" font="default" size="100%"&gt;mSphere&lt;/style&gt;&lt;/secondary-title&gt;&lt;/titles&gt;&lt;periodical&gt;&lt;full-title&gt;&lt;style face="normal" font="default" size="100%"&gt;mSphere&lt;/style&gt;&lt;/full-title&gt;&lt;/periodical&gt;&lt;volume&gt;&lt;style face="normal" font="default" size="100%"&gt;4&lt;/style&gt;&lt;/volume&gt;&lt;number&gt;&lt;style face="normal" font="default" size="100%"&gt;6&lt;/style&gt;&lt;/number&gt;&lt;edition&gt;&lt;style face="normal" font="default" size="100%"&gt;2019/12/20&lt;/style&gt;&lt;/edition&gt;&lt;keywords&gt;&lt;keyword&gt;&lt;style face="normal" font="default" size="100%"&gt;glycoside hydrolases&lt;/style&gt;&lt;/keyword&gt;&lt;keyword&gt;&lt;style face="normal" font="default" size="100%"&gt;hydraulic fracturing&lt;/style&gt;&lt;/keyword&gt;&lt;keyword&gt;&lt;style face="normal" font="default" size="100%"&gt;hypersaline&lt;/style&gt;&lt;/keyword&gt;&lt;keyword&gt;&lt;style face="normal" font="default" size="100%"&gt;shale&lt;/style&gt;&lt;/keyword&gt;&lt;keyword&gt;&lt;style face="normal" font="default" size="100%"&gt;viruses&lt;/style&gt;&lt;/keyword&gt;&lt;/keywords&gt;&lt;dates&gt;&lt;year&gt;&lt;style face="normal" font="default" size="100%"&gt;2019&lt;/style&gt;&lt;/year&gt;&lt;pub-dates&gt;&lt;date&gt;&lt;style face="normal" font="default" size="100%"&gt;Dec 18&lt;/style&gt;&lt;/date&gt;&lt;/pub-dates&gt;&lt;/dates&gt;&lt;isbn&gt;&lt;style face="normal" font="default" size="100%"&gt;2379-5042 (Electronic) 2379-5042 (Linking)&lt;/style&gt;&lt;/isbn&gt;&lt;accession-num&gt;&lt;style face="normal" font="default" size="100%"&gt;31852806&lt;/style&gt;&lt;/accession-num&gt;&lt;abstract&gt;&lt;style face="normal" font="default" size="100%"&gt;Bacteria of the phylum Verrucomicrobia are prevalent and are particularly common in soil and freshwater environments. Their cosmopolitan distribution and reported capacity for polysaccharide degradation suggests members of Verrucomicrobia are important contributors to carbon cycling across Earth's ecosystems. Despite their prevalence, the Verrucomicrobia are underrepresented in isolate collections and genome databases; consequently, their ecophysiological roles may not be fully realized. Here, we expand genomic sampling of the Verrucomicrobia phylum by describing a novel genus, "Candidatus Marcellius," belonging to the order Opitutales "Ca. Marcellius" was recovered from a shale-derived produced fluid metagenome collected 313 days after hydraulic fracturing, the deepest environment from which a member of the Verrucomicrobia has been recovered to date. We uncover genomic attributes that may explain the capacity of this organism to inhabit a shale gas well, including the potential for utilization of organic polymers common in hydraulic fracturing fluids, nitrogen fixation, adaptation to high salinities, and adaptive immunity via CRISPR-Cas. To illuminate the phylogenetic and environmental distribution of these metabolic and adaptive traits across the Verrucomicrobia phylum, we performed a comparative genomic analysis of 31 publicly available, nearly complete Verrucomicrobia genomes. Our genomic findings extend the environmental distribution of the Verrucomicrobia 2.3 kilometers into the terrestrial subsurface. Moreover, we reveal traits widely encoded across members of the Verrucomicrobia, including the capacity to degrade hemicellulose and to adapt to physical and biological environmental perturbations, thereby contributing to the expansive habitat range reported for this phylum.IMPORTANCE The Verrucomicrobia phylum of bacteria is widespread in many different ecosystems; however, its role in microbial communities remains poorly understood. Verrucomicrobia are often low-abundance community members, yet previous research suggests they play a major role in organic carbon degradation. While Verrucomicrobia remain poorly represented in culture collections, numerous genomes have been reconstructed from metagenomic data sets in recent years. The study of genomes from across the phylum allows for an extensive assessment of their potential ecosystem roles. The significance of this work is (i) the recovery of a novel genus of Verrucomicrobia from 2.3 km in the subsurface with the ability to withstand the extreme conditions that characterize this environment, and (ii) the most extensive assessment of ecophysiological traits encoded by Verrucomicrobia genomes to date. We show that members of this phylum are specialist organic polymer degraders that can withstand a wider range of environmental conditions than previously thought.&lt;/style&gt;&lt;/abstract&gt;&lt;notes&gt;&lt;style face="normal" font="default" size="100%"&gt;Nixon, Sophie L Daly, Rebecca A Borton, Mikayla A Solden, Lindsey M Welch, Susan A Cole, David R Mouser, Paula J Wilkins, Michael J Wrighton, Kelly C eng mSphere. 2019 Dec 18;4(6). pii: 4/6/e00613-19. doi: 10.1128/mSphere.00613-19.&lt;/style&gt;&lt;/notes&gt;&lt;urls&gt;&lt;related-urls&gt;&lt;url&gt;&lt;style face="normal" font="default" size="100%"&gt;https://www.ncbi.nlm.nih.gov/pubmed/31852806&lt;/style&gt;&lt;/url&gt;&lt;/related-urls&gt;&lt;/urls&gt;&lt;electronic-resource-num&gt;&lt;style face="normal" font="default" size="100%"&gt;10.1128/mSphere.00613-19&lt;/style&gt;&lt;/electronic-resource-num&gt;&lt;/record&gt;&lt;/Cite&gt;&lt;/EndNote&gt;</w:instrText>
      </w:r>
      <w:r>
        <w:rPr>
          <w:rFonts w:ascii="Arial" w:eastAsia="Arial" w:hAnsi="Arial" w:cs="Arial"/>
          <w:sz w:val="22"/>
          <w:szCs w:val="22"/>
        </w:rPr>
        <w:fldChar w:fldCharType="separate"/>
      </w:r>
      <w:r>
        <w:rPr>
          <w:rFonts w:ascii="Arial" w:hAnsi="Arial"/>
          <w:sz w:val="22"/>
          <w:szCs w:val="22"/>
        </w:rPr>
        <w:t>3</w:t>
      </w:r>
      <w:r>
        <w:rPr>
          <w:rFonts w:ascii="Arial" w:eastAsia="Arial" w:hAnsi="Arial" w:cs="Arial"/>
          <w:sz w:val="22"/>
          <w:szCs w:val="22"/>
        </w:rPr>
        <w:fldChar w:fldCharType="end"/>
      </w:r>
      <w:r>
        <w:rPr>
          <w:rFonts w:ascii="Arial" w:hAnsi="Arial"/>
          <w:sz w:val="22"/>
          <w:szCs w:val="22"/>
        </w:rPr>
        <w:t xml:space="preserve"> shares 50.1% AAI with Ver1. The phylogenetic analysis also revealed that the populations recovered in the MAGs Akk1, Akk2, Akk7, Mb5, Pun4, Pun7, Pun1, and Len1 were already present in the GTDB </w:t>
      </w:r>
      <w:r>
        <w:rPr>
          <w:rFonts w:ascii="Arial" w:eastAsia="Arial" w:hAnsi="Arial" w:cs="Arial"/>
          <w:sz w:val="22"/>
          <w:szCs w:val="22"/>
        </w:rPr>
        <w:fldChar w:fldCharType="begin"/>
      </w:r>
      <w:r>
        <w:rPr>
          <w:rFonts w:ascii="Arial" w:eastAsia="Arial" w:hAnsi="Arial" w:cs="Arial"/>
          <w:sz w:val="22"/>
          <w:szCs w:val="22"/>
        </w:rPr>
        <w:instrText xml:space="preserve"> ADDIN EN.CITE &lt;EndNote&gt;&lt;Cite  &gt;&lt;Author&gt;Chaumeil, P. A.; Mussig, A. J.; Hugenholtz, P.; Parks, D. H.&lt;/Author&gt;&lt;Year&gt;2019&lt;/Year&gt;&lt;RecNum&gt;200&lt;/RecNum&gt;&lt;Prefix&gt;&lt;/Prefix&gt;&lt;Suffix&gt;&lt;/Suffix&gt;&lt;Pages&gt;&lt;/Pages&gt;&lt;DisplayText&gt;4&lt;/DisplayText&gt;&lt;record&gt;&lt;database name="MPI-EndNoteLib_v2.enl" path="/Users/lorellan/ownCloud/EndNote_backup/MPI-EndNoteLib_v2.enl"&gt;MPI-EndNoteLib_v2.enl&lt;/database&gt;&lt;source-app name="EndNote" version="19.3"&gt;EndNote&lt;/source-app&gt;&lt;rec-number&gt;200&lt;/rec-number&gt;&lt;foreign-keys&gt;&lt;key app="EN" db-id="w9vwtrpro2w9ste9dwbva5zsreftsp5p29s5"&gt;200&lt;/key&gt;&lt;/foreign-keys&gt;&lt;ref-type name="Journal Article"&gt;17&lt;/ref-type&gt;&lt;contributors&gt;&lt;authors&gt;&lt;author&gt;&lt;style face="normal" font="default" size="100%"&gt;Chaumeil, P. A.&lt;/style&gt;&lt;/author&gt;&lt;author&gt;&lt;style face="normal" font="default" size="100%"&gt;Mussig, A. J.&lt;/style&gt;&lt;/author&gt;&lt;author&gt;&lt;style face="normal" font="default" size="100%"&gt;Hugenholtz, P.&lt;/style&gt;&lt;/author&gt;&lt;author&gt;&lt;style face="normal" font="default" size="100%"&gt;Parks, D. H.&lt;/style&gt;&lt;/author&gt;&lt;/authors&gt;&lt;/contributors&gt;&lt;auth-address&gt;&lt;style face="normal" font="default" size="100%"&gt;Australian Centre for Ecogenomics, School of Chemistry and Molecular Biosciences, The University of Queensland, St Lucia, QLD, Australia.&lt;/style&gt;&lt;/auth-address&gt;&lt;titles&gt;&lt;title&gt;&lt;style face="normal" font="default" size="100%"&gt;GTDB-Tk: a toolkit to classify genomes with the Genome Taxonomy Database&lt;/style&gt;&lt;/title&gt;&lt;secondary-title&gt;&lt;style face="normal" font="default" size="100%"&gt;Bioinformatics&lt;/style&gt;&lt;/secondary-title&gt;&lt;/titles&gt;&lt;periodical&gt;&lt;full-title&gt;&lt;style face="normal" font="default" size="100%"&gt;Bioinformatics&lt;/style&gt;&lt;/full-title&gt;&lt;/periodical&gt;&lt;edition&gt;&lt;style face="normal" font="default" size="100%"&gt;2019/11/16&lt;/style&gt;&lt;/edition&gt;&lt;dates&gt;&lt;year&gt;&lt;style face="normal" font="default" size="100%"&gt;2019&lt;/style&gt;&lt;/year&gt;&lt;pub-dates&gt;&lt;date&gt;&lt;style face="normal" font="default" size="100%"&gt;Nov 15&lt;/style&gt;&lt;/date&gt;&lt;/pub-dates&gt;&lt;/dates&gt;&lt;isbn&gt;&lt;style face="normal" font="default" size="100%"&gt;1367-4811 (Electronic) 1367-4803 (Linking)&lt;/style&gt;&lt;/isbn&gt;&lt;accession-num&gt;&lt;style face="normal" font="default" size="100%"&gt;31730192&lt;/style&gt;&lt;/accession-num&gt;&lt;abstract&gt;&lt;style face="normal" font="default" size="100%"&gt;SUMMARY: The GTDB Toolkit (GTDB-Tk) provides objective taxonomic assignments for bacterial and archaeal genomes based on the Genome Taxonomy Database (GTDB). GTDB-Tk is computationally efficient and able to classify thousands of draft genomes in parallel. Here we demonstrate the accuracy of the GTDB-Tk taxonomic assignments by evaluating its performance on a phylogenetically diverse set of 10,156 bacterial and archaeal metagenome-assembled genomes. AVAILABILITY: GTDB-Tk is implemented in Python and licensed under the GNU General Public License v3.0. Source code and documentation are available at: https://github.com/ecogenomics/gtdbtk. SUPPLEMENTARY INFORMATION: Supplementary data are available at Bioinformatics online.&lt;/style&gt;&lt;/abstract&gt;&lt;notes&gt;&lt;style face="normal" font="default" size="100%"&gt;Chaumeil, Pierre-Alain Mussig, Aaron J Hugenholtz, Philip Parks, Donovan H eng England Bioinformatics. 2019 Nov 15. pii: 5626182. doi: 10.1093/bioinformatics/btz848.&lt;/style&gt;&lt;/notes&gt;&lt;urls&gt;&lt;related-urls&gt;&lt;url&gt;&lt;style face="normal" font="default" size="100%"&gt;https://www.ncbi.nlm.nih.gov/pubmed/31730192&lt;/style&gt;&lt;/url&gt;&lt;url&gt;&lt;style face="normal" font="default" size="100%"&gt;https://watermark.silverchair.com/btz848.pdf?token=AQECAHi208BE49Ooan9kkhW_Ercy7Dm3ZL_9Cf3qfKAc485ysgAAApcwggKTBgkqhkiG9w0BBwagggKEMIICgAIBADCCAnkGCSqGSIb3DQEHATAeBglghkgBZQMEAS4wEQQMoXzIHOq2jJilNZejAgEQgIICSvAJVvQ5yMQG4mitlqbr63CImMIyW2a2u1jejudbxfNCceUkojGNGKfxzDaKKkcRksbQk1HrlC8tkNtVmHfQaCFq7KuqqpJ8yYwVYtg0aibSOraQZYmgsNCjjJVGSmvgOd8wQ_XnCWeUlblZC4lGF17DlbNWntbSnSvSpGWVtC88Wsg8Qc60qZNl9fIxkdOgZ0BmBHcRIRdqObWD2EjwrazbzpdcZwquDLmzLIdcQGBMN01qxCGNAzGFThMFKka9pPGmqDvQAMuUMrC3GaQ9lD8BF9g82clTdtjuCDLQVT69Mn5YhwL1-HLBkvoFRP6cRbrWiWun1cgzR_qklN4IX0SMt5iDiVe9--BccD1dQfZ4DV_zyV06flKoetUNAWnxM75pLF1P0cFBua-wKVnLv_kqfTKgTcR8eKVobE7AtuuyKGxV6ZUxasOxF_ykOCmUyjW8gzHueH9yFv1A7neIf0ZEHTwOlyLZxt9YNgIVpdQn-4Oj3HuTNqmvxnxkTbA0fyI8-8g3qP3jz77DPFGIMKG_2S4Wiio79daUauLZIB7Sm1xyPQBdSQauDj46bO77cLv3jmb_x4Jct8sSmczQmRWri2eNdDdXK87LzgLarmz2HdBzUwrtd5COBDdqbMzfnc7KtlE481K5ZpZTFTMpExdme31_JKLYxnnQwd5NswLdEjUkvQKiEVFq-sIawY_uX1Z_h41jakRr-6E6AjBpSwzW1-RfPJYS0XxUjD9DQoJWgpIx-3a_s1IRpQIjoel-tJnyd52Xn9gxgqM&lt;/style&gt;&lt;/url&gt;&lt;url&gt;&lt;style face="normal" font="default" size="100%"&gt;https://watermark.silverchair.com/btz848.pdf?token=AQECAHi208BE49Ooan9kkhW_Ercy7Dm3ZL_9Cf3qfKAc485ysgAAApYwggKSBgkqhkiG9w0BBwagggKDMIICfwIBADCCAngGCSqGSIb3DQEHATAeBglghkgBZQMEAS4wEQQM-bVUPky2eSIXUkgFAgEQgIICSe85ckD43Q12W3B2lxcUADmMy7sxGlT7U5nlMQMnAmHBVqiiHP3XNNh0qYsxtn-32LyvhX8GBBf1FYSS7BswFFDHt2AWwHrb2VaUnHtAHpJxF6XJT-py1w_iA9YnhnbE4xzqHTO6EmJa9b0po9e2y1j3mSVU0sS3IGW2ygtUPvzK41dc9uZKbuu2SDpuaN91SOLlWZ50_rz1c69g4cRCp7YcGALXz9XpoYygfLRyYhJnNzR0uoXEho4goRZ4qkwFPlBSuHBBVXIlD6nd_YDjLoI8mOLq9hTb5hG3bztNp0hYSv9wjumJURZGT37OW3cxziyDCD4HnDBexT0LMp7XeTH0sY7makR-Zs-BgcvFmairduHnQ8JHDGzMJwkLVko5D58KEd6BGSamTerF1sFGxBRyqEl_48ZBVUjnRbVonmygKm5C-03ulivCrCfRVI7EMfu3FS9C1I1YNqkfDU5zIcX9drzYKKZ9qSUGwtyuHaSsQCD1-ovch1WzYdS6auoGA1G1_Va26C2rMNTNg3AxqCvFjHIqTGck9g7_eGOAScS3viN7o06clCOwio7L4rk3a9bu3ZW9mWaXT2PjPw5HfAZIWwZv_kb3UkfDcwOOA3GUwfwjMvpXbHnsuGUHjiB-7e9m29sJ-Z68QSpRPVzYjmkGDNRWxUNH1MCy2mimTQ16h-p2WB2rqA0ys8Dhze4WzKE-CqVLOqKnefX87D72yMhMFMMCoQX2AnWTi-CMDB_NQE9O5ORL5Nsbl4Q8al5ysLgnFPnChkQ2DQ&lt;/style&gt;&lt;/url&gt;&lt;/related-urls&gt;&lt;pdf-urls&gt;&lt;url&gt;internal-pdf://3862120558/Chaumeil-2019-GTDB-Tk_ a toolkit to classify g.pdf&lt;/url&gt;&lt;url&gt;internal-pdf://3797244136/Chaumeil-2019-GTDB-Tk_ a toolkit to classify 1.pdf&lt;/url&gt;&lt;/pdf-urls&gt;&lt;/urls&gt;&lt;electronic-resource-num&gt;&lt;style face="normal" font="default" size="100%"&gt;10.1093/bioinformatics/btz848&lt;/style&gt;&lt;/electronic-resource-num&gt;&lt;/record&gt;&lt;/Cite&gt;&lt;/EndNote&gt;</w:instrText>
      </w:r>
      <w:r>
        <w:rPr>
          <w:rFonts w:ascii="Arial" w:eastAsia="Arial" w:hAnsi="Arial" w:cs="Arial"/>
          <w:sz w:val="22"/>
          <w:szCs w:val="22"/>
        </w:rPr>
        <w:fldChar w:fldCharType="separate"/>
      </w:r>
      <w:r>
        <w:rPr>
          <w:rFonts w:ascii="Arial" w:hAnsi="Arial"/>
          <w:sz w:val="22"/>
          <w:szCs w:val="22"/>
        </w:rPr>
        <w:t>4</w:t>
      </w:r>
      <w:r>
        <w:rPr>
          <w:rFonts w:ascii="Arial" w:eastAsia="Arial" w:hAnsi="Arial" w:cs="Arial"/>
          <w:sz w:val="22"/>
          <w:szCs w:val="22"/>
        </w:rPr>
        <w:fldChar w:fldCharType="end"/>
      </w:r>
      <w:r>
        <w:rPr>
          <w:rFonts w:ascii="Arial" w:hAnsi="Arial"/>
          <w:sz w:val="22"/>
          <w:szCs w:val="22"/>
        </w:rPr>
        <w:t xml:space="preserve"> using the same metagenomes </w:t>
      </w:r>
      <w:proofErr w:type="spellStart"/>
      <w:r w:rsidR="006C28F4">
        <w:rPr>
          <w:rFonts w:ascii="Arial" w:hAnsi="Arial"/>
          <w:sz w:val="22"/>
          <w:szCs w:val="22"/>
        </w:rPr>
        <w:t>analysed</w:t>
      </w:r>
      <w:proofErr w:type="spellEnd"/>
      <w:r>
        <w:rPr>
          <w:rFonts w:ascii="Arial" w:hAnsi="Arial"/>
          <w:sz w:val="22"/>
          <w:szCs w:val="22"/>
        </w:rPr>
        <w:t xml:space="preserve"> here, and which share &gt;99% ANI. Nonetheless, these MAGs are not identical since they were obtained using different assembly and binning approaches, but they are likely to represent the same populations. </w:t>
      </w:r>
    </w:p>
    <w:p w:rsidR="00D02A6E" w:rsidRDefault="00D02A6E">
      <w:pPr>
        <w:pStyle w:val="Body"/>
        <w:spacing w:before="0" w:line="360" w:lineRule="auto"/>
        <w:jc w:val="both"/>
        <w:rPr>
          <w:rFonts w:ascii="Arial" w:eastAsia="Arial" w:hAnsi="Arial" w:cs="Arial"/>
          <w:sz w:val="22"/>
          <w:szCs w:val="22"/>
        </w:rPr>
      </w:pPr>
    </w:p>
    <w:p w:rsidR="00D02A6E" w:rsidRDefault="00BE06D0">
      <w:pPr>
        <w:pStyle w:val="Body"/>
        <w:spacing w:before="0" w:line="360" w:lineRule="auto"/>
        <w:jc w:val="both"/>
        <w:rPr>
          <w:rFonts w:ascii="Arial" w:eastAsia="Arial" w:hAnsi="Arial" w:cs="Arial"/>
          <w:b/>
          <w:bCs/>
          <w:sz w:val="22"/>
          <w:szCs w:val="22"/>
        </w:rPr>
      </w:pPr>
      <w:r>
        <w:rPr>
          <w:rFonts w:ascii="Arial" w:hAnsi="Arial"/>
          <w:b/>
          <w:bCs/>
          <w:sz w:val="22"/>
          <w:szCs w:val="22"/>
        </w:rPr>
        <w:t xml:space="preserve">PULs in </w:t>
      </w:r>
      <w:r>
        <w:rPr>
          <w:rFonts w:ascii="Arial" w:hAnsi="Arial"/>
          <w:b/>
          <w:bCs/>
          <w:i/>
          <w:iCs/>
          <w:sz w:val="22"/>
          <w:szCs w:val="22"/>
        </w:rPr>
        <w:t>Bacteroidota</w:t>
      </w:r>
      <w:r>
        <w:rPr>
          <w:rFonts w:ascii="Arial" w:hAnsi="Arial"/>
          <w:b/>
          <w:bCs/>
          <w:sz w:val="22"/>
          <w:szCs w:val="22"/>
        </w:rPr>
        <w:t xml:space="preserve"> carrying high number of </w:t>
      </w:r>
      <w:proofErr w:type="spellStart"/>
      <w:r>
        <w:rPr>
          <w:rFonts w:ascii="Arial" w:hAnsi="Arial"/>
          <w:b/>
          <w:bCs/>
          <w:sz w:val="22"/>
          <w:szCs w:val="22"/>
        </w:rPr>
        <w:t>fucosidases</w:t>
      </w:r>
      <w:proofErr w:type="spellEnd"/>
      <w:r>
        <w:rPr>
          <w:rFonts w:ascii="Arial" w:hAnsi="Arial"/>
          <w:b/>
          <w:bCs/>
          <w:sz w:val="22"/>
          <w:szCs w:val="22"/>
        </w:rPr>
        <w:t xml:space="preserve"> and sulfatases</w:t>
      </w:r>
    </w:p>
    <w:p w:rsidR="00D02A6E" w:rsidRDefault="00BE06D0">
      <w:pPr>
        <w:pStyle w:val="Body"/>
        <w:spacing w:before="0" w:line="360" w:lineRule="auto"/>
        <w:jc w:val="both"/>
        <w:rPr>
          <w:rFonts w:ascii="Arial" w:eastAsia="Arial" w:hAnsi="Arial" w:cs="Arial"/>
          <w:sz w:val="22"/>
          <w:szCs w:val="22"/>
        </w:rPr>
      </w:pPr>
      <w:r>
        <w:rPr>
          <w:rFonts w:ascii="Arial" w:eastAsia="Arial" w:hAnsi="Arial" w:cs="Arial"/>
          <w:sz w:val="22"/>
          <w:szCs w:val="22"/>
        </w:rPr>
        <w:tab/>
        <w:t xml:space="preserve">Different genetic contexts surrounding GH29 genes were observed for </w:t>
      </w:r>
      <w:r>
        <w:rPr>
          <w:rFonts w:ascii="Arial" w:hAnsi="Arial"/>
          <w:i/>
          <w:iCs/>
          <w:sz w:val="22"/>
          <w:szCs w:val="22"/>
        </w:rPr>
        <w:t>Bacteroidota</w:t>
      </w:r>
      <w:r>
        <w:rPr>
          <w:rFonts w:ascii="Arial" w:hAnsi="Arial"/>
          <w:sz w:val="22"/>
          <w:szCs w:val="22"/>
        </w:rPr>
        <w:t xml:space="preserve"> MAGs with high content of GHs and sulfatases (</w:t>
      </w:r>
      <w:r w:rsidRPr="00EA7716">
        <w:rPr>
          <w:rFonts w:ascii="Arial" w:hAnsi="Arial"/>
          <w:color w:val="000000" w:themeColor="text1"/>
          <w:sz w:val="22"/>
          <w:szCs w:val="22"/>
        </w:rPr>
        <w:t>Fig. S3d</w:t>
      </w:r>
      <w:r>
        <w:rPr>
          <w:rFonts w:ascii="Arial" w:hAnsi="Arial"/>
          <w:sz w:val="22"/>
          <w:szCs w:val="22"/>
        </w:rPr>
        <w:t xml:space="preserve">). Overall, most differences to </w:t>
      </w:r>
      <w:r>
        <w:rPr>
          <w:rFonts w:ascii="Arial" w:hAnsi="Arial"/>
          <w:i/>
          <w:iCs/>
          <w:sz w:val="22"/>
          <w:szCs w:val="22"/>
        </w:rPr>
        <w:t>Verrucomicrobiota</w:t>
      </w:r>
      <w:r>
        <w:rPr>
          <w:rFonts w:ascii="Arial" w:hAnsi="Arial"/>
          <w:sz w:val="22"/>
          <w:szCs w:val="22"/>
        </w:rPr>
        <w:t xml:space="preserve"> were in sulfatase su</w:t>
      </w:r>
      <w:bookmarkStart w:id="0" w:name="_GoBack"/>
      <w:bookmarkEnd w:id="0"/>
      <w:r>
        <w:rPr>
          <w:rFonts w:ascii="Arial" w:hAnsi="Arial"/>
          <w:sz w:val="22"/>
          <w:szCs w:val="22"/>
        </w:rPr>
        <w:t xml:space="preserve">bfamilies and GH content. Also, the presence of a SusCD system surrounding 8/23 genetic contexts carrying a GH29 gene was a clear difference to </w:t>
      </w:r>
      <w:r>
        <w:rPr>
          <w:rFonts w:ascii="Arial" w:hAnsi="Arial"/>
          <w:i/>
          <w:iCs/>
          <w:sz w:val="22"/>
          <w:szCs w:val="22"/>
        </w:rPr>
        <w:t>Verrucomicrobiota</w:t>
      </w:r>
      <w:r>
        <w:rPr>
          <w:rFonts w:ascii="Arial" w:hAnsi="Arial"/>
          <w:sz w:val="22"/>
          <w:szCs w:val="22"/>
        </w:rPr>
        <w:t xml:space="preserve"> MAGs. The presence of GHs likely involved in the degradation of xylans were also detected within GH29 contexts, similar to PUL-1 in </w:t>
      </w:r>
      <w:r>
        <w:rPr>
          <w:rFonts w:ascii="Arial" w:hAnsi="Arial"/>
          <w:i/>
          <w:iCs/>
          <w:sz w:val="22"/>
          <w:szCs w:val="22"/>
        </w:rPr>
        <w:t>Verrucomicrobiota</w:t>
      </w:r>
      <w:r>
        <w:rPr>
          <w:rFonts w:ascii="Arial" w:hAnsi="Arial"/>
          <w:sz w:val="22"/>
          <w:szCs w:val="22"/>
        </w:rPr>
        <w:t xml:space="preserve"> MAGs. However, a different combination of sulfatases was observed between the two bacterial phyla. </w:t>
      </w:r>
      <w:r>
        <w:rPr>
          <w:rFonts w:ascii="Arial" w:hAnsi="Arial"/>
          <w:i/>
          <w:iCs/>
          <w:sz w:val="22"/>
          <w:szCs w:val="22"/>
        </w:rPr>
        <w:t>Bacteroidota</w:t>
      </w:r>
      <w:r>
        <w:rPr>
          <w:rFonts w:ascii="Arial" w:hAnsi="Arial"/>
          <w:sz w:val="22"/>
          <w:szCs w:val="22"/>
        </w:rPr>
        <w:t xml:space="preserve"> MAGs r378, r17, r82, </w:t>
      </w:r>
      <w:r>
        <w:rPr>
          <w:rFonts w:ascii="Arial" w:hAnsi="Arial"/>
          <w:sz w:val="22"/>
          <w:szCs w:val="22"/>
        </w:rPr>
        <w:lastRenderedPageBreak/>
        <w:t>r123, and r304 carrying high content of GHs and sulfatases also had the potential for the degradation of abundant polysaccharides such as laminarin (e.g., PULs carrying GH16 and GH3).</w:t>
      </w:r>
    </w:p>
    <w:p w:rsidR="00D02A6E" w:rsidRDefault="00D02A6E">
      <w:pPr>
        <w:pStyle w:val="Body"/>
        <w:spacing w:before="0" w:line="360" w:lineRule="auto"/>
        <w:jc w:val="both"/>
        <w:rPr>
          <w:rFonts w:ascii="Arial" w:eastAsia="Arial" w:hAnsi="Arial" w:cs="Arial"/>
          <w:sz w:val="22"/>
          <w:szCs w:val="22"/>
        </w:rPr>
      </w:pPr>
    </w:p>
    <w:p w:rsidR="00D02A6E" w:rsidRDefault="00BE06D0">
      <w:pPr>
        <w:pStyle w:val="Body"/>
        <w:spacing w:before="0" w:line="360" w:lineRule="auto"/>
        <w:jc w:val="both"/>
        <w:rPr>
          <w:rFonts w:ascii="Arial" w:eastAsia="Arial" w:hAnsi="Arial" w:cs="Arial"/>
          <w:b/>
          <w:bCs/>
          <w:sz w:val="22"/>
          <w:szCs w:val="22"/>
        </w:rPr>
      </w:pPr>
      <w:r>
        <w:rPr>
          <w:rFonts w:ascii="Arial" w:hAnsi="Arial"/>
          <w:b/>
          <w:bCs/>
          <w:sz w:val="22"/>
          <w:szCs w:val="22"/>
        </w:rPr>
        <w:t xml:space="preserve">Fucose </w:t>
      </w:r>
      <w:proofErr w:type="spellStart"/>
      <w:r w:rsidR="006C28F4">
        <w:rPr>
          <w:rFonts w:ascii="Arial" w:hAnsi="Arial"/>
          <w:b/>
          <w:bCs/>
          <w:sz w:val="22"/>
          <w:szCs w:val="22"/>
        </w:rPr>
        <w:t>utilisation</w:t>
      </w:r>
      <w:proofErr w:type="spellEnd"/>
      <w:r>
        <w:rPr>
          <w:rFonts w:ascii="Arial" w:hAnsi="Arial"/>
          <w:b/>
          <w:bCs/>
          <w:sz w:val="22"/>
          <w:szCs w:val="22"/>
        </w:rPr>
        <w:t xml:space="preserve"> and BMCs</w:t>
      </w:r>
    </w:p>
    <w:p w:rsidR="00D02A6E" w:rsidRDefault="00BE06D0">
      <w:pPr>
        <w:pStyle w:val="Default"/>
        <w:spacing w:before="0" w:line="360" w:lineRule="auto"/>
        <w:rPr>
          <w:rFonts w:ascii="Arial" w:eastAsia="Arial" w:hAnsi="Arial" w:cs="Arial"/>
          <w:sz w:val="22"/>
          <w:szCs w:val="22"/>
          <w:u w:color="000000"/>
          <w14:textOutline w14:w="12700" w14:cap="flat" w14:cmpd="sng" w14:algn="ctr">
            <w14:noFill/>
            <w14:prstDash w14:val="solid"/>
            <w14:miter w14:lim="400000"/>
          </w14:textOutline>
        </w:rPr>
      </w:pPr>
      <w:r>
        <w:rPr>
          <w:rFonts w:ascii="Arial" w:eastAsia="Arial" w:hAnsi="Arial" w:cs="Arial"/>
          <w:sz w:val="22"/>
          <w:szCs w:val="22"/>
          <w:u w:color="000000"/>
          <w14:textOutline w14:w="12700" w14:cap="flat" w14:cmpd="sng" w14:algn="ctr">
            <w14:noFill/>
            <w14:prstDash w14:val="solid"/>
            <w14:miter w14:lim="400000"/>
          </w14:textOutline>
        </w:rPr>
        <w:tab/>
        <w:t xml:space="preserve">The results presented here indicate that fucose and rhamnose degradation is likely carried out in </w:t>
      </w:r>
      <w:r>
        <w:rPr>
          <w:rFonts w:ascii="Arial" w:hAnsi="Arial"/>
          <w:i/>
          <w:iCs/>
          <w:sz w:val="22"/>
          <w:szCs w:val="22"/>
          <w:u w:color="000000"/>
          <w:lang w:val="it-IT"/>
          <w14:textOutline w14:w="12700" w14:cap="flat" w14:cmpd="sng" w14:algn="ctr">
            <w14:noFill/>
            <w14:prstDash w14:val="solid"/>
            <w14:miter w14:lim="400000"/>
          </w14:textOutline>
        </w:rPr>
        <w:t>Puniceicoccaceae</w:t>
      </w:r>
      <w:r>
        <w:rPr>
          <w:rFonts w:ascii="Arial" w:hAnsi="Arial"/>
          <w:i/>
          <w:iCs/>
          <w:sz w:val="22"/>
          <w:szCs w:val="22"/>
          <w:u w:color="000000"/>
          <w14:textOutline w14:w="12700" w14:cap="flat" w14:cmpd="sng" w14:algn="ctr">
            <w14:noFill/>
            <w14:prstDash w14:val="solid"/>
            <w14:miter w14:lim="400000"/>
          </w14:textOutline>
        </w:rPr>
        <w:t>,</w:t>
      </w:r>
      <w:r>
        <w:rPr>
          <w:rFonts w:ascii="Arial" w:hAnsi="Arial"/>
          <w:sz w:val="22"/>
          <w:szCs w:val="22"/>
          <w:u w:color="000000"/>
          <w14:textOutline w14:w="12700" w14:cap="flat" w14:cmpd="sng" w14:algn="ctr">
            <w14:noFill/>
            <w14:prstDash w14:val="solid"/>
            <w14:miter w14:lim="400000"/>
          </w14:textOutline>
        </w:rPr>
        <w:t xml:space="preserve"> </w:t>
      </w:r>
      <w:r>
        <w:rPr>
          <w:rFonts w:ascii="Arial" w:hAnsi="Arial"/>
          <w:i/>
          <w:iCs/>
          <w:sz w:val="22"/>
          <w:szCs w:val="22"/>
          <w:u w:color="000000"/>
          <w14:textOutline w14:w="12700" w14:cap="flat" w14:cmpd="sng" w14:algn="ctr">
            <w14:noFill/>
            <w14:prstDash w14:val="solid"/>
            <w14:miter w14:lim="400000"/>
          </w14:textOutline>
        </w:rPr>
        <w:t xml:space="preserve">Akkermansiaceae, </w:t>
      </w:r>
      <w:r>
        <w:rPr>
          <w:rFonts w:ascii="Arial" w:hAnsi="Arial"/>
          <w:sz w:val="22"/>
          <w:szCs w:val="22"/>
          <w:u w:color="000000"/>
          <w14:textOutline w14:w="12700" w14:cap="flat" w14:cmpd="sng" w14:algn="ctr">
            <w14:noFill/>
            <w14:prstDash w14:val="solid"/>
            <w14:miter w14:lim="400000"/>
          </w14:textOutline>
        </w:rPr>
        <w:t>and</w:t>
      </w:r>
      <w:r>
        <w:rPr>
          <w:rFonts w:ascii="Arial" w:hAnsi="Arial"/>
          <w:sz w:val="22"/>
          <w:szCs w:val="22"/>
          <w:u w:color="000000"/>
          <w:lang w:val="pt-PT"/>
          <w14:textOutline w14:w="12700" w14:cap="flat" w14:cmpd="sng" w14:algn="ctr">
            <w14:noFill/>
            <w14:prstDash w14:val="solid"/>
            <w14:miter w14:lim="400000"/>
          </w14:textOutline>
        </w:rPr>
        <w:t xml:space="preserve"> Verruco-01 </w:t>
      </w:r>
      <w:r>
        <w:rPr>
          <w:rFonts w:ascii="Arial" w:hAnsi="Arial"/>
          <w:sz w:val="22"/>
          <w:szCs w:val="22"/>
          <w:u w:color="000000"/>
          <w14:textOutline w14:w="12700" w14:cap="flat" w14:cmpd="sng" w14:algn="ctr">
            <w14:noFill/>
            <w14:prstDash w14:val="solid"/>
            <w14:miter w14:lim="400000"/>
          </w14:textOutline>
        </w:rPr>
        <w:t xml:space="preserve">MAGs using </w:t>
      </w:r>
      <w:r w:rsidR="006C28F4">
        <w:rPr>
          <w:rFonts w:ascii="Arial" w:hAnsi="Arial"/>
          <w:sz w:val="22"/>
          <w:szCs w:val="22"/>
          <w:u w:color="000000"/>
          <w14:textOutline w14:w="12700" w14:cap="flat" w14:cmpd="sng" w14:algn="ctr">
            <w14:noFill/>
            <w14:prstDash w14:val="solid"/>
            <w14:miter w14:lim="400000"/>
          </w14:textOutline>
        </w:rPr>
        <w:t>the</w:t>
      </w:r>
      <w:r>
        <w:rPr>
          <w:rFonts w:ascii="Arial" w:hAnsi="Arial"/>
          <w:sz w:val="22"/>
          <w:szCs w:val="22"/>
          <w:u w:color="000000"/>
          <w14:textOutline w14:w="12700" w14:cap="flat" w14:cmpd="sng" w14:algn="ctr">
            <w14:noFill/>
            <w14:prstDash w14:val="solid"/>
            <w14:miter w14:lim="400000"/>
          </w14:textOutline>
        </w:rPr>
        <w:t xml:space="preserve"> phosphorylated pathway (</w:t>
      </w:r>
      <w:r>
        <w:rPr>
          <w:rFonts w:ascii="Arial" w:eastAsia="Arial" w:hAnsi="Arial" w:cs="Arial"/>
          <w:sz w:val="22"/>
          <w:szCs w:val="22"/>
          <w:u w:color="000000"/>
          <w14:textOutline w14:w="12700" w14:cap="flat" w14:cmpd="sng" w14:algn="ctr">
            <w14:noFill/>
            <w14:prstDash w14:val="solid"/>
            <w14:miter w14:lim="400000"/>
          </w14:textOutline>
        </w:rPr>
        <w:fldChar w:fldCharType="begin"/>
      </w:r>
      <w:r>
        <w:rPr>
          <w:rFonts w:ascii="Arial" w:eastAsia="Arial" w:hAnsi="Arial" w:cs="Arial"/>
          <w:sz w:val="22"/>
          <w:szCs w:val="22"/>
          <w:u w:color="000000"/>
          <w14:textOutline w14:w="12700" w14:cap="flat" w14:cmpd="sng" w14:algn="ctr">
            <w14:noFill/>
            <w14:prstDash w14:val="solid"/>
            <w14:miter w14:lim="400000"/>
          </w14:textOutline>
        </w:rPr>
        <w:instrText xml:space="preserve"> ADDIN EN.CITE &lt;EndNote&gt;&lt;Cite  &gt;&lt;Author&gt;Erbilgin, O.; McDonald, K. L.; Kerfeld, C. A.&lt;/Author&gt;&lt;Year&gt;2014&lt;/Year&gt;&lt;RecNum&gt;158&lt;/RecNum&gt;&lt;Prefix&gt;&lt;/Prefix&gt;&lt;Suffix&gt;&lt;/Suffix&gt;&lt;Pages&gt;&lt;/Pages&gt;&lt;DisplayText&gt;5&lt;/DisplayText&gt;&lt;record&gt;&lt;database name="MPI-EndNoteLib_v2.enl" path="/Users/lorellan/ownCloud/EndNote_backup/MPI-EndNoteLib_v2.enl"&gt;MPI-EndNoteLib_v2.enl&lt;/database&gt;&lt;source-app name="EndNote" version="19.3"&gt;EndNote&lt;/source-app&gt;&lt;rec-number&gt;158&lt;/rec-number&gt;&lt;foreign-keys&gt;&lt;key app="EN" db-id="w9vwtrpro2w9ste9dwbva5zsreftsp5p29s5"&gt;158&lt;/key&gt;&lt;/foreign-keys&gt;&lt;ref-type name="Journal Article"&gt;17&lt;/ref-type&gt;&lt;contributors&gt;&lt;authors&gt;&lt;author&gt;&lt;style face="normal" font="default" size="100%"&gt;Erbilgin, O.&lt;/style&gt;&lt;/author&gt;&lt;author&gt;&lt;style face="normal" font="default" size="100%"&gt;McDonald, K. L.&lt;/style&gt;&lt;/author&gt;&lt;author&gt;&lt;style face="normal" font="default" size="100%"&gt;Kerfeld, C. A.&lt;/style&gt;&lt;/author&gt;&lt;/authors&gt;&lt;/contributors&gt;&lt;auth-address&gt;&lt;style face="normal" font="default" size="100%"&gt;Department of Plant and Microbial Biology, UC Berkeley, Berkeley, California, USA.&lt;/style&gt;&lt;/auth-address&gt;&lt;titles&gt;&lt;title&gt;&lt;style face="normal" font="default" size="100%"&gt;Characterization of a planctomycetal organelle: a novel bacterial microcompartment for the aerobic degradation of plant saccharides&lt;/style&gt;&lt;/title&gt;&lt;secondary-title&gt;&lt;style face="normal" font="default" size="100%"&gt;Appl Environ Microbiol&lt;/style&gt;&lt;/secondary-title&gt;&lt;/titles&gt;&lt;periodical&gt;&lt;full-title&gt;&lt;style face="normal" font="default" size="100%"&gt;Appl Environ Microbiol&lt;/style&gt;&lt;/full-title&gt;&lt;/periodical&gt;&lt;pages&gt;&lt;style face="normal" font="default" size="100%"&gt;2193-205&lt;/style&gt;&lt;/pages&gt;&lt;volume&gt;&lt;style face="normal" font="default" size="100%"&gt;80&lt;/style&gt;&lt;/volume&gt;&lt;number&gt;&lt;style face="normal" font="default" size="100%"&gt;7&lt;/style&gt;&lt;/number&gt;&lt;edition&gt;&lt;style face="normal" font="default" size="100%"&gt;2014/02/04&lt;/style&gt;&lt;/edition&gt;&lt;keywords&gt;&lt;keyword&gt;&lt;style face="normal" font="default" size="100%"&gt;*Carbohydrate Metabolism&lt;/style&gt;&lt;/keyword&gt;&lt;keyword&gt;&lt;style face="normal" font="default" size="100%"&gt;Fucose/metabolism&lt;/style&gt;&lt;/keyword&gt;&lt;keyword&gt;&lt;style face="normal" font="default" size="100%"&gt;Gene Knockout Techniques&lt;/style&gt;&lt;/keyword&gt;&lt;keyword&gt;&lt;style face="normal" font="default" size="100%"&gt;Gene Order&lt;/style&gt;&lt;/keyword&gt;&lt;keyword&gt;&lt;style face="normal" font="default" size="100%"&gt;Genes, Bacterial&lt;/style&gt;&lt;/keyword&gt;&lt;keyword&gt;&lt;style face="normal" font="default" size="100%"&gt;Microscopy, Electron, Transmission&lt;/style&gt;&lt;/keyword&gt;&lt;keyword&gt;&lt;style face="normal" font="default" size="100%"&gt;Multigene Family&lt;/style&gt;&lt;/keyword&gt;&lt;keyword&gt;&lt;style face="normal" font="default" size="100%"&gt;Organelles/genetics/*metabolism&lt;/style&gt;&lt;/keyword&gt;&lt;keyword&gt;&lt;style face="normal" font="default" size="100%"&gt;Phylogeny&lt;/style&gt;&lt;/keyword&gt;&lt;keyword&gt;&lt;style face="normal" font="default" size="100%"&gt;Planctomycetales/genetics/growth &amp;amp; development/*metabolism/ultrastructure&lt;/style&gt;&lt;/keyword&gt;&lt;keyword&gt;&lt;style face="normal" font="default" size="100%"&gt;Plants/*chemistry/*microbiology&lt;/style&gt;&lt;/keyword&gt;&lt;keyword&gt;&lt;style face="normal" font="default" size="100%"&gt;Rhamnose/metabolism&lt;/style&gt;&lt;/keyword&gt;&lt;/keywords&gt;&lt;dates&gt;&lt;year&gt;&lt;style face="normal" font="default" size="100%"&gt;2014&lt;/style&gt;&lt;/year&gt;&lt;pub-dates&gt;&lt;date&gt;&lt;style face="normal" font="default" size="100%"&gt;Apr&lt;/style&gt;&lt;/date&gt;&lt;/pub-dates&gt;&lt;/dates&gt;&lt;isbn&gt;&lt;style face="normal" font="default" size="100%"&gt;1098-5336 (Electronic) 0099-2240 (Linking)&lt;/style&gt;&lt;/isbn&gt;&lt;accession-num&gt;&lt;style face="normal" font="default" size="100%"&gt;24487526&lt;/style&gt;&lt;/accession-num&gt;&lt;abstract&gt;&lt;style face="normal" font="default" size="100%"&gt;Bacterial microcompartments (BMCs) are organelles that encapsulate functionally linked enzymes within a proteinaceous shell. The prototypical example is the carboxysome, which functions in carbon fixation in cyanobacteria and some chemoautotrophs. It is increasingly apparent that diverse heterotrophic bacteria contain BMCs that are involved in catabolic reactions, and many of the BMCs are predicted to have novel functions. However, most of these putative organelles have not been experimentally characterized. In this study, we sought to discover the function of a conserved BMC gene cluster encoded in the majority of the sequenced planctomycete genomes. This BMC is especially notable for its relatively simple genetic composition, its remote phylogenetic position relative to characterized BMCs, and its apparent exclusivity to the enigmatic Verrucomicrobia and Planctomycetes. Members of the phylum Planctomycetes are known for their morphological dissimilarity to the rest of the bacterial domain: internal membranes, reproduction by budding, and lack of peptidoglycan. As a result, they are ripe for many discoveries, but currently the tools for genetic studies are very limited. We expanded the genetic toolbox for the planctomycetes and generated directed gene knockouts of BMC-related genes in Planctomyces limnophilus. A metabolic activity screen revealed that BMC gene products are involved in the degradation of a number of plant and algal cell wall sugars. Among these sugars, we confirmed that BMCs are formed and required for growth on l-fucose and l-rhamnose. Our results shed light on the functional diversity of BMCs as well as their ecological role in the planctomycetes, which are commonly associated with algae.&lt;/style&gt;&lt;/abstract&gt;&lt;notes&gt;&lt;style face="normal" font="default" size="100%"&gt;Erbilgin, Onur McDonald, Kent L Kerfeld, Cheryl A eng Research Support, U.S. Gov't, Non-P.H.S. Appl Environ Microbiol. 2014 Apr;80(7):2193-205. doi: 10.1128/AEM.03887-13. Epub 2014 Jan 31.&lt;/style&gt;&lt;/notes&gt;&lt;urls&gt;&lt;related-urls&gt;&lt;url&gt;&lt;style face="normal" font="default" size="100%"&gt;https://www.ncbi.nlm.nih.gov/pubmed/24487526&lt;/style&gt;&lt;/url&gt;&lt;url&gt;&lt;style face="normal" font="default" size="100%"&gt;https://www.ncbi.nlm.nih.gov/pmc/articles/PMC3993161/pdf/zam2193.pdf&lt;/style&gt;&lt;/url&gt;&lt;/related-urls&gt;&lt;pdf-urls&gt;&lt;url&gt;internal-pdf://0719885365/Erbilgin-2014-Characterization of a planctomyc.pdf&lt;/url&gt;&lt;/pdf-urls&gt;&lt;/urls&gt;&lt;custom2&gt;&lt;style face="normal" font="default" size="100%"&gt;PMC3993161&lt;/style&gt;&lt;/custom2&gt;&lt;electronic-resource-num&gt;&lt;style face="normal" font="default" size="100%"&gt;10.1128/AEM.03887-13&lt;/style&gt;&lt;/electronic-resource-num&gt;&lt;/record&gt;&lt;/Cite&gt;&lt;/EndNote&gt;</w:instrText>
      </w:r>
      <w:r>
        <w:rPr>
          <w:rFonts w:ascii="Arial" w:eastAsia="Arial" w:hAnsi="Arial" w:cs="Arial"/>
          <w:sz w:val="22"/>
          <w:szCs w:val="22"/>
          <w:u w:color="000000"/>
          <w14:textOutline w14:w="12700" w14:cap="flat" w14:cmpd="sng" w14:algn="ctr">
            <w14:noFill/>
            <w14:prstDash w14:val="solid"/>
            <w14:miter w14:lim="400000"/>
          </w14:textOutline>
        </w:rPr>
        <w:fldChar w:fldCharType="separate"/>
      </w:r>
      <w:r>
        <w:rPr>
          <w:rFonts w:ascii="Arial" w:hAnsi="Arial"/>
          <w:sz w:val="22"/>
          <w:szCs w:val="22"/>
          <w:u w:color="000000"/>
          <w14:textOutline w14:w="12700" w14:cap="flat" w14:cmpd="sng" w14:algn="ctr">
            <w14:noFill/>
            <w14:prstDash w14:val="solid"/>
            <w14:miter w14:lim="400000"/>
          </w14:textOutline>
        </w:rPr>
        <w:t>5</w:t>
      </w:r>
      <w:r>
        <w:rPr>
          <w:rFonts w:ascii="Arial" w:eastAsia="Arial" w:hAnsi="Arial" w:cs="Arial"/>
          <w:sz w:val="22"/>
          <w:szCs w:val="22"/>
          <w:u w:color="000000"/>
          <w14:textOutline w14:w="12700" w14:cap="flat" w14:cmpd="sng" w14:algn="ctr">
            <w14:noFill/>
            <w14:prstDash w14:val="solid"/>
            <w14:miter w14:lim="400000"/>
          </w14:textOutline>
        </w:rPr>
        <w:fldChar w:fldCharType="end"/>
      </w:r>
      <w:r>
        <w:rPr>
          <w:rFonts w:ascii="Arial" w:hAnsi="Arial"/>
          <w:sz w:val="22"/>
          <w:szCs w:val="22"/>
          <w:u w:color="000000"/>
          <w14:textOutline w14:w="12700" w14:cap="flat" w14:cmpd="sng" w14:algn="ctr">
            <w14:noFill/>
            <w14:prstDash w14:val="solid"/>
            <w14:miter w14:lim="400000"/>
          </w14:textOutline>
        </w:rPr>
        <w:t xml:space="preserve">) in combination with the detoxification of lactaldehyde inside the BMCs. Despite most MAGs carrying the genes for the cytosolic reactions, only a rhamnose kinase (and not fucose kinase) was detected, also observed in sponge-associated </w:t>
      </w:r>
      <w:r>
        <w:rPr>
          <w:rFonts w:ascii="Arial" w:hAnsi="Arial"/>
          <w:i/>
          <w:iCs/>
          <w:sz w:val="22"/>
          <w:szCs w:val="22"/>
          <w:u w:color="000000"/>
          <w14:textOutline w14:w="12700" w14:cap="flat" w14:cmpd="sng" w14:algn="ctr">
            <w14:noFill/>
            <w14:prstDash w14:val="solid"/>
            <w14:miter w14:lim="400000"/>
          </w14:textOutline>
        </w:rPr>
        <w:t>Verrucomicrobiota</w:t>
      </w:r>
      <w:r>
        <w:rPr>
          <w:rFonts w:ascii="Arial" w:hAnsi="Arial"/>
          <w:sz w:val="22"/>
          <w:szCs w:val="22"/>
          <w:u w:color="000000"/>
          <w14:textOutline w14:w="12700" w14:cap="flat" w14:cmpd="sng" w14:algn="ctr">
            <w14:noFill/>
            <w14:prstDash w14:val="solid"/>
            <w14:miter w14:lim="400000"/>
          </w14:textOutline>
        </w:rPr>
        <w:t xml:space="preserve"> MAGs (</w:t>
      </w:r>
      <w:r>
        <w:rPr>
          <w:rFonts w:ascii="Arial" w:eastAsia="Arial" w:hAnsi="Arial" w:cs="Arial"/>
          <w:sz w:val="22"/>
          <w:szCs w:val="22"/>
          <w:u w:color="000000"/>
          <w14:textOutline w14:w="12700" w14:cap="flat" w14:cmpd="sng" w14:algn="ctr">
            <w14:noFill/>
            <w14:prstDash w14:val="solid"/>
            <w14:miter w14:lim="400000"/>
          </w14:textOutline>
        </w:rPr>
        <w:fldChar w:fldCharType="begin"/>
      </w:r>
      <w:r>
        <w:rPr>
          <w:rFonts w:ascii="Arial" w:eastAsia="Arial" w:hAnsi="Arial" w:cs="Arial"/>
          <w:sz w:val="22"/>
          <w:szCs w:val="22"/>
          <w:u w:color="000000"/>
          <w14:textOutline w14:w="12700" w14:cap="flat" w14:cmpd="sng" w14:algn="ctr">
            <w14:noFill/>
            <w14:prstDash w14:val="solid"/>
            <w14:miter w14:lim="400000"/>
          </w14:textOutline>
        </w:rPr>
        <w:instrText xml:space="preserve"> ADDIN EN.CITE &lt;EndNote&gt;&lt;Cite  &gt;&lt;Author&gt;Sizikov, Sofia; Burgsdorf, Ilia; Handley, Kim Marie; Lahyani, Matan; Haber, Markus; Steindler, Laura&lt;/Author&gt;&lt;Year&gt;2020&lt;/Year&gt;&lt;Prefix&gt;&lt;/Prefix&gt;&lt;Suffix&gt;&lt;/Suffix&gt;&lt;Pages&gt;&lt;/Pages&gt;&lt;DisplayText&gt;6&lt;/DisplayText&gt;&lt;record&gt;&lt;database name="MPI-EndNoteLib_v2.enl" path="/Users/lorellan/ownCloud/EndNote_backup/MPI-EndNoteLib_v2.enl"&gt;MPI-EndNoteLib_v2.enl&lt;/database&gt;&lt;source-app name="EndNote" version="19.3"&gt;EndNote&lt;/source-app&gt;&lt;rec-number&gt;271&lt;/rec-number&gt;&lt;foreign-keys&gt;&lt;key app="EN" db-id="w9vwtrpro2w9ste9dwbva5zsreftsp5p29s5"&gt;271&lt;/key&gt;&lt;/foreign-keys&gt;&lt;ref-type name="Journal Article"&gt;17&lt;/ref-type&gt;&lt;contributors&gt;&lt;authors&gt;&lt;author&gt;&lt;style face="normal" font="default" size="100%"&gt;Sizikov, Sofia&lt;/style&gt;&lt;/author&gt;&lt;author&gt;&lt;style face="normal" font="default" size="100%"&gt;Burgsdorf, Ilia&lt;/style&gt;&lt;/author&gt;&lt;author&gt;&lt;style face="normal" font="default" size="100%"&gt;Handley, Kim Marie&lt;/style&gt;&lt;/author&gt;&lt;author&gt;&lt;style face="normal" font="default" size="100%"&gt;Lahyani, Matan&lt;/style&gt;&lt;/author&gt;&lt;author&gt;&lt;style face="normal" font="default" size="100%"&gt;Haber, Markus&lt;/style&gt;&lt;/author&gt;&lt;author&gt;&lt;style face="normal" font="default" size="100%"&gt;Steindler, Laura&lt;/style&gt;&lt;/author&gt;&lt;/authors&gt;&lt;/contributors&gt;&lt;titles&gt;&lt;title&gt;&lt;style face="normal" font="default" size="100%"&gt;Characterization of sponge‐associated Verrucomicrobia: microcompartment‐based sugar utilization and enhanced toxin–antitoxin modules as features of host‐associated Opitutales&lt;/style&gt;&lt;/title&gt;&lt;secondary-title&gt;&lt;style face="normal" font="default" size="100%"&gt;Environmental Microbiology&lt;/style&gt;&lt;/secondary-title&gt;&lt;/titles&gt;&lt;periodical&gt;&lt;full-title&gt;&lt;style face="normal" font="default" size="100%"&gt;Environmental Microbiology&lt;/style&gt;&lt;/full-title&gt;&lt;abbr-1&gt;&lt;style face="normal" font="default" size="100%"&gt;Environ Microbiol&lt;/style&gt;&lt;/abbr-1&gt;&lt;/periodical&gt;&lt;pages&gt;&lt;style face="normal" font="default" size="100%"&gt;4669-4688&lt;/style&gt;&lt;/pages&gt;&lt;volume&gt;&lt;style face="normal" font="default" size="100%"&gt;22&lt;/style&gt;&lt;/volume&gt;&lt;number&gt;&lt;style face="normal" font="default" size="100%"&gt;11&lt;/style&gt;&lt;/number&gt;&lt;dates&gt;&lt;year&gt;&lt;style face="normal" font="default" size="100%"&gt;2020&lt;/style&gt;&lt;/year&gt;&lt;/dates&gt;&lt;isbn&gt;&lt;style face="normal" font="default" size="100%"&gt;1462-2912&lt;/style&gt;&lt;/isbn&gt;&lt;urls&gt;&lt;/urls&gt;&lt;/record&gt;&lt;/Cite&gt;&lt;/EndNote&gt;</w:instrText>
      </w:r>
      <w:r>
        <w:rPr>
          <w:rFonts w:ascii="Arial" w:eastAsia="Arial" w:hAnsi="Arial" w:cs="Arial"/>
          <w:sz w:val="22"/>
          <w:szCs w:val="22"/>
          <w:u w:color="000000"/>
          <w14:textOutline w14:w="12700" w14:cap="flat" w14:cmpd="sng" w14:algn="ctr">
            <w14:noFill/>
            <w14:prstDash w14:val="solid"/>
            <w14:miter w14:lim="400000"/>
          </w14:textOutline>
        </w:rPr>
        <w:fldChar w:fldCharType="separate"/>
      </w:r>
      <w:r>
        <w:rPr>
          <w:rFonts w:ascii="Arial" w:hAnsi="Arial"/>
          <w:sz w:val="22"/>
          <w:szCs w:val="22"/>
          <w:u w:color="000000"/>
          <w14:textOutline w14:w="12700" w14:cap="flat" w14:cmpd="sng" w14:algn="ctr">
            <w14:noFill/>
            <w14:prstDash w14:val="solid"/>
            <w14:miter w14:lim="400000"/>
          </w14:textOutline>
        </w:rPr>
        <w:t>6</w:t>
      </w:r>
      <w:r>
        <w:rPr>
          <w:rFonts w:ascii="Arial" w:eastAsia="Arial" w:hAnsi="Arial" w:cs="Arial"/>
          <w:sz w:val="22"/>
          <w:szCs w:val="22"/>
          <w:u w:color="000000"/>
          <w14:textOutline w14:w="12700" w14:cap="flat" w14:cmpd="sng" w14:algn="ctr">
            <w14:noFill/>
            <w14:prstDash w14:val="solid"/>
            <w14:miter w14:lim="400000"/>
          </w14:textOutline>
        </w:rPr>
        <w:fldChar w:fldCharType="end"/>
      </w:r>
      <w:r>
        <w:rPr>
          <w:rFonts w:ascii="Arial" w:hAnsi="Arial"/>
          <w:sz w:val="22"/>
          <w:szCs w:val="22"/>
          <w:u w:color="000000"/>
          <w14:textOutline w14:w="12700" w14:cap="flat" w14:cmpd="sng" w14:algn="ctr">
            <w14:noFill/>
            <w14:prstDash w14:val="solid"/>
            <w14:miter w14:lim="400000"/>
          </w14:textOutline>
        </w:rPr>
        <w:t xml:space="preserve">). As </w:t>
      </w:r>
      <w:r w:rsidR="006C28F4">
        <w:rPr>
          <w:rFonts w:ascii="Arial" w:hAnsi="Arial"/>
          <w:sz w:val="22"/>
          <w:szCs w:val="22"/>
          <w:u w:color="000000"/>
          <w14:textOutline w14:w="12700" w14:cap="flat" w14:cmpd="sng" w14:algn="ctr">
            <w14:noFill/>
            <w14:prstDash w14:val="solid"/>
            <w14:miter w14:lim="400000"/>
          </w14:textOutline>
        </w:rPr>
        <w:t xml:space="preserve">a </w:t>
      </w:r>
      <w:r>
        <w:rPr>
          <w:rFonts w:ascii="Arial" w:hAnsi="Arial"/>
          <w:sz w:val="22"/>
          <w:szCs w:val="22"/>
          <w:u w:color="000000"/>
          <w14:textOutline w14:w="12700" w14:cap="flat" w14:cmpd="sng" w14:algn="ctr">
            <w14:noFill/>
            <w14:prstDash w14:val="solid"/>
            <w14:miter w14:lim="400000"/>
          </w14:textOutline>
        </w:rPr>
        <w:t xml:space="preserve">result of the aldolase activity, lactaldehyde and dihydroxyacetone phosphate are produced. The former compound is processed inside the BMC and it is the substrate for the aldehyde dehydrogenase that produces lactyl-CoA and NADH. The NADH can be regenerated by the activity of the alcohol dehydrogenase, producing the alcohol molecule 1,2-propanediol. The CoA moiety of the previously generated lactyl-CoA is replaced with a phosphate by a phosphotransacetylase. The phosphorylated lactate can participate in substrate-level phosphorylation. The generated lactate can now be converted to pyruvate by the </w:t>
      </w:r>
      <w:r w:rsidR="006C28F4">
        <w:rPr>
          <w:rFonts w:ascii="Arial" w:hAnsi="Arial"/>
          <w:sz w:val="22"/>
          <w:szCs w:val="22"/>
          <w:u w:color="000000"/>
          <w14:textOutline w14:w="12700" w14:cap="flat" w14:cmpd="sng" w14:algn="ctr">
            <w14:noFill/>
            <w14:prstDash w14:val="solid"/>
            <w14:miter w14:lim="400000"/>
          </w14:textOutline>
        </w:rPr>
        <w:t>lactate dehydrogenase activity</w:t>
      </w:r>
      <w:r>
        <w:rPr>
          <w:rFonts w:ascii="Arial" w:hAnsi="Arial"/>
          <w:sz w:val="22"/>
          <w:szCs w:val="22"/>
          <w:u w:color="000000"/>
          <w14:textOutline w14:w="12700" w14:cap="flat" w14:cmpd="sng" w14:algn="ctr">
            <w14:noFill/>
            <w14:prstDash w14:val="solid"/>
            <w14:miter w14:lim="400000"/>
          </w14:textOutline>
        </w:rPr>
        <w:t xml:space="preserve"> also present in the same loci (Fig. 5c)</w:t>
      </w:r>
    </w:p>
    <w:p w:rsidR="00D02A6E" w:rsidRDefault="00BE06D0">
      <w:pPr>
        <w:pStyle w:val="Body"/>
        <w:spacing w:before="0" w:line="360" w:lineRule="auto"/>
        <w:jc w:val="both"/>
      </w:pPr>
      <w:r>
        <w:rPr>
          <w:rFonts w:ascii="Arial Unicode MS" w:hAnsi="Arial Unicode MS"/>
          <w:sz w:val="22"/>
          <w:szCs w:val="22"/>
        </w:rPr>
        <w:br w:type="page"/>
      </w:r>
    </w:p>
    <w:p w:rsidR="00D02A6E" w:rsidRDefault="00BE06D0">
      <w:pPr>
        <w:pStyle w:val="Heading"/>
      </w:pPr>
      <w:r>
        <w:lastRenderedPageBreak/>
        <w:t>References</w:t>
      </w:r>
    </w:p>
    <w:p w:rsidR="00D02A6E" w:rsidRDefault="00BE06D0">
      <w:pPr>
        <w:pStyle w:val="Body0"/>
      </w:pPr>
      <w:r>
        <w:fldChar w:fldCharType="begin"/>
      </w:r>
      <w:r>
        <w:instrText xml:space="preserve"> ADDIN EN.REFLIST </w:instrText>
      </w:r>
      <w:r>
        <w:fldChar w:fldCharType="separate"/>
      </w:r>
    </w:p>
    <w:p w:rsidR="00D02A6E" w:rsidRDefault="00BE06D0">
      <w:pPr>
        <w:pStyle w:val="Body0"/>
      </w:pPr>
      <w:r>
        <w:rPr>
          <w:lang w:val="de-DE"/>
        </w:rPr>
        <w:t>1</w:t>
      </w:r>
      <w:r>
        <w:rPr>
          <w:lang w:val="de-DE"/>
        </w:rPr>
        <w:tab/>
        <w:t>Sichert, A.</w:t>
      </w:r>
      <w:r>
        <w:rPr>
          <w:i/>
          <w:iCs/>
        </w:rPr>
        <w:t xml:space="preserve"> et al.</w:t>
      </w:r>
      <w:r>
        <w:t xml:space="preserve"> Verrucomicrobia use hundreds of enzymes to digest the algal polysaccharide fucoidan. </w:t>
      </w:r>
      <w:r>
        <w:rPr>
          <w:i/>
          <w:iCs/>
        </w:rPr>
        <w:t>Nat Microbiol</w:t>
      </w:r>
      <w:r>
        <w:t>, (2020).</w:t>
      </w:r>
    </w:p>
    <w:p w:rsidR="00D02A6E" w:rsidRDefault="00BE06D0">
      <w:pPr>
        <w:pStyle w:val="Body0"/>
      </w:pPr>
      <w:r>
        <w:t>2</w:t>
      </w:r>
      <w:r>
        <w:tab/>
        <w:t>He, S.</w:t>
      </w:r>
      <w:r>
        <w:rPr>
          <w:i/>
          <w:iCs/>
        </w:rPr>
        <w:t xml:space="preserve"> et al.</w:t>
      </w:r>
      <w:r>
        <w:t xml:space="preserve"> Ecophysiology of Freshwater Verrucomicrobia Inferred from Metagenome-Assembled Genomes. </w:t>
      </w:r>
      <w:r>
        <w:rPr>
          <w:i/>
          <w:iCs/>
        </w:rPr>
        <w:t>mSphere</w:t>
      </w:r>
      <w:r>
        <w:t xml:space="preserve"> </w:t>
      </w:r>
      <w:r>
        <w:rPr>
          <w:b/>
          <w:bCs/>
        </w:rPr>
        <w:t>2</w:t>
      </w:r>
      <w:r>
        <w:t>, e00277-00217, (2017).</w:t>
      </w:r>
    </w:p>
    <w:p w:rsidR="00D02A6E" w:rsidRDefault="00BE06D0">
      <w:pPr>
        <w:pStyle w:val="Body0"/>
      </w:pPr>
      <w:r>
        <w:rPr>
          <w:lang w:val="pt-PT"/>
        </w:rPr>
        <w:t>3</w:t>
      </w:r>
      <w:r>
        <w:rPr>
          <w:lang w:val="pt-PT"/>
        </w:rPr>
        <w:tab/>
        <w:t>Nixon, S. L.</w:t>
      </w:r>
      <w:r>
        <w:rPr>
          <w:i/>
          <w:iCs/>
        </w:rPr>
        <w:t xml:space="preserve"> et al.</w:t>
      </w:r>
      <w:r>
        <w:t xml:space="preserve"> Genome-Resolved Metagenomics Extends the Environmental Distribution of the Verrucomicrobia Phylum to the Deep Terrestrial Subsurface. </w:t>
      </w:r>
      <w:r>
        <w:rPr>
          <w:i/>
          <w:iCs/>
        </w:rPr>
        <w:t>mSphere</w:t>
      </w:r>
      <w:r>
        <w:t xml:space="preserve"> </w:t>
      </w:r>
      <w:r>
        <w:rPr>
          <w:b/>
          <w:bCs/>
        </w:rPr>
        <w:t>4</w:t>
      </w:r>
      <w:r>
        <w:t>, (2019).</w:t>
      </w:r>
    </w:p>
    <w:p w:rsidR="00D02A6E" w:rsidRDefault="00BE06D0">
      <w:pPr>
        <w:pStyle w:val="Body0"/>
      </w:pPr>
      <w:r>
        <w:t>4</w:t>
      </w:r>
      <w:r>
        <w:tab/>
        <w:t xml:space="preserve">Chaumeil, P. A., Mussig, A. J., Hugenholtz, P. &amp; Parks, D. H. GTDB-Tk: a toolkit to classify genomes with the Genome Taxonomy Database. </w:t>
      </w:r>
      <w:r>
        <w:rPr>
          <w:i/>
          <w:iCs/>
          <w:lang w:val="it-IT"/>
        </w:rPr>
        <w:t>Bioinformatics</w:t>
      </w:r>
      <w:r>
        <w:t>, (2019).</w:t>
      </w:r>
    </w:p>
    <w:p w:rsidR="00D02A6E" w:rsidRDefault="00BE06D0">
      <w:pPr>
        <w:pStyle w:val="Body0"/>
      </w:pPr>
      <w:r>
        <w:t>5</w:t>
      </w:r>
      <w:r>
        <w:tab/>
        <w:t xml:space="preserve">Erbilgin, O., McDonald, K. L. &amp; Kerfeld, C. A. Characterization of a planctomycetal organelle: a novel bacterial microcompartment for the aerobic degradation of plant saccharides. </w:t>
      </w:r>
      <w:r>
        <w:rPr>
          <w:i/>
          <w:iCs/>
          <w:lang w:val="fr-FR"/>
        </w:rPr>
        <w:t>Appl Environ Microbiol</w:t>
      </w:r>
      <w:r>
        <w:t xml:space="preserve"> </w:t>
      </w:r>
      <w:r>
        <w:rPr>
          <w:b/>
          <w:bCs/>
        </w:rPr>
        <w:t>80</w:t>
      </w:r>
      <w:r>
        <w:t>, 2193-2205, (2014).</w:t>
      </w:r>
    </w:p>
    <w:p w:rsidR="00D02A6E" w:rsidRDefault="00BE06D0">
      <w:pPr>
        <w:pStyle w:val="Body0"/>
      </w:pPr>
      <w:r>
        <w:t>6</w:t>
      </w:r>
      <w:r>
        <w:tab/>
        <w:t>Sizikov, S.</w:t>
      </w:r>
      <w:r>
        <w:rPr>
          <w:i/>
          <w:iCs/>
        </w:rPr>
        <w:t xml:space="preserve"> et al.</w:t>
      </w:r>
      <w:r>
        <w:t xml:space="preserve"> </w:t>
      </w:r>
      <w:proofErr w:type="spellStart"/>
      <w:r w:rsidR="006C28F4">
        <w:t>Characterisation</w:t>
      </w:r>
      <w:proofErr w:type="spellEnd"/>
      <w:r>
        <w:t xml:space="preserve"> of sponge‐associated Verrucomicrobia: microcompartment‐based sugar </w:t>
      </w:r>
      <w:proofErr w:type="spellStart"/>
      <w:r w:rsidR="006C28F4">
        <w:t>utilisation</w:t>
      </w:r>
      <w:proofErr w:type="spellEnd"/>
      <w:r>
        <w:t xml:space="preserve"> and enhanced toxin–antitoxin modules as features of host‐associated Opitutales. </w:t>
      </w:r>
      <w:r>
        <w:rPr>
          <w:i/>
          <w:iCs/>
          <w:lang w:val="fr-FR"/>
        </w:rPr>
        <w:t>Environ Microbiol</w:t>
      </w:r>
      <w:r>
        <w:t xml:space="preserve"> </w:t>
      </w:r>
      <w:r>
        <w:rPr>
          <w:b/>
          <w:bCs/>
        </w:rPr>
        <w:t>22</w:t>
      </w:r>
      <w:r>
        <w:t>, 4669-4688, (2020).</w:t>
      </w:r>
      <w:r>
        <w:fldChar w:fldCharType="end"/>
      </w:r>
    </w:p>
    <w:sectPr w:rsidR="00D02A6E">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6AA" w:rsidRDefault="000F06AA">
      <w:r>
        <w:separator/>
      </w:r>
    </w:p>
  </w:endnote>
  <w:endnote w:type="continuationSeparator" w:id="0">
    <w:p w:rsidR="000F06AA" w:rsidRDefault="000F0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A6E" w:rsidRDefault="00D02A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6AA" w:rsidRDefault="000F06AA">
      <w:r>
        <w:separator/>
      </w:r>
    </w:p>
  </w:footnote>
  <w:footnote w:type="continuationSeparator" w:id="0">
    <w:p w:rsidR="000F06AA" w:rsidRDefault="000F0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A6E" w:rsidRDefault="00D02A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A6E"/>
    <w:rsid w:val="000F06AA"/>
    <w:rsid w:val="006C28F4"/>
    <w:rsid w:val="00BE06D0"/>
    <w:rsid w:val="00D02A6E"/>
    <w:rsid w:val="00D76AF3"/>
    <w:rsid w:val="00EA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875BC9"/>
  <w15:docId w15:val="{438BED43-8187-F34F-A053-51642745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Heading">
    <w:name w:val="Heading"/>
    <w:next w:val="Body0"/>
    <w:pPr>
      <w:keepNext/>
      <w:outlineLvl w:val="0"/>
    </w:pPr>
    <w:rPr>
      <w:rFonts w:ascii="Helvetica Neue" w:hAnsi="Helvetica Neue" w:cs="Arial Unicode MS"/>
      <w:b/>
      <w:bCs/>
      <w:color w:val="000000"/>
      <w:sz w:val="36"/>
      <w:szCs w:val="36"/>
      <w14:textOutline w14:w="0" w14:cap="flat" w14:cmpd="sng" w14:algn="ctr">
        <w14:noFill/>
        <w14:prstDash w14:val="solid"/>
        <w14:bevel/>
      </w14:textOutline>
    </w:rPr>
  </w:style>
  <w:style w:type="paragraph" w:customStyle="1" w:styleId="Body0">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76AF3"/>
    <w:rPr>
      <w:sz w:val="18"/>
      <w:szCs w:val="18"/>
    </w:rPr>
  </w:style>
  <w:style w:type="character" w:customStyle="1" w:styleId="BalloonTextChar">
    <w:name w:val="Balloon Text Char"/>
    <w:basedOn w:val="DefaultParagraphFont"/>
    <w:link w:val="BalloonText"/>
    <w:uiPriority w:val="99"/>
    <w:semiHidden/>
    <w:rsid w:val="00D76A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F16EF4-7B98-814D-9F8D-727819C28858}">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15</TotalTime>
  <Pages>4</Pages>
  <Words>5595</Words>
  <Characters>31896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Luis Orellana</cp:lastModifiedBy>
  <cp:revision>3</cp:revision>
  <dcterms:created xsi:type="dcterms:W3CDTF">2021-06-30T08:42:00Z</dcterms:created>
  <dcterms:modified xsi:type="dcterms:W3CDTF">2021-07-05T16:01:00Z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documentId_713</vt:lpwstr>
  </property>
  <property fmtid="{D5CDD505-2E9C-101B-9397-08002B2CF9AE}" pid="3" name="grammarly_documentContext">
    <vt:lpwstr>{"goals":[],"domain":"general","emotions":[],"dialect":"british"}</vt:lpwstr>
  </property>
</Properties>
</file>