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F2BBA" w14:textId="2ADFDCAB" w:rsidR="00F367BA" w:rsidRPr="00791D83" w:rsidRDefault="00F367BA" w:rsidP="00F367BA">
      <w:pPr>
        <w:tabs>
          <w:tab w:val="left" w:pos="4215"/>
        </w:tabs>
        <w:rPr>
          <w:rFonts w:cstheme="minorHAnsi"/>
          <w:sz w:val="24"/>
          <w:szCs w:val="24"/>
        </w:rPr>
      </w:pPr>
      <w:r>
        <w:rPr>
          <w:rFonts w:cstheme="minorHAnsi"/>
          <w:sz w:val="24"/>
          <w:szCs w:val="24"/>
        </w:rPr>
        <w:t xml:space="preserve">Supplementary Table 1 – All sequenced </w:t>
      </w:r>
      <w:r>
        <w:rPr>
          <w:rFonts w:cstheme="minorHAnsi"/>
          <w:i/>
          <w:iCs/>
          <w:sz w:val="24"/>
          <w:szCs w:val="24"/>
        </w:rPr>
        <w:t xml:space="preserve">B. apis </w:t>
      </w:r>
      <w:r>
        <w:rPr>
          <w:rFonts w:cstheme="minorHAnsi"/>
          <w:sz w:val="24"/>
          <w:szCs w:val="24"/>
        </w:rPr>
        <w:t xml:space="preserve">strains retain the ability to synthesize all amino acids. Table generated from conserved core orthologs across the included strains showing presence/absence of amnio acid biosynthesis genes. </w:t>
      </w:r>
      <w:r w:rsidR="00511422">
        <w:rPr>
          <w:rFonts w:cstheme="minorHAnsi"/>
          <w:sz w:val="24"/>
          <w:szCs w:val="24"/>
        </w:rPr>
        <w:t>‘</w:t>
      </w:r>
      <w:proofErr w:type="spellStart"/>
      <w:r w:rsidR="00511422">
        <w:rPr>
          <w:rFonts w:cstheme="minorHAnsi"/>
          <w:sz w:val="24"/>
          <w:szCs w:val="24"/>
        </w:rPr>
        <w:t>oid</w:t>
      </w:r>
      <w:proofErr w:type="spellEnd"/>
      <w:r w:rsidR="00511422">
        <w:rPr>
          <w:rFonts w:cstheme="minorHAnsi"/>
          <w:sz w:val="24"/>
          <w:szCs w:val="24"/>
        </w:rPr>
        <w:t xml:space="preserve">’ refers to the ortholog ID in our analysis of orthologous genes, </w:t>
      </w:r>
      <w:r>
        <w:rPr>
          <w:rFonts w:cstheme="minorHAnsi"/>
          <w:sz w:val="24"/>
          <w:szCs w:val="24"/>
        </w:rPr>
        <w:t>‘Name’ refers to the amino acid biosynthesis gene</w:t>
      </w:r>
      <w:r w:rsidR="00511422">
        <w:rPr>
          <w:rFonts w:cstheme="minorHAnsi"/>
          <w:sz w:val="24"/>
          <w:szCs w:val="24"/>
        </w:rPr>
        <w:t xml:space="preserve"> annotation,</w:t>
      </w:r>
      <w:r>
        <w:rPr>
          <w:rFonts w:cstheme="minorHAnsi"/>
          <w:sz w:val="24"/>
          <w:szCs w:val="24"/>
        </w:rPr>
        <w:t xml:space="preserve"> ‘Pathways/steps/scores’ refers to the biosynthetic pathway in which each gene is found, the enzymatic step in the pathway, and the </w:t>
      </w:r>
      <w:proofErr w:type="spellStart"/>
      <w:r>
        <w:rPr>
          <w:rFonts w:cstheme="minorHAnsi"/>
          <w:sz w:val="24"/>
          <w:szCs w:val="24"/>
        </w:rPr>
        <w:t>GapMind</w:t>
      </w:r>
      <w:proofErr w:type="spellEnd"/>
      <w:r>
        <w:rPr>
          <w:rFonts w:cstheme="minorHAnsi"/>
          <w:sz w:val="24"/>
          <w:szCs w:val="24"/>
        </w:rPr>
        <w:t xml:space="preserve"> score. </w:t>
      </w:r>
      <w:proofErr w:type="spellStart"/>
      <w:r>
        <w:rPr>
          <w:rFonts w:cstheme="minorHAnsi"/>
          <w:sz w:val="24"/>
          <w:szCs w:val="24"/>
        </w:rPr>
        <w:t>GapMind</w:t>
      </w:r>
      <w:proofErr w:type="spellEnd"/>
      <w:r>
        <w:rPr>
          <w:rFonts w:cstheme="minorHAnsi"/>
          <w:sz w:val="24"/>
          <w:szCs w:val="24"/>
        </w:rPr>
        <w:t xml:space="preserve"> </w:t>
      </w:r>
      <w:r w:rsidRPr="000401BF">
        <w:rPr>
          <w:rFonts w:cstheme="minorHAnsi"/>
          <w:sz w:val="24"/>
          <w:szCs w:val="24"/>
        </w:rPr>
        <w:t>score is either 2 (high confidence), 1 (medium confidence), or 0 (low confidence).</w:t>
      </w:r>
      <w:r>
        <w:rPr>
          <w:rFonts w:cstheme="minorHAnsi"/>
          <w:sz w:val="24"/>
          <w:szCs w:val="24"/>
        </w:rPr>
        <w:t xml:space="preserve"> In the columns below each sequenced strain, ‘1’ means that a given gene was identified in the corresponding genome and ‘0’ means that it was not identified.</w:t>
      </w:r>
    </w:p>
    <w:p w14:paraId="62427240" w14:textId="071606D7" w:rsidR="00F367BA" w:rsidRDefault="00F367BA" w:rsidP="00F367BA">
      <w:pPr>
        <w:tabs>
          <w:tab w:val="left" w:pos="4215"/>
        </w:tabs>
        <w:rPr>
          <w:rFonts w:cstheme="minorHAnsi"/>
          <w:sz w:val="24"/>
          <w:szCs w:val="24"/>
        </w:rPr>
      </w:pPr>
      <w:r>
        <w:rPr>
          <w:rFonts w:cstheme="minorHAnsi"/>
          <w:sz w:val="24"/>
          <w:szCs w:val="24"/>
        </w:rPr>
        <w:t xml:space="preserve">Supplementary Table 2- All </w:t>
      </w:r>
      <w:r>
        <w:rPr>
          <w:rFonts w:cstheme="minorHAnsi"/>
          <w:i/>
          <w:iCs/>
          <w:sz w:val="24"/>
          <w:szCs w:val="24"/>
        </w:rPr>
        <w:t xml:space="preserve">B. apis </w:t>
      </w:r>
      <w:r>
        <w:rPr>
          <w:rFonts w:cstheme="minorHAnsi"/>
          <w:sz w:val="24"/>
          <w:szCs w:val="24"/>
        </w:rPr>
        <w:t xml:space="preserve">genomes contain multiple cationic amino acid transporter orthologs. Gene gain/loss analysis showing all the gains and losses across the phylogeny of all sequenced </w:t>
      </w:r>
      <w:r>
        <w:rPr>
          <w:rFonts w:cstheme="minorHAnsi"/>
          <w:i/>
          <w:iCs/>
          <w:sz w:val="24"/>
          <w:szCs w:val="24"/>
        </w:rPr>
        <w:t xml:space="preserve">B. apis </w:t>
      </w:r>
      <w:r>
        <w:rPr>
          <w:rFonts w:cstheme="minorHAnsi"/>
          <w:sz w:val="24"/>
          <w:szCs w:val="24"/>
        </w:rPr>
        <w:t xml:space="preserve">strains and related microbes in Figure 3. </w:t>
      </w:r>
      <w:r w:rsidR="00690811">
        <w:rPr>
          <w:rFonts w:cstheme="minorHAnsi"/>
          <w:sz w:val="24"/>
          <w:szCs w:val="24"/>
        </w:rPr>
        <w:t>‘</w:t>
      </w:r>
      <w:proofErr w:type="spellStart"/>
      <w:r w:rsidR="00690811">
        <w:rPr>
          <w:rFonts w:cstheme="minorHAnsi"/>
          <w:sz w:val="24"/>
          <w:szCs w:val="24"/>
        </w:rPr>
        <w:t>oid</w:t>
      </w:r>
      <w:proofErr w:type="spellEnd"/>
      <w:r w:rsidR="00690811">
        <w:rPr>
          <w:rFonts w:cstheme="minorHAnsi"/>
          <w:sz w:val="24"/>
          <w:szCs w:val="24"/>
        </w:rPr>
        <w:t xml:space="preserve">’ refers to the ortholog ID in our analysis of orthologous genes, </w:t>
      </w:r>
      <w:r>
        <w:rPr>
          <w:rFonts w:cstheme="minorHAnsi"/>
          <w:sz w:val="24"/>
          <w:szCs w:val="24"/>
        </w:rPr>
        <w:t>‘Name’ refers to proteins identified across all genomes analyzed. In the columns below each sequenced strain, ‘g’ means that a given gene was gained by that strain and ‘l’ means that it was lost.</w:t>
      </w:r>
    </w:p>
    <w:p w14:paraId="2A25DB51" w14:textId="77777777" w:rsidR="00F367BA" w:rsidRDefault="00F367BA" w:rsidP="00F367BA">
      <w:pPr>
        <w:tabs>
          <w:tab w:val="left" w:pos="4215"/>
        </w:tabs>
        <w:rPr>
          <w:rFonts w:cstheme="minorHAnsi"/>
          <w:sz w:val="24"/>
          <w:szCs w:val="24"/>
        </w:rPr>
      </w:pPr>
    </w:p>
    <w:p w14:paraId="095B72A5" w14:textId="0C50CDA2" w:rsidR="00F367BA" w:rsidRDefault="00F367BA" w:rsidP="00F367BA">
      <w:pPr>
        <w:tabs>
          <w:tab w:val="left" w:pos="4215"/>
        </w:tabs>
        <w:rPr>
          <w:rFonts w:cstheme="minorHAnsi"/>
          <w:sz w:val="24"/>
          <w:szCs w:val="24"/>
        </w:rPr>
      </w:pPr>
      <w:r>
        <w:rPr>
          <w:rFonts w:cstheme="minorHAnsi"/>
          <w:sz w:val="24"/>
          <w:szCs w:val="24"/>
        </w:rPr>
        <w:t>Supplementary Table 3 – Accession numbers for all sequenced strains used in this work.</w:t>
      </w:r>
    </w:p>
    <w:p w14:paraId="388F8CB2" w14:textId="77777777" w:rsidR="0088403C" w:rsidRDefault="0088403C" w:rsidP="0088403C">
      <w:pPr>
        <w:tabs>
          <w:tab w:val="left" w:pos="4215"/>
        </w:tabs>
        <w:rPr>
          <w:rFonts w:cstheme="minorHAnsi"/>
          <w:sz w:val="24"/>
          <w:szCs w:val="24"/>
        </w:rPr>
      </w:pPr>
      <w:r>
        <w:rPr>
          <w:rFonts w:cstheme="minorHAnsi"/>
          <w:noProof/>
          <w:sz w:val="24"/>
          <w:szCs w:val="24"/>
        </w:rPr>
        <w:lastRenderedPageBreak/>
        <w:drawing>
          <wp:inline distT="0" distB="0" distL="0" distR="0" wp14:anchorId="2B71178F" wp14:editId="2CA1809F">
            <wp:extent cx="5943600" cy="4457700"/>
            <wp:effectExtent l="0" t="0" r="0" b="0"/>
            <wp:docPr id="11" name="Picture 1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pic:nvPicPr>
                  <pic:blipFill>
                    <a:blip r:embed="rId4"/>
                    <a:stretch>
                      <a:fillRect/>
                    </a:stretch>
                  </pic:blipFill>
                  <pic:spPr>
                    <a:xfrm>
                      <a:off x="0" y="0"/>
                      <a:ext cx="5943600" cy="4457700"/>
                    </a:xfrm>
                    <a:prstGeom prst="rect">
                      <a:avLst/>
                    </a:prstGeom>
                  </pic:spPr>
                </pic:pic>
              </a:graphicData>
            </a:graphic>
          </wp:inline>
        </w:drawing>
      </w:r>
    </w:p>
    <w:p w14:paraId="7615552A" w14:textId="77777777" w:rsidR="0088403C" w:rsidRDefault="0088403C" w:rsidP="0088403C">
      <w:pPr>
        <w:tabs>
          <w:tab w:val="left" w:pos="4215"/>
        </w:tabs>
        <w:rPr>
          <w:rFonts w:cstheme="minorHAnsi"/>
          <w:sz w:val="24"/>
          <w:szCs w:val="24"/>
        </w:rPr>
      </w:pPr>
      <w:r>
        <w:rPr>
          <w:rFonts w:cstheme="minorHAnsi"/>
          <w:sz w:val="24"/>
          <w:szCs w:val="24"/>
        </w:rPr>
        <w:t xml:space="preserve">Supplementary Figure 1 - </w:t>
      </w:r>
      <w:r>
        <w:rPr>
          <w:rFonts w:cstheme="minorHAnsi"/>
          <w:i/>
          <w:iCs/>
          <w:sz w:val="24"/>
          <w:szCs w:val="24"/>
        </w:rPr>
        <w:t xml:space="preserve">B. </w:t>
      </w:r>
      <w:proofErr w:type="spellStart"/>
      <w:r>
        <w:rPr>
          <w:rFonts w:cstheme="minorHAnsi"/>
          <w:i/>
          <w:iCs/>
          <w:sz w:val="24"/>
          <w:szCs w:val="24"/>
        </w:rPr>
        <w:t>apis</w:t>
      </w:r>
      <w:proofErr w:type="spellEnd"/>
      <w:r>
        <w:rPr>
          <w:rFonts w:cstheme="minorHAnsi"/>
          <w:i/>
          <w:iCs/>
          <w:sz w:val="24"/>
          <w:szCs w:val="24"/>
        </w:rPr>
        <w:t xml:space="preserve"> </w:t>
      </w:r>
      <w:r>
        <w:rPr>
          <w:rFonts w:cstheme="minorHAnsi"/>
          <w:sz w:val="24"/>
          <w:szCs w:val="24"/>
        </w:rPr>
        <w:t xml:space="preserve">A29 does not significantly affect total dietary TCA cycle intermediates. Boxplot showing the total peak areas of TCA cycle intermediates in synthetic larval diet after incubating with either live (blue) or heat-killed (red) </w:t>
      </w:r>
      <w:r>
        <w:rPr>
          <w:rFonts w:cstheme="minorHAnsi"/>
          <w:i/>
          <w:iCs/>
          <w:sz w:val="24"/>
          <w:szCs w:val="24"/>
        </w:rPr>
        <w:t xml:space="preserve">B. </w:t>
      </w:r>
      <w:proofErr w:type="spellStart"/>
      <w:r>
        <w:rPr>
          <w:rFonts w:cstheme="minorHAnsi"/>
          <w:i/>
          <w:iCs/>
          <w:sz w:val="24"/>
          <w:szCs w:val="24"/>
        </w:rPr>
        <w:t>apis</w:t>
      </w:r>
      <w:proofErr w:type="spellEnd"/>
      <w:r>
        <w:rPr>
          <w:rFonts w:cstheme="minorHAnsi"/>
          <w:i/>
          <w:iCs/>
          <w:sz w:val="24"/>
          <w:szCs w:val="24"/>
        </w:rPr>
        <w:t xml:space="preserve"> </w:t>
      </w:r>
      <w:r>
        <w:rPr>
          <w:rFonts w:cstheme="minorHAnsi"/>
          <w:sz w:val="24"/>
          <w:szCs w:val="24"/>
        </w:rPr>
        <w:t xml:space="preserve">A29. Significant differences in peak area were determined using one-way ANOVA and corrected using Tukey HSD. </w:t>
      </w:r>
    </w:p>
    <w:p w14:paraId="1449CA9B" w14:textId="77777777" w:rsidR="00F367BA" w:rsidRDefault="00F367BA" w:rsidP="00F367BA">
      <w:pPr>
        <w:tabs>
          <w:tab w:val="left" w:pos="4215"/>
        </w:tabs>
        <w:rPr>
          <w:rFonts w:cstheme="minorHAnsi"/>
          <w:sz w:val="24"/>
          <w:szCs w:val="24"/>
        </w:rPr>
      </w:pPr>
    </w:p>
    <w:p w14:paraId="6DEE6BA8" w14:textId="77777777" w:rsidR="00F367BA" w:rsidRDefault="00F367BA" w:rsidP="00F367BA">
      <w:pPr>
        <w:tabs>
          <w:tab w:val="left" w:pos="4215"/>
        </w:tabs>
        <w:rPr>
          <w:rFonts w:cstheme="minorHAnsi"/>
          <w:sz w:val="24"/>
          <w:szCs w:val="24"/>
        </w:rPr>
      </w:pPr>
      <w:r>
        <w:rPr>
          <w:rFonts w:cstheme="minorHAnsi"/>
          <w:noProof/>
          <w:sz w:val="24"/>
          <w:szCs w:val="24"/>
        </w:rPr>
        <w:lastRenderedPageBreak/>
        <w:drawing>
          <wp:inline distT="0" distB="0" distL="0" distR="0" wp14:anchorId="130E5B5A" wp14:editId="28D34458">
            <wp:extent cx="5943600" cy="4457700"/>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5"/>
                    <a:stretch>
                      <a:fillRect/>
                    </a:stretch>
                  </pic:blipFill>
                  <pic:spPr>
                    <a:xfrm>
                      <a:off x="0" y="0"/>
                      <a:ext cx="5943600" cy="4457700"/>
                    </a:xfrm>
                    <a:prstGeom prst="rect">
                      <a:avLst/>
                    </a:prstGeom>
                  </pic:spPr>
                </pic:pic>
              </a:graphicData>
            </a:graphic>
          </wp:inline>
        </w:drawing>
      </w:r>
    </w:p>
    <w:p w14:paraId="6EA4F394" w14:textId="73259365" w:rsidR="00F367BA" w:rsidRPr="00A3462C" w:rsidRDefault="00F367BA" w:rsidP="00F367BA">
      <w:pPr>
        <w:tabs>
          <w:tab w:val="left" w:pos="4215"/>
        </w:tabs>
        <w:rPr>
          <w:rFonts w:cstheme="minorHAnsi"/>
          <w:sz w:val="24"/>
          <w:szCs w:val="24"/>
        </w:rPr>
      </w:pPr>
      <w:r>
        <w:rPr>
          <w:rFonts w:cstheme="minorHAnsi"/>
          <w:sz w:val="24"/>
          <w:szCs w:val="24"/>
        </w:rPr>
        <w:t xml:space="preserve">Supplementary Figure </w:t>
      </w:r>
      <w:r w:rsidR="0088403C">
        <w:rPr>
          <w:rFonts w:cstheme="minorHAnsi"/>
          <w:sz w:val="24"/>
          <w:szCs w:val="24"/>
        </w:rPr>
        <w:t>2</w:t>
      </w:r>
      <w:r>
        <w:rPr>
          <w:rFonts w:cstheme="minorHAnsi"/>
          <w:sz w:val="24"/>
          <w:szCs w:val="24"/>
        </w:rPr>
        <w:t xml:space="preserve"> – The nonessential amino acid landscape of the </w:t>
      </w:r>
      <w:proofErr w:type="gramStart"/>
      <w:r>
        <w:rPr>
          <w:rFonts w:cstheme="minorHAnsi"/>
          <w:sz w:val="24"/>
          <w:szCs w:val="24"/>
        </w:rPr>
        <w:t>honey bee</w:t>
      </w:r>
      <w:proofErr w:type="gramEnd"/>
      <w:r>
        <w:rPr>
          <w:rFonts w:cstheme="minorHAnsi"/>
          <w:sz w:val="24"/>
          <w:szCs w:val="24"/>
        </w:rPr>
        <w:t xml:space="preserve"> larval diet is modified by </w:t>
      </w:r>
      <w:r>
        <w:rPr>
          <w:rFonts w:cstheme="minorHAnsi"/>
          <w:i/>
          <w:iCs/>
          <w:sz w:val="24"/>
          <w:szCs w:val="24"/>
        </w:rPr>
        <w:t xml:space="preserve">B. apis </w:t>
      </w:r>
      <w:r>
        <w:rPr>
          <w:rFonts w:cstheme="minorHAnsi"/>
          <w:sz w:val="24"/>
          <w:szCs w:val="24"/>
        </w:rPr>
        <w:t xml:space="preserve">A29. Boxplots showing the peak areas of individual nonessential amino acids after incubating with either live (blue) or heat-killed (red) </w:t>
      </w:r>
      <w:r>
        <w:rPr>
          <w:rFonts w:cstheme="minorHAnsi"/>
          <w:i/>
          <w:iCs/>
          <w:sz w:val="24"/>
          <w:szCs w:val="24"/>
        </w:rPr>
        <w:t xml:space="preserve">B. apis </w:t>
      </w:r>
      <w:r>
        <w:rPr>
          <w:rFonts w:cstheme="minorHAnsi"/>
          <w:sz w:val="24"/>
          <w:szCs w:val="24"/>
        </w:rPr>
        <w:t xml:space="preserve">A29. Live </w:t>
      </w:r>
      <w:r>
        <w:rPr>
          <w:rFonts w:cstheme="minorHAnsi"/>
          <w:i/>
          <w:iCs/>
          <w:sz w:val="24"/>
          <w:szCs w:val="24"/>
        </w:rPr>
        <w:t xml:space="preserve">B. apis </w:t>
      </w:r>
      <w:r>
        <w:rPr>
          <w:rFonts w:cstheme="minorHAnsi"/>
          <w:sz w:val="24"/>
          <w:szCs w:val="24"/>
        </w:rPr>
        <w:t>A29 results in significantly lower dietary glutamate (p=</w:t>
      </w:r>
      <w:r w:rsidRPr="00A3462C">
        <w:rPr>
          <w:rFonts w:cstheme="minorHAnsi"/>
          <w:sz w:val="24"/>
          <w:szCs w:val="24"/>
        </w:rPr>
        <w:t>0.0015910</w:t>
      </w:r>
      <w:r>
        <w:rPr>
          <w:rFonts w:cstheme="minorHAnsi"/>
          <w:sz w:val="24"/>
          <w:szCs w:val="24"/>
        </w:rPr>
        <w:t>) and significantly lower serine (p=</w:t>
      </w:r>
      <w:r w:rsidRPr="00A3462C">
        <w:rPr>
          <w:rFonts w:cstheme="minorHAnsi"/>
          <w:sz w:val="24"/>
          <w:szCs w:val="24"/>
        </w:rPr>
        <w:t>0.0110176</w:t>
      </w:r>
      <w:r>
        <w:rPr>
          <w:rFonts w:cstheme="minorHAnsi"/>
          <w:sz w:val="24"/>
          <w:szCs w:val="24"/>
        </w:rPr>
        <w:t xml:space="preserve">). While not significant, </w:t>
      </w:r>
      <w:r>
        <w:rPr>
          <w:rFonts w:cstheme="minorHAnsi"/>
          <w:i/>
          <w:iCs/>
          <w:sz w:val="24"/>
          <w:szCs w:val="24"/>
        </w:rPr>
        <w:t xml:space="preserve">B. apis </w:t>
      </w:r>
      <w:r>
        <w:rPr>
          <w:rFonts w:cstheme="minorHAnsi"/>
          <w:sz w:val="24"/>
          <w:szCs w:val="24"/>
        </w:rPr>
        <w:t>increases dietary proline (p=</w:t>
      </w:r>
      <w:r w:rsidRPr="00A3462C">
        <w:rPr>
          <w:rFonts w:cstheme="minorHAnsi"/>
          <w:sz w:val="24"/>
          <w:szCs w:val="24"/>
        </w:rPr>
        <w:t>0.0866928</w:t>
      </w:r>
      <w:r>
        <w:rPr>
          <w:rFonts w:cstheme="minorHAnsi"/>
          <w:sz w:val="24"/>
          <w:szCs w:val="24"/>
        </w:rPr>
        <w:t>). Significant differences in peak area were determined using one-way ANOVA and corrected using Tukey HSD. Prior to ANOVA, data was normalized using Box Cox transformation.</w:t>
      </w:r>
    </w:p>
    <w:p w14:paraId="4921762B" w14:textId="77777777" w:rsidR="00F367BA" w:rsidRDefault="00F367BA" w:rsidP="00F367BA">
      <w:pPr>
        <w:tabs>
          <w:tab w:val="left" w:pos="4215"/>
        </w:tabs>
        <w:rPr>
          <w:rFonts w:cstheme="minorHAnsi"/>
          <w:sz w:val="24"/>
          <w:szCs w:val="24"/>
        </w:rPr>
      </w:pPr>
    </w:p>
    <w:p w14:paraId="12A9B195" w14:textId="77777777" w:rsidR="00F367BA" w:rsidRDefault="00F367BA" w:rsidP="00F367BA">
      <w:pPr>
        <w:tabs>
          <w:tab w:val="left" w:pos="4215"/>
        </w:tabs>
        <w:rPr>
          <w:rFonts w:cstheme="minorHAnsi"/>
          <w:sz w:val="24"/>
          <w:szCs w:val="24"/>
        </w:rPr>
      </w:pPr>
    </w:p>
    <w:p w14:paraId="2A517C02" w14:textId="77777777" w:rsidR="00CA0837" w:rsidRDefault="00CA0837"/>
    <w:sectPr w:rsidR="00CA0837" w:rsidSect="00E40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BA"/>
    <w:rsid w:val="00002C21"/>
    <w:rsid w:val="00012C7F"/>
    <w:rsid w:val="0002134F"/>
    <w:rsid w:val="000317DA"/>
    <w:rsid w:val="00032A83"/>
    <w:rsid w:val="00053C69"/>
    <w:rsid w:val="00053F0B"/>
    <w:rsid w:val="0006351B"/>
    <w:rsid w:val="00065C3A"/>
    <w:rsid w:val="000701EB"/>
    <w:rsid w:val="00070862"/>
    <w:rsid w:val="000720DB"/>
    <w:rsid w:val="0008272B"/>
    <w:rsid w:val="000948D1"/>
    <w:rsid w:val="000A0BA9"/>
    <w:rsid w:val="000A13B2"/>
    <w:rsid w:val="000A483F"/>
    <w:rsid w:val="000A7B5C"/>
    <w:rsid w:val="000A7FBA"/>
    <w:rsid w:val="000B0124"/>
    <w:rsid w:val="000D35A9"/>
    <w:rsid w:val="000D729D"/>
    <w:rsid w:val="000F697B"/>
    <w:rsid w:val="000F6EF9"/>
    <w:rsid w:val="001040BB"/>
    <w:rsid w:val="001050A8"/>
    <w:rsid w:val="001216C5"/>
    <w:rsid w:val="0013482F"/>
    <w:rsid w:val="0013688F"/>
    <w:rsid w:val="001437E7"/>
    <w:rsid w:val="00150107"/>
    <w:rsid w:val="00151576"/>
    <w:rsid w:val="00160C5C"/>
    <w:rsid w:val="001624DC"/>
    <w:rsid w:val="00164080"/>
    <w:rsid w:val="001651F8"/>
    <w:rsid w:val="0016522E"/>
    <w:rsid w:val="00170784"/>
    <w:rsid w:val="00170DD0"/>
    <w:rsid w:val="001710E5"/>
    <w:rsid w:val="001739BF"/>
    <w:rsid w:val="001819A8"/>
    <w:rsid w:val="00185140"/>
    <w:rsid w:val="001870EC"/>
    <w:rsid w:val="001A1F9F"/>
    <w:rsid w:val="001A42DD"/>
    <w:rsid w:val="001A613D"/>
    <w:rsid w:val="001C0FFE"/>
    <w:rsid w:val="001D44A1"/>
    <w:rsid w:val="001D611F"/>
    <w:rsid w:val="001D62F5"/>
    <w:rsid w:val="001E19DB"/>
    <w:rsid w:val="001E28EB"/>
    <w:rsid w:val="001E3B44"/>
    <w:rsid w:val="001E4F41"/>
    <w:rsid w:val="001F1A02"/>
    <w:rsid w:val="0020037C"/>
    <w:rsid w:val="002007B4"/>
    <w:rsid w:val="0020743A"/>
    <w:rsid w:val="00232419"/>
    <w:rsid w:val="0023620E"/>
    <w:rsid w:val="00240042"/>
    <w:rsid w:val="00264888"/>
    <w:rsid w:val="00265BE2"/>
    <w:rsid w:val="00267A50"/>
    <w:rsid w:val="0027735A"/>
    <w:rsid w:val="00282493"/>
    <w:rsid w:val="00297458"/>
    <w:rsid w:val="002C2002"/>
    <w:rsid w:val="002C6F20"/>
    <w:rsid w:val="002C7588"/>
    <w:rsid w:val="002D04E5"/>
    <w:rsid w:val="002D1F8D"/>
    <w:rsid w:val="002D6FDE"/>
    <w:rsid w:val="002E28D3"/>
    <w:rsid w:val="002E2E6B"/>
    <w:rsid w:val="002F0B1F"/>
    <w:rsid w:val="0031104C"/>
    <w:rsid w:val="0031439D"/>
    <w:rsid w:val="003245C8"/>
    <w:rsid w:val="00363306"/>
    <w:rsid w:val="00367AA4"/>
    <w:rsid w:val="003741AC"/>
    <w:rsid w:val="0039001A"/>
    <w:rsid w:val="00395985"/>
    <w:rsid w:val="003A2CCA"/>
    <w:rsid w:val="003D4960"/>
    <w:rsid w:val="003F53B6"/>
    <w:rsid w:val="00401F6B"/>
    <w:rsid w:val="00402203"/>
    <w:rsid w:val="004205EF"/>
    <w:rsid w:val="00421D51"/>
    <w:rsid w:val="00432B22"/>
    <w:rsid w:val="00442349"/>
    <w:rsid w:val="004444D7"/>
    <w:rsid w:val="00444EA9"/>
    <w:rsid w:val="0044704C"/>
    <w:rsid w:val="00452E60"/>
    <w:rsid w:val="004531B0"/>
    <w:rsid w:val="004545A1"/>
    <w:rsid w:val="00455C6D"/>
    <w:rsid w:val="00460F9F"/>
    <w:rsid w:val="004732F5"/>
    <w:rsid w:val="00475C0B"/>
    <w:rsid w:val="004772AA"/>
    <w:rsid w:val="00487476"/>
    <w:rsid w:val="00495A47"/>
    <w:rsid w:val="004B7D85"/>
    <w:rsid w:val="004C0CD3"/>
    <w:rsid w:val="004D2AB2"/>
    <w:rsid w:val="004D7577"/>
    <w:rsid w:val="004E61E6"/>
    <w:rsid w:val="004E7022"/>
    <w:rsid w:val="004F0436"/>
    <w:rsid w:val="0050162C"/>
    <w:rsid w:val="005038AA"/>
    <w:rsid w:val="0050522E"/>
    <w:rsid w:val="00511422"/>
    <w:rsid w:val="00515D20"/>
    <w:rsid w:val="00522E59"/>
    <w:rsid w:val="00531220"/>
    <w:rsid w:val="00553487"/>
    <w:rsid w:val="005648A5"/>
    <w:rsid w:val="00571848"/>
    <w:rsid w:val="00575B39"/>
    <w:rsid w:val="00580971"/>
    <w:rsid w:val="00580E5B"/>
    <w:rsid w:val="0058150F"/>
    <w:rsid w:val="00590B80"/>
    <w:rsid w:val="00593E19"/>
    <w:rsid w:val="005A112A"/>
    <w:rsid w:val="005A2197"/>
    <w:rsid w:val="005A55AE"/>
    <w:rsid w:val="005A564C"/>
    <w:rsid w:val="005C5FB1"/>
    <w:rsid w:val="005D75EE"/>
    <w:rsid w:val="005E7E8E"/>
    <w:rsid w:val="00616331"/>
    <w:rsid w:val="00622894"/>
    <w:rsid w:val="0062386C"/>
    <w:rsid w:val="006309FD"/>
    <w:rsid w:val="00670EC9"/>
    <w:rsid w:val="0067707B"/>
    <w:rsid w:val="00687113"/>
    <w:rsid w:val="00690175"/>
    <w:rsid w:val="00690811"/>
    <w:rsid w:val="00693C38"/>
    <w:rsid w:val="006A784D"/>
    <w:rsid w:val="006B3550"/>
    <w:rsid w:val="006C13EE"/>
    <w:rsid w:val="006D68A3"/>
    <w:rsid w:val="006E3D50"/>
    <w:rsid w:val="00700893"/>
    <w:rsid w:val="00717121"/>
    <w:rsid w:val="00725FEA"/>
    <w:rsid w:val="00732705"/>
    <w:rsid w:val="00751901"/>
    <w:rsid w:val="00761753"/>
    <w:rsid w:val="007672E4"/>
    <w:rsid w:val="007719D1"/>
    <w:rsid w:val="007845F5"/>
    <w:rsid w:val="00787082"/>
    <w:rsid w:val="00793FEA"/>
    <w:rsid w:val="00794480"/>
    <w:rsid w:val="007970EB"/>
    <w:rsid w:val="007A1206"/>
    <w:rsid w:val="007B1568"/>
    <w:rsid w:val="007B5EC1"/>
    <w:rsid w:val="007E2C78"/>
    <w:rsid w:val="007F11DB"/>
    <w:rsid w:val="00802226"/>
    <w:rsid w:val="00804647"/>
    <w:rsid w:val="00805F94"/>
    <w:rsid w:val="00816802"/>
    <w:rsid w:val="008238F6"/>
    <w:rsid w:val="00840A3B"/>
    <w:rsid w:val="0084620A"/>
    <w:rsid w:val="008639F7"/>
    <w:rsid w:val="0087362B"/>
    <w:rsid w:val="0088403C"/>
    <w:rsid w:val="008A2379"/>
    <w:rsid w:val="008A23DC"/>
    <w:rsid w:val="008B001D"/>
    <w:rsid w:val="008C0C8B"/>
    <w:rsid w:val="008C6BA1"/>
    <w:rsid w:val="008E59D8"/>
    <w:rsid w:val="008E6C45"/>
    <w:rsid w:val="0090566F"/>
    <w:rsid w:val="00911529"/>
    <w:rsid w:val="00920B04"/>
    <w:rsid w:val="009221CB"/>
    <w:rsid w:val="009247A5"/>
    <w:rsid w:val="0092489B"/>
    <w:rsid w:val="00925283"/>
    <w:rsid w:val="00944D85"/>
    <w:rsid w:val="0094637A"/>
    <w:rsid w:val="009604F2"/>
    <w:rsid w:val="009613BF"/>
    <w:rsid w:val="009750DD"/>
    <w:rsid w:val="00976984"/>
    <w:rsid w:val="00982BFD"/>
    <w:rsid w:val="0099480F"/>
    <w:rsid w:val="00995A8C"/>
    <w:rsid w:val="0099660E"/>
    <w:rsid w:val="009B07BF"/>
    <w:rsid w:val="009B0EB2"/>
    <w:rsid w:val="009B65DD"/>
    <w:rsid w:val="009C6457"/>
    <w:rsid w:val="009D03D1"/>
    <w:rsid w:val="009D3E60"/>
    <w:rsid w:val="009E6A63"/>
    <w:rsid w:val="00A04213"/>
    <w:rsid w:val="00A058DB"/>
    <w:rsid w:val="00A1402E"/>
    <w:rsid w:val="00A161E8"/>
    <w:rsid w:val="00A169F6"/>
    <w:rsid w:val="00A17A88"/>
    <w:rsid w:val="00A27662"/>
    <w:rsid w:val="00A334B1"/>
    <w:rsid w:val="00A3732D"/>
    <w:rsid w:val="00A51FC2"/>
    <w:rsid w:val="00A94D69"/>
    <w:rsid w:val="00AA3DA1"/>
    <w:rsid w:val="00AA4513"/>
    <w:rsid w:val="00AB7390"/>
    <w:rsid w:val="00AB7F41"/>
    <w:rsid w:val="00AC4227"/>
    <w:rsid w:val="00AC643E"/>
    <w:rsid w:val="00AF1D0C"/>
    <w:rsid w:val="00AF6FD2"/>
    <w:rsid w:val="00B04EB1"/>
    <w:rsid w:val="00B05735"/>
    <w:rsid w:val="00B062B2"/>
    <w:rsid w:val="00B06B80"/>
    <w:rsid w:val="00B15351"/>
    <w:rsid w:val="00B31E9F"/>
    <w:rsid w:val="00B3385A"/>
    <w:rsid w:val="00B34104"/>
    <w:rsid w:val="00B51A4C"/>
    <w:rsid w:val="00B5500F"/>
    <w:rsid w:val="00B70724"/>
    <w:rsid w:val="00B774D5"/>
    <w:rsid w:val="00B92A70"/>
    <w:rsid w:val="00B940A8"/>
    <w:rsid w:val="00B955F4"/>
    <w:rsid w:val="00B95FF3"/>
    <w:rsid w:val="00B97441"/>
    <w:rsid w:val="00BA00B8"/>
    <w:rsid w:val="00BA0981"/>
    <w:rsid w:val="00BA7040"/>
    <w:rsid w:val="00BD113E"/>
    <w:rsid w:val="00BD38B8"/>
    <w:rsid w:val="00BE700F"/>
    <w:rsid w:val="00BE7EF6"/>
    <w:rsid w:val="00BF0BE7"/>
    <w:rsid w:val="00BF5E07"/>
    <w:rsid w:val="00BF7517"/>
    <w:rsid w:val="00C1017F"/>
    <w:rsid w:val="00C20526"/>
    <w:rsid w:val="00C22897"/>
    <w:rsid w:val="00C25C74"/>
    <w:rsid w:val="00C44D54"/>
    <w:rsid w:val="00C473F7"/>
    <w:rsid w:val="00C56239"/>
    <w:rsid w:val="00C57322"/>
    <w:rsid w:val="00C62A2C"/>
    <w:rsid w:val="00C7062B"/>
    <w:rsid w:val="00C73A01"/>
    <w:rsid w:val="00C770B8"/>
    <w:rsid w:val="00C77F45"/>
    <w:rsid w:val="00C85BD9"/>
    <w:rsid w:val="00C907C7"/>
    <w:rsid w:val="00C95675"/>
    <w:rsid w:val="00CA0837"/>
    <w:rsid w:val="00CA5854"/>
    <w:rsid w:val="00CA588A"/>
    <w:rsid w:val="00CB4372"/>
    <w:rsid w:val="00CC5B4A"/>
    <w:rsid w:val="00CC76C4"/>
    <w:rsid w:val="00CC76D8"/>
    <w:rsid w:val="00CE49E0"/>
    <w:rsid w:val="00D01511"/>
    <w:rsid w:val="00D03CEC"/>
    <w:rsid w:val="00D10283"/>
    <w:rsid w:val="00D161E3"/>
    <w:rsid w:val="00D23B8B"/>
    <w:rsid w:val="00D24BD9"/>
    <w:rsid w:val="00D32D08"/>
    <w:rsid w:val="00D3376E"/>
    <w:rsid w:val="00D375CB"/>
    <w:rsid w:val="00D41463"/>
    <w:rsid w:val="00D44FC4"/>
    <w:rsid w:val="00D46B0A"/>
    <w:rsid w:val="00D47CE3"/>
    <w:rsid w:val="00D57A30"/>
    <w:rsid w:val="00D817E0"/>
    <w:rsid w:val="00D8351C"/>
    <w:rsid w:val="00D86A80"/>
    <w:rsid w:val="00D93085"/>
    <w:rsid w:val="00D95DA8"/>
    <w:rsid w:val="00DA45B8"/>
    <w:rsid w:val="00DB0BDA"/>
    <w:rsid w:val="00DB3D6F"/>
    <w:rsid w:val="00DC373E"/>
    <w:rsid w:val="00DD3E37"/>
    <w:rsid w:val="00DE6F24"/>
    <w:rsid w:val="00DE7B7A"/>
    <w:rsid w:val="00E0658F"/>
    <w:rsid w:val="00E1396B"/>
    <w:rsid w:val="00E177BC"/>
    <w:rsid w:val="00E21A05"/>
    <w:rsid w:val="00E27D80"/>
    <w:rsid w:val="00E313D9"/>
    <w:rsid w:val="00E3571C"/>
    <w:rsid w:val="00E3670E"/>
    <w:rsid w:val="00E40848"/>
    <w:rsid w:val="00E40D7A"/>
    <w:rsid w:val="00E44E0E"/>
    <w:rsid w:val="00E45234"/>
    <w:rsid w:val="00E510B0"/>
    <w:rsid w:val="00E5578C"/>
    <w:rsid w:val="00E610E5"/>
    <w:rsid w:val="00E61564"/>
    <w:rsid w:val="00E8567E"/>
    <w:rsid w:val="00E90135"/>
    <w:rsid w:val="00E901CA"/>
    <w:rsid w:val="00EC11D5"/>
    <w:rsid w:val="00EC5539"/>
    <w:rsid w:val="00F03144"/>
    <w:rsid w:val="00F06018"/>
    <w:rsid w:val="00F10525"/>
    <w:rsid w:val="00F23DC6"/>
    <w:rsid w:val="00F367BA"/>
    <w:rsid w:val="00F37A7C"/>
    <w:rsid w:val="00F45091"/>
    <w:rsid w:val="00F57EBA"/>
    <w:rsid w:val="00F65441"/>
    <w:rsid w:val="00F66085"/>
    <w:rsid w:val="00F7609C"/>
    <w:rsid w:val="00F81A1E"/>
    <w:rsid w:val="00F92787"/>
    <w:rsid w:val="00FB5A3D"/>
    <w:rsid w:val="00FC4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52115"/>
  <w15:chartTrackingRefBased/>
  <w15:docId w15:val="{7E4617E0-312A-1E4A-BECC-9E9EABD0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B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Irene</dc:creator>
  <cp:keywords/>
  <dc:description/>
  <cp:lastModifiedBy>Newton, Irene</cp:lastModifiedBy>
  <cp:revision>3</cp:revision>
  <dcterms:created xsi:type="dcterms:W3CDTF">2022-02-22T16:24:00Z</dcterms:created>
  <dcterms:modified xsi:type="dcterms:W3CDTF">2022-05-29T19:27:00Z</dcterms:modified>
</cp:coreProperties>
</file>