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125293" w14:textId="77777777" w:rsidR="00233886" w:rsidRPr="00F360EF" w:rsidRDefault="00233886" w:rsidP="00233886">
      <w:pPr>
        <w:pStyle w:val="Heading3"/>
        <w:spacing w:line="480" w:lineRule="auto"/>
        <w:rPr>
          <w:lang w:val="en-US"/>
        </w:rPr>
      </w:pPr>
      <w:r w:rsidRPr="00F360EF">
        <w:rPr>
          <w:lang w:val="en-US"/>
        </w:rPr>
        <w:t>Supplementary files</w:t>
      </w:r>
    </w:p>
    <w:p w14:paraId="71F6BF52" w14:textId="07D2B4DA" w:rsidR="00233886" w:rsidRDefault="00233886" w:rsidP="00233886">
      <w:pPr>
        <w:pStyle w:val="NoSpacing"/>
        <w:rPr>
          <w:b/>
          <w:bCs/>
          <w:lang w:val="en-US"/>
        </w:rPr>
      </w:pPr>
      <w:r w:rsidRPr="00233886">
        <w:rPr>
          <w:b/>
          <w:bCs/>
          <w:lang w:val="en-US"/>
        </w:rPr>
        <w:t>Figure S1: Recall and precision stratified by GC-content</w:t>
      </w:r>
    </w:p>
    <w:p w14:paraId="3970B70F" w14:textId="77777777" w:rsidR="00233886" w:rsidRPr="00233886" w:rsidRDefault="00233886" w:rsidP="00233886">
      <w:pPr>
        <w:pStyle w:val="NoSpacing"/>
        <w:rPr>
          <w:b/>
          <w:bCs/>
          <w:lang w:val="en-US"/>
        </w:rPr>
      </w:pPr>
    </w:p>
    <w:p w14:paraId="0C966F01" w14:textId="77777777" w:rsidR="00233886" w:rsidRPr="00233886" w:rsidRDefault="00233886" w:rsidP="00233886">
      <w:pPr>
        <w:pStyle w:val="NoSpacing"/>
        <w:rPr>
          <w:lang w:val="en-US"/>
        </w:rPr>
      </w:pPr>
      <w:r w:rsidRPr="00233886">
        <w:rPr>
          <w:b/>
          <w:bCs/>
          <w:lang w:val="en-US"/>
        </w:rPr>
        <w:t>Figure S2: Haploblock resolution of GENCODE features</w:t>
      </w:r>
      <w:r w:rsidRPr="00233886">
        <w:rPr>
          <w:b/>
          <w:bCs/>
          <w:lang w:val="en-US"/>
        </w:rPr>
        <w:t>.</w:t>
      </w:r>
      <w:r w:rsidRPr="00233886">
        <w:rPr>
          <w:lang w:val="en-US"/>
        </w:rPr>
        <w:t xml:space="preserve"> </w:t>
      </w:r>
      <w:r w:rsidRPr="00233886">
        <w:rPr>
          <w:lang w:val="en-US"/>
        </w:rPr>
        <w:t>For each of the most</w:t>
      </w:r>
    </w:p>
    <w:p w14:paraId="2216989D" w14:textId="35EF4BF3" w:rsidR="00233886" w:rsidRDefault="00233886" w:rsidP="00233886">
      <w:pPr>
        <w:pStyle w:val="NoSpacing"/>
        <w:rPr>
          <w:lang w:val="en-US"/>
        </w:rPr>
      </w:pPr>
      <w:r w:rsidRPr="00233886">
        <w:rPr>
          <w:lang w:val="en-US"/>
        </w:rPr>
        <w:t>2 common features, the percentage</w:t>
      </w:r>
      <w:r w:rsidRPr="00233886">
        <w:rPr>
          <w:lang w:val="en-US"/>
        </w:rPr>
        <w:t xml:space="preserve"> </w:t>
      </w:r>
      <w:r w:rsidRPr="00233886">
        <w:rPr>
          <w:lang w:val="en-US"/>
        </w:rPr>
        <w:t xml:space="preserve"> to be resolved into haploblocks compared to the feature length. The red line reflects the mean read length.</w:t>
      </w:r>
    </w:p>
    <w:p w14:paraId="38417F25" w14:textId="77777777" w:rsidR="00233886" w:rsidRPr="00233886" w:rsidRDefault="00233886" w:rsidP="00233886">
      <w:pPr>
        <w:pStyle w:val="NoSpacing"/>
        <w:rPr>
          <w:lang w:val="en-US"/>
        </w:rPr>
      </w:pPr>
    </w:p>
    <w:p w14:paraId="0D736DA9" w14:textId="77777777" w:rsidR="00233886" w:rsidRPr="00233886" w:rsidRDefault="00233886" w:rsidP="00233886">
      <w:pPr>
        <w:pStyle w:val="NoSpacing"/>
        <w:rPr>
          <w:lang w:val="en-US"/>
        </w:rPr>
      </w:pPr>
      <w:r w:rsidRPr="00233886">
        <w:rPr>
          <w:b/>
          <w:bCs/>
          <w:lang w:val="en-US"/>
        </w:rPr>
        <w:t>Figure S3: proportion of features which were covered and fully phased into haploblocks</w:t>
      </w:r>
      <w:r w:rsidRPr="00233886">
        <w:rPr>
          <w:lang w:val="en-US"/>
        </w:rPr>
        <w:t xml:space="preserve">. </w:t>
      </w:r>
      <w:r w:rsidRPr="00233886">
        <w:rPr>
          <w:lang w:val="en-US"/>
        </w:rPr>
        <w:t>The majority of each Genomic feature type was completely resolved in overlapping</w:t>
      </w:r>
    </w:p>
    <w:p w14:paraId="57E98132" w14:textId="494DEF6E" w:rsidR="00233886" w:rsidRDefault="00233886" w:rsidP="00233886">
      <w:pPr>
        <w:pStyle w:val="NoSpacing"/>
        <w:rPr>
          <w:lang w:val="en-US"/>
        </w:rPr>
      </w:pPr>
      <w:r w:rsidRPr="00233886">
        <w:rPr>
          <w:lang w:val="en-US"/>
        </w:rPr>
        <w:t>haploblocks.</w:t>
      </w:r>
    </w:p>
    <w:p w14:paraId="4DE7237B" w14:textId="77777777" w:rsidR="00233886" w:rsidRPr="00233886" w:rsidRDefault="00233886" w:rsidP="00233886">
      <w:pPr>
        <w:pStyle w:val="NoSpacing"/>
        <w:rPr>
          <w:lang w:val="en-US"/>
        </w:rPr>
      </w:pPr>
    </w:p>
    <w:p w14:paraId="340E43EA" w14:textId="59F72AC8" w:rsidR="00233886" w:rsidRDefault="00233886" w:rsidP="00233886">
      <w:pPr>
        <w:pStyle w:val="NoSpacing"/>
        <w:rPr>
          <w:lang w:val="en-US"/>
        </w:rPr>
      </w:pPr>
      <w:r w:rsidRPr="00233886">
        <w:rPr>
          <w:b/>
          <w:bCs/>
          <w:lang w:val="en-US"/>
        </w:rPr>
        <w:t xml:space="preserve">Figure S4: Alignment and phasing of reads for </w:t>
      </w:r>
      <w:r w:rsidRPr="00233886">
        <w:rPr>
          <w:b/>
          <w:bCs/>
          <w:i/>
          <w:iCs/>
          <w:lang w:val="en-US"/>
        </w:rPr>
        <w:t>CYP2D6</w:t>
      </w:r>
      <w:r w:rsidRPr="00233886">
        <w:rPr>
          <w:b/>
          <w:bCs/>
          <w:lang w:val="en-US"/>
        </w:rPr>
        <w:t xml:space="preserve"> (A), </w:t>
      </w:r>
      <w:r w:rsidRPr="00233886">
        <w:rPr>
          <w:b/>
          <w:bCs/>
          <w:i/>
          <w:iCs/>
          <w:lang w:val="en-US"/>
        </w:rPr>
        <w:t>VKORC1</w:t>
      </w:r>
      <w:r w:rsidRPr="00233886">
        <w:rPr>
          <w:b/>
          <w:bCs/>
          <w:lang w:val="en-US"/>
        </w:rPr>
        <w:t xml:space="preserve"> (B), </w:t>
      </w:r>
      <w:r w:rsidRPr="00233886">
        <w:rPr>
          <w:b/>
          <w:bCs/>
          <w:i/>
          <w:iCs/>
          <w:lang w:val="en-US"/>
        </w:rPr>
        <w:t>DPYD</w:t>
      </w:r>
      <w:r w:rsidRPr="00233886">
        <w:rPr>
          <w:b/>
          <w:bCs/>
          <w:lang w:val="en-US"/>
        </w:rPr>
        <w:t xml:space="preserve"> (C), </w:t>
      </w:r>
      <w:r w:rsidRPr="00233886">
        <w:rPr>
          <w:b/>
          <w:bCs/>
          <w:i/>
          <w:iCs/>
          <w:lang w:val="en-US"/>
        </w:rPr>
        <w:t>CYP2C19</w:t>
      </w:r>
      <w:r w:rsidRPr="00233886">
        <w:rPr>
          <w:b/>
          <w:bCs/>
          <w:lang w:val="en-US"/>
        </w:rPr>
        <w:t xml:space="preserve"> (D), </w:t>
      </w:r>
      <w:r w:rsidRPr="00233886">
        <w:rPr>
          <w:b/>
          <w:bCs/>
          <w:i/>
          <w:iCs/>
          <w:lang w:val="en-US"/>
        </w:rPr>
        <w:t>CYP2B6</w:t>
      </w:r>
      <w:r w:rsidRPr="00233886">
        <w:rPr>
          <w:b/>
          <w:bCs/>
          <w:lang w:val="en-US"/>
        </w:rPr>
        <w:t xml:space="preserve"> (E) and the </w:t>
      </w:r>
      <w:r w:rsidRPr="00233886">
        <w:rPr>
          <w:b/>
          <w:bCs/>
          <w:i/>
          <w:iCs/>
          <w:lang w:val="en-US"/>
        </w:rPr>
        <w:t>CYP3A</w:t>
      </w:r>
      <w:r w:rsidRPr="00233886">
        <w:rPr>
          <w:b/>
          <w:bCs/>
          <w:lang w:val="en-US"/>
        </w:rPr>
        <w:t xml:space="preserve"> locus (F)</w:t>
      </w:r>
      <w:r w:rsidRPr="00233886">
        <w:rPr>
          <w:b/>
          <w:bCs/>
          <w:lang w:val="en-US"/>
        </w:rPr>
        <w:t>.</w:t>
      </w:r>
      <w:r w:rsidRPr="00233886">
        <w:t xml:space="preserve"> </w:t>
      </w:r>
      <w:r w:rsidRPr="00233886">
        <w:rPr>
          <w:lang w:val="en-US"/>
        </w:rPr>
        <w:t>Allele 1 and 2 indicate the phased reads. Reads in allele</w:t>
      </w:r>
      <w:r w:rsidRPr="00233886">
        <w:rPr>
          <w:lang w:val="en-US"/>
        </w:rPr>
        <w:t xml:space="preserve"> </w:t>
      </w:r>
      <w:r w:rsidRPr="00233886">
        <w:rPr>
          <w:lang w:val="en-US"/>
        </w:rPr>
        <w:t>X could not be mapped to either one of the alleles. Reads were aligned to GRCh38.</w:t>
      </w:r>
    </w:p>
    <w:p w14:paraId="7A3115C4" w14:textId="77777777" w:rsidR="00233886" w:rsidRPr="00233886" w:rsidRDefault="00233886" w:rsidP="00233886">
      <w:pPr>
        <w:pStyle w:val="NoSpacing"/>
        <w:rPr>
          <w:lang w:val="en-US"/>
        </w:rPr>
      </w:pPr>
    </w:p>
    <w:p w14:paraId="22503F4D" w14:textId="0A40C6DD" w:rsidR="00233886" w:rsidRDefault="00233886" w:rsidP="00233886">
      <w:pPr>
        <w:pStyle w:val="NoSpacing"/>
      </w:pPr>
      <w:r w:rsidRPr="00233886">
        <w:rPr>
          <w:b/>
          <w:bCs/>
          <w:lang w:val="en-US"/>
        </w:rPr>
        <w:t>Table S1: Selected pharmacogenes</w:t>
      </w:r>
      <w:r w:rsidRPr="00233886">
        <w:rPr>
          <w:b/>
          <w:bCs/>
          <w:lang w:val="en-US"/>
        </w:rPr>
        <w:t>.</w:t>
      </w:r>
      <w:r w:rsidRPr="00233886">
        <w:rPr>
          <w:lang w:val="en-US"/>
        </w:rPr>
        <w:t xml:space="preserve"> </w:t>
      </w:r>
      <w:r>
        <w:t xml:space="preserve">100 pharmacogenes were selected based on their complexity. Genes were extracted from </w:t>
      </w:r>
      <w:proofErr w:type="spellStart"/>
      <w:r>
        <w:t>Lauschke</w:t>
      </w:r>
      <w:proofErr w:type="spellEnd"/>
      <w:r>
        <w:t xml:space="preserve"> et al in addition to the notoriously complex HLA-genes.</w:t>
      </w:r>
    </w:p>
    <w:p w14:paraId="7219CB4C" w14:textId="77777777" w:rsidR="00233886" w:rsidRPr="00233886" w:rsidRDefault="00233886" w:rsidP="00233886">
      <w:pPr>
        <w:pStyle w:val="NoSpacing"/>
        <w:rPr>
          <w:lang w:val="en-US"/>
        </w:rPr>
      </w:pPr>
    </w:p>
    <w:p w14:paraId="7B9937E6" w14:textId="23FD77E0" w:rsidR="00233886" w:rsidRDefault="00233886" w:rsidP="00233886">
      <w:pPr>
        <w:pStyle w:val="NoSpacing"/>
      </w:pPr>
      <w:r w:rsidRPr="00233886">
        <w:rPr>
          <w:b/>
          <w:bCs/>
          <w:lang w:val="en-US"/>
        </w:rPr>
        <w:t>Table S2: Stratified benchmarking results</w:t>
      </w:r>
      <w:r w:rsidRPr="00233886">
        <w:rPr>
          <w:b/>
          <w:bCs/>
          <w:lang w:val="en-US"/>
        </w:rPr>
        <w:t>.</w:t>
      </w:r>
      <w:r w:rsidRPr="00233886">
        <w:rPr>
          <w:lang w:val="en-US"/>
        </w:rPr>
        <w:t xml:space="preserve"> </w:t>
      </w:r>
      <w:r>
        <w:t xml:space="preserve">Benchmarking results were stratified to reflect the accuracy in different complex regions. Both </w:t>
      </w:r>
      <w:proofErr w:type="spellStart"/>
      <w:r>
        <w:t>DeepVariant</w:t>
      </w:r>
      <w:proofErr w:type="spellEnd"/>
      <w:r>
        <w:t xml:space="preserve"> and GATK variant caller were compared</w:t>
      </w:r>
    </w:p>
    <w:p w14:paraId="4DEC8FBC" w14:textId="77777777" w:rsidR="00233886" w:rsidRPr="00233886" w:rsidRDefault="00233886" w:rsidP="00233886">
      <w:pPr>
        <w:pStyle w:val="NoSpacing"/>
        <w:rPr>
          <w:lang w:val="en-US"/>
        </w:rPr>
      </w:pPr>
    </w:p>
    <w:p w14:paraId="400264F8" w14:textId="2F566AD1" w:rsidR="00233886" w:rsidRDefault="00233886" w:rsidP="00233886">
      <w:pPr>
        <w:pStyle w:val="NoSpacing"/>
        <w:rPr>
          <w:b/>
          <w:bCs/>
          <w:lang w:val="en-US"/>
        </w:rPr>
      </w:pPr>
      <w:r w:rsidRPr="00233886">
        <w:rPr>
          <w:b/>
          <w:bCs/>
          <w:lang w:val="en-US"/>
        </w:rPr>
        <w:t>Table S3: overlap between the high confidence GIAB data (HG002_SVs_Tier1_v0.6.bed) and the PGx genes</w:t>
      </w:r>
    </w:p>
    <w:p w14:paraId="214C99B0" w14:textId="77777777" w:rsidR="00233886" w:rsidRPr="00233886" w:rsidRDefault="00233886" w:rsidP="00233886">
      <w:pPr>
        <w:pStyle w:val="NoSpacing"/>
        <w:rPr>
          <w:b/>
          <w:bCs/>
          <w:lang w:val="en-US"/>
        </w:rPr>
      </w:pPr>
    </w:p>
    <w:p w14:paraId="36E86605" w14:textId="00AB58D8" w:rsidR="00233886" w:rsidRDefault="00233886" w:rsidP="00233886">
      <w:pPr>
        <w:pStyle w:val="NoSpacing"/>
        <w:rPr>
          <w:b/>
          <w:bCs/>
          <w:lang w:val="en-US"/>
        </w:rPr>
      </w:pPr>
      <w:r w:rsidRPr="00233886">
        <w:rPr>
          <w:b/>
          <w:bCs/>
          <w:lang w:val="en-US"/>
        </w:rPr>
        <w:t>Table S4: Structural variants identified in the pharmacogenes</w:t>
      </w:r>
    </w:p>
    <w:p w14:paraId="487C0D51" w14:textId="77777777" w:rsidR="00233886" w:rsidRPr="00233886" w:rsidRDefault="00233886" w:rsidP="00233886">
      <w:pPr>
        <w:pStyle w:val="NoSpacing"/>
        <w:rPr>
          <w:b/>
          <w:bCs/>
          <w:lang w:val="en-US"/>
        </w:rPr>
      </w:pPr>
    </w:p>
    <w:p w14:paraId="0C9EA530" w14:textId="753178B8" w:rsidR="00233886" w:rsidRDefault="00233886" w:rsidP="00233886">
      <w:pPr>
        <w:pStyle w:val="NoSpacing"/>
      </w:pPr>
      <w:r w:rsidRPr="00233886">
        <w:rPr>
          <w:b/>
          <w:bCs/>
          <w:lang w:val="en-US"/>
        </w:rPr>
        <w:t>Table S5: Clinical pharmacogenomics results</w:t>
      </w:r>
      <w:r w:rsidRPr="00233886">
        <w:rPr>
          <w:lang w:val="en-US"/>
        </w:rPr>
        <w:t>.</w:t>
      </w:r>
      <w:r w:rsidRPr="00233886">
        <w:t xml:space="preserve"> </w:t>
      </w:r>
      <w:r>
        <w:t>The U-PGx consortium’s variant panel was used to assign clinical genotypes and phenotypes. 38 variants in 10 genes were selected. Results from the sequencing data of the human in a bottle sample are included. NM: normal metabolizer, IM: intermediate metabolizer, PM: poor metabolizer, GAS: gene activity score in bold: pharmacogenomic mutations compared to the reference.</w:t>
      </w:r>
    </w:p>
    <w:p w14:paraId="05F1280E" w14:textId="77777777" w:rsidR="00233886" w:rsidRPr="00233886" w:rsidRDefault="00233886" w:rsidP="00233886">
      <w:pPr>
        <w:pStyle w:val="NoSpacing"/>
        <w:rPr>
          <w:lang w:val="en-US"/>
        </w:rPr>
      </w:pPr>
    </w:p>
    <w:p w14:paraId="3D33CDF9" w14:textId="31B62475" w:rsidR="00233886" w:rsidRPr="00233886" w:rsidRDefault="00233886" w:rsidP="00233886">
      <w:pPr>
        <w:pStyle w:val="NoSpacing"/>
        <w:rPr>
          <w:lang w:val="en-US"/>
        </w:rPr>
      </w:pPr>
      <w:r w:rsidRPr="00233886">
        <w:rPr>
          <w:b/>
          <w:bCs/>
          <w:lang w:val="en-US"/>
        </w:rPr>
        <w:t>Table S6: Complexity and haploblocks of studied genes included in the CPIC and DPWG guidelines</w:t>
      </w:r>
      <w:r w:rsidRPr="00233886">
        <w:rPr>
          <w:b/>
          <w:bCs/>
          <w:lang w:val="en-US"/>
        </w:rPr>
        <w:t>.</w:t>
      </w:r>
      <w:r w:rsidRPr="00233886">
        <w:rPr>
          <w:lang w:val="en-US"/>
        </w:rPr>
        <w:t xml:space="preserve"> </w:t>
      </w:r>
      <w:r w:rsidRPr="00D45F97">
        <w:t xml:space="preserve">Actionable is here defined as, a guideline which recommends a dose change or drug switch.  CPIC: Clinical Pharmacogenetics Implementation Consortium, DPWG: Dutch Pharmacogenetics Working group.   </w:t>
      </w:r>
    </w:p>
    <w:p w14:paraId="4801EA41" w14:textId="77777777" w:rsidR="00233886" w:rsidRPr="00233886" w:rsidRDefault="00233886" w:rsidP="00233886">
      <w:pPr>
        <w:pStyle w:val="NoSpacing"/>
        <w:rPr>
          <w:lang w:val="en-US"/>
        </w:rPr>
      </w:pPr>
    </w:p>
    <w:sectPr w:rsidR="00233886" w:rsidRPr="00233886" w:rsidSect="00DF4732">
      <w:footerReference w:type="default" r:id="rId5"/>
      <w:pgSz w:w="11906" w:h="16838"/>
      <w:pgMar w:top="851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94793770"/>
      <w:docPartObj>
        <w:docPartGallery w:val="Page Numbers (Bottom of Page)"/>
        <w:docPartUnique/>
      </w:docPartObj>
    </w:sdtPr>
    <w:sdtEndPr/>
    <w:sdtContent>
      <w:p w14:paraId="07719164" w14:textId="77777777" w:rsidR="00B053CF" w:rsidRDefault="0023388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2AE36B31" w14:textId="77777777" w:rsidR="00B053CF" w:rsidRDefault="00233886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0D4383"/>
    <w:multiLevelType w:val="hybridMultilevel"/>
    <w:tmpl w:val="0FCAF9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C1NLMwNDMwNzYxNzdW0lEKTi0uzszPAykwrAUAPCyXtywAAAA="/>
  </w:docVars>
  <w:rsids>
    <w:rsidRoot w:val="00233886"/>
    <w:rsid w:val="00233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E0D35"/>
  <w15:chartTrackingRefBased/>
  <w15:docId w15:val="{FC9EBB3A-0E4F-4F8E-A3B2-07F7BC5F8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886"/>
    <w:pPr>
      <w:spacing w:after="200" w:line="276" w:lineRule="auto"/>
    </w:pPr>
    <w:rPr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338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3388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23388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338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886"/>
    <w:rPr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233886"/>
  </w:style>
  <w:style w:type="paragraph" w:styleId="NoSpacing">
    <w:name w:val="No Spacing"/>
    <w:uiPriority w:val="1"/>
    <w:qFormat/>
    <w:rsid w:val="00233886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308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M. van der (KFT)</dc:creator>
  <cp:keywords/>
  <dc:description/>
  <cp:lastModifiedBy>Lee, M. van der (KFT)</cp:lastModifiedBy>
  <cp:revision>1</cp:revision>
  <dcterms:created xsi:type="dcterms:W3CDTF">2021-10-13T11:06:00Z</dcterms:created>
  <dcterms:modified xsi:type="dcterms:W3CDTF">2021-10-13T11:11:00Z</dcterms:modified>
</cp:coreProperties>
</file>