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B9C9D" w14:textId="219B7834" w:rsidR="00670126" w:rsidRDefault="00D168AC" w:rsidP="00DA713B">
      <w:pPr>
        <w:rPr>
          <w:sz w:val="22"/>
          <w:szCs w:val="22"/>
        </w:rPr>
      </w:pPr>
      <w:r w:rsidRPr="00D168AC">
        <w:rPr>
          <w:b/>
          <w:sz w:val="22"/>
          <w:szCs w:val="22"/>
        </w:rPr>
        <w:t>Supplementary Table 1:</w:t>
      </w:r>
      <w:r>
        <w:rPr>
          <w:sz w:val="22"/>
          <w:szCs w:val="22"/>
        </w:rPr>
        <w:t xml:space="preserve"> </w:t>
      </w:r>
      <w:r w:rsidR="00041990">
        <w:rPr>
          <w:sz w:val="22"/>
          <w:szCs w:val="22"/>
        </w:rPr>
        <w:t>Details of treatments of the 20</w:t>
      </w:r>
      <w:r w:rsidRPr="00D168AC">
        <w:rPr>
          <w:sz w:val="22"/>
          <w:szCs w:val="22"/>
        </w:rPr>
        <w:t xml:space="preserve"> </w:t>
      </w:r>
      <w:r w:rsidR="007B5435">
        <w:rPr>
          <w:sz w:val="22"/>
          <w:szCs w:val="22"/>
        </w:rPr>
        <w:t>included</w:t>
      </w:r>
      <w:r w:rsidRPr="00D168AC">
        <w:rPr>
          <w:sz w:val="22"/>
          <w:szCs w:val="22"/>
        </w:rPr>
        <w:t xml:space="preserve"> studies</w:t>
      </w:r>
    </w:p>
    <w:p w14:paraId="76ED52EA" w14:textId="77777777" w:rsidR="00FC3FF8" w:rsidRPr="004B4212" w:rsidRDefault="00FC3FF8" w:rsidP="00DA713B">
      <w:pPr>
        <w:rPr>
          <w:sz w:val="22"/>
          <w:szCs w:val="22"/>
        </w:rPr>
      </w:pPr>
    </w:p>
    <w:tbl>
      <w:tblPr>
        <w:tblStyle w:val="PlainTable2"/>
        <w:tblW w:w="15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5"/>
        <w:gridCol w:w="5123"/>
        <w:gridCol w:w="3240"/>
        <w:gridCol w:w="4417"/>
      </w:tblGrid>
      <w:tr w:rsidR="00DF6D18" w:rsidRPr="001A0A50" w14:paraId="6B5DE4C9" w14:textId="77777777" w:rsidTr="003E65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hideMark/>
          </w:tcPr>
          <w:p w14:paraId="71C41616" w14:textId="6895F4B6" w:rsidR="00397C61" w:rsidRPr="001A0A50" w:rsidRDefault="00FC3FF8" w:rsidP="00DA713B">
            <w:pPr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Study</w:t>
            </w:r>
          </w:p>
        </w:tc>
        <w:tc>
          <w:tcPr>
            <w:tcW w:w="5123" w:type="dxa"/>
          </w:tcPr>
          <w:p w14:paraId="678C2D9E" w14:textId="01BD3B33" w:rsidR="00397C61" w:rsidRPr="001A0A50" w:rsidRDefault="00397C61" w:rsidP="00DA713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Anthracycline</w:t>
            </w:r>
          </w:p>
        </w:tc>
        <w:tc>
          <w:tcPr>
            <w:tcW w:w="3240" w:type="dxa"/>
          </w:tcPr>
          <w:p w14:paraId="010661CE" w14:textId="1CA31B43" w:rsidR="00397C61" w:rsidRPr="001A0A50" w:rsidRDefault="00397C61" w:rsidP="00DA713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Radiotherapy</w:t>
            </w:r>
          </w:p>
        </w:tc>
        <w:tc>
          <w:tcPr>
            <w:tcW w:w="4417" w:type="dxa"/>
          </w:tcPr>
          <w:p w14:paraId="0A904F25" w14:textId="7BC99A48" w:rsidR="00397C61" w:rsidRPr="001A0A50" w:rsidRDefault="00692B3D" w:rsidP="00DA713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Other treatments</w:t>
            </w:r>
          </w:p>
        </w:tc>
      </w:tr>
      <w:tr w:rsidR="00240275" w:rsidRPr="001A0A50" w14:paraId="48F985E9" w14:textId="77777777" w:rsidTr="003E65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hideMark/>
          </w:tcPr>
          <w:p w14:paraId="1E0F49DB" w14:textId="77777777" w:rsidR="00240275" w:rsidRPr="00817ABF" w:rsidRDefault="00240275" w:rsidP="00AF5E18">
            <w:pPr>
              <w:rPr>
                <w:sz w:val="20"/>
                <w:szCs w:val="20"/>
                <w:lang w:val="fr-FR"/>
              </w:rPr>
            </w:pPr>
            <w:r w:rsidRPr="00817ABF">
              <w:rPr>
                <w:sz w:val="20"/>
                <w:szCs w:val="20"/>
                <w:lang w:val="fr-FR"/>
              </w:rPr>
              <w:t>Sági et al., BMC Cancer, 2018</w:t>
            </w:r>
          </w:p>
        </w:tc>
        <w:tc>
          <w:tcPr>
            <w:tcW w:w="5123" w:type="dxa"/>
          </w:tcPr>
          <w:p w14:paraId="4B91101B" w14:textId="398FE657" w:rsidR="00240275" w:rsidRPr="001A0A50" w:rsidRDefault="00817ABF" w:rsidP="00AF5E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All patients</w:t>
            </w:r>
            <w:r w:rsidR="00240275" w:rsidRPr="001A0A50">
              <w:rPr>
                <w:sz w:val="20"/>
                <w:szCs w:val="20"/>
              </w:rPr>
              <w:t xml:space="preserve"> were treated with anthracyclines, Cumulative anthracycline exposure calculated using doxorubicin equivalent.</w:t>
            </w:r>
          </w:p>
          <w:p w14:paraId="1723ADF8" w14:textId="1058E4E6" w:rsidR="00240275" w:rsidRPr="001A0A50" w:rsidRDefault="00240275" w:rsidP="00AF5E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 xml:space="preserve">ALL low-risk and medium-risk groups </w:t>
            </w:r>
            <w:r w:rsidR="00817ABF" w:rsidRPr="001A0A50">
              <w:rPr>
                <w:sz w:val="20"/>
                <w:szCs w:val="20"/>
              </w:rPr>
              <w:t>of</w:t>
            </w:r>
            <w:r w:rsidRPr="001A0A50">
              <w:rPr>
                <w:sz w:val="20"/>
                <w:szCs w:val="20"/>
              </w:rPr>
              <w:t xml:space="preserve"> doses between 180 and 240 mg/m</w:t>
            </w:r>
            <w:r w:rsidR="00817ABF" w:rsidRPr="001A0A50">
              <w:rPr>
                <w:sz w:val="20"/>
                <w:szCs w:val="20"/>
              </w:rPr>
              <w:t>².</w:t>
            </w:r>
          </w:p>
          <w:p w14:paraId="4ED5D045" w14:textId="77777777" w:rsidR="00240275" w:rsidRPr="001A0A50" w:rsidRDefault="00240275" w:rsidP="00AF5E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 xml:space="preserve">ALL high-risk group and relapsed patients: doses between 240 and 380 mg/m². </w:t>
            </w:r>
          </w:p>
          <w:p w14:paraId="54B09001" w14:textId="77777777" w:rsidR="00240275" w:rsidRPr="001A0A50" w:rsidRDefault="00240275" w:rsidP="00AF5E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 xml:space="preserve">Osteosarcoma standard-risk group: 360 mg/m² </w:t>
            </w:r>
          </w:p>
          <w:p w14:paraId="14915201" w14:textId="0AFABABD" w:rsidR="00240275" w:rsidRPr="001A0A50" w:rsidRDefault="001A0A50" w:rsidP="001A0A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high-risk group: 180 mg/m</w:t>
            </w:r>
            <w:r w:rsidR="00817ABF">
              <w:rPr>
                <w:sz w:val="20"/>
                <w:szCs w:val="20"/>
              </w:rPr>
              <w:t>².</w:t>
            </w:r>
          </w:p>
        </w:tc>
        <w:tc>
          <w:tcPr>
            <w:tcW w:w="3240" w:type="dxa"/>
          </w:tcPr>
          <w:p w14:paraId="2603A976" w14:textId="77777777" w:rsidR="00240275" w:rsidRPr="001A0A50" w:rsidRDefault="00240275" w:rsidP="00AF5E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NA</w:t>
            </w:r>
          </w:p>
          <w:p w14:paraId="7588D713" w14:textId="77777777" w:rsidR="00240275" w:rsidRPr="001A0A50" w:rsidRDefault="00240275" w:rsidP="00AF5E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4417" w:type="dxa"/>
          </w:tcPr>
          <w:p w14:paraId="1DAFF17C" w14:textId="77777777" w:rsidR="00240275" w:rsidRPr="001A0A50" w:rsidRDefault="00240275" w:rsidP="00AF5E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Treatment protocols:</w:t>
            </w:r>
          </w:p>
          <w:p w14:paraId="01CFE603" w14:textId="667C0EC6" w:rsidR="00240275" w:rsidRPr="001A0A50" w:rsidRDefault="00240275" w:rsidP="00AF5E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ALL BFM (Berlin–Frankfurt–Münster) 88, ALL BFM 90, ALL BFM 95, ALL IC-BFM (ALL Intercontinental) 2002 or ALL IC-BFM 2009; Interfant 98 or Interfant 2006</w:t>
            </w:r>
            <w:r w:rsidR="001A0A50">
              <w:rPr>
                <w:sz w:val="20"/>
                <w:szCs w:val="20"/>
              </w:rPr>
              <w:t>.</w:t>
            </w:r>
          </w:p>
          <w:p w14:paraId="64242108" w14:textId="77777777" w:rsidR="00240275" w:rsidRPr="001A0A50" w:rsidRDefault="00240275" w:rsidP="00AF5E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COSS (German-Austrian-Swiss osteosarcoma study group) -86 and COSS-96 protocols.</w:t>
            </w:r>
          </w:p>
          <w:p w14:paraId="73561892" w14:textId="404FB77E" w:rsidR="00240275" w:rsidRPr="001A0A50" w:rsidRDefault="00240275" w:rsidP="00AF5E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29% of the patients received 12 Gy cranial radiotherapy</w:t>
            </w:r>
            <w:r w:rsidR="001A0A50">
              <w:rPr>
                <w:sz w:val="20"/>
                <w:szCs w:val="20"/>
              </w:rPr>
              <w:t>.</w:t>
            </w:r>
          </w:p>
        </w:tc>
      </w:tr>
      <w:tr w:rsidR="00240275" w:rsidRPr="001A0A50" w14:paraId="00CB9B3E" w14:textId="77777777" w:rsidTr="003E659B">
        <w:trPr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</w:tcPr>
          <w:p w14:paraId="68A63FD3" w14:textId="646B2EEF" w:rsidR="00240275" w:rsidRPr="001A0A50" w:rsidRDefault="00240275" w:rsidP="00240275">
            <w:pPr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Blanco et al., JCO, 2012</w:t>
            </w:r>
          </w:p>
        </w:tc>
        <w:tc>
          <w:tcPr>
            <w:tcW w:w="5123" w:type="dxa"/>
          </w:tcPr>
          <w:p w14:paraId="7EF46F58" w14:textId="2D1884BF" w:rsidR="00240275" w:rsidRPr="001A0A50" w:rsidRDefault="00240275" w:rsidP="002402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Cumulative anthracycline exposure calculated using a factor that reflects the drug’s cardiotoxic potential (mg/m²)</w:t>
            </w:r>
            <w:r w:rsidR="001A0A50">
              <w:rPr>
                <w:sz w:val="20"/>
                <w:szCs w:val="20"/>
              </w:rPr>
              <w:t>.</w:t>
            </w:r>
          </w:p>
          <w:p w14:paraId="4CEB7B56" w14:textId="02609216" w:rsidR="00240275" w:rsidRPr="001A0A50" w:rsidRDefault="00240275" w:rsidP="002402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Cumulative anthracycline exposure was treated as a categorical variable (0, 1- 100, 101 - 150, 151 - 200, 201- 250, 251 - 300, &gt; 300).</w:t>
            </w:r>
          </w:p>
        </w:tc>
        <w:tc>
          <w:tcPr>
            <w:tcW w:w="3240" w:type="dxa"/>
          </w:tcPr>
          <w:p w14:paraId="00E76B7C" w14:textId="0E3301C3" w:rsidR="00240275" w:rsidRPr="001A0A50" w:rsidRDefault="00240275" w:rsidP="002402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Radiation therapy to the chest including the heart</w:t>
            </w:r>
            <w:r w:rsidR="00817ABF" w:rsidRPr="001A0A50">
              <w:rPr>
                <w:sz w:val="20"/>
                <w:szCs w:val="20"/>
              </w:rPr>
              <w:t>: (</w:t>
            </w:r>
            <w:r w:rsidRPr="001A0A50">
              <w:rPr>
                <w:sz w:val="20"/>
                <w:szCs w:val="20"/>
              </w:rPr>
              <w:t>Yes/No) variable.</w:t>
            </w:r>
          </w:p>
        </w:tc>
        <w:tc>
          <w:tcPr>
            <w:tcW w:w="4417" w:type="dxa"/>
          </w:tcPr>
          <w:p w14:paraId="49133456" w14:textId="67091668" w:rsidR="00240275" w:rsidRPr="001A0A50" w:rsidRDefault="00240275" w:rsidP="002402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NA</w:t>
            </w:r>
          </w:p>
        </w:tc>
      </w:tr>
      <w:tr w:rsidR="00240275" w:rsidRPr="001A0A50" w14:paraId="7D32A003" w14:textId="77777777" w:rsidTr="003E65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hideMark/>
          </w:tcPr>
          <w:p w14:paraId="5722C413" w14:textId="77777777" w:rsidR="00240275" w:rsidRPr="001A0A50" w:rsidRDefault="00240275" w:rsidP="00AF5E18">
            <w:pPr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Visscher et al., Pediatr Blood Cancer, 2013</w:t>
            </w:r>
          </w:p>
        </w:tc>
        <w:tc>
          <w:tcPr>
            <w:tcW w:w="5123" w:type="dxa"/>
          </w:tcPr>
          <w:p w14:paraId="6BC8FAAC" w14:textId="34B206A6" w:rsidR="00240275" w:rsidRPr="001A0A50" w:rsidRDefault="00240275" w:rsidP="00AF5E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All Canadian p</w:t>
            </w:r>
            <w:r w:rsidR="001A0A50">
              <w:rPr>
                <w:sz w:val="20"/>
                <w:szCs w:val="20"/>
              </w:rPr>
              <w:t>atients received anthracyclines.</w:t>
            </w:r>
          </w:p>
          <w:p w14:paraId="1845764C" w14:textId="77777777" w:rsidR="00240275" w:rsidRPr="001A0A50" w:rsidRDefault="00240275" w:rsidP="00AF5E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Cumulative anthracycline doses were calculated using doxorubicin equivalents.</w:t>
            </w:r>
          </w:p>
          <w:p w14:paraId="3BD804F8" w14:textId="77777777" w:rsidR="00240275" w:rsidRPr="001A0A50" w:rsidRDefault="00240275" w:rsidP="00AF5E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Cumulative anthracycline exposure was treated as a continuous variable.</w:t>
            </w:r>
          </w:p>
        </w:tc>
        <w:tc>
          <w:tcPr>
            <w:tcW w:w="3240" w:type="dxa"/>
          </w:tcPr>
          <w:p w14:paraId="6943833F" w14:textId="42ADFF36" w:rsidR="00240275" w:rsidRPr="001A0A50" w:rsidRDefault="00240275" w:rsidP="00AF5E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Radiotherapy to the heart</w:t>
            </w:r>
            <w:r w:rsidR="001621DB" w:rsidRPr="001A0A50">
              <w:rPr>
                <w:sz w:val="20"/>
                <w:szCs w:val="20"/>
              </w:rPr>
              <w:t>: (</w:t>
            </w:r>
            <w:r w:rsidRPr="001A0A50">
              <w:rPr>
                <w:sz w:val="20"/>
                <w:szCs w:val="20"/>
              </w:rPr>
              <w:t>Yes/No) variable.</w:t>
            </w:r>
          </w:p>
        </w:tc>
        <w:tc>
          <w:tcPr>
            <w:tcW w:w="4417" w:type="dxa"/>
          </w:tcPr>
          <w:p w14:paraId="5E0EE9F7" w14:textId="77777777" w:rsidR="00240275" w:rsidRPr="001A0A50" w:rsidRDefault="00240275" w:rsidP="00AF5E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NA</w:t>
            </w:r>
          </w:p>
        </w:tc>
      </w:tr>
      <w:tr w:rsidR="00240275" w:rsidRPr="001A0A50" w14:paraId="6D9C16B6" w14:textId="77777777" w:rsidTr="003E659B">
        <w:trPr>
          <w:trHeight w:val="1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hideMark/>
          </w:tcPr>
          <w:p w14:paraId="6A6F4B79" w14:textId="77777777" w:rsidR="00240275" w:rsidRPr="001A0A50" w:rsidRDefault="00240275" w:rsidP="00AF5E18">
            <w:pPr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Singh et al., Cancer, 2020</w:t>
            </w:r>
          </w:p>
        </w:tc>
        <w:tc>
          <w:tcPr>
            <w:tcW w:w="5123" w:type="dxa"/>
          </w:tcPr>
          <w:p w14:paraId="4AAF47AF" w14:textId="583EB4A2" w:rsidR="00240275" w:rsidRPr="001A0A50" w:rsidRDefault="00240275" w:rsidP="00AF5E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Cumulative anthracycline exposure calculated using a factor that reflects the drug’s cardiotoxic potential (mg/m²)</w:t>
            </w:r>
            <w:r w:rsidR="001A0A50">
              <w:rPr>
                <w:sz w:val="20"/>
                <w:szCs w:val="20"/>
              </w:rPr>
              <w:t>.</w:t>
            </w:r>
          </w:p>
          <w:p w14:paraId="415DDF8A" w14:textId="2CB5DF27" w:rsidR="00240275" w:rsidRPr="001A0A50" w:rsidRDefault="00240275" w:rsidP="00AF5E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Cumulative anthracycline exposure was treated as a continuous variable</w:t>
            </w:r>
            <w:r w:rsidR="001A0A50">
              <w:rPr>
                <w:sz w:val="20"/>
                <w:szCs w:val="20"/>
              </w:rPr>
              <w:t>.</w:t>
            </w:r>
          </w:p>
        </w:tc>
        <w:tc>
          <w:tcPr>
            <w:tcW w:w="3240" w:type="dxa"/>
          </w:tcPr>
          <w:p w14:paraId="4955783D" w14:textId="1C7D33E8" w:rsidR="00240275" w:rsidRPr="001A0A50" w:rsidRDefault="00240275" w:rsidP="00AF5E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Radiation therapy to the chest including the heart</w:t>
            </w:r>
            <w:r w:rsidR="001621DB" w:rsidRPr="001A0A50">
              <w:rPr>
                <w:sz w:val="20"/>
                <w:szCs w:val="20"/>
              </w:rPr>
              <w:t>: (</w:t>
            </w:r>
            <w:r w:rsidRPr="001A0A50">
              <w:rPr>
                <w:sz w:val="20"/>
                <w:szCs w:val="20"/>
              </w:rPr>
              <w:t>Yes/No) variable.</w:t>
            </w:r>
          </w:p>
        </w:tc>
        <w:tc>
          <w:tcPr>
            <w:tcW w:w="4417" w:type="dxa"/>
          </w:tcPr>
          <w:p w14:paraId="6EF2A475" w14:textId="77777777" w:rsidR="00240275" w:rsidRPr="001A0A50" w:rsidRDefault="00240275" w:rsidP="00AF5E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NA</w:t>
            </w:r>
          </w:p>
        </w:tc>
      </w:tr>
      <w:tr w:rsidR="00240275" w:rsidRPr="001A0A50" w14:paraId="33F604C4" w14:textId="77777777" w:rsidTr="003E65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hideMark/>
          </w:tcPr>
          <w:p w14:paraId="35FBD3B6" w14:textId="77777777" w:rsidR="00240275" w:rsidRPr="001A0A50" w:rsidRDefault="00240275" w:rsidP="00AF5E18">
            <w:pPr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Blanco et al., Cancer. 2008</w:t>
            </w:r>
          </w:p>
        </w:tc>
        <w:tc>
          <w:tcPr>
            <w:tcW w:w="5123" w:type="dxa"/>
          </w:tcPr>
          <w:p w14:paraId="18F5C65C" w14:textId="77777777" w:rsidR="00240275" w:rsidRPr="001A0A50" w:rsidRDefault="00240275" w:rsidP="00AF5E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Cumulative doses of anthracyclines.</w:t>
            </w:r>
          </w:p>
        </w:tc>
        <w:tc>
          <w:tcPr>
            <w:tcW w:w="3240" w:type="dxa"/>
          </w:tcPr>
          <w:p w14:paraId="27C777B6" w14:textId="77777777" w:rsidR="00240275" w:rsidRPr="001A0A50" w:rsidRDefault="00240275" w:rsidP="00AF5E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Radiation to the heart: total cumulative dose in cGy to the heart.</w:t>
            </w:r>
          </w:p>
        </w:tc>
        <w:tc>
          <w:tcPr>
            <w:tcW w:w="4417" w:type="dxa"/>
          </w:tcPr>
          <w:p w14:paraId="2A48551D" w14:textId="77777777" w:rsidR="00240275" w:rsidRPr="001A0A50" w:rsidRDefault="00240275" w:rsidP="00AF5E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NA</w:t>
            </w:r>
          </w:p>
        </w:tc>
      </w:tr>
      <w:tr w:rsidR="00240275" w:rsidRPr="001A0A50" w14:paraId="5DB8DDA0" w14:textId="77777777" w:rsidTr="003E659B">
        <w:trPr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hideMark/>
          </w:tcPr>
          <w:p w14:paraId="6965D334" w14:textId="2342517F" w:rsidR="00240275" w:rsidRPr="001A0A50" w:rsidRDefault="00240275" w:rsidP="005840F8">
            <w:pPr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Hildebrandt et al., Nature, 2017</w:t>
            </w:r>
          </w:p>
        </w:tc>
        <w:tc>
          <w:tcPr>
            <w:tcW w:w="5123" w:type="dxa"/>
          </w:tcPr>
          <w:p w14:paraId="02647013" w14:textId="6139E7D2" w:rsidR="00240275" w:rsidRPr="001A0A50" w:rsidRDefault="00240275" w:rsidP="00AF5E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 xml:space="preserve">Cumulative anthracyclines dose </w:t>
            </w:r>
            <w:r w:rsidR="001621DB" w:rsidRPr="001A0A50">
              <w:rPr>
                <w:sz w:val="20"/>
                <w:szCs w:val="20"/>
              </w:rPr>
              <w:t>was</w:t>
            </w:r>
            <w:r w:rsidRPr="001A0A50">
              <w:rPr>
                <w:sz w:val="20"/>
                <w:szCs w:val="20"/>
              </w:rPr>
              <w:t xml:space="preserve"> standardized to doxorubicin equivalents.</w:t>
            </w:r>
          </w:p>
        </w:tc>
        <w:tc>
          <w:tcPr>
            <w:tcW w:w="3240" w:type="dxa"/>
          </w:tcPr>
          <w:p w14:paraId="622C37E1" w14:textId="77777777" w:rsidR="00240275" w:rsidRPr="001A0A50" w:rsidRDefault="00240275" w:rsidP="00AF5E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NA</w:t>
            </w:r>
          </w:p>
        </w:tc>
        <w:tc>
          <w:tcPr>
            <w:tcW w:w="4417" w:type="dxa"/>
          </w:tcPr>
          <w:p w14:paraId="5568AEAC" w14:textId="77777777" w:rsidR="00240275" w:rsidRPr="001A0A50" w:rsidRDefault="00240275" w:rsidP="00AF5E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All patients who received anthracycline-based chemotherapy were also treated with other agents as indicated by cancer diagnosis.</w:t>
            </w:r>
          </w:p>
          <w:p w14:paraId="2C01D799" w14:textId="77777777" w:rsidR="00240275" w:rsidRPr="001A0A50" w:rsidRDefault="00240275" w:rsidP="00AF5E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Some patients were treated with cardiac medication.</w:t>
            </w:r>
          </w:p>
        </w:tc>
      </w:tr>
      <w:tr w:rsidR="00240275" w:rsidRPr="001A0A50" w14:paraId="6444C873" w14:textId="77777777" w:rsidTr="003E65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hideMark/>
          </w:tcPr>
          <w:p w14:paraId="4868DBFA" w14:textId="23F6FB00" w:rsidR="00240275" w:rsidRPr="001A0A50" w:rsidRDefault="00240275" w:rsidP="00AF5E18">
            <w:pPr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Aminkeng et al.</w:t>
            </w:r>
            <w:r w:rsidR="001621DB" w:rsidRPr="001A0A50">
              <w:rPr>
                <w:sz w:val="20"/>
                <w:szCs w:val="20"/>
              </w:rPr>
              <w:t>, Nat</w:t>
            </w:r>
            <w:r w:rsidRPr="001A0A50">
              <w:rPr>
                <w:sz w:val="20"/>
                <w:szCs w:val="20"/>
              </w:rPr>
              <w:t xml:space="preserve"> Genet. 2015</w:t>
            </w:r>
          </w:p>
        </w:tc>
        <w:tc>
          <w:tcPr>
            <w:tcW w:w="5123" w:type="dxa"/>
          </w:tcPr>
          <w:p w14:paraId="79CBF47C" w14:textId="7DA96909" w:rsidR="00240275" w:rsidRPr="001A0A50" w:rsidRDefault="00240275" w:rsidP="00AF5E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 xml:space="preserve">All patients received </w:t>
            </w:r>
            <w:r w:rsidR="001621DB" w:rsidRPr="001A0A50">
              <w:rPr>
                <w:sz w:val="20"/>
                <w:szCs w:val="20"/>
              </w:rPr>
              <w:t>anthracyclines.</w:t>
            </w:r>
          </w:p>
          <w:p w14:paraId="206F441E" w14:textId="77777777" w:rsidR="00240275" w:rsidRPr="001A0A50" w:rsidRDefault="00240275" w:rsidP="00AF5E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Cumulative anthracycline doses were calculated using doxorubicin equivalents.</w:t>
            </w:r>
          </w:p>
          <w:p w14:paraId="6794EB2B" w14:textId="77777777" w:rsidR="00240275" w:rsidRPr="001A0A50" w:rsidRDefault="00240275" w:rsidP="00AF5E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Cumulative anthracycline exposure was treated as a continuous variable.</w:t>
            </w:r>
          </w:p>
        </w:tc>
        <w:tc>
          <w:tcPr>
            <w:tcW w:w="3240" w:type="dxa"/>
          </w:tcPr>
          <w:p w14:paraId="570EBA45" w14:textId="27152155" w:rsidR="00240275" w:rsidRPr="001A0A50" w:rsidRDefault="00240275" w:rsidP="00AF5E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Radiation therapy included significant radiation exposure to the heart or surrounding tissue: mantle and mediastinal radiation, whole-lung radiation, whole-abdomen or upper abdominal radiation, left-side flank radiation, and total-body irradiation</w:t>
            </w:r>
            <w:r w:rsidR="001621DB" w:rsidRPr="001A0A50">
              <w:rPr>
                <w:sz w:val="20"/>
                <w:szCs w:val="20"/>
              </w:rPr>
              <w:t>:</w:t>
            </w:r>
            <w:r w:rsidRPr="001A0A50">
              <w:rPr>
                <w:sz w:val="20"/>
                <w:szCs w:val="20"/>
              </w:rPr>
              <w:t xml:space="preserve"> (Yes/No) variable.</w:t>
            </w:r>
          </w:p>
        </w:tc>
        <w:tc>
          <w:tcPr>
            <w:tcW w:w="4417" w:type="dxa"/>
          </w:tcPr>
          <w:p w14:paraId="6B0CC740" w14:textId="77777777" w:rsidR="00240275" w:rsidRPr="001A0A50" w:rsidRDefault="00240275" w:rsidP="00AF5E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NA</w:t>
            </w:r>
          </w:p>
        </w:tc>
      </w:tr>
      <w:tr w:rsidR="00240275" w:rsidRPr="001A0A50" w14:paraId="092BD633" w14:textId="77777777" w:rsidTr="003E659B">
        <w:trPr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hideMark/>
          </w:tcPr>
          <w:p w14:paraId="5CD79388" w14:textId="77777777" w:rsidR="00240275" w:rsidRPr="001A0A50" w:rsidRDefault="00240275" w:rsidP="00AF5E18">
            <w:pPr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lastRenderedPageBreak/>
              <w:t>Visscher et al., Pharmacogenomics, 2015</w:t>
            </w:r>
          </w:p>
        </w:tc>
        <w:tc>
          <w:tcPr>
            <w:tcW w:w="5123" w:type="dxa"/>
          </w:tcPr>
          <w:p w14:paraId="55439E59" w14:textId="29A53132" w:rsidR="00240275" w:rsidRPr="001A0A50" w:rsidRDefault="00240275" w:rsidP="00AF5E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All Canadian p</w:t>
            </w:r>
            <w:r w:rsidR="005840F8">
              <w:rPr>
                <w:sz w:val="20"/>
                <w:szCs w:val="20"/>
              </w:rPr>
              <w:t>atients received anthracyclines.</w:t>
            </w:r>
          </w:p>
          <w:p w14:paraId="1E1EA349" w14:textId="77777777" w:rsidR="00240275" w:rsidRPr="001A0A50" w:rsidRDefault="00240275" w:rsidP="00AF5E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Cumulative anthracycline doses were calculated using doxorubicin equivalents.</w:t>
            </w:r>
          </w:p>
          <w:p w14:paraId="186AF107" w14:textId="77777777" w:rsidR="00240275" w:rsidRPr="001A0A50" w:rsidRDefault="00240275" w:rsidP="00AF5E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Cumulative anthracycline exposure was treated as a continuous variable.</w:t>
            </w:r>
          </w:p>
        </w:tc>
        <w:tc>
          <w:tcPr>
            <w:tcW w:w="3240" w:type="dxa"/>
          </w:tcPr>
          <w:p w14:paraId="59AD5449" w14:textId="22D4E342" w:rsidR="00240275" w:rsidRPr="001A0A50" w:rsidRDefault="00240275" w:rsidP="00AF5E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Radiotherapy to the heart</w:t>
            </w:r>
            <w:r w:rsidR="001621DB" w:rsidRPr="001A0A50">
              <w:rPr>
                <w:sz w:val="20"/>
                <w:szCs w:val="20"/>
              </w:rPr>
              <w:t>: (</w:t>
            </w:r>
            <w:r w:rsidRPr="001A0A50">
              <w:rPr>
                <w:sz w:val="20"/>
                <w:szCs w:val="20"/>
              </w:rPr>
              <w:t>Yes/No) variable.</w:t>
            </w:r>
          </w:p>
        </w:tc>
        <w:tc>
          <w:tcPr>
            <w:tcW w:w="4417" w:type="dxa"/>
          </w:tcPr>
          <w:p w14:paraId="69875DF1" w14:textId="77777777" w:rsidR="00240275" w:rsidRPr="001A0A50" w:rsidRDefault="00240275" w:rsidP="00AF5E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NA</w:t>
            </w:r>
          </w:p>
        </w:tc>
      </w:tr>
      <w:tr w:rsidR="00240275" w:rsidRPr="001A0A50" w14:paraId="6D65B4D3" w14:textId="77777777" w:rsidTr="003E65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hideMark/>
          </w:tcPr>
          <w:p w14:paraId="23B7623C" w14:textId="77777777" w:rsidR="00240275" w:rsidRPr="001A0A50" w:rsidRDefault="00240275" w:rsidP="00AF5E18">
            <w:pPr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Wang et al., JCO, 2016</w:t>
            </w:r>
          </w:p>
        </w:tc>
        <w:tc>
          <w:tcPr>
            <w:tcW w:w="5123" w:type="dxa"/>
          </w:tcPr>
          <w:p w14:paraId="4D405A7C" w14:textId="77777777" w:rsidR="00240275" w:rsidRPr="001A0A50" w:rsidRDefault="00240275" w:rsidP="00AF5E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Cumulative anthracycline exposure calculated using a factor that reflects the drug’s cardiotoxic potential (mg/m²)</w:t>
            </w:r>
          </w:p>
          <w:p w14:paraId="38DC13D9" w14:textId="77777777" w:rsidR="00240275" w:rsidRPr="001A0A50" w:rsidRDefault="00240275" w:rsidP="00AF5E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Cumulative anthracycline exposure was treated as a continuous variable.</w:t>
            </w:r>
          </w:p>
        </w:tc>
        <w:tc>
          <w:tcPr>
            <w:tcW w:w="3240" w:type="dxa"/>
          </w:tcPr>
          <w:p w14:paraId="6DF24CA3" w14:textId="3023B6AC" w:rsidR="00240275" w:rsidRPr="001A0A50" w:rsidRDefault="00240275" w:rsidP="00AF5E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Radiation therapy to the chest including the heart</w:t>
            </w:r>
            <w:r w:rsidR="001621DB" w:rsidRPr="001A0A50">
              <w:rPr>
                <w:sz w:val="20"/>
                <w:szCs w:val="20"/>
              </w:rPr>
              <w:t>: (</w:t>
            </w:r>
            <w:r w:rsidRPr="001A0A50">
              <w:rPr>
                <w:sz w:val="20"/>
                <w:szCs w:val="20"/>
              </w:rPr>
              <w:t>Yes/No) variable.</w:t>
            </w:r>
          </w:p>
        </w:tc>
        <w:tc>
          <w:tcPr>
            <w:tcW w:w="4417" w:type="dxa"/>
          </w:tcPr>
          <w:p w14:paraId="0372FD22" w14:textId="77777777" w:rsidR="00240275" w:rsidRPr="001A0A50" w:rsidRDefault="00240275" w:rsidP="00AF5E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NA</w:t>
            </w:r>
          </w:p>
        </w:tc>
      </w:tr>
      <w:tr w:rsidR="00240275" w:rsidRPr="001A0A50" w14:paraId="25694448" w14:textId="77777777" w:rsidTr="003E659B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hideMark/>
          </w:tcPr>
          <w:p w14:paraId="2B82CBFB" w14:textId="77777777" w:rsidR="00240275" w:rsidRPr="001A0A50" w:rsidRDefault="00240275" w:rsidP="00AF5E18">
            <w:pPr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Wang et al., JCO, 2014</w:t>
            </w:r>
          </w:p>
        </w:tc>
        <w:tc>
          <w:tcPr>
            <w:tcW w:w="5123" w:type="dxa"/>
          </w:tcPr>
          <w:p w14:paraId="53D8210B" w14:textId="77777777" w:rsidR="00240275" w:rsidRPr="001A0A50" w:rsidRDefault="00240275" w:rsidP="00AF5E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Cumulative anthracycline exposure calculated using a factor that reflects the drug’s cardiotoxic potential (mg/m²)</w:t>
            </w:r>
          </w:p>
          <w:p w14:paraId="25787A11" w14:textId="77777777" w:rsidR="00240275" w:rsidRPr="001A0A50" w:rsidRDefault="00240275" w:rsidP="00AF5E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Cumulative anthracycline exposure was treated as a continuous variable.</w:t>
            </w:r>
          </w:p>
        </w:tc>
        <w:tc>
          <w:tcPr>
            <w:tcW w:w="3240" w:type="dxa"/>
          </w:tcPr>
          <w:p w14:paraId="19EF9434" w14:textId="352217C1" w:rsidR="00240275" w:rsidRPr="001A0A50" w:rsidRDefault="00240275" w:rsidP="00AF5E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Total radiation therapy to the chest including the heart:  continuous variable</w:t>
            </w:r>
            <w:r w:rsidR="005840F8">
              <w:rPr>
                <w:sz w:val="20"/>
                <w:szCs w:val="20"/>
              </w:rPr>
              <w:t>.</w:t>
            </w:r>
          </w:p>
        </w:tc>
        <w:tc>
          <w:tcPr>
            <w:tcW w:w="4417" w:type="dxa"/>
          </w:tcPr>
          <w:p w14:paraId="171540F2" w14:textId="77777777" w:rsidR="00240275" w:rsidRPr="001A0A50" w:rsidRDefault="00240275" w:rsidP="00AF5E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NA</w:t>
            </w:r>
          </w:p>
        </w:tc>
      </w:tr>
      <w:tr w:rsidR="007F7A07" w:rsidRPr="001A0A50" w14:paraId="53211DAB" w14:textId="77777777" w:rsidTr="00BC08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hideMark/>
          </w:tcPr>
          <w:p w14:paraId="191FA9DE" w14:textId="77777777" w:rsidR="007F7A07" w:rsidRPr="001A0A50" w:rsidRDefault="007F7A07" w:rsidP="00BC08BC">
            <w:pPr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Wang et al., JCO, 2022</w:t>
            </w:r>
          </w:p>
        </w:tc>
        <w:tc>
          <w:tcPr>
            <w:tcW w:w="5123" w:type="dxa"/>
          </w:tcPr>
          <w:p w14:paraId="6EC46EA8" w14:textId="77777777" w:rsidR="007F7A07" w:rsidRPr="001A0A50" w:rsidRDefault="007F7A07" w:rsidP="00BC08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Anthracycline exposure included exposure to doxorubicin, daunorubicin, idarubicin, epirubicin, or mitoxantrone.</w:t>
            </w:r>
          </w:p>
          <w:p w14:paraId="00D6080A" w14:textId="77777777" w:rsidR="007F7A07" w:rsidRPr="001A0A50" w:rsidRDefault="007F7A07" w:rsidP="00BC08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Cumulative anthracycline exposure calculated using a factor that reflects the drug’s cardiotoxic potential (mg/m²)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240" w:type="dxa"/>
          </w:tcPr>
          <w:p w14:paraId="2DFF156A" w14:textId="77777777" w:rsidR="007F7A07" w:rsidRPr="001A0A50" w:rsidRDefault="007F7A07" w:rsidP="00BC08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Radiation to the chest with heart in the field was captured as a yes/no variable.</w:t>
            </w:r>
          </w:p>
        </w:tc>
        <w:tc>
          <w:tcPr>
            <w:tcW w:w="4417" w:type="dxa"/>
          </w:tcPr>
          <w:p w14:paraId="2DE55CAD" w14:textId="77777777" w:rsidR="007F7A07" w:rsidRPr="001A0A50" w:rsidRDefault="007F7A07" w:rsidP="00BC08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NA</w:t>
            </w:r>
          </w:p>
        </w:tc>
      </w:tr>
      <w:tr w:rsidR="00240275" w:rsidRPr="001A0A50" w14:paraId="321756DE" w14:textId="77777777" w:rsidTr="003E659B">
        <w:trPr>
          <w:trHeight w:val="4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hideMark/>
          </w:tcPr>
          <w:p w14:paraId="0C1ED5DA" w14:textId="7923046C" w:rsidR="00240275" w:rsidRPr="001A0A50" w:rsidRDefault="007F7A07" w:rsidP="007F7A0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Visscher et al., JCO</w:t>
            </w:r>
            <w:r w:rsidR="00240275" w:rsidRPr="001A0A50">
              <w:rPr>
                <w:sz w:val="20"/>
                <w:szCs w:val="20"/>
              </w:rPr>
              <w:t>, 2012</w:t>
            </w:r>
          </w:p>
        </w:tc>
        <w:tc>
          <w:tcPr>
            <w:tcW w:w="5123" w:type="dxa"/>
          </w:tcPr>
          <w:p w14:paraId="4B37C9F2" w14:textId="1A3BEE8A" w:rsidR="00240275" w:rsidRPr="001A0A50" w:rsidRDefault="00240275" w:rsidP="002402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All Canadian patients recei</w:t>
            </w:r>
            <w:r w:rsidR="00707DE2">
              <w:rPr>
                <w:sz w:val="20"/>
                <w:szCs w:val="20"/>
              </w:rPr>
              <w:t>ved doxorubicin or daunorubicin.</w:t>
            </w:r>
          </w:p>
          <w:p w14:paraId="7F1C6375" w14:textId="2C6007CD" w:rsidR="00240275" w:rsidRPr="001A0A50" w:rsidRDefault="00240275" w:rsidP="002402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23/96 patients in the Dutch-EKZ cohort received other anthracyclines instead.</w:t>
            </w:r>
          </w:p>
          <w:p w14:paraId="6405170A" w14:textId="7AC5988B" w:rsidR="00240275" w:rsidRPr="001A0A50" w:rsidRDefault="00240275" w:rsidP="002402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Cumulative anthracycline doses were calculated using doxorubicin equivalents.</w:t>
            </w:r>
          </w:p>
          <w:p w14:paraId="44F7646E" w14:textId="3251BB11" w:rsidR="00240275" w:rsidRPr="001A0A50" w:rsidRDefault="00240275" w:rsidP="002402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Cumulative anthracycline exposure was treated as a continuous variable.</w:t>
            </w:r>
          </w:p>
        </w:tc>
        <w:tc>
          <w:tcPr>
            <w:tcW w:w="3240" w:type="dxa"/>
          </w:tcPr>
          <w:p w14:paraId="517AA14A" w14:textId="27CD81E1" w:rsidR="00240275" w:rsidRPr="001A0A50" w:rsidRDefault="00240275" w:rsidP="002402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Radiotherapy to the heart</w:t>
            </w:r>
            <w:r w:rsidR="001621DB" w:rsidRPr="001A0A50">
              <w:rPr>
                <w:sz w:val="20"/>
                <w:szCs w:val="20"/>
              </w:rPr>
              <w:t>: (</w:t>
            </w:r>
            <w:r w:rsidRPr="001A0A50">
              <w:rPr>
                <w:sz w:val="20"/>
                <w:szCs w:val="20"/>
              </w:rPr>
              <w:t>Yes/No) variable.</w:t>
            </w:r>
          </w:p>
        </w:tc>
        <w:tc>
          <w:tcPr>
            <w:tcW w:w="4417" w:type="dxa"/>
          </w:tcPr>
          <w:p w14:paraId="6C6A545B" w14:textId="67A5D361" w:rsidR="00240275" w:rsidRPr="001A0A50" w:rsidRDefault="00240275" w:rsidP="002402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NA</w:t>
            </w:r>
          </w:p>
        </w:tc>
      </w:tr>
      <w:tr w:rsidR="00240275" w:rsidRPr="001A0A50" w14:paraId="1BAC4DF6" w14:textId="77777777" w:rsidTr="003E65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hideMark/>
          </w:tcPr>
          <w:p w14:paraId="520E1D1A" w14:textId="39CD9575" w:rsidR="00240275" w:rsidRPr="00817ABF" w:rsidRDefault="00240275" w:rsidP="00240275">
            <w:pPr>
              <w:rPr>
                <w:sz w:val="20"/>
                <w:szCs w:val="20"/>
                <w:lang w:val="fr-FR"/>
              </w:rPr>
            </w:pPr>
            <w:r w:rsidRPr="00817ABF">
              <w:rPr>
                <w:sz w:val="20"/>
                <w:szCs w:val="20"/>
                <w:lang w:val="fr-FR"/>
              </w:rPr>
              <w:t xml:space="preserve">Chaix et al., </w:t>
            </w:r>
            <w:r w:rsidR="001621DB" w:rsidRPr="00817ABF">
              <w:rPr>
                <w:sz w:val="20"/>
                <w:szCs w:val="20"/>
                <w:lang w:val="fr-FR"/>
              </w:rPr>
              <w:t xml:space="preserve">JACC </w:t>
            </w:r>
            <w:r w:rsidR="001621DB" w:rsidRPr="00817ABF">
              <w:rPr>
                <w:b w:val="0"/>
                <w:bCs w:val="0"/>
                <w:sz w:val="20"/>
                <w:szCs w:val="20"/>
                <w:lang w:val="fr-FR"/>
              </w:rPr>
              <w:t>:</w:t>
            </w:r>
            <w:r w:rsidRPr="00817ABF">
              <w:rPr>
                <w:sz w:val="20"/>
                <w:szCs w:val="20"/>
                <w:lang w:val="fr-FR"/>
              </w:rPr>
              <w:t xml:space="preserve"> Cardiooncology, 2020.</w:t>
            </w:r>
          </w:p>
        </w:tc>
        <w:tc>
          <w:tcPr>
            <w:tcW w:w="5123" w:type="dxa"/>
          </w:tcPr>
          <w:p w14:paraId="6EB5C25D" w14:textId="58849E45" w:rsidR="00240275" w:rsidRPr="001A0A50" w:rsidRDefault="00240275" w:rsidP="002402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The anthracycline cumulative dose was measured in doxorubicin equivalents (mg/m</w:t>
            </w:r>
            <w:r w:rsidR="00707DE2">
              <w:rPr>
                <w:sz w:val="20"/>
                <w:szCs w:val="20"/>
              </w:rPr>
              <w:t>²</w:t>
            </w:r>
            <w:r w:rsidRPr="001A0A50">
              <w:rPr>
                <w:sz w:val="20"/>
                <w:szCs w:val="20"/>
              </w:rPr>
              <w:t>).</w:t>
            </w:r>
          </w:p>
          <w:p w14:paraId="1B734E56" w14:textId="54C6A309" w:rsidR="00240275" w:rsidRPr="001A0A50" w:rsidRDefault="00240275" w:rsidP="002402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Cases received low cumulative anthracycline dose (≤250 mg/m</w:t>
            </w:r>
            <w:r w:rsidRPr="001A0A50">
              <w:rPr>
                <w:sz w:val="20"/>
                <w:szCs w:val="20"/>
                <w:vertAlign w:val="superscript"/>
              </w:rPr>
              <w:t>2</w:t>
            </w:r>
            <w:r w:rsidRPr="001A0A50">
              <w:rPr>
                <w:sz w:val="20"/>
                <w:szCs w:val="20"/>
              </w:rPr>
              <w:t xml:space="preserve">) </w:t>
            </w:r>
          </w:p>
          <w:p w14:paraId="2B3E5B7C" w14:textId="70E7D271" w:rsidR="00240275" w:rsidRPr="001A0A50" w:rsidRDefault="00240275" w:rsidP="002402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Controls received high dose anthracycline (&gt;250 mg/m</w:t>
            </w:r>
            <w:r w:rsidRPr="001A0A50">
              <w:rPr>
                <w:sz w:val="20"/>
                <w:szCs w:val="20"/>
                <w:vertAlign w:val="superscript"/>
              </w:rPr>
              <w:t>2</w:t>
            </w:r>
            <w:r w:rsidRPr="001A0A50">
              <w:rPr>
                <w:sz w:val="20"/>
                <w:szCs w:val="20"/>
              </w:rPr>
              <w:t>).</w:t>
            </w:r>
          </w:p>
        </w:tc>
        <w:tc>
          <w:tcPr>
            <w:tcW w:w="3240" w:type="dxa"/>
          </w:tcPr>
          <w:p w14:paraId="08603012" w14:textId="16B0348D" w:rsidR="00240275" w:rsidRPr="001A0A50" w:rsidRDefault="00240275" w:rsidP="002402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Radiation therapy to the chest including the heart</w:t>
            </w:r>
            <w:r w:rsidR="001621DB" w:rsidRPr="001A0A50">
              <w:rPr>
                <w:sz w:val="20"/>
                <w:szCs w:val="20"/>
              </w:rPr>
              <w:t>: (</w:t>
            </w:r>
            <w:r w:rsidRPr="001A0A50">
              <w:rPr>
                <w:sz w:val="20"/>
                <w:szCs w:val="20"/>
              </w:rPr>
              <w:t>Yes/No) variable.</w:t>
            </w:r>
          </w:p>
        </w:tc>
        <w:tc>
          <w:tcPr>
            <w:tcW w:w="4417" w:type="dxa"/>
          </w:tcPr>
          <w:p w14:paraId="027F47C4" w14:textId="25E5238F" w:rsidR="00240275" w:rsidRPr="001A0A50" w:rsidRDefault="00240275" w:rsidP="002402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Dexrazoxane</w:t>
            </w:r>
          </w:p>
        </w:tc>
      </w:tr>
      <w:tr w:rsidR="007F7A07" w:rsidRPr="001A0A50" w14:paraId="236932B9" w14:textId="77777777" w:rsidTr="003E659B">
        <w:trPr>
          <w:trHeight w:val="7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</w:tcPr>
          <w:p w14:paraId="75D7E755" w14:textId="3F4C3EA4" w:rsidR="007F7A07" w:rsidRPr="001621DB" w:rsidRDefault="007F7A07" w:rsidP="00240275">
            <w:pPr>
              <w:rPr>
                <w:sz w:val="20"/>
                <w:szCs w:val="20"/>
              </w:rPr>
            </w:pPr>
            <w:r w:rsidRPr="001621DB">
              <w:rPr>
                <w:sz w:val="20"/>
                <w:lang w:val="en-GB"/>
              </w:rPr>
              <w:t>Sharafeldin et al., JACC: Cardiooncology, 2023</w:t>
            </w:r>
          </w:p>
        </w:tc>
        <w:tc>
          <w:tcPr>
            <w:tcW w:w="5123" w:type="dxa"/>
          </w:tcPr>
          <w:p w14:paraId="76D298DE" w14:textId="00D0D2E0" w:rsidR="007F7A07" w:rsidRPr="001621DB" w:rsidRDefault="00DF7AF4" w:rsidP="00DF7A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621DB">
              <w:rPr>
                <w:sz w:val="20"/>
                <w:szCs w:val="20"/>
              </w:rPr>
              <w:t>Anthracycline exposure was calculated by multiplying the cumulative dose (mg/m²) of individual anthracyclines (doxorubicin, daunomycin, epirubicin, or idarubicin) by a drug cardiotoxicity factor and summing the results.</w:t>
            </w:r>
          </w:p>
        </w:tc>
        <w:tc>
          <w:tcPr>
            <w:tcW w:w="3240" w:type="dxa"/>
          </w:tcPr>
          <w:p w14:paraId="083F798F" w14:textId="4C61056F" w:rsidR="007F7A07" w:rsidRPr="001621DB" w:rsidRDefault="00DF7AF4" w:rsidP="002402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621DB">
              <w:rPr>
                <w:sz w:val="20"/>
                <w:szCs w:val="20"/>
              </w:rPr>
              <w:t>Radiation therapy to the chest when the heart was in the radiation field</w:t>
            </w:r>
            <w:r w:rsidR="001621DB" w:rsidRPr="001621DB">
              <w:rPr>
                <w:sz w:val="20"/>
                <w:szCs w:val="20"/>
              </w:rPr>
              <w:t>: (</w:t>
            </w:r>
            <w:r w:rsidRPr="001621DB">
              <w:rPr>
                <w:sz w:val="20"/>
                <w:szCs w:val="20"/>
              </w:rPr>
              <w:t>Yes/No) variable.</w:t>
            </w:r>
          </w:p>
        </w:tc>
        <w:tc>
          <w:tcPr>
            <w:tcW w:w="4417" w:type="dxa"/>
          </w:tcPr>
          <w:p w14:paraId="06270EA3" w14:textId="6C2FE55B" w:rsidR="007F7A07" w:rsidRPr="001A0A50" w:rsidRDefault="00041990" w:rsidP="002402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621DB">
              <w:rPr>
                <w:sz w:val="20"/>
                <w:szCs w:val="20"/>
              </w:rPr>
              <w:t>NA</w:t>
            </w:r>
          </w:p>
        </w:tc>
      </w:tr>
      <w:tr w:rsidR="00240275" w:rsidRPr="001A0A50" w14:paraId="32881C4C" w14:textId="77777777" w:rsidTr="003E65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hideMark/>
          </w:tcPr>
          <w:p w14:paraId="283D0C71" w14:textId="77777777" w:rsidR="00240275" w:rsidRPr="001A0A50" w:rsidRDefault="00240275" w:rsidP="00AF5E18">
            <w:pPr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Krajinovic et al., The Pharmacogenomics Journal, 2016</w:t>
            </w:r>
          </w:p>
        </w:tc>
        <w:tc>
          <w:tcPr>
            <w:tcW w:w="5123" w:type="dxa"/>
          </w:tcPr>
          <w:p w14:paraId="491324BD" w14:textId="77777777" w:rsidR="00240275" w:rsidRPr="001A0A50" w:rsidRDefault="00240275" w:rsidP="00AF5E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All patients received at least two 30 mg/m² doses of doxorubicin.</w:t>
            </w:r>
          </w:p>
          <w:p w14:paraId="7E7550C1" w14:textId="77777777" w:rsidR="00240275" w:rsidRPr="001A0A50" w:rsidRDefault="00240275" w:rsidP="00AF5E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High-risk patients continued to receive one weekly doxorubicin dose during the consolidation phase, for a total cumulative dose of 300 mg/m² for the 95-01 and 00-01 protocols, or 360 mg/m ² for the 87-01 and 91-01 protocols.</w:t>
            </w:r>
          </w:p>
        </w:tc>
        <w:tc>
          <w:tcPr>
            <w:tcW w:w="3240" w:type="dxa"/>
          </w:tcPr>
          <w:p w14:paraId="75A8041B" w14:textId="77777777" w:rsidR="00240275" w:rsidRPr="001A0A50" w:rsidRDefault="00240275" w:rsidP="00AF5E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NA</w:t>
            </w:r>
          </w:p>
        </w:tc>
        <w:tc>
          <w:tcPr>
            <w:tcW w:w="4417" w:type="dxa"/>
          </w:tcPr>
          <w:p w14:paraId="49B273B9" w14:textId="77777777" w:rsidR="00240275" w:rsidRPr="001A0A50" w:rsidRDefault="00240275" w:rsidP="00AF5E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DFCI consortium 87-01, 91-01, 95-01, or 00-01.</w:t>
            </w:r>
          </w:p>
          <w:p w14:paraId="5E0E5A0B" w14:textId="77777777" w:rsidR="00240275" w:rsidRPr="001A0A50" w:rsidRDefault="00240275" w:rsidP="00AF5E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For 95-01 protocol, high-risk patients were randomized to receive (or not) a 300 mg/m² dose of Dexrazoxane during induction and consolidation therapy.</w:t>
            </w:r>
          </w:p>
          <w:p w14:paraId="67A15007" w14:textId="77777777" w:rsidR="00240275" w:rsidRPr="001A0A50" w:rsidRDefault="00240275" w:rsidP="00AF5E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For 00-01 protocol, all high-risk patients received dexrazoxane before doxorubicin administration.</w:t>
            </w:r>
          </w:p>
        </w:tc>
      </w:tr>
      <w:tr w:rsidR="00240275" w:rsidRPr="001A0A50" w14:paraId="22A3D556" w14:textId="77777777" w:rsidTr="003E659B">
        <w:trPr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hideMark/>
          </w:tcPr>
          <w:p w14:paraId="153D44D9" w14:textId="77777777" w:rsidR="00240275" w:rsidRPr="001A0A50" w:rsidRDefault="00240275" w:rsidP="00AF5E18">
            <w:pPr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Semsei A., Cell Biol. Int, 2012</w:t>
            </w:r>
          </w:p>
        </w:tc>
        <w:tc>
          <w:tcPr>
            <w:tcW w:w="5123" w:type="dxa"/>
          </w:tcPr>
          <w:p w14:paraId="6A87063B" w14:textId="682BBD3C" w:rsidR="00240275" w:rsidRPr="001A0A50" w:rsidRDefault="00240275" w:rsidP="00AF5E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u w:val="single"/>
              </w:rPr>
            </w:pPr>
            <w:r w:rsidRPr="001A0A50">
              <w:rPr>
                <w:sz w:val="20"/>
                <w:szCs w:val="20"/>
              </w:rPr>
              <w:t>Cumulative a</w:t>
            </w:r>
            <w:r w:rsidR="00B9612D">
              <w:rPr>
                <w:sz w:val="20"/>
                <w:szCs w:val="20"/>
              </w:rPr>
              <w:t xml:space="preserve">nthracyclines doses in mg/m² </w:t>
            </w:r>
          </w:p>
        </w:tc>
        <w:tc>
          <w:tcPr>
            <w:tcW w:w="3240" w:type="dxa"/>
          </w:tcPr>
          <w:p w14:paraId="5906F7A0" w14:textId="77777777" w:rsidR="00240275" w:rsidRPr="001A0A50" w:rsidRDefault="00240275" w:rsidP="00AF5E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NA</w:t>
            </w:r>
          </w:p>
        </w:tc>
        <w:tc>
          <w:tcPr>
            <w:tcW w:w="4417" w:type="dxa"/>
          </w:tcPr>
          <w:p w14:paraId="7B568811" w14:textId="5350535F" w:rsidR="00240275" w:rsidRPr="001A0A50" w:rsidRDefault="00240275" w:rsidP="00AF5E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Chemotherapy pro</w:t>
            </w:r>
            <w:r w:rsidR="00707DE2">
              <w:rPr>
                <w:sz w:val="20"/>
                <w:szCs w:val="20"/>
              </w:rPr>
              <w:t>tocol: ALL BFM 90 or ALL BFM 95.</w:t>
            </w:r>
          </w:p>
          <w:p w14:paraId="41AEF74D" w14:textId="77777777" w:rsidR="00240275" w:rsidRPr="001A0A50" w:rsidRDefault="00240275" w:rsidP="00AF5E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lastRenderedPageBreak/>
              <w:t>The chemotherapy regimen included repeated doses of intravenous vincristine, L-asparaginase, daunorubicin, doxorubicin, methotrexate, cyclophosphamide, cytosine arabinoside, oral prednisone, dexamethasone, mercaptopurine, thioguanine, intrathecal methotrexate, intrathecal prednisone and ifosfamide (the latter only in patients with high-risk leukaemia). The protocol in the low-risk and medium-risk arms differed only in the number of anthracycline doses, the cumulative anthracycline doses being between 180 and 300 mg/m2.</w:t>
            </w:r>
          </w:p>
          <w:p w14:paraId="70521A03" w14:textId="77777777" w:rsidR="00240275" w:rsidRPr="001A0A50" w:rsidRDefault="00240275" w:rsidP="00AF5E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The high-risk arm differed considerably from the low-risk and medium-risk arms in terms of the applied therapy dosage.</w:t>
            </w:r>
          </w:p>
          <w:p w14:paraId="18BCEB84" w14:textId="2A960458" w:rsidR="00240275" w:rsidRPr="001A0A50" w:rsidRDefault="00240275" w:rsidP="00AF5E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 xml:space="preserve">Administration of </w:t>
            </w:r>
            <w:r w:rsidR="001621DB" w:rsidRPr="001A0A50">
              <w:rPr>
                <w:sz w:val="20"/>
                <w:szCs w:val="20"/>
              </w:rPr>
              <w:t>dexrazoxane (</w:t>
            </w:r>
            <w:r w:rsidRPr="001A0A50">
              <w:rPr>
                <w:sz w:val="20"/>
                <w:szCs w:val="20"/>
              </w:rPr>
              <w:t>Yes / No)</w:t>
            </w:r>
            <w:r w:rsidR="00707DE2">
              <w:rPr>
                <w:sz w:val="20"/>
                <w:szCs w:val="20"/>
              </w:rPr>
              <w:t>.</w:t>
            </w:r>
          </w:p>
        </w:tc>
      </w:tr>
      <w:tr w:rsidR="00240275" w:rsidRPr="001A0A50" w14:paraId="4608BFCF" w14:textId="77777777" w:rsidTr="003E65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hideMark/>
          </w:tcPr>
          <w:p w14:paraId="33D72FA2" w14:textId="77777777" w:rsidR="00240275" w:rsidRPr="001A0A50" w:rsidRDefault="00240275" w:rsidP="00AF5E18">
            <w:pPr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lastRenderedPageBreak/>
              <w:t xml:space="preserve">Lipshultz S., Cancer, 2013 </w:t>
            </w:r>
          </w:p>
        </w:tc>
        <w:tc>
          <w:tcPr>
            <w:tcW w:w="5123" w:type="dxa"/>
          </w:tcPr>
          <w:p w14:paraId="614B3856" w14:textId="7107904B" w:rsidR="00240275" w:rsidRPr="001A0A50" w:rsidRDefault="00240275" w:rsidP="00AF5E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Total planned cumulative doxorubicin dosage: 300–360 mg/m²</w:t>
            </w:r>
            <w:r w:rsidR="00B9612D">
              <w:rPr>
                <w:sz w:val="20"/>
                <w:szCs w:val="20"/>
              </w:rPr>
              <w:t>.</w:t>
            </w:r>
          </w:p>
          <w:p w14:paraId="1DBD16F5" w14:textId="4A3783DB" w:rsidR="00240275" w:rsidRPr="001A0A50" w:rsidRDefault="00240275" w:rsidP="00AF5E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Cumulative DOX dose in mg/m²</w:t>
            </w:r>
            <w:r w:rsidR="00B9612D">
              <w:rPr>
                <w:sz w:val="20"/>
                <w:szCs w:val="20"/>
              </w:rPr>
              <w:t>.</w:t>
            </w:r>
          </w:p>
        </w:tc>
        <w:tc>
          <w:tcPr>
            <w:tcW w:w="3240" w:type="dxa"/>
          </w:tcPr>
          <w:p w14:paraId="7A267510" w14:textId="77777777" w:rsidR="00240275" w:rsidRPr="001A0A50" w:rsidRDefault="00240275" w:rsidP="00AF5E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NA</w:t>
            </w:r>
          </w:p>
        </w:tc>
        <w:tc>
          <w:tcPr>
            <w:tcW w:w="4417" w:type="dxa"/>
          </w:tcPr>
          <w:p w14:paraId="3065F2A1" w14:textId="5418F8E5" w:rsidR="00240275" w:rsidRPr="001A0A50" w:rsidRDefault="00240275" w:rsidP="00AF5E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ALL Consortium Protocol (1991)</w:t>
            </w:r>
            <w:r w:rsidR="00707DE2">
              <w:rPr>
                <w:sz w:val="20"/>
                <w:szCs w:val="20"/>
              </w:rPr>
              <w:t>.</w:t>
            </w:r>
          </w:p>
          <w:p w14:paraId="5219E23B" w14:textId="7A2228FE" w:rsidR="00240275" w:rsidRPr="001A0A50" w:rsidRDefault="00240275" w:rsidP="00AF5E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 xml:space="preserve">Administration of </w:t>
            </w:r>
            <w:r w:rsidR="001621DB" w:rsidRPr="001A0A50">
              <w:rPr>
                <w:sz w:val="20"/>
                <w:szCs w:val="20"/>
              </w:rPr>
              <w:t>dexrazoxane (</w:t>
            </w:r>
            <w:r w:rsidRPr="001A0A50">
              <w:rPr>
                <w:sz w:val="20"/>
                <w:szCs w:val="20"/>
              </w:rPr>
              <w:t>Yes / No)</w:t>
            </w:r>
            <w:r w:rsidR="00707DE2">
              <w:rPr>
                <w:sz w:val="20"/>
                <w:szCs w:val="20"/>
              </w:rPr>
              <w:t>.</w:t>
            </w:r>
          </w:p>
        </w:tc>
      </w:tr>
      <w:tr w:rsidR="00240275" w:rsidRPr="001A0A50" w14:paraId="21A0708F" w14:textId="77777777" w:rsidTr="003E659B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hideMark/>
          </w:tcPr>
          <w:p w14:paraId="164B584D" w14:textId="77777777" w:rsidR="00240275" w:rsidRPr="001A0A50" w:rsidRDefault="00240275" w:rsidP="00AF5E18">
            <w:pPr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Petrykey et al., Pharmacogenomics, 2021</w:t>
            </w:r>
          </w:p>
        </w:tc>
        <w:tc>
          <w:tcPr>
            <w:tcW w:w="5123" w:type="dxa"/>
          </w:tcPr>
          <w:p w14:paraId="63874748" w14:textId="77777777" w:rsidR="00240275" w:rsidRPr="001A0A50" w:rsidRDefault="00240275" w:rsidP="00AF5E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All patients were given two 30 mg/m2 doses of doxorubicin.</w:t>
            </w:r>
          </w:p>
          <w:p w14:paraId="57C66FAB" w14:textId="7458AF8E" w:rsidR="00240275" w:rsidRPr="001A0A50" w:rsidRDefault="00240275" w:rsidP="00AF5E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HR patients continued to receive one weekly doxorubicin dose during the consolidation phase, for a total</w:t>
            </w:r>
            <w:r w:rsidR="00B9612D">
              <w:rPr>
                <w:sz w:val="20"/>
                <w:szCs w:val="20"/>
              </w:rPr>
              <w:t xml:space="preserve"> cumulative dose of 294.52 mg/m².</w:t>
            </w:r>
          </w:p>
        </w:tc>
        <w:tc>
          <w:tcPr>
            <w:tcW w:w="3240" w:type="dxa"/>
          </w:tcPr>
          <w:p w14:paraId="72B6DD24" w14:textId="77777777" w:rsidR="00240275" w:rsidRPr="001A0A50" w:rsidRDefault="00240275" w:rsidP="00AF5E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NA</w:t>
            </w:r>
          </w:p>
        </w:tc>
        <w:tc>
          <w:tcPr>
            <w:tcW w:w="4417" w:type="dxa"/>
          </w:tcPr>
          <w:p w14:paraId="6C4EAF1A" w14:textId="0953BFD1" w:rsidR="00240275" w:rsidRPr="001A0A50" w:rsidRDefault="00240275" w:rsidP="00AF5E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HR patients treated with 95-01 protocol were randomized to receive (or not) dexrazoxane and all HR patients treated with 00-01 and 00-05 protocols, received dexrazoxane before doxorubicin administration</w:t>
            </w:r>
            <w:r w:rsidR="00B9612D">
              <w:rPr>
                <w:sz w:val="20"/>
                <w:szCs w:val="20"/>
              </w:rPr>
              <w:t>.</w:t>
            </w:r>
          </w:p>
        </w:tc>
      </w:tr>
      <w:tr w:rsidR="00240275" w:rsidRPr="001A0A50" w14:paraId="0B04D73B" w14:textId="77777777" w:rsidTr="003E65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hideMark/>
          </w:tcPr>
          <w:p w14:paraId="1DB79DB5" w14:textId="77777777" w:rsidR="00240275" w:rsidRPr="00817ABF" w:rsidRDefault="00240275" w:rsidP="00240275">
            <w:pPr>
              <w:rPr>
                <w:b w:val="0"/>
                <w:sz w:val="20"/>
                <w:szCs w:val="20"/>
                <w:lang w:val="fr-FR"/>
              </w:rPr>
            </w:pPr>
            <w:r w:rsidRPr="00817ABF">
              <w:rPr>
                <w:sz w:val="20"/>
                <w:szCs w:val="20"/>
                <w:lang w:val="fr-FR"/>
              </w:rPr>
              <w:t>Sapkota et al., JNCI J Natl Cancer Inst, 2022</w:t>
            </w:r>
          </w:p>
          <w:p w14:paraId="2829EA65" w14:textId="77777777" w:rsidR="00240275" w:rsidRPr="00817ABF" w:rsidRDefault="00240275" w:rsidP="00240275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5123" w:type="dxa"/>
          </w:tcPr>
          <w:p w14:paraId="4D458954" w14:textId="1F31F298" w:rsidR="00240275" w:rsidRPr="001A0A50" w:rsidRDefault="00240275" w:rsidP="002402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Cumulative anthracycline exposure calculated using doxorubicin equivalent (mg/m²).</w:t>
            </w:r>
          </w:p>
        </w:tc>
        <w:tc>
          <w:tcPr>
            <w:tcW w:w="3240" w:type="dxa"/>
          </w:tcPr>
          <w:p w14:paraId="6C740CBD" w14:textId="6CF277AF" w:rsidR="00240275" w:rsidRPr="001A0A50" w:rsidRDefault="00240275" w:rsidP="002402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Mean heart radiation dose in cGy</w:t>
            </w:r>
            <w:r w:rsidR="00B9612D">
              <w:rPr>
                <w:sz w:val="20"/>
                <w:szCs w:val="20"/>
              </w:rPr>
              <w:t>.</w:t>
            </w:r>
          </w:p>
        </w:tc>
        <w:tc>
          <w:tcPr>
            <w:tcW w:w="4417" w:type="dxa"/>
          </w:tcPr>
          <w:p w14:paraId="6B11DCA9" w14:textId="146CEE21" w:rsidR="00240275" w:rsidRPr="001A0A50" w:rsidRDefault="00240275" w:rsidP="002402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NA</w:t>
            </w:r>
          </w:p>
        </w:tc>
      </w:tr>
      <w:tr w:rsidR="00240275" w:rsidRPr="001A0A50" w14:paraId="33D3779A" w14:textId="77777777" w:rsidTr="003E659B">
        <w:trPr>
          <w:trHeight w:val="2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hideMark/>
          </w:tcPr>
          <w:p w14:paraId="30C411EC" w14:textId="77777777" w:rsidR="00240275" w:rsidRPr="001A0A50" w:rsidRDefault="00240275" w:rsidP="00240275">
            <w:pPr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Sapkota et al., AACR, 2021</w:t>
            </w:r>
          </w:p>
        </w:tc>
        <w:tc>
          <w:tcPr>
            <w:tcW w:w="5123" w:type="dxa"/>
          </w:tcPr>
          <w:p w14:paraId="19B17221" w14:textId="5A3466B7" w:rsidR="00240275" w:rsidRPr="001A0A50" w:rsidRDefault="00240275" w:rsidP="002402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Cumulative anthracycline exposure calculated using doxorubicin equivalent (mg/m²).</w:t>
            </w:r>
          </w:p>
        </w:tc>
        <w:tc>
          <w:tcPr>
            <w:tcW w:w="3240" w:type="dxa"/>
          </w:tcPr>
          <w:p w14:paraId="50081C1C" w14:textId="2CE66EB5" w:rsidR="00240275" w:rsidRPr="001A0A50" w:rsidRDefault="00240275" w:rsidP="002402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Average radiation dose in Gy</w:t>
            </w:r>
            <w:r w:rsidR="00B9612D">
              <w:rPr>
                <w:sz w:val="20"/>
                <w:szCs w:val="20"/>
              </w:rPr>
              <w:t>.</w:t>
            </w:r>
          </w:p>
        </w:tc>
        <w:tc>
          <w:tcPr>
            <w:tcW w:w="4417" w:type="dxa"/>
          </w:tcPr>
          <w:p w14:paraId="6CF0604D" w14:textId="1739AAC8" w:rsidR="00240275" w:rsidRPr="001A0A50" w:rsidRDefault="00240275" w:rsidP="002402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A50">
              <w:rPr>
                <w:sz w:val="20"/>
                <w:szCs w:val="20"/>
              </w:rPr>
              <w:t>NA</w:t>
            </w:r>
          </w:p>
        </w:tc>
      </w:tr>
    </w:tbl>
    <w:p w14:paraId="1AD609F2" w14:textId="267D47A9" w:rsidR="00877D3E" w:rsidRDefault="00914E05">
      <w:pPr>
        <w:spacing w:after="160" w:line="259" w:lineRule="auto"/>
        <w:rPr>
          <w:rStyle w:val="IntenseEmphasis"/>
        </w:rPr>
      </w:pPr>
      <w:r>
        <w:rPr>
          <w:rStyle w:val="IntenseEmphasis"/>
        </w:rPr>
        <w:t xml:space="preserve">Abbreviations: </w:t>
      </w:r>
      <w:r w:rsidR="00224065" w:rsidRPr="00224065">
        <w:rPr>
          <w:rStyle w:val="IntenseEmphasis"/>
          <w:sz w:val="16"/>
        </w:rPr>
        <w:t>BFM</w:t>
      </w:r>
      <w:r w:rsidR="00DA713B" w:rsidRPr="00224065">
        <w:rPr>
          <w:rStyle w:val="IntenseEmphasis"/>
          <w:sz w:val="16"/>
        </w:rPr>
        <w:t>: Berlin-Frankfurt-Münster;</w:t>
      </w:r>
      <w:r w:rsidR="00224065" w:rsidRPr="00224065">
        <w:rPr>
          <w:rStyle w:val="IntenseEmphasis"/>
          <w:sz w:val="16"/>
        </w:rPr>
        <w:t xml:space="preserve"> </w:t>
      </w:r>
      <w:r w:rsidR="00DA713B" w:rsidRPr="00224065">
        <w:rPr>
          <w:rStyle w:val="IntenseEmphasis"/>
          <w:sz w:val="16"/>
        </w:rPr>
        <w:t>DFCI: Dana-Farber Cancer Institute;</w:t>
      </w:r>
      <w:r w:rsidR="0061282A" w:rsidRPr="00224065">
        <w:rPr>
          <w:rStyle w:val="IntenseEmphasis"/>
          <w:sz w:val="16"/>
        </w:rPr>
        <w:t xml:space="preserve"> Gy, Gray</w:t>
      </w:r>
      <w:r w:rsidR="00224065" w:rsidRPr="00224065">
        <w:rPr>
          <w:rStyle w:val="IntenseEmphasis"/>
          <w:sz w:val="16"/>
        </w:rPr>
        <w:t xml:space="preserve">; </w:t>
      </w:r>
      <w:r w:rsidR="00FD4639">
        <w:rPr>
          <w:sz w:val="16"/>
        </w:rPr>
        <w:t xml:space="preserve">ALL, Acute lymphocytic leukemia, </w:t>
      </w:r>
      <w:r w:rsidR="00FD4639" w:rsidRPr="00FD4639">
        <w:rPr>
          <w:sz w:val="16"/>
        </w:rPr>
        <w:t>NA, Not Available</w:t>
      </w:r>
      <w:r w:rsidR="00CB15AC">
        <w:rPr>
          <w:sz w:val="16"/>
        </w:rPr>
        <w:t>.</w:t>
      </w:r>
    </w:p>
    <w:sectPr w:rsidR="00877D3E" w:rsidSect="00CB15AC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02B1B" w14:textId="77777777" w:rsidR="0088542A" w:rsidRDefault="0088542A" w:rsidP="00932771">
      <w:r>
        <w:separator/>
      </w:r>
    </w:p>
  </w:endnote>
  <w:endnote w:type="continuationSeparator" w:id="0">
    <w:p w14:paraId="3F1BBEFF" w14:textId="77777777" w:rsidR="0088542A" w:rsidRDefault="0088542A" w:rsidP="009327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rdia New">
    <w:panose1 w:val="020B0304020202020204"/>
    <w:charset w:val="DE"/>
    <w:family w:val="roman"/>
    <w:notTrueType/>
    <w:pitch w:val="variable"/>
    <w:sig w:usb0="01000001" w:usb1="00000000" w:usb2="00000000" w:usb3="00000000" w:csb0="0001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D322D" w14:textId="77777777" w:rsidR="0088542A" w:rsidRDefault="0088542A" w:rsidP="00932771">
      <w:r>
        <w:separator/>
      </w:r>
    </w:p>
  </w:footnote>
  <w:footnote w:type="continuationSeparator" w:id="0">
    <w:p w14:paraId="1CC1B5F5" w14:textId="77777777" w:rsidR="0088542A" w:rsidRDefault="0088542A" w:rsidP="009327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713B"/>
    <w:rsid w:val="00004674"/>
    <w:rsid w:val="000047E2"/>
    <w:rsid w:val="00007A83"/>
    <w:rsid w:val="00034632"/>
    <w:rsid w:val="00036A88"/>
    <w:rsid w:val="00041990"/>
    <w:rsid w:val="00044C85"/>
    <w:rsid w:val="000762AC"/>
    <w:rsid w:val="00077825"/>
    <w:rsid w:val="00083C2E"/>
    <w:rsid w:val="0008702A"/>
    <w:rsid w:val="000947A8"/>
    <w:rsid w:val="000A5895"/>
    <w:rsid w:val="000B48E8"/>
    <w:rsid w:val="00105083"/>
    <w:rsid w:val="00114072"/>
    <w:rsid w:val="0014460E"/>
    <w:rsid w:val="00146086"/>
    <w:rsid w:val="001621DB"/>
    <w:rsid w:val="00175622"/>
    <w:rsid w:val="0019062B"/>
    <w:rsid w:val="001A0160"/>
    <w:rsid w:val="001A0A50"/>
    <w:rsid w:val="001B1233"/>
    <w:rsid w:val="001B5390"/>
    <w:rsid w:val="001B7A17"/>
    <w:rsid w:val="001C2E09"/>
    <w:rsid w:val="001D6ABC"/>
    <w:rsid w:val="001E1A05"/>
    <w:rsid w:val="001E5D2D"/>
    <w:rsid w:val="001F2137"/>
    <w:rsid w:val="001F6506"/>
    <w:rsid w:val="00206F40"/>
    <w:rsid w:val="00224065"/>
    <w:rsid w:val="00225CC1"/>
    <w:rsid w:val="00235249"/>
    <w:rsid w:val="00240275"/>
    <w:rsid w:val="00246797"/>
    <w:rsid w:val="00264056"/>
    <w:rsid w:val="00265E27"/>
    <w:rsid w:val="0028197C"/>
    <w:rsid w:val="00287479"/>
    <w:rsid w:val="002A224E"/>
    <w:rsid w:val="002A61DB"/>
    <w:rsid w:val="002B00B7"/>
    <w:rsid w:val="002B3B45"/>
    <w:rsid w:val="002D3C7C"/>
    <w:rsid w:val="002D4815"/>
    <w:rsid w:val="002E27A7"/>
    <w:rsid w:val="0030536F"/>
    <w:rsid w:val="0033655D"/>
    <w:rsid w:val="00351766"/>
    <w:rsid w:val="0036207E"/>
    <w:rsid w:val="00395696"/>
    <w:rsid w:val="00397C61"/>
    <w:rsid w:val="003A78CE"/>
    <w:rsid w:val="003B1EAD"/>
    <w:rsid w:val="003B787F"/>
    <w:rsid w:val="003E21B2"/>
    <w:rsid w:val="003E659B"/>
    <w:rsid w:val="003F2000"/>
    <w:rsid w:val="004331C0"/>
    <w:rsid w:val="00434B44"/>
    <w:rsid w:val="00453731"/>
    <w:rsid w:val="00454CD4"/>
    <w:rsid w:val="0047555F"/>
    <w:rsid w:val="00477874"/>
    <w:rsid w:val="00486101"/>
    <w:rsid w:val="00493D23"/>
    <w:rsid w:val="0049465A"/>
    <w:rsid w:val="004B0729"/>
    <w:rsid w:val="004B4212"/>
    <w:rsid w:val="004B71C8"/>
    <w:rsid w:val="004B79C8"/>
    <w:rsid w:val="004C02DC"/>
    <w:rsid w:val="004C3B26"/>
    <w:rsid w:val="0050695B"/>
    <w:rsid w:val="00516911"/>
    <w:rsid w:val="00537A2D"/>
    <w:rsid w:val="005408B5"/>
    <w:rsid w:val="00540936"/>
    <w:rsid w:val="005518A6"/>
    <w:rsid w:val="00560630"/>
    <w:rsid w:val="00574F56"/>
    <w:rsid w:val="00581B4E"/>
    <w:rsid w:val="005840F8"/>
    <w:rsid w:val="005A53B0"/>
    <w:rsid w:val="005B1122"/>
    <w:rsid w:val="005D70CE"/>
    <w:rsid w:val="005E0FC9"/>
    <w:rsid w:val="005E6DCE"/>
    <w:rsid w:val="005F0168"/>
    <w:rsid w:val="005F5DF5"/>
    <w:rsid w:val="00600633"/>
    <w:rsid w:val="00603E5A"/>
    <w:rsid w:val="00603F12"/>
    <w:rsid w:val="0061282A"/>
    <w:rsid w:val="006153B2"/>
    <w:rsid w:val="00621A8F"/>
    <w:rsid w:val="0064099F"/>
    <w:rsid w:val="006537AB"/>
    <w:rsid w:val="00662BAE"/>
    <w:rsid w:val="00670126"/>
    <w:rsid w:val="006820B4"/>
    <w:rsid w:val="00687732"/>
    <w:rsid w:val="00692B3D"/>
    <w:rsid w:val="00697164"/>
    <w:rsid w:val="006974C7"/>
    <w:rsid w:val="006D09DC"/>
    <w:rsid w:val="006E135E"/>
    <w:rsid w:val="006E2B9F"/>
    <w:rsid w:val="006E5E8D"/>
    <w:rsid w:val="006F1DFD"/>
    <w:rsid w:val="00702755"/>
    <w:rsid w:val="00707DE2"/>
    <w:rsid w:val="00711C1D"/>
    <w:rsid w:val="00715764"/>
    <w:rsid w:val="007160A1"/>
    <w:rsid w:val="00721640"/>
    <w:rsid w:val="007923EE"/>
    <w:rsid w:val="007A3CF9"/>
    <w:rsid w:val="007B4653"/>
    <w:rsid w:val="007B5435"/>
    <w:rsid w:val="007C5DDA"/>
    <w:rsid w:val="007E0C59"/>
    <w:rsid w:val="007E2A12"/>
    <w:rsid w:val="007E4760"/>
    <w:rsid w:val="007E719D"/>
    <w:rsid w:val="007F7A07"/>
    <w:rsid w:val="00800F91"/>
    <w:rsid w:val="00802DE8"/>
    <w:rsid w:val="00802E44"/>
    <w:rsid w:val="00803EA8"/>
    <w:rsid w:val="00817ABF"/>
    <w:rsid w:val="00817D49"/>
    <w:rsid w:val="008300A6"/>
    <w:rsid w:val="00865F5C"/>
    <w:rsid w:val="00866590"/>
    <w:rsid w:val="00877D3E"/>
    <w:rsid w:val="00881F3A"/>
    <w:rsid w:val="0088542A"/>
    <w:rsid w:val="00886E24"/>
    <w:rsid w:val="008A5EC6"/>
    <w:rsid w:val="008B1D84"/>
    <w:rsid w:val="008F41E8"/>
    <w:rsid w:val="00901F59"/>
    <w:rsid w:val="009107DF"/>
    <w:rsid w:val="00914E05"/>
    <w:rsid w:val="009251DC"/>
    <w:rsid w:val="0093247B"/>
    <w:rsid w:val="00932771"/>
    <w:rsid w:val="0094667E"/>
    <w:rsid w:val="009761D1"/>
    <w:rsid w:val="009770B3"/>
    <w:rsid w:val="009833CC"/>
    <w:rsid w:val="009866F3"/>
    <w:rsid w:val="009923B9"/>
    <w:rsid w:val="009C75E4"/>
    <w:rsid w:val="009E3535"/>
    <w:rsid w:val="009F008C"/>
    <w:rsid w:val="009F544A"/>
    <w:rsid w:val="00A05058"/>
    <w:rsid w:val="00A20C24"/>
    <w:rsid w:val="00A27AED"/>
    <w:rsid w:val="00A40BC5"/>
    <w:rsid w:val="00AA43CC"/>
    <w:rsid w:val="00AC7217"/>
    <w:rsid w:val="00AD29B0"/>
    <w:rsid w:val="00AE18C3"/>
    <w:rsid w:val="00AF5E18"/>
    <w:rsid w:val="00AF6B62"/>
    <w:rsid w:val="00B02A97"/>
    <w:rsid w:val="00B03369"/>
    <w:rsid w:val="00B10431"/>
    <w:rsid w:val="00B1101F"/>
    <w:rsid w:val="00B132DD"/>
    <w:rsid w:val="00B2345E"/>
    <w:rsid w:val="00B2645D"/>
    <w:rsid w:val="00B54143"/>
    <w:rsid w:val="00B5668C"/>
    <w:rsid w:val="00B5737E"/>
    <w:rsid w:val="00B60C65"/>
    <w:rsid w:val="00B65627"/>
    <w:rsid w:val="00B744EB"/>
    <w:rsid w:val="00B9612D"/>
    <w:rsid w:val="00BA511F"/>
    <w:rsid w:val="00BC6859"/>
    <w:rsid w:val="00BE623A"/>
    <w:rsid w:val="00BF1E53"/>
    <w:rsid w:val="00C06EFB"/>
    <w:rsid w:val="00C42C58"/>
    <w:rsid w:val="00C504DB"/>
    <w:rsid w:val="00C531B1"/>
    <w:rsid w:val="00C55DF3"/>
    <w:rsid w:val="00C7086F"/>
    <w:rsid w:val="00C944CD"/>
    <w:rsid w:val="00CB1566"/>
    <w:rsid w:val="00CB15AC"/>
    <w:rsid w:val="00CC5856"/>
    <w:rsid w:val="00CD0124"/>
    <w:rsid w:val="00CE7FD2"/>
    <w:rsid w:val="00D10BEA"/>
    <w:rsid w:val="00D14EED"/>
    <w:rsid w:val="00D168AC"/>
    <w:rsid w:val="00D2048A"/>
    <w:rsid w:val="00D27898"/>
    <w:rsid w:val="00D5629D"/>
    <w:rsid w:val="00D62EBB"/>
    <w:rsid w:val="00D7283D"/>
    <w:rsid w:val="00D844C2"/>
    <w:rsid w:val="00DA21E5"/>
    <w:rsid w:val="00DA713B"/>
    <w:rsid w:val="00DB1D0E"/>
    <w:rsid w:val="00DD1B5D"/>
    <w:rsid w:val="00DF0661"/>
    <w:rsid w:val="00DF07A1"/>
    <w:rsid w:val="00DF4D89"/>
    <w:rsid w:val="00DF6D18"/>
    <w:rsid w:val="00DF7AF4"/>
    <w:rsid w:val="00E06069"/>
    <w:rsid w:val="00E25F1F"/>
    <w:rsid w:val="00E315BB"/>
    <w:rsid w:val="00E35FB1"/>
    <w:rsid w:val="00E37713"/>
    <w:rsid w:val="00E50091"/>
    <w:rsid w:val="00E66C59"/>
    <w:rsid w:val="00E75565"/>
    <w:rsid w:val="00E82108"/>
    <w:rsid w:val="00E85C2D"/>
    <w:rsid w:val="00E96F3B"/>
    <w:rsid w:val="00EA2AE6"/>
    <w:rsid w:val="00EA33D1"/>
    <w:rsid w:val="00EA4B71"/>
    <w:rsid w:val="00EB5DA2"/>
    <w:rsid w:val="00ED01CE"/>
    <w:rsid w:val="00EE7F27"/>
    <w:rsid w:val="00F00E6C"/>
    <w:rsid w:val="00F01C9D"/>
    <w:rsid w:val="00F16384"/>
    <w:rsid w:val="00F31493"/>
    <w:rsid w:val="00F339E1"/>
    <w:rsid w:val="00F45A7F"/>
    <w:rsid w:val="00F53545"/>
    <w:rsid w:val="00F706F6"/>
    <w:rsid w:val="00FA5B1F"/>
    <w:rsid w:val="00FB1572"/>
    <w:rsid w:val="00FB74BA"/>
    <w:rsid w:val="00FC3FF8"/>
    <w:rsid w:val="00FD25CE"/>
    <w:rsid w:val="00FD2DEB"/>
    <w:rsid w:val="00FD4639"/>
    <w:rsid w:val="00FD5838"/>
    <w:rsid w:val="00FE1001"/>
    <w:rsid w:val="00FE5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E87A6A"/>
  <w15:chartTrackingRefBased/>
  <w15:docId w15:val="{B68AB5BF-F3A0-4B1A-8F56-D65107975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49465A"/>
    <w:pPr>
      <w:spacing w:after="0" w:line="240" w:lineRule="auto"/>
    </w:pPr>
    <w:rPr>
      <w:rFonts w:cstheme="minorHAnsi"/>
      <w:color w:val="000000"/>
      <w:sz w:val="18"/>
      <w:szCs w:val="18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41tablecaption">
    <w:name w:val="MDPI_4.1_table_caption"/>
    <w:rsid w:val="00DA713B"/>
    <w:pPr>
      <w:adjustRightInd w:val="0"/>
      <w:snapToGrid w:val="0"/>
      <w:spacing w:before="240" w:after="120" w:line="228" w:lineRule="auto"/>
      <w:ind w:left="142"/>
      <w:jc w:val="both"/>
    </w:pPr>
    <w:rPr>
      <w:rFonts w:ascii="Palatino Linotype" w:eastAsia="Times New Roman" w:hAnsi="Palatino Linotype" w:cs="Cordia New"/>
      <w:color w:val="000000"/>
      <w:sz w:val="20"/>
      <w:lang w:val="en-US" w:eastAsia="de-DE" w:bidi="en-US"/>
    </w:rPr>
  </w:style>
  <w:style w:type="paragraph" w:customStyle="1" w:styleId="MDPI43tablefooter">
    <w:name w:val="MDPI_4.3_table_footer"/>
    <w:next w:val="Normal"/>
    <w:rsid w:val="00DA713B"/>
    <w:pPr>
      <w:adjustRightInd w:val="0"/>
      <w:snapToGrid w:val="0"/>
      <w:spacing w:after="0" w:line="228" w:lineRule="auto"/>
      <w:ind w:left="2608"/>
      <w:jc w:val="both"/>
    </w:pPr>
    <w:rPr>
      <w:rFonts w:ascii="Palatino Linotype" w:eastAsia="Times New Roman" w:hAnsi="Palatino Linotype" w:cs="Cordia New"/>
      <w:color w:val="000000"/>
      <w:sz w:val="18"/>
      <w:lang w:val="en-US" w:eastAsia="de-DE" w:bidi="en-US"/>
    </w:rPr>
  </w:style>
  <w:style w:type="table" w:styleId="PlainTable2">
    <w:name w:val="Plain Table 2"/>
    <w:basedOn w:val="TableNormal"/>
    <w:uiPriority w:val="42"/>
    <w:rsid w:val="00DA713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DA713B"/>
  </w:style>
  <w:style w:type="character" w:styleId="IntenseEmphasis">
    <w:name w:val="Intense Emphasis"/>
    <w:aliases w:val="sous tab"/>
    <w:uiPriority w:val="21"/>
    <w:qFormat/>
    <w:rsid w:val="00DA713B"/>
    <w:rPr>
      <w:rFonts w:asciiTheme="minorHAnsi" w:hAnsiTheme="minorHAnsi" w:cstheme="minorHAnsi"/>
      <w:lang w:val="en-GB"/>
    </w:rPr>
  </w:style>
  <w:style w:type="character" w:styleId="CommentReference">
    <w:name w:val="annotation reference"/>
    <w:basedOn w:val="DefaultParagraphFont"/>
    <w:unhideWhenUsed/>
    <w:rsid w:val="00670126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67012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70126"/>
    <w:rPr>
      <w:rFonts w:eastAsia="SimSun" w:cstheme="minorHAnsi"/>
      <w:noProof/>
      <w:color w:val="000000"/>
      <w:sz w:val="20"/>
      <w:szCs w:val="20"/>
      <w:lang w:val="en-US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01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0126"/>
    <w:rPr>
      <w:rFonts w:eastAsia="SimSun" w:cstheme="minorHAnsi"/>
      <w:b/>
      <w:bCs/>
      <w:noProof/>
      <w:color w:val="000000"/>
      <w:sz w:val="20"/>
      <w:szCs w:val="20"/>
      <w:lang w:val="en-US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0126"/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0126"/>
    <w:rPr>
      <w:rFonts w:ascii="Segoe UI" w:eastAsia="SimSun" w:hAnsi="Segoe UI" w:cs="Segoe UI"/>
      <w:noProof/>
      <w:color w:val="000000"/>
      <w:sz w:val="18"/>
      <w:szCs w:val="18"/>
      <w:lang w:val="en-US" w:eastAsia="zh-CN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5CC1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225CC1"/>
    <w:rPr>
      <w:rFonts w:eastAsiaTheme="minorEastAsia"/>
      <w:noProof/>
      <w:color w:val="5A5A5A" w:themeColor="text1" w:themeTint="A5"/>
      <w:spacing w:val="15"/>
      <w:lang w:val="en-US" w:eastAsia="zh-CN"/>
    </w:rPr>
  </w:style>
  <w:style w:type="paragraph" w:customStyle="1" w:styleId="MDPI42tablebody">
    <w:name w:val="MDPI_4.2_table_body"/>
    <w:rsid w:val="00225CC1"/>
    <w:pPr>
      <w:adjustRightInd w:val="0"/>
      <w:snapToGrid w:val="0"/>
      <w:spacing w:after="0" w:line="260" w:lineRule="atLeast"/>
      <w:jc w:val="both"/>
    </w:pPr>
    <w:rPr>
      <w:rFonts w:ascii="Palatino Linotype" w:eastAsia="Times New Roman" w:hAnsi="Palatino Linotype" w:cs="Times New Roman"/>
      <w:snapToGrid w:val="0"/>
      <w:color w:val="000000"/>
      <w:sz w:val="16"/>
      <w:szCs w:val="20"/>
      <w:lang w:val="en-US" w:eastAsia="de-DE" w:bidi="en-US"/>
    </w:rPr>
  </w:style>
  <w:style w:type="table" w:styleId="TableGrid">
    <w:name w:val="Table Grid"/>
    <w:basedOn w:val="TableNormal"/>
    <w:uiPriority w:val="39"/>
    <w:rsid w:val="00225CC1"/>
    <w:pPr>
      <w:spacing w:after="0" w:line="260" w:lineRule="atLeast"/>
      <w:jc w:val="both"/>
    </w:pPr>
    <w:rPr>
      <w:rFonts w:ascii="Palatino Linotype" w:hAnsi="Palatino Linotype" w:cs="Times New Roman"/>
      <w:color w:val="000000"/>
      <w:sz w:val="20"/>
      <w:szCs w:val="20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rsid w:val="004331C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A5EC6"/>
    <w:rPr>
      <w:color w:val="808080"/>
    </w:rPr>
  </w:style>
  <w:style w:type="character" w:customStyle="1" w:styleId="docdata">
    <w:name w:val="docdata"/>
    <w:aliases w:val="docy,v5,4762,bqiaagaaeyqcaaagiaiaaamcegaabsosaaaaaaaaaaaaaaaaaaaaaaaaaaaaaaaaaaaaaaaaaaaaaaaaaaaaaaaaaaaaaaaaaaaaaaaaaaaaaaaaaaaaaaaaaaaaaaaaaaaaaaaaaaaaaaaaaaaaaaaaaaaaaaaaaaaaaaaaaaaaaaaaaaaaaaaaaaaaaaaaaaaaaaaaaaaaaaaaaaaaaaaaaaaaaaaaaaaaaaaa"/>
    <w:basedOn w:val="DefaultParagraphFont"/>
    <w:rsid w:val="00FA5B1F"/>
  </w:style>
  <w:style w:type="character" w:styleId="Emphasis">
    <w:name w:val="Emphasis"/>
    <w:uiPriority w:val="20"/>
    <w:qFormat/>
    <w:rsid w:val="001D6ABC"/>
    <w:rPr>
      <w:rFonts w:asciiTheme="minorHAnsi" w:hAnsiTheme="minorHAnsi" w:cstheme="minorHAnsi"/>
      <w:szCs w:val="18"/>
    </w:rPr>
  </w:style>
  <w:style w:type="paragraph" w:styleId="Header">
    <w:name w:val="header"/>
    <w:basedOn w:val="Normal"/>
    <w:link w:val="HeaderChar"/>
    <w:uiPriority w:val="99"/>
    <w:unhideWhenUsed/>
    <w:rsid w:val="0093277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2771"/>
    <w:rPr>
      <w:rFonts w:cstheme="minorHAnsi"/>
      <w:noProof/>
      <w:color w:val="000000"/>
      <w:sz w:val="18"/>
      <w:szCs w:val="18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93277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2771"/>
    <w:rPr>
      <w:rFonts w:cstheme="minorHAnsi"/>
      <w:noProof/>
      <w:color w:val="000000"/>
      <w:sz w:val="18"/>
      <w:szCs w:val="18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46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1015</Words>
  <Characters>6472</Characters>
  <Application>Microsoft Office Word</Application>
  <DocSecurity>0</DocSecurity>
  <Lines>53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Compte Microsoft</dc:creator>
  <cp:keywords/>
  <dc:description/>
  <cp:lastModifiedBy>Naila Aba</cp:lastModifiedBy>
  <cp:revision>4</cp:revision>
  <dcterms:created xsi:type="dcterms:W3CDTF">2024-12-19T10:48:00Z</dcterms:created>
  <dcterms:modified xsi:type="dcterms:W3CDTF">2025-03-21T10:12:00Z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e58ca594e653ef7ce848e152efbb6f36b95cee24933fb728fea79e201b4fc2cc</vt:lpwstr>
  </property>
</Properties>
</file>