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A8CAC" w14:textId="7D674F30" w:rsidR="005518A6" w:rsidRDefault="00D168AC" w:rsidP="005518A6">
      <w:pPr>
        <w:rPr>
          <w:sz w:val="22"/>
          <w:szCs w:val="22"/>
        </w:rPr>
      </w:pPr>
      <w:r>
        <w:rPr>
          <w:b/>
          <w:sz w:val="22"/>
          <w:szCs w:val="22"/>
        </w:rPr>
        <w:t xml:space="preserve">Supplementary Table 2: </w:t>
      </w:r>
      <w:r w:rsidR="0049465A">
        <w:rPr>
          <w:rFonts w:cs="Arial"/>
          <w:sz w:val="24"/>
        </w:rPr>
        <w:t>Sequencing</w:t>
      </w:r>
      <w:r w:rsidR="005518A6" w:rsidRPr="00FB2F82">
        <w:rPr>
          <w:rFonts w:cs="Arial"/>
          <w:sz w:val="24"/>
        </w:rPr>
        <w:t xml:space="preserve"> techniques</w:t>
      </w:r>
      <w:r w:rsidR="004351EA">
        <w:rPr>
          <w:rFonts w:cs="Arial"/>
          <w:sz w:val="24"/>
        </w:rPr>
        <w:t xml:space="preserve"> of the 20</w:t>
      </w:r>
      <w:r w:rsidR="005518A6">
        <w:rPr>
          <w:rFonts w:cs="Arial"/>
          <w:sz w:val="24"/>
        </w:rPr>
        <w:t xml:space="preserve"> </w:t>
      </w:r>
      <w:r w:rsidR="007B5435">
        <w:rPr>
          <w:rFonts w:cs="Arial"/>
          <w:sz w:val="24"/>
        </w:rPr>
        <w:t>included</w:t>
      </w:r>
      <w:r w:rsidR="005518A6">
        <w:rPr>
          <w:rFonts w:cs="Arial"/>
          <w:sz w:val="24"/>
        </w:rPr>
        <w:t xml:space="preserve"> studies</w:t>
      </w:r>
    </w:p>
    <w:p w14:paraId="7B737F3E" w14:textId="77777777" w:rsidR="005518A6" w:rsidRPr="004B4212" w:rsidRDefault="005518A6" w:rsidP="005518A6">
      <w:pPr>
        <w:rPr>
          <w:sz w:val="22"/>
          <w:szCs w:val="22"/>
        </w:rPr>
      </w:pPr>
    </w:p>
    <w:tbl>
      <w:tblPr>
        <w:tblStyle w:val="PlainTable2"/>
        <w:tblW w:w="15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5"/>
        <w:gridCol w:w="1843"/>
        <w:gridCol w:w="10347"/>
      </w:tblGrid>
      <w:tr w:rsidR="005518A6" w:rsidRPr="00B60C65" w14:paraId="4D496CBE" w14:textId="77777777" w:rsidTr="00B60C65">
        <w:trPr>
          <w:cnfStyle w:val="100000000000" w:firstRow="1" w:lastRow="0" w:firstColumn="0" w:lastColumn="0" w:oddVBand="0" w:evenVBand="0" w:oddHBand="0"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3055" w:type="dxa"/>
            <w:hideMark/>
          </w:tcPr>
          <w:p w14:paraId="18E568C8" w14:textId="053FAD70" w:rsidR="005518A6" w:rsidRPr="00B60C65" w:rsidRDefault="00FC3FF8" w:rsidP="004B71C8">
            <w:pPr>
              <w:rPr>
                <w:sz w:val="20"/>
                <w:szCs w:val="20"/>
              </w:rPr>
            </w:pPr>
            <w:r w:rsidRPr="00B60C65">
              <w:rPr>
                <w:sz w:val="20"/>
                <w:szCs w:val="20"/>
              </w:rPr>
              <w:t>Study</w:t>
            </w:r>
          </w:p>
        </w:tc>
        <w:tc>
          <w:tcPr>
            <w:tcW w:w="1843" w:type="dxa"/>
          </w:tcPr>
          <w:p w14:paraId="33F192DB" w14:textId="3B0B452A" w:rsidR="005518A6" w:rsidRPr="00B60C65" w:rsidRDefault="00D62EBB" w:rsidP="004B71C8">
            <w:pPr>
              <w:cnfStyle w:val="100000000000" w:firstRow="1" w:lastRow="0" w:firstColumn="0" w:lastColumn="0" w:oddVBand="0" w:evenVBand="0" w:oddHBand="0" w:evenHBand="0" w:firstRowFirstColumn="0" w:firstRowLastColumn="0" w:lastRowFirstColumn="0" w:lastRowLastColumn="0"/>
              <w:rPr>
                <w:sz w:val="20"/>
                <w:szCs w:val="20"/>
              </w:rPr>
            </w:pPr>
            <w:r w:rsidRPr="00B60C65">
              <w:rPr>
                <w:sz w:val="20"/>
                <w:szCs w:val="20"/>
              </w:rPr>
              <w:t>biological specimens</w:t>
            </w:r>
          </w:p>
        </w:tc>
        <w:tc>
          <w:tcPr>
            <w:tcW w:w="10347" w:type="dxa"/>
            <w:hideMark/>
          </w:tcPr>
          <w:p w14:paraId="559B9900" w14:textId="07B007BD" w:rsidR="005518A6" w:rsidRPr="00B60C65" w:rsidRDefault="005518A6" w:rsidP="005518A6">
            <w:pPr>
              <w:cnfStyle w:val="100000000000" w:firstRow="1" w:lastRow="0" w:firstColumn="0" w:lastColumn="0" w:oddVBand="0" w:evenVBand="0" w:oddHBand="0" w:evenHBand="0" w:firstRowFirstColumn="0" w:firstRowLastColumn="0" w:lastRowFirstColumn="0" w:lastRowLastColumn="0"/>
              <w:rPr>
                <w:sz w:val="20"/>
                <w:szCs w:val="20"/>
              </w:rPr>
            </w:pPr>
            <w:r w:rsidRPr="00B60C65">
              <w:rPr>
                <w:sz w:val="20"/>
                <w:szCs w:val="20"/>
              </w:rPr>
              <w:t>Technique</w:t>
            </w:r>
          </w:p>
        </w:tc>
      </w:tr>
      <w:tr w:rsidR="00AF5E18" w:rsidRPr="00B60C65" w14:paraId="4A0228D8" w14:textId="77777777" w:rsidTr="00B60C65">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3055" w:type="dxa"/>
            <w:hideMark/>
          </w:tcPr>
          <w:p w14:paraId="73380E17" w14:textId="77777777" w:rsidR="00AF5E18" w:rsidRPr="00565753" w:rsidRDefault="00AF5E18" w:rsidP="00AF5E18">
            <w:pPr>
              <w:rPr>
                <w:sz w:val="20"/>
                <w:szCs w:val="20"/>
                <w:lang w:val="fr-FR"/>
              </w:rPr>
            </w:pPr>
            <w:proofErr w:type="spellStart"/>
            <w:r w:rsidRPr="00565753">
              <w:rPr>
                <w:sz w:val="20"/>
                <w:szCs w:val="20"/>
                <w:lang w:val="fr-FR"/>
              </w:rPr>
              <w:t>Sági</w:t>
            </w:r>
            <w:proofErr w:type="spellEnd"/>
            <w:r w:rsidRPr="00565753">
              <w:rPr>
                <w:sz w:val="20"/>
                <w:szCs w:val="20"/>
                <w:lang w:val="fr-FR"/>
              </w:rPr>
              <w:t xml:space="preserve"> et al., BMC Cancer, 2018</w:t>
            </w:r>
          </w:p>
        </w:tc>
        <w:tc>
          <w:tcPr>
            <w:tcW w:w="1843" w:type="dxa"/>
          </w:tcPr>
          <w:p w14:paraId="48816EDB"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Blood</w:t>
            </w:r>
          </w:p>
        </w:tc>
        <w:tc>
          <w:tcPr>
            <w:tcW w:w="10347" w:type="dxa"/>
          </w:tcPr>
          <w:p w14:paraId="2886B3FB"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Based on the scientific literature, 70 single nucleotide polymorphisms (SNPs) in 26 genes were selected and genotyped.</w:t>
            </w:r>
          </w:p>
          <w:p w14:paraId="52B377A7" w14:textId="33A33F63"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Genotyping 63 of the SNPs was conducted using TaqMan® </w:t>
            </w:r>
            <w:proofErr w:type="spellStart"/>
            <w:r w:rsidRPr="00B60C65">
              <w:rPr>
                <w:sz w:val="20"/>
                <w:szCs w:val="20"/>
              </w:rPr>
              <w:t>OpenArray</w:t>
            </w:r>
            <w:proofErr w:type="spellEnd"/>
            <w:r w:rsidRPr="00B60C65">
              <w:rPr>
                <w:sz w:val="20"/>
                <w:szCs w:val="20"/>
              </w:rPr>
              <w:t>™ Genotyping following the manufacturer’s instructions at the Department of Medical Chemistry, Molecular Biology and Patho</w:t>
            </w:r>
            <w:r w:rsidR="00565753">
              <w:rPr>
                <w:sz w:val="20"/>
                <w:szCs w:val="20"/>
              </w:rPr>
              <w:t>-</w:t>
            </w:r>
            <w:r w:rsidRPr="00B60C65">
              <w:rPr>
                <w:sz w:val="20"/>
                <w:szCs w:val="20"/>
              </w:rPr>
              <w:t xml:space="preserve">biochemistry, Semmelweis University. Other 7 SNPs were genotyped using </w:t>
            </w:r>
            <w:proofErr w:type="spellStart"/>
            <w:r w:rsidRPr="00B60C65">
              <w:rPr>
                <w:sz w:val="20"/>
                <w:szCs w:val="20"/>
              </w:rPr>
              <w:t>KBioscience</w:t>
            </w:r>
            <w:proofErr w:type="spellEnd"/>
            <w:r w:rsidRPr="00B60C65">
              <w:rPr>
                <w:sz w:val="20"/>
                <w:szCs w:val="20"/>
              </w:rPr>
              <w:t xml:space="preserve"> Competitive Allele-Specific Polymerase chain reaction-on-Demand pre</w:t>
            </w:r>
            <w:r w:rsidR="00565753">
              <w:rPr>
                <w:sz w:val="20"/>
                <w:szCs w:val="20"/>
              </w:rPr>
              <w:t>-</w:t>
            </w:r>
            <w:r w:rsidRPr="00B60C65">
              <w:rPr>
                <w:sz w:val="20"/>
                <w:szCs w:val="20"/>
              </w:rPr>
              <w:t>validated on 7900HT Fast Real-Time PCR System. The genotyping was unsuccessful in the case of three SNPs.</w:t>
            </w:r>
          </w:p>
        </w:tc>
      </w:tr>
      <w:tr w:rsidR="00AF5E18" w:rsidRPr="00B60C65" w14:paraId="02A9D967" w14:textId="77777777" w:rsidTr="00B60C65">
        <w:trPr>
          <w:trHeight w:val="224"/>
        </w:trPr>
        <w:tc>
          <w:tcPr>
            <w:cnfStyle w:val="001000000000" w:firstRow="0" w:lastRow="0" w:firstColumn="1" w:lastColumn="0" w:oddVBand="0" w:evenVBand="0" w:oddHBand="0" w:evenHBand="0" w:firstRowFirstColumn="0" w:firstRowLastColumn="0" w:lastRowFirstColumn="0" w:lastRowLastColumn="0"/>
            <w:tcW w:w="3055" w:type="dxa"/>
            <w:hideMark/>
          </w:tcPr>
          <w:p w14:paraId="78F969C6" w14:textId="77777777" w:rsidR="00AF5E18" w:rsidRPr="00B60C65" w:rsidRDefault="00AF5E18" w:rsidP="00AF5E18">
            <w:pPr>
              <w:rPr>
                <w:sz w:val="20"/>
                <w:szCs w:val="20"/>
              </w:rPr>
            </w:pPr>
            <w:r w:rsidRPr="00B60C65">
              <w:rPr>
                <w:sz w:val="20"/>
                <w:szCs w:val="20"/>
              </w:rPr>
              <w:t>Blanco et al., JCO, 2012</w:t>
            </w:r>
          </w:p>
        </w:tc>
        <w:tc>
          <w:tcPr>
            <w:tcW w:w="1843" w:type="dxa"/>
          </w:tcPr>
          <w:p w14:paraId="135BD34F"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Blood, saliva or buccal swabs</w:t>
            </w:r>
          </w:p>
        </w:tc>
        <w:tc>
          <w:tcPr>
            <w:tcW w:w="10347" w:type="dxa"/>
          </w:tcPr>
          <w:p w14:paraId="44C63346"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The CBR3 V244M and CBR1 1096GA polymorphisms (rs1056892, rs9024) were analyzed using validated assays for allelic discrimination with specific fluorescent probes. Laboratory personnel were blinded to case-control status.</w:t>
            </w:r>
          </w:p>
        </w:tc>
      </w:tr>
      <w:tr w:rsidR="00AF5E18" w:rsidRPr="00B60C65" w14:paraId="0E05BA22" w14:textId="77777777" w:rsidTr="00B60C65">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055" w:type="dxa"/>
            <w:hideMark/>
          </w:tcPr>
          <w:p w14:paraId="1D1A3132" w14:textId="77777777" w:rsidR="00AF5E18" w:rsidRPr="00B60C65" w:rsidRDefault="00AF5E18" w:rsidP="00AF5E18">
            <w:pPr>
              <w:rPr>
                <w:sz w:val="20"/>
                <w:szCs w:val="20"/>
              </w:rPr>
            </w:pPr>
            <w:r w:rsidRPr="00B60C65">
              <w:rPr>
                <w:sz w:val="20"/>
                <w:szCs w:val="20"/>
              </w:rPr>
              <w:t xml:space="preserve">Visscher et al., </w:t>
            </w:r>
            <w:proofErr w:type="spellStart"/>
            <w:r w:rsidRPr="00B60C65">
              <w:rPr>
                <w:sz w:val="20"/>
                <w:szCs w:val="20"/>
              </w:rPr>
              <w:t>Pediatr</w:t>
            </w:r>
            <w:proofErr w:type="spellEnd"/>
            <w:r w:rsidRPr="00B60C65">
              <w:rPr>
                <w:sz w:val="20"/>
                <w:szCs w:val="20"/>
              </w:rPr>
              <w:t xml:space="preserve"> Blood Cancer, 2013</w:t>
            </w:r>
          </w:p>
        </w:tc>
        <w:tc>
          <w:tcPr>
            <w:tcW w:w="1843" w:type="dxa"/>
          </w:tcPr>
          <w:p w14:paraId="10DE1259"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blood, saliva, or buccal swabs</w:t>
            </w:r>
          </w:p>
        </w:tc>
        <w:tc>
          <w:tcPr>
            <w:tcW w:w="10347" w:type="dxa"/>
          </w:tcPr>
          <w:p w14:paraId="3272A93D" w14:textId="59CC2DCB"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Twenty-three SNPs were selected that previously showed evidence of association (p&lt;</w:t>
            </w:r>
            <w:r w:rsidR="00B60C65">
              <w:rPr>
                <w:sz w:val="20"/>
                <w:szCs w:val="20"/>
              </w:rPr>
              <w:t xml:space="preserve"> 0.01) with ACT.</w:t>
            </w:r>
          </w:p>
          <w:p w14:paraId="73D358E2"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DNA samples were genotyped using a custom 96-plex Illumina Veracode </w:t>
            </w:r>
            <w:proofErr w:type="spellStart"/>
            <w:r w:rsidRPr="00B60C65">
              <w:rPr>
                <w:sz w:val="20"/>
                <w:szCs w:val="20"/>
              </w:rPr>
              <w:t>GoldenGate</w:t>
            </w:r>
            <w:proofErr w:type="spellEnd"/>
            <w:r w:rsidRPr="00B60C65">
              <w:rPr>
                <w:sz w:val="20"/>
                <w:szCs w:val="20"/>
              </w:rPr>
              <w:t xml:space="preserve"> SNP genotyping assay. This assay included an additional 63 non-study SNPs used for quality control purposes only. All SNP genotypes were manually clustered using Illumina </w:t>
            </w:r>
            <w:proofErr w:type="spellStart"/>
            <w:r w:rsidRPr="00B60C65">
              <w:rPr>
                <w:sz w:val="20"/>
                <w:szCs w:val="20"/>
              </w:rPr>
              <w:t>GenomeStudio</w:t>
            </w:r>
            <w:proofErr w:type="spellEnd"/>
            <w:r w:rsidRPr="00B60C65">
              <w:rPr>
                <w:sz w:val="20"/>
                <w:szCs w:val="20"/>
              </w:rPr>
              <w:t xml:space="preserve"> software. One SNP in FMO2 (rs2020870) could not be reliably clustered and was therefore removed from further analyses. </w:t>
            </w:r>
          </w:p>
        </w:tc>
      </w:tr>
      <w:tr w:rsidR="00AF5E18" w:rsidRPr="00B60C65" w14:paraId="561C1BFB" w14:textId="77777777" w:rsidTr="00B60C65">
        <w:trPr>
          <w:trHeight w:val="106"/>
        </w:trPr>
        <w:tc>
          <w:tcPr>
            <w:cnfStyle w:val="001000000000" w:firstRow="0" w:lastRow="0" w:firstColumn="1" w:lastColumn="0" w:oddVBand="0" w:evenVBand="0" w:oddHBand="0" w:evenHBand="0" w:firstRowFirstColumn="0" w:firstRowLastColumn="0" w:lastRowFirstColumn="0" w:lastRowLastColumn="0"/>
            <w:tcW w:w="3055" w:type="dxa"/>
            <w:hideMark/>
          </w:tcPr>
          <w:p w14:paraId="3CE52C02" w14:textId="77777777" w:rsidR="00AF5E18" w:rsidRPr="00B60C65" w:rsidRDefault="00AF5E18" w:rsidP="00AF5E18">
            <w:pPr>
              <w:rPr>
                <w:sz w:val="20"/>
                <w:szCs w:val="20"/>
              </w:rPr>
            </w:pPr>
            <w:r w:rsidRPr="00B60C65">
              <w:rPr>
                <w:sz w:val="20"/>
                <w:szCs w:val="20"/>
              </w:rPr>
              <w:t>Singh et al., Cancer, 2020</w:t>
            </w:r>
          </w:p>
        </w:tc>
        <w:tc>
          <w:tcPr>
            <w:tcW w:w="1843" w:type="dxa"/>
          </w:tcPr>
          <w:p w14:paraId="3ED6245D"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Blood</w:t>
            </w:r>
          </w:p>
        </w:tc>
        <w:tc>
          <w:tcPr>
            <w:tcW w:w="10347" w:type="dxa"/>
          </w:tcPr>
          <w:p w14:paraId="383DE33F"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DNA and RNA were isolated using the </w:t>
            </w:r>
            <w:proofErr w:type="spellStart"/>
            <w:r w:rsidRPr="00B60C65">
              <w:rPr>
                <w:sz w:val="20"/>
                <w:szCs w:val="20"/>
              </w:rPr>
              <w:t>Gentra</w:t>
            </w:r>
            <w:proofErr w:type="spellEnd"/>
            <w:r w:rsidRPr="00B60C65">
              <w:rPr>
                <w:sz w:val="20"/>
                <w:szCs w:val="20"/>
              </w:rPr>
              <w:t xml:space="preserve"> </w:t>
            </w:r>
            <w:proofErr w:type="spellStart"/>
            <w:r w:rsidRPr="00B60C65">
              <w:rPr>
                <w:sz w:val="20"/>
                <w:szCs w:val="20"/>
              </w:rPr>
              <w:t>Puregene</w:t>
            </w:r>
            <w:proofErr w:type="spellEnd"/>
            <w:r w:rsidRPr="00B60C65">
              <w:rPr>
                <w:sz w:val="20"/>
                <w:szCs w:val="20"/>
              </w:rPr>
              <w:t xml:space="preserve"> Blood Kit and the </w:t>
            </w:r>
            <w:proofErr w:type="spellStart"/>
            <w:r w:rsidRPr="00B60C65">
              <w:rPr>
                <w:sz w:val="20"/>
                <w:szCs w:val="20"/>
              </w:rPr>
              <w:t>PAXgene</w:t>
            </w:r>
            <w:proofErr w:type="spellEnd"/>
            <w:r w:rsidRPr="00B60C65">
              <w:rPr>
                <w:sz w:val="20"/>
                <w:szCs w:val="20"/>
              </w:rPr>
              <w:t xml:space="preserve"> Blood RNA kit (both from Qiagen Inc), respectively. The concentration was measured on Nanodrop ND-1000 Spectrophotometers (</w:t>
            </w:r>
            <w:proofErr w:type="spellStart"/>
            <w:r w:rsidRPr="00B60C65">
              <w:rPr>
                <w:sz w:val="20"/>
                <w:szCs w:val="20"/>
              </w:rPr>
              <w:t>Thermo</w:t>
            </w:r>
            <w:proofErr w:type="spellEnd"/>
            <w:r w:rsidRPr="00B60C65">
              <w:rPr>
                <w:sz w:val="20"/>
                <w:szCs w:val="20"/>
              </w:rPr>
              <w:t xml:space="preserve"> Fisher Scientific). DNA integrity was analyzed by using the Quant-</w:t>
            </w:r>
            <w:proofErr w:type="spellStart"/>
            <w:r w:rsidRPr="00B60C65">
              <w:rPr>
                <w:sz w:val="20"/>
                <w:szCs w:val="20"/>
              </w:rPr>
              <w:t>iT</w:t>
            </w:r>
            <w:proofErr w:type="spellEnd"/>
            <w:r w:rsidRPr="00B60C65">
              <w:rPr>
                <w:sz w:val="20"/>
                <w:szCs w:val="20"/>
              </w:rPr>
              <w:t xml:space="preserve"> </w:t>
            </w:r>
            <w:proofErr w:type="spellStart"/>
            <w:r w:rsidRPr="00B60C65">
              <w:rPr>
                <w:sz w:val="20"/>
                <w:szCs w:val="20"/>
              </w:rPr>
              <w:t>PicoGreen</w:t>
            </w:r>
            <w:proofErr w:type="spellEnd"/>
            <w:r w:rsidRPr="00B60C65">
              <w:rPr>
                <w:sz w:val="20"/>
                <w:szCs w:val="20"/>
              </w:rPr>
              <w:t xml:space="preserve"> dsDNA Assay Kit (</w:t>
            </w:r>
            <w:proofErr w:type="spellStart"/>
            <w:r w:rsidRPr="00B60C65">
              <w:rPr>
                <w:sz w:val="20"/>
                <w:szCs w:val="20"/>
              </w:rPr>
              <w:t>Thermo</w:t>
            </w:r>
            <w:proofErr w:type="spellEnd"/>
            <w:r w:rsidRPr="00B60C65">
              <w:rPr>
                <w:sz w:val="20"/>
                <w:szCs w:val="20"/>
              </w:rPr>
              <w:t xml:space="preserve"> Fisher Scientific). RNA quality was checked using a Bioanalyzer Nanochip (Agilent Technologies), and samples with RNA integrity numbers &gt;7 were used for microarray analysis.</w:t>
            </w:r>
          </w:p>
          <w:p w14:paraId="7A154C1D" w14:textId="77777777" w:rsid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GSTM1 deletion was examined by multiplex PCR using the B2M gene as control.</w:t>
            </w:r>
          </w:p>
          <w:p w14:paraId="3943AB19" w14:textId="1E15DD96"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Illumina HumanHT-12 v4.0 Expression </w:t>
            </w:r>
            <w:proofErr w:type="spellStart"/>
            <w:r w:rsidRPr="00B60C65">
              <w:rPr>
                <w:sz w:val="20"/>
                <w:szCs w:val="20"/>
              </w:rPr>
              <w:t>BeadChips</w:t>
            </w:r>
            <w:proofErr w:type="spellEnd"/>
            <w:r w:rsidRPr="00B60C65">
              <w:rPr>
                <w:sz w:val="20"/>
                <w:szCs w:val="20"/>
              </w:rPr>
              <w:t xml:space="preserve"> (Illumina, Inc) were used for mRNA transcription.</w:t>
            </w:r>
          </w:p>
          <w:p w14:paraId="7407B54C"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Expression of the GSTM1 gene was measured using </w:t>
            </w:r>
            <w:proofErr w:type="spellStart"/>
            <w:r w:rsidRPr="00B60C65">
              <w:rPr>
                <w:sz w:val="20"/>
                <w:szCs w:val="20"/>
              </w:rPr>
              <w:t>qrt</w:t>
            </w:r>
            <w:proofErr w:type="spellEnd"/>
            <w:r w:rsidRPr="00B60C65">
              <w:rPr>
                <w:sz w:val="20"/>
                <w:szCs w:val="20"/>
              </w:rPr>
              <w:t>-PCR.</w:t>
            </w:r>
          </w:p>
          <w:p w14:paraId="66C30EEE"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For RNA sequencing of blood, libraries were prepared using the </w:t>
            </w:r>
            <w:proofErr w:type="spellStart"/>
            <w:r w:rsidRPr="00B60C65">
              <w:rPr>
                <w:sz w:val="20"/>
                <w:szCs w:val="20"/>
              </w:rPr>
              <w:t>TruSeq</w:t>
            </w:r>
            <w:proofErr w:type="spellEnd"/>
            <w:r w:rsidRPr="00B60C65">
              <w:rPr>
                <w:sz w:val="20"/>
                <w:szCs w:val="20"/>
              </w:rPr>
              <w:t xml:space="preserve"> RNA Sample Preparation Kit, according to the protocols recommended by the manufacturer. Each library was paired-end sequenced (2 × 50 bp) by using the </w:t>
            </w:r>
            <w:proofErr w:type="spellStart"/>
            <w:r w:rsidRPr="00B60C65">
              <w:rPr>
                <w:sz w:val="20"/>
                <w:szCs w:val="20"/>
              </w:rPr>
              <w:t>TruSeq</w:t>
            </w:r>
            <w:proofErr w:type="spellEnd"/>
            <w:r w:rsidRPr="00B60C65">
              <w:rPr>
                <w:sz w:val="20"/>
                <w:szCs w:val="20"/>
              </w:rPr>
              <w:t xml:space="preserve"> SBS Kit v4-HS, on a HiSeq2000 platform.</w:t>
            </w:r>
          </w:p>
          <w:p w14:paraId="6420B712"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For RNA sequencing of cardiomyocytes, gene expression levels and exon use were estimated using the </w:t>
            </w:r>
            <w:proofErr w:type="spellStart"/>
            <w:r w:rsidRPr="00B60C65">
              <w:rPr>
                <w:sz w:val="20"/>
                <w:szCs w:val="20"/>
              </w:rPr>
              <w:t>featureCounts</w:t>
            </w:r>
            <w:proofErr w:type="spellEnd"/>
            <w:r w:rsidRPr="00B60C65">
              <w:rPr>
                <w:sz w:val="20"/>
                <w:szCs w:val="20"/>
              </w:rPr>
              <w:t xml:space="preserve"> function in the Subread software.</w:t>
            </w:r>
          </w:p>
        </w:tc>
      </w:tr>
      <w:tr w:rsidR="00AF5E18" w:rsidRPr="00B60C65" w14:paraId="3E09F233" w14:textId="77777777" w:rsidTr="00B60C65">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3055" w:type="dxa"/>
            <w:hideMark/>
          </w:tcPr>
          <w:p w14:paraId="1584C4F3" w14:textId="77777777" w:rsidR="00AF5E18" w:rsidRPr="00B60C65" w:rsidRDefault="00AF5E18" w:rsidP="00AF5E18">
            <w:pPr>
              <w:rPr>
                <w:sz w:val="20"/>
                <w:szCs w:val="20"/>
              </w:rPr>
            </w:pPr>
            <w:r w:rsidRPr="00B60C65">
              <w:rPr>
                <w:sz w:val="20"/>
                <w:szCs w:val="20"/>
              </w:rPr>
              <w:t>Blanco et al., Cancer. 2008</w:t>
            </w:r>
          </w:p>
        </w:tc>
        <w:tc>
          <w:tcPr>
            <w:tcW w:w="1843" w:type="dxa"/>
          </w:tcPr>
          <w:p w14:paraId="21846516"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Buccal cell</w:t>
            </w:r>
          </w:p>
        </w:tc>
        <w:tc>
          <w:tcPr>
            <w:tcW w:w="10347" w:type="dxa"/>
          </w:tcPr>
          <w:p w14:paraId="6F26C96B"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The NQO1*2 polymorphism [rs1800566] was examined with a validated PCR-restriction fragment length polymorphism technique. The CBR3 V244M polymorphism (rs1056892) was analyzed with a validated assay for allelic discrimination with specific fluorescent probes.</w:t>
            </w:r>
          </w:p>
        </w:tc>
      </w:tr>
      <w:tr w:rsidR="00AF5E18" w:rsidRPr="00B60C65" w14:paraId="77A58FD1" w14:textId="77777777" w:rsidTr="00B60C65">
        <w:trPr>
          <w:trHeight w:val="146"/>
        </w:trPr>
        <w:tc>
          <w:tcPr>
            <w:cnfStyle w:val="001000000000" w:firstRow="0" w:lastRow="0" w:firstColumn="1" w:lastColumn="0" w:oddVBand="0" w:evenVBand="0" w:oddHBand="0" w:evenHBand="0" w:firstRowFirstColumn="0" w:firstRowLastColumn="0" w:lastRowFirstColumn="0" w:lastRowLastColumn="0"/>
            <w:tcW w:w="3055" w:type="dxa"/>
            <w:hideMark/>
          </w:tcPr>
          <w:p w14:paraId="485BE18D" w14:textId="77777777" w:rsidR="00AF5E18" w:rsidRPr="00B60C65" w:rsidRDefault="00AF5E18" w:rsidP="00AF5E18">
            <w:pPr>
              <w:rPr>
                <w:sz w:val="20"/>
                <w:szCs w:val="20"/>
              </w:rPr>
            </w:pPr>
            <w:r w:rsidRPr="00B60C65">
              <w:rPr>
                <w:sz w:val="20"/>
                <w:szCs w:val="20"/>
              </w:rPr>
              <w:t>Hildebrandt et al.</w:t>
            </w:r>
            <w:proofErr w:type="gramStart"/>
            <w:r w:rsidRPr="00B60C65">
              <w:rPr>
                <w:sz w:val="20"/>
                <w:szCs w:val="20"/>
              </w:rPr>
              <w:t>,  Nature</w:t>
            </w:r>
            <w:proofErr w:type="gramEnd"/>
            <w:r w:rsidRPr="00B60C65">
              <w:rPr>
                <w:sz w:val="20"/>
                <w:szCs w:val="20"/>
              </w:rPr>
              <w:t>, 2017</w:t>
            </w:r>
          </w:p>
        </w:tc>
        <w:tc>
          <w:tcPr>
            <w:tcW w:w="1843" w:type="dxa"/>
          </w:tcPr>
          <w:p w14:paraId="07E8AABA"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Blood</w:t>
            </w:r>
          </w:p>
        </w:tc>
        <w:tc>
          <w:tcPr>
            <w:tcW w:w="10347" w:type="dxa"/>
          </w:tcPr>
          <w:p w14:paraId="03EA6682"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Twelve index genetic variants were selected for genotyping based on previous evidence of significant association with hypertension from a GWAS involving &gt;200 000 individuals in the general population. TaqMan Genotyping Assays were available for 11 of the 12 loci. Genotyping was performed according to standard protocols on the ABI 7900HT platform. All assays were performed blinded to the cardiotoxicity status of the individuals.</w:t>
            </w:r>
          </w:p>
          <w:p w14:paraId="526B40E6"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RNA sequencing of cardiomyocytes: </w:t>
            </w:r>
            <w:proofErr w:type="spellStart"/>
            <w:r w:rsidRPr="00B60C65">
              <w:rPr>
                <w:sz w:val="20"/>
                <w:szCs w:val="20"/>
              </w:rPr>
              <w:t>RNAseq</w:t>
            </w:r>
            <w:proofErr w:type="spellEnd"/>
            <w:r w:rsidRPr="00B60C65">
              <w:rPr>
                <w:sz w:val="20"/>
                <w:szCs w:val="20"/>
              </w:rPr>
              <w:t xml:space="preserve"> was performed in MD Anderson’s Sequencing and Microarray Facility using the Illumina </w:t>
            </w:r>
            <w:proofErr w:type="spellStart"/>
            <w:r w:rsidRPr="00B60C65">
              <w:rPr>
                <w:sz w:val="20"/>
                <w:szCs w:val="20"/>
              </w:rPr>
              <w:t>TruSeq</w:t>
            </w:r>
            <w:proofErr w:type="spellEnd"/>
            <w:r w:rsidRPr="00B60C65">
              <w:rPr>
                <w:sz w:val="20"/>
                <w:szCs w:val="20"/>
              </w:rPr>
              <w:t xml:space="preserve"> Stranded Total RNA Library Prep Kit with Ribo-Zero Gold. The 13 strand-specific libraries were pooled and divided across two lanes for sequencing with the Illumina </w:t>
            </w:r>
            <w:proofErr w:type="spellStart"/>
            <w:r w:rsidRPr="00B60C65">
              <w:rPr>
                <w:sz w:val="20"/>
                <w:szCs w:val="20"/>
              </w:rPr>
              <w:t>HiSeq</w:t>
            </w:r>
            <w:proofErr w:type="spellEnd"/>
            <w:r w:rsidRPr="00B60C65">
              <w:rPr>
                <w:sz w:val="20"/>
                <w:szCs w:val="20"/>
              </w:rPr>
              <w:t>. 3000. Demultiplexed reads of ~100 bp length were generated for each sample.</w:t>
            </w:r>
          </w:p>
        </w:tc>
      </w:tr>
      <w:tr w:rsidR="00AF5E18" w:rsidRPr="00B60C65" w14:paraId="1B86A1A6" w14:textId="77777777" w:rsidTr="00B60C65">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3055" w:type="dxa"/>
            <w:hideMark/>
          </w:tcPr>
          <w:p w14:paraId="6994909D" w14:textId="77777777" w:rsidR="00AF5E18" w:rsidRPr="00B60C65" w:rsidRDefault="00AF5E18" w:rsidP="00AF5E18">
            <w:pPr>
              <w:rPr>
                <w:sz w:val="20"/>
                <w:szCs w:val="20"/>
              </w:rPr>
            </w:pPr>
            <w:proofErr w:type="spellStart"/>
            <w:r w:rsidRPr="00B60C65">
              <w:rPr>
                <w:sz w:val="20"/>
                <w:szCs w:val="20"/>
              </w:rPr>
              <w:t>Aminkeng</w:t>
            </w:r>
            <w:proofErr w:type="spellEnd"/>
            <w:r w:rsidRPr="00B60C65">
              <w:rPr>
                <w:sz w:val="20"/>
                <w:szCs w:val="20"/>
              </w:rPr>
              <w:t xml:space="preserve"> et al.</w:t>
            </w:r>
            <w:proofErr w:type="gramStart"/>
            <w:r w:rsidRPr="00B60C65">
              <w:rPr>
                <w:sz w:val="20"/>
                <w:szCs w:val="20"/>
              </w:rPr>
              <w:t>,  Nat</w:t>
            </w:r>
            <w:proofErr w:type="gramEnd"/>
            <w:r w:rsidRPr="00B60C65">
              <w:rPr>
                <w:sz w:val="20"/>
                <w:szCs w:val="20"/>
              </w:rPr>
              <w:t xml:space="preserve"> Genet. 2015</w:t>
            </w:r>
          </w:p>
        </w:tc>
        <w:tc>
          <w:tcPr>
            <w:tcW w:w="1843" w:type="dxa"/>
          </w:tcPr>
          <w:p w14:paraId="037CBF57"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Not Specified</w:t>
            </w:r>
          </w:p>
        </w:tc>
        <w:tc>
          <w:tcPr>
            <w:tcW w:w="10347" w:type="dxa"/>
          </w:tcPr>
          <w:p w14:paraId="63C51A16"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Discovery cohort and genotyped on the Illumina Infinium </w:t>
            </w:r>
            <w:proofErr w:type="spellStart"/>
            <w:r w:rsidRPr="00B60C65">
              <w:rPr>
                <w:sz w:val="20"/>
                <w:szCs w:val="20"/>
              </w:rPr>
              <w:t>HumanOmniExpress</w:t>
            </w:r>
            <w:proofErr w:type="spellEnd"/>
            <w:r w:rsidRPr="00B60C65">
              <w:rPr>
                <w:sz w:val="20"/>
                <w:szCs w:val="20"/>
              </w:rPr>
              <w:t xml:space="preserve"> panel (~740,000 markers), genotypes were called with the Illumina </w:t>
            </w:r>
            <w:proofErr w:type="spellStart"/>
            <w:r w:rsidRPr="00B60C65">
              <w:rPr>
                <w:sz w:val="20"/>
                <w:szCs w:val="20"/>
              </w:rPr>
              <w:t>GenomeStudio</w:t>
            </w:r>
            <w:proofErr w:type="spellEnd"/>
            <w:r w:rsidRPr="00B60C65">
              <w:rPr>
                <w:sz w:val="20"/>
                <w:szCs w:val="20"/>
              </w:rPr>
              <w:t xml:space="preserve"> software package, and SNPs were clustered using the Illumina 740K cluster file.</w:t>
            </w:r>
          </w:p>
        </w:tc>
      </w:tr>
      <w:tr w:rsidR="00AF5E18" w:rsidRPr="00B60C65" w14:paraId="392F5680" w14:textId="77777777" w:rsidTr="00B60C65">
        <w:trPr>
          <w:trHeight w:val="436"/>
        </w:trPr>
        <w:tc>
          <w:tcPr>
            <w:cnfStyle w:val="001000000000" w:firstRow="0" w:lastRow="0" w:firstColumn="1" w:lastColumn="0" w:oddVBand="0" w:evenVBand="0" w:oddHBand="0" w:evenHBand="0" w:firstRowFirstColumn="0" w:firstRowLastColumn="0" w:lastRowFirstColumn="0" w:lastRowLastColumn="0"/>
            <w:tcW w:w="3055" w:type="dxa"/>
            <w:hideMark/>
          </w:tcPr>
          <w:p w14:paraId="5CD4AD2E" w14:textId="77777777" w:rsidR="00AF5E18" w:rsidRPr="00B60C65" w:rsidRDefault="00AF5E18" w:rsidP="00AF5E18">
            <w:pPr>
              <w:rPr>
                <w:sz w:val="20"/>
                <w:szCs w:val="20"/>
              </w:rPr>
            </w:pPr>
            <w:r w:rsidRPr="00B60C65">
              <w:rPr>
                <w:sz w:val="20"/>
                <w:szCs w:val="20"/>
              </w:rPr>
              <w:lastRenderedPageBreak/>
              <w:t>Visscher et al., Pharmacogenomics, 2015</w:t>
            </w:r>
          </w:p>
        </w:tc>
        <w:tc>
          <w:tcPr>
            <w:tcW w:w="1843" w:type="dxa"/>
          </w:tcPr>
          <w:p w14:paraId="6604AD34"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blood, saliva or buccal swabs</w:t>
            </w:r>
          </w:p>
        </w:tc>
        <w:tc>
          <w:tcPr>
            <w:tcW w:w="10347" w:type="dxa"/>
          </w:tcPr>
          <w:p w14:paraId="5C758885" w14:textId="7EFC914F"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DNA samples were genotyped for 4536 SNPs using a customized Illumina </w:t>
            </w:r>
            <w:proofErr w:type="spellStart"/>
            <w:r w:rsidRPr="00B60C65">
              <w:rPr>
                <w:sz w:val="20"/>
                <w:szCs w:val="20"/>
              </w:rPr>
              <w:t>GoldenGate</w:t>
            </w:r>
            <w:proofErr w:type="spellEnd"/>
            <w:r w:rsidRPr="00B60C65">
              <w:rPr>
                <w:sz w:val="20"/>
                <w:szCs w:val="20"/>
              </w:rPr>
              <w:t xml:space="preserve"> SNP genotyping assay, designed to capture the genetic variation of over 300 key drug biotransformation genes</w:t>
            </w:r>
            <w:r w:rsidR="00B60C65">
              <w:rPr>
                <w:sz w:val="20"/>
                <w:szCs w:val="20"/>
              </w:rPr>
              <w:t>.</w:t>
            </w:r>
          </w:p>
          <w:p w14:paraId="24032DFC" w14:textId="7E21258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In addition, </w:t>
            </w:r>
            <w:proofErr w:type="spellStart"/>
            <w:r w:rsidRPr="00B60C65">
              <w:rPr>
                <w:sz w:val="20"/>
                <w:szCs w:val="20"/>
              </w:rPr>
              <w:t>tagSNPs</w:t>
            </w:r>
            <w:proofErr w:type="spellEnd"/>
            <w:r w:rsidRPr="00B60C65">
              <w:rPr>
                <w:sz w:val="20"/>
                <w:szCs w:val="20"/>
              </w:rPr>
              <w:t xml:space="preserve"> were included that were identified using the </w:t>
            </w:r>
            <w:proofErr w:type="spellStart"/>
            <w:r w:rsidRPr="00B60C65">
              <w:rPr>
                <w:sz w:val="20"/>
                <w:szCs w:val="20"/>
              </w:rPr>
              <w:t>ldSelect</w:t>
            </w:r>
            <w:proofErr w:type="spellEnd"/>
            <w:r w:rsidRPr="00B60C65">
              <w:rPr>
                <w:sz w:val="20"/>
                <w:szCs w:val="20"/>
              </w:rPr>
              <w:t xml:space="preserve"> algorithm to select a maximally informative set of </w:t>
            </w:r>
            <w:proofErr w:type="spellStart"/>
            <w:r w:rsidRPr="00B60C65">
              <w:rPr>
                <w:sz w:val="20"/>
                <w:szCs w:val="20"/>
              </w:rPr>
              <w:t>tagSNP</w:t>
            </w:r>
            <w:r w:rsidR="00B60C65">
              <w:rPr>
                <w:sz w:val="20"/>
                <w:szCs w:val="20"/>
              </w:rPr>
              <w:t>s</w:t>
            </w:r>
            <w:proofErr w:type="spellEnd"/>
            <w:r w:rsidR="00B60C65">
              <w:rPr>
                <w:sz w:val="20"/>
                <w:szCs w:val="20"/>
              </w:rPr>
              <w:t xml:space="preserve"> to assay the candidate genes.</w:t>
            </w:r>
          </w:p>
          <w:p w14:paraId="2907E3F5" w14:textId="02F19804"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In addition, the main SNP panel was supplemented with a custom 96-SNP Illumina Veracode </w:t>
            </w:r>
            <w:proofErr w:type="spellStart"/>
            <w:r w:rsidRPr="00B60C65">
              <w:rPr>
                <w:sz w:val="20"/>
                <w:szCs w:val="20"/>
              </w:rPr>
              <w:t>GoldenGate</w:t>
            </w:r>
            <w:proofErr w:type="spellEnd"/>
            <w:r w:rsidRPr="00B60C65">
              <w:rPr>
                <w:sz w:val="20"/>
                <w:szCs w:val="20"/>
              </w:rPr>
              <w:t xml:space="preserve"> genotyping assay to include both functional and </w:t>
            </w:r>
            <w:proofErr w:type="spellStart"/>
            <w:r w:rsidRPr="00B60C65">
              <w:rPr>
                <w:sz w:val="20"/>
                <w:szCs w:val="20"/>
              </w:rPr>
              <w:t>tagSNPs</w:t>
            </w:r>
            <w:proofErr w:type="spellEnd"/>
            <w:r w:rsidRPr="00B60C65">
              <w:rPr>
                <w:sz w:val="20"/>
                <w:szCs w:val="20"/>
              </w:rPr>
              <w:t xml:space="preserve"> in genes involved in the metabolism of anthracyclines into alcohol metabolites, as well as other SNPs possibly related to ACT that were not included in the main panel.</w:t>
            </w:r>
          </w:p>
          <w:p w14:paraId="2EC0E574" w14:textId="0B0CBE6A" w:rsidR="00AF5E18" w:rsidRPr="00B60C65" w:rsidRDefault="00AF5E18" w:rsidP="00B60C65">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All SNP genotypes were manually clustered using Illumina </w:t>
            </w:r>
            <w:proofErr w:type="spellStart"/>
            <w:r w:rsidRPr="00B60C65">
              <w:rPr>
                <w:sz w:val="20"/>
                <w:szCs w:val="20"/>
              </w:rPr>
              <w:t>GenomeStudio</w:t>
            </w:r>
            <w:proofErr w:type="spellEnd"/>
            <w:r w:rsidRPr="00B60C65">
              <w:rPr>
                <w:sz w:val="20"/>
                <w:szCs w:val="20"/>
              </w:rPr>
              <w:t xml:space="preserve"> software.</w:t>
            </w:r>
          </w:p>
        </w:tc>
      </w:tr>
      <w:tr w:rsidR="00AF5E18" w:rsidRPr="00B60C65" w14:paraId="26B4B9D6" w14:textId="77777777" w:rsidTr="00B60C65">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3055" w:type="dxa"/>
            <w:hideMark/>
          </w:tcPr>
          <w:p w14:paraId="6796EE10" w14:textId="77777777" w:rsidR="00AF5E18" w:rsidRPr="00B60C65" w:rsidRDefault="00AF5E18" w:rsidP="00AF5E18">
            <w:pPr>
              <w:rPr>
                <w:sz w:val="20"/>
                <w:szCs w:val="20"/>
              </w:rPr>
            </w:pPr>
            <w:r w:rsidRPr="00B60C65">
              <w:rPr>
                <w:sz w:val="20"/>
                <w:szCs w:val="20"/>
              </w:rPr>
              <w:t>Wang et al., JCO, 2016</w:t>
            </w:r>
          </w:p>
        </w:tc>
        <w:tc>
          <w:tcPr>
            <w:tcW w:w="1843" w:type="dxa"/>
          </w:tcPr>
          <w:p w14:paraId="2437CAEF"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Blood, saliva or buccal swabs</w:t>
            </w:r>
          </w:p>
        </w:tc>
        <w:tc>
          <w:tcPr>
            <w:tcW w:w="10347" w:type="dxa"/>
          </w:tcPr>
          <w:p w14:paraId="0B70F49D"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Genotyping was performed on the Illumina HumanOmniExpress-12 v1.0 DNA analysis bead-chip. The final data set included 583 748 autosomal SNPs.</w:t>
            </w:r>
          </w:p>
          <w:p w14:paraId="0764F0F2"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Significant SNP(s) identified in discovery were genotyped in the replication set by using Sequenom </w:t>
            </w:r>
            <w:proofErr w:type="spellStart"/>
            <w:r w:rsidRPr="00B60C65">
              <w:rPr>
                <w:sz w:val="20"/>
                <w:szCs w:val="20"/>
              </w:rPr>
              <w:t>iPLEX</w:t>
            </w:r>
            <w:proofErr w:type="spellEnd"/>
            <w:r w:rsidRPr="00B60C65">
              <w:rPr>
                <w:sz w:val="20"/>
                <w:szCs w:val="20"/>
              </w:rPr>
              <w:t xml:space="preserve"> SNP chemistry on a </w:t>
            </w:r>
            <w:proofErr w:type="spellStart"/>
            <w:r w:rsidRPr="00B60C65">
              <w:rPr>
                <w:sz w:val="20"/>
                <w:szCs w:val="20"/>
              </w:rPr>
              <w:t>MassArray</w:t>
            </w:r>
            <w:proofErr w:type="spellEnd"/>
            <w:r w:rsidRPr="00B60C65">
              <w:rPr>
                <w:sz w:val="20"/>
                <w:szCs w:val="20"/>
              </w:rPr>
              <w:t xml:space="preserve"> system.</w:t>
            </w:r>
          </w:p>
          <w:p w14:paraId="467C3973"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Presence of SNP(s) of interest in cardiac DNA was investigated with TaqMan genotyping assays per the manufacturer’s guidelines. Splicing isoforms were amplified by nested PCR.</w:t>
            </w:r>
          </w:p>
        </w:tc>
      </w:tr>
      <w:tr w:rsidR="00AF5E18" w:rsidRPr="00B60C65" w14:paraId="1224EB59" w14:textId="77777777" w:rsidTr="00B60C65">
        <w:trPr>
          <w:trHeight w:val="99"/>
        </w:trPr>
        <w:tc>
          <w:tcPr>
            <w:cnfStyle w:val="001000000000" w:firstRow="0" w:lastRow="0" w:firstColumn="1" w:lastColumn="0" w:oddVBand="0" w:evenVBand="0" w:oddHBand="0" w:evenHBand="0" w:firstRowFirstColumn="0" w:firstRowLastColumn="0" w:lastRowFirstColumn="0" w:lastRowLastColumn="0"/>
            <w:tcW w:w="3055" w:type="dxa"/>
            <w:hideMark/>
          </w:tcPr>
          <w:p w14:paraId="439BC92C" w14:textId="77777777" w:rsidR="00AF5E18" w:rsidRPr="00B60C65" w:rsidRDefault="00AF5E18" w:rsidP="00AF5E18">
            <w:pPr>
              <w:rPr>
                <w:sz w:val="20"/>
                <w:szCs w:val="20"/>
              </w:rPr>
            </w:pPr>
            <w:r w:rsidRPr="00B60C65">
              <w:rPr>
                <w:sz w:val="20"/>
                <w:szCs w:val="20"/>
              </w:rPr>
              <w:t>Wang et al., JCO, 2014</w:t>
            </w:r>
          </w:p>
        </w:tc>
        <w:tc>
          <w:tcPr>
            <w:tcW w:w="1843" w:type="dxa"/>
          </w:tcPr>
          <w:p w14:paraId="4A81672A"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Blood, saliva or buccal swabs</w:t>
            </w:r>
          </w:p>
        </w:tc>
        <w:tc>
          <w:tcPr>
            <w:tcW w:w="10347" w:type="dxa"/>
          </w:tcPr>
          <w:p w14:paraId="615F895A" w14:textId="03B67E02" w:rsidR="00AF5E18" w:rsidRPr="00B60C65" w:rsidRDefault="00AF5E18" w:rsidP="00AF5E18">
            <w:pPr>
              <w:tabs>
                <w:tab w:val="left" w:pos="4109"/>
              </w:tabs>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Genotyping was performed on the Illumina IBC cardiovascular SNP array. The final data set retained 34 912 autosomal SNPs.</w:t>
            </w:r>
            <w:r w:rsidRPr="00B60C65">
              <w:rPr>
                <w:sz w:val="20"/>
                <w:szCs w:val="20"/>
              </w:rPr>
              <w:br/>
              <w:t xml:space="preserve">Significant SNP(s) identified in the discovery stage were genotyped by using Sequenom </w:t>
            </w:r>
            <w:proofErr w:type="spellStart"/>
            <w:r w:rsidRPr="00B60C65">
              <w:rPr>
                <w:sz w:val="20"/>
                <w:szCs w:val="20"/>
              </w:rPr>
              <w:t>iPLEX</w:t>
            </w:r>
            <w:proofErr w:type="spellEnd"/>
            <w:r w:rsidRPr="00B60C65">
              <w:rPr>
                <w:sz w:val="20"/>
                <w:szCs w:val="20"/>
              </w:rPr>
              <w:t xml:space="preserve"> SNP chemistry on a </w:t>
            </w:r>
            <w:proofErr w:type="spellStart"/>
            <w:r w:rsidRPr="00B60C65">
              <w:rPr>
                <w:sz w:val="20"/>
                <w:szCs w:val="20"/>
              </w:rPr>
              <w:t>MassARRAY</w:t>
            </w:r>
            <w:proofErr w:type="spellEnd"/>
            <w:r w:rsidRPr="00B60C65">
              <w:rPr>
                <w:sz w:val="20"/>
                <w:szCs w:val="20"/>
              </w:rPr>
              <w:t xml:space="preserve"> system</w:t>
            </w:r>
            <w:r w:rsidR="00B60C65">
              <w:rPr>
                <w:sz w:val="20"/>
                <w:szCs w:val="20"/>
              </w:rPr>
              <w:t>.</w:t>
            </w:r>
          </w:p>
          <w:p w14:paraId="29252C65" w14:textId="77777777" w:rsidR="00AF5E18" w:rsidRPr="00B60C65" w:rsidRDefault="00AF5E18" w:rsidP="00AF5E18">
            <w:pPr>
              <w:tabs>
                <w:tab w:val="left" w:pos="4109"/>
              </w:tabs>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Significant SNPs validated in the replication stage were genotyped with TaqMan genotyping assays. Total RNA from heart tissue samples was reverse transcribed and amplified by using one-step </w:t>
            </w:r>
            <w:proofErr w:type="spellStart"/>
            <w:r w:rsidRPr="00B60C65">
              <w:rPr>
                <w:sz w:val="20"/>
                <w:szCs w:val="20"/>
              </w:rPr>
              <w:t>QuantiTect</w:t>
            </w:r>
            <w:proofErr w:type="spellEnd"/>
            <w:r w:rsidRPr="00B60C65">
              <w:rPr>
                <w:sz w:val="20"/>
                <w:szCs w:val="20"/>
              </w:rPr>
              <w:t xml:space="preserve"> SYBR Green rt-PCR kits. Relative hyaluronan synthase 3 (HAS3) mRNA levels were obtained after normalization to reference gene (ACTB).</w:t>
            </w:r>
          </w:p>
        </w:tc>
      </w:tr>
      <w:tr w:rsidR="004351EA" w:rsidRPr="00B60C65" w14:paraId="7054148A" w14:textId="77777777" w:rsidTr="00BC08BC">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3055" w:type="dxa"/>
            <w:hideMark/>
          </w:tcPr>
          <w:p w14:paraId="2D77FB74" w14:textId="77777777" w:rsidR="004351EA" w:rsidRPr="00B60C65" w:rsidRDefault="004351EA" w:rsidP="00BC08BC">
            <w:pPr>
              <w:rPr>
                <w:sz w:val="20"/>
                <w:szCs w:val="20"/>
              </w:rPr>
            </w:pPr>
            <w:r w:rsidRPr="00B60C65">
              <w:rPr>
                <w:sz w:val="20"/>
                <w:szCs w:val="20"/>
              </w:rPr>
              <w:t>Wang et al., JCO, 2022</w:t>
            </w:r>
          </w:p>
        </w:tc>
        <w:tc>
          <w:tcPr>
            <w:tcW w:w="1843" w:type="dxa"/>
          </w:tcPr>
          <w:p w14:paraId="6EF65BFE" w14:textId="77777777" w:rsidR="004351EA" w:rsidRPr="00B60C65" w:rsidRDefault="004351EA" w:rsidP="00BC08BC">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Blood or saliva in the replication set</w:t>
            </w:r>
          </w:p>
        </w:tc>
        <w:tc>
          <w:tcPr>
            <w:tcW w:w="10347" w:type="dxa"/>
          </w:tcPr>
          <w:p w14:paraId="7C340AB8" w14:textId="77777777" w:rsidR="004351EA" w:rsidRPr="00B60C65" w:rsidRDefault="004351EA" w:rsidP="00BC08BC">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Germline DNA from 5,739 CCSS participants was genotyped on HumanOmni5Exome arrays. Imputation </w:t>
            </w:r>
            <w:proofErr w:type="gramStart"/>
            <w:r w:rsidRPr="00B60C65">
              <w:rPr>
                <w:sz w:val="20"/>
                <w:szCs w:val="20"/>
              </w:rPr>
              <w:t>on the basis of</w:t>
            </w:r>
            <w:proofErr w:type="gramEnd"/>
            <w:r w:rsidRPr="00B60C65">
              <w:rPr>
                <w:sz w:val="20"/>
                <w:szCs w:val="20"/>
              </w:rPr>
              <w:t xml:space="preserve"> the 1000 Genomes Project release v.3 reference haplotypes using IMPUTE v.2.3.0 yielded 26 135 904 high-quality SNPs and small insertions or deletions.</w:t>
            </w:r>
          </w:p>
          <w:p w14:paraId="738C20F6" w14:textId="77777777" w:rsidR="004351EA" w:rsidRPr="00B60C65" w:rsidRDefault="004351EA" w:rsidP="00BC08BC">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In the replication cohort, genotyping was performed on the Juno system according to manufacturer’s instructions. End point fluorescence values were measured on the </w:t>
            </w:r>
            <w:proofErr w:type="spellStart"/>
            <w:r w:rsidRPr="00B60C65">
              <w:rPr>
                <w:sz w:val="20"/>
                <w:szCs w:val="20"/>
              </w:rPr>
              <w:t>BioMark</w:t>
            </w:r>
            <w:proofErr w:type="spellEnd"/>
            <w:r w:rsidRPr="00B60C65">
              <w:rPr>
                <w:sz w:val="20"/>
                <w:szCs w:val="20"/>
              </w:rPr>
              <w:t xml:space="preserve"> HD system, and the Fluidigm SNP Genotyping Analysis software program was used to generate genotyping calls for each sample.</w:t>
            </w:r>
          </w:p>
          <w:p w14:paraId="61D981C4" w14:textId="21346266" w:rsidR="004351EA" w:rsidRPr="00B60C65" w:rsidRDefault="004351EA" w:rsidP="00BC08BC">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RNA concentration was measured using Nanodrop ND-1000. RNA quality was checked on Bioanalyzer Nanochip and samples with RNA integrity </w:t>
            </w:r>
            <w:r w:rsidR="00565753" w:rsidRPr="00B60C65">
              <w:rPr>
                <w:sz w:val="20"/>
                <w:szCs w:val="20"/>
              </w:rPr>
              <w:t>number.</w:t>
            </w:r>
            <w:r w:rsidRPr="00B60C65">
              <w:rPr>
                <w:sz w:val="20"/>
                <w:szCs w:val="20"/>
              </w:rPr>
              <w:t xml:space="preserve">&gt;7 were submitted to the Genomic Services Laboratory at </w:t>
            </w:r>
            <w:proofErr w:type="spellStart"/>
            <w:r w:rsidRPr="00B60C65">
              <w:rPr>
                <w:sz w:val="20"/>
                <w:szCs w:val="20"/>
              </w:rPr>
              <w:t>HudsonAlpha</w:t>
            </w:r>
            <w:proofErr w:type="spellEnd"/>
            <w:r w:rsidRPr="00B60C65">
              <w:rPr>
                <w:sz w:val="20"/>
                <w:szCs w:val="20"/>
              </w:rPr>
              <w:t xml:space="preserve"> Institute for Biotechnology, Huntsville, AL. Poly-adenylated RNAs were isolated using </w:t>
            </w:r>
            <w:proofErr w:type="spellStart"/>
            <w:r w:rsidRPr="00B60C65">
              <w:rPr>
                <w:sz w:val="20"/>
                <w:szCs w:val="20"/>
              </w:rPr>
              <w:t>NEBNext</w:t>
            </w:r>
            <w:proofErr w:type="spellEnd"/>
            <w:r w:rsidRPr="00B60C65">
              <w:rPr>
                <w:sz w:val="20"/>
                <w:szCs w:val="20"/>
              </w:rPr>
              <w:t xml:space="preserve"> Magnetic Oligo d(T)25 beads. Libraries were prepared using the </w:t>
            </w:r>
            <w:proofErr w:type="spellStart"/>
            <w:r w:rsidRPr="00B60C65">
              <w:rPr>
                <w:sz w:val="20"/>
                <w:szCs w:val="20"/>
              </w:rPr>
              <w:t>TruSeq</w:t>
            </w:r>
            <w:proofErr w:type="spellEnd"/>
            <w:r w:rsidRPr="00B60C65">
              <w:rPr>
                <w:sz w:val="20"/>
                <w:szCs w:val="20"/>
              </w:rPr>
              <w:t xml:space="preserve"> RNA Sample Preparation Kit (Illumina Inc).</w:t>
            </w:r>
          </w:p>
        </w:tc>
      </w:tr>
      <w:tr w:rsidR="005518A6" w:rsidRPr="00B60C65" w14:paraId="557B8711" w14:textId="77777777" w:rsidTr="00B60C65">
        <w:trPr>
          <w:trHeight w:val="193"/>
        </w:trPr>
        <w:tc>
          <w:tcPr>
            <w:cnfStyle w:val="001000000000" w:firstRow="0" w:lastRow="0" w:firstColumn="1" w:lastColumn="0" w:oddVBand="0" w:evenVBand="0" w:oddHBand="0" w:evenHBand="0" w:firstRowFirstColumn="0" w:firstRowLastColumn="0" w:lastRowFirstColumn="0" w:lastRowLastColumn="0"/>
            <w:tcW w:w="3055" w:type="dxa"/>
            <w:hideMark/>
          </w:tcPr>
          <w:p w14:paraId="14DD8367" w14:textId="77777777" w:rsidR="005518A6" w:rsidRPr="00B60C65" w:rsidRDefault="005518A6" w:rsidP="004B71C8">
            <w:pPr>
              <w:rPr>
                <w:sz w:val="20"/>
                <w:szCs w:val="20"/>
              </w:rPr>
            </w:pPr>
            <w:r w:rsidRPr="00B60C65">
              <w:rPr>
                <w:sz w:val="20"/>
                <w:szCs w:val="20"/>
              </w:rPr>
              <w:t>Visscher et al., Journal of Clinical Oncology, 2012</w:t>
            </w:r>
          </w:p>
        </w:tc>
        <w:tc>
          <w:tcPr>
            <w:tcW w:w="1843" w:type="dxa"/>
          </w:tcPr>
          <w:p w14:paraId="1106B9BF" w14:textId="66C193A2" w:rsidR="005518A6" w:rsidRPr="00B60C65" w:rsidRDefault="0014460E" w:rsidP="004B71C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Not Specified</w:t>
            </w:r>
          </w:p>
        </w:tc>
        <w:tc>
          <w:tcPr>
            <w:tcW w:w="10347" w:type="dxa"/>
          </w:tcPr>
          <w:p w14:paraId="55E113F8" w14:textId="6D7A30FE" w:rsidR="00817D49" w:rsidRPr="00B60C65" w:rsidRDefault="00DF6D18" w:rsidP="00817D49">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DNA samples from the two Canadian co</w:t>
            </w:r>
            <w:r w:rsidR="00105083" w:rsidRPr="00B60C65">
              <w:rPr>
                <w:sz w:val="20"/>
                <w:szCs w:val="20"/>
              </w:rPr>
              <w:t xml:space="preserve">horts were genotyped for 2 </w:t>
            </w:r>
            <w:r w:rsidR="00817D49" w:rsidRPr="00B60C65">
              <w:rPr>
                <w:sz w:val="20"/>
                <w:szCs w:val="20"/>
              </w:rPr>
              <w:t xml:space="preserve">977 </w:t>
            </w:r>
            <w:r w:rsidRPr="00B60C65">
              <w:rPr>
                <w:sz w:val="20"/>
                <w:szCs w:val="20"/>
              </w:rPr>
              <w:t xml:space="preserve">SNPs using a customized Illumina </w:t>
            </w:r>
            <w:proofErr w:type="spellStart"/>
            <w:r w:rsidRPr="00B60C65">
              <w:rPr>
                <w:sz w:val="20"/>
                <w:szCs w:val="20"/>
              </w:rPr>
              <w:t>GoldenGate</w:t>
            </w:r>
            <w:proofErr w:type="spellEnd"/>
            <w:r w:rsidRPr="00B60C65">
              <w:rPr>
                <w:sz w:val="20"/>
                <w:szCs w:val="20"/>
              </w:rPr>
              <w:t xml:space="preserve"> SNP geno</w:t>
            </w:r>
            <w:r w:rsidR="00817D49" w:rsidRPr="00B60C65">
              <w:rPr>
                <w:sz w:val="20"/>
                <w:szCs w:val="20"/>
              </w:rPr>
              <w:t xml:space="preserve">typing assay, </w:t>
            </w:r>
            <w:r w:rsidRPr="00B60C65">
              <w:rPr>
                <w:sz w:val="20"/>
                <w:szCs w:val="20"/>
              </w:rPr>
              <w:t>designed to capture the genetic variation of 220 key drug biotransformation genes.</w:t>
            </w:r>
          </w:p>
          <w:p w14:paraId="59B024AB" w14:textId="497D783A" w:rsidR="005518A6" w:rsidRPr="00B60C65" w:rsidRDefault="00B2645D" w:rsidP="00817D49">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After quality control, 1 </w:t>
            </w:r>
            <w:r w:rsidR="00DF6D18" w:rsidRPr="00B60C65">
              <w:rPr>
                <w:sz w:val="20"/>
                <w:szCs w:val="20"/>
              </w:rPr>
              <w:t>931 SNPs remained for analysis. DNA samples from the Dutch-EKZ replication cohort were genotyped for rs7</w:t>
            </w:r>
            <w:r w:rsidR="00817D49" w:rsidRPr="00B60C65">
              <w:rPr>
                <w:sz w:val="20"/>
                <w:szCs w:val="20"/>
              </w:rPr>
              <w:t>853758 by TaqMan SNP genotyping</w:t>
            </w:r>
            <w:r w:rsidR="00B60C65">
              <w:rPr>
                <w:sz w:val="20"/>
                <w:szCs w:val="20"/>
              </w:rPr>
              <w:t>.</w:t>
            </w:r>
          </w:p>
        </w:tc>
      </w:tr>
      <w:tr w:rsidR="005518A6" w:rsidRPr="00B60C65" w14:paraId="18186336" w14:textId="77777777" w:rsidTr="00B60C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55" w:type="dxa"/>
            <w:hideMark/>
          </w:tcPr>
          <w:p w14:paraId="7C58F8D2" w14:textId="05913EB5" w:rsidR="005518A6" w:rsidRPr="00565753" w:rsidRDefault="005518A6" w:rsidP="004B71C8">
            <w:pPr>
              <w:rPr>
                <w:sz w:val="20"/>
                <w:szCs w:val="20"/>
                <w:lang w:val="fr-FR"/>
              </w:rPr>
            </w:pPr>
            <w:r w:rsidRPr="00565753">
              <w:rPr>
                <w:sz w:val="20"/>
                <w:szCs w:val="20"/>
                <w:lang w:val="fr-FR"/>
              </w:rPr>
              <w:t xml:space="preserve">Chaix et al., </w:t>
            </w:r>
            <w:r w:rsidR="00565753" w:rsidRPr="00565753">
              <w:rPr>
                <w:sz w:val="20"/>
                <w:szCs w:val="20"/>
                <w:lang w:val="fr-FR"/>
              </w:rPr>
              <w:t xml:space="preserve">JACC </w:t>
            </w:r>
            <w:r w:rsidR="00565753" w:rsidRPr="00565753">
              <w:rPr>
                <w:b w:val="0"/>
                <w:bCs w:val="0"/>
                <w:sz w:val="20"/>
                <w:szCs w:val="20"/>
                <w:lang w:val="fr-FR"/>
              </w:rPr>
              <w:t>:</w:t>
            </w:r>
            <w:r w:rsidRPr="00565753">
              <w:rPr>
                <w:sz w:val="20"/>
                <w:szCs w:val="20"/>
                <w:lang w:val="fr-FR"/>
              </w:rPr>
              <w:t xml:space="preserve"> </w:t>
            </w:r>
            <w:proofErr w:type="spellStart"/>
            <w:r w:rsidRPr="00565753">
              <w:rPr>
                <w:sz w:val="20"/>
                <w:szCs w:val="20"/>
                <w:lang w:val="fr-FR"/>
              </w:rPr>
              <w:t>Cardiooncology</w:t>
            </w:r>
            <w:proofErr w:type="spellEnd"/>
            <w:r w:rsidRPr="00565753">
              <w:rPr>
                <w:sz w:val="20"/>
                <w:szCs w:val="20"/>
                <w:lang w:val="fr-FR"/>
              </w:rPr>
              <w:t>, 2020.</w:t>
            </w:r>
          </w:p>
        </w:tc>
        <w:tc>
          <w:tcPr>
            <w:tcW w:w="1843" w:type="dxa"/>
          </w:tcPr>
          <w:p w14:paraId="7C4E9103" w14:textId="7BCBBDDA" w:rsidR="005518A6" w:rsidRPr="00B60C65" w:rsidRDefault="00BA511F" w:rsidP="004B71C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Blood</w:t>
            </w:r>
          </w:p>
        </w:tc>
        <w:tc>
          <w:tcPr>
            <w:tcW w:w="10347" w:type="dxa"/>
          </w:tcPr>
          <w:p w14:paraId="3825AADB" w14:textId="7B4AED40" w:rsidR="005518A6" w:rsidRPr="00B60C65" w:rsidRDefault="004331C0" w:rsidP="004331C0">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WES was performed (average: 100 x depth) by using the Illumina </w:t>
            </w:r>
            <w:proofErr w:type="spellStart"/>
            <w:r w:rsidRPr="00B60C65">
              <w:rPr>
                <w:sz w:val="20"/>
                <w:szCs w:val="20"/>
              </w:rPr>
              <w:t>HiSeq</w:t>
            </w:r>
            <w:proofErr w:type="spellEnd"/>
            <w:r w:rsidRPr="00B60C65">
              <w:rPr>
                <w:sz w:val="20"/>
                <w:szCs w:val="20"/>
              </w:rPr>
              <w:t xml:space="preserve"> X platform. High quality </w:t>
            </w:r>
            <w:r w:rsidR="00565753" w:rsidRPr="00B60C65">
              <w:rPr>
                <w:sz w:val="20"/>
                <w:szCs w:val="20"/>
              </w:rPr>
              <w:t>paired end</w:t>
            </w:r>
            <w:r w:rsidRPr="00B60C65">
              <w:rPr>
                <w:sz w:val="20"/>
                <w:szCs w:val="20"/>
              </w:rPr>
              <w:t xml:space="preserve"> reads (2 x 150bp) were mapped to the human genome reference sequence by using the bwa mem aligner, version 0.7.8, and variants were called using the Genome Analysis Toolkit, version 3.8.0.</w:t>
            </w:r>
          </w:p>
        </w:tc>
      </w:tr>
      <w:tr w:rsidR="004E683E" w:rsidRPr="00B60C65" w14:paraId="23124A72" w14:textId="77777777" w:rsidTr="00BC08BC">
        <w:trPr>
          <w:trHeight w:val="193"/>
        </w:trPr>
        <w:tc>
          <w:tcPr>
            <w:cnfStyle w:val="001000000000" w:firstRow="0" w:lastRow="0" w:firstColumn="1" w:lastColumn="0" w:oddVBand="0" w:evenVBand="0" w:oddHBand="0" w:evenHBand="0" w:firstRowFirstColumn="0" w:firstRowLastColumn="0" w:lastRowFirstColumn="0" w:lastRowLastColumn="0"/>
            <w:tcW w:w="3055" w:type="dxa"/>
          </w:tcPr>
          <w:p w14:paraId="11D103A8" w14:textId="77777777" w:rsidR="004E683E" w:rsidRPr="00565753" w:rsidRDefault="004E683E" w:rsidP="00BC08BC">
            <w:pPr>
              <w:rPr>
                <w:sz w:val="20"/>
                <w:szCs w:val="20"/>
              </w:rPr>
            </w:pPr>
            <w:proofErr w:type="spellStart"/>
            <w:r w:rsidRPr="00565753">
              <w:rPr>
                <w:sz w:val="20"/>
                <w:lang w:val="en-GB"/>
              </w:rPr>
              <w:t>Sharafeldin</w:t>
            </w:r>
            <w:proofErr w:type="spellEnd"/>
            <w:r w:rsidRPr="00565753">
              <w:rPr>
                <w:sz w:val="20"/>
                <w:lang w:val="en-GB"/>
              </w:rPr>
              <w:t xml:space="preserve"> et al., JACC: </w:t>
            </w:r>
            <w:proofErr w:type="spellStart"/>
            <w:r w:rsidRPr="00565753">
              <w:rPr>
                <w:sz w:val="20"/>
                <w:lang w:val="en-GB"/>
              </w:rPr>
              <w:t>Cardiooncology</w:t>
            </w:r>
            <w:proofErr w:type="spellEnd"/>
            <w:r w:rsidRPr="00565753">
              <w:rPr>
                <w:sz w:val="20"/>
                <w:lang w:val="en-GB"/>
              </w:rPr>
              <w:t>, 2023</w:t>
            </w:r>
          </w:p>
        </w:tc>
        <w:tc>
          <w:tcPr>
            <w:tcW w:w="1843" w:type="dxa"/>
          </w:tcPr>
          <w:p w14:paraId="1A85FC4E" w14:textId="77777777" w:rsidR="004E683E" w:rsidRPr="00565753" w:rsidRDefault="004E683E" w:rsidP="00BC08BC">
            <w:pPr>
              <w:cnfStyle w:val="000000000000" w:firstRow="0" w:lastRow="0" w:firstColumn="0" w:lastColumn="0" w:oddVBand="0" w:evenVBand="0" w:oddHBand="0" w:evenHBand="0" w:firstRowFirstColumn="0" w:firstRowLastColumn="0" w:lastRowFirstColumn="0" w:lastRowLastColumn="0"/>
              <w:rPr>
                <w:sz w:val="20"/>
                <w:szCs w:val="20"/>
              </w:rPr>
            </w:pPr>
            <w:r w:rsidRPr="00565753">
              <w:rPr>
                <w:sz w:val="20"/>
                <w:szCs w:val="20"/>
                <w:lang w:val="fr-FR"/>
              </w:rPr>
              <w:t>Blood or saliva</w:t>
            </w:r>
          </w:p>
        </w:tc>
        <w:tc>
          <w:tcPr>
            <w:tcW w:w="10347" w:type="dxa"/>
          </w:tcPr>
          <w:p w14:paraId="212CFFA0" w14:textId="77777777" w:rsidR="004E683E" w:rsidRPr="00565753" w:rsidRDefault="004E683E" w:rsidP="00BC08BC">
            <w:pPr>
              <w:cnfStyle w:val="000000000000" w:firstRow="0" w:lastRow="0" w:firstColumn="0" w:lastColumn="0" w:oddVBand="0" w:evenVBand="0" w:oddHBand="0" w:evenHBand="0" w:firstRowFirstColumn="0" w:firstRowLastColumn="0" w:lastRowFirstColumn="0" w:lastRowLastColumn="0"/>
              <w:rPr>
                <w:sz w:val="20"/>
                <w:szCs w:val="20"/>
              </w:rPr>
            </w:pPr>
            <w:r w:rsidRPr="00565753">
              <w:rPr>
                <w:sz w:val="20"/>
                <w:szCs w:val="20"/>
              </w:rPr>
              <w:t xml:space="preserve">WES with 100X coverage was performed at the </w:t>
            </w:r>
            <w:proofErr w:type="spellStart"/>
            <w:r w:rsidRPr="00565753">
              <w:rPr>
                <w:sz w:val="20"/>
                <w:szCs w:val="20"/>
              </w:rPr>
              <w:t>HudsonAlpha</w:t>
            </w:r>
            <w:proofErr w:type="spellEnd"/>
            <w:r w:rsidRPr="00565753">
              <w:rPr>
                <w:sz w:val="20"/>
                <w:szCs w:val="20"/>
              </w:rPr>
              <w:t xml:space="preserve"> Institute for Biotechnology Genomic Services Discovery Laboratory (Huntsville, AL, USA) using Illumina </w:t>
            </w:r>
            <w:proofErr w:type="spellStart"/>
            <w:r w:rsidRPr="00565753">
              <w:rPr>
                <w:sz w:val="20"/>
                <w:szCs w:val="20"/>
              </w:rPr>
              <w:t>NovaSeq</w:t>
            </w:r>
            <w:proofErr w:type="spellEnd"/>
            <w:r w:rsidRPr="00565753">
              <w:rPr>
                <w:sz w:val="20"/>
                <w:szCs w:val="20"/>
              </w:rPr>
              <w:t xml:space="preserve"> (100 base-paired-end sequencing).</w:t>
            </w:r>
          </w:p>
          <w:p w14:paraId="565754F2" w14:textId="77777777" w:rsidR="004E683E" w:rsidRPr="00565753" w:rsidRDefault="004E683E" w:rsidP="00BC08BC">
            <w:pPr>
              <w:cnfStyle w:val="000000000000" w:firstRow="0" w:lastRow="0" w:firstColumn="0" w:lastColumn="0" w:oddVBand="0" w:evenVBand="0" w:oddHBand="0" w:evenHBand="0" w:firstRowFirstColumn="0" w:firstRowLastColumn="0" w:lastRowFirstColumn="0" w:lastRowLastColumn="0"/>
              <w:rPr>
                <w:sz w:val="20"/>
                <w:szCs w:val="20"/>
              </w:rPr>
            </w:pPr>
          </w:p>
          <w:p w14:paraId="6F62AE1D" w14:textId="77777777" w:rsidR="004E683E" w:rsidRDefault="004E683E" w:rsidP="00BC08BC">
            <w:pPr>
              <w:cnfStyle w:val="000000000000" w:firstRow="0" w:lastRow="0" w:firstColumn="0" w:lastColumn="0" w:oddVBand="0" w:evenVBand="0" w:oddHBand="0" w:evenHBand="0" w:firstRowFirstColumn="0" w:firstRowLastColumn="0" w:lastRowFirstColumn="0" w:lastRowLastColumn="0"/>
              <w:rPr>
                <w:sz w:val="20"/>
                <w:szCs w:val="20"/>
              </w:rPr>
            </w:pPr>
            <w:r w:rsidRPr="00565753">
              <w:rPr>
                <w:sz w:val="20"/>
                <w:szCs w:val="20"/>
              </w:rPr>
              <w:t xml:space="preserve">For the COG and BMTSS replication sets, SNP assays were designed and ordered using Fluidigm®D3™ assay design. Genotyping was performed on the Juno™ system (Fluidigm, San Francisco, CA, USA) and 96.96 Genotyping IFCs.  For the </w:t>
            </w:r>
            <w:r w:rsidRPr="00565753">
              <w:rPr>
                <w:sz w:val="20"/>
                <w:szCs w:val="20"/>
              </w:rPr>
              <w:lastRenderedPageBreak/>
              <w:t>CCSS replication set, germline DNA from 5,739 participants was genotyped on Illumina (San Diego, CA) HumanOmni5Exome array</w:t>
            </w:r>
          </w:p>
          <w:p w14:paraId="37BE8572" w14:textId="77777777" w:rsidR="004E683E" w:rsidRPr="00B60C65" w:rsidRDefault="004E683E" w:rsidP="00BC08BC">
            <w:pPr>
              <w:cnfStyle w:val="000000000000" w:firstRow="0" w:lastRow="0" w:firstColumn="0" w:lastColumn="0" w:oddVBand="0" w:evenVBand="0" w:oddHBand="0" w:evenHBand="0" w:firstRowFirstColumn="0" w:firstRowLastColumn="0" w:lastRowFirstColumn="0" w:lastRowLastColumn="0"/>
              <w:rPr>
                <w:sz w:val="20"/>
                <w:szCs w:val="20"/>
              </w:rPr>
            </w:pPr>
          </w:p>
        </w:tc>
      </w:tr>
      <w:tr w:rsidR="00AF5E18" w:rsidRPr="00B60C65" w14:paraId="6B1C409E" w14:textId="77777777" w:rsidTr="00B60C65">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3055" w:type="dxa"/>
            <w:hideMark/>
          </w:tcPr>
          <w:p w14:paraId="51F22B59" w14:textId="77777777" w:rsidR="00AF5E18" w:rsidRPr="00B60C65" w:rsidRDefault="00AF5E18" w:rsidP="00AF5E18">
            <w:pPr>
              <w:rPr>
                <w:sz w:val="20"/>
                <w:szCs w:val="20"/>
              </w:rPr>
            </w:pPr>
            <w:proofErr w:type="spellStart"/>
            <w:r w:rsidRPr="00B60C65">
              <w:rPr>
                <w:sz w:val="20"/>
                <w:szCs w:val="20"/>
              </w:rPr>
              <w:lastRenderedPageBreak/>
              <w:t>Krajinovic</w:t>
            </w:r>
            <w:proofErr w:type="spellEnd"/>
            <w:r w:rsidRPr="00B60C65">
              <w:rPr>
                <w:sz w:val="20"/>
                <w:szCs w:val="20"/>
              </w:rPr>
              <w:t xml:space="preserve"> et al., The Pharmacogenomics Journal, 2016</w:t>
            </w:r>
          </w:p>
        </w:tc>
        <w:tc>
          <w:tcPr>
            <w:tcW w:w="1843" w:type="dxa"/>
          </w:tcPr>
          <w:p w14:paraId="5275DE61"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Not Specified</w:t>
            </w:r>
          </w:p>
        </w:tc>
        <w:tc>
          <w:tcPr>
            <w:tcW w:w="10347" w:type="dxa"/>
          </w:tcPr>
          <w:p w14:paraId="0EE12268" w14:textId="7DDAAF21"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Thirty-three common polymorphisms (with minor allele frequency, MAF, higher than 5%) in 12 genes (ABCC1, ABCC2, ABCC5, ABCB1 ABCG2, NFKB1, NQO1, NOS3, MLH1, MLH2, GSTM1 and GSTT1) involved in DOX metabolic and functional pathways7 were genotyped</w:t>
            </w:r>
            <w:r w:rsidR="00B60C65">
              <w:rPr>
                <w:sz w:val="20"/>
                <w:szCs w:val="20"/>
              </w:rPr>
              <w:t>.</w:t>
            </w:r>
          </w:p>
          <w:p w14:paraId="6DF1AA39"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Genotyping of ABCC5 and NOS3 gene polymorphisms was not </w:t>
            </w:r>
            <w:proofErr w:type="spellStart"/>
            <w:r w:rsidRPr="00B60C65">
              <w:rPr>
                <w:sz w:val="20"/>
                <w:szCs w:val="20"/>
              </w:rPr>
              <w:t>decribed</w:t>
            </w:r>
            <w:proofErr w:type="spellEnd"/>
            <w:r w:rsidRPr="00B60C65">
              <w:rPr>
                <w:sz w:val="20"/>
                <w:szCs w:val="20"/>
              </w:rPr>
              <w:t xml:space="preserve"> in the text.</w:t>
            </w:r>
          </w:p>
        </w:tc>
      </w:tr>
      <w:tr w:rsidR="00AF5E18" w:rsidRPr="00B60C65" w14:paraId="1F17E6C1" w14:textId="77777777" w:rsidTr="00B60C65">
        <w:trPr>
          <w:trHeight w:val="127"/>
        </w:trPr>
        <w:tc>
          <w:tcPr>
            <w:cnfStyle w:val="001000000000" w:firstRow="0" w:lastRow="0" w:firstColumn="1" w:lastColumn="0" w:oddVBand="0" w:evenVBand="0" w:oddHBand="0" w:evenHBand="0" w:firstRowFirstColumn="0" w:firstRowLastColumn="0" w:lastRowFirstColumn="0" w:lastRowLastColumn="0"/>
            <w:tcW w:w="3055" w:type="dxa"/>
            <w:hideMark/>
          </w:tcPr>
          <w:p w14:paraId="4A5DF131" w14:textId="77777777" w:rsidR="00AF5E18" w:rsidRPr="00B60C65" w:rsidRDefault="00AF5E18" w:rsidP="00AF5E18">
            <w:pPr>
              <w:rPr>
                <w:sz w:val="20"/>
                <w:szCs w:val="20"/>
              </w:rPr>
            </w:pPr>
            <w:r w:rsidRPr="00B60C65">
              <w:rPr>
                <w:sz w:val="20"/>
                <w:szCs w:val="20"/>
              </w:rPr>
              <w:t>Semsei A., Cell Biol. Int, 2012</w:t>
            </w:r>
          </w:p>
        </w:tc>
        <w:tc>
          <w:tcPr>
            <w:tcW w:w="1843" w:type="dxa"/>
          </w:tcPr>
          <w:p w14:paraId="10FACF34"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Blood in patients in remission; bone marrow smears, neonatal Guthrie spots, stored buffy coats in patients who were deceased before sample collection</w:t>
            </w:r>
          </w:p>
        </w:tc>
        <w:tc>
          <w:tcPr>
            <w:tcW w:w="10347" w:type="dxa"/>
          </w:tcPr>
          <w:p w14:paraId="00EBAEAC"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SNPs (single nucleotide polymorphisms) were selected prioritized </w:t>
            </w:r>
            <w:proofErr w:type="gramStart"/>
            <w:r w:rsidRPr="00B60C65">
              <w:rPr>
                <w:sz w:val="20"/>
                <w:szCs w:val="20"/>
              </w:rPr>
              <w:t>on the basis of</w:t>
            </w:r>
            <w:proofErr w:type="gramEnd"/>
            <w:r w:rsidRPr="00B60C65">
              <w:rPr>
                <w:sz w:val="20"/>
                <w:szCs w:val="20"/>
              </w:rPr>
              <w:t xml:space="preserve"> their estimated functionality in this order: non-synonymous SNPs, SNPs in promoter and 39-UTR (39untranslated region) region, synonymous SNPs and intronic SNPs. The goal was to cover every haplotype block in the gene defined by the </w:t>
            </w:r>
            <w:proofErr w:type="spellStart"/>
            <w:r w:rsidRPr="00B60C65">
              <w:rPr>
                <w:sz w:val="20"/>
                <w:szCs w:val="20"/>
              </w:rPr>
              <w:t>Haploview</w:t>
            </w:r>
            <w:proofErr w:type="spellEnd"/>
            <w:r w:rsidRPr="00B60C65">
              <w:rPr>
                <w:sz w:val="20"/>
                <w:szCs w:val="20"/>
              </w:rPr>
              <w:t xml:space="preserve"> 4.1 software with 1 or 2 SNPs.</w:t>
            </w:r>
          </w:p>
          <w:p w14:paraId="6C98B979" w14:textId="3C504DE2"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The ABCC1 rs45511401 genotypes were determined by multiplex single base extension using a </w:t>
            </w:r>
            <w:proofErr w:type="spellStart"/>
            <w:r w:rsidRPr="00B60C65">
              <w:rPr>
                <w:sz w:val="20"/>
                <w:szCs w:val="20"/>
              </w:rPr>
              <w:t>SNaPshot</w:t>
            </w:r>
            <w:proofErr w:type="spellEnd"/>
            <w:r w:rsidRPr="00B60C65">
              <w:rPr>
                <w:sz w:val="20"/>
                <w:szCs w:val="20"/>
              </w:rPr>
              <w:t xml:space="preserve"> Multiplex Kit followed by </w:t>
            </w:r>
            <w:r w:rsidR="00565753" w:rsidRPr="00B60C65">
              <w:rPr>
                <w:sz w:val="20"/>
                <w:szCs w:val="20"/>
              </w:rPr>
              <w:t>mini sequencing</w:t>
            </w:r>
            <w:r w:rsidRPr="00B60C65">
              <w:rPr>
                <w:sz w:val="20"/>
                <w:szCs w:val="20"/>
              </w:rPr>
              <w:t xml:space="preserve"> on an ABI 310 genetic </w:t>
            </w:r>
            <w:proofErr w:type="spellStart"/>
            <w:r w:rsidRPr="00B60C65">
              <w:rPr>
                <w:sz w:val="20"/>
                <w:szCs w:val="20"/>
              </w:rPr>
              <w:t>analys</w:t>
            </w:r>
            <w:proofErr w:type="spellEnd"/>
            <w:r w:rsidRPr="00B60C65">
              <w:rPr>
                <w:sz w:val="20"/>
                <w:szCs w:val="20"/>
              </w:rPr>
              <w:t xml:space="preserve">. All other ABCC1 SNPs were genotyped using the </w:t>
            </w:r>
            <w:proofErr w:type="spellStart"/>
            <w:r w:rsidRPr="00B60C65">
              <w:rPr>
                <w:sz w:val="20"/>
                <w:szCs w:val="20"/>
              </w:rPr>
              <w:t>GenomeLab</w:t>
            </w:r>
            <w:proofErr w:type="spellEnd"/>
            <w:r w:rsidRPr="00B60C65">
              <w:rPr>
                <w:sz w:val="20"/>
                <w:szCs w:val="20"/>
              </w:rPr>
              <w:t xml:space="preserve"> </w:t>
            </w:r>
            <w:proofErr w:type="spellStart"/>
            <w:r w:rsidRPr="00B60C65">
              <w:rPr>
                <w:sz w:val="20"/>
                <w:szCs w:val="20"/>
              </w:rPr>
              <w:t>SNPstream</w:t>
            </w:r>
            <w:proofErr w:type="spellEnd"/>
            <w:r w:rsidRPr="00B60C65">
              <w:rPr>
                <w:sz w:val="20"/>
                <w:szCs w:val="20"/>
              </w:rPr>
              <w:t xml:space="preserve"> genotyping platform according to the manufacturer’s instructions.</w:t>
            </w:r>
          </w:p>
          <w:p w14:paraId="3A10519E"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p>
        </w:tc>
      </w:tr>
      <w:tr w:rsidR="00AF5E18" w:rsidRPr="00B60C65" w14:paraId="2A9D0E01" w14:textId="77777777" w:rsidTr="00B60C65">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055" w:type="dxa"/>
            <w:hideMark/>
          </w:tcPr>
          <w:p w14:paraId="2401B212" w14:textId="77777777" w:rsidR="00AF5E18" w:rsidRPr="00B60C65" w:rsidRDefault="00AF5E18" w:rsidP="00AF5E18">
            <w:pPr>
              <w:rPr>
                <w:sz w:val="20"/>
                <w:szCs w:val="20"/>
              </w:rPr>
            </w:pPr>
            <w:proofErr w:type="spellStart"/>
            <w:r w:rsidRPr="00B60C65">
              <w:rPr>
                <w:sz w:val="20"/>
                <w:szCs w:val="20"/>
              </w:rPr>
              <w:t>Lipshultz</w:t>
            </w:r>
            <w:proofErr w:type="spellEnd"/>
            <w:r w:rsidRPr="00B60C65">
              <w:rPr>
                <w:sz w:val="20"/>
                <w:szCs w:val="20"/>
              </w:rPr>
              <w:t xml:space="preserve"> S., Cancer, 2013 </w:t>
            </w:r>
          </w:p>
        </w:tc>
        <w:tc>
          <w:tcPr>
            <w:tcW w:w="1843" w:type="dxa"/>
          </w:tcPr>
          <w:p w14:paraId="701916D5"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Blood</w:t>
            </w:r>
          </w:p>
        </w:tc>
        <w:tc>
          <w:tcPr>
            <w:tcW w:w="10347" w:type="dxa"/>
          </w:tcPr>
          <w:p w14:paraId="0D8DCF5C" w14:textId="77777777"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Isolated DNA was prepared using </w:t>
            </w:r>
            <w:proofErr w:type="spellStart"/>
            <w:r w:rsidRPr="00B60C65">
              <w:rPr>
                <w:sz w:val="20"/>
                <w:szCs w:val="20"/>
              </w:rPr>
              <w:t>NucleoSpin</w:t>
            </w:r>
            <w:proofErr w:type="spellEnd"/>
            <w:r w:rsidRPr="00B60C65">
              <w:rPr>
                <w:sz w:val="20"/>
                <w:szCs w:val="20"/>
              </w:rPr>
              <w:t xml:space="preserve"> DNA isolation kits (BD Biosciences </w:t>
            </w:r>
            <w:proofErr w:type="spellStart"/>
            <w:r w:rsidRPr="00B60C65">
              <w:rPr>
                <w:sz w:val="20"/>
                <w:szCs w:val="20"/>
              </w:rPr>
              <w:t>Clontech</w:t>
            </w:r>
            <w:proofErr w:type="spellEnd"/>
            <w:r w:rsidRPr="00B60C65">
              <w:rPr>
                <w:sz w:val="20"/>
                <w:szCs w:val="20"/>
              </w:rPr>
              <w:t>) in all samples at the time of mononuclear cell fraction isolation.</w:t>
            </w:r>
          </w:p>
          <w:p w14:paraId="1458B825" w14:textId="104CC1C9" w:rsidR="00AF5E18" w:rsidRPr="00B60C65"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The two most common HFE alleles associated with hemochromatosis, were detected by </w:t>
            </w:r>
            <w:r w:rsidR="00565753" w:rsidRPr="00B60C65">
              <w:rPr>
                <w:sz w:val="20"/>
                <w:szCs w:val="20"/>
              </w:rPr>
              <w:t>directly sequencing</w:t>
            </w:r>
            <w:r w:rsidRPr="00B60C65">
              <w:rPr>
                <w:sz w:val="20"/>
                <w:szCs w:val="20"/>
              </w:rPr>
              <w:t xml:space="preserve"> genomic DNA with a commercial, </w:t>
            </w:r>
            <w:r w:rsidR="00565753" w:rsidRPr="00B60C65">
              <w:rPr>
                <w:sz w:val="20"/>
                <w:szCs w:val="20"/>
              </w:rPr>
              <w:t>clinically validated</w:t>
            </w:r>
            <w:r w:rsidRPr="00B60C65">
              <w:rPr>
                <w:sz w:val="20"/>
                <w:szCs w:val="20"/>
              </w:rPr>
              <w:t xml:space="preserve"> kit (Biotage Inc.; </w:t>
            </w:r>
            <w:proofErr w:type="spellStart"/>
            <w:r w:rsidRPr="00B60C65">
              <w:rPr>
                <w:sz w:val="20"/>
                <w:szCs w:val="20"/>
              </w:rPr>
              <w:t>PyroMark</w:t>
            </w:r>
            <w:proofErr w:type="spellEnd"/>
            <w:r w:rsidRPr="00B60C65">
              <w:rPr>
                <w:sz w:val="20"/>
                <w:szCs w:val="20"/>
              </w:rPr>
              <w:t xml:space="preserve"> HFE Cat #40-0053) run on a </w:t>
            </w:r>
            <w:proofErr w:type="spellStart"/>
            <w:r w:rsidRPr="00B60C65">
              <w:rPr>
                <w:sz w:val="20"/>
                <w:szCs w:val="20"/>
              </w:rPr>
              <w:t>Pyrosequencer</w:t>
            </w:r>
            <w:proofErr w:type="spellEnd"/>
            <w:r w:rsidRPr="00B60C65">
              <w:rPr>
                <w:sz w:val="20"/>
                <w:szCs w:val="20"/>
              </w:rPr>
              <w:t xml:space="preserve"> instrument (PSQ HS 96, Biotage Inc.) or by </w:t>
            </w:r>
            <w:proofErr w:type="spellStart"/>
            <w:r w:rsidRPr="00B60C65">
              <w:rPr>
                <w:sz w:val="20"/>
                <w:szCs w:val="20"/>
              </w:rPr>
              <w:t>Sequenome</w:t>
            </w:r>
            <w:proofErr w:type="spellEnd"/>
            <w:r w:rsidRPr="00B60C65">
              <w:rPr>
                <w:sz w:val="20"/>
                <w:szCs w:val="20"/>
              </w:rPr>
              <w:t xml:space="preserve"> and </w:t>
            </w:r>
            <w:proofErr w:type="spellStart"/>
            <w:r w:rsidRPr="00B60C65">
              <w:rPr>
                <w:sz w:val="20"/>
                <w:szCs w:val="20"/>
              </w:rPr>
              <w:t>Taqman</w:t>
            </w:r>
            <w:proofErr w:type="spellEnd"/>
            <w:r w:rsidRPr="00B60C65">
              <w:rPr>
                <w:sz w:val="20"/>
                <w:szCs w:val="20"/>
              </w:rPr>
              <w:t xml:space="preserve"> genotyping assays performed at the Harvard Partners Center for Genetics and Genomics.</w:t>
            </w:r>
          </w:p>
        </w:tc>
      </w:tr>
      <w:tr w:rsidR="00AF5E18" w:rsidRPr="00B60C65" w14:paraId="41C2CC62" w14:textId="77777777" w:rsidTr="00B60C65">
        <w:trPr>
          <w:trHeight w:val="209"/>
        </w:trPr>
        <w:tc>
          <w:tcPr>
            <w:cnfStyle w:val="001000000000" w:firstRow="0" w:lastRow="0" w:firstColumn="1" w:lastColumn="0" w:oddVBand="0" w:evenVBand="0" w:oddHBand="0" w:evenHBand="0" w:firstRowFirstColumn="0" w:firstRowLastColumn="0" w:lastRowFirstColumn="0" w:lastRowLastColumn="0"/>
            <w:tcW w:w="3055" w:type="dxa"/>
            <w:hideMark/>
          </w:tcPr>
          <w:p w14:paraId="6D3AE2D0" w14:textId="77777777" w:rsidR="00AF5E18" w:rsidRPr="00B60C65" w:rsidRDefault="00AF5E18" w:rsidP="00AF5E18">
            <w:pPr>
              <w:rPr>
                <w:sz w:val="20"/>
                <w:szCs w:val="20"/>
              </w:rPr>
            </w:pPr>
            <w:proofErr w:type="spellStart"/>
            <w:r w:rsidRPr="00B60C65">
              <w:rPr>
                <w:sz w:val="20"/>
                <w:szCs w:val="20"/>
              </w:rPr>
              <w:t>Petrykey</w:t>
            </w:r>
            <w:proofErr w:type="spellEnd"/>
            <w:r w:rsidRPr="00B60C65">
              <w:rPr>
                <w:sz w:val="20"/>
                <w:szCs w:val="20"/>
              </w:rPr>
              <w:t xml:space="preserve"> et al., Pharmacogenomics, 2021</w:t>
            </w:r>
          </w:p>
        </w:tc>
        <w:tc>
          <w:tcPr>
            <w:tcW w:w="1843" w:type="dxa"/>
          </w:tcPr>
          <w:p w14:paraId="071C31D6"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Blood</w:t>
            </w:r>
          </w:p>
        </w:tc>
        <w:tc>
          <w:tcPr>
            <w:tcW w:w="10347" w:type="dxa"/>
          </w:tcPr>
          <w:p w14:paraId="5FB0A459" w14:textId="0272069E"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Whole exomes were captured in solution with Agilent’s </w:t>
            </w:r>
            <w:proofErr w:type="spellStart"/>
            <w:r w:rsidRPr="00B60C65">
              <w:rPr>
                <w:sz w:val="20"/>
                <w:szCs w:val="20"/>
              </w:rPr>
              <w:t>SureSelect</w:t>
            </w:r>
            <w:proofErr w:type="spellEnd"/>
            <w:r w:rsidRPr="00B60C65">
              <w:rPr>
                <w:sz w:val="20"/>
                <w:szCs w:val="20"/>
              </w:rPr>
              <w:t xml:space="preserve"> Human All Exon 50 Mb kits and sequenced on either Life Technologies </w:t>
            </w:r>
            <w:proofErr w:type="spellStart"/>
            <w:r w:rsidRPr="00B60C65">
              <w:rPr>
                <w:sz w:val="20"/>
                <w:szCs w:val="20"/>
              </w:rPr>
              <w:t>SOLiD</w:t>
            </w:r>
            <w:proofErr w:type="spellEnd"/>
            <w:r w:rsidRPr="00B60C65">
              <w:rPr>
                <w:sz w:val="20"/>
                <w:szCs w:val="20"/>
              </w:rPr>
              <w:t xml:space="preserve"> System 4.0 (mean coverage = 40×) or Illumina </w:t>
            </w:r>
            <w:proofErr w:type="spellStart"/>
            <w:r w:rsidRPr="00B60C65">
              <w:rPr>
                <w:sz w:val="20"/>
                <w:szCs w:val="20"/>
              </w:rPr>
              <w:t>HiSeq</w:t>
            </w:r>
            <w:proofErr w:type="spellEnd"/>
            <w:r w:rsidRPr="00B60C65">
              <w:rPr>
                <w:sz w:val="20"/>
                <w:szCs w:val="20"/>
              </w:rPr>
              <w:t xml:space="preserve"> 2500 platform (mean coverage = 113.1 x) at SJUHC integrated clinical genomic center in pediatrics. Reads were aligned to the hg19 reference genome using </w:t>
            </w:r>
            <w:proofErr w:type="spellStart"/>
            <w:r w:rsidRPr="00B60C65">
              <w:rPr>
                <w:sz w:val="20"/>
                <w:szCs w:val="20"/>
              </w:rPr>
              <w:t>SOLiD</w:t>
            </w:r>
            <w:proofErr w:type="spellEnd"/>
            <w:r w:rsidRPr="00B60C65">
              <w:rPr>
                <w:sz w:val="20"/>
                <w:szCs w:val="20"/>
              </w:rPr>
              <w:t xml:space="preserve"> </w:t>
            </w:r>
            <w:proofErr w:type="spellStart"/>
            <w:r w:rsidRPr="00B60C65">
              <w:rPr>
                <w:sz w:val="20"/>
                <w:szCs w:val="20"/>
              </w:rPr>
              <w:t>LifeScope</w:t>
            </w:r>
            <w:proofErr w:type="spellEnd"/>
            <w:r w:rsidRPr="00B60C65">
              <w:rPr>
                <w:sz w:val="20"/>
                <w:szCs w:val="20"/>
              </w:rPr>
              <w:t xml:space="preserve"> software for the </w:t>
            </w:r>
            <w:proofErr w:type="spellStart"/>
            <w:r w:rsidRPr="00B60C65">
              <w:rPr>
                <w:sz w:val="20"/>
                <w:szCs w:val="20"/>
              </w:rPr>
              <w:t>SOLiD</w:t>
            </w:r>
            <w:proofErr w:type="spellEnd"/>
            <w:r w:rsidRPr="00B60C65">
              <w:rPr>
                <w:sz w:val="20"/>
                <w:szCs w:val="20"/>
              </w:rPr>
              <w:t xml:space="preserve"> samples and BWA-MEM for the samples sequenced on the Illumina system. PICARD was used to mark PCR duplicates and collect sequencing quality control metrics.</w:t>
            </w:r>
          </w:p>
          <w:p w14:paraId="169DE0B9" w14:textId="77777777" w:rsidR="00AF5E18" w:rsidRPr="00B60C65"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 xml:space="preserve">Variant calling was performed using the Haplotype Caller and quality score recalibration was performed using Variant </w:t>
            </w:r>
            <w:proofErr w:type="spellStart"/>
            <w:r w:rsidRPr="00B60C65">
              <w:rPr>
                <w:sz w:val="20"/>
                <w:szCs w:val="20"/>
              </w:rPr>
              <w:t>Recalibrator</w:t>
            </w:r>
            <w:proofErr w:type="spellEnd"/>
            <w:r w:rsidRPr="00B60C65">
              <w:rPr>
                <w:sz w:val="20"/>
                <w:szCs w:val="20"/>
              </w:rPr>
              <w:t>, both implemented in the Genome Analysis Tool Kit (GATK). Variants were selected based on the variant quality score (VQSR = PASS) and the minimum depth of coverage (DP ≥10). The final germline variants were annotated by ANNOVAR. Only missense, nonsense and splicing common and rare variants with predicted functional impact (Sift [&lt;0.1] and PolyPhen2 [≥0.85]) were considered. Variants were defined as rare (minor allele frequency &lt;5%) and common (minor allele frequency ≥5%) according to the reported frequency for European populations in the 1000 Genomes and ESP6500 datasets.</w:t>
            </w:r>
          </w:p>
        </w:tc>
      </w:tr>
      <w:tr w:rsidR="00D10BEA" w:rsidRPr="00B60C65" w14:paraId="1B278338" w14:textId="77777777" w:rsidTr="00B60C65">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3055" w:type="dxa"/>
            <w:hideMark/>
          </w:tcPr>
          <w:p w14:paraId="638F4C06" w14:textId="77777777" w:rsidR="00D10BEA" w:rsidRPr="00565753" w:rsidRDefault="00D10BEA" w:rsidP="004B71C8">
            <w:pPr>
              <w:rPr>
                <w:b w:val="0"/>
                <w:sz w:val="20"/>
                <w:szCs w:val="20"/>
                <w:lang w:val="fr-FR"/>
              </w:rPr>
            </w:pPr>
            <w:proofErr w:type="spellStart"/>
            <w:r w:rsidRPr="00565753">
              <w:rPr>
                <w:sz w:val="20"/>
                <w:szCs w:val="20"/>
                <w:lang w:val="fr-FR"/>
              </w:rPr>
              <w:t>Sapkota</w:t>
            </w:r>
            <w:proofErr w:type="spellEnd"/>
            <w:r w:rsidRPr="00565753">
              <w:rPr>
                <w:sz w:val="20"/>
                <w:szCs w:val="20"/>
                <w:lang w:val="fr-FR"/>
              </w:rPr>
              <w:t xml:space="preserve"> et al., JNCI J </w:t>
            </w:r>
            <w:proofErr w:type="spellStart"/>
            <w:r w:rsidRPr="00565753">
              <w:rPr>
                <w:sz w:val="20"/>
                <w:szCs w:val="20"/>
                <w:lang w:val="fr-FR"/>
              </w:rPr>
              <w:t>Natl</w:t>
            </w:r>
            <w:proofErr w:type="spellEnd"/>
            <w:r w:rsidRPr="00565753">
              <w:rPr>
                <w:sz w:val="20"/>
                <w:szCs w:val="20"/>
                <w:lang w:val="fr-FR"/>
              </w:rPr>
              <w:t xml:space="preserve"> Cancer </w:t>
            </w:r>
            <w:proofErr w:type="spellStart"/>
            <w:r w:rsidRPr="00565753">
              <w:rPr>
                <w:sz w:val="20"/>
                <w:szCs w:val="20"/>
                <w:lang w:val="fr-FR"/>
              </w:rPr>
              <w:t>Inst</w:t>
            </w:r>
            <w:proofErr w:type="spellEnd"/>
            <w:r w:rsidRPr="00565753">
              <w:rPr>
                <w:sz w:val="20"/>
                <w:szCs w:val="20"/>
                <w:lang w:val="fr-FR"/>
              </w:rPr>
              <w:t>, 2022</w:t>
            </w:r>
          </w:p>
          <w:p w14:paraId="0B6472A7" w14:textId="77777777" w:rsidR="00D10BEA" w:rsidRPr="00565753" w:rsidRDefault="00D10BEA" w:rsidP="004B71C8">
            <w:pPr>
              <w:rPr>
                <w:sz w:val="20"/>
                <w:szCs w:val="20"/>
                <w:lang w:val="fr-FR"/>
              </w:rPr>
            </w:pPr>
          </w:p>
        </w:tc>
        <w:tc>
          <w:tcPr>
            <w:tcW w:w="1843" w:type="dxa"/>
          </w:tcPr>
          <w:p w14:paraId="278F166F" w14:textId="7C42534C" w:rsidR="00D10BEA" w:rsidRPr="00B60C65" w:rsidRDefault="007E719D" w:rsidP="004B71C8">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Blood</w:t>
            </w:r>
          </w:p>
        </w:tc>
        <w:tc>
          <w:tcPr>
            <w:tcW w:w="10347" w:type="dxa"/>
          </w:tcPr>
          <w:p w14:paraId="6F2C8CEE" w14:textId="4E1E6454" w:rsidR="007E719D" w:rsidRPr="00B60C65" w:rsidRDefault="007E719D" w:rsidP="007E719D">
            <w:pPr>
              <w:cnfStyle w:val="000000100000" w:firstRow="0" w:lastRow="0" w:firstColumn="0" w:lastColumn="0" w:oddVBand="0" w:evenVBand="0" w:oddHBand="1" w:evenHBand="0" w:firstRowFirstColumn="0" w:firstRowLastColumn="0" w:lastRowFirstColumn="0" w:lastRowLastColumn="0"/>
              <w:rPr>
                <w:sz w:val="20"/>
                <w:szCs w:val="20"/>
              </w:rPr>
            </w:pPr>
            <w:r w:rsidRPr="00B60C65">
              <w:rPr>
                <w:sz w:val="20"/>
                <w:szCs w:val="20"/>
              </w:rPr>
              <w:t xml:space="preserve">DNA concentration was fluorometrically measured using the Quant-it dsDNA Assay Kit and DNA integrity verified visually by agarose gel electrophoresis. Unique samples were barcoded and WGS was performed at the </w:t>
            </w:r>
            <w:proofErr w:type="spellStart"/>
            <w:r w:rsidRPr="00B60C65">
              <w:rPr>
                <w:sz w:val="20"/>
                <w:szCs w:val="20"/>
              </w:rPr>
              <w:t>HudsonAlpha</w:t>
            </w:r>
            <w:proofErr w:type="spellEnd"/>
            <w:r w:rsidRPr="00B60C65">
              <w:rPr>
                <w:sz w:val="20"/>
                <w:szCs w:val="20"/>
              </w:rPr>
              <w:t xml:space="preserve"> Institute for Biotechnology Genomic Services Laboratory using the Illumina </w:t>
            </w:r>
            <w:proofErr w:type="spellStart"/>
            <w:r w:rsidRPr="00B60C65">
              <w:rPr>
                <w:sz w:val="20"/>
                <w:szCs w:val="20"/>
              </w:rPr>
              <w:t>HiSeq</w:t>
            </w:r>
            <w:proofErr w:type="spellEnd"/>
            <w:r w:rsidRPr="00B60C65">
              <w:rPr>
                <w:sz w:val="20"/>
                <w:szCs w:val="20"/>
              </w:rPr>
              <w:t xml:space="preserve"> X10 sequencers to generate 360 million </w:t>
            </w:r>
            <w:r w:rsidR="00565753" w:rsidRPr="00B60C65">
              <w:rPr>
                <w:sz w:val="20"/>
                <w:szCs w:val="20"/>
              </w:rPr>
              <w:t>paired ends</w:t>
            </w:r>
            <w:r w:rsidRPr="00B60C65">
              <w:rPr>
                <w:sz w:val="20"/>
                <w:szCs w:val="20"/>
              </w:rPr>
              <w:t xml:space="preserve"> reads, each 150 base pairs (bp) in length, for each sample.</w:t>
            </w:r>
          </w:p>
        </w:tc>
      </w:tr>
      <w:tr w:rsidR="005518A6" w:rsidRPr="00B60C65" w14:paraId="4AEC19B6" w14:textId="77777777" w:rsidTr="00B60C65">
        <w:trPr>
          <w:trHeight w:val="96"/>
        </w:trPr>
        <w:tc>
          <w:tcPr>
            <w:cnfStyle w:val="001000000000" w:firstRow="0" w:lastRow="0" w:firstColumn="1" w:lastColumn="0" w:oddVBand="0" w:evenVBand="0" w:oddHBand="0" w:evenHBand="0" w:firstRowFirstColumn="0" w:firstRowLastColumn="0" w:lastRowFirstColumn="0" w:lastRowLastColumn="0"/>
            <w:tcW w:w="3055" w:type="dxa"/>
            <w:hideMark/>
          </w:tcPr>
          <w:p w14:paraId="320C2D9D" w14:textId="77777777" w:rsidR="005518A6" w:rsidRPr="00B60C65" w:rsidRDefault="005518A6" w:rsidP="004B71C8">
            <w:pPr>
              <w:rPr>
                <w:sz w:val="20"/>
                <w:szCs w:val="20"/>
              </w:rPr>
            </w:pPr>
            <w:r w:rsidRPr="00B60C65">
              <w:rPr>
                <w:sz w:val="20"/>
                <w:szCs w:val="20"/>
              </w:rPr>
              <w:t>Sapkota et al., AACR, 2021</w:t>
            </w:r>
          </w:p>
        </w:tc>
        <w:tc>
          <w:tcPr>
            <w:tcW w:w="1843" w:type="dxa"/>
          </w:tcPr>
          <w:p w14:paraId="183EB2C2" w14:textId="62C3DF94" w:rsidR="005518A6" w:rsidRPr="00B60C65" w:rsidRDefault="0061282A" w:rsidP="004B71C8">
            <w:pPr>
              <w:cnfStyle w:val="000000000000" w:firstRow="0" w:lastRow="0" w:firstColumn="0" w:lastColumn="0" w:oddVBand="0" w:evenVBand="0" w:oddHBand="0" w:evenHBand="0" w:firstRowFirstColumn="0" w:firstRowLastColumn="0" w:lastRowFirstColumn="0" w:lastRowLastColumn="0"/>
              <w:rPr>
                <w:sz w:val="20"/>
                <w:szCs w:val="20"/>
              </w:rPr>
            </w:pPr>
            <w:r w:rsidRPr="00B60C65">
              <w:rPr>
                <w:sz w:val="20"/>
                <w:szCs w:val="20"/>
              </w:rPr>
              <w:t>Blood</w:t>
            </w:r>
          </w:p>
        </w:tc>
        <w:tc>
          <w:tcPr>
            <w:tcW w:w="10347" w:type="dxa"/>
          </w:tcPr>
          <w:p w14:paraId="357B1A25" w14:textId="1DC5106B" w:rsidR="007A3CF9" w:rsidRPr="00B60C65" w:rsidRDefault="0061282A" w:rsidP="00FA5B1F">
            <w:pPr>
              <w:cnfStyle w:val="000000000000" w:firstRow="0" w:lastRow="0" w:firstColumn="0" w:lastColumn="0" w:oddVBand="0" w:evenVBand="0" w:oddHBand="0" w:evenHBand="0" w:firstRowFirstColumn="0" w:firstRowLastColumn="0" w:lastRowFirstColumn="0" w:lastRowLastColumn="0"/>
              <w:rPr>
                <w:sz w:val="20"/>
                <w:szCs w:val="20"/>
              </w:rPr>
            </w:pPr>
            <w:r w:rsidRPr="00565753">
              <w:rPr>
                <w:sz w:val="20"/>
                <w:szCs w:val="20"/>
                <w:lang w:val="en-GB"/>
              </w:rPr>
              <w:t xml:space="preserve">DNA concentration was fluorometrically measured using the Quant-it dsDNA Assay Kit (Life Technologies cat#Q33130) and DNA integrity verified visually by agarose gel electrophoresis (E-gel, Life Technologies, cat#G8008-01). Unique samples were barcoded and WGS was performed at the </w:t>
            </w:r>
            <w:proofErr w:type="spellStart"/>
            <w:r w:rsidRPr="00565753">
              <w:rPr>
                <w:sz w:val="20"/>
                <w:szCs w:val="20"/>
                <w:lang w:val="en-GB"/>
              </w:rPr>
              <w:t>HudsonAlpha</w:t>
            </w:r>
            <w:proofErr w:type="spellEnd"/>
            <w:r w:rsidRPr="00565753">
              <w:rPr>
                <w:sz w:val="20"/>
                <w:szCs w:val="20"/>
                <w:lang w:val="en-GB"/>
              </w:rPr>
              <w:t xml:space="preserve"> Institute for Biotechnolo</w:t>
            </w:r>
            <w:r w:rsidR="00FA5B1F" w:rsidRPr="00565753">
              <w:rPr>
                <w:sz w:val="20"/>
                <w:szCs w:val="20"/>
                <w:lang w:val="en-GB"/>
              </w:rPr>
              <w:t xml:space="preserve">gy Genomic Services Laboratory </w:t>
            </w:r>
            <w:r w:rsidRPr="00565753">
              <w:rPr>
                <w:sz w:val="20"/>
                <w:szCs w:val="20"/>
                <w:lang w:val="en-GB"/>
              </w:rPr>
              <w:t xml:space="preserve">using the Illumina </w:t>
            </w:r>
            <w:proofErr w:type="spellStart"/>
            <w:r w:rsidRPr="00565753">
              <w:rPr>
                <w:sz w:val="20"/>
                <w:szCs w:val="20"/>
                <w:lang w:val="en-GB"/>
              </w:rPr>
              <w:t>HiSeq</w:t>
            </w:r>
            <w:proofErr w:type="spellEnd"/>
            <w:r w:rsidRPr="00565753">
              <w:rPr>
                <w:sz w:val="20"/>
                <w:szCs w:val="20"/>
                <w:lang w:val="en-GB"/>
              </w:rPr>
              <w:t xml:space="preserve"> X10 sequencers to generate 360 million </w:t>
            </w:r>
            <w:r w:rsidR="00565753" w:rsidRPr="00565753">
              <w:rPr>
                <w:sz w:val="20"/>
                <w:szCs w:val="20"/>
                <w:lang w:val="en-GB"/>
              </w:rPr>
              <w:t>paired ends</w:t>
            </w:r>
            <w:r w:rsidRPr="00565753">
              <w:rPr>
                <w:sz w:val="20"/>
                <w:szCs w:val="20"/>
                <w:lang w:val="en-GB"/>
              </w:rPr>
              <w:t xml:space="preserve"> reads, each 150 base pairs (bp) in length, for each </w:t>
            </w:r>
            <w:r w:rsidRPr="00565753">
              <w:rPr>
                <w:sz w:val="20"/>
                <w:szCs w:val="20"/>
                <w:lang w:val="en-GB"/>
              </w:rPr>
              <w:lastRenderedPageBreak/>
              <w:t xml:space="preserve">sample. </w:t>
            </w:r>
            <w:r w:rsidR="00FA5B1F" w:rsidRPr="00B60C65">
              <w:rPr>
                <w:rStyle w:val="docdata"/>
                <w:sz w:val="20"/>
                <w:szCs w:val="20"/>
              </w:rPr>
              <w:t>Paired-end reads were aligned to the GRCh38 human reference using the Burrows-Wheeler Aligner (BWA-ALN v0.7.12)</w:t>
            </w:r>
            <w:r w:rsidR="00FA5B1F" w:rsidRPr="00B60C65">
              <w:rPr>
                <w:sz w:val="20"/>
                <w:szCs w:val="20"/>
                <w:vertAlign w:val="superscript"/>
              </w:rPr>
              <w:t xml:space="preserve"> </w:t>
            </w:r>
            <w:r w:rsidR="00FA5B1F" w:rsidRPr="00B60C65">
              <w:rPr>
                <w:sz w:val="20"/>
                <w:szCs w:val="20"/>
              </w:rPr>
              <w:t>and data was cleaned following the best practice guide by the Genome Analysis Toolkit (GATK v3.4.0)</w:t>
            </w:r>
            <w:r w:rsidR="007A3CF9" w:rsidRPr="00B60C65">
              <w:rPr>
                <w:sz w:val="20"/>
                <w:szCs w:val="20"/>
              </w:rPr>
              <w:t>.</w:t>
            </w:r>
          </w:p>
          <w:p w14:paraId="504D9223" w14:textId="136B3725" w:rsidR="007A3CF9" w:rsidRPr="00565753" w:rsidRDefault="007A3CF9" w:rsidP="00802DE8">
            <w:pPr>
              <w:cnfStyle w:val="000000000000" w:firstRow="0" w:lastRow="0" w:firstColumn="0" w:lastColumn="0" w:oddVBand="0" w:evenVBand="0" w:oddHBand="0" w:evenHBand="0" w:firstRowFirstColumn="0" w:firstRowLastColumn="0" w:lastRowFirstColumn="0" w:lastRowLastColumn="0"/>
              <w:rPr>
                <w:sz w:val="20"/>
                <w:szCs w:val="20"/>
                <w:lang w:val="en-GB"/>
              </w:rPr>
            </w:pPr>
            <w:r w:rsidRPr="00565753">
              <w:rPr>
                <w:sz w:val="20"/>
                <w:szCs w:val="20"/>
                <w:lang w:val="en-GB"/>
              </w:rPr>
              <w:t>9.3 million common [minor allele frequency (MAF)</w:t>
            </w:r>
            <w:r w:rsidR="00802DE8" w:rsidRPr="00565753">
              <w:rPr>
                <w:sz w:val="20"/>
                <w:szCs w:val="20"/>
                <w:lang w:val="en-GB"/>
              </w:rPr>
              <w:t>≥</w:t>
            </w:r>
            <w:r w:rsidRPr="00565753">
              <w:rPr>
                <w:sz w:val="20"/>
                <w:szCs w:val="20"/>
                <w:lang w:val="en-GB"/>
              </w:rPr>
              <w:t xml:space="preserve">0.05] </w:t>
            </w:r>
            <w:r w:rsidR="00565753" w:rsidRPr="00565753">
              <w:rPr>
                <w:sz w:val="20"/>
                <w:szCs w:val="20"/>
                <w:lang w:val="en-GB"/>
              </w:rPr>
              <w:t>variants;</w:t>
            </w:r>
            <w:r w:rsidR="00802DE8" w:rsidRPr="00565753">
              <w:rPr>
                <w:sz w:val="20"/>
                <w:szCs w:val="20"/>
                <w:lang w:val="en-GB"/>
              </w:rPr>
              <w:t xml:space="preserve"> 10.2 million rare/low frequency (MAF&lt;0.05 and minor allele count≥</w:t>
            </w:r>
            <w:r w:rsidR="00B60C65" w:rsidRPr="00565753">
              <w:rPr>
                <w:sz w:val="20"/>
                <w:szCs w:val="20"/>
                <w:lang w:val="en-GB"/>
              </w:rPr>
              <w:t>3) variants.</w:t>
            </w:r>
          </w:p>
        </w:tc>
      </w:tr>
    </w:tbl>
    <w:p w14:paraId="1AD609F2" w14:textId="310A7967" w:rsidR="00877D3E" w:rsidRDefault="00914E05" w:rsidP="00162E42">
      <w:pPr>
        <w:rPr>
          <w:rStyle w:val="IntenseEmphasis"/>
        </w:rPr>
      </w:pPr>
      <w:r>
        <w:rPr>
          <w:rStyle w:val="IntenseEmphasis"/>
        </w:rPr>
        <w:lastRenderedPageBreak/>
        <w:t xml:space="preserve">Abbreviations: </w:t>
      </w:r>
      <w:r w:rsidR="00105083">
        <w:rPr>
          <w:sz w:val="16"/>
          <w:szCs w:val="16"/>
        </w:rPr>
        <w:t xml:space="preserve">ACT, Anthracycline-induced </w:t>
      </w:r>
      <w:proofErr w:type="spellStart"/>
      <w:r w:rsidR="00105083">
        <w:rPr>
          <w:sz w:val="16"/>
          <w:szCs w:val="16"/>
        </w:rPr>
        <w:t>cardiotoxocity</w:t>
      </w:r>
      <w:proofErr w:type="spellEnd"/>
      <w:r w:rsidR="00105083">
        <w:rPr>
          <w:sz w:val="16"/>
          <w:szCs w:val="16"/>
        </w:rPr>
        <w:t xml:space="preserve">; </w:t>
      </w:r>
      <w:r w:rsidR="00105083" w:rsidRPr="00105083">
        <w:rPr>
          <w:sz w:val="16"/>
          <w:szCs w:val="16"/>
        </w:rPr>
        <w:t xml:space="preserve">SNP, Single </w:t>
      </w:r>
      <w:proofErr w:type="spellStart"/>
      <w:r w:rsidR="00105083" w:rsidRPr="00105083">
        <w:rPr>
          <w:sz w:val="16"/>
          <w:szCs w:val="16"/>
        </w:rPr>
        <w:t>Nucleotid</w:t>
      </w:r>
      <w:proofErr w:type="spellEnd"/>
      <w:r w:rsidR="00105083" w:rsidRPr="00105083">
        <w:rPr>
          <w:sz w:val="16"/>
          <w:szCs w:val="16"/>
        </w:rPr>
        <w:t xml:space="preserve"> Polymorphism; PCR, Polymerase Chain Reaction;</w:t>
      </w:r>
      <w:r w:rsidR="00AF6B62">
        <w:rPr>
          <w:sz w:val="16"/>
          <w:szCs w:val="16"/>
        </w:rPr>
        <w:t xml:space="preserve"> rt-PCR, reverse-transcriptase PCR;</w:t>
      </w:r>
      <w:r w:rsidR="00105083" w:rsidRPr="00105083">
        <w:rPr>
          <w:sz w:val="16"/>
          <w:szCs w:val="16"/>
        </w:rPr>
        <w:t xml:space="preserve"> </w:t>
      </w:r>
      <w:proofErr w:type="spellStart"/>
      <w:r w:rsidR="00105083" w:rsidRPr="00105083">
        <w:rPr>
          <w:sz w:val="16"/>
          <w:szCs w:val="16"/>
        </w:rPr>
        <w:t>qrt</w:t>
      </w:r>
      <w:proofErr w:type="spellEnd"/>
      <w:r w:rsidR="00105083" w:rsidRPr="00105083">
        <w:rPr>
          <w:sz w:val="16"/>
          <w:szCs w:val="16"/>
        </w:rPr>
        <w:t>-PCR, quantitative real-time PCR</w:t>
      </w:r>
      <w:r w:rsidR="00FD4639">
        <w:rPr>
          <w:sz w:val="16"/>
          <w:szCs w:val="16"/>
        </w:rPr>
        <w:t xml:space="preserve">; </w:t>
      </w:r>
      <w:r w:rsidR="00162E42">
        <w:rPr>
          <w:sz w:val="16"/>
          <w:szCs w:val="16"/>
        </w:rPr>
        <w:t>NA, Not Available.</w:t>
      </w:r>
    </w:p>
    <w:sectPr w:rsidR="00877D3E" w:rsidSect="00162E4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554D0" w14:textId="77777777" w:rsidR="004C13C9" w:rsidRDefault="004C13C9" w:rsidP="00932771">
      <w:r>
        <w:separator/>
      </w:r>
    </w:p>
  </w:endnote>
  <w:endnote w:type="continuationSeparator" w:id="0">
    <w:p w14:paraId="6A934A6E" w14:textId="77777777" w:rsidR="004C13C9" w:rsidRDefault="004C13C9" w:rsidP="0093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roman"/>
    <w:notTrueType/>
    <w:pitch w:val="variable"/>
    <w:sig w:usb0="01000001" w:usb1="00000000" w:usb2="00000000" w:usb3="00000000" w:csb0="0001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7B954" w14:textId="77777777" w:rsidR="004C13C9" w:rsidRDefault="004C13C9" w:rsidP="00932771">
      <w:r>
        <w:separator/>
      </w:r>
    </w:p>
  </w:footnote>
  <w:footnote w:type="continuationSeparator" w:id="0">
    <w:p w14:paraId="7370203D" w14:textId="77777777" w:rsidR="004C13C9" w:rsidRDefault="004C13C9" w:rsidP="009327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13B"/>
    <w:rsid w:val="00004674"/>
    <w:rsid w:val="000047E2"/>
    <w:rsid w:val="00007A83"/>
    <w:rsid w:val="00034632"/>
    <w:rsid w:val="00036A88"/>
    <w:rsid w:val="00044C85"/>
    <w:rsid w:val="000762AC"/>
    <w:rsid w:val="00077825"/>
    <w:rsid w:val="00083C2E"/>
    <w:rsid w:val="0008702A"/>
    <w:rsid w:val="000947A8"/>
    <w:rsid w:val="000A5895"/>
    <w:rsid w:val="000B48E8"/>
    <w:rsid w:val="00105083"/>
    <w:rsid w:val="00114072"/>
    <w:rsid w:val="0014460E"/>
    <w:rsid w:val="00146086"/>
    <w:rsid w:val="00162E42"/>
    <w:rsid w:val="00175622"/>
    <w:rsid w:val="0019062B"/>
    <w:rsid w:val="001A0160"/>
    <w:rsid w:val="001A0A50"/>
    <w:rsid w:val="001B1233"/>
    <w:rsid w:val="001B5390"/>
    <w:rsid w:val="001B7A17"/>
    <w:rsid w:val="001C2E09"/>
    <w:rsid w:val="001D6ABC"/>
    <w:rsid w:val="001E1A05"/>
    <w:rsid w:val="001E5D2D"/>
    <w:rsid w:val="001F2137"/>
    <w:rsid w:val="001F6506"/>
    <w:rsid w:val="00206F40"/>
    <w:rsid w:val="00224065"/>
    <w:rsid w:val="00225CC1"/>
    <w:rsid w:val="00235249"/>
    <w:rsid w:val="00240275"/>
    <w:rsid w:val="00246797"/>
    <w:rsid w:val="00264056"/>
    <w:rsid w:val="00265E27"/>
    <w:rsid w:val="0028197C"/>
    <w:rsid w:val="00287479"/>
    <w:rsid w:val="002A224E"/>
    <w:rsid w:val="002A61DB"/>
    <w:rsid w:val="002B00B7"/>
    <w:rsid w:val="002B3B45"/>
    <w:rsid w:val="002D3C7C"/>
    <w:rsid w:val="002D4815"/>
    <w:rsid w:val="002E27A7"/>
    <w:rsid w:val="0030536F"/>
    <w:rsid w:val="0033655D"/>
    <w:rsid w:val="00351766"/>
    <w:rsid w:val="0036207E"/>
    <w:rsid w:val="00395696"/>
    <w:rsid w:val="00397C61"/>
    <w:rsid w:val="003A78CE"/>
    <w:rsid w:val="003B1EAD"/>
    <w:rsid w:val="003B787F"/>
    <w:rsid w:val="003E21B2"/>
    <w:rsid w:val="003E659B"/>
    <w:rsid w:val="003F2000"/>
    <w:rsid w:val="004331C0"/>
    <w:rsid w:val="00434B44"/>
    <w:rsid w:val="004351EA"/>
    <w:rsid w:val="00453731"/>
    <w:rsid w:val="0047555F"/>
    <w:rsid w:val="00477874"/>
    <w:rsid w:val="00486101"/>
    <w:rsid w:val="00493D23"/>
    <w:rsid w:val="0049465A"/>
    <w:rsid w:val="004B0729"/>
    <w:rsid w:val="004B4212"/>
    <w:rsid w:val="004B71C8"/>
    <w:rsid w:val="004B79C8"/>
    <w:rsid w:val="004C02DC"/>
    <w:rsid w:val="004C13C9"/>
    <w:rsid w:val="004C3B26"/>
    <w:rsid w:val="004E683E"/>
    <w:rsid w:val="00516911"/>
    <w:rsid w:val="00537A2D"/>
    <w:rsid w:val="005408B5"/>
    <w:rsid w:val="00540936"/>
    <w:rsid w:val="005518A6"/>
    <w:rsid w:val="00560630"/>
    <w:rsid w:val="00565753"/>
    <w:rsid w:val="00574F56"/>
    <w:rsid w:val="00581B4E"/>
    <w:rsid w:val="005840F8"/>
    <w:rsid w:val="005A53B0"/>
    <w:rsid w:val="005B1122"/>
    <w:rsid w:val="005D70CE"/>
    <w:rsid w:val="005E0FC9"/>
    <w:rsid w:val="005E6DCE"/>
    <w:rsid w:val="005F0168"/>
    <w:rsid w:val="005F5DF5"/>
    <w:rsid w:val="00600633"/>
    <w:rsid w:val="00603E5A"/>
    <w:rsid w:val="00603F12"/>
    <w:rsid w:val="0061282A"/>
    <w:rsid w:val="006153B2"/>
    <w:rsid w:val="00621A8F"/>
    <w:rsid w:val="0064099F"/>
    <w:rsid w:val="006537AB"/>
    <w:rsid w:val="00656DFD"/>
    <w:rsid w:val="00662BAE"/>
    <w:rsid w:val="00670126"/>
    <w:rsid w:val="006820B4"/>
    <w:rsid w:val="00687732"/>
    <w:rsid w:val="00692B3D"/>
    <w:rsid w:val="00697164"/>
    <w:rsid w:val="006974C7"/>
    <w:rsid w:val="006D09DC"/>
    <w:rsid w:val="006E135E"/>
    <w:rsid w:val="006E2B9F"/>
    <w:rsid w:val="006E5E8D"/>
    <w:rsid w:val="006F1DFD"/>
    <w:rsid w:val="00702755"/>
    <w:rsid w:val="00707DE2"/>
    <w:rsid w:val="00711C1D"/>
    <w:rsid w:val="00715764"/>
    <w:rsid w:val="007160A1"/>
    <w:rsid w:val="00721640"/>
    <w:rsid w:val="007923EE"/>
    <w:rsid w:val="007A3CF9"/>
    <w:rsid w:val="007B4653"/>
    <w:rsid w:val="007B5435"/>
    <w:rsid w:val="007C5DDA"/>
    <w:rsid w:val="007E0C59"/>
    <w:rsid w:val="007E2A12"/>
    <w:rsid w:val="007E4760"/>
    <w:rsid w:val="007E719D"/>
    <w:rsid w:val="00800F91"/>
    <w:rsid w:val="00802DE8"/>
    <w:rsid w:val="00802E44"/>
    <w:rsid w:val="00803EA8"/>
    <w:rsid w:val="00817D49"/>
    <w:rsid w:val="008300A6"/>
    <w:rsid w:val="00865F5C"/>
    <w:rsid w:val="00866590"/>
    <w:rsid w:val="00877D3E"/>
    <w:rsid w:val="00881F3A"/>
    <w:rsid w:val="00886E24"/>
    <w:rsid w:val="008A5EC6"/>
    <w:rsid w:val="008B1D84"/>
    <w:rsid w:val="008E39D1"/>
    <w:rsid w:val="008F41E8"/>
    <w:rsid w:val="00901F59"/>
    <w:rsid w:val="009107DF"/>
    <w:rsid w:val="00914E05"/>
    <w:rsid w:val="009251DC"/>
    <w:rsid w:val="0093247B"/>
    <w:rsid w:val="00932771"/>
    <w:rsid w:val="0094667E"/>
    <w:rsid w:val="009761D1"/>
    <w:rsid w:val="009770B3"/>
    <w:rsid w:val="009833CC"/>
    <w:rsid w:val="009866F3"/>
    <w:rsid w:val="009923B9"/>
    <w:rsid w:val="009C75E4"/>
    <w:rsid w:val="009E3535"/>
    <w:rsid w:val="009F008C"/>
    <w:rsid w:val="009F544A"/>
    <w:rsid w:val="00A05058"/>
    <w:rsid w:val="00A20C24"/>
    <w:rsid w:val="00A27AED"/>
    <w:rsid w:val="00A40BC5"/>
    <w:rsid w:val="00AA43CC"/>
    <w:rsid w:val="00AC7217"/>
    <w:rsid w:val="00AD29B0"/>
    <w:rsid w:val="00AE18C3"/>
    <w:rsid w:val="00AF5E18"/>
    <w:rsid w:val="00AF6B62"/>
    <w:rsid w:val="00B02A97"/>
    <w:rsid w:val="00B03369"/>
    <w:rsid w:val="00B10431"/>
    <w:rsid w:val="00B1101F"/>
    <w:rsid w:val="00B132DD"/>
    <w:rsid w:val="00B2345E"/>
    <w:rsid w:val="00B2645D"/>
    <w:rsid w:val="00B54143"/>
    <w:rsid w:val="00B5668C"/>
    <w:rsid w:val="00B5737E"/>
    <w:rsid w:val="00B60C65"/>
    <w:rsid w:val="00B65627"/>
    <w:rsid w:val="00B744EB"/>
    <w:rsid w:val="00B9612D"/>
    <w:rsid w:val="00BA511F"/>
    <w:rsid w:val="00BC6859"/>
    <w:rsid w:val="00BE623A"/>
    <w:rsid w:val="00BF1E53"/>
    <w:rsid w:val="00C06EFB"/>
    <w:rsid w:val="00C42C58"/>
    <w:rsid w:val="00C504DB"/>
    <w:rsid w:val="00C531B1"/>
    <w:rsid w:val="00C55DF3"/>
    <w:rsid w:val="00C7086F"/>
    <w:rsid w:val="00C944CD"/>
    <w:rsid w:val="00CB1566"/>
    <w:rsid w:val="00CC5856"/>
    <w:rsid w:val="00CD0124"/>
    <w:rsid w:val="00CE7FD2"/>
    <w:rsid w:val="00D10BEA"/>
    <w:rsid w:val="00D14EED"/>
    <w:rsid w:val="00D168AC"/>
    <w:rsid w:val="00D2048A"/>
    <w:rsid w:val="00D27898"/>
    <w:rsid w:val="00D5629D"/>
    <w:rsid w:val="00D62EBB"/>
    <w:rsid w:val="00D7283D"/>
    <w:rsid w:val="00D844C2"/>
    <w:rsid w:val="00DA21E5"/>
    <w:rsid w:val="00DA713B"/>
    <w:rsid w:val="00DB1D0E"/>
    <w:rsid w:val="00DD1B5D"/>
    <w:rsid w:val="00DF0661"/>
    <w:rsid w:val="00DF07A1"/>
    <w:rsid w:val="00DF4D89"/>
    <w:rsid w:val="00DF6D18"/>
    <w:rsid w:val="00E06069"/>
    <w:rsid w:val="00E10537"/>
    <w:rsid w:val="00E25F1F"/>
    <w:rsid w:val="00E315BB"/>
    <w:rsid w:val="00E35FB1"/>
    <w:rsid w:val="00E37713"/>
    <w:rsid w:val="00E50091"/>
    <w:rsid w:val="00E66C59"/>
    <w:rsid w:val="00E75565"/>
    <w:rsid w:val="00E82108"/>
    <w:rsid w:val="00E85C2D"/>
    <w:rsid w:val="00EA2AE6"/>
    <w:rsid w:val="00EA33D1"/>
    <w:rsid w:val="00EA4B71"/>
    <w:rsid w:val="00EB5DA2"/>
    <w:rsid w:val="00ED01CE"/>
    <w:rsid w:val="00EE7F27"/>
    <w:rsid w:val="00F00E6C"/>
    <w:rsid w:val="00F01C9D"/>
    <w:rsid w:val="00F16384"/>
    <w:rsid w:val="00F17D9A"/>
    <w:rsid w:val="00F31493"/>
    <w:rsid w:val="00F339E1"/>
    <w:rsid w:val="00F45A7F"/>
    <w:rsid w:val="00F53545"/>
    <w:rsid w:val="00F706F6"/>
    <w:rsid w:val="00FA5B1F"/>
    <w:rsid w:val="00FB1572"/>
    <w:rsid w:val="00FB74BA"/>
    <w:rsid w:val="00FC3FF8"/>
    <w:rsid w:val="00FD25CE"/>
    <w:rsid w:val="00FD2DEB"/>
    <w:rsid w:val="00FD4639"/>
    <w:rsid w:val="00FD5838"/>
    <w:rsid w:val="00FE1001"/>
    <w:rsid w:val="00FE5B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87A6A"/>
  <w15:chartTrackingRefBased/>
  <w15:docId w15:val="{B68AB5BF-F3A0-4B1A-8F56-D65107975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9465A"/>
    <w:pPr>
      <w:spacing w:after="0" w:line="240" w:lineRule="auto"/>
    </w:pPr>
    <w:rPr>
      <w:rFonts w:cstheme="minorHAnsi"/>
      <w:color w:val="000000"/>
      <w:sz w:val="18"/>
      <w:szCs w:val="1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41tablecaption">
    <w:name w:val="MDPI_4.1_table_caption"/>
    <w:rsid w:val="00DA713B"/>
    <w:pPr>
      <w:adjustRightInd w:val="0"/>
      <w:snapToGrid w:val="0"/>
      <w:spacing w:before="240" w:after="120" w:line="228" w:lineRule="auto"/>
      <w:ind w:left="142"/>
      <w:jc w:val="both"/>
    </w:pPr>
    <w:rPr>
      <w:rFonts w:ascii="Palatino Linotype" w:eastAsia="Times New Roman" w:hAnsi="Palatino Linotype" w:cs="Cordia New"/>
      <w:color w:val="000000"/>
      <w:sz w:val="20"/>
      <w:lang w:val="en-US" w:eastAsia="de-DE" w:bidi="en-US"/>
    </w:rPr>
  </w:style>
  <w:style w:type="paragraph" w:customStyle="1" w:styleId="MDPI43tablefooter">
    <w:name w:val="MDPI_4.3_table_footer"/>
    <w:next w:val="Normal"/>
    <w:rsid w:val="00DA713B"/>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table" w:styleId="PlainTable2">
    <w:name w:val="Plain Table 2"/>
    <w:basedOn w:val="TableNormal"/>
    <w:uiPriority w:val="42"/>
    <w:rsid w:val="00DA713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DA713B"/>
  </w:style>
  <w:style w:type="character" w:styleId="IntenseEmphasis">
    <w:name w:val="Intense Emphasis"/>
    <w:aliases w:val="sous tab"/>
    <w:uiPriority w:val="21"/>
    <w:qFormat/>
    <w:rsid w:val="00DA713B"/>
    <w:rPr>
      <w:rFonts w:asciiTheme="minorHAnsi" w:hAnsiTheme="minorHAnsi" w:cstheme="minorHAnsi"/>
      <w:lang w:val="en-GB"/>
    </w:rPr>
  </w:style>
  <w:style w:type="character" w:styleId="CommentReference">
    <w:name w:val="annotation reference"/>
    <w:basedOn w:val="DefaultParagraphFont"/>
    <w:unhideWhenUsed/>
    <w:rsid w:val="00670126"/>
    <w:rPr>
      <w:sz w:val="16"/>
      <w:szCs w:val="16"/>
    </w:rPr>
  </w:style>
  <w:style w:type="paragraph" w:styleId="CommentText">
    <w:name w:val="annotation text"/>
    <w:basedOn w:val="Normal"/>
    <w:link w:val="CommentTextChar"/>
    <w:unhideWhenUsed/>
    <w:rsid w:val="00670126"/>
    <w:rPr>
      <w:sz w:val="20"/>
      <w:szCs w:val="20"/>
    </w:rPr>
  </w:style>
  <w:style w:type="character" w:customStyle="1" w:styleId="CommentTextChar">
    <w:name w:val="Comment Text Char"/>
    <w:basedOn w:val="DefaultParagraphFont"/>
    <w:link w:val="CommentText"/>
    <w:rsid w:val="00670126"/>
    <w:rPr>
      <w:rFonts w:eastAsia="SimSun" w:cstheme="minorHAnsi"/>
      <w:noProof/>
      <w:color w:val="000000"/>
      <w:sz w:val="20"/>
      <w:szCs w:val="20"/>
      <w:lang w:val="en-US" w:eastAsia="zh-CN"/>
    </w:rPr>
  </w:style>
  <w:style w:type="paragraph" w:styleId="CommentSubject">
    <w:name w:val="annotation subject"/>
    <w:basedOn w:val="CommentText"/>
    <w:next w:val="CommentText"/>
    <w:link w:val="CommentSubjectChar"/>
    <w:uiPriority w:val="99"/>
    <w:semiHidden/>
    <w:unhideWhenUsed/>
    <w:rsid w:val="00670126"/>
    <w:rPr>
      <w:b/>
      <w:bCs/>
    </w:rPr>
  </w:style>
  <w:style w:type="character" w:customStyle="1" w:styleId="CommentSubjectChar">
    <w:name w:val="Comment Subject Char"/>
    <w:basedOn w:val="CommentTextChar"/>
    <w:link w:val="CommentSubject"/>
    <w:uiPriority w:val="99"/>
    <w:semiHidden/>
    <w:rsid w:val="00670126"/>
    <w:rPr>
      <w:rFonts w:eastAsia="SimSun" w:cstheme="minorHAnsi"/>
      <w:b/>
      <w:bCs/>
      <w:noProof/>
      <w:color w:val="000000"/>
      <w:sz w:val="20"/>
      <w:szCs w:val="20"/>
      <w:lang w:val="en-US" w:eastAsia="zh-CN"/>
    </w:rPr>
  </w:style>
  <w:style w:type="paragraph" w:styleId="BalloonText">
    <w:name w:val="Balloon Text"/>
    <w:basedOn w:val="Normal"/>
    <w:link w:val="BalloonTextChar"/>
    <w:uiPriority w:val="99"/>
    <w:semiHidden/>
    <w:unhideWhenUsed/>
    <w:rsid w:val="00670126"/>
    <w:rPr>
      <w:rFonts w:ascii="Segoe UI" w:hAnsi="Segoe UI" w:cs="Segoe UI"/>
    </w:rPr>
  </w:style>
  <w:style w:type="character" w:customStyle="1" w:styleId="BalloonTextChar">
    <w:name w:val="Balloon Text Char"/>
    <w:basedOn w:val="DefaultParagraphFont"/>
    <w:link w:val="BalloonText"/>
    <w:uiPriority w:val="99"/>
    <w:semiHidden/>
    <w:rsid w:val="00670126"/>
    <w:rPr>
      <w:rFonts w:ascii="Segoe UI" w:eastAsia="SimSun" w:hAnsi="Segoe UI" w:cs="Segoe UI"/>
      <w:noProof/>
      <w:color w:val="000000"/>
      <w:sz w:val="18"/>
      <w:szCs w:val="18"/>
      <w:lang w:val="en-US" w:eastAsia="zh-CN"/>
    </w:rPr>
  </w:style>
  <w:style w:type="paragraph" w:styleId="Subtitle">
    <w:name w:val="Subtitle"/>
    <w:basedOn w:val="Normal"/>
    <w:next w:val="Normal"/>
    <w:link w:val="SubtitleChar"/>
    <w:uiPriority w:val="11"/>
    <w:qFormat/>
    <w:rsid w:val="00225CC1"/>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25CC1"/>
    <w:rPr>
      <w:rFonts w:eastAsiaTheme="minorEastAsia"/>
      <w:noProof/>
      <w:color w:val="5A5A5A" w:themeColor="text1" w:themeTint="A5"/>
      <w:spacing w:val="15"/>
      <w:lang w:val="en-US" w:eastAsia="zh-CN"/>
    </w:rPr>
  </w:style>
  <w:style w:type="paragraph" w:customStyle="1" w:styleId="MDPI42tablebody">
    <w:name w:val="MDPI_4.2_table_body"/>
    <w:rsid w:val="00225CC1"/>
    <w:pPr>
      <w:adjustRightInd w:val="0"/>
      <w:snapToGrid w:val="0"/>
      <w:spacing w:after="0" w:line="260" w:lineRule="atLeast"/>
      <w:jc w:val="both"/>
    </w:pPr>
    <w:rPr>
      <w:rFonts w:ascii="Palatino Linotype" w:eastAsia="Times New Roman" w:hAnsi="Palatino Linotype" w:cs="Times New Roman"/>
      <w:snapToGrid w:val="0"/>
      <w:color w:val="000000"/>
      <w:sz w:val="16"/>
      <w:szCs w:val="20"/>
      <w:lang w:val="en-US" w:eastAsia="de-DE" w:bidi="en-US"/>
    </w:rPr>
  </w:style>
  <w:style w:type="table" w:styleId="TableGrid">
    <w:name w:val="Table Grid"/>
    <w:basedOn w:val="TableNormal"/>
    <w:uiPriority w:val="39"/>
    <w:rsid w:val="00225CC1"/>
    <w:pPr>
      <w:spacing w:after="0" w:line="260" w:lineRule="atLeast"/>
      <w:jc w:val="both"/>
    </w:pPr>
    <w:rPr>
      <w:rFonts w:ascii="Palatino Linotype"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4331C0"/>
    <w:pPr>
      <w:ind w:left="720"/>
      <w:contextualSpacing/>
    </w:pPr>
  </w:style>
  <w:style w:type="character" w:styleId="PlaceholderText">
    <w:name w:val="Placeholder Text"/>
    <w:basedOn w:val="DefaultParagraphFont"/>
    <w:uiPriority w:val="99"/>
    <w:semiHidden/>
    <w:rsid w:val="008A5EC6"/>
    <w:rPr>
      <w:color w:val="808080"/>
    </w:rPr>
  </w:style>
  <w:style w:type="character" w:customStyle="1" w:styleId="docdata">
    <w:name w:val="docdata"/>
    <w:aliases w:val="docy,v5,4762,bqiaagaaeyqcaaagiaiaaamcegaabsosaaaaaaaaaaaaaaaaaaaaaaaaaaaaaaaaaaaaaaaaaaaaaaaaaaaaaaaaaaaaaaaaaaaaaaaaaaaaaaaaaaaaaaaaaaaaaaaaaaaaaaaaaaaaaaaaaaaaaaaaaaaaaaaaaaaaaaaaaaaaaaaaaaaaaaaaaaaaaaaaaaaaaaaaaaaaaaaaaaaaaaaaaaaaaaaaaaaaaaaa"/>
    <w:basedOn w:val="DefaultParagraphFont"/>
    <w:rsid w:val="00FA5B1F"/>
  </w:style>
  <w:style w:type="character" w:styleId="Emphasis">
    <w:name w:val="Emphasis"/>
    <w:uiPriority w:val="20"/>
    <w:qFormat/>
    <w:rsid w:val="001D6ABC"/>
    <w:rPr>
      <w:rFonts w:asciiTheme="minorHAnsi" w:hAnsiTheme="minorHAnsi" w:cstheme="minorHAnsi"/>
      <w:szCs w:val="18"/>
    </w:rPr>
  </w:style>
  <w:style w:type="paragraph" w:styleId="Header">
    <w:name w:val="header"/>
    <w:basedOn w:val="Normal"/>
    <w:link w:val="HeaderChar"/>
    <w:uiPriority w:val="99"/>
    <w:unhideWhenUsed/>
    <w:rsid w:val="00932771"/>
    <w:pPr>
      <w:tabs>
        <w:tab w:val="center" w:pos="4536"/>
        <w:tab w:val="right" w:pos="9072"/>
      </w:tabs>
    </w:pPr>
  </w:style>
  <w:style w:type="character" w:customStyle="1" w:styleId="HeaderChar">
    <w:name w:val="Header Char"/>
    <w:basedOn w:val="DefaultParagraphFont"/>
    <w:link w:val="Header"/>
    <w:uiPriority w:val="99"/>
    <w:rsid w:val="00932771"/>
    <w:rPr>
      <w:rFonts w:cstheme="minorHAnsi"/>
      <w:noProof/>
      <w:color w:val="000000"/>
      <w:sz w:val="18"/>
      <w:szCs w:val="18"/>
      <w:lang w:val="en-US" w:eastAsia="zh-CN"/>
    </w:rPr>
  </w:style>
  <w:style w:type="paragraph" w:styleId="Footer">
    <w:name w:val="footer"/>
    <w:basedOn w:val="Normal"/>
    <w:link w:val="FooterChar"/>
    <w:uiPriority w:val="99"/>
    <w:unhideWhenUsed/>
    <w:rsid w:val="00932771"/>
    <w:pPr>
      <w:tabs>
        <w:tab w:val="center" w:pos="4536"/>
        <w:tab w:val="right" w:pos="9072"/>
      </w:tabs>
    </w:pPr>
  </w:style>
  <w:style w:type="character" w:customStyle="1" w:styleId="FooterChar">
    <w:name w:val="Footer Char"/>
    <w:basedOn w:val="DefaultParagraphFont"/>
    <w:link w:val="Footer"/>
    <w:uiPriority w:val="99"/>
    <w:rsid w:val="00932771"/>
    <w:rPr>
      <w:rFonts w:cstheme="minorHAnsi"/>
      <w:noProof/>
      <w:color w:val="000000"/>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60973">
      <w:bodyDiv w:val="1"/>
      <w:marLeft w:val="0"/>
      <w:marRight w:val="0"/>
      <w:marTop w:val="0"/>
      <w:marBottom w:val="0"/>
      <w:divBdr>
        <w:top w:val="none" w:sz="0" w:space="0" w:color="auto"/>
        <w:left w:val="none" w:sz="0" w:space="0" w:color="auto"/>
        <w:bottom w:val="none" w:sz="0" w:space="0" w:color="auto"/>
        <w:right w:val="none" w:sz="0" w:space="0" w:color="auto"/>
      </w:divBdr>
    </w:div>
    <w:div w:id="355234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1919</Words>
  <Characters>11298</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Naila Aba</cp:lastModifiedBy>
  <cp:revision>3</cp:revision>
  <dcterms:created xsi:type="dcterms:W3CDTF">2024-12-19T10:48:00Z</dcterms:created>
  <dcterms:modified xsi:type="dcterms:W3CDTF">2025-03-21T10:10:00Z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e58ca594e653ef7ce848e152efbb6f36b95cee24933fb728fea79e201b4fc2cc</vt:lpwstr>
  </property>
</Properties>
</file>