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3D751" w14:textId="45866E44" w:rsidR="00225CC1" w:rsidRPr="00EB4D71" w:rsidRDefault="00D168AC" w:rsidP="00225CC1">
      <w:pPr>
        <w:pStyle w:val="MDPI41tablecaption"/>
        <w:rPr>
          <w:rFonts w:asciiTheme="minorHAnsi" w:hAnsiTheme="minorHAnsi" w:cstheme="minorHAnsi"/>
        </w:rPr>
      </w:pPr>
      <w:r w:rsidRPr="00EB4D71">
        <w:rPr>
          <w:rFonts w:asciiTheme="minorHAnsi" w:hAnsiTheme="minorHAnsi" w:cstheme="minorHAnsi"/>
          <w:b/>
          <w:sz w:val="22"/>
        </w:rPr>
        <w:t xml:space="preserve">Supplementary Table 4. </w:t>
      </w:r>
      <w:r w:rsidR="00225CC1" w:rsidRPr="00EB4D71">
        <w:rPr>
          <w:rFonts w:asciiTheme="minorHAnsi" w:hAnsiTheme="minorHAnsi" w:cstheme="minorHAnsi"/>
          <w:sz w:val="22"/>
        </w:rPr>
        <w:t xml:space="preserve">Statistical methods and selection procedure </w:t>
      </w:r>
      <w:r w:rsidR="00EB4D71" w:rsidRPr="00EB4D71">
        <w:rPr>
          <w:rFonts w:asciiTheme="minorHAnsi" w:hAnsiTheme="minorHAnsi" w:cstheme="minorHAnsi"/>
          <w:sz w:val="22"/>
        </w:rPr>
        <w:t>of the 20</w:t>
      </w:r>
      <w:r w:rsidR="00225CC1" w:rsidRPr="00EB4D71">
        <w:rPr>
          <w:rFonts w:asciiTheme="minorHAnsi" w:hAnsiTheme="minorHAnsi" w:cstheme="minorHAnsi"/>
          <w:sz w:val="22"/>
        </w:rPr>
        <w:t xml:space="preserve"> </w:t>
      </w:r>
      <w:r w:rsidR="007B5435" w:rsidRPr="00EB4D71">
        <w:rPr>
          <w:rFonts w:asciiTheme="minorHAnsi" w:hAnsiTheme="minorHAnsi" w:cstheme="minorHAnsi"/>
          <w:sz w:val="22"/>
        </w:rPr>
        <w:t>included</w:t>
      </w:r>
      <w:r w:rsidR="00225CC1" w:rsidRPr="00EB4D71">
        <w:rPr>
          <w:rFonts w:asciiTheme="minorHAnsi" w:hAnsiTheme="minorHAnsi" w:cstheme="minorHAnsi"/>
          <w:sz w:val="22"/>
        </w:rPr>
        <w:t xml:space="preserve"> studies</w:t>
      </w:r>
    </w:p>
    <w:tbl>
      <w:tblPr>
        <w:tblStyle w:val="TableGrid"/>
        <w:tblW w:w="15502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417"/>
        <w:gridCol w:w="2268"/>
        <w:gridCol w:w="2268"/>
        <w:gridCol w:w="1701"/>
        <w:gridCol w:w="2438"/>
        <w:gridCol w:w="2438"/>
      </w:tblGrid>
      <w:tr w:rsidR="00697164" w:rsidRPr="00EB4D71" w14:paraId="6A8E9D63" w14:textId="77777777" w:rsidTr="00EB4D71">
        <w:trPr>
          <w:trHeight w:val="20"/>
        </w:trPr>
        <w:tc>
          <w:tcPr>
            <w:tcW w:w="1555" w:type="dxa"/>
          </w:tcPr>
          <w:p w14:paraId="03A82336" w14:textId="58ABA269" w:rsidR="00007A83" w:rsidRPr="00EB4D71" w:rsidRDefault="00FC3FF8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Study</w:t>
            </w:r>
          </w:p>
        </w:tc>
        <w:tc>
          <w:tcPr>
            <w:tcW w:w="1417" w:type="dxa"/>
          </w:tcPr>
          <w:p w14:paraId="3D2F1543" w14:textId="11FF75D5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Sequencing method</w:t>
            </w:r>
          </w:p>
        </w:tc>
        <w:tc>
          <w:tcPr>
            <w:tcW w:w="1417" w:type="dxa"/>
          </w:tcPr>
          <w:p w14:paraId="645B72F5" w14:textId="1ED71AE2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Statistical Analysis</w:t>
            </w:r>
          </w:p>
        </w:tc>
        <w:tc>
          <w:tcPr>
            <w:tcW w:w="2268" w:type="dxa"/>
          </w:tcPr>
          <w:p w14:paraId="2355FE84" w14:textId="77777777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Variables for Matching / adjustment </w:t>
            </w:r>
          </w:p>
        </w:tc>
        <w:tc>
          <w:tcPr>
            <w:tcW w:w="2268" w:type="dxa"/>
          </w:tcPr>
          <w:p w14:paraId="3511DBCE" w14:textId="77777777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Selection procedure</w:t>
            </w:r>
          </w:p>
        </w:tc>
        <w:tc>
          <w:tcPr>
            <w:tcW w:w="1701" w:type="dxa"/>
          </w:tcPr>
          <w:p w14:paraId="092A3D1D" w14:textId="77777777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Correction for multiplicity</w:t>
            </w:r>
          </w:p>
        </w:tc>
        <w:tc>
          <w:tcPr>
            <w:tcW w:w="2438" w:type="dxa"/>
          </w:tcPr>
          <w:p w14:paraId="34773BC1" w14:textId="77777777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Performance evaluation</w:t>
            </w:r>
          </w:p>
        </w:tc>
        <w:tc>
          <w:tcPr>
            <w:tcW w:w="2438" w:type="dxa"/>
          </w:tcPr>
          <w:p w14:paraId="5D3C3A1F" w14:textId="77777777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Validation of the results</w:t>
            </w:r>
          </w:p>
        </w:tc>
      </w:tr>
      <w:tr w:rsidR="00AF5E18" w:rsidRPr="00EB4D71" w14:paraId="18D1FA15" w14:textId="77777777" w:rsidTr="00EB4D71">
        <w:trPr>
          <w:trHeight w:val="20"/>
        </w:trPr>
        <w:tc>
          <w:tcPr>
            <w:tcW w:w="1555" w:type="dxa"/>
            <w:vMerge w:val="restart"/>
          </w:tcPr>
          <w:p w14:paraId="0A6104A9" w14:textId="77777777" w:rsidR="00AF5E18" w:rsidRPr="008C1759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proofErr w:type="spellStart"/>
            <w:r w:rsidRPr="008C1759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Sági</w:t>
            </w:r>
            <w:proofErr w:type="spellEnd"/>
            <w:r w:rsidRPr="008C1759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 xml:space="preserve"> et al., BMC Cancer, 2018</w:t>
            </w:r>
          </w:p>
        </w:tc>
        <w:tc>
          <w:tcPr>
            <w:tcW w:w="1417" w:type="dxa"/>
            <w:vMerge w:val="restart"/>
          </w:tcPr>
          <w:p w14:paraId="46FC6BE2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Candidate gene</w:t>
            </w:r>
          </w:p>
        </w:tc>
        <w:tc>
          <w:tcPr>
            <w:tcW w:w="1417" w:type="dxa"/>
          </w:tcPr>
          <w:p w14:paraId="5CC3A88C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 for case-control analysis</w:t>
            </w:r>
          </w:p>
        </w:tc>
        <w:tc>
          <w:tcPr>
            <w:tcW w:w="2268" w:type="dxa"/>
            <w:vMerge w:val="restart"/>
          </w:tcPr>
          <w:p w14:paraId="5925EED4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Adjustment: age at the time of diagnosis, gender, chemotherapy protocols, risk groups, and cumulative dose of anthracycline</w:t>
            </w:r>
          </w:p>
        </w:tc>
        <w:tc>
          <w:tcPr>
            <w:tcW w:w="2268" w:type="dxa"/>
            <w:vMerge w:val="restart"/>
          </w:tcPr>
          <w:p w14:paraId="1F483168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1701" w:type="dxa"/>
            <w:vMerge w:val="restart"/>
          </w:tcPr>
          <w:p w14:paraId="2F9C15F5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Benjamini-Hochberg FDR, p≤ 8.90 x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2438" w:type="dxa"/>
            <w:vMerge w:val="restart"/>
          </w:tcPr>
          <w:p w14:paraId="1203342B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vMerge w:val="restart"/>
          </w:tcPr>
          <w:p w14:paraId="1FF51922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AF5E18" w:rsidRPr="00EB4D71" w14:paraId="0C1DE280" w14:textId="77777777" w:rsidTr="00EB4D71">
        <w:trPr>
          <w:trHeight w:val="20"/>
        </w:trPr>
        <w:tc>
          <w:tcPr>
            <w:tcW w:w="1555" w:type="dxa"/>
            <w:vMerge/>
          </w:tcPr>
          <w:p w14:paraId="4A73AB1B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5277FC7B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01DD412" w14:textId="0E02EEC9" w:rsidR="00AF5E18" w:rsidRPr="00EB4D71" w:rsidRDefault="008C1759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Linear regression</w:t>
            </w:r>
            <w:r w:rsidR="00AF5E18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for follow-up analysis</w:t>
            </w:r>
          </w:p>
        </w:tc>
        <w:tc>
          <w:tcPr>
            <w:tcW w:w="2268" w:type="dxa"/>
            <w:vMerge/>
          </w:tcPr>
          <w:p w14:paraId="735DAB20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6B7ADCBD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3733113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8" w:type="dxa"/>
            <w:vMerge/>
          </w:tcPr>
          <w:p w14:paraId="552E8DD4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8" w:type="dxa"/>
            <w:vMerge/>
          </w:tcPr>
          <w:p w14:paraId="7603D561" w14:textId="77777777" w:rsidR="00AF5E18" w:rsidRPr="00EB4D71" w:rsidRDefault="00AF5E18" w:rsidP="00AF5E1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66590" w:rsidRPr="00EB4D71" w14:paraId="2D1E12BA" w14:textId="77777777" w:rsidTr="00EB4D71">
        <w:trPr>
          <w:trHeight w:val="20"/>
        </w:trPr>
        <w:tc>
          <w:tcPr>
            <w:tcW w:w="1555" w:type="dxa"/>
          </w:tcPr>
          <w:p w14:paraId="3292DE27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Blanco et al., JCO, 2012</w:t>
            </w:r>
          </w:p>
        </w:tc>
        <w:tc>
          <w:tcPr>
            <w:tcW w:w="1417" w:type="dxa"/>
          </w:tcPr>
          <w:p w14:paraId="47614EB7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Candidate gene</w:t>
            </w:r>
          </w:p>
        </w:tc>
        <w:tc>
          <w:tcPr>
            <w:tcW w:w="1417" w:type="dxa"/>
          </w:tcPr>
          <w:p w14:paraId="7B15A66E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Conditional logistic regression</w:t>
            </w:r>
          </w:p>
        </w:tc>
        <w:tc>
          <w:tcPr>
            <w:tcW w:w="2268" w:type="dxa"/>
          </w:tcPr>
          <w:p w14:paraId="089ED601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Matching: cancer diagnosis, year of diagnosis (± 5 years), race/ethnicity, and duration of follow-up for controls to exceed time from cancer diagnosis to cardiomyopathy for index patient case</w:t>
            </w:r>
          </w:p>
          <w:p w14:paraId="5084AA92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908473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Adjustment: 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cumulative ANT dose, sex, age at cancer</w:t>
            </w:r>
          </w:p>
        </w:tc>
        <w:tc>
          <w:tcPr>
            <w:tcW w:w="2268" w:type="dxa"/>
          </w:tcPr>
          <w:p w14:paraId="1F35E85A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721F7D7D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Bonferroni correction for multiple comparisons (p&lt; 0.025) when analyzing the association with the two SNPs.</w:t>
            </w:r>
          </w:p>
        </w:tc>
        <w:tc>
          <w:tcPr>
            <w:tcW w:w="2438" w:type="dxa"/>
          </w:tcPr>
          <w:p w14:paraId="3D1E1879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469DC1BC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866590" w:rsidRPr="00EB4D71" w14:paraId="5E748B17" w14:textId="77777777" w:rsidTr="00EB4D71">
        <w:trPr>
          <w:trHeight w:val="20"/>
        </w:trPr>
        <w:tc>
          <w:tcPr>
            <w:tcW w:w="1555" w:type="dxa"/>
            <w:vMerge w:val="restart"/>
          </w:tcPr>
          <w:p w14:paraId="25A241F0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Visscher et al., </w:t>
            </w:r>
            <w:proofErr w:type="spellStart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Pediatr</w:t>
            </w:r>
            <w:proofErr w:type="spellEnd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Blood Cancer, 2013</w:t>
            </w:r>
          </w:p>
        </w:tc>
        <w:tc>
          <w:tcPr>
            <w:tcW w:w="1417" w:type="dxa"/>
            <w:vMerge w:val="restart"/>
          </w:tcPr>
          <w:p w14:paraId="5CC866C2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Candidate Gene</w:t>
            </w:r>
          </w:p>
        </w:tc>
        <w:tc>
          <w:tcPr>
            <w:tcW w:w="1417" w:type="dxa"/>
          </w:tcPr>
          <w:p w14:paraId="0F1B00C3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Single SNP Logistic regression</w:t>
            </w:r>
          </w:p>
        </w:tc>
        <w:tc>
          <w:tcPr>
            <w:tcW w:w="2268" w:type="dxa"/>
          </w:tcPr>
          <w:p w14:paraId="19F8FBFA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Adjustment: Cumulative anthracycline dose, age at start of treatment, gender and radiation therapy to the heart included as covariates</w:t>
            </w:r>
          </w:p>
        </w:tc>
        <w:tc>
          <w:tcPr>
            <w:tcW w:w="2268" w:type="dxa"/>
          </w:tcPr>
          <w:p w14:paraId="7FE77611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1701" w:type="dxa"/>
            <w:vMerge w:val="restart"/>
          </w:tcPr>
          <w:p w14:paraId="6DA9589E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vMerge w:val="restart"/>
          </w:tcPr>
          <w:p w14:paraId="14B99BB7" w14:textId="77777777" w:rsidR="00866590" w:rsidRPr="00EB4D71" w:rsidRDefault="00866590" w:rsidP="003E21B2">
            <w:pPr>
              <w:rPr>
                <w:rFonts w:asciiTheme="minorHAnsi" w:hAnsiTheme="minorHAnsi"/>
                <w:lang w:eastAsia="de-DE" w:bidi="en-US"/>
              </w:rPr>
            </w:pPr>
            <w:r w:rsidRPr="00EB4D71">
              <w:rPr>
                <w:rFonts w:asciiTheme="minorHAnsi" w:hAnsiTheme="minorHAnsi"/>
                <w:lang w:eastAsia="de-DE" w:bidi="en-US"/>
              </w:rPr>
              <w:t>ROC curve and -statistic (area under the curve, AUC) calculation</w:t>
            </w:r>
          </w:p>
        </w:tc>
        <w:tc>
          <w:tcPr>
            <w:tcW w:w="2438" w:type="dxa"/>
            <w:vMerge w:val="restart"/>
          </w:tcPr>
          <w:p w14:paraId="2F9767C4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Tested in the replication cohort (Dutch-EKZ and Canadian-CPNDS patients combined)</w:t>
            </w:r>
          </w:p>
        </w:tc>
      </w:tr>
      <w:tr w:rsidR="00866590" w:rsidRPr="00EB4D71" w14:paraId="7148FBBC" w14:textId="77777777" w:rsidTr="00EB4D71">
        <w:trPr>
          <w:trHeight w:val="20"/>
        </w:trPr>
        <w:tc>
          <w:tcPr>
            <w:tcW w:w="1555" w:type="dxa"/>
            <w:vMerge/>
          </w:tcPr>
          <w:p w14:paraId="3808D6BC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4622BAEB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D69B44B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</w:t>
            </w:r>
          </w:p>
        </w:tc>
        <w:tc>
          <w:tcPr>
            <w:tcW w:w="2268" w:type="dxa"/>
          </w:tcPr>
          <w:p w14:paraId="1B3682CE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including multiple genetic variants and/or clinical variables were trained in the original cohort</w:t>
            </w:r>
          </w:p>
        </w:tc>
        <w:tc>
          <w:tcPr>
            <w:tcW w:w="2268" w:type="dxa"/>
          </w:tcPr>
          <w:p w14:paraId="1544DF59" w14:textId="13FEFDBB" w:rsidR="00866590" w:rsidRPr="00EB4D71" w:rsidRDefault="008C1759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Stepwise</w:t>
            </w:r>
            <w:r w:rsidR="00866590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regression with forward selection: association with ACT at p&lt; 0.01 were retained in the final model</w:t>
            </w:r>
          </w:p>
        </w:tc>
        <w:tc>
          <w:tcPr>
            <w:tcW w:w="1701" w:type="dxa"/>
            <w:vMerge/>
          </w:tcPr>
          <w:p w14:paraId="0E3909E4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8" w:type="dxa"/>
            <w:vMerge/>
          </w:tcPr>
          <w:p w14:paraId="3D3D17EA" w14:textId="77777777" w:rsidR="00866590" w:rsidRPr="00EB4D71" w:rsidRDefault="00866590" w:rsidP="003E21B2">
            <w:pPr>
              <w:rPr>
                <w:rFonts w:asciiTheme="minorHAnsi" w:hAnsiTheme="minorHAnsi"/>
                <w:lang w:eastAsia="de-DE" w:bidi="en-US"/>
              </w:rPr>
            </w:pPr>
          </w:p>
        </w:tc>
        <w:tc>
          <w:tcPr>
            <w:tcW w:w="2438" w:type="dxa"/>
            <w:vMerge/>
          </w:tcPr>
          <w:p w14:paraId="6BCB4CAA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66590" w:rsidRPr="00EB4D71" w14:paraId="1E8DAE4D" w14:textId="77777777" w:rsidTr="00EB4D71">
        <w:trPr>
          <w:trHeight w:val="20"/>
        </w:trPr>
        <w:tc>
          <w:tcPr>
            <w:tcW w:w="1555" w:type="dxa"/>
          </w:tcPr>
          <w:p w14:paraId="6478C889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Singh et al., Cancer, 2020</w:t>
            </w:r>
          </w:p>
        </w:tc>
        <w:tc>
          <w:tcPr>
            <w:tcW w:w="1417" w:type="dxa"/>
          </w:tcPr>
          <w:p w14:paraId="08B221BD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Candidate gene</w:t>
            </w:r>
          </w:p>
        </w:tc>
        <w:tc>
          <w:tcPr>
            <w:tcW w:w="1417" w:type="dxa"/>
          </w:tcPr>
          <w:p w14:paraId="34C50DB4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Conditional logistic regression</w:t>
            </w:r>
          </w:p>
        </w:tc>
        <w:tc>
          <w:tcPr>
            <w:tcW w:w="2268" w:type="dxa"/>
          </w:tcPr>
          <w:p w14:paraId="06AB7528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Matching: cancer diagnosis, year of diagnosis (± 5 years), race/ethnicity, and duration of follow-up for controls to exceed time from cancer diagnosis to cardiomyopathy for index patient case</w:t>
            </w:r>
          </w:p>
          <w:p w14:paraId="7ABA2CEF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5ACFDF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Adjustment: anthracycline dose, chest radiation, age at diagnosis of primary cancer, and sex</w:t>
            </w:r>
          </w:p>
        </w:tc>
        <w:tc>
          <w:tcPr>
            <w:tcW w:w="2268" w:type="dxa"/>
          </w:tcPr>
          <w:p w14:paraId="5DE59260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4B2D4A16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23800656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017FCAA4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Gene expression analyses on cardiomyocytes and peripheral blood</w:t>
            </w:r>
          </w:p>
        </w:tc>
      </w:tr>
      <w:tr w:rsidR="00866590" w:rsidRPr="00EB4D71" w14:paraId="3B2655A9" w14:textId="77777777" w:rsidTr="00EB4D71">
        <w:trPr>
          <w:trHeight w:val="20"/>
        </w:trPr>
        <w:tc>
          <w:tcPr>
            <w:tcW w:w="1555" w:type="dxa"/>
          </w:tcPr>
          <w:p w14:paraId="05400267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Blanco et al., Cancer, 2008</w:t>
            </w:r>
          </w:p>
        </w:tc>
        <w:tc>
          <w:tcPr>
            <w:tcW w:w="1417" w:type="dxa"/>
          </w:tcPr>
          <w:p w14:paraId="03A8DC4C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Candidate gene</w:t>
            </w:r>
          </w:p>
        </w:tc>
        <w:tc>
          <w:tcPr>
            <w:tcW w:w="1417" w:type="dxa"/>
          </w:tcPr>
          <w:p w14:paraId="00180FE7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Conditional logistic regression</w:t>
            </w:r>
          </w:p>
        </w:tc>
        <w:tc>
          <w:tcPr>
            <w:tcW w:w="2268" w:type="dxa"/>
          </w:tcPr>
          <w:p w14:paraId="3626BE8D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Matching: age at diagnosis (± 5 years), race/ethnicity, anthracycline dose, radiation to the heart (matched for 81% of controls; this factor was included in all models to adjust for incomplete matching) and duration of follow-up for controls to exceed time from cancer diagnosis to cardiomyopathy for index patient case</w:t>
            </w:r>
          </w:p>
          <w:p w14:paraId="0768F275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02A1B57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Adjustment: sex, smoking history, first recurrence of original disease, heart in radiation beam, and family history of heart disease </w:t>
            </w:r>
          </w:p>
        </w:tc>
        <w:tc>
          <w:tcPr>
            <w:tcW w:w="2268" w:type="dxa"/>
          </w:tcPr>
          <w:p w14:paraId="4A67B238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072CF17A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623894B5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2FADD738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866590" w:rsidRPr="00EB4D71" w14:paraId="443A507C" w14:textId="77777777" w:rsidTr="00EB4D71">
        <w:trPr>
          <w:trHeight w:val="20"/>
        </w:trPr>
        <w:tc>
          <w:tcPr>
            <w:tcW w:w="1555" w:type="dxa"/>
            <w:tcBorders>
              <w:bottom w:val="single" w:sz="4" w:space="0" w:color="auto"/>
            </w:tcBorders>
          </w:tcPr>
          <w:p w14:paraId="5E7AC4D3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Hildebrandt et al., Nature, 2017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DDC046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Candidate gene</w:t>
            </w:r>
          </w:p>
        </w:tc>
        <w:tc>
          <w:tcPr>
            <w:tcW w:w="1417" w:type="dxa"/>
          </w:tcPr>
          <w:p w14:paraId="24260D4E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D934F0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Matching; age at diagnosis, gender, anthracycline dose, chest radiation, and cancer type</w:t>
            </w:r>
          </w:p>
          <w:p w14:paraId="41D0BF97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br/>
              <w:t>Adjustment: follow-up time, age at diagnosis, gender, race, hypertension, anthracycline dose, chest radiation, and cancer site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052ECFC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Gene associated with cardiotoxicity at p≤ 0.05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5A2CF5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067B6955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478497D1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Expression of the identified genes was analyzed in cardiomyocytes</w:t>
            </w:r>
          </w:p>
          <w:p w14:paraId="44C1157B" w14:textId="77777777" w:rsidR="00866590" w:rsidRPr="00EB4D71" w:rsidRDefault="00866590" w:rsidP="003E21B2">
            <w:pPr>
              <w:rPr>
                <w:rFonts w:asciiTheme="minorHAnsi" w:hAnsiTheme="minorHAnsi"/>
                <w:lang w:eastAsia="de-DE" w:bidi="en-US"/>
              </w:rPr>
            </w:pPr>
          </w:p>
          <w:p w14:paraId="3E61D97D" w14:textId="77777777" w:rsidR="00866590" w:rsidRPr="00EB4D71" w:rsidRDefault="00866590" w:rsidP="003E21B2">
            <w:pPr>
              <w:rPr>
                <w:rFonts w:asciiTheme="minorHAnsi" w:hAnsiTheme="minorHAnsi"/>
                <w:lang w:eastAsia="de-DE" w:bidi="en-US"/>
              </w:rPr>
            </w:pPr>
          </w:p>
          <w:p w14:paraId="4AE16707" w14:textId="77777777" w:rsidR="00866590" w:rsidRPr="00EB4D71" w:rsidRDefault="00866590" w:rsidP="003E21B2">
            <w:pPr>
              <w:tabs>
                <w:tab w:val="left" w:pos="1829"/>
              </w:tabs>
              <w:rPr>
                <w:rFonts w:asciiTheme="minorHAnsi" w:hAnsiTheme="minorHAnsi"/>
                <w:lang w:eastAsia="de-DE" w:bidi="en-US"/>
              </w:rPr>
            </w:pPr>
            <w:r w:rsidRPr="00EB4D71">
              <w:rPr>
                <w:rFonts w:asciiTheme="minorHAnsi" w:hAnsiTheme="minorHAnsi"/>
                <w:lang w:eastAsia="de-DE" w:bidi="en-US"/>
              </w:rPr>
              <w:tab/>
            </w:r>
          </w:p>
        </w:tc>
      </w:tr>
      <w:tr w:rsidR="00866590" w:rsidRPr="00EB4D71" w14:paraId="6F6163EE" w14:textId="77777777" w:rsidTr="00EB4D71">
        <w:trPr>
          <w:trHeight w:val="20"/>
        </w:trPr>
        <w:tc>
          <w:tcPr>
            <w:tcW w:w="1555" w:type="dxa"/>
          </w:tcPr>
          <w:p w14:paraId="1A9A3F51" w14:textId="36A5C65F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Aminkeng</w:t>
            </w:r>
            <w:proofErr w:type="spellEnd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et al.</w:t>
            </w:r>
            <w:r w:rsidR="008C1759"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, Nat</w:t>
            </w: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Genet., 2015</w:t>
            </w:r>
          </w:p>
        </w:tc>
        <w:tc>
          <w:tcPr>
            <w:tcW w:w="1417" w:type="dxa"/>
          </w:tcPr>
          <w:p w14:paraId="2A7BB987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GWAS</w:t>
            </w:r>
          </w:p>
        </w:tc>
        <w:tc>
          <w:tcPr>
            <w:tcW w:w="1417" w:type="dxa"/>
          </w:tcPr>
          <w:p w14:paraId="6789453C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</w:t>
            </w:r>
          </w:p>
        </w:tc>
        <w:tc>
          <w:tcPr>
            <w:tcW w:w="2268" w:type="dxa"/>
          </w:tcPr>
          <w:p w14:paraId="1831FCCB" w14:textId="1504417B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Adjustment: age at the start of treatment, cumulative anthracycline dose, tumor </w:t>
            </w:r>
            <w:r w:rsidR="008C1759" w:rsidRPr="00EB4D71">
              <w:rPr>
                <w:rFonts w:asciiTheme="minorHAnsi" w:hAnsiTheme="minorHAnsi" w:cstheme="minorHAnsi"/>
                <w:sz w:val="18"/>
                <w:szCs w:val="18"/>
              </w:rPr>
              <w:t>type and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cardiac radiation therapy</w:t>
            </w:r>
          </w:p>
        </w:tc>
        <w:tc>
          <w:tcPr>
            <w:tcW w:w="2268" w:type="dxa"/>
          </w:tcPr>
          <w:p w14:paraId="50BBC419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Association with ACT: p&lt; 1 ×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−5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for the discovery cohort and p&lt; 0.006 on the replication cohort, and p&lt; 0.05 in the independent non-European population</w:t>
            </w:r>
          </w:p>
        </w:tc>
        <w:tc>
          <w:tcPr>
            <w:tcW w:w="1701" w:type="dxa"/>
          </w:tcPr>
          <w:p w14:paraId="4E5ED071" w14:textId="3B7546A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Multiple testing correction p&lt; 1 ×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−5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for the discovery </w:t>
            </w:r>
            <w:r w:rsidR="008C1759" w:rsidRPr="00EB4D71">
              <w:rPr>
                <w:rFonts w:asciiTheme="minorHAnsi" w:hAnsiTheme="minorHAnsi" w:cstheme="minorHAnsi"/>
                <w:sz w:val="18"/>
                <w:szCs w:val="18"/>
              </w:rPr>
              <w:t>cohort.</w:t>
            </w:r>
          </w:p>
          <w:p w14:paraId="266F6554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Bonferroni correction p&lt; 0.006 for the replication cohort</w:t>
            </w:r>
          </w:p>
        </w:tc>
        <w:tc>
          <w:tcPr>
            <w:tcW w:w="2438" w:type="dxa"/>
          </w:tcPr>
          <w:p w14:paraId="2B3419B7" w14:textId="4E405294" w:rsidR="00866590" w:rsidRPr="00EB4D71" w:rsidRDefault="00866590" w:rsidP="005D70C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  <w:p w14:paraId="08CB443F" w14:textId="77777777" w:rsidR="00866590" w:rsidRPr="00EB4D71" w:rsidRDefault="00866590" w:rsidP="003E21B2">
            <w:pPr>
              <w:jc w:val="center"/>
              <w:rPr>
                <w:rFonts w:asciiTheme="minorHAnsi" w:hAnsiTheme="minorHAnsi"/>
                <w:lang w:eastAsia="de-DE" w:bidi="en-US"/>
              </w:rPr>
            </w:pPr>
          </w:p>
        </w:tc>
        <w:tc>
          <w:tcPr>
            <w:tcW w:w="2438" w:type="dxa"/>
          </w:tcPr>
          <w:p w14:paraId="7905D24A" w14:textId="7C60FB53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Markers that reached significance threshold in the discovery cohort were tested for replication (</w:t>
            </w:r>
            <w:r w:rsidR="008C1759" w:rsidRPr="00EB4D71">
              <w:rPr>
                <w:rFonts w:asciiTheme="minorHAnsi" w:hAnsiTheme="minorHAnsi" w:cstheme="minorHAnsi"/>
                <w:sz w:val="18"/>
                <w:szCs w:val="18"/>
              </w:rPr>
              <w:t>European Dutch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patients) and the SNPs significant after Bonferroni correction in the replication cohort were tested in non-European population, and in combined analysis of all patients with European ancestry in discovery and replication cohorts</w:t>
            </w:r>
          </w:p>
        </w:tc>
      </w:tr>
      <w:tr w:rsidR="00866590" w:rsidRPr="00EB4D71" w14:paraId="078CC7BB" w14:textId="77777777" w:rsidTr="00EB4D71">
        <w:trPr>
          <w:trHeight w:val="20"/>
        </w:trPr>
        <w:tc>
          <w:tcPr>
            <w:tcW w:w="1555" w:type="dxa"/>
            <w:vMerge w:val="restart"/>
          </w:tcPr>
          <w:p w14:paraId="7B6E3DC0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Visscher et al., Pharmacogenomics, 2015</w:t>
            </w:r>
          </w:p>
        </w:tc>
        <w:tc>
          <w:tcPr>
            <w:tcW w:w="1417" w:type="dxa"/>
            <w:vMerge w:val="restart"/>
          </w:tcPr>
          <w:p w14:paraId="4F43DD45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GWAS</w:t>
            </w:r>
          </w:p>
        </w:tc>
        <w:tc>
          <w:tcPr>
            <w:tcW w:w="1417" w:type="dxa"/>
          </w:tcPr>
          <w:p w14:paraId="798C76E8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</w:t>
            </w:r>
          </w:p>
        </w:tc>
        <w:tc>
          <w:tcPr>
            <w:tcW w:w="2268" w:type="dxa"/>
          </w:tcPr>
          <w:p w14:paraId="1CBA9021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Adjustment: cumulative anthracycline dose, age at start of treatment, gender, radiation therapy, and the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first two principal components, and SLC28A3 (rs7853758) and UGT1A6 (rs17863783)</w:t>
            </w:r>
          </w:p>
        </w:tc>
        <w:tc>
          <w:tcPr>
            <w:tcW w:w="2268" w:type="dxa"/>
            <w:vMerge w:val="restart"/>
          </w:tcPr>
          <w:p w14:paraId="3C38008E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Tiered analysis to identify SNPs associated with ACT at p&lt; 0.01 in the discovery cohort that remained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associated in the replication cohort at p&lt; 0.05</w:t>
            </w:r>
          </w:p>
          <w:p w14:paraId="4B7A14C3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7B5A21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For SNPs not identified in the tiered analysis, p&lt; 0.005 in the combined cohort was considered suggestive evidence</w:t>
            </w:r>
          </w:p>
        </w:tc>
        <w:tc>
          <w:tcPr>
            <w:tcW w:w="1701" w:type="dxa"/>
            <w:vMerge w:val="restart"/>
          </w:tcPr>
          <w:p w14:paraId="083D5CF0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Bonferroni corrected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br/>
              <w:t>p&lt; 1.7 ×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2438" w:type="dxa"/>
            <w:vMerge w:val="restart"/>
          </w:tcPr>
          <w:p w14:paraId="35231876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ROC curve and -statistic (area under the curve, AUC) calculation</w:t>
            </w:r>
          </w:p>
        </w:tc>
        <w:tc>
          <w:tcPr>
            <w:tcW w:w="2438" w:type="dxa"/>
            <w:vMerge w:val="restart"/>
          </w:tcPr>
          <w:p w14:paraId="1E6E4654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Tested in the replication cohort (Dutch-EKZ and Canadian-CPNDS patients combined)</w:t>
            </w:r>
          </w:p>
        </w:tc>
      </w:tr>
      <w:tr w:rsidR="00866590" w:rsidRPr="00EB4D71" w14:paraId="49CAB789" w14:textId="77777777" w:rsidTr="00EB4D71">
        <w:trPr>
          <w:trHeight w:val="20"/>
        </w:trPr>
        <w:tc>
          <w:tcPr>
            <w:tcW w:w="1555" w:type="dxa"/>
            <w:vMerge/>
          </w:tcPr>
          <w:p w14:paraId="3ED701CA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596C6657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E9F0E25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</w:t>
            </w:r>
          </w:p>
        </w:tc>
        <w:tc>
          <w:tcPr>
            <w:tcW w:w="2268" w:type="dxa"/>
          </w:tcPr>
          <w:p w14:paraId="26EE628E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including multiple genetic variants and/or clinical variables were trained in the original cohort</w:t>
            </w:r>
          </w:p>
        </w:tc>
        <w:tc>
          <w:tcPr>
            <w:tcW w:w="2268" w:type="dxa"/>
            <w:vMerge/>
          </w:tcPr>
          <w:p w14:paraId="2247B582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40B007D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8" w:type="dxa"/>
            <w:vMerge/>
          </w:tcPr>
          <w:p w14:paraId="251E8118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8" w:type="dxa"/>
            <w:vMerge/>
          </w:tcPr>
          <w:p w14:paraId="1E4B4CB6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66590" w:rsidRPr="00EB4D71" w14:paraId="2707B970" w14:textId="77777777" w:rsidTr="00EB4D71">
        <w:trPr>
          <w:trHeight w:val="20"/>
        </w:trPr>
        <w:tc>
          <w:tcPr>
            <w:tcW w:w="1555" w:type="dxa"/>
          </w:tcPr>
          <w:p w14:paraId="60392189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Wang et al., JCO., 2016</w:t>
            </w:r>
          </w:p>
        </w:tc>
        <w:tc>
          <w:tcPr>
            <w:tcW w:w="1417" w:type="dxa"/>
          </w:tcPr>
          <w:p w14:paraId="6A2373ED" w14:textId="55BACA6A" w:rsidR="00866590" w:rsidRPr="00EB4D71" w:rsidRDefault="00866590" w:rsidP="005D70C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GWAS</w:t>
            </w:r>
          </w:p>
        </w:tc>
        <w:tc>
          <w:tcPr>
            <w:tcW w:w="1417" w:type="dxa"/>
          </w:tcPr>
          <w:p w14:paraId="7A0081F2" w14:textId="69895CD2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Conditional logistic regression</w:t>
            </w:r>
          </w:p>
        </w:tc>
        <w:tc>
          <w:tcPr>
            <w:tcW w:w="2268" w:type="dxa"/>
          </w:tcPr>
          <w:p w14:paraId="00861116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Matching: cancer diagnosis, year of diagnosis (± 5 years), race/ethnicity, and duration of follow-up for controls to exceed time from cancer diagnosis to cardiomyopathy for index patient case</w:t>
            </w:r>
          </w:p>
          <w:p w14:paraId="324A2952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2200EB2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Adjustment: 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cumulative ANT dose, RT exposition, sex, and age at cancer (step 1), and SNP-anthracycline interactions (Step 2)</w:t>
            </w:r>
          </w:p>
        </w:tc>
        <w:tc>
          <w:tcPr>
            <w:tcW w:w="2268" w:type="dxa"/>
          </w:tcPr>
          <w:p w14:paraId="02E0BB31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Association with cardiomyopathy: p&lt; 0.004</w:t>
            </w:r>
          </w:p>
        </w:tc>
        <w:tc>
          <w:tcPr>
            <w:tcW w:w="1701" w:type="dxa"/>
          </w:tcPr>
          <w:p w14:paraId="0279ED9E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Multiple testing correction: p&lt; 7.77 x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2438" w:type="dxa"/>
          </w:tcPr>
          <w:p w14:paraId="1A9D7D53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26DDA919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Replication on case-only design, to verify significant SNP-anthracycline interactions identified in the discovery stage</w:t>
            </w:r>
          </w:p>
          <w:p w14:paraId="20ACEF08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5ACA18" w14:textId="77777777" w:rsidR="00866590" w:rsidRPr="00EB4D71" w:rsidRDefault="0086659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Gene expression analysis on heart samples</w:t>
            </w:r>
          </w:p>
        </w:tc>
      </w:tr>
      <w:tr w:rsidR="00560630" w:rsidRPr="00EB4D71" w14:paraId="1AF390F2" w14:textId="77777777" w:rsidTr="00EB4D71">
        <w:trPr>
          <w:trHeight w:val="20"/>
        </w:trPr>
        <w:tc>
          <w:tcPr>
            <w:tcW w:w="1555" w:type="dxa"/>
          </w:tcPr>
          <w:p w14:paraId="0290BC44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Wang et al., JCO, 2014</w:t>
            </w:r>
          </w:p>
        </w:tc>
        <w:tc>
          <w:tcPr>
            <w:tcW w:w="1417" w:type="dxa"/>
          </w:tcPr>
          <w:p w14:paraId="05933B92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GWAS</w:t>
            </w:r>
          </w:p>
        </w:tc>
        <w:tc>
          <w:tcPr>
            <w:tcW w:w="1417" w:type="dxa"/>
          </w:tcPr>
          <w:p w14:paraId="7C6112B9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Conditional logistic regression</w:t>
            </w:r>
          </w:p>
        </w:tc>
        <w:tc>
          <w:tcPr>
            <w:tcW w:w="2268" w:type="dxa"/>
          </w:tcPr>
          <w:p w14:paraId="33184D5E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Matching: cancer diagnosis, year of diagnosis (± 5 years), race/ethnicity, and duration of follow-up for controls to exceed time from cancer diagnosis to cardiomyopathy for index patient case</w:t>
            </w:r>
          </w:p>
          <w:p w14:paraId="465CD7C1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2CDE153" w14:textId="3ED12A39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Adjustment: 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cumulative ANT dose, total RT </w:t>
            </w:r>
            <w:r w:rsidR="008C1759"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dose, sex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age at cancer and SNP-anthracycline interactions</w:t>
            </w:r>
          </w:p>
        </w:tc>
        <w:tc>
          <w:tcPr>
            <w:tcW w:w="2268" w:type="dxa"/>
          </w:tcPr>
          <w:p w14:paraId="5F4A21AA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Association with cardiomyopathy: p&lt; 5 x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701" w:type="dxa"/>
          </w:tcPr>
          <w:p w14:paraId="39FA61FB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Multiple testing correction p&lt; 5 x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2438" w:type="dxa"/>
          </w:tcPr>
          <w:p w14:paraId="558DB140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37D5C0A3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Replication on case-only design, to verify significant SNP-anthracycline interactions identified in the discovery stage</w:t>
            </w:r>
          </w:p>
          <w:p w14:paraId="1E4C05A2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80D837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Gene expression analysis on heart samples</w:t>
            </w:r>
          </w:p>
        </w:tc>
      </w:tr>
      <w:tr w:rsidR="008801BD" w:rsidRPr="00EB4D71" w14:paraId="70477ACE" w14:textId="77777777" w:rsidTr="00EB4D71">
        <w:trPr>
          <w:trHeight w:val="20"/>
        </w:trPr>
        <w:tc>
          <w:tcPr>
            <w:tcW w:w="1555" w:type="dxa"/>
          </w:tcPr>
          <w:p w14:paraId="662FEC0D" w14:textId="77777777" w:rsidR="008801BD" w:rsidRPr="00EB4D71" w:rsidRDefault="008801BD" w:rsidP="00395C83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Wang et al., JCO, 2022</w:t>
            </w:r>
          </w:p>
        </w:tc>
        <w:tc>
          <w:tcPr>
            <w:tcW w:w="1417" w:type="dxa"/>
          </w:tcPr>
          <w:p w14:paraId="577F8AA9" w14:textId="77777777" w:rsidR="008801BD" w:rsidRPr="00EB4D71" w:rsidRDefault="008801BD" w:rsidP="00395C83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GWAS</w:t>
            </w:r>
          </w:p>
        </w:tc>
        <w:tc>
          <w:tcPr>
            <w:tcW w:w="1417" w:type="dxa"/>
          </w:tcPr>
          <w:p w14:paraId="52F74A5D" w14:textId="77777777" w:rsidR="008801BD" w:rsidRPr="00EB4D71" w:rsidRDefault="008801BD" w:rsidP="00395C83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Cox regression </w:t>
            </w:r>
          </w:p>
        </w:tc>
        <w:tc>
          <w:tcPr>
            <w:tcW w:w="2268" w:type="dxa"/>
          </w:tcPr>
          <w:p w14:paraId="73ECAADF" w14:textId="1078A484" w:rsidR="008801BD" w:rsidRPr="00EB4D71" w:rsidRDefault="008801BD" w:rsidP="00395C83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Adjustment: 10 genotype-based principal components, age at diagnosis of primary cancer, sex, chest radiation, anthracycline dose, and presence of cardiovascular risk factors (and SNP-anthracycline interactions for step 2)</w:t>
            </w:r>
          </w:p>
        </w:tc>
        <w:tc>
          <w:tcPr>
            <w:tcW w:w="2268" w:type="dxa"/>
          </w:tcPr>
          <w:p w14:paraId="59642C17" w14:textId="70949DDA" w:rsidR="008801BD" w:rsidRPr="00EB4D71" w:rsidRDefault="008801BD" w:rsidP="00395C83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Gene associated with cardiotoxicity at p</w:t>
            </w:r>
            <w:r w:rsidR="00301CC2" w:rsidRPr="00EB4D71">
              <w:rPr>
                <w:rFonts w:asciiTheme="minorHAnsi" w:hAnsiTheme="minorHAnsi" w:cstheme="minorHAnsi"/>
                <w:sz w:val="18"/>
                <w:szCs w:val="18"/>
              </w:rPr>
              <w:t>≤ 5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x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701" w:type="dxa"/>
          </w:tcPr>
          <w:p w14:paraId="72FC4A97" w14:textId="77777777" w:rsidR="008801BD" w:rsidRPr="00EB4D71" w:rsidRDefault="008801BD" w:rsidP="00395C83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53C673B2" w14:textId="77777777" w:rsidR="008801BD" w:rsidRPr="00EB4D71" w:rsidRDefault="008801BD" w:rsidP="00395C83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7F5162C7" w14:textId="77777777" w:rsidR="008801BD" w:rsidRPr="00EB4D71" w:rsidRDefault="008801BD" w:rsidP="00395C83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Replication on matched case-control design to verify significant SNP and SNP-anthracycline interactions identified in the discovery stage</w:t>
            </w:r>
          </w:p>
        </w:tc>
      </w:tr>
      <w:tr w:rsidR="00697164" w:rsidRPr="00EB4D71" w14:paraId="29645C7F" w14:textId="77777777" w:rsidTr="00EB4D71">
        <w:trPr>
          <w:trHeight w:val="20"/>
        </w:trPr>
        <w:tc>
          <w:tcPr>
            <w:tcW w:w="1555" w:type="dxa"/>
          </w:tcPr>
          <w:p w14:paraId="7C38CEE8" w14:textId="77777777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Visscher et al., JCO, 2012</w:t>
            </w:r>
          </w:p>
        </w:tc>
        <w:tc>
          <w:tcPr>
            <w:tcW w:w="1417" w:type="dxa"/>
          </w:tcPr>
          <w:p w14:paraId="4DB83E46" w14:textId="201FEE29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GWAS</w:t>
            </w:r>
          </w:p>
        </w:tc>
        <w:tc>
          <w:tcPr>
            <w:tcW w:w="1417" w:type="dxa"/>
          </w:tcPr>
          <w:p w14:paraId="2A66825C" w14:textId="524F77EA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</w:t>
            </w:r>
          </w:p>
        </w:tc>
        <w:tc>
          <w:tcPr>
            <w:tcW w:w="2268" w:type="dxa"/>
          </w:tcPr>
          <w:p w14:paraId="39A3C270" w14:textId="67E2B5E0" w:rsidR="00007A83" w:rsidRPr="00EB4D71" w:rsidRDefault="009923B9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Adjustment:</w:t>
            </w:r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Cumulative dose, age, sex, and radiation </w:t>
            </w:r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therapy to the heart included as covariates as well as the first two principal compon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>ents assuming an additive model</w:t>
            </w:r>
          </w:p>
        </w:tc>
        <w:tc>
          <w:tcPr>
            <w:tcW w:w="2268" w:type="dxa"/>
          </w:tcPr>
          <w:p w14:paraId="0AEE1653" w14:textId="56938930" w:rsidR="00007A83" w:rsidRPr="00EB4D71" w:rsidRDefault="001C2E09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T</w:t>
            </w:r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iered single-marker analysis to identify variants </w:t>
            </w:r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associated with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ACT in the discovery cohort (p</w:t>
            </w:r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t>&lt;</w:t>
            </w:r>
            <w:r w:rsidR="00A05058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.01) that remained associated in the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Canadian replication cohort (p</w:t>
            </w:r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&lt;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>.01)</w:t>
            </w:r>
          </w:p>
          <w:p w14:paraId="6ADB1BEE" w14:textId="77777777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5CA89F" w14:textId="2596AE03" w:rsidR="00007A83" w:rsidRPr="00EB4D71" w:rsidRDefault="00007A83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Using </w:t>
            </w:r>
            <w:r w:rsidR="00301CC2" w:rsidRPr="00EB4D71">
              <w:rPr>
                <w:rFonts w:asciiTheme="minorHAnsi" w:hAnsiTheme="minorHAnsi" w:cstheme="minorHAnsi"/>
                <w:sz w:val="18"/>
                <w:szCs w:val="18"/>
              </w:rPr>
              <w:t>stepwise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logistic regression with forward selection including covariat</w:t>
            </w:r>
            <w:r w:rsidR="00A05058" w:rsidRPr="00EB4D71">
              <w:rPr>
                <w:rFonts w:asciiTheme="minorHAnsi" w:hAnsiTheme="minorHAnsi" w:cstheme="minorHAnsi"/>
                <w:sz w:val="18"/>
                <w:szCs w:val="18"/>
              </w:rPr>
              <w:t>es, SNPs were retained with p&lt; 0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>01 in the final multi-SNP model</w:t>
            </w:r>
          </w:p>
        </w:tc>
        <w:tc>
          <w:tcPr>
            <w:tcW w:w="1701" w:type="dxa"/>
          </w:tcPr>
          <w:p w14:paraId="60BDBD51" w14:textId="0712FBDF" w:rsidR="00007A83" w:rsidRPr="00EB4D71" w:rsidRDefault="00007A83" w:rsidP="00A0505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The overall significance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threshold accounting for multiple testing was calculated at 1.5 </w:t>
            </w:r>
            <w:r w:rsidR="00A05058" w:rsidRPr="00EB4D71">
              <w:rPr>
                <w:rFonts w:asciiTheme="minorHAnsi" w:hAnsiTheme="minorHAnsi" w:cstheme="minorHAnsi"/>
                <w:sz w:val="18"/>
                <w:szCs w:val="18"/>
              </w:rPr>
              <w:t>x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-4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using the </w:t>
            </w:r>
            <w:proofErr w:type="spellStart"/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>simpleM</w:t>
            </w:r>
            <w:proofErr w:type="spellEnd"/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correction</w:t>
            </w:r>
          </w:p>
        </w:tc>
        <w:tc>
          <w:tcPr>
            <w:tcW w:w="2438" w:type="dxa"/>
          </w:tcPr>
          <w:p w14:paraId="6A14B94B" w14:textId="03DF8A50" w:rsidR="00007A83" w:rsidRPr="00EB4D71" w:rsidRDefault="00711C1D" w:rsidP="00A0505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ROC</w:t>
            </w:r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analysis was performed for each sample from the </w:t>
            </w:r>
            <w:proofErr w:type="spellStart"/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multimarker</w:t>
            </w:r>
            <w:proofErr w:type="spellEnd"/>
            <w:r w:rsidR="00007A83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regression model. </w:t>
            </w:r>
          </w:p>
        </w:tc>
        <w:tc>
          <w:tcPr>
            <w:tcW w:w="2438" w:type="dxa"/>
          </w:tcPr>
          <w:p w14:paraId="28DC4783" w14:textId="79F43473" w:rsidR="00007A83" w:rsidRPr="00EB4D71" w:rsidRDefault="00007A83" w:rsidP="005D70C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The top SNP was further evaluated in the Dutch-EKZ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cohort and in all three</w:t>
            </w:r>
            <w:r w:rsidR="00A05058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cohorts combined. SNPs with p&lt;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05058" w:rsidRPr="00EB4D71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.01 in the single-SNP test for the combined Canadian cohort were considered for potential inclusion in a </w:t>
            </w:r>
            <w:proofErr w:type="spellStart"/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mu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>ltimarker</w:t>
            </w:r>
            <w:proofErr w:type="spellEnd"/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risk prediction model</w:t>
            </w:r>
          </w:p>
        </w:tc>
      </w:tr>
      <w:tr w:rsidR="00697164" w:rsidRPr="00EB4D71" w14:paraId="6D2AB84D" w14:textId="77777777" w:rsidTr="00EB4D71">
        <w:trPr>
          <w:trHeight w:val="20"/>
        </w:trPr>
        <w:tc>
          <w:tcPr>
            <w:tcW w:w="1555" w:type="dxa"/>
          </w:tcPr>
          <w:p w14:paraId="09073FC3" w14:textId="795455AF" w:rsidR="00004674" w:rsidRPr="008C1759" w:rsidRDefault="00004674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8C1759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lastRenderedPageBreak/>
              <w:t>Chaix et al</w:t>
            </w:r>
            <w:r w:rsidR="00301CC2" w:rsidRPr="008C1759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., JACC</w:t>
            </w:r>
            <w:r w:rsidRPr="008C1759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 xml:space="preserve"> : </w:t>
            </w:r>
            <w:proofErr w:type="spellStart"/>
            <w:r w:rsidRPr="008C1759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Cardiooncology</w:t>
            </w:r>
            <w:proofErr w:type="spellEnd"/>
            <w:r w:rsidRPr="008C1759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, 2020</w:t>
            </w:r>
          </w:p>
        </w:tc>
        <w:tc>
          <w:tcPr>
            <w:tcW w:w="1417" w:type="dxa"/>
          </w:tcPr>
          <w:p w14:paraId="3434D2ED" w14:textId="07E1E218" w:rsidR="00004674" w:rsidRPr="00EB4D71" w:rsidRDefault="004331C0" w:rsidP="004331C0">
            <w:pPr>
              <w:rPr>
                <w:rFonts w:asciiTheme="minorHAnsi" w:hAnsiTheme="minorHAnsi"/>
                <w:lang w:eastAsia="de-DE" w:bidi="en-US"/>
              </w:rPr>
            </w:pPr>
            <w:r w:rsidRPr="00EB4D71">
              <w:rPr>
                <w:rFonts w:asciiTheme="minorHAnsi" w:hAnsiTheme="minorHAnsi"/>
                <w:lang w:eastAsia="de-DE" w:bidi="en-US"/>
              </w:rPr>
              <w:t>W</w:t>
            </w:r>
            <w:r w:rsidR="00BA511F" w:rsidRPr="00EB4D71">
              <w:rPr>
                <w:rFonts w:asciiTheme="minorHAnsi" w:hAnsiTheme="minorHAnsi"/>
                <w:lang w:eastAsia="de-DE" w:bidi="en-US"/>
              </w:rPr>
              <w:t>ES</w:t>
            </w:r>
          </w:p>
        </w:tc>
        <w:tc>
          <w:tcPr>
            <w:tcW w:w="1417" w:type="dxa"/>
          </w:tcPr>
          <w:p w14:paraId="23AB5951" w14:textId="77777777" w:rsidR="00004674" w:rsidRPr="00EB4D71" w:rsidRDefault="00886E24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Burden CMC. SKAT. SKAT-O</w:t>
            </w:r>
            <w:r w:rsidR="00621A8F" w:rsidRPr="00EB4D7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F8E4DFE" w14:textId="77777777" w:rsidR="00621A8F" w:rsidRPr="00EB4D71" w:rsidRDefault="00621A8F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625C8B8" w14:textId="46C5AAC1" w:rsidR="00621A8F" w:rsidRPr="00EB4D71" w:rsidRDefault="00621A8F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Logistic regression </w:t>
            </w:r>
            <w:r w:rsidR="00265E27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for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associated genes</w:t>
            </w:r>
          </w:p>
        </w:tc>
        <w:tc>
          <w:tcPr>
            <w:tcW w:w="2268" w:type="dxa"/>
          </w:tcPr>
          <w:p w14:paraId="2292337B" w14:textId="2F625AD7" w:rsidR="00004674" w:rsidRPr="00EB4D71" w:rsidRDefault="009923B9" w:rsidP="00CB1566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Adjustment:</w:t>
            </w:r>
            <w:r w:rsidR="00886E24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sex, cancer diagnosis,</w:t>
            </w:r>
            <w:r w:rsidR="00AE18C3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6E24" w:rsidRPr="00EB4D71">
              <w:rPr>
                <w:rFonts w:asciiTheme="minorHAnsi" w:hAnsiTheme="minorHAnsi" w:cstheme="minorHAnsi"/>
                <w:sz w:val="18"/>
                <w:szCs w:val="18"/>
              </w:rPr>
              <w:t>age at the start of anthracycline, use of dexrazoxane, chest radiation, duration of follow-up from first anthracycline dose, and the first 2 principal component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>s inferring ethnicity</w:t>
            </w:r>
          </w:p>
        </w:tc>
        <w:tc>
          <w:tcPr>
            <w:tcW w:w="2268" w:type="dxa"/>
          </w:tcPr>
          <w:p w14:paraId="5DCDBA3E" w14:textId="07A24A4A" w:rsidR="00004674" w:rsidRPr="00EB4D71" w:rsidRDefault="00621A8F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Gene association with cardiotoxicity p&lt; 0.001 by at least 2 gene-collapsing methods and genes in biologically relevant pathways with an association of p&lt; 0.001 by at least 1 method</w:t>
            </w:r>
          </w:p>
        </w:tc>
        <w:tc>
          <w:tcPr>
            <w:tcW w:w="1701" w:type="dxa"/>
          </w:tcPr>
          <w:p w14:paraId="386EBE15" w14:textId="794112CD" w:rsidR="00004674" w:rsidRPr="00EB4D71" w:rsidRDefault="00621A8F" w:rsidP="00621A8F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Bonferroni correction: p&lt; 2.87 x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2438" w:type="dxa"/>
          </w:tcPr>
          <w:p w14:paraId="23A98A9E" w14:textId="77777777" w:rsidR="001E5D2D" w:rsidRPr="00EB4D71" w:rsidRDefault="001E5D2D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Random forest model on the discovery cohort.</w:t>
            </w:r>
          </w:p>
          <w:p w14:paraId="0B7EF224" w14:textId="58683A93" w:rsidR="00004674" w:rsidRPr="00EB4D71" w:rsidRDefault="001E5D2D" w:rsidP="00B234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ROC AUC, sensitivity, specificity, positive predictive value,</w:t>
            </w:r>
            <w:r w:rsidR="00E50091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negative predictive value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, false positive rate, false negative rate and mi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>sclassification rate calculation</w:t>
            </w:r>
          </w:p>
        </w:tc>
        <w:tc>
          <w:tcPr>
            <w:tcW w:w="2438" w:type="dxa"/>
          </w:tcPr>
          <w:p w14:paraId="201BFFA2" w14:textId="7C5D2CCC" w:rsidR="00004674" w:rsidRPr="00EB4D71" w:rsidRDefault="001E5D2D" w:rsidP="001E5D2D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Replication on 1:1 propensity-matched case-control design, comprising a subset of patients with recent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enrollment in the PCS2 study</w:t>
            </w:r>
          </w:p>
        </w:tc>
      </w:tr>
      <w:tr w:rsidR="00EB4D71" w:rsidRPr="00EB4D71" w14:paraId="51799DD0" w14:textId="77777777" w:rsidTr="00EB4D71">
        <w:trPr>
          <w:trHeight w:val="20"/>
        </w:trPr>
        <w:tc>
          <w:tcPr>
            <w:tcW w:w="1555" w:type="dxa"/>
          </w:tcPr>
          <w:p w14:paraId="6F0A380C" w14:textId="32966766" w:rsidR="00EB4D71" w:rsidRPr="00301CC2" w:rsidRDefault="00EB4D71" w:rsidP="00EB4D71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301CC2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Sharafeldin</w:t>
            </w:r>
            <w:proofErr w:type="spellEnd"/>
            <w:r w:rsidRPr="00301CC2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et al., JACC: </w:t>
            </w:r>
            <w:proofErr w:type="spellStart"/>
            <w:r w:rsidRPr="00301CC2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Cardiooncology</w:t>
            </w:r>
            <w:proofErr w:type="spellEnd"/>
            <w:r w:rsidRPr="00301CC2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, 2023</w:t>
            </w:r>
          </w:p>
        </w:tc>
        <w:tc>
          <w:tcPr>
            <w:tcW w:w="1417" w:type="dxa"/>
          </w:tcPr>
          <w:p w14:paraId="7615137A" w14:textId="56153536" w:rsidR="00EB4D71" w:rsidRPr="00301CC2" w:rsidRDefault="00EB4D71" w:rsidP="004331C0">
            <w:pPr>
              <w:rPr>
                <w:rFonts w:asciiTheme="minorHAnsi" w:hAnsiTheme="minorHAnsi"/>
                <w:lang w:eastAsia="de-DE" w:bidi="en-US"/>
              </w:rPr>
            </w:pPr>
            <w:r w:rsidRPr="00301CC2">
              <w:rPr>
                <w:rFonts w:asciiTheme="minorHAnsi" w:hAnsiTheme="minorHAnsi"/>
                <w:lang w:eastAsia="de-DE" w:bidi="en-US"/>
              </w:rPr>
              <w:t>WES</w:t>
            </w:r>
          </w:p>
        </w:tc>
        <w:tc>
          <w:tcPr>
            <w:tcW w:w="1417" w:type="dxa"/>
          </w:tcPr>
          <w:p w14:paraId="2199178C" w14:textId="02829549" w:rsidR="00EB4D71" w:rsidRPr="00301CC2" w:rsidRDefault="00EB4D71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Ordinal logistic regression</w:t>
            </w:r>
          </w:p>
        </w:tc>
        <w:tc>
          <w:tcPr>
            <w:tcW w:w="2268" w:type="dxa"/>
          </w:tcPr>
          <w:p w14:paraId="1537E3D7" w14:textId="77777777" w:rsidR="00EB4D71" w:rsidRPr="00301CC2" w:rsidRDefault="00EB4D71" w:rsidP="00EB4D71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Matching: cancer diagnosis, year of diagnosis (±10 years), race/ethnicity, and duration of cardiomyopathy-free follow-up equal to or greater than the case.</w:t>
            </w:r>
          </w:p>
          <w:p w14:paraId="1C2C7039" w14:textId="77777777" w:rsidR="00EB4D71" w:rsidRPr="00301CC2" w:rsidRDefault="00EB4D71" w:rsidP="00EB4D71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2922D0" w14:textId="5BE08ED6" w:rsidR="00EB4D71" w:rsidRPr="00301CC2" w:rsidRDefault="00301CC2" w:rsidP="00EB4D71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Adjustment</w:t>
            </w:r>
            <w:r w:rsidR="00EB4D71" w:rsidRPr="00301CC2">
              <w:rPr>
                <w:rFonts w:asciiTheme="minorHAnsi" w:hAnsiTheme="minorHAnsi" w:cstheme="minorHAnsi"/>
                <w:sz w:val="18"/>
                <w:szCs w:val="18"/>
              </w:rPr>
              <w:t>: cumulative anthracycline dose, chest radiation, cardiovascular risk factors (yes/no), cancer diagnosis, age at cancer diagnosis, sex, race/ethnicity, and 3 principal components.</w:t>
            </w:r>
          </w:p>
        </w:tc>
        <w:tc>
          <w:tcPr>
            <w:tcW w:w="2268" w:type="dxa"/>
          </w:tcPr>
          <w:p w14:paraId="20EEE96D" w14:textId="7F012023" w:rsidR="00531EEA" w:rsidRPr="00301CC2" w:rsidRDefault="00531EEA" w:rsidP="00531EEA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Identification of</w:t>
            </w:r>
            <w:r w:rsidR="00EB4D71" w:rsidRPr="00301CC2">
              <w:rPr>
                <w:rFonts w:asciiTheme="minorHAnsi" w:hAnsiTheme="minorHAnsi" w:cstheme="minorHAnsi"/>
                <w:sz w:val="18"/>
                <w:szCs w:val="18"/>
              </w:rPr>
              <w:t xml:space="preserve"> gene-level SNP–SNP interactions</w:t>
            </w: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 xml:space="preserve"> using logic regression based on a logit link and a random seed. Optimal model size was derived using 10-fold cross-validation up to a maximum size of 2 trees and 5 leaves/tree. The best solution based on a lower deviance was selected as the final model producing the gene-level SNP set.</w:t>
            </w:r>
          </w:p>
          <w:p w14:paraId="0A294DF2" w14:textId="015DD6E3" w:rsidR="00EB4D71" w:rsidRPr="00301CC2" w:rsidRDefault="00531EEA" w:rsidP="00531EEA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The logic regression searches for Boolean combinations (AND, OR, and NOT) of binary indicators (</w:t>
            </w:r>
            <w:r w:rsidR="00301CC2" w:rsidRPr="00301CC2">
              <w:rPr>
                <w:rFonts w:asciiTheme="minorHAnsi" w:hAnsiTheme="minorHAnsi" w:cstheme="minorHAnsi"/>
                <w:sz w:val="18"/>
                <w:szCs w:val="18"/>
              </w:rPr>
              <w:t>i.e.</w:t>
            </w: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, SNPs) within each set (</w:t>
            </w:r>
            <w:r w:rsidR="00301CC2" w:rsidRPr="00301CC2">
              <w:rPr>
                <w:rFonts w:asciiTheme="minorHAnsi" w:hAnsiTheme="minorHAnsi" w:cstheme="minorHAnsi"/>
                <w:sz w:val="18"/>
                <w:szCs w:val="18"/>
              </w:rPr>
              <w:t>i.e.</w:t>
            </w: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 xml:space="preserve">, gene). The binary indicators of SNPs are obtained by creating 2 dummy variables for the heterozygous and homozygous variant genotypes. </w:t>
            </w:r>
          </w:p>
        </w:tc>
        <w:tc>
          <w:tcPr>
            <w:tcW w:w="1701" w:type="dxa"/>
          </w:tcPr>
          <w:p w14:paraId="6DA00238" w14:textId="41A41FE2" w:rsidR="00EB4D71" w:rsidRPr="00301CC2" w:rsidRDefault="006E3FA7" w:rsidP="006E3FA7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color w:val="000000" w:themeColor="text1"/>
                <w:sz w:val="18"/>
              </w:rPr>
              <w:t>Bonferroni correction: p&lt; 6.93 x 10</w:t>
            </w:r>
            <w:r w:rsidRPr="00301CC2">
              <w:rPr>
                <w:rFonts w:asciiTheme="minorHAnsi" w:hAnsiTheme="minorHAnsi" w:cstheme="minorHAnsi"/>
                <w:color w:val="000000" w:themeColor="text1"/>
                <w:sz w:val="18"/>
                <w:vertAlign w:val="superscript"/>
              </w:rPr>
              <w:t>-6</w:t>
            </w:r>
          </w:p>
        </w:tc>
        <w:tc>
          <w:tcPr>
            <w:tcW w:w="2438" w:type="dxa"/>
          </w:tcPr>
          <w:p w14:paraId="2E821F39" w14:textId="7C63B4E6" w:rsidR="00EB4D71" w:rsidRPr="00301CC2" w:rsidRDefault="000B5DFE" w:rsidP="004B71C8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240E8481" w14:textId="6BAB6AFE" w:rsidR="000B5DFE" w:rsidRPr="00301CC2" w:rsidRDefault="000B5DFE" w:rsidP="000B5DF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 xml:space="preserve">Replication set 1: nonoverlapping cases (n = 32) and matched control subjects (n = 173), enrolled in the COG study ALTE03N1 following the enrollment of the discovery </w:t>
            </w:r>
            <w:r w:rsidR="00301CC2" w:rsidRPr="00301CC2">
              <w:rPr>
                <w:rFonts w:asciiTheme="minorHAnsi" w:hAnsiTheme="minorHAnsi" w:cstheme="minorHAnsi"/>
                <w:sz w:val="18"/>
                <w:szCs w:val="18"/>
              </w:rPr>
              <w:t>set.</w:t>
            </w:r>
          </w:p>
          <w:p w14:paraId="5BFE0421" w14:textId="77777777" w:rsidR="000B5DFE" w:rsidRPr="00301CC2" w:rsidRDefault="000B5DFE" w:rsidP="000B5DF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FF26CB" w14:textId="3C46B8E6" w:rsidR="000B5DFE" w:rsidRPr="00301CC2" w:rsidRDefault="000B5DFE" w:rsidP="000B5DF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 xml:space="preserve">Replication set 2: from the BMTSS. Cases (n = 135) </w:t>
            </w:r>
            <w:r w:rsidR="001546F3" w:rsidRPr="00301CC2">
              <w:rPr>
                <w:rFonts w:asciiTheme="minorHAnsi" w:hAnsiTheme="minorHAnsi" w:cstheme="minorHAnsi"/>
                <w:sz w:val="18"/>
                <w:szCs w:val="18"/>
              </w:rPr>
              <w:t xml:space="preserve">were </w:t>
            </w: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diagnos</w:t>
            </w:r>
            <w:r w:rsidR="001546F3" w:rsidRPr="00301CC2">
              <w:rPr>
                <w:rFonts w:asciiTheme="minorHAnsi" w:hAnsiTheme="minorHAnsi" w:cstheme="minorHAnsi"/>
                <w:sz w:val="18"/>
                <w:szCs w:val="18"/>
              </w:rPr>
              <w:t>ed</w:t>
            </w: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 xml:space="preserve"> with heart failure (HF). Control s (n = 262) were matched on (≤2 per case) on race/ethnicity, type of transplant, cancer diagnosis, year of cancer diagnosis, and duration of cardiomyopathy-free follow-up (equal to or greater than the matched case).</w:t>
            </w:r>
          </w:p>
          <w:p w14:paraId="5C8A1C85" w14:textId="77777777" w:rsidR="000B5DFE" w:rsidRPr="00301CC2" w:rsidRDefault="000B5DFE" w:rsidP="000B5DF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F4915E" w14:textId="39FD97A2" w:rsidR="001546F3" w:rsidRPr="00EB4D71" w:rsidRDefault="001546F3" w:rsidP="001546F3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01CC2">
              <w:rPr>
                <w:rFonts w:asciiTheme="minorHAnsi" w:hAnsiTheme="minorHAnsi" w:cstheme="minorHAnsi"/>
                <w:sz w:val="18"/>
                <w:szCs w:val="18"/>
              </w:rPr>
              <w:t>Replication set 3: a cohort of 5,589 non-Hispanic White participants from the CCSS. Cases (n=229) were diagnosed with grade ≥3 HF.</w:t>
            </w:r>
          </w:p>
        </w:tc>
      </w:tr>
      <w:tr w:rsidR="00560630" w:rsidRPr="00EB4D71" w14:paraId="37CE82FE" w14:textId="77777777" w:rsidTr="00EB4D71">
        <w:trPr>
          <w:trHeight w:val="1563"/>
        </w:trPr>
        <w:tc>
          <w:tcPr>
            <w:tcW w:w="1555" w:type="dxa"/>
          </w:tcPr>
          <w:p w14:paraId="4D89FCC5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Krajinovic</w:t>
            </w:r>
            <w:proofErr w:type="spellEnd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et al., The Pharmacogenomics Journal, 2016</w:t>
            </w:r>
          </w:p>
        </w:tc>
        <w:tc>
          <w:tcPr>
            <w:tcW w:w="1417" w:type="dxa"/>
          </w:tcPr>
          <w:p w14:paraId="41B2FB71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Style w:val="Emphasis"/>
                <w:sz w:val="18"/>
              </w:rPr>
            </w:pPr>
            <w:r w:rsidRPr="00EB4D71">
              <w:rPr>
                <w:rStyle w:val="Emphasis"/>
                <w:sz w:val="18"/>
              </w:rPr>
              <w:t>Candidate gene</w:t>
            </w:r>
          </w:p>
        </w:tc>
        <w:tc>
          <w:tcPr>
            <w:tcW w:w="1417" w:type="dxa"/>
          </w:tcPr>
          <w:p w14:paraId="0A64EAC8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Analysis of variance or t-test</w:t>
            </w:r>
          </w:p>
        </w:tc>
        <w:tc>
          <w:tcPr>
            <w:tcW w:w="2268" w:type="dxa"/>
          </w:tcPr>
          <w:p w14:paraId="5C8FAE21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268" w:type="dxa"/>
          </w:tcPr>
          <w:p w14:paraId="0F182007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Either an association sustained multiple testing correction (FDR ≤0.05) with at least one of the tested parameters, or association was preferentially seen in high-risk patients who received higher cumulative doxorubicin doses</w:t>
            </w:r>
          </w:p>
        </w:tc>
        <w:tc>
          <w:tcPr>
            <w:tcW w:w="1701" w:type="dxa"/>
          </w:tcPr>
          <w:p w14:paraId="2B915F92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multiple testing correction (FDR ≤0.05)</w:t>
            </w:r>
          </w:p>
        </w:tc>
        <w:tc>
          <w:tcPr>
            <w:tcW w:w="2438" w:type="dxa"/>
          </w:tcPr>
          <w:p w14:paraId="030C3245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4EE81084" w14:textId="288D07DB" w:rsidR="00560630" w:rsidRPr="00EB4D71" w:rsidRDefault="00560630" w:rsidP="005D70C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Findings were validated in set of 44 ALL patients who underwent treatment with DFCI 95-01 protocol</w:t>
            </w:r>
          </w:p>
        </w:tc>
      </w:tr>
      <w:tr w:rsidR="00560630" w:rsidRPr="00EB4D71" w14:paraId="46E2D58D" w14:textId="77777777" w:rsidTr="00EB4D71">
        <w:trPr>
          <w:trHeight w:val="20"/>
        </w:trPr>
        <w:tc>
          <w:tcPr>
            <w:tcW w:w="1555" w:type="dxa"/>
          </w:tcPr>
          <w:p w14:paraId="079F4C20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Semsei A et al., Cell Biol. Int, 2012</w:t>
            </w:r>
          </w:p>
        </w:tc>
        <w:tc>
          <w:tcPr>
            <w:tcW w:w="1417" w:type="dxa"/>
          </w:tcPr>
          <w:p w14:paraId="05381C01" w14:textId="77777777" w:rsidR="00560630" w:rsidRPr="00EB4D71" w:rsidRDefault="00560630" w:rsidP="003E21B2">
            <w:pPr>
              <w:pStyle w:val="MDPI42tablebody"/>
              <w:rPr>
                <w:rStyle w:val="Emphasis"/>
                <w:sz w:val="18"/>
              </w:rPr>
            </w:pPr>
            <w:r w:rsidRPr="00EB4D71">
              <w:rPr>
                <w:rStyle w:val="Emphasis"/>
                <w:sz w:val="18"/>
              </w:rPr>
              <w:t>Candidate gene</w:t>
            </w:r>
          </w:p>
          <w:p w14:paraId="54970490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096FCFA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Linear regression</w:t>
            </w:r>
          </w:p>
        </w:tc>
        <w:tc>
          <w:tcPr>
            <w:tcW w:w="2268" w:type="dxa"/>
          </w:tcPr>
          <w:p w14:paraId="7B73D58A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Adjustment: 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Gender, age at diagnosis, clinical centre, total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br/>
              <w:t>anthracyclines dose, dexrazoxane, chemotherapy protocol.</w:t>
            </w:r>
          </w:p>
        </w:tc>
        <w:tc>
          <w:tcPr>
            <w:tcW w:w="2268" w:type="dxa"/>
          </w:tcPr>
          <w:p w14:paraId="25D3FD5B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Gene association with LVFS p&lt; 0.005</w:t>
            </w:r>
          </w:p>
        </w:tc>
        <w:tc>
          <w:tcPr>
            <w:tcW w:w="1701" w:type="dxa"/>
          </w:tcPr>
          <w:p w14:paraId="50AB4707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Bonferroni correction p&lt; 0.005</w:t>
            </w:r>
          </w:p>
        </w:tc>
        <w:tc>
          <w:tcPr>
            <w:tcW w:w="2438" w:type="dxa"/>
          </w:tcPr>
          <w:p w14:paraId="55D0AF82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41E9F182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560630" w:rsidRPr="00EB4D71" w14:paraId="29396B96" w14:textId="77777777" w:rsidTr="00EB4D71">
        <w:trPr>
          <w:trHeight w:val="20"/>
        </w:trPr>
        <w:tc>
          <w:tcPr>
            <w:tcW w:w="1555" w:type="dxa"/>
          </w:tcPr>
          <w:p w14:paraId="07276D73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Lipshultz</w:t>
            </w:r>
            <w:proofErr w:type="spellEnd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 et al., Cancer. 2013</w:t>
            </w:r>
          </w:p>
        </w:tc>
        <w:tc>
          <w:tcPr>
            <w:tcW w:w="1417" w:type="dxa"/>
          </w:tcPr>
          <w:p w14:paraId="0E9E857C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Candidate gene</w:t>
            </w:r>
          </w:p>
        </w:tc>
        <w:tc>
          <w:tcPr>
            <w:tcW w:w="1417" w:type="dxa"/>
          </w:tcPr>
          <w:p w14:paraId="72739C11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t-tests or Wilcoxon rank-sum tests</w:t>
            </w:r>
          </w:p>
        </w:tc>
        <w:tc>
          <w:tcPr>
            <w:tcW w:w="2268" w:type="dxa"/>
          </w:tcPr>
          <w:p w14:paraId="583736F4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The Z-scores for LV mass, LV end-systolic and end diastolic posterior wall thicknesses, and LV dimensions were adjusted for body-surface area, and Z-scores for LV fractional shortening were adjusted for age at echocardiography.</w:t>
            </w:r>
          </w:p>
        </w:tc>
        <w:tc>
          <w:tcPr>
            <w:tcW w:w="2268" w:type="dxa"/>
          </w:tcPr>
          <w:p w14:paraId="5944155E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0.05</w:t>
            </w:r>
          </w:p>
        </w:tc>
        <w:tc>
          <w:tcPr>
            <w:tcW w:w="1701" w:type="dxa"/>
          </w:tcPr>
          <w:p w14:paraId="23F4921D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789629A4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33C860E1" w14:textId="77777777" w:rsidR="00560630" w:rsidRPr="00EB4D71" w:rsidRDefault="00560630" w:rsidP="003E21B2">
            <w:pPr>
              <w:pStyle w:val="MDPI42tablebody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</w:tr>
      <w:tr w:rsidR="00560630" w:rsidRPr="00EB4D71" w14:paraId="5A37BF3F" w14:textId="77777777" w:rsidTr="00EB4D71">
        <w:trPr>
          <w:trHeight w:val="1273"/>
        </w:trPr>
        <w:tc>
          <w:tcPr>
            <w:tcW w:w="1555" w:type="dxa"/>
            <w:tcBorders>
              <w:bottom w:val="single" w:sz="4" w:space="0" w:color="auto"/>
            </w:tcBorders>
          </w:tcPr>
          <w:p w14:paraId="02EB6DBB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Petrykey</w:t>
            </w:r>
            <w:proofErr w:type="spellEnd"/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et al., Pharmacogenomics, 2021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CDD57BB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WES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27B6EA2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Wald statistic and linear regression for common variants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503B8F" w14:textId="77777777" w:rsidR="00560630" w:rsidRPr="00EB4D71" w:rsidRDefault="00560630" w:rsidP="003E21B2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Adjustment: age at the time of diagnosis, time since the end of treatment; sex; treatment protocol; and a risk-treatment scores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09966C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Common variants in genes involved in cardiac system functioning </w:t>
            </w:r>
            <w:r w:rsidRPr="00EB4D7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br/>
            </w:r>
            <w:r w:rsidRPr="00EB4D71">
              <w:rPr>
                <w:rFonts w:asciiTheme="minorHAnsi" w:hAnsiTheme="minorHAnsi" w:cstheme="minorHAnsi"/>
                <w:iCs/>
                <w:sz w:val="18"/>
                <w:szCs w:val="18"/>
              </w:rPr>
              <w:t>p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&lt; 0.0006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BDC6CED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Benjamini–Hochberg procedure for FDR was p&lt; 0.05 </w:t>
            </w:r>
          </w:p>
          <w:p w14:paraId="424B82B6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E245F3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Bonferroni p-value corrected p &lt; 0.0006 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4A26035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4519E6E" w14:textId="77777777" w:rsidR="00560630" w:rsidRPr="00EB4D71" w:rsidRDefault="00560630" w:rsidP="003E21B2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Analyses of top-ranking rare variants in ALL survivors of European ancestry enrolled in the SJLIFE cohort</w:t>
            </w:r>
          </w:p>
        </w:tc>
      </w:tr>
      <w:tr w:rsidR="002A61DB" w:rsidRPr="00EB4D71" w14:paraId="0ED09105" w14:textId="77777777" w:rsidTr="00EB4D71">
        <w:trPr>
          <w:trHeight w:val="20"/>
        </w:trPr>
        <w:tc>
          <w:tcPr>
            <w:tcW w:w="1555" w:type="dxa"/>
            <w:vMerge w:val="restart"/>
          </w:tcPr>
          <w:p w14:paraId="528835A2" w14:textId="3B283385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Sapkota et al., </w:t>
            </w:r>
            <w:r w:rsidR="00301CC2"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JNCI,</w:t>
            </w: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2022</w:t>
            </w:r>
          </w:p>
        </w:tc>
        <w:tc>
          <w:tcPr>
            <w:tcW w:w="1417" w:type="dxa"/>
            <w:vMerge w:val="restart"/>
          </w:tcPr>
          <w:p w14:paraId="48520EE7" w14:textId="2DD48F4C" w:rsidR="002A61DB" w:rsidRPr="00EB4D71" w:rsidRDefault="001D6ABC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WGS</w:t>
            </w:r>
          </w:p>
        </w:tc>
        <w:tc>
          <w:tcPr>
            <w:tcW w:w="1417" w:type="dxa"/>
          </w:tcPr>
          <w:p w14:paraId="37C4971A" w14:textId="77777777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Linear regression</w:t>
            </w:r>
          </w:p>
          <w:p w14:paraId="4E7E782B" w14:textId="0B6426E9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</w:tcPr>
          <w:p w14:paraId="64D4EE2C" w14:textId="0BE5A347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iCs/>
                <w:sz w:val="18"/>
                <w:szCs w:val="18"/>
              </w:rPr>
              <w:t>Adjustment: sex, age at cancer diagnosis, age at last follow-up, cumulative anthracycline dose, average heart radiation dose, and the top 20 genotype-based principal components</w:t>
            </w:r>
          </w:p>
        </w:tc>
        <w:tc>
          <w:tcPr>
            <w:tcW w:w="2268" w:type="dxa"/>
          </w:tcPr>
          <w:p w14:paraId="6A7B3811" w14:textId="77777777" w:rsidR="002A61DB" w:rsidRPr="00EB4D71" w:rsidRDefault="002A61DB" w:rsidP="006E135E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iCs/>
                <w:sz w:val="18"/>
                <w:szCs w:val="18"/>
              </w:rPr>
              <w:t>p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&lt; 5 x 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-8</w:t>
            </w:r>
          </w:p>
          <w:p w14:paraId="57C2050B" w14:textId="77777777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94868E3" w14:textId="03CB8BF4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79ECA9E6" w14:textId="0DE207F3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vMerge w:val="restart"/>
          </w:tcPr>
          <w:p w14:paraId="073EC9CE" w14:textId="15025049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Variants that met the statistical significance thresholds in the discovery analysis were tested in 2 replication cohorts including 301 survivors of African ancestry from the SJLIFE (for </w:t>
            </w:r>
            <w:r w:rsidR="00EA2AE6" w:rsidRPr="00EB4D71">
              <w:rPr>
                <w:rFonts w:asciiTheme="minorHAnsi" w:hAnsiTheme="minorHAnsi" w:cstheme="minorHAnsi"/>
                <w:sz w:val="18"/>
                <w:szCs w:val="18"/>
              </w:rPr>
              <w:t>LV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EF and CCD) and an additional 4020 of European ancestry from t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</w:rPr>
              <w:t>he CCSS (for self-reported CHF)</w:t>
            </w:r>
          </w:p>
        </w:tc>
      </w:tr>
      <w:tr w:rsidR="002A61DB" w:rsidRPr="00EB4D71" w14:paraId="572700A5" w14:textId="77777777" w:rsidTr="00EB4D71">
        <w:trPr>
          <w:trHeight w:val="20"/>
        </w:trPr>
        <w:tc>
          <w:tcPr>
            <w:tcW w:w="1555" w:type="dxa"/>
            <w:vMerge/>
          </w:tcPr>
          <w:p w14:paraId="72583498" w14:textId="77777777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5859002E" w14:textId="77777777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ABD3BE4" w14:textId="7E5AAC3E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</w:t>
            </w:r>
          </w:p>
        </w:tc>
        <w:tc>
          <w:tcPr>
            <w:tcW w:w="2268" w:type="dxa"/>
            <w:vMerge/>
          </w:tcPr>
          <w:p w14:paraId="18AF3FD2" w14:textId="569232F9" w:rsidR="002A61DB" w:rsidRPr="00EB4D71" w:rsidRDefault="002A61DB" w:rsidP="006E135E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3A049A0" w14:textId="734A0EC6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P&lt;0.05 considered statistically significant</w:t>
            </w:r>
          </w:p>
        </w:tc>
        <w:tc>
          <w:tcPr>
            <w:tcW w:w="1701" w:type="dxa"/>
          </w:tcPr>
          <w:p w14:paraId="47355EF5" w14:textId="43DF8C27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</w:tcPr>
          <w:p w14:paraId="6588C30E" w14:textId="0160E62D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vMerge/>
          </w:tcPr>
          <w:p w14:paraId="4AAFD90F" w14:textId="77777777" w:rsidR="002A61DB" w:rsidRPr="00EB4D71" w:rsidRDefault="002A61DB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E135E" w:rsidRPr="00EB4D71" w14:paraId="653EA6B8" w14:textId="77777777" w:rsidTr="00EB4D71">
        <w:trPr>
          <w:trHeight w:val="781"/>
        </w:trPr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2698080E" w14:textId="77777777" w:rsidR="006E135E" w:rsidRPr="00EB4D71" w:rsidRDefault="006E135E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0193B20" w14:textId="77777777" w:rsidR="006E135E" w:rsidRPr="00EB4D71" w:rsidRDefault="006E135E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79B6E3" w14:textId="3DB5E54C" w:rsidR="006E135E" w:rsidRPr="00EB4D71" w:rsidRDefault="006E135E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SKAT-O for rare variants</w:t>
            </w:r>
          </w:p>
          <w:p w14:paraId="2569E5FA" w14:textId="77777777" w:rsidR="006E135E" w:rsidRPr="00EB4D71" w:rsidRDefault="006E135E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A8748B" w14:textId="0EB07759" w:rsidR="006E135E" w:rsidRPr="00EB4D71" w:rsidRDefault="007160A1" w:rsidP="006E135E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D0BCB4" w14:textId="1B23EEB8" w:rsidR="006E135E" w:rsidRPr="00EB4D71" w:rsidRDefault="006E135E" w:rsidP="0048239D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p&lt; 0.05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E3F86B" w14:textId="39628CD2" w:rsidR="006E135E" w:rsidRPr="00EB4D71" w:rsidRDefault="006E135E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Multiple test adjustments with a cutoff value of FDR &lt;0.05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9BDEF18" w14:textId="77777777" w:rsidR="006E135E" w:rsidRPr="00EB4D71" w:rsidRDefault="006E135E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8" w:type="dxa"/>
            <w:vMerge/>
            <w:tcBorders>
              <w:bottom w:val="single" w:sz="4" w:space="0" w:color="auto"/>
            </w:tcBorders>
          </w:tcPr>
          <w:p w14:paraId="668A5DD5" w14:textId="77777777" w:rsidR="006E135E" w:rsidRPr="00EB4D71" w:rsidRDefault="006E135E" w:rsidP="006E135E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00F91" w:rsidRPr="00EB4D71" w14:paraId="419F7F52" w14:textId="77777777" w:rsidTr="00EB4D71">
        <w:trPr>
          <w:trHeight w:val="20"/>
        </w:trPr>
        <w:tc>
          <w:tcPr>
            <w:tcW w:w="1555" w:type="dxa"/>
            <w:vMerge w:val="restart"/>
          </w:tcPr>
          <w:p w14:paraId="4992384D" w14:textId="3B87188B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b/>
                <w:sz w:val="18"/>
                <w:szCs w:val="18"/>
              </w:rPr>
              <w:t>Sapkota et al., AACR, 2021</w:t>
            </w:r>
          </w:p>
        </w:tc>
        <w:tc>
          <w:tcPr>
            <w:tcW w:w="1417" w:type="dxa"/>
            <w:vMerge w:val="restart"/>
          </w:tcPr>
          <w:p w14:paraId="0986C7A7" w14:textId="1F0349A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WGS</w:t>
            </w:r>
          </w:p>
        </w:tc>
        <w:tc>
          <w:tcPr>
            <w:tcW w:w="1417" w:type="dxa"/>
          </w:tcPr>
          <w:p w14:paraId="577A1C4C" w14:textId="77777777" w:rsidR="00800F91" w:rsidRPr="00EB4D71" w:rsidRDefault="00800F91" w:rsidP="00FE5BCC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Linear regression for common variants</w:t>
            </w:r>
          </w:p>
          <w:p w14:paraId="12A617CE" w14:textId="7777777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8EBEDEA" w14:textId="570B5240" w:rsidR="00800F91" w:rsidRPr="00EB4D71" w:rsidRDefault="00800F91" w:rsidP="007A3CF9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Adjustment: 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sex, age at cancer diagnosis, age at last follow-up, cumulative anthracycline dose, average 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lastRenderedPageBreak/>
              <w:t xml:space="preserve">heart radiation dose and 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the top 10 principal components</w:t>
            </w:r>
          </w:p>
        </w:tc>
        <w:tc>
          <w:tcPr>
            <w:tcW w:w="2268" w:type="dxa"/>
          </w:tcPr>
          <w:p w14:paraId="5BB9D9E3" w14:textId="77777777" w:rsidR="00800F91" w:rsidRPr="00EB4D71" w:rsidRDefault="00800F91" w:rsidP="00FE5BCC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p&lt; 5×10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-8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 considered significant at the genome-wide level</w:t>
            </w:r>
          </w:p>
          <w:p w14:paraId="5E12E6B3" w14:textId="77777777" w:rsidR="00800F91" w:rsidRPr="00EB4D71" w:rsidRDefault="00800F91" w:rsidP="00FE5BCC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293FD1" w14:textId="4B478A54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vMerge w:val="restart"/>
          </w:tcPr>
          <w:p w14:paraId="4781DFC9" w14:textId="781839EB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vMerge w:val="restart"/>
          </w:tcPr>
          <w:p w14:paraId="5C72F7F6" w14:textId="54DE0518" w:rsidR="00800F91" w:rsidRPr="00EB4D71" w:rsidRDefault="00800F91" w:rsidP="00800F91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 xml:space="preserve">Findings were replicated on 1645 patients from the SJLIFE survivors of European ancestry exposed to </w:t>
            </w:r>
            <w:r w:rsidRPr="00EB4D7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cardiotoxic therapies (radiotherapy to the heart and anthracyclines)</w:t>
            </w:r>
          </w:p>
        </w:tc>
      </w:tr>
      <w:tr w:rsidR="00800F91" w:rsidRPr="00EB4D71" w14:paraId="7206EC31" w14:textId="77777777" w:rsidTr="00EB4D71">
        <w:trPr>
          <w:trHeight w:val="20"/>
        </w:trPr>
        <w:tc>
          <w:tcPr>
            <w:tcW w:w="1555" w:type="dxa"/>
            <w:vMerge/>
          </w:tcPr>
          <w:p w14:paraId="4BCE9F69" w14:textId="7777777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50C6614D" w14:textId="06AD96C5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58F9EDD" w14:textId="4C7DC7AD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SKAT-O for rare and low-frequency variants</w:t>
            </w:r>
          </w:p>
        </w:tc>
        <w:tc>
          <w:tcPr>
            <w:tcW w:w="2268" w:type="dxa"/>
          </w:tcPr>
          <w:p w14:paraId="51CE6099" w14:textId="2F2539C3" w:rsidR="00800F91" w:rsidRPr="00EB4D71" w:rsidRDefault="001D6ABC" w:rsidP="007A3CF9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268" w:type="dxa"/>
          </w:tcPr>
          <w:p w14:paraId="755C9F07" w14:textId="23F124D1" w:rsidR="00800F91" w:rsidRPr="00EB4D71" w:rsidRDefault="00800F91" w:rsidP="00FE5BCC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p&lt; 7.3×10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701" w:type="dxa"/>
          </w:tcPr>
          <w:p w14:paraId="7D4DBA63" w14:textId="464E5989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vMerge/>
          </w:tcPr>
          <w:p w14:paraId="29F46911" w14:textId="7777777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8" w:type="dxa"/>
            <w:vMerge/>
          </w:tcPr>
          <w:p w14:paraId="206F89D1" w14:textId="7777777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00F91" w:rsidRPr="00EB4D71" w14:paraId="6B157373" w14:textId="77777777" w:rsidTr="00EB4D71">
        <w:trPr>
          <w:trHeight w:val="20"/>
        </w:trPr>
        <w:tc>
          <w:tcPr>
            <w:tcW w:w="1555" w:type="dxa"/>
            <w:vMerge/>
          </w:tcPr>
          <w:p w14:paraId="1CC034E0" w14:textId="7777777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4B947E0" w14:textId="7777777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3070F54" w14:textId="785D4CAB" w:rsidR="00800F91" w:rsidRPr="00EB4D71" w:rsidRDefault="00800F91" w:rsidP="0064099F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Logistic regression for both common, low-frequency and rare variants</w:t>
            </w:r>
          </w:p>
        </w:tc>
        <w:tc>
          <w:tcPr>
            <w:tcW w:w="2268" w:type="dxa"/>
          </w:tcPr>
          <w:p w14:paraId="17259F04" w14:textId="77777777" w:rsidR="00800F91" w:rsidRPr="00EB4D71" w:rsidRDefault="00800F91" w:rsidP="007A3CF9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Matching on PS deciles.</w:t>
            </w:r>
          </w:p>
          <w:p w14:paraId="60E3D0C5" w14:textId="6C5009E5" w:rsidR="00800F91" w:rsidRPr="00EB4D71" w:rsidRDefault="00800F91" w:rsidP="007A3CF9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PS calculation: by regressing each SNP on all the</w:t>
            </w:r>
            <w:r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sex, age at cancer diagnosis, age at last follow-up, cumulative anthracycline dose, average heart radiation dose and </w:t>
            </w:r>
            <w:r w:rsidR="00B2345E" w:rsidRPr="00EB4D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the top 10 principal components</w:t>
            </w:r>
          </w:p>
        </w:tc>
        <w:tc>
          <w:tcPr>
            <w:tcW w:w="2268" w:type="dxa"/>
          </w:tcPr>
          <w:p w14:paraId="1ECD0BCE" w14:textId="0E75A933" w:rsidR="00800F91" w:rsidRPr="00EB4D71" w:rsidRDefault="00800F91" w:rsidP="00FE5BCC">
            <w:pPr>
              <w:pStyle w:val="MDPI42tablebody"/>
              <w:spacing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1701" w:type="dxa"/>
          </w:tcPr>
          <w:p w14:paraId="3B4AA970" w14:textId="5E36D042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B4D7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</w:p>
        </w:tc>
        <w:tc>
          <w:tcPr>
            <w:tcW w:w="2438" w:type="dxa"/>
            <w:vMerge/>
          </w:tcPr>
          <w:p w14:paraId="3A531218" w14:textId="7777777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8" w:type="dxa"/>
            <w:vMerge/>
          </w:tcPr>
          <w:p w14:paraId="1FE9E57B" w14:textId="77777777" w:rsidR="00800F91" w:rsidRPr="00EB4D71" w:rsidRDefault="00800F91" w:rsidP="007A3CF9">
            <w:pPr>
              <w:pStyle w:val="MDPI42tablebod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0BB3678" w14:textId="2837129C" w:rsidR="00DA713B" w:rsidRPr="00EB4D71" w:rsidRDefault="00E25F1F" w:rsidP="00DB0D34">
      <w:pPr>
        <w:pStyle w:val="MDPI43tablefooter"/>
        <w:ind w:left="0"/>
        <w:rPr>
          <w:rFonts w:asciiTheme="minorHAnsi" w:hAnsiTheme="minorHAnsi" w:cstheme="minorHAnsi"/>
          <w:sz w:val="16"/>
          <w:szCs w:val="16"/>
          <w:lang w:val="en-GB"/>
        </w:rPr>
      </w:pPr>
      <w:r w:rsidRPr="00EB4D71">
        <w:rPr>
          <w:rStyle w:val="IntenseEmphasis"/>
        </w:rPr>
        <w:t xml:space="preserve">Abbreviations: </w:t>
      </w:r>
      <w:r w:rsidR="00225CC1" w:rsidRPr="00EB4D71">
        <w:rPr>
          <w:rFonts w:asciiTheme="minorHAnsi" w:hAnsiTheme="minorHAnsi" w:cstheme="minorHAnsi"/>
          <w:sz w:val="16"/>
          <w:szCs w:val="16"/>
        </w:rPr>
        <w:t>ACT, Anthracycline-induced cardiotoxicity; SNP, Single-nucleotide polymorphism; CHF, Congestive heart failure;</w:t>
      </w:r>
      <w:r w:rsidR="00EA2AE6" w:rsidRPr="00EB4D71">
        <w:rPr>
          <w:rStyle w:val="IntenseEmphasis"/>
        </w:rPr>
        <w:t xml:space="preserve"> </w:t>
      </w:r>
      <w:r w:rsidR="00EA2AE6" w:rsidRPr="00EB4D71">
        <w:rPr>
          <w:rStyle w:val="IntenseEmphasis"/>
          <w:sz w:val="16"/>
        </w:rPr>
        <w:t>CCD: Cancer treatment–induced cardiac dysfunction;</w:t>
      </w:r>
      <w:r w:rsidR="00225CC1" w:rsidRPr="00EB4D71">
        <w:rPr>
          <w:rFonts w:asciiTheme="minorHAnsi" w:hAnsiTheme="minorHAnsi" w:cstheme="minorHAnsi"/>
          <w:sz w:val="16"/>
          <w:szCs w:val="16"/>
        </w:rPr>
        <w:t xml:space="preserve"> CMC, Combined Multivariate and Collapsing; SKAT, Sequence kernel association test; SKAT-O, sequence kernel association test-optimized; ALL, Acute lymphocytic leukemia; </w:t>
      </w:r>
      <w:r w:rsidR="00EA2AE6" w:rsidRPr="00EB4D71">
        <w:rPr>
          <w:rFonts w:asciiTheme="minorHAnsi" w:hAnsiTheme="minorHAnsi" w:cstheme="minorHAnsi"/>
          <w:sz w:val="16"/>
          <w:szCs w:val="16"/>
        </w:rPr>
        <w:t>SJLIFE</w:t>
      </w:r>
      <w:r w:rsidRPr="00EB4D71">
        <w:rPr>
          <w:rFonts w:asciiTheme="minorHAnsi" w:hAnsiTheme="minorHAnsi" w:cstheme="minorHAnsi"/>
          <w:sz w:val="16"/>
          <w:szCs w:val="16"/>
        </w:rPr>
        <w:t>,</w:t>
      </w:r>
      <w:r w:rsidR="00EA2AE6" w:rsidRPr="00EB4D71">
        <w:rPr>
          <w:rFonts w:asciiTheme="minorHAnsi" w:hAnsiTheme="minorHAnsi" w:cstheme="minorHAnsi"/>
          <w:sz w:val="16"/>
          <w:szCs w:val="16"/>
        </w:rPr>
        <w:t xml:space="preserve"> St. Jude Lifetime</w:t>
      </w:r>
      <w:r w:rsidR="00225CC1" w:rsidRPr="00EB4D71">
        <w:rPr>
          <w:rFonts w:asciiTheme="minorHAnsi" w:hAnsiTheme="minorHAnsi" w:cstheme="minorHAnsi"/>
          <w:sz w:val="16"/>
          <w:szCs w:val="16"/>
        </w:rPr>
        <w:t xml:space="preserve">; </w:t>
      </w:r>
      <w:r w:rsidR="00EA2AE6" w:rsidRPr="00EB4D71">
        <w:rPr>
          <w:rStyle w:val="IntenseEmphasis"/>
          <w:sz w:val="16"/>
          <w:szCs w:val="16"/>
        </w:rPr>
        <w:t>DFC</w:t>
      </w:r>
      <w:r w:rsidRPr="00EB4D71">
        <w:rPr>
          <w:rStyle w:val="IntenseEmphasis"/>
          <w:sz w:val="16"/>
          <w:szCs w:val="16"/>
        </w:rPr>
        <w:t>I,</w:t>
      </w:r>
      <w:r w:rsidR="00EA2AE6" w:rsidRPr="00EB4D71">
        <w:rPr>
          <w:rStyle w:val="IntenseEmphasis"/>
          <w:sz w:val="16"/>
          <w:szCs w:val="16"/>
        </w:rPr>
        <w:t xml:space="preserve"> Dana-Farber Cancer Institute</w:t>
      </w:r>
      <w:r w:rsidR="00EA2AE6" w:rsidRPr="00EB4D71">
        <w:rPr>
          <w:rFonts w:asciiTheme="minorHAnsi" w:hAnsiTheme="minorHAnsi" w:cstheme="minorHAnsi"/>
          <w:sz w:val="16"/>
          <w:szCs w:val="16"/>
        </w:rPr>
        <w:t>; PCS2: Preventing Cardiac Sequelae in Pediatric Cancer Survivors; CCSS</w:t>
      </w:r>
      <w:r w:rsidRPr="00EB4D71">
        <w:rPr>
          <w:rFonts w:asciiTheme="minorHAnsi" w:hAnsiTheme="minorHAnsi" w:cstheme="minorHAnsi"/>
          <w:sz w:val="16"/>
          <w:szCs w:val="16"/>
        </w:rPr>
        <w:t>,</w:t>
      </w:r>
      <w:r w:rsidR="00EA2AE6" w:rsidRPr="00EB4D71">
        <w:rPr>
          <w:rFonts w:asciiTheme="minorHAnsi" w:hAnsiTheme="minorHAnsi" w:cstheme="minorHAnsi"/>
          <w:sz w:val="16"/>
          <w:szCs w:val="16"/>
        </w:rPr>
        <w:t xml:space="preserve"> Childhood Cancer survivor Study; </w:t>
      </w:r>
      <w:r w:rsidR="001546F3" w:rsidRPr="001546F3">
        <w:rPr>
          <w:rFonts w:asciiTheme="minorHAnsi" w:hAnsiTheme="minorHAnsi" w:cstheme="minorHAnsi"/>
          <w:sz w:val="16"/>
          <w:szCs w:val="16"/>
        </w:rPr>
        <w:t>BMTSS</w:t>
      </w:r>
      <w:r w:rsidR="001546F3">
        <w:rPr>
          <w:rFonts w:asciiTheme="minorHAnsi" w:hAnsiTheme="minorHAnsi" w:cstheme="minorHAnsi"/>
          <w:sz w:val="16"/>
          <w:szCs w:val="16"/>
        </w:rPr>
        <w:t>,</w:t>
      </w:r>
      <w:r w:rsidR="001546F3" w:rsidRPr="001546F3">
        <w:t xml:space="preserve"> </w:t>
      </w:r>
      <w:r w:rsidR="001546F3" w:rsidRPr="001546F3">
        <w:rPr>
          <w:rFonts w:asciiTheme="minorHAnsi" w:hAnsiTheme="minorHAnsi" w:cstheme="minorHAnsi"/>
          <w:sz w:val="16"/>
          <w:szCs w:val="16"/>
        </w:rPr>
        <w:t>Blood or Marrow Transplant Survivor Study</w:t>
      </w:r>
      <w:r w:rsidR="001546F3">
        <w:rPr>
          <w:rFonts w:asciiTheme="minorHAnsi" w:hAnsiTheme="minorHAnsi" w:cstheme="minorHAnsi"/>
          <w:sz w:val="16"/>
          <w:szCs w:val="16"/>
        </w:rPr>
        <w:t xml:space="preserve">; </w:t>
      </w:r>
      <w:r w:rsidR="00225CC1" w:rsidRPr="00EB4D71">
        <w:rPr>
          <w:rFonts w:asciiTheme="minorHAnsi" w:hAnsiTheme="minorHAnsi" w:cstheme="minorHAnsi"/>
          <w:sz w:val="16"/>
          <w:szCs w:val="16"/>
        </w:rPr>
        <w:t>FDR, False discovery rate;</w:t>
      </w:r>
      <w:r w:rsidR="00EA2AE6" w:rsidRPr="00EB4D71">
        <w:rPr>
          <w:rFonts w:asciiTheme="minorHAnsi" w:hAnsiTheme="minorHAnsi" w:cstheme="minorHAnsi"/>
          <w:sz w:val="16"/>
          <w:szCs w:val="16"/>
        </w:rPr>
        <w:t xml:space="preserve"> </w:t>
      </w:r>
      <w:r w:rsidR="0064099F" w:rsidRPr="00EB4D71">
        <w:rPr>
          <w:rFonts w:asciiTheme="minorHAnsi" w:hAnsiTheme="minorHAnsi" w:cstheme="minorHAnsi"/>
          <w:sz w:val="16"/>
          <w:szCs w:val="16"/>
        </w:rPr>
        <w:t>PS, Propensity Score</w:t>
      </w:r>
      <w:r w:rsidR="00FD4639" w:rsidRPr="00EB4D71">
        <w:rPr>
          <w:rFonts w:asciiTheme="minorHAnsi" w:hAnsiTheme="minorHAnsi" w:cstheme="minorHAnsi"/>
          <w:sz w:val="16"/>
          <w:szCs w:val="16"/>
        </w:rPr>
        <w:t>; NA, Not Available</w:t>
      </w:r>
    </w:p>
    <w:sectPr w:rsidR="00DA713B" w:rsidRPr="00EB4D71" w:rsidSect="00DB0D3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3DA5D" w14:textId="77777777" w:rsidR="00885A22" w:rsidRDefault="00885A22" w:rsidP="00932771">
      <w:r>
        <w:separator/>
      </w:r>
    </w:p>
  </w:endnote>
  <w:endnote w:type="continuationSeparator" w:id="0">
    <w:p w14:paraId="071CEB57" w14:textId="77777777" w:rsidR="00885A22" w:rsidRDefault="00885A22" w:rsidP="0093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01913" w14:textId="77777777" w:rsidR="00885A22" w:rsidRDefault="00885A22" w:rsidP="00932771">
      <w:r>
        <w:separator/>
      </w:r>
    </w:p>
  </w:footnote>
  <w:footnote w:type="continuationSeparator" w:id="0">
    <w:p w14:paraId="03CB4F2D" w14:textId="77777777" w:rsidR="00885A22" w:rsidRDefault="00885A22" w:rsidP="00932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3B"/>
    <w:rsid w:val="00004674"/>
    <w:rsid w:val="000047E2"/>
    <w:rsid w:val="00007A83"/>
    <w:rsid w:val="00034632"/>
    <w:rsid w:val="00036A88"/>
    <w:rsid w:val="00044C85"/>
    <w:rsid w:val="000762AC"/>
    <w:rsid w:val="00077825"/>
    <w:rsid w:val="00083C2E"/>
    <w:rsid w:val="0008702A"/>
    <w:rsid w:val="00094588"/>
    <w:rsid w:val="000947A8"/>
    <w:rsid w:val="000A5895"/>
    <w:rsid w:val="000B48E8"/>
    <w:rsid w:val="000B5DFE"/>
    <w:rsid w:val="00105083"/>
    <w:rsid w:val="00114072"/>
    <w:rsid w:val="0014460E"/>
    <w:rsid w:val="00146086"/>
    <w:rsid w:val="001546F3"/>
    <w:rsid w:val="00175622"/>
    <w:rsid w:val="0019062B"/>
    <w:rsid w:val="001A0160"/>
    <w:rsid w:val="001A0A50"/>
    <w:rsid w:val="001B1233"/>
    <w:rsid w:val="001B5390"/>
    <w:rsid w:val="001B7A17"/>
    <w:rsid w:val="001C2E09"/>
    <w:rsid w:val="001D6ABC"/>
    <w:rsid w:val="001E1A05"/>
    <w:rsid w:val="001E5D2D"/>
    <w:rsid w:val="001F2137"/>
    <w:rsid w:val="001F6506"/>
    <w:rsid w:val="00206F40"/>
    <w:rsid w:val="00224065"/>
    <w:rsid w:val="00225CC1"/>
    <w:rsid w:val="00235249"/>
    <w:rsid w:val="00240275"/>
    <w:rsid w:val="00246797"/>
    <w:rsid w:val="00264056"/>
    <w:rsid w:val="00265E27"/>
    <w:rsid w:val="0028197C"/>
    <w:rsid w:val="00287479"/>
    <w:rsid w:val="002A224E"/>
    <w:rsid w:val="002A61DB"/>
    <w:rsid w:val="002B00B7"/>
    <w:rsid w:val="002B3B45"/>
    <w:rsid w:val="002D3C7C"/>
    <w:rsid w:val="002D4815"/>
    <w:rsid w:val="002E27A7"/>
    <w:rsid w:val="00301CC2"/>
    <w:rsid w:val="0030536F"/>
    <w:rsid w:val="0033655D"/>
    <w:rsid w:val="00351766"/>
    <w:rsid w:val="0036207E"/>
    <w:rsid w:val="00395696"/>
    <w:rsid w:val="00397C61"/>
    <w:rsid w:val="003A78CE"/>
    <w:rsid w:val="003B1EAD"/>
    <w:rsid w:val="003B787F"/>
    <w:rsid w:val="003E21B2"/>
    <w:rsid w:val="003E659B"/>
    <w:rsid w:val="003F2000"/>
    <w:rsid w:val="004331C0"/>
    <w:rsid w:val="00434B44"/>
    <w:rsid w:val="00453731"/>
    <w:rsid w:val="0047555F"/>
    <w:rsid w:val="00477874"/>
    <w:rsid w:val="0048239D"/>
    <w:rsid w:val="00486101"/>
    <w:rsid w:val="00493D23"/>
    <w:rsid w:val="0049465A"/>
    <w:rsid w:val="004B0729"/>
    <w:rsid w:val="004B4212"/>
    <w:rsid w:val="004B71C8"/>
    <w:rsid w:val="004B79C8"/>
    <w:rsid w:val="004C02DC"/>
    <w:rsid w:val="004C3B26"/>
    <w:rsid w:val="00516911"/>
    <w:rsid w:val="00531EEA"/>
    <w:rsid w:val="00537A2D"/>
    <w:rsid w:val="005408B5"/>
    <w:rsid w:val="00540936"/>
    <w:rsid w:val="005518A6"/>
    <w:rsid w:val="00560630"/>
    <w:rsid w:val="00574F56"/>
    <w:rsid w:val="00581B4E"/>
    <w:rsid w:val="005840F8"/>
    <w:rsid w:val="005A53B0"/>
    <w:rsid w:val="005B1122"/>
    <w:rsid w:val="005D5F04"/>
    <w:rsid w:val="005D70CE"/>
    <w:rsid w:val="005E0FC9"/>
    <w:rsid w:val="005E6DCE"/>
    <w:rsid w:val="005F0168"/>
    <w:rsid w:val="005F0C5E"/>
    <w:rsid w:val="005F5DF5"/>
    <w:rsid w:val="00600633"/>
    <w:rsid w:val="00603E5A"/>
    <w:rsid w:val="00603F12"/>
    <w:rsid w:val="0061282A"/>
    <w:rsid w:val="006153B2"/>
    <w:rsid w:val="00621A8F"/>
    <w:rsid w:val="0064099F"/>
    <w:rsid w:val="006537AB"/>
    <w:rsid w:val="00662BAE"/>
    <w:rsid w:val="00670126"/>
    <w:rsid w:val="006820B4"/>
    <w:rsid w:val="00687732"/>
    <w:rsid w:val="00692B3D"/>
    <w:rsid w:val="00697164"/>
    <w:rsid w:val="006974C7"/>
    <w:rsid w:val="006D09DC"/>
    <w:rsid w:val="006E135E"/>
    <w:rsid w:val="006E2B9F"/>
    <w:rsid w:val="006E3FA7"/>
    <w:rsid w:val="006E5E8D"/>
    <w:rsid w:val="006F1DFD"/>
    <w:rsid w:val="00702755"/>
    <w:rsid w:val="00707DE2"/>
    <w:rsid w:val="00711C1D"/>
    <w:rsid w:val="00715764"/>
    <w:rsid w:val="007160A1"/>
    <w:rsid w:val="00721640"/>
    <w:rsid w:val="007923EE"/>
    <w:rsid w:val="007A3CF9"/>
    <w:rsid w:val="007B4653"/>
    <w:rsid w:val="007B5435"/>
    <w:rsid w:val="007C5DDA"/>
    <w:rsid w:val="007E0C59"/>
    <w:rsid w:val="007E2A12"/>
    <w:rsid w:val="007E4760"/>
    <w:rsid w:val="007E719D"/>
    <w:rsid w:val="00800F91"/>
    <w:rsid w:val="00802DE8"/>
    <w:rsid w:val="00802E44"/>
    <w:rsid w:val="00803EA8"/>
    <w:rsid w:val="00817D49"/>
    <w:rsid w:val="008300A6"/>
    <w:rsid w:val="008333A4"/>
    <w:rsid w:val="00865F5C"/>
    <w:rsid w:val="00866590"/>
    <w:rsid w:val="00877D3E"/>
    <w:rsid w:val="008801BD"/>
    <w:rsid w:val="00881F3A"/>
    <w:rsid w:val="00885A22"/>
    <w:rsid w:val="00886E24"/>
    <w:rsid w:val="008A5EC6"/>
    <w:rsid w:val="008B1D84"/>
    <w:rsid w:val="008B4D68"/>
    <w:rsid w:val="008C1759"/>
    <w:rsid w:val="008F41E8"/>
    <w:rsid w:val="00901F59"/>
    <w:rsid w:val="009107DF"/>
    <w:rsid w:val="00914E05"/>
    <w:rsid w:val="009251DC"/>
    <w:rsid w:val="0093247B"/>
    <w:rsid w:val="00932771"/>
    <w:rsid w:val="0094667E"/>
    <w:rsid w:val="009761D1"/>
    <w:rsid w:val="009770B3"/>
    <w:rsid w:val="009833CC"/>
    <w:rsid w:val="009866F3"/>
    <w:rsid w:val="009923B9"/>
    <w:rsid w:val="009C75E4"/>
    <w:rsid w:val="009E3535"/>
    <w:rsid w:val="009F008C"/>
    <w:rsid w:val="009F544A"/>
    <w:rsid w:val="00A05058"/>
    <w:rsid w:val="00A20C24"/>
    <w:rsid w:val="00A27AED"/>
    <w:rsid w:val="00A40BC5"/>
    <w:rsid w:val="00AA43CC"/>
    <w:rsid w:val="00AC7217"/>
    <w:rsid w:val="00AD29B0"/>
    <w:rsid w:val="00AE18C3"/>
    <w:rsid w:val="00AF5E18"/>
    <w:rsid w:val="00AF6B62"/>
    <w:rsid w:val="00B02A97"/>
    <w:rsid w:val="00B03369"/>
    <w:rsid w:val="00B10431"/>
    <w:rsid w:val="00B1101F"/>
    <w:rsid w:val="00B132DD"/>
    <w:rsid w:val="00B2345E"/>
    <w:rsid w:val="00B2645D"/>
    <w:rsid w:val="00B54143"/>
    <w:rsid w:val="00B5668C"/>
    <w:rsid w:val="00B5737E"/>
    <w:rsid w:val="00B60C65"/>
    <w:rsid w:val="00B65627"/>
    <w:rsid w:val="00B744EB"/>
    <w:rsid w:val="00B9612D"/>
    <w:rsid w:val="00BA511F"/>
    <w:rsid w:val="00BC6859"/>
    <w:rsid w:val="00BE623A"/>
    <w:rsid w:val="00BF1E53"/>
    <w:rsid w:val="00C06EFB"/>
    <w:rsid w:val="00C42C58"/>
    <w:rsid w:val="00C504DB"/>
    <w:rsid w:val="00C531B1"/>
    <w:rsid w:val="00C55DF3"/>
    <w:rsid w:val="00C7086F"/>
    <w:rsid w:val="00C944CD"/>
    <w:rsid w:val="00CB1566"/>
    <w:rsid w:val="00CC5856"/>
    <w:rsid w:val="00CD0124"/>
    <w:rsid w:val="00CE7FD2"/>
    <w:rsid w:val="00D10BEA"/>
    <w:rsid w:val="00D14EED"/>
    <w:rsid w:val="00D168AC"/>
    <w:rsid w:val="00D2048A"/>
    <w:rsid w:val="00D27898"/>
    <w:rsid w:val="00D5629D"/>
    <w:rsid w:val="00D62EBB"/>
    <w:rsid w:val="00D7283D"/>
    <w:rsid w:val="00D844C2"/>
    <w:rsid w:val="00DA21E5"/>
    <w:rsid w:val="00DA713B"/>
    <w:rsid w:val="00DB0D34"/>
    <w:rsid w:val="00DB1D0E"/>
    <w:rsid w:val="00DD1B5D"/>
    <w:rsid w:val="00DF0661"/>
    <w:rsid w:val="00DF07A1"/>
    <w:rsid w:val="00DF4D89"/>
    <w:rsid w:val="00DF6D18"/>
    <w:rsid w:val="00E06069"/>
    <w:rsid w:val="00E25F1F"/>
    <w:rsid w:val="00E315BB"/>
    <w:rsid w:val="00E35FB1"/>
    <w:rsid w:val="00E37713"/>
    <w:rsid w:val="00E50091"/>
    <w:rsid w:val="00E66C59"/>
    <w:rsid w:val="00E75565"/>
    <w:rsid w:val="00E82108"/>
    <w:rsid w:val="00E85C2D"/>
    <w:rsid w:val="00EA2AE6"/>
    <w:rsid w:val="00EA33D1"/>
    <w:rsid w:val="00EA4B71"/>
    <w:rsid w:val="00EB4D71"/>
    <w:rsid w:val="00EB5DA2"/>
    <w:rsid w:val="00ED01CE"/>
    <w:rsid w:val="00EE7F27"/>
    <w:rsid w:val="00F00E6C"/>
    <w:rsid w:val="00F01C9D"/>
    <w:rsid w:val="00F16384"/>
    <w:rsid w:val="00F31493"/>
    <w:rsid w:val="00F339E1"/>
    <w:rsid w:val="00F45A7F"/>
    <w:rsid w:val="00F53545"/>
    <w:rsid w:val="00F706F6"/>
    <w:rsid w:val="00FA5B1F"/>
    <w:rsid w:val="00FB1572"/>
    <w:rsid w:val="00FB74BA"/>
    <w:rsid w:val="00FC3FF8"/>
    <w:rsid w:val="00FD25CE"/>
    <w:rsid w:val="00FD2DEB"/>
    <w:rsid w:val="00FD4639"/>
    <w:rsid w:val="00FD5838"/>
    <w:rsid w:val="00FE1001"/>
    <w:rsid w:val="00FE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E87A6A"/>
  <w15:chartTrackingRefBased/>
  <w15:docId w15:val="{B68AB5BF-F3A0-4B1A-8F56-D6510797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9465A"/>
    <w:pPr>
      <w:spacing w:after="0" w:line="240" w:lineRule="auto"/>
    </w:pPr>
    <w:rPr>
      <w:rFonts w:cstheme="minorHAnsi"/>
      <w:color w:val="000000"/>
      <w:sz w:val="18"/>
      <w:szCs w:val="1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1tablecaption">
    <w:name w:val="MDPI_4.1_table_caption"/>
    <w:rsid w:val="00DA713B"/>
    <w:pPr>
      <w:adjustRightInd w:val="0"/>
      <w:snapToGrid w:val="0"/>
      <w:spacing w:before="240" w:after="120" w:line="228" w:lineRule="auto"/>
      <w:ind w:left="142"/>
      <w:jc w:val="both"/>
    </w:pPr>
    <w:rPr>
      <w:rFonts w:ascii="Palatino Linotype" w:eastAsia="Times New Roman" w:hAnsi="Palatino Linotype" w:cs="Cordia New"/>
      <w:color w:val="000000"/>
      <w:sz w:val="20"/>
      <w:lang w:val="en-US" w:eastAsia="de-DE" w:bidi="en-US"/>
    </w:rPr>
  </w:style>
  <w:style w:type="paragraph" w:customStyle="1" w:styleId="MDPI43tablefooter">
    <w:name w:val="MDPI_4.3_table_footer"/>
    <w:next w:val="Normal"/>
    <w:rsid w:val="00DA713B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table" w:styleId="PlainTable2">
    <w:name w:val="Plain Table 2"/>
    <w:basedOn w:val="TableNormal"/>
    <w:uiPriority w:val="42"/>
    <w:rsid w:val="00DA713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A713B"/>
  </w:style>
  <w:style w:type="character" w:styleId="IntenseEmphasis">
    <w:name w:val="Intense Emphasis"/>
    <w:aliases w:val="sous tab"/>
    <w:uiPriority w:val="21"/>
    <w:qFormat/>
    <w:rsid w:val="00DA713B"/>
    <w:rPr>
      <w:rFonts w:asciiTheme="minorHAnsi" w:hAnsiTheme="minorHAnsi" w:cstheme="minorHAnsi"/>
      <w:lang w:val="en-GB"/>
    </w:rPr>
  </w:style>
  <w:style w:type="character" w:styleId="CommentReference">
    <w:name w:val="annotation reference"/>
    <w:basedOn w:val="DefaultParagraphFont"/>
    <w:unhideWhenUsed/>
    <w:rsid w:val="0067012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701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0126"/>
    <w:rPr>
      <w:rFonts w:eastAsia="SimSun" w:cstheme="minorHAnsi"/>
      <w:noProof/>
      <w:color w:val="000000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1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126"/>
    <w:rPr>
      <w:rFonts w:eastAsia="SimSun" w:cstheme="minorHAnsi"/>
      <w:b/>
      <w:bCs/>
      <w:noProof/>
      <w:color w:val="000000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126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126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CC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25CC1"/>
    <w:rPr>
      <w:rFonts w:eastAsiaTheme="minorEastAsia"/>
      <w:noProof/>
      <w:color w:val="5A5A5A" w:themeColor="text1" w:themeTint="A5"/>
      <w:spacing w:val="15"/>
      <w:lang w:val="en-US" w:eastAsia="zh-CN"/>
    </w:rPr>
  </w:style>
  <w:style w:type="paragraph" w:customStyle="1" w:styleId="MDPI42tablebody">
    <w:name w:val="MDPI_4.2_table_body"/>
    <w:rsid w:val="00225CC1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6"/>
      <w:szCs w:val="20"/>
      <w:lang w:val="en-US" w:eastAsia="de-DE" w:bidi="en-US"/>
    </w:rPr>
  </w:style>
  <w:style w:type="table" w:styleId="TableGrid">
    <w:name w:val="Table Grid"/>
    <w:basedOn w:val="TableNormal"/>
    <w:uiPriority w:val="39"/>
    <w:rsid w:val="00225CC1"/>
    <w:pPr>
      <w:spacing w:after="0" w:line="260" w:lineRule="atLeast"/>
      <w:jc w:val="both"/>
    </w:pPr>
    <w:rPr>
      <w:rFonts w:ascii="Palatino Linotype" w:hAnsi="Palatino Linotype" w:cs="Times New Roman"/>
      <w:color w:val="000000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4331C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A5EC6"/>
    <w:rPr>
      <w:color w:val="808080"/>
    </w:rPr>
  </w:style>
  <w:style w:type="character" w:customStyle="1" w:styleId="docdata">
    <w:name w:val="docdata"/>
    <w:aliases w:val="docy,v5,4762,bqiaagaaeyqcaaagiaiaaamcegaabsosaaaaaaaaaaaaaaaaaaaaaaaaaaaaaaaaaaaaaaaaaaaaaaaaaaaaaaaaaaaaaaaaaaaaaaaaaaaaaaaaaaaaaaaaaaaaaaaaaaaaaaaaaaaaaaaaaaaaaaaaaaaaaaaaaaaaaaaaaaaaaaaaaaaaaaaaaaaaaaaaaaaaaaaaaaaaaaaaaaaaaaaaaaaaaaaaaaaaaaaa"/>
    <w:basedOn w:val="DefaultParagraphFont"/>
    <w:rsid w:val="00FA5B1F"/>
  </w:style>
  <w:style w:type="character" w:styleId="Emphasis">
    <w:name w:val="Emphasis"/>
    <w:uiPriority w:val="20"/>
    <w:qFormat/>
    <w:rsid w:val="001D6ABC"/>
    <w:rPr>
      <w:rFonts w:asciiTheme="minorHAnsi" w:hAnsiTheme="minorHAnsi" w:cstheme="minorHAnsi"/>
      <w:szCs w:val="18"/>
    </w:rPr>
  </w:style>
  <w:style w:type="paragraph" w:styleId="Header">
    <w:name w:val="header"/>
    <w:basedOn w:val="Normal"/>
    <w:link w:val="HeaderChar"/>
    <w:uiPriority w:val="99"/>
    <w:unhideWhenUsed/>
    <w:rsid w:val="009327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771"/>
    <w:rPr>
      <w:rFonts w:cstheme="minorHAnsi"/>
      <w:noProof/>
      <w:color w:val="000000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327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771"/>
    <w:rPr>
      <w:rFonts w:cstheme="minorHAnsi"/>
      <w:noProof/>
      <w:color w:val="000000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1965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Naila Aba</cp:lastModifiedBy>
  <cp:revision>4</cp:revision>
  <dcterms:created xsi:type="dcterms:W3CDTF">2024-12-19T10:49:00Z</dcterms:created>
  <dcterms:modified xsi:type="dcterms:W3CDTF">2025-03-21T10:06:00Z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e58ca594e653ef7ce848e152efbb6f36b95cee24933fb728fea79e201b4fc2cc</vt:lpwstr>
  </property>
</Properties>
</file>