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508" w:rsidRPr="000319B5" w:rsidRDefault="008F1508" w:rsidP="008F1508">
      <w:pPr>
        <w:spacing w:line="480" w:lineRule="auto"/>
        <w:jc w:val="both"/>
        <w:rPr>
          <w:rFonts w:ascii="Times New Roman" w:hAnsi="Times New Roman" w:cs="Times New Roman"/>
          <w:color w:val="000000" w:themeColor="text1"/>
          <w:sz w:val="26"/>
          <w:szCs w:val="26"/>
        </w:rPr>
      </w:pPr>
      <w:proofErr w:type="gramStart"/>
      <w:r w:rsidRPr="000319B5">
        <w:rPr>
          <w:rFonts w:ascii="Times New Roman" w:hAnsi="Times New Roman" w:cs="Times New Roman"/>
          <w:b/>
          <w:color w:val="000000" w:themeColor="text1"/>
          <w:sz w:val="24"/>
          <w:szCs w:val="24"/>
        </w:rPr>
        <w:t>Supplementary Figure S1.</w:t>
      </w:r>
      <w:proofErr w:type="gramEnd"/>
      <w:r w:rsidRPr="000319B5">
        <w:rPr>
          <w:rFonts w:ascii="Times New Roman" w:hAnsi="Times New Roman" w:cs="Times New Roman"/>
          <w:b/>
          <w:color w:val="000000" w:themeColor="text1"/>
          <w:sz w:val="24"/>
          <w:szCs w:val="24"/>
        </w:rPr>
        <w:t xml:space="preserve"> </w:t>
      </w:r>
      <w:proofErr w:type="gramStart"/>
      <w:r w:rsidRPr="000319B5">
        <w:rPr>
          <w:rFonts w:ascii="Times New Roman" w:hAnsi="Times New Roman" w:cs="Times New Roman"/>
          <w:b/>
          <w:color w:val="000000" w:themeColor="text1"/>
          <w:sz w:val="24"/>
          <w:szCs w:val="24"/>
        </w:rPr>
        <w:t>Analysis of Tau by ultracentrifugation.</w:t>
      </w:r>
      <w:proofErr w:type="gramEnd"/>
      <w:r w:rsidRPr="000319B5">
        <w:rPr>
          <w:rFonts w:ascii="Times New Roman" w:hAnsi="Times New Roman" w:cs="Times New Roman"/>
          <w:b/>
          <w:color w:val="000000" w:themeColor="text1"/>
          <w:sz w:val="24"/>
          <w:szCs w:val="24"/>
        </w:rPr>
        <w:t xml:space="preserve"> (A) </w:t>
      </w:r>
      <w:r w:rsidRPr="000319B5">
        <w:rPr>
          <w:rFonts w:ascii="Times New Roman" w:hAnsi="Times New Roman" w:cs="Times New Roman"/>
          <w:color w:val="000000" w:themeColor="text1"/>
          <w:sz w:val="24"/>
          <w:szCs w:val="24"/>
        </w:rPr>
        <w:t>Graph shows the peak profile obtained by Tau sedimentation analysis.</w:t>
      </w:r>
      <w:r w:rsidRPr="000319B5">
        <w:rPr>
          <w:rFonts w:ascii="Times New Roman" w:hAnsi="Times New Roman" w:cs="Times New Roman"/>
          <w:b/>
          <w:color w:val="000000" w:themeColor="text1"/>
          <w:sz w:val="24"/>
          <w:szCs w:val="24"/>
        </w:rPr>
        <w:t xml:space="preserve"> </w:t>
      </w:r>
      <w:r w:rsidRPr="000319B5">
        <w:rPr>
          <w:rFonts w:ascii="Times New Roman" w:hAnsi="Times New Roman" w:cs="Times New Roman"/>
          <w:color w:val="000000" w:themeColor="text1"/>
          <w:sz w:val="24"/>
          <w:szCs w:val="24"/>
        </w:rPr>
        <w:t xml:space="preserve">The </w:t>
      </w:r>
      <w:r w:rsidRPr="000319B5">
        <w:rPr>
          <w:rFonts w:ascii="Times New Roman" w:eastAsia="Times New Roman" w:hAnsi="Times New Roman" w:cs="Times New Roman"/>
          <w:color w:val="000000" w:themeColor="text1"/>
          <w:sz w:val="24"/>
          <w:szCs w:val="24"/>
          <w:lang w:eastAsia="es-ES"/>
        </w:rPr>
        <w:t xml:space="preserve">Continuous distribution c (s) and sedimentation coefficient (S) of each peak are shown. The first peak (1.7S) is compatible with the theoretical mass of elongated Tau monomers, whereas the second peak (3.0S) is compatible with the theoretical mass of elongated Tau dimers. </w:t>
      </w:r>
      <w:r w:rsidRPr="000319B5">
        <w:rPr>
          <w:rFonts w:ascii="Times New Roman" w:eastAsia="Times New Roman" w:hAnsi="Times New Roman" w:cs="Times New Roman"/>
          <w:b/>
          <w:color w:val="000000" w:themeColor="text1"/>
          <w:sz w:val="24"/>
          <w:szCs w:val="24"/>
          <w:lang w:eastAsia="es-ES"/>
        </w:rPr>
        <w:t>(B)</w:t>
      </w:r>
      <w:r w:rsidRPr="000319B5">
        <w:rPr>
          <w:rFonts w:ascii="Times New Roman" w:eastAsia="Times New Roman" w:hAnsi="Times New Roman" w:cs="Times New Roman"/>
          <w:color w:val="000000" w:themeColor="text1"/>
          <w:sz w:val="24"/>
          <w:szCs w:val="24"/>
          <w:lang w:eastAsia="es-ES"/>
        </w:rPr>
        <w:t xml:space="preserve"> Table shows the numeric values of the percentage (%) and S of each peak. Note that monomers are the most prevalent molecule in the Tau solution analyzed.</w:t>
      </w:r>
    </w:p>
    <w:p w:rsidR="008F1508" w:rsidRPr="000319B5" w:rsidRDefault="008F1508" w:rsidP="008F1508">
      <w:pPr>
        <w:spacing w:line="480" w:lineRule="auto"/>
        <w:jc w:val="both"/>
        <w:rPr>
          <w:rFonts w:ascii="Times New Roman" w:hAnsi="Times New Roman" w:cs="Times New Roman"/>
          <w:b/>
          <w:color w:val="000000" w:themeColor="text1"/>
          <w:sz w:val="24"/>
          <w:szCs w:val="24"/>
        </w:rPr>
      </w:pPr>
    </w:p>
    <w:p w:rsidR="008F1508" w:rsidRPr="000319B5" w:rsidRDefault="008F1508" w:rsidP="008F1508">
      <w:pPr>
        <w:spacing w:line="480" w:lineRule="auto"/>
        <w:jc w:val="both"/>
        <w:rPr>
          <w:rFonts w:ascii="Times New Roman" w:hAnsi="Times New Roman" w:cs="Times New Roman"/>
          <w:color w:val="000000" w:themeColor="text1"/>
          <w:sz w:val="24"/>
          <w:szCs w:val="24"/>
        </w:rPr>
      </w:pPr>
      <w:proofErr w:type="gramStart"/>
      <w:r w:rsidRPr="000319B5">
        <w:rPr>
          <w:rFonts w:ascii="Times New Roman" w:hAnsi="Times New Roman" w:cs="Times New Roman"/>
          <w:b/>
          <w:color w:val="000000" w:themeColor="text1"/>
          <w:sz w:val="24"/>
          <w:szCs w:val="24"/>
        </w:rPr>
        <w:t>Supplementary Figure S2.</w:t>
      </w:r>
      <w:proofErr w:type="gramEnd"/>
      <w:r w:rsidRPr="000319B5">
        <w:rPr>
          <w:rFonts w:ascii="Times New Roman" w:hAnsi="Times New Roman" w:cs="Times New Roman"/>
          <w:b/>
          <w:color w:val="000000" w:themeColor="text1"/>
          <w:sz w:val="24"/>
          <w:szCs w:val="24"/>
        </w:rPr>
        <w:t xml:space="preserve"> </w:t>
      </w:r>
      <w:proofErr w:type="spellStart"/>
      <w:proofErr w:type="gramStart"/>
      <w:r w:rsidRPr="000319B5">
        <w:rPr>
          <w:rFonts w:ascii="Times New Roman" w:hAnsi="Times New Roman" w:cs="Times New Roman"/>
          <w:b/>
          <w:color w:val="000000" w:themeColor="text1"/>
          <w:sz w:val="24"/>
          <w:szCs w:val="24"/>
        </w:rPr>
        <w:t>Colocalization</w:t>
      </w:r>
      <w:proofErr w:type="spellEnd"/>
      <w:r w:rsidRPr="000319B5">
        <w:rPr>
          <w:rFonts w:ascii="Times New Roman" w:hAnsi="Times New Roman" w:cs="Times New Roman"/>
          <w:b/>
          <w:color w:val="000000" w:themeColor="text1"/>
          <w:sz w:val="24"/>
          <w:szCs w:val="24"/>
        </w:rPr>
        <w:t xml:space="preserve"> between Cy5 signal and MAP-2 staining in the DG.</w:t>
      </w:r>
      <w:proofErr w:type="gramEnd"/>
      <w:r w:rsidRPr="000319B5">
        <w:rPr>
          <w:rFonts w:ascii="Times New Roman" w:hAnsi="Times New Roman" w:cs="Times New Roman"/>
          <w:b/>
          <w:color w:val="000000" w:themeColor="text1"/>
          <w:sz w:val="24"/>
          <w:szCs w:val="24"/>
        </w:rPr>
        <w:t xml:space="preserve"> </w:t>
      </w:r>
      <w:proofErr w:type="gramStart"/>
      <w:r w:rsidRPr="000319B5">
        <w:rPr>
          <w:rFonts w:ascii="Times New Roman" w:hAnsi="Times New Roman" w:cs="Times New Roman"/>
          <w:b/>
          <w:color w:val="000000" w:themeColor="text1"/>
          <w:sz w:val="24"/>
          <w:szCs w:val="24"/>
        </w:rPr>
        <w:t xml:space="preserve">(A) </w:t>
      </w:r>
      <w:r w:rsidRPr="000319B5">
        <w:rPr>
          <w:rFonts w:ascii="Times New Roman" w:hAnsi="Times New Roman" w:cs="Times New Roman"/>
          <w:color w:val="000000" w:themeColor="text1"/>
          <w:sz w:val="24"/>
          <w:szCs w:val="24"/>
        </w:rPr>
        <w:t>Representative images and their high-power magnifications showing Cy5 (red) and MAP-2 (green) staining in the DG of PBS-Cy5- and Tau-Cy5-injected animals.</w:t>
      </w:r>
      <w:proofErr w:type="gramEnd"/>
      <w:r w:rsidRPr="000319B5">
        <w:rPr>
          <w:rFonts w:ascii="Times New Roman" w:hAnsi="Times New Roman" w:cs="Times New Roman"/>
          <w:b/>
          <w:color w:val="000000" w:themeColor="text1"/>
          <w:sz w:val="24"/>
          <w:szCs w:val="24"/>
        </w:rPr>
        <w:t xml:space="preserve"> (B) </w:t>
      </w:r>
      <w:r w:rsidRPr="000319B5">
        <w:rPr>
          <w:rFonts w:ascii="Times New Roman" w:hAnsi="Times New Roman" w:cs="Times New Roman"/>
          <w:color w:val="000000" w:themeColor="text1"/>
          <w:sz w:val="24"/>
          <w:szCs w:val="24"/>
        </w:rPr>
        <w:t xml:space="preserve">Quantification of the </w:t>
      </w:r>
      <w:proofErr w:type="spellStart"/>
      <w:r w:rsidRPr="000319B5">
        <w:rPr>
          <w:rFonts w:ascii="Times New Roman" w:hAnsi="Times New Roman" w:cs="Times New Roman"/>
          <w:color w:val="000000" w:themeColor="text1"/>
          <w:sz w:val="24"/>
          <w:szCs w:val="24"/>
        </w:rPr>
        <w:t>colocalization</w:t>
      </w:r>
      <w:proofErr w:type="spellEnd"/>
      <w:r w:rsidRPr="000319B5">
        <w:rPr>
          <w:rFonts w:ascii="Times New Roman" w:hAnsi="Times New Roman" w:cs="Times New Roman"/>
          <w:color w:val="000000" w:themeColor="text1"/>
          <w:sz w:val="24"/>
          <w:szCs w:val="24"/>
        </w:rPr>
        <w:t xml:space="preserve"> between Cy5 and MAP-2 staining in the DG. As shown, a marked </w:t>
      </w:r>
      <w:proofErr w:type="spellStart"/>
      <w:r w:rsidRPr="000319B5">
        <w:rPr>
          <w:rFonts w:ascii="Times New Roman" w:hAnsi="Times New Roman" w:cs="Times New Roman"/>
          <w:color w:val="000000" w:themeColor="text1"/>
          <w:sz w:val="24"/>
          <w:szCs w:val="24"/>
        </w:rPr>
        <w:t>colocalization</w:t>
      </w:r>
      <w:proofErr w:type="spellEnd"/>
      <w:r w:rsidRPr="000319B5">
        <w:rPr>
          <w:rFonts w:ascii="Times New Roman" w:hAnsi="Times New Roman" w:cs="Times New Roman"/>
          <w:color w:val="000000" w:themeColor="text1"/>
          <w:sz w:val="24"/>
          <w:szCs w:val="24"/>
        </w:rPr>
        <w:t xml:space="preserve"> can be observed in the case of Tau-Cy5-injected animals, in comparison to PBS-Cy5-injected ones. </w:t>
      </w:r>
      <w:proofErr w:type="spellStart"/>
      <w:r w:rsidRPr="000319B5">
        <w:rPr>
          <w:rFonts w:ascii="Times New Roman" w:hAnsi="Times New Roman" w:cs="Times New Roman"/>
          <w:color w:val="000000" w:themeColor="text1"/>
          <w:sz w:val="24"/>
          <w:szCs w:val="24"/>
        </w:rPr>
        <w:t>Mander´s</w:t>
      </w:r>
      <w:proofErr w:type="spellEnd"/>
      <w:r w:rsidRPr="000319B5">
        <w:rPr>
          <w:rFonts w:ascii="Times New Roman" w:hAnsi="Times New Roman" w:cs="Times New Roman"/>
          <w:color w:val="000000" w:themeColor="text1"/>
          <w:sz w:val="24"/>
          <w:szCs w:val="24"/>
        </w:rPr>
        <w:t xml:space="preserve"> coefficients are shown. </w:t>
      </w:r>
      <w:proofErr w:type="gramStart"/>
      <w:r w:rsidRPr="000319B5">
        <w:rPr>
          <w:rFonts w:ascii="Times New Roman" w:hAnsi="Times New Roman" w:cs="Times New Roman"/>
          <w:color w:val="000000" w:themeColor="text1"/>
          <w:sz w:val="24"/>
          <w:szCs w:val="24"/>
        </w:rPr>
        <w:t xml:space="preserve">GL, Granular layer; H, </w:t>
      </w:r>
      <w:proofErr w:type="spellStart"/>
      <w:r w:rsidRPr="000319B5">
        <w:rPr>
          <w:rFonts w:ascii="Times New Roman" w:hAnsi="Times New Roman" w:cs="Times New Roman"/>
          <w:color w:val="000000" w:themeColor="text1"/>
          <w:sz w:val="24"/>
          <w:szCs w:val="24"/>
        </w:rPr>
        <w:t>Hilus</w:t>
      </w:r>
      <w:proofErr w:type="spellEnd"/>
      <w:r w:rsidRPr="000319B5">
        <w:rPr>
          <w:rFonts w:ascii="Times New Roman" w:hAnsi="Times New Roman" w:cs="Times New Roman"/>
          <w:color w:val="000000" w:themeColor="text1"/>
          <w:sz w:val="24"/>
          <w:szCs w:val="24"/>
        </w:rPr>
        <w:t>.</w:t>
      </w:r>
      <w:proofErr w:type="gramEnd"/>
      <w:r w:rsidRPr="000319B5">
        <w:rPr>
          <w:rFonts w:ascii="Times New Roman" w:hAnsi="Times New Roman" w:cs="Times New Roman"/>
          <w:color w:val="000000" w:themeColor="text1"/>
          <w:sz w:val="24"/>
          <w:szCs w:val="24"/>
        </w:rPr>
        <w:t xml:space="preserve"> Graphs represent mean ± SEM; **0.01 &gt; p ≥ 0.001 </w:t>
      </w:r>
      <w:r w:rsidRPr="000319B5">
        <w:rPr>
          <w:rFonts w:ascii="Times New Roman" w:hAnsi="Times New Roman" w:cs="Times New Roman"/>
          <w:color w:val="000000" w:themeColor="text1"/>
        </w:rPr>
        <w:t>(Mann-Whitney U test)</w:t>
      </w:r>
      <w:r w:rsidRPr="000319B5">
        <w:rPr>
          <w:rFonts w:ascii="Times New Roman" w:hAnsi="Times New Roman" w:cs="Times New Roman"/>
          <w:color w:val="000000" w:themeColor="text1"/>
          <w:sz w:val="24"/>
          <w:szCs w:val="24"/>
        </w:rPr>
        <w:t xml:space="preserve">. n= 9 mice per experimental condition. Blue scale bar: 10 µm. Red scale bar: 50 µm. </w:t>
      </w:r>
    </w:p>
    <w:p w:rsidR="008F1508" w:rsidRPr="000319B5" w:rsidRDefault="008F1508" w:rsidP="008F1508">
      <w:pPr>
        <w:spacing w:line="480" w:lineRule="auto"/>
        <w:jc w:val="both"/>
        <w:rPr>
          <w:rFonts w:ascii="Times New Roman" w:hAnsi="Times New Roman" w:cs="Times New Roman"/>
          <w:color w:val="000000" w:themeColor="text1"/>
          <w:sz w:val="24"/>
          <w:szCs w:val="24"/>
        </w:rPr>
      </w:pPr>
    </w:p>
    <w:p w:rsidR="008F1508" w:rsidRPr="000319B5" w:rsidRDefault="008F1508" w:rsidP="008F1508">
      <w:pPr>
        <w:spacing w:line="480" w:lineRule="auto"/>
        <w:jc w:val="both"/>
        <w:rPr>
          <w:rFonts w:ascii="Times New Roman" w:hAnsi="Times New Roman" w:cs="Times New Roman"/>
          <w:b/>
          <w:color w:val="000000" w:themeColor="text1"/>
          <w:sz w:val="26"/>
          <w:szCs w:val="26"/>
        </w:rPr>
      </w:pPr>
      <w:proofErr w:type="gramStart"/>
      <w:r w:rsidRPr="000319B5">
        <w:rPr>
          <w:rFonts w:ascii="Times New Roman" w:hAnsi="Times New Roman" w:cs="Times New Roman"/>
          <w:b/>
          <w:color w:val="000000" w:themeColor="text1"/>
          <w:sz w:val="24"/>
          <w:szCs w:val="24"/>
        </w:rPr>
        <w:t>Supplementary Figure S3.</w:t>
      </w:r>
      <w:proofErr w:type="gramEnd"/>
      <w:r w:rsidRPr="000319B5">
        <w:rPr>
          <w:rFonts w:ascii="Times New Roman" w:hAnsi="Times New Roman" w:cs="Times New Roman"/>
          <w:b/>
          <w:color w:val="000000" w:themeColor="text1"/>
          <w:sz w:val="24"/>
          <w:szCs w:val="24"/>
        </w:rPr>
        <w:t xml:space="preserve"> </w:t>
      </w:r>
      <w:proofErr w:type="gramStart"/>
      <w:r w:rsidRPr="000319B5">
        <w:rPr>
          <w:rFonts w:ascii="Times New Roman" w:hAnsi="Times New Roman" w:cs="Times New Roman"/>
          <w:b/>
          <w:color w:val="000000" w:themeColor="text1"/>
          <w:sz w:val="24"/>
          <w:szCs w:val="24"/>
        </w:rPr>
        <w:t>Rate of adult hippocampal neurogenesis (AHN).</w:t>
      </w:r>
      <w:proofErr w:type="gramEnd"/>
      <w:r w:rsidRPr="000319B5">
        <w:rPr>
          <w:rFonts w:ascii="Times New Roman" w:hAnsi="Times New Roman" w:cs="Times New Roman"/>
          <w:b/>
          <w:color w:val="000000" w:themeColor="text1"/>
          <w:sz w:val="24"/>
          <w:szCs w:val="24"/>
        </w:rPr>
        <w:t xml:space="preserve"> (A) </w:t>
      </w:r>
      <w:r w:rsidRPr="000319B5">
        <w:rPr>
          <w:rFonts w:ascii="Times New Roman" w:hAnsi="Times New Roman" w:cs="Times New Roman"/>
          <w:color w:val="000000" w:themeColor="text1"/>
          <w:sz w:val="24"/>
          <w:szCs w:val="24"/>
        </w:rPr>
        <w:t xml:space="preserve">Representative </w:t>
      </w:r>
      <w:proofErr w:type="spellStart"/>
      <w:proofErr w:type="gramStart"/>
      <w:r w:rsidRPr="000319B5">
        <w:rPr>
          <w:rFonts w:ascii="Times New Roman" w:hAnsi="Times New Roman" w:cs="Times New Roman"/>
          <w:color w:val="000000" w:themeColor="text1"/>
          <w:sz w:val="24"/>
          <w:szCs w:val="24"/>
        </w:rPr>
        <w:t>tilescan</w:t>
      </w:r>
      <w:proofErr w:type="spellEnd"/>
      <w:proofErr w:type="gramEnd"/>
      <w:r w:rsidRPr="000319B5">
        <w:rPr>
          <w:rFonts w:ascii="Times New Roman" w:hAnsi="Times New Roman" w:cs="Times New Roman"/>
          <w:color w:val="000000" w:themeColor="text1"/>
          <w:sz w:val="24"/>
          <w:szCs w:val="24"/>
        </w:rPr>
        <w:t xml:space="preserve"> images of the DG showing DCX staining. (</w:t>
      </w:r>
      <w:r w:rsidRPr="000319B5">
        <w:rPr>
          <w:rFonts w:ascii="Times New Roman" w:hAnsi="Times New Roman" w:cs="Times New Roman"/>
          <w:b/>
          <w:color w:val="000000" w:themeColor="text1"/>
          <w:sz w:val="24"/>
          <w:szCs w:val="24"/>
        </w:rPr>
        <w:t>B</w:t>
      </w:r>
      <w:r w:rsidRPr="000319B5">
        <w:rPr>
          <w:rFonts w:ascii="Times New Roman" w:hAnsi="Times New Roman" w:cs="Times New Roman"/>
          <w:color w:val="000000" w:themeColor="text1"/>
          <w:sz w:val="24"/>
          <w:szCs w:val="24"/>
        </w:rPr>
        <w:t>) Quantification of the number of DCX</w:t>
      </w:r>
      <w:r w:rsidRPr="000319B5">
        <w:rPr>
          <w:rFonts w:ascii="Times New Roman" w:hAnsi="Times New Roman" w:cs="Times New Roman"/>
          <w:color w:val="000000" w:themeColor="text1"/>
          <w:sz w:val="24"/>
          <w:szCs w:val="24"/>
          <w:vertAlign w:val="superscript"/>
        </w:rPr>
        <w:t>+</w:t>
      </w:r>
      <w:r w:rsidRPr="000319B5">
        <w:rPr>
          <w:rFonts w:ascii="Times New Roman" w:hAnsi="Times New Roman" w:cs="Times New Roman"/>
          <w:color w:val="000000" w:themeColor="text1"/>
          <w:sz w:val="24"/>
          <w:szCs w:val="24"/>
        </w:rPr>
        <w:t xml:space="preserve"> </w:t>
      </w:r>
      <w:proofErr w:type="spellStart"/>
      <w:r w:rsidRPr="000319B5">
        <w:rPr>
          <w:rFonts w:ascii="Times New Roman" w:hAnsi="Times New Roman" w:cs="Times New Roman"/>
          <w:color w:val="000000" w:themeColor="text1"/>
          <w:sz w:val="24"/>
          <w:szCs w:val="24"/>
        </w:rPr>
        <w:t>neuroblasts</w:t>
      </w:r>
      <w:proofErr w:type="spellEnd"/>
      <w:r w:rsidRPr="000319B5">
        <w:rPr>
          <w:rFonts w:ascii="Times New Roman" w:hAnsi="Times New Roman" w:cs="Times New Roman"/>
          <w:color w:val="000000" w:themeColor="text1"/>
          <w:sz w:val="24"/>
          <w:szCs w:val="24"/>
        </w:rPr>
        <w:t xml:space="preserve"> in the DG. (</w:t>
      </w:r>
      <w:r w:rsidRPr="000319B5">
        <w:rPr>
          <w:rFonts w:ascii="Times New Roman" w:hAnsi="Times New Roman" w:cs="Times New Roman"/>
          <w:b/>
          <w:color w:val="000000" w:themeColor="text1"/>
          <w:sz w:val="24"/>
          <w:szCs w:val="24"/>
        </w:rPr>
        <w:t>C</w:t>
      </w:r>
      <w:r w:rsidRPr="000319B5">
        <w:rPr>
          <w:rFonts w:ascii="Times New Roman" w:hAnsi="Times New Roman" w:cs="Times New Roman"/>
          <w:color w:val="000000" w:themeColor="text1"/>
          <w:sz w:val="24"/>
          <w:szCs w:val="24"/>
        </w:rPr>
        <w:t xml:space="preserve">) Quantification of the number of 12-week-old </w:t>
      </w:r>
      <w:proofErr w:type="spellStart"/>
      <w:r w:rsidRPr="000319B5">
        <w:rPr>
          <w:rFonts w:ascii="Times New Roman" w:hAnsi="Times New Roman" w:cs="Times New Roman"/>
          <w:color w:val="000000" w:themeColor="text1"/>
          <w:sz w:val="24"/>
          <w:szCs w:val="24"/>
        </w:rPr>
        <w:t>IdU</w:t>
      </w:r>
      <w:proofErr w:type="spellEnd"/>
      <w:r w:rsidRPr="000319B5">
        <w:rPr>
          <w:rFonts w:ascii="Times New Roman" w:hAnsi="Times New Roman" w:cs="Times New Roman"/>
          <w:color w:val="000000" w:themeColor="text1"/>
          <w:sz w:val="24"/>
          <w:szCs w:val="24"/>
          <w:vertAlign w:val="superscript"/>
        </w:rPr>
        <w:t>+</w:t>
      </w:r>
      <w:r w:rsidRPr="000319B5">
        <w:rPr>
          <w:rFonts w:ascii="Times New Roman" w:hAnsi="Times New Roman" w:cs="Times New Roman"/>
          <w:color w:val="000000" w:themeColor="text1"/>
          <w:sz w:val="24"/>
          <w:szCs w:val="24"/>
        </w:rPr>
        <w:t xml:space="preserve"> cells in the DG. (</w:t>
      </w:r>
      <w:r w:rsidRPr="000319B5">
        <w:rPr>
          <w:rFonts w:ascii="Times New Roman" w:hAnsi="Times New Roman" w:cs="Times New Roman"/>
          <w:b/>
          <w:color w:val="000000" w:themeColor="text1"/>
          <w:sz w:val="24"/>
          <w:szCs w:val="24"/>
        </w:rPr>
        <w:t>D</w:t>
      </w:r>
      <w:r w:rsidRPr="000319B5">
        <w:rPr>
          <w:rFonts w:ascii="Times New Roman" w:hAnsi="Times New Roman" w:cs="Times New Roman"/>
          <w:color w:val="000000" w:themeColor="text1"/>
          <w:sz w:val="24"/>
          <w:szCs w:val="24"/>
        </w:rPr>
        <w:t>) Percentage of 8-week-old RFP</w:t>
      </w:r>
      <w:r w:rsidRPr="000319B5">
        <w:rPr>
          <w:rFonts w:ascii="Times New Roman" w:hAnsi="Times New Roman" w:cs="Times New Roman"/>
          <w:color w:val="000000" w:themeColor="text1"/>
          <w:sz w:val="24"/>
          <w:szCs w:val="24"/>
          <w:vertAlign w:val="superscript"/>
        </w:rPr>
        <w:t>+</w:t>
      </w:r>
      <w:r w:rsidRPr="000319B5">
        <w:rPr>
          <w:rFonts w:ascii="Times New Roman" w:hAnsi="Times New Roman" w:cs="Times New Roman"/>
          <w:color w:val="000000" w:themeColor="text1"/>
          <w:sz w:val="24"/>
          <w:szCs w:val="24"/>
        </w:rPr>
        <w:t xml:space="preserve"> cells that expressed the mature neuron marker </w:t>
      </w:r>
      <w:proofErr w:type="spellStart"/>
      <w:r w:rsidRPr="000319B5">
        <w:rPr>
          <w:rFonts w:ascii="Times New Roman" w:hAnsi="Times New Roman" w:cs="Times New Roman"/>
          <w:color w:val="000000" w:themeColor="text1"/>
          <w:sz w:val="24"/>
          <w:szCs w:val="24"/>
        </w:rPr>
        <w:t>NeuN</w:t>
      </w:r>
      <w:proofErr w:type="spellEnd"/>
      <w:r w:rsidRPr="000319B5">
        <w:rPr>
          <w:rFonts w:ascii="Times New Roman" w:hAnsi="Times New Roman" w:cs="Times New Roman"/>
          <w:color w:val="000000" w:themeColor="text1"/>
          <w:sz w:val="24"/>
          <w:szCs w:val="24"/>
        </w:rPr>
        <w:t xml:space="preserve">. As shown, no changes in these parameters occurred in response to soluble Tau injection. These data further support the notion that no massive </w:t>
      </w:r>
      <w:r w:rsidRPr="000319B5">
        <w:rPr>
          <w:rFonts w:ascii="Times New Roman" w:hAnsi="Times New Roman" w:cs="Times New Roman"/>
          <w:color w:val="000000" w:themeColor="text1"/>
          <w:sz w:val="24"/>
          <w:szCs w:val="24"/>
        </w:rPr>
        <w:lastRenderedPageBreak/>
        <w:t xml:space="preserve">neurodegeneration occurs as a result of soluble Tau injection in the DG. </w:t>
      </w:r>
      <w:proofErr w:type="gramStart"/>
      <w:r w:rsidRPr="000319B5">
        <w:rPr>
          <w:rFonts w:ascii="Times New Roman" w:hAnsi="Times New Roman" w:cs="Times New Roman"/>
          <w:color w:val="000000" w:themeColor="text1"/>
          <w:sz w:val="24"/>
          <w:szCs w:val="24"/>
        </w:rPr>
        <w:t xml:space="preserve">DG, Dentate gyrus; ML, Molecular layer; GL, Granular layer; H, </w:t>
      </w:r>
      <w:proofErr w:type="spellStart"/>
      <w:r w:rsidRPr="000319B5">
        <w:rPr>
          <w:rFonts w:ascii="Times New Roman" w:hAnsi="Times New Roman" w:cs="Times New Roman"/>
          <w:color w:val="000000" w:themeColor="text1"/>
          <w:sz w:val="24"/>
          <w:szCs w:val="24"/>
        </w:rPr>
        <w:t>Hilus</w:t>
      </w:r>
      <w:proofErr w:type="spellEnd"/>
      <w:r w:rsidRPr="000319B5">
        <w:rPr>
          <w:rFonts w:ascii="Times New Roman" w:hAnsi="Times New Roman" w:cs="Times New Roman"/>
          <w:color w:val="000000" w:themeColor="text1"/>
          <w:sz w:val="24"/>
          <w:szCs w:val="24"/>
        </w:rPr>
        <w:t>.</w:t>
      </w:r>
      <w:proofErr w:type="gramEnd"/>
      <w:r w:rsidRPr="000319B5">
        <w:rPr>
          <w:rFonts w:ascii="Times New Roman" w:hAnsi="Times New Roman" w:cs="Times New Roman"/>
          <w:color w:val="000000" w:themeColor="text1"/>
          <w:sz w:val="24"/>
          <w:szCs w:val="24"/>
        </w:rPr>
        <w:t xml:space="preserve"> Graphs represent mean ± SEM. n= 100 cells per experimental condition. White scale bar: 100 µm. Yellow scale bar: 50 µm.</w:t>
      </w:r>
    </w:p>
    <w:p w:rsidR="001C770A" w:rsidRDefault="001C770A">
      <w:bookmarkStart w:id="0" w:name="_GoBack"/>
      <w:bookmarkEnd w:id="0"/>
    </w:p>
    <w:sectPr w:rsidR="001C77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508"/>
    <w:rsid w:val="001C770A"/>
    <w:rsid w:val="008F15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508"/>
    <w:pPr>
      <w:spacing w:after="160" w:line="259"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508"/>
    <w:pPr>
      <w:spacing w:after="160" w:line="259"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1709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dc:creator>
  <cp:lastModifiedBy>María</cp:lastModifiedBy>
  <cp:revision>1</cp:revision>
  <dcterms:created xsi:type="dcterms:W3CDTF">2017-07-04T10:51:00Z</dcterms:created>
  <dcterms:modified xsi:type="dcterms:W3CDTF">2017-07-04T10:51:00Z</dcterms:modified>
</cp:coreProperties>
</file>