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2B" w:rsidRDefault="0043112B" w:rsidP="0043112B">
      <w:r>
        <w:t>Supplemental figure S1. Scatter plots and correlations between 5C-CPT d' and CPT-IP d' for the (left pane) two-, three-, and four-digit conditions, and the (right pane) collapsed average CPT-IP d'.</w:t>
      </w:r>
    </w:p>
    <w:p w:rsidR="0043112B" w:rsidRDefault="0043112B" w:rsidP="0043112B"/>
    <w:p w:rsidR="0043112B" w:rsidRDefault="0043112B" w:rsidP="0043112B">
      <w:r>
        <w:t xml:space="preserve">Supplemental figure S2. </w:t>
      </w:r>
      <w:proofErr w:type="spellStart"/>
      <w:proofErr w:type="gramStart"/>
      <w:r>
        <w:t>Behavioral</w:t>
      </w:r>
      <w:proofErr w:type="spellEnd"/>
      <w:r>
        <w:t xml:space="preserve"> measure variance components predicting cognition.</w:t>
      </w:r>
      <w:proofErr w:type="gramEnd"/>
      <w:r>
        <w:t xml:space="preserve"> Total model variance in cognition (MCCB Total</w:t>
      </w:r>
      <w:bookmarkStart w:id="0" w:name="_GoBack"/>
      <w:bookmarkEnd w:id="0"/>
      <w:r>
        <w:t xml:space="preserve"> score) accounted for was 49.3%. Outer circles depict the unique variance proportions for each predictor. The CPT-IP-2 accounted for 19.6% of the variance, while the 5C-CPT uniquely accounted for only 1.7%. The variance shared between the 5C-CPT and the CPT-IP-2 accounted for 28.0 % of the variance in cognition.</w:t>
      </w:r>
    </w:p>
    <w:p w:rsidR="0043112B" w:rsidRDefault="0043112B" w:rsidP="0043112B"/>
    <w:p w:rsidR="0043112B" w:rsidRDefault="0043112B" w:rsidP="0043112B">
      <w:proofErr w:type="gramStart"/>
      <w:r>
        <w:t>Supplemental Table 1.</w:t>
      </w:r>
      <w:proofErr w:type="gramEnd"/>
      <w:r>
        <w:t xml:space="preserve"> </w:t>
      </w:r>
      <w:proofErr w:type="spellStart"/>
      <w:r>
        <w:t>Behavioral</w:t>
      </w:r>
      <w:proofErr w:type="spellEnd"/>
      <w:r>
        <w:t xml:space="preserve"> task performance and MCCB composite and subscale means, standard errors and response ranges. * indicates p&lt;0.01. </w:t>
      </w:r>
    </w:p>
    <w:p w:rsidR="0043112B" w:rsidRDefault="0043112B" w:rsidP="0043112B"/>
    <w:p w:rsidR="00BE0D8C" w:rsidRDefault="0043112B" w:rsidP="0043112B">
      <w:proofErr w:type="gramStart"/>
      <w:r>
        <w:t>Supplemental Table 2.</w:t>
      </w:r>
      <w:proofErr w:type="gramEnd"/>
      <w:r>
        <w:t xml:space="preserve"> Pearson correlations between 5C-CPT and CPT-IP-2 d's, MCCB composite (without the CPT-IP included), subscale T-Scores, and SANS and SAPS total scores. Statistical significance (*) was determined based on a </w:t>
      </w:r>
      <w:proofErr w:type="spellStart"/>
      <w:r>
        <w:t>Bonnferoni</w:t>
      </w:r>
      <w:proofErr w:type="spellEnd"/>
      <w:r>
        <w:t xml:space="preserve"> correction, which required p&lt;0.004. Plus symbol (+) indicates corrected trend-level significance p&lt;0.01. Right column depicts p-values for Fisher-z correlation comparisons between left and middle columns using single-sided testing.</w:t>
      </w:r>
    </w:p>
    <w:sectPr w:rsidR="00BE0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2B"/>
    <w:rsid w:val="0043112B"/>
    <w:rsid w:val="007D0D73"/>
    <w:rsid w:val="007D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Sims, Melissa</dc:creator>
  <cp:lastModifiedBy>Sims, Melissa</cp:lastModifiedBy>
  <cp:revision>1</cp:revision>
  <dcterms:created xsi:type="dcterms:W3CDTF">2018-03-14T14:51:00Z</dcterms:created>
  <dcterms:modified xsi:type="dcterms:W3CDTF">2018-03-14T14:52:00Z</dcterms:modified>
</cp:coreProperties>
</file>