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D0" w:rsidRPr="005C0666" w:rsidRDefault="00CB14D0" w:rsidP="00CB14D0">
      <w:pPr>
        <w:spacing w:line="247" w:lineRule="auto"/>
        <w:ind w:left="495" w:right="491"/>
        <w:jc w:val="both"/>
        <w:rPr>
          <w:b/>
          <w:bCs/>
          <w:w w:val="105"/>
          <w:sz w:val="28"/>
          <w:szCs w:val="28"/>
          <w:lang w:val="en-CA"/>
        </w:rPr>
      </w:pPr>
      <w:r w:rsidRPr="005C0666">
        <w:rPr>
          <w:b/>
          <w:sz w:val="28"/>
          <w:szCs w:val="28"/>
        </w:rPr>
        <w:t>Figure Legends Supplement</w:t>
      </w:r>
    </w:p>
    <w:p w:rsidR="00CB14D0" w:rsidRPr="005C0666" w:rsidRDefault="00CB14D0" w:rsidP="00CB14D0">
      <w:pPr>
        <w:spacing w:line="247" w:lineRule="auto"/>
        <w:ind w:left="495" w:right="491"/>
        <w:jc w:val="both"/>
        <w:rPr>
          <w:b/>
          <w:bCs/>
          <w:w w:val="105"/>
          <w:lang w:val="en-CA"/>
        </w:rPr>
      </w:pPr>
    </w:p>
    <w:p w:rsidR="00CB14D0" w:rsidRPr="005C0666" w:rsidRDefault="00CB14D0" w:rsidP="00CB14D0">
      <w:pPr>
        <w:spacing w:line="247" w:lineRule="auto"/>
        <w:ind w:left="495" w:right="491"/>
        <w:jc w:val="both"/>
        <w:rPr>
          <w:w w:val="105"/>
          <w:lang w:val="en-CA"/>
        </w:rPr>
      </w:pPr>
      <w:r w:rsidRPr="005C0666">
        <w:rPr>
          <w:b/>
          <w:bCs/>
          <w:w w:val="105"/>
          <w:lang w:val="en-CA"/>
        </w:rPr>
        <w:t xml:space="preserve">Figure S1: </w:t>
      </w:r>
      <w:r w:rsidRPr="005C0666">
        <w:rPr>
          <w:b/>
          <w:bCs/>
          <w:w w:val="105"/>
        </w:rPr>
        <w:t>A.</w:t>
      </w:r>
      <w:r w:rsidRPr="005C0666">
        <w:rPr>
          <w:w w:val="105"/>
        </w:rPr>
        <w:t xml:space="preserve"> Pearson’s correlation of all methylation values from capture sequencing with pyro sequencing. </w:t>
      </w:r>
      <w:r w:rsidRPr="005C0666">
        <w:rPr>
          <w:b/>
          <w:bCs/>
          <w:w w:val="105"/>
        </w:rPr>
        <w:t>B-F:</w:t>
      </w:r>
      <w:r w:rsidRPr="005C0666">
        <w:rPr>
          <w:w w:val="105"/>
        </w:rPr>
        <w:t xml:space="preserve"> Pyro-sequencing validations of capture sequencing arrays of </w:t>
      </w:r>
      <w:r w:rsidRPr="005C0666">
        <w:rPr>
          <w:i/>
          <w:iCs/>
          <w:w w:val="105"/>
        </w:rPr>
        <w:t xml:space="preserve">Olfr322, </w:t>
      </w:r>
      <w:proofErr w:type="spellStart"/>
      <w:r w:rsidRPr="005C0666">
        <w:rPr>
          <w:i/>
          <w:iCs/>
          <w:w w:val="105"/>
        </w:rPr>
        <w:t>Tspo</w:t>
      </w:r>
      <w:proofErr w:type="spellEnd"/>
      <w:r w:rsidRPr="005C0666">
        <w:rPr>
          <w:i/>
          <w:iCs/>
          <w:w w:val="105"/>
        </w:rPr>
        <w:t>, Morc1, Spp2</w:t>
      </w:r>
      <w:r w:rsidRPr="005C0666">
        <w:rPr>
          <w:w w:val="105"/>
        </w:rPr>
        <w:t xml:space="preserve"> and </w:t>
      </w:r>
      <w:r w:rsidRPr="005C0666">
        <w:rPr>
          <w:i/>
          <w:iCs/>
          <w:w w:val="105"/>
        </w:rPr>
        <w:t>Tmem56</w:t>
      </w:r>
      <w:r w:rsidRPr="005C0666">
        <w:rPr>
          <w:w w:val="105"/>
        </w:rPr>
        <w:t xml:space="preserve">. </w:t>
      </w:r>
      <w:r w:rsidRPr="005C0666">
        <w:rPr>
          <w:w w:val="105"/>
          <w:lang w:val="en-CA"/>
        </w:rPr>
        <w:t>Each bar plot shows average methylation levels (+/- SEM) of f</w:t>
      </w:r>
      <w:proofErr w:type="spellStart"/>
      <w:r w:rsidRPr="005C0666">
        <w:rPr>
          <w:w w:val="105"/>
        </w:rPr>
        <w:t>etal</w:t>
      </w:r>
      <w:proofErr w:type="spellEnd"/>
      <w:r w:rsidRPr="005C0666">
        <w:rPr>
          <w:w w:val="105"/>
        </w:rPr>
        <w:t xml:space="preserve"> placentae in males and females. </w:t>
      </w:r>
      <w:r w:rsidRPr="005C0666">
        <w:rPr>
          <w:w w:val="105"/>
          <w:lang w:val="en-CA"/>
        </w:rPr>
        <w:t xml:space="preserve"> Two-factorial (genotype and sex) ANOVA was run and unpaired t test were performed to specify sex*genotype-interactions *p&lt;0.05, **p&lt;0.01, ***p&lt;0.001. Welch’s correction was applied when variances between groups were significantly different. </w:t>
      </w:r>
    </w:p>
    <w:p w:rsidR="00CB14D0" w:rsidRPr="005C0666" w:rsidRDefault="00CB14D0" w:rsidP="00CB14D0">
      <w:pPr>
        <w:spacing w:line="247" w:lineRule="auto"/>
        <w:ind w:left="495" w:right="491"/>
        <w:jc w:val="both"/>
        <w:rPr>
          <w:w w:val="105"/>
        </w:rPr>
      </w:pPr>
    </w:p>
    <w:p w:rsidR="00CB14D0" w:rsidRPr="005C0666" w:rsidRDefault="00CB14D0" w:rsidP="00CB14D0">
      <w:pPr>
        <w:spacing w:line="247" w:lineRule="auto"/>
        <w:ind w:left="495" w:right="491"/>
        <w:jc w:val="both"/>
        <w:rPr>
          <w:w w:val="105"/>
          <w:lang w:val="en-CA"/>
        </w:rPr>
      </w:pPr>
      <w:r w:rsidRPr="005C0666">
        <w:rPr>
          <w:b/>
          <w:bCs/>
          <w:w w:val="105"/>
          <w:lang w:val="en-CA"/>
        </w:rPr>
        <w:t>Figure S2:</w:t>
      </w:r>
      <w:r w:rsidRPr="005C0666">
        <w:rPr>
          <w:w w:val="105"/>
          <w:lang w:val="en-CA"/>
        </w:rPr>
        <w:t xml:space="preserve"> Genome-wide methylation tracks for </w:t>
      </w:r>
      <w:proofErr w:type="spellStart"/>
      <w:r w:rsidRPr="005C0666">
        <w:rPr>
          <w:w w:val="105"/>
          <w:lang w:val="en-CA"/>
        </w:rPr>
        <w:t>CpG</w:t>
      </w:r>
      <w:proofErr w:type="spellEnd"/>
      <w:r w:rsidRPr="005C0666">
        <w:rPr>
          <w:w w:val="105"/>
          <w:lang w:val="en-CA"/>
        </w:rPr>
        <w:t xml:space="preserve"> sites via Integrative Genomics Viewer (broad institute).</w:t>
      </w:r>
      <w:r w:rsidRPr="005C0666">
        <w:rPr>
          <w:b/>
          <w:bCs/>
          <w:w w:val="105"/>
          <w:lang w:val="en-CA"/>
        </w:rPr>
        <w:t xml:space="preserve"> </w:t>
      </w:r>
      <w:r w:rsidRPr="005C0666">
        <w:rPr>
          <w:w w:val="105"/>
          <w:lang w:val="en-CA"/>
        </w:rPr>
        <w:t xml:space="preserve">Comparison is shown for female </w:t>
      </w:r>
      <w:proofErr w:type="spellStart"/>
      <w:r w:rsidRPr="005C0666">
        <w:rPr>
          <w:w w:val="105"/>
          <w:lang w:val="en-CA"/>
        </w:rPr>
        <w:t>vs</w:t>
      </w:r>
      <w:proofErr w:type="spellEnd"/>
      <w:r w:rsidRPr="005C0666">
        <w:rPr>
          <w:w w:val="105"/>
          <w:lang w:val="en-CA"/>
        </w:rPr>
        <w:t xml:space="preserve"> male </w:t>
      </w:r>
      <w:proofErr w:type="spellStart"/>
      <w:r w:rsidRPr="005C0666">
        <w:rPr>
          <w:w w:val="105"/>
          <w:lang w:val="en-CA"/>
        </w:rPr>
        <w:t>wildtype</w:t>
      </w:r>
      <w:proofErr w:type="spellEnd"/>
      <w:r w:rsidRPr="005C0666">
        <w:rPr>
          <w:w w:val="105"/>
          <w:lang w:val="en-CA"/>
        </w:rPr>
        <w:t xml:space="preserve">, female </w:t>
      </w:r>
      <w:proofErr w:type="spellStart"/>
      <w:r w:rsidRPr="005C0666">
        <w:rPr>
          <w:w w:val="105"/>
          <w:lang w:val="en-CA"/>
        </w:rPr>
        <w:t>wildtype</w:t>
      </w:r>
      <w:proofErr w:type="spellEnd"/>
      <w:r w:rsidRPr="005C0666">
        <w:rPr>
          <w:w w:val="105"/>
          <w:lang w:val="en-CA"/>
        </w:rPr>
        <w:t xml:space="preserve"> </w:t>
      </w:r>
      <w:proofErr w:type="spellStart"/>
      <w:r w:rsidRPr="005C0666">
        <w:rPr>
          <w:w w:val="105"/>
          <w:lang w:val="en-CA"/>
        </w:rPr>
        <w:t>vs</w:t>
      </w:r>
      <w:proofErr w:type="spellEnd"/>
      <w:r w:rsidRPr="005C0666">
        <w:rPr>
          <w:w w:val="105"/>
          <w:lang w:val="en-CA"/>
        </w:rPr>
        <w:t xml:space="preserve"> female </w:t>
      </w:r>
      <w:r w:rsidRPr="005C0666">
        <w:rPr>
          <w:i/>
          <w:iCs/>
          <w:w w:val="105"/>
        </w:rPr>
        <w:t>Nr3c1</w:t>
      </w:r>
      <w:r w:rsidRPr="005C0666">
        <w:rPr>
          <w:w w:val="105"/>
          <w:lang w:val="en-CA"/>
        </w:rPr>
        <w:t xml:space="preserve"> heterozygous, male </w:t>
      </w:r>
      <w:proofErr w:type="spellStart"/>
      <w:r w:rsidRPr="005C0666">
        <w:rPr>
          <w:w w:val="105"/>
          <w:lang w:val="en-CA"/>
        </w:rPr>
        <w:t>wildtype</w:t>
      </w:r>
      <w:proofErr w:type="spellEnd"/>
      <w:r w:rsidRPr="005C0666">
        <w:rPr>
          <w:w w:val="105"/>
          <w:lang w:val="en-CA"/>
        </w:rPr>
        <w:t xml:space="preserve"> </w:t>
      </w:r>
      <w:proofErr w:type="spellStart"/>
      <w:r w:rsidRPr="005C0666">
        <w:rPr>
          <w:w w:val="105"/>
          <w:lang w:val="en-CA"/>
        </w:rPr>
        <w:t>vs</w:t>
      </w:r>
      <w:proofErr w:type="spellEnd"/>
      <w:r w:rsidRPr="005C0666">
        <w:rPr>
          <w:w w:val="105"/>
          <w:lang w:val="en-CA"/>
        </w:rPr>
        <w:t xml:space="preserve"> male </w:t>
      </w:r>
      <w:r w:rsidRPr="005C0666">
        <w:rPr>
          <w:i/>
          <w:iCs/>
          <w:w w:val="105"/>
        </w:rPr>
        <w:t>Nr3c1</w:t>
      </w:r>
      <w:r w:rsidRPr="005C0666">
        <w:rPr>
          <w:w w:val="105"/>
          <w:lang w:val="en-CA"/>
        </w:rPr>
        <w:t xml:space="preserve"> heterozygous and male </w:t>
      </w:r>
      <w:proofErr w:type="spellStart"/>
      <w:r w:rsidRPr="005C0666">
        <w:rPr>
          <w:w w:val="105"/>
          <w:lang w:val="en-CA"/>
        </w:rPr>
        <w:t>vs</w:t>
      </w:r>
      <w:proofErr w:type="spellEnd"/>
      <w:r w:rsidRPr="005C0666">
        <w:rPr>
          <w:w w:val="105"/>
          <w:lang w:val="en-CA"/>
        </w:rPr>
        <w:t xml:space="preserve"> female </w:t>
      </w:r>
      <w:r w:rsidRPr="005C0666">
        <w:rPr>
          <w:i/>
          <w:iCs/>
          <w:w w:val="105"/>
        </w:rPr>
        <w:t>Nr3c1</w:t>
      </w:r>
      <w:r w:rsidRPr="005C0666">
        <w:rPr>
          <w:w w:val="105"/>
          <w:lang w:val="en-CA"/>
        </w:rPr>
        <w:t xml:space="preserve"> heterozygous animals. </w:t>
      </w:r>
    </w:p>
    <w:p w:rsidR="00CB14D0" w:rsidRPr="005C0666" w:rsidRDefault="00CB14D0" w:rsidP="00CB14D0">
      <w:pPr>
        <w:spacing w:line="247" w:lineRule="auto"/>
        <w:ind w:left="495" w:right="491"/>
        <w:jc w:val="both"/>
        <w:rPr>
          <w:w w:val="105"/>
        </w:rPr>
      </w:pPr>
    </w:p>
    <w:p w:rsidR="00CB14D0" w:rsidRPr="005C0666" w:rsidRDefault="00CB14D0" w:rsidP="00CB14D0">
      <w:pPr>
        <w:spacing w:line="247" w:lineRule="auto"/>
        <w:ind w:left="495" w:right="491"/>
        <w:jc w:val="both"/>
        <w:rPr>
          <w:w w:val="105"/>
        </w:rPr>
      </w:pPr>
      <w:r w:rsidRPr="005C0666">
        <w:rPr>
          <w:b/>
          <w:bCs/>
          <w:w w:val="105"/>
        </w:rPr>
        <w:t>Figures S3: Ingenuity Pathway Analysis:</w:t>
      </w:r>
      <w:r w:rsidRPr="005C0666">
        <w:rPr>
          <w:w w:val="105"/>
        </w:rPr>
        <w:t xml:space="preserve"> Canonical pathways for genes </w:t>
      </w:r>
      <w:proofErr w:type="spellStart"/>
      <w:r w:rsidRPr="005C0666">
        <w:rPr>
          <w:w w:val="105"/>
        </w:rPr>
        <w:t>hypermethylated</w:t>
      </w:r>
      <w:proofErr w:type="spellEnd"/>
      <w:r w:rsidRPr="005C0666">
        <w:rPr>
          <w:w w:val="105"/>
        </w:rPr>
        <w:t xml:space="preserve"> in males and </w:t>
      </w:r>
      <w:proofErr w:type="spellStart"/>
      <w:r w:rsidRPr="005C0666">
        <w:rPr>
          <w:w w:val="105"/>
        </w:rPr>
        <w:t>hypomethylated</w:t>
      </w:r>
      <w:proofErr w:type="spellEnd"/>
      <w:r w:rsidRPr="005C0666">
        <w:rPr>
          <w:w w:val="105"/>
        </w:rPr>
        <w:t xml:space="preserve"> in females after Nr3c1 knockout. The first 30 pathways with the lowest p-value are depicted.</w:t>
      </w:r>
    </w:p>
    <w:p w:rsidR="00CB14D0" w:rsidRPr="005C0666" w:rsidRDefault="00CB14D0" w:rsidP="00CB14D0">
      <w:pPr>
        <w:spacing w:line="247" w:lineRule="auto"/>
        <w:ind w:left="495" w:right="491"/>
        <w:jc w:val="both"/>
        <w:rPr>
          <w:w w:val="105"/>
        </w:rPr>
      </w:pPr>
    </w:p>
    <w:p w:rsidR="00CB14D0" w:rsidRPr="005C0666" w:rsidRDefault="00CB14D0" w:rsidP="00CB14D0">
      <w:pPr>
        <w:spacing w:line="247" w:lineRule="auto"/>
        <w:ind w:left="495" w:right="491"/>
        <w:jc w:val="both"/>
        <w:rPr>
          <w:w w:val="105"/>
        </w:rPr>
      </w:pPr>
      <w:r w:rsidRPr="005C0666">
        <w:rPr>
          <w:b/>
          <w:bCs/>
          <w:w w:val="105"/>
        </w:rPr>
        <w:t>Figure S4: Ingenuity Pathways Analysis:</w:t>
      </w:r>
      <w:r w:rsidRPr="005C0666">
        <w:rPr>
          <w:w w:val="105"/>
        </w:rPr>
        <w:t xml:space="preserve"> Canonical pathways for genes </w:t>
      </w:r>
      <w:proofErr w:type="spellStart"/>
      <w:r w:rsidRPr="005C0666">
        <w:rPr>
          <w:w w:val="105"/>
        </w:rPr>
        <w:t>hypomethylated</w:t>
      </w:r>
      <w:proofErr w:type="spellEnd"/>
      <w:r w:rsidRPr="005C0666">
        <w:rPr>
          <w:w w:val="105"/>
        </w:rPr>
        <w:t xml:space="preserve"> in males and </w:t>
      </w:r>
      <w:proofErr w:type="spellStart"/>
      <w:r w:rsidRPr="005C0666">
        <w:rPr>
          <w:w w:val="105"/>
        </w:rPr>
        <w:t>hypermethlyated</w:t>
      </w:r>
      <w:proofErr w:type="spellEnd"/>
      <w:r w:rsidRPr="005C0666">
        <w:rPr>
          <w:w w:val="105"/>
        </w:rPr>
        <w:t xml:space="preserve"> in females after Nr3c1 knockout. The first 30 pathways with the lowest p-value are depicted.</w:t>
      </w:r>
    </w:p>
    <w:p w:rsidR="00CB14D0" w:rsidRPr="005C0666" w:rsidRDefault="00CB14D0" w:rsidP="00CB14D0">
      <w:pPr>
        <w:spacing w:line="247" w:lineRule="auto"/>
        <w:ind w:left="495" w:right="491"/>
        <w:jc w:val="both"/>
        <w:rPr>
          <w:w w:val="105"/>
        </w:rPr>
      </w:pPr>
    </w:p>
    <w:p w:rsidR="00BE0D8C" w:rsidRDefault="00CB14D0">
      <w:bookmarkStart w:id="0" w:name="_GoBack"/>
      <w:bookmarkEnd w:id="0"/>
    </w:p>
    <w:sectPr w:rsidR="00BE0D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D0"/>
    <w:rsid w:val="007D0D73"/>
    <w:rsid w:val="007D466F"/>
    <w:rsid w:val="00CB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B14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B14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Sims, Melissa</dc:creator>
  <cp:lastModifiedBy>Sims, Melissa</cp:lastModifiedBy>
  <cp:revision>1</cp:revision>
  <dcterms:created xsi:type="dcterms:W3CDTF">2018-12-07T12:08:00Z</dcterms:created>
  <dcterms:modified xsi:type="dcterms:W3CDTF">2018-12-07T12:08:00Z</dcterms:modified>
</cp:coreProperties>
</file>