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C54488" w14:textId="77777777" w:rsidR="00DC7503" w:rsidRDefault="00DC7503" w:rsidP="00AE7843">
      <w:pPr>
        <w:spacing w:line="480" w:lineRule="auto"/>
        <w:jc w:val="both"/>
        <w:rPr>
          <w:b/>
        </w:rPr>
      </w:pPr>
      <w:r>
        <w:rPr>
          <w:b/>
        </w:rPr>
        <w:t>Supplementary Figures &amp; Tables</w:t>
      </w:r>
    </w:p>
    <w:p w14:paraId="2EE2F59E" w14:textId="77777777" w:rsidR="00DC7503" w:rsidRDefault="00DC7503" w:rsidP="00AE7843">
      <w:pPr>
        <w:spacing w:line="480" w:lineRule="auto"/>
        <w:jc w:val="both"/>
        <w:rPr>
          <w:b/>
        </w:rPr>
      </w:pPr>
      <w:r>
        <w:rPr>
          <w:b/>
        </w:rPr>
        <w:t xml:space="preserve">Supplementary Figure 1.  </w:t>
      </w:r>
      <w:r>
        <w:t xml:space="preserve">Venn diagrams represent the number of enriched pathways in SCZ DLPFC and rat PFC following chronic treatment with risperidone or haloperidol.  </w:t>
      </w:r>
      <w:r w:rsidR="00B9762D">
        <w:t>Significant</w:t>
      </w:r>
      <w:r>
        <w:t xml:space="preserve"> overlapping pathways are listed in the accompanying box.</w:t>
      </w:r>
    </w:p>
    <w:p w14:paraId="0906110C" w14:textId="084FD355" w:rsidR="00DC7503" w:rsidRPr="00AE7843" w:rsidRDefault="00DC7503" w:rsidP="00AE7843">
      <w:pPr>
        <w:spacing w:line="480" w:lineRule="auto"/>
        <w:jc w:val="both"/>
      </w:pPr>
      <w:r>
        <w:rPr>
          <w:b/>
        </w:rPr>
        <w:t>Supplementary Figure 2.</w:t>
      </w:r>
      <w:r>
        <w:t xml:space="preserve">  GABAergic transcripts in DLPFC, hippocampus and striatum from subjects with bipolar disorder (red), MDD (green), schizophrenia (blue), or unaffected comparison subjects (grey).  Values are normalized to the median of each control group and plotted in log2 scale. FDR adjusted p-values: #p&lt;0.1, *p &lt; 0.05.</w:t>
      </w:r>
    </w:p>
    <w:p w14:paraId="48C8C111" w14:textId="77777777" w:rsidR="00DC7503" w:rsidRDefault="00DC7503" w:rsidP="00AE7843">
      <w:pPr>
        <w:spacing w:line="480" w:lineRule="auto"/>
        <w:jc w:val="both"/>
      </w:pPr>
      <w:r>
        <w:rPr>
          <w:b/>
        </w:rPr>
        <w:t>Supplementary Table 1.</w:t>
      </w:r>
      <w:r>
        <w:t xml:space="preserve"> Human subject and sample information.  Values are mean ± standard deviation.  PMI = post-mortem interval.  RIN = RNA Integrity Number.  Tobacco use at time of death (ATOD): Y = yes, N = no, U = unknown.  MOD = Manner of Death (N = natural; A = accidental; S = suicide). </w:t>
      </w:r>
    </w:p>
    <w:p w14:paraId="58A37C7F" w14:textId="77777777" w:rsidR="00DC7503" w:rsidRDefault="00DC7503" w:rsidP="00AE7843">
      <w:pPr>
        <w:spacing w:line="480" w:lineRule="auto"/>
        <w:jc w:val="both"/>
      </w:pPr>
      <w:r>
        <w:rPr>
          <w:b/>
        </w:rPr>
        <w:t>Supplementary Table 2.</w:t>
      </w:r>
      <w:r>
        <w:t xml:space="preserve"> Taq</w:t>
      </w:r>
      <w:r w:rsidR="00B9762D">
        <w:t>M</w:t>
      </w:r>
      <w:r>
        <w:t>an assay information.  HUGO gene ID is shown in the first column, followed by Taq</w:t>
      </w:r>
      <w:r w:rsidR="00B9762D">
        <w:t>M</w:t>
      </w:r>
      <w:r>
        <w:t xml:space="preserve">an assay ID, full gene name, chromosomal location, and </w:t>
      </w:r>
      <w:proofErr w:type="spellStart"/>
      <w:r>
        <w:t>exonic</w:t>
      </w:r>
      <w:proofErr w:type="spellEnd"/>
      <w:r>
        <w:t xml:space="preserve"> region targeted by the probe set.</w:t>
      </w:r>
    </w:p>
    <w:p w14:paraId="12EBED61" w14:textId="77777777" w:rsidR="00DC7503" w:rsidRPr="008305ED" w:rsidRDefault="00DC7503" w:rsidP="00AE7843">
      <w:pPr>
        <w:spacing w:line="480" w:lineRule="auto"/>
        <w:jc w:val="both"/>
      </w:pPr>
      <w:r>
        <w:rPr>
          <w:b/>
        </w:rPr>
        <w:t>Supplementary Table 3.</w:t>
      </w:r>
      <w:r>
        <w:t xml:space="preserve">  ANCOVA and least-square means (LSM) tables for all RT-PCR and cytokine data.  The p-values shown in the last column of the LSM tables are FDR-adjusted values.</w:t>
      </w:r>
    </w:p>
    <w:p w14:paraId="22F86014" w14:textId="6F340A3F" w:rsidR="0059761D" w:rsidRPr="0059761D" w:rsidRDefault="0059761D" w:rsidP="00AE7843">
      <w:pPr>
        <w:spacing w:line="480" w:lineRule="auto"/>
        <w:jc w:val="both"/>
      </w:pPr>
      <w:r>
        <w:rPr>
          <w:b/>
        </w:rPr>
        <w:t>Supplementary Table 4</w:t>
      </w:r>
      <w:r>
        <w:rPr>
          <w:b/>
        </w:rPr>
        <w:t xml:space="preserve">.  </w:t>
      </w:r>
      <w:r w:rsidRPr="008305ED">
        <w:t xml:space="preserve">Numbers represent genes with </w:t>
      </w:r>
      <w:r>
        <w:t xml:space="preserve">FDR-adjusted </w:t>
      </w:r>
      <w:r w:rsidRPr="008305ED">
        <w:t xml:space="preserve">p-value &lt;0.05 and ≥1.2-fold difference from control subjects. PFC = </w:t>
      </w:r>
      <w:proofErr w:type="spellStart"/>
      <w:r w:rsidRPr="008305ED">
        <w:t>Brodmann</w:t>
      </w:r>
      <w:proofErr w:type="spellEnd"/>
      <w:r w:rsidRPr="008305ED">
        <w:t xml:space="preserve"> area 46, H</w:t>
      </w:r>
      <w:r>
        <w:t>IP</w:t>
      </w:r>
      <w:r w:rsidRPr="008305ED">
        <w:t xml:space="preserve"> = hippocampal formation, STR = associative striatum.</w:t>
      </w:r>
    </w:p>
    <w:p w14:paraId="7FFE6286" w14:textId="75EDE5B0" w:rsidR="00DC7503" w:rsidRDefault="00DC7503" w:rsidP="00AE7843">
      <w:pPr>
        <w:spacing w:line="480" w:lineRule="auto"/>
        <w:jc w:val="both"/>
      </w:pPr>
      <w:r>
        <w:rPr>
          <w:b/>
        </w:rPr>
        <w:t xml:space="preserve">Supplementary Table </w:t>
      </w:r>
      <w:r w:rsidR="0059761D">
        <w:rPr>
          <w:b/>
        </w:rPr>
        <w:t>5</w:t>
      </w:r>
      <w:r>
        <w:rPr>
          <w:b/>
        </w:rPr>
        <w:t>.</w:t>
      </w:r>
      <w:r>
        <w:t xml:space="preserve">  Differentially expressed </w:t>
      </w:r>
      <w:proofErr w:type="spellStart"/>
      <w:r>
        <w:t>probesets</w:t>
      </w:r>
      <w:proofErr w:type="spellEnd"/>
      <w:r>
        <w:t xml:space="preserve"> (p&lt;0.05, &gt;1.2-fold change) for DLPFC, hippocampus and associative striatum from subjects with schizophrenia, bipolar disorder or MDD.</w:t>
      </w:r>
    </w:p>
    <w:p w14:paraId="5D16A909" w14:textId="61DF2D69" w:rsidR="00DC7503" w:rsidRDefault="00DC7503" w:rsidP="00AE7843">
      <w:pPr>
        <w:spacing w:line="480" w:lineRule="auto"/>
        <w:jc w:val="both"/>
      </w:pPr>
      <w:r w:rsidRPr="000C331B">
        <w:rPr>
          <w:b/>
        </w:rPr>
        <w:lastRenderedPageBreak/>
        <w:t xml:space="preserve">Supplementary Table </w:t>
      </w:r>
      <w:r w:rsidR="0059761D">
        <w:rPr>
          <w:b/>
        </w:rPr>
        <w:t>6</w:t>
      </w:r>
      <w:r w:rsidRPr="000C331B">
        <w:rPr>
          <w:b/>
        </w:rPr>
        <w:t>.</w:t>
      </w:r>
      <w:r>
        <w:t xml:space="preserve"> Full list of significantly enriched pathways in each region in schizophrenia, bipolar disorder and MDD.</w:t>
      </w:r>
    </w:p>
    <w:p w14:paraId="495FAFEF" w14:textId="0D86EB9A" w:rsidR="00DC7503" w:rsidRDefault="00DC7503" w:rsidP="00AE7843">
      <w:pPr>
        <w:spacing w:line="480" w:lineRule="auto"/>
        <w:jc w:val="both"/>
      </w:pPr>
      <w:r>
        <w:rPr>
          <w:b/>
        </w:rPr>
        <w:t xml:space="preserve">Supplementary Table </w:t>
      </w:r>
      <w:r w:rsidR="0059761D">
        <w:rPr>
          <w:b/>
        </w:rPr>
        <w:t>7</w:t>
      </w:r>
      <w:r>
        <w:rPr>
          <w:b/>
        </w:rPr>
        <w:t>.</w:t>
      </w:r>
      <w:r>
        <w:t xml:space="preserve">  Differentially expressed genes </w:t>
      </w:r>
      <w:r w:rsidR="0059761D">
        <w:t xml:space="preserve">in rats treated with haloperidol or </w:t>
      </w:r>
      <w:proofErr w:type="spellStart"/>
      <w:r w:rsidR="0059761D">
        <w:t>risperidol</w:t>
      </w:r>
      <w:proofErr w:type="spellEnd"/>
      <w:r w:rsidR="0059761D">
        <w:t>.</w:t>
      </w:r>
    </w:p>
    <w:p w14:paraId="0C091E08" w14:textId="5FE2F9F5" w:rsidR="0059761D" w:rsidRDefault="0059761D" w:rsidP="00AE7843">
      <w:pPr>
        <w:spacing w:line="480" w:lineRule="auto"/>
        <w:jc w:val="both"/>
      </w:pPr>
      <w:r w:rsidRPr="0059761D">
        <w:rPr>
          <w:b/>
        </w:rPr>
        <w:t>Supplementary Table 8.</w:t>
      </w:r>
      <w:r>
        <w:t xml:space="preserve">  Gene membership for modules identified by WGCNA.</w:t>
      </w:r>
    </w:p>
    <w:p w14:paraId="219C222B" w14:textId="4388DE69" w:rsidR="0059761D" w:rsidRDefault="0059761D" w:rsidP="00AE7843">
      <w:pPr>
        <w:spacing w:line="480" w:lineRule="auto"/>
        <w:jc w:val="both"/>
      </w:pPr>
      <w:bookmarkStart w:id="0" w:name="_GoBack"/>
      <w:r w:rsidRPr="0059761D">
        <w:rPr>
          <w:b/>
        </w:rPr>
        <w:t>Supplementary Table 9.</w:t>
      </w:r>
      <w:r>
        <w:t xml:space="preserve">  </w:t>
      </w:r>
      <w:bookmarkEnd w:id="0"/>
      <w:r>
        <w:t>Correlation of different WGCNA modules with disease status.</w:t>
      </w:r>
    </w:p>
    <w:p w14:paraId="76ED52B7" w14:textId="77777777" w:rsidR="00DC7503" w:rsidRDefault="00DC7503" w:rsidP="00DC7503">
      <w:pPr>
        <w:jc w:val="both"/>
      </w:pPr>
    </w:p>
    <w:p w14:paraId="098B3018" w14:textId="77777777" w:rsidR="008F640A" w:rsidRDefault="008F640A"/>
    <w:sectPr w:rsidR="008F640A">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AE0A06" w14:textId="77777777" w:rsidR="00173492" w:rsidRDefault="00173492">
      <w:pPr>
        <w:spacing w:after="0" w:line="240" w:lineRule="auto"/>
      </w:pPr>
      <w:r>
        <w:separator/>
      </w:r>
    </w:p>
  </w:endnote>
  <w:endnote w:type="continuationSeparator" w:id="0">
    <w:p w14:paraId="20B884E6" w14:textId="77777777" w:rsidR="00173492" w:rsidRDefault="001734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00004FF" w:usb2="00000000" w:usb3="00000000" w:csb0="0000019F" w:csb1="00000000"/>
  </w:font>
  <w:font w:name="MS Mincho">
    <w:altName w:val="ＭＳ 明朝"/>
    <w:panose1 w:val="02020609040205080304"/>
    <w:charset w:val="80"/>
    <w:family w:val="modern"/>
    <w:notTrueType/>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8F8EBC" w14:textId="77777777" w:rsidR="00D6776C" w:rsidRDefault="00DC7503">
    <w:pPr>
      <w:pStyle w:val="Footer"/>
      <w:jc w:val="center"/>
    </w:pPr>
    <w:r>
      <w:rPr>
        <w:rFonts w:ascii="Times New Roman" w:hAnsi="Times New Roman"/>
      </w:rPr>
      <w:t xml:space="preserve">Page </w:t>
    </w:r>
    <w:r>
      <w:rPr>
        <w:rFonts w:ascii="Times New Roman" w:hAnsi="Times New Roman"/>
      </w:rPr>
      <w:fldChar w:fldCharType="begin"/>
    </w:r>
    <w:r>
      <w:rPr>
        <w:rFonts w:ascii="Times New Roman" w:hAnsi="Times New Roman"/>
      </w:rPr>
      <w:instrText xml:space="preserve"> PAGE </w:instrText>
    </w:r>
    <w:r>
      <w:rPr>
        <w:rFonts w:ascii="Times New Roman" w:hAnsi="Times New Roman"/>
      </w:rPr>
      <w:fldChar w:fldCharType="separate"/>
    </w:r>
    <w:r w:rsidR="00AE7843">
      <w:rPr>
        <w:rFonts w:ascii="Times New Roman" w:hAnsi="Times New Roman"/>
        <w:noProof/>
      </w:rPr>
      <w:t>1</w:t>
    </w:r>
    <w:r>
      <w:rPr>
        <w:rFonts w:ascii="Times New Roman" w:hAnsi="Times New Roman"/>
      </w:rPr>
      <w:fldChar w:fldCharType="end"/>
    </w:r>
    <w:r>
      <w:rPr>
        <w:rFonts w:ascii="Times New Roman" w:hAnsi="Times New Roman"/>
      </w:rPr>
      <w:t xml:space="preserve"> of </w:t>
    </w:r>
    <w:r>
      <w:rPr>
        <w:rFonts w:ascii="Times New Roman" w:hAnsi="Times New Roman"/>
      </w:rPr>
      <w:fldChar w:fldCharType="begin"/>
    </w:r>
    <w:r>
      <w:rPr>
        <w:rFonts w:ascii="Times New Roman" w:hAnsi="Times New Roman"/>
      </w:rPr>
      <w:instrText xml:space="preserve"> NUMPAGES </w:instrText>
    </w:r>
    <w:r>
      <w:rPr>
        <w:rFonts w:ascii="Times New Roman" w:hAnsi="Times New Roman"/>
      </w:rPr>
      <w:fldChar w:fldCharType="separate"/>
    </w:r>
    <w:r w:rsidR="00AE7843">
      <w:rPr>
        <w:rFonts w:ascii="Times New Roman" w:hAnsi="Times New Roman"/>
        <w:noProof/>
      </w:rPr>
      <w:t>1</w:t>
    </w:r>
    <w:r>
      <w:rPr>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DDDBF8" w14:textId="77777777" w:rsidR="00173492" w:rsidRDefault="00173492">
      <w:pPr>
        <w:spacing w:after="0" w:line="240" w:lineRule="auto"/>
      </w:pPr>
      <w:r>
        <w:separator/>
      </w:r>
    </w:p>
  </w:footnote>
  <w:footnote w:type="continuationSeparator" w:id="0">
    <w:p w14:paraId="7605192F" w14:textId="77777777" w:rsidR="00173492" w:rsidRDefault="0017349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C7503"/>
    <w:rsid w:val="00173492"/>
    <w:rsid w:val="004D2DF0"/>
    <w:rsid w:val="00581354"/>
    <w:rsid w:val="0059761D"/>
    <w:rsid w:val="008F640A"/>
    <w:rsid w:val="00AE7843"/>
    <w:rsid w:val="00B9762D"/>
    <w:rsid w:val="00DC75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5143EF"/>
  <w14:defaultImageDpi w14:val="300"/>
  <w15:docId w15:val="{24B5B04A-31C8-A346-82F6-F9E2AB286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C7503"/>
    <w:pPr>
      <w:spacing w:after="200" w:line="276" w:lineRule="auto"/>
    </w:pPr>
    <w:rPr>
      <w:rFonts w:ascii="Calibri" w:eastAsia="Calibri" w:hAnsi="Calibri"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C7503"/>
    <w:pPr>
      <w:tabs>
        <w:tab w:val="center" w:pos="4320"/>
        <w:tab w:val="right" w:pos="8640"/>
      </w:tabs>
    </w:pPr>
  </w:style>
  <w:style w:type="character" w:customStyle="1" w:styleId="FooterChar">
    <w:name w:val="Footer Char"/>
    <w:basedOn w:val="DefaultParagraphFont"/>
    <w:link w:val="Footer"/>
    <w:uiPriority w:val="99"/>
    <w:rsid w:val="00DC7503"/>
    <w:rPr>
      <w:rFonts w:ascii="Calibri" w:eastAsia="Calibri" w:hAnsi="Calibri"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298</Words>
  <Characters>1773</Characters>
  <Application>Microsoft Office Word</Application>
  <DocSecurity>0</DocSecurity>
  <Lines>30</Lines>
  <Paragraphs>9</Paragraphs>
  <ScaleCrop>false</ScaleCrop>
  <Company>Pfizer, Inc</Company>
  <LinksUpToDate>false</LinksUpToDate>
  <CharactersWithSpaces>2062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Lanz</dc:creator>
  <cp:keywords/>
  <dc:description/>
  <cp:lastModifiedBy>Tom Lanz</cp:lastModifiedBy>
  <cp:revision>4</cp:revision>
  <dcterms:created xsi:type="dcterms:W3CDTF">2016-10-31T15:07:00Z</dcterms:created>
  <dcterms:modified xsi:type="dcterms:W3CDTF">2019-04-24T14:31:00Z</dcterms:modified>
</cp:coreProperties>
</file>