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46501F" w14:textId="3B8515E3" w:rsidR="005D6F0E" w:rsidRPr="005D6F0E" w:rsidRDefault="00616C05" w:rsidP="005D6F0E">
      <w:pPr>
        <w:pStyle w:val="NoSpacing"/>
        <w:spacing w:line="480" w:lineRule="auto"/>
        <w:jc w:val="center"/>
        <w:outlineLvl w:val="0"/>
        <w:rPr>
          <w:rFonts w:ascii="Times New Roman" w:hAnsi="Times New Roman"/>
          <w:b/>
          <w:sz w:val="24"/>
          <w:szCs w:val="24"/>
        </w:rPr>
      </w:pPr>
      <w:r>
        <w:rPr>
          <w:rFonts w:ascii="Times New Roman" w:hAnsi="Times New Roman"/>
          <w:b/>
          <w:sz w:val="24"/>
          <w:szCs w:val="24"/>
        </w:rPr>
        <w:t xml:space="preserve">SUPPLEMENTAL </w:t>
      </w:r>
      <w:r w:rsidRPr="00193738">
        <w:rPr>
          <w:rFonts w:ascii="Times New Roman" w:hAnsi="Times New Roman"/>
          <w:b/>
          <w:sz w:val="24"/>
          <w:szCs w:val="24"/>
        </w:rPr>
        <w:t>M</w:t>
      </w:r>
      <w:r>
        <w:rPr>
          <w:rFonts w:ascii="Times New Roman" w:hAnsi="Times New Roman"/>
          <w:b/>
          <w:sz w:val="24"/>
          <w:szCs w:val="24"/>
        </w:rPr>
        <w:t>ATERIALS</w:t>
      </w:r>
    </w:p>
    <w:p w14:paraId="637C8848" w14:textId="247E5A30" w:rsidR="005D6F0E" w:rsidRPr="004462A6" w:rsidRDefault="005D6F0E" w:rsidP="005D6F0E">
      <w:pPr>
        <w:pStyle w:val="NoSpacing2"/>
        <w:outlineLvl w:val="0"/>
        <w:rPr>
          <w:b/>
          <w:i/>
        </w:rPr>
      </w:pPr>
      <w:r w:rsidRPr="004462A6">
        <w:rPr>
          <w:b/>
          <w:i/>
        </w:rPr>
        <w:t xml:space="preserve">s1. Genotyping, quality control and imputation </w:t>
      </w:r>
      <w:r w:rsidRPr="004462A6">
        <w:rPr>
          <w:b/>
          <w:i/>
        </w:rPr>
        <w:tab/>
      </w:r>
      <w:r w:rsidRPr="004462A6">
        <w:rPr>
          <w:b/>
          <w:i/>
        </w:rPr>
        <w:tab/>
      </w:r>
      <w:r w:rsidRPr="004462A6">
        <w:rPr>
          <w:b/>
          <w:i/>
        </w:rPr>
        <w:tab/>
      </w:r>
      <w:r w:rsidRPr="004462A6">
        <w:rPr>
          <w:b/>
          <w:i/>
        </w:rPr>
        <w:tab/>
      </w:r>
      <w:r w:rsidRPr="004462A6">
        <w:rPr>
          <w:b/>
          <w:i/>
        </w:rPr>
        <w:tab/>
      </w:r>
      <w:r w:rsidRPr="004462A6">
        <w:t>pag.</w:t>
      </w:r>
      <w:r w:rsidR="000559B5">
        <w:t>2</w:t>
      </w:r>
    </w:p>
    <w:p w14:paraId="6907CBF7" w14:textId="7E74B7CF" w:rsidR="000A03B5" w:rsidRPr="004462A6" w:rsidRDefault="00063614" w:rsidP="000A03B5">
      <w:pPr>
        <w:pStyle w:val="NoSpacing2"/>
        <w:outlineLvl w:val="0"/>
        <w:rPr>
          <w:b/>
          <w:i/>
        </w:rPr>
      </w:pPr>
      <w:r w:rsidRPr="004462A6">
        <w:rPr>
          <w:b/>
          <w:i/>
        </w:rPr>
        <w:t>s</w:t>
      </w:r>
      <w:r w:rsidR="005D6F0E" w:rsidRPr="004462A6">
        <w:rPr>
          <w:b/>
          <w:i/>
        </w:rPr>
        <w:t>2</w:t>
      </w:r>
      <w:r w:rsidRPr="004462A6">
        <w:rPr>
          <w:b/>
          <w:i/>
        </w:rPr>
        <w:t>.Processing of n3-PUFA GWAS summary statistics</w:t>
      </w:r>
      <w:r w:rsidR="00616C05" w:rsidRPr="004462A6">
        <w:tab/>
      </w:r>
      <w:r w:rsidR="00616C05" w:rsidRPr="004462A6">
        <w:tab/>
      </w:r>
      <w:r w:rsidR="00616C05" w:rsidRPr="004462A6">
        <w:tab/>
      </w:r>
      <w:r w:rsidR="00616C05" w:rsidRPr="004462A6">
        <w:tab/>
        <w:t>pag.</w:t>
      </w:r>
      <w:r w:rsidR="000559B5">
        <w:t>3</w:t>
      </w:r>
    </w:p>
    <w:p w14:paraId="243130E4" w14:textId="76CDF985" w:rsidR="000A03B5" w:rsidRPr="004462A6" w:rsidRDefault="004A217D" w:rsidP="000A03B5">
      <w:pPr>
        <w:pStyle w:val="NoSpacing2"/>
        <w:outlineLvl w:val="0"/>
        <w:rPr>
          <w:b/>
          <w:i/>
        </w:rPr>
      </w:pPr>
      <w:r>
        <w:rPr>
          <w:b/>
          <w:i/>
        </w:rPr>
        <w:t xml:space="preserve">Supplemental </w:t>
      </w:r>
      <w:proofErr w:type="spellStart"/>
      <w:r w:rsidR="000A03B5" w:rsidRPr="004462A6">
        <w:rPr>
          <w:b/>
          <w:i/>
        </w:rPr>
        <w:t>eTable</w:t>
      </w:r>
      <w:proofErr w:type="spellEnd"/>
      <w:r w:rsidR="000A03B5" w:rsidRPr="004462A6">
        <w:rPr>
          <w:b/>
          <w:i/>
        </w:rPr>
        <w:t xml:space="preserve"> 1</w:t>
      </w:r>
      <w:r w:rsidR="000559B5" w:rsidRPr="000559B5">
        <w:t xml:space="preserve"> </w:t>
      </w:r>
      <w:r w:rsidR="000559B5">
        <w:tab/>
      </w:r>
      <w:r w:rsidR="000559B5">
        <w:tab/>
      </w:r>
      <w:r w:rsidR="000559B5">
        <w:tab/>
      </w:r>
      <w:r w:rsidR="000559B5">
        <w:tab/>
      </w:r>
      <w:r w:rsidR="000559B5">
        <w:tab/>
      </w:r>
      <w:r w:rsidR="000559B5">
        <w:tab/>
      </w:r>
      <w:r w:rsidR="000559B5">
        <w:tab/>
      </w:r>
      <w:r w:rsidR="000559B5">
        <w:tab/>
      </w:r>
      <w:r w:rsidR="000559B5" w:rsidRPr="004462A6">
        <w:t>pag.</w:t>
      </w:r>
      <w:r w:rsidR="000559B5">
        <w:t>3</w:t>
      </w:r>
    </w:p>
    <w:p w14:paraId="2D29DC36" w14:textId="42AC834A" w:rsidR="000A03B5" w:rsidRPr="004462A6" w:rsidRDefault="000A03B5" w:rsidP="000A03B5">
      <w:pPr>
        <w:pStyle w:val="NoSpacing2"/>
        <w:outlineLvl w:val="0"/>
        <w:rPr>
          <w:b/>
          <w:i/>
        </w:rPr>
      </w:pPr>
      <w:r w:rsidRPr="004462A6">
        <w:rPr>
          <w:b/>
          <w:i/>
        </w:rPr>
        <w:t>s</w:t>
      </w:r>
      <w:r w:rsidR="005D6F0E" w:rsidRPr="004462A6">
        <w:rPr>
          <w:b/>
          <w:i/>
        </w:rPr>
        <w:t>3</w:t>
      </w:r>
      <w:r w:rsidRPr="004462A6">
        <w:rPr>
          <w:b/>
          <w:i/>
        </w:rPr>
        <w:t>. PRS analyses</w:t>
      </w:r>
      <w:r w:rsidRPr="004462A6">
        <w:t xml:space="preserve"> </w:t>
      </w:r>
      <w:r w:rsidRPr="004462A6">
        <w:tab/>
      </w:r>
      <w:r w:rsidRPr="004462A6">
        <w:tab/>
      </w:r>
      <w:r w:rsidRPr="004462A6">
        <w:tab/>
      </w:r>
      <w:r w:rsidRPr="004462A6">
        <w:tab/>
      </w:r>
      <w:r w:rsidRPr="004462A6">
        <w:tab/>
      </w:r>
      <w:r w:rsidRPr="004462A6">
        <w:tab/>
      </w:r>
      <w:r w:rsidRPr="004462A6">
        <w:tab/>
      </w:r>
      <w:r w:rsidRPr="004462A6">
        <w:tab/>
      </w:r>
      <w:r w:rsidRPr="004462A6">
        <w:tab/>
        <w:t>pag.</w:t>
      </w:r>
      <w:r w:rsidR="00A671C9">
        <w:t>4</w:t>
      </w:r>
    </w:p>
    <w:p w14:paraId="5AE46B9A" w14:textId="7096B90E" w:rsidR="005D6F0E" w:rsidRPr="004462A6" w:rsidRDefault="005D6F0E" w:rsidP="000A03B5">
      <w:pPr>
        <w:pStyle w:val="NoSpacing2"/>
        <w:outlineLvl w:val="0"/>
        <w:rPr>
          <w:b/>
          <w:i/>
        </w:rPr>
      </w:pPr>
      <w:r w:rsidRPr="004462A6">
        <w:rPr>
          <w:b/>
          <w:i/>
        </w:rPr>
        <w:t xml:space="preserve">s3.1 PRS generation </w:t>
      </w:r>
      <w:r w:rsidRPr="004462A6">
        <w:rPr>
          <w:b/>
          <w:i/>
        </w:rPr>
        <w:tab/>
      </w:r>
      <w:r w:rsidRPr="004462A6">
        <w:rPr>
          <w:b/>
          <w:i/>
        </w:rPr>
        <w:tab/>
      </w:r>
      <w:r w:rsidRPr="004462A6">
        <w:rPr>
          <w:b/>
          <w:i/>
        </w:rPr>
        <w:tab/>
      </w:r>
      <w:r w:rsidRPr="004462A6">
        <w:rPr>
          <w:b/>
          <w:i/>
        </w:rPr>
        <w:tab/>
      </w:r>
      <w:r w:rsidRPr="004462A6">
        <w:rPr>
          <w:b/>
          <w:i/>
        </w:rPr>
        <w:tab/>
      </w:r>
      <w:r w:rsidRPr="004462A6">
        <w:rPr>
          <w:b/>
          <w:i/>
        </w:rPr>
        <w:tab/>
      </w:r>
      <w:r w:rsidRPr="004462A6">
        <w:rPr>
          <w:b/>
          <w:i/>
        </w:rPr>
        <w:tab/>
      </w:r>
      <w:r w:rsidRPr="004462A6">
        <w:rPr>
          <w:b/>
          <w:i/>
        </w:rPr>
        <w:tab/>
      </w:r>
      <w:r w:rsidRPr="004462A6">
        <w:rPr>
          <w:b/>
          <w:i/>
        </w:rPr>
        <w:tab/>
      </w:r>
      <w:r w:rsidRPr="004462A6">
        <w:t>pag.</w:t>
      </w:r>
      <w:r w:rsidR="00A671C9">
        <w:t>4</w:t>
      </w:r>
    </w:p>
    <w:p w14:paraId="39F1D0B8" w14:textId="5CACF2E0" w:rsidR="000A03B5" w:rsidRPr="004462A6" w:rsidRDefault="000A03B5" w:rsidP="000A03B5">
      <w:pPr>
        <w:pStyle w:val="NoSpacing2"/>
        <w:outlineLvl w:val="0"/>
        <w:rPr>
          <w:b/>
          <w:i/>
        </w:rPr>
      </w:pPr>
      <w:r w:rsidRPr="004462A6">
        <w:rPr>
          <w:b/>
          <w:i/>
        </w:rPr>
        <w:t>s</w:t>
      </w:r>
      <w:r w:rsidR="005D6F0E" w:rsidRPr="004462A6">
        <w:rPr>
          <w:b/>
          <w:i/>
        </w:rPr>
        <w:t>3</w:t>
      </w:r>
      <w:r w:rsidRPr="004462A6">
        <w:rPr>
          <w:b/>
          <w:i/>
        </w:rPr>
        <w:t>.</w:t>
      </w:r>
      <w:r w:rsidR="005D6F0E" w:rsidRPr="004462A6">
        <w:rPr>
          <w:b/>
          <w:i/>
        </w:rPr>
        <w:t>2</w:t>
      </w:r>
      <w:r w:rsidRPr="004462A6">
        <w:rPr>
          <w:b/>
          <w:i/>
        </w:rPr>
        <w:t xml:space="preserve"> Estimation of variance explained by the PRS</w:t>
      </w:r>
      <w:r w:rsidRPr="004462A6">
        <w:t xml:space="preserve"> </w:t>
      </w:r>
      <w:r w:rsidRPr="004462A6">
        <w:tab/>
      </w:r>
      <w:r w:rsidRPr="004462A6">
        <w:tab/>
      </w:r>
      <w:r w:rsidRPr="004462A6">
        <w:tab/>
      </w:r>
      <w:r w:rsidRPr="004462A6">
        <w:tab/>
      </w:r>
      <w:r w:rsidRPr="004462A6">
        <w:tab/>
        <w:t>pag.</w:t>
      </w:r>
      <w:r w:rsidR="00A671C9">
        <w:t>4</w:t>
      </w:r>
    </w:p>
    <w:p w14:paraId="49B5D5FC" w14:textId="527EE88D" w:rsidR="000A03B5" w:rsidRPr="004462A6" w:rsidRDefault="000A03B5" w:rsidP="000A03B5">
      <w:pPr>
        <w:spacing w:line="480" w:lineRule="auto"/>
        <w:outlineLvl w:val="0"/>
        <w:rPr>
          <w:b/>
          <w:i/>
        </w:rPr>
      </w:pPr>
      <w:r w:rsidRPr="004462A6">
        <w:rPr>
          <w:b/>
          <w:i/>
        </w:rPr>
        <w:t>s</w:t>
      </w:r>
      <w:r w:rsidR="004462A6" w:rsidRPr="004462A6">
        <w:rPr>
          <w:b/>
          <w:i/>
        </w:rPr>
        <w:t>4</w:t>
      </w:r>
      <w:r w:rsidRPr="004462A6">
        <w:rPr>
          <w:b/>
          <w:i/>
        </w:rPr>
        <w:t>. Mendelian randomization</w:t>
      </w:r>
      <w:r w:rsidRPr="004462A6">
        <w:t xml:space="preserve"> </w:t>
      </w:r>
      <w:r w:rsidRPr="004462A6">
        <w:tab/>
      </w:r>
      <w:r w:rsidRPr="004462A6">
        <w:tab/>
      </w:r>
      <w:r w:rsidRPr="004462A6">
        <w:tab/>
      </w:r>
      <w:r w:rsidRPr="004462A6">
        <w:tab/>
      </w:r>
      <w:r w:rsidRPr="004462A6">
        <w:tab/>
      </w:r>
      <w:r w:rsidRPr="004462A6">
        <w:tab/>
      </w:r>
      <w:r w:rsidRPr="004462A6">
        <w:tab/>
        <w:t>pag.</w:t>
      </w:r>
      <w:r w:rsidR="00A671C9">
        <w:t>6</w:t>
      </w:r>
    </w:p>
    <w:p w14:paraId="637653AC" w14:textId="0F819AE7" w:rsidR="00417BE4" w:rsidRPr="004462A6" w:rsidRDefault="000A03B5" w:rsidP="000A03B5">
      <w:pPr>
        <w:spacing w:line="480" w:lineRule="auto"/>
        <w:outlineLvl w:val="0"/>
        <w:rPr>
          <w:b/>
          <w:i/>
        </w:rPr>
      </w:pPr>
      <w:r w:rsidRPr="004462A6">
        <w:rPr>
          <w:b/>
          <w:i/>
        </w:rPr>
        <w:t>s</w:t>
      </w:r>
      <w:r w:rsidR="004462A6" w:rsidRPr="004462A6">
        <w:rPr>
          <w:b/>
          <w:i/>
        </w:rPr>
        <w:t>4</w:t>
      </w:r>
      <w:r w:rsidRPr="004462A6">
        <w:rPr>
          <w:b/>
          <w:i/>
        </w:rPr>
        <w:t>.1 Selection of independent SNPs as instruments for MR</w:t>
      </w:r>
      <w:r w:rsidR="00417BE4" w:rsidRPr="004462A6">
        <w:rPr>
          <w:b/>
          <w:i/>
        </w:rPr>
        <w:tab/>
      </w:r>
      <w:r w:rsidR="00417BE4" w:rsidRPr="004462A6">
        <w:rPr>
          <w:b/>
          <w:i/>
        </w:rPr>
        <w:tab/>
      </w:r>
      <w:r w:rsidR="00417BE4" w:rsidRPr="004462A6">
        <w:rPr>
          <w:b/>
          <w:i/>
        </w:rPr>
        <w:tab/>
      </w:r>
      <w:r w:rsidR="00417BE4" w:rsidRPr="004462A6">
        <w:t>pag.</w:t>
      </w:r>
      <w:r w:rsidR="00A671C9">
        <w:t>6</w:t>
      </w:r>
    </w:p>
    <w:p w14:paraId="70D19A98" w14:textId="7FD660DE" w:rsidR="00B27C98" w:rsidRDefault="00795C79" w:rsidP="000A03B5">
      <w:pPr>
        <w:spacing w:line="480" w:lineRule="auto"/>
        <w:outlineLvl w:val="0"/>
        <w:rPr>
          <w:b/>
          <w:i/>
        </w:rPr>
      </w:pPr>
      <w:r w:rsidRPr="007A3630">
        <w:rPr>
          <w:b/>
          <w:i/>
        </w:rPr>
        <w:t>s</w:t>
      </w:r>
      <w:r>
        <w:rPr>
          <w:b/>
          <w:i/>
        </w:rPr>
        <w:t>4</w:t>
      </w:r>
      <w:r w:rsidRPr="007A3630">
        <w:rPr>
          <w:b/>
          <w:i/>
        </w:rPr>
        <w:t>.</w:t>
      </w:r>
      <w:r>
        <w:rPr>
          <w:b/>
          <w:i/>
        </w:rPr>
        <w:t xml:space="preserve">2 Power to detect a significant causal estimate in one-sample MR analyses </w:t>
      </w:r>
      <w:r>
        <w:rPr>
          <w:b/>
          <w:i/>
        </w:rPr>
        <w:tab/>
      </w:r>
      <w:r w:rsidRPr="004462A6">
        <w:t>pag.</w:t>
      </w:r>
      <w:r>
        <w:t>7</w:t>
      </w:r>
    </w:p>
    <w:p w14:paraId="3DF792AE" w14:textId="568D9112" w:rsidR="00616C05" w:rsidRPr="004462A6" w:rsidRDefault="000A03B5" w:rsidP="000A03B5">
      <w:pPr>
        <w:spacing w:line="480" w:lineRule="auto"/>
        <w:outlineLvl w:val="0"/>
        <w:rPr>
          <w:b/>
          <w:i/>
        </w:rPr>
      </w:pPr>
      <w:r w:rsidRPr="004462A6">
        <w:rPr>
          <w:b/>
          <w:i/>
        </w:rPr>
        <w:t>s</w:t>
      </w:r>
      <w:r w:rsidR="004462A6" w:rsidRPr="004462A6">
        <w:rPr>
          <w:b/>
          <w:i/>
        </w:rPr>
        <w:t>4</w:t>
      </w:r>
      <w:r w:rsidRPr="004462A6">
        <w:rPr>
          <w:b/>
          <w:i/>
        </w:rPr>
        <w:t>.</w:t>
      </w:r>
      <w:r w:rsidR="00AC7B09">
        <w:rPr>
          <w:b/>
          <w:i/>
        </w:rPr>
        <w:t>3</w:t>
      </w:r>
      <w:r w:rsidRPr="004462A6">
        <w:rPr>
          <w:b/>
          <w:i/>
        </w:rPr>
        <w:t xml:space="preserve"> MR plots</w:t>
      </w:r>
      <w:r w:rsidRPr="004462A6">
        <w:rPr>
          <w:b/>
          <w:i/>
        </w:rPr>
        <w:tab/>
      </w:r>
      <w:r w:rsidRPr="004462A6">
        <w:rPr>
          <w:b/>
          <w:i/>
        </w:rPr>
        <w:tab/>
      </w:r>
      <w:r w:rsidRPr="004462A6">
        <w:rPr>
          <w:b/>
          <w:i/>
        </w:rPr>
        <w:tab/>
      </w:r>
      <w:r w:rsidRPr="004462A6">
        <w:rPr>
          <w:b/>
          <w:i/>
        </w:rPr>
        <w:tab/>
      </w:r>
      <w:r w:rsidR="00DC34CD" w:rsidRPr="004462A6">
        <w:rPr>
          <w:b/>
          <w:i/>
        </w:rPr>
        <w:tab/>
      </w:r>
      <w:r w:rsidR="00DC34CD" w:rsidRPr="004462A6">
        <w:rPr>
          <w:b/>
          <w:i/>
        </w:rPr>
        <w:tab/>
      </w:r>
      <w:r w:rsidR="00DC34CD" w:rsidRPr="004462A6">
        <w:rPr>
          <w:b/>
          <w:i/>
        </w:rPr>
        <w:tab/>
      </w:r>
      <w:r w:rsidR="00A63FDC" w:rsidRPr="004462A6">
        <w:tab/>
      </w:r>
      <w:r w:rsidR="00A63FDC" w:rsidRPr="004462A6">
        <w:tab/>
      </w:r>
      <w:r w:rsidR="00616C05" w:rsidRPr="004462A6">
        <w:tab/>
        <w:t>pag.</w:t>
      </w:r>
      <w:r w:rsidR="00795C79">
        <w:t>8</w:t>
      </w:r>
    </w:p>
    <w:p w14:paraId="1394B738" w14:textId="61189CB7" w:rsidR="006229AD" w:rsidRPr="004462A6" w:rsidRDefault="004A217D" w:rsidP="000A03B5">
      <w:pPr>
        <w:pStyle w:val="NoSpacing2"/>
        <w:outlineLvl w:val="0"/>
      </w:pPr>
      <w:r>
        <w:rPr>
          <w:b/>
          <w:i/>
        </w:rPr>
        <w:t>Supplemental</w:t>
      </w:r>
      <w:r w:rsidRPr="004462A6">
        <w:rPr>
          <w:b/>
          <w:i/>
        </w:rPr>
        <w:t xml:space="preserve"> </w:t>
      </w:r>
      <w:proofErr w:type="spellStart"/>
      <w:r w:rsidR="000A03B5" w:rsidRPr="004462A6">
        <w:rPr>
          <w:b/>
          <w:i/>
        </w:rPr>
        <w:t>eFigure</w:t>
      </w:r>
      <w:proofErr w:type="spellEnd"/>
      <w:r w:rsidR="000A03B5" w:rsidRPr="004462A6">
        <w:rPr>
          <w:b/>
          <w:i/>
        </w:rPr>
        <w:t xml:space="preserve"> </w:t>
      </w:r>
      <w:r w:rsidR="00795C79">
        <w:rPr>
          <w:b/>
          <w:i/>
        </w:rPr>
        <w:t>1</w:t>
      </w:r>
      <w:r w:rsidR="000A03B5" w:rsidRPr="004462A6">
        <w:rPr>
          <w:b/>
          <w:i/>
        </w:rPr>
        <w:tab/>
      </w:r>
      <w:r w:rsidR="000A03B5" w:rsidRPr="004462A6">
        <w:rPr>
          <w:b/>
          <w:i/>
        </w:rPr>
        <w:tab/>
      </w:r>
      <w:r w:rsidR="000A03B5" w:rsidRPr="004462A6">
        <w:rPr>
          <w:b/>
          <w:i/>
        </w:rPr>
        <w:tab/>
      </w:r>
      <w:r w:rsidR="006229AD" w:rsidRPr="004462A6">
        <w:rPr>
          <w:b/>
          <w:i/>
        </w:rPr>
        <w:tab/>
      </w:r>
      <w:r w:rsidR="006229AD" w:rsidRPr="004462A6">
        <w:rPr>
          <w:b/>
          <w:i/>
        </w:rPr>
        <w:tab/>
      </w:r>
      <w:r w:rsidR="006229AD" w:rsidRPr="004462A6">
        <w:rPr>
          <w:b/>
          <w:i/>
          <w:lang w:eastAsia="it-IT"/>
        </w:rPr>
        <w:tab/>
      </w:r>
      <w:r w:rsidR="006229AD" w:rsidRPr="004462A6">
        <w:rPr>
          <w:b/>
          <w:i/>
          <w:lang w:eastAsia="it-IT"/>
        </w:rPr>
        <w:tab/>
      </w:r>
      <w:r w:rsidR="006229AD" w:rsidRPr="004462A6">
        <w:rPr>
          <w:b/>
          <w:i/>
          <w:lang w:eastAsia="it-IT"/>
        </w:rPr>
        <w:tab/>
      </w:r>
      <w:r w:rsidR="006726F8" w:rsidRPr="004462A6">
        <w:t>pag.</w:t>
      </w:r>
      <w:r w:rsidR="00795C79">
        <w:t>8</w:t>
      </w:r>
    </w:p>
    <w:p w14:paraId="7F2D1D18" w14:textId="55D92536" w:rsidR="000A03B5" w:rsidRPr="004462A6" w:rsidRDefault="004A217D" w:rsidP="000A03B5">
      <w:pPr>
        <w:pStyle w:val="NoSpacing2"/>
        <w:outlineLvl w:val="0"/>
        <w:rPr>
          <w:b/>
          <w:i/>
        </w:rPr>
      </w:pPr>
      <w:r>
        <w:rPr>
          <w:b/>
          <w:i/>
        </w:rPr>
        <w:t>Supplemental</w:t>
      </w:r>
      <w:r w:rsidRPr="004462A6">
        <w:rPr>
          <w:b/>
          <w:i/>
        </w:rPr>
        <w:t xml:space="preserve"> </w:t>
      </w:r>
      <w:proofErr w:type="spellStart"/>
      <w:r w:rsidR="000A03B5" w:rsidRPr="004462A6">
        <w:rPr>
          <w:b/>
          <w:i/>
        </w:rPr>
        <w:t>eFigure</w:t>
      </w:r>
      <w:proofErr w:type="spellEnd"/>
      <w:r w:rsidR="000A03B5" w:rsidRPr="004462A6">
        <w:rPr>
          <w:b/>
          <w:i/>
        </w:rPr>
        <w:t xml:space="preserve"> </w:t>
      </w:r>
      <w:r w:rsidR="00795C79">
        <w:rPr>
          <w:b/>
          <w:i/>
        </w:rPr>
        <w:t>2</w:t>
      </w:r>
      <w:r w:rsidR="000A03B5" w:rsidRPr="004462A6">
        <w:rPr>
          <w:b/>
          <w:i/>
        </w:rPr>
        <w:tab/>
      </w:r>
      <w:r w:rsidR="000A03B5" w:rsidRPr="004462A6">
        <w:rPr>
          <w:b/>
          <w:i/>
        </w:rPr>
        <w:tab/>
      </w:r>
      <w:r w:rsidR="000A03B5" w:rsidRPr="004462A6">
        <w:rPr>
          <w:b/>
          <w:i/>
        </w:rPr>
        <w:tab/>
      </w:r>
      <w:r w:rsidR="000A03B5" w:rsidRPr="004462A6">
        <w:rPr>
          <w:b/>
          <w:i/>
        </w:rPr>
        <w:tab/>
      </w:r>
      <w:r w:rsidR="000A03B5" w:rsidRPr="004462A6">
        <w:rPr>
          <w:b/>
          <w:i/>
        </w:rPr>
        <w:tab/>
      </w:r>
      <w:r w:rsidR="000A03B5" w:rsidRPr="004462A6">
        <w:rPr>
          <w:b/>
          <w:i/>
          <w:lang w:eastAsia="it-IT"/>
        </w:rPr>
        <w:tab/>
      </w:r>
      <w:r w:rsidR="000A03B5" w:rsidRPr="004462A6">
        <w:rPr>
          <w:b/>
          <w:i/>
          <w:lang w:eastAsia="it-IT"/>
        </w:rPr>
        <w:tab/>
      </w:r>
      <w:r>
        <w:rPr>
          <w:b/>
          <w:i/>
          <w:lang w:eastAsia="it-IT"/>
        </w:rPr>
        <w:tab/>
      </w:r>
      <w:r w:rsidR="000A03B5" w:rsidRPr="004462A6">
        <w:t>pag.</w:t>
      </w:r>
      <w:r w:rsidR="00795C79">
        <w:t>9</w:t>
      </w:r>
    </w:p>
    <w:p w14:paraId="507DA4EE" w14:textId="2DECA503" w:rsidR="000A03B5" w:rsidRPr="004462A6" w:rsidRDefault="004A217D" w:rsidP="000A03B5">
      <w:pPr>
        <w:pStyle w:val="NoSpacing2"/>
        <w:outlineLvl w:val="0"/>
        <w:rPr>
          <w:b/>
          <w:i/>
        </w:rPr>
      </w:pPr>
      <w:r>
        <w:rPr>
          <w:b/>
          <w:i/>
        </w:rPr>
        <w:t>Supplemental</w:t>
      </w:r>
      <w:r w:rsidRPr="004462A6">
        <w:rPr>
          <w:b/>
          <w:i/>
        </w:rPr>
        <w:t xml:space="preserve"> </w:t>
      </w:r>
      <w:proofErr w:type="spellStart"/>
      <w:r w:rsidR="000A03B5" w:rsidRPr="004462A6">
        <w:rPr>
          <w:b/>
          <w:i/>
        </w:rPr>
        <w:t>eFigure</w:t>
      </w:r>
      <w:proofErr w:type="spellEnd"/>
      <w:r w:rsidR="000A03B5" w:rsidRPr="004462A6">
        <w:rPr>
          <w:b/>
          <w:i/>
        </w:rPr>
        <w:t xml:space="preserve"> </w:t>
      </w:r>
      <w:r w:rsidR="00795C79">
        <w:rPr>
          <w:b/>
          <w:i/>
        </w:rPr>
        <w:t>3</w:t>
      </w:r>
      <w:r w:rsidR="000A03B5" w:rsidRPr="004462A6">
        <w:rPr>
          <w:b/>
          <w:i/>
        </w:rPr>
        <w:tab/>
      </w:r>
      <w:r w:rsidR="000A03B5" w:rsidRPr="004462A6">
        <w:rPr>
          <w:b/>
          <w:i/>
        </w:rPr>
        <w:tab/>
      </w:r>
      <w:r w:rsidR="000A03B5" w:rsidRPr="004462A6">
        <w:rPr>
          <w:b/>
          <w:i/>
        </w:rPr>
        <w:tab/>
      </w:r>
      <w:r w:rsidR="000A03B5" w:rsidRPr="004462A6">
        <w:rPr>
          <w:b/>
          <w:i/>
        </w:rPr>
        <w:tab/>
      </w:r>
      <w:r w:rsidR="000A03B5" w:rsidRPr="004462A6">
        <w:rPr>
          <w:b/>
          <w:i/>
        </w:rPr>
        <w:tab/>
      </w:r>
      <w:r w:rsidR="000A03B5" w:rsidRPr="004462A6">
        <w:rPr>
          <w:b/>
          <w:i/>
          <w:lang w:eastAsia="it-IT"/>
        </w:rPr>
        <w:tab/>
      </w:r>
      <w:r w:rsidR="000A03B5" w:rsidRPr="004462A6">
        <w:rPr>
          <w:b/>
          <w:i/>
          <w:lang w:eastAsia="it-IT"/>
        </w:rPr>
        <w:tab/>
      </w:r>
      <w:r w:rsidR="000A03B5" w:rsidRPr="004462A6">
        <w:rPr>
          <w:b/>
          <w:i/>
          <w:lang w:eastAsia="it-IT"/>
        </w:rPr>
        <w:tab/>
      </w:r>
      <w:r w:rsidR="000A03B5" w:rsidRPr="004462A6">
        <w:t>pag.</w:t>
      </w:r>
      <w:r w:rsidR="00795C79">
        <w:t>10</w:t>
      </w:r>
    </w:p>
    <w:p w14:paraId="2F3AF37C" w14:textId="647E55DB" w:rsidR="000A03B5" w:rsidRPr="004462A6" w:rsidRDefault="004A217D" w:rsidP="000A03B5">
      <w:pPr>
        <w:pStyle w:val="NoSpacing2"/>
        <w:outlineLvl w:val="0"/>
        <w:rPr>
          <w:b/>
          <w:i/>
        </w:rPr>
      </w:pPr>
      <w:r>
        <w:rPr>
          <w:b/>
          <w:i/>
        </w:rPr>
        <w:t>Supplemental</w:t>
      </w:r>
      <w:r w:rsidRPr="004462A6">
        <w:rPr>
          <w:b/>
          <w:i/>
        </w:rPr>
        <w:t xml:space="preserve"> </w:t>
      </w:r>
      <w:proofErr w:type="spellStart"/>
      <w:r w:rsidR="000A03B5" w:rsidRPr="004462A6">
        <w:rPr>
          <w:b/>
          <w:i/>
        </w:rPr>
        <w:t>eFigure</w:t>
      </w:r>
      <w:proofErr w:type="spellEnd"/>
      <w:r w:rsidR="000A03B5" w:rsidRPr="004462A6">
        <w:rPr>
          <w:b/>
          <w:i/>
        </w:rPr>
        <w:t xml:space="preserve"> </w:t>
      </w:r>
      <w:r w:rsidR="00795C79">
        <w:rPr>
          <w:b/>
          <w:i/>
        </w:rPr>
        <w:t>4</w:t>
      </w:r>
      <w:r w:rsidR="000A03B5" w:rsidRPr="004462A6">
        <w:rPr>
          <w:b/>
          <w:i/>
        </w:rPr>
        <w:tab/>
      </w:r>
      <w:r w:rsidR="000A03B5" w:rsidRPr="004462A6">
        <w:rPr>
          <w:b/>
          <w:i/>
        </w:rPr>
        <w:tab/>
      </w:r>
      <w:r w:rsidR="000A03B5" w:rsidRPr="004462A6">
        <w:rPr>
          <w:b/>
          <w:i/>
        </w:rPr>
        <w:tab/>
      </w:r>
      <w:r w:rsidR="000A03B5" w:rsidRPr="004462A6">
        <w:rPr>
          <w:b/>
          <w:i/>
        </w:rPr>
        <w:tab/>
      </w:r>
      <w:r w:rsidR="000A03B5" w:rsidRPr="004462A6">
        <w:rPr>
          <w:b/>
          <w:i/>
        </w:rPr>
        <w:tab/>
      </w:r>
      <w:r w:rsidR="000A03B5" w:rsidRPr="004462A6">
        <w:rPr>
          <w:b/>
          <w:i/>
          <w:lang w:eastAsia="it-IT"/>
        </w:rPr>
        <w:tab/>
      </w:r>
      <w:r w:rsidR="000A03B5" w:rsidRPr="004462A6">
        <w:rPr>
          <w:b/>
          <w:i/>
          <w:lang w:eastAsia="it-IT"/>
        </w:rPr>
        <w:tab/>
      </w:r>
      <w:r w:rsidR="000A03B5" w:rsidRPr="004462A6">
        <w:rPr>
          <w:b/>
          <w:i/>
          <w:lang w:eastAsia="it-IT"/>
        </w:rPr>
        <w:tab/>
      </w:r>
      <w:r w:rsidR="000A03B5" w:rsidRPr="00B22312">
        <w:t>pag.</w:t>
      </w:r>
      <w:r w:rsidR="00725349" w:rsidRPr="00B22312">
        <w:t>1</w:t>
      </w:r>
      <w:r w:rsidR="00795C79">
        <w:t>1</w:t>
      </w:r>
    </w:p>
    <w:p w14:paraId="188E1F9B" w14:textId="6566FF4C" w:rsidR="005A5047" w:rsidRPr="004462A6" w:rsidRDefault="00A864D5" w:rsidP="006E01E8">
      <w:pPr>
        <w:spacing w:line="480" w:lineRule="auto"/>
        <w:outlineLvl w:val="0"/>
        <w:rPr>
          <w:b/>
          <w:i/>
        </w:rPr>
      </w:pPr>
      <w:r w:rsidRPr="004462A6">
        <w:rPr>
          <w:b/>
          <w:i/>
        </w:rPr>
        <w:t>s</w:t>
      </w:r>
      <w:r w:rsidR="004462A6" w:rsidRPr="004462A6">
        <w:rPr>
          <w:b/>
          <w:i/>
        </w:rPr>
        <w:t>4</w:t>
      </w:r>
      <w:r w:rsidRPr="004462A6">
        <w:rPr>
          <w:b/>
          <w:i/>
        </w:rPr>
        <w:t>.</w:t>
      </w:r>
      <w:r w:rsidR="00AC7B09">
        <w:rPr>
          <w:b/>
          <w:i/>
        </w:rPr>
        <w:t>4</w:t>
      </w:r>
      <w:r w:rsidRPr="004462A6">
        <w:rPr>
          <w:b/>
          <w:i/>
        </w:rPr>
        <w:t xml:space="preserve"> </w:t>
      </w:r>
      <w:proofErr w:type="spellStart"/>
      <w:r w:rsidRPr="004462A6">
        <w:rPr>
          <w:b/>
          <w:i/>
          <w:color w:val="000000"/>
        </w:rPr>
        <w:t>PheWAS</w:t>
      </w:r>
      <w:proofErr w:type="spellEnd"/>
      <w:r w:rsidRPr="004462A6">
        <w:rPr>
          <w:b/>
          <w:i/>
          <w:color w:val="000000"/>
        </w:rPr>
        <w:t xml:space="preserve"> for </w:t>
      </w:r>
      <w:r w:rsidRPr="004462A6">
        <w:rPr>
          <w:b/>
          <w:i/>
        </w:rPr>
        <w:t>rs174546</w:t>
      </w:r>
      <w:r w:rsidRPr="004462A6">
        <w:rPr>
          <w:b/>
          <w:i/>
        </w:rPr>
        <w:tab/>
      </w:r>
      <w:r w:rsidRPr="004462A6">
        <w:rPr>
          <w:b/>
          <w:i/>
        </w:rPr>
        <w:tab/>
      </w:r>
      <w:r w:rsidRPr="004462A6">
        <w:rPr>
          <w:b/>
          <w:i/>
        </w:rPr>
        <w:tab/>
      </w:r>
      <w:r w:rsidRPr="004462A6">
        <w:rPr>
          <w:b/>
          <w:i/>
        </w:rPr>
        <w:tab/>
      </w:r>
      <w:r w:rsidRPr="004462A6">
        <w:rPr>
          <w:b/>
          <w:i/>
        </w:rPr>
        <w:tab/>
      </w:r>
      <w:r w:rsidRPr="004462A6">
        <w:rPr>
          <w:b/>
          <w:i/>
        </w:rPr>
        <w:tab/>
      </w:r>
      <w:r w:rsidR="004A6846" w:rsidRPr="004462A6">
        <w:rPr>
          <w:b/>
          <w:i/>
        </w:rPr>
        <w:tab/>
      </w:r>
      <w:r w:rsidR="004A6846" w:rsidRPr="004462A6">
        <w:rPr>
          <w:b/>
          <w:i/>
        </w:rPr>
        <w:tab/>
      </w:r>
      <w:r w:rsidR="004A6846" w:rsidRPr="00B22312">
        <w:t>pag.</w:t>
      </w:r>
      <w:r w:rsidR="00F63250" w:rsidRPr="00B22312">
        <w:t>1</w:t>
      </w:r>
      <w:r w:rsidR="00795C79">
        <w:t>2</w:t>
      </w:r>
      <w:r w:rsidR="004A6846" w:rsidRPr="004462A6">
        <w:rPr>
          <w:i/>
        </w:rPr>
        <w:tab/>
      </w:r>
    </w:p>
    <w:p w14:paraId="7B0FEAB1" w14:textId="6CB62662" w:rsidR="00673104" w:rsidRPr="004462A6" w:rsidRDefault="004A217D" w:rsidP="006726F8">
      <w:pPr>
        <w:spacing w:line="480" w:lineRule="auto"/>
        <w:outlineLvl w:val="0"/>
        <w:rPr>
          <w:i/>
        </w:rPr>
      </w:pPr>
      <w:r>
        <w:rPr>
          <w:b/>
          <w:i/>
        </w:rPr>
        <w:t>Supplemental</w:t>
      </w:r>
      <w:r w:rsidRPr="004462A6">
        <w:rPr>
          <w:b/>
          <w:i/>
        </w:rPr>
        <w:t xml:space="preserve"> </w:t>
      </w:r>
      <w:proofErr w:type="spellStart"/>
      <w:r w:rsidR="00673104" w:rsidRPr="004462A6">
        <w:rPr>
          <w:b/>
          <w:i/>
        </w:rPr>
        <w:t>e</w:t>
      </w:r>
      <w:r w:rsidR="00F12C8A" w:rsidRPr="004462A6">
        <w:rPr>
          <w:b/>
          <w:i/>
        </w:rPr>
        <w:t>Figure</w:t>
      </w:r>
      <w:proofErr w:type="spellEnd"/>
      <w:r w:rsidR="00F12C8A" w:rsidRPr="004462A6">
        <w:rPr>
          <w:b/>
          <w:i/>
        </w:rPr>
        <w:t xml:space="preserve"> </w:t>
      </w:r>
      <w:r w:rsidR="00795C79">
        <w:rPr>
          <w:b/>
          <w:i/>
        </w:rPr>
        <w:t>5</w:t>
      </w:r>
      <w:r w:rsidR="00673104" w:rsidRPr="004462A6">
        <w:rPr>
          <w:b/>
          <w:i/>
        </w:rPr>
        <w:tab/>
      </w:r>
      <w:r w:rsidR="00673104" w:rsidRPr="004462A6">
        <w:rPr>
          <w:b/>
          <w:i/>
        </w:rPr>
        <w:tab/>
      </w:r>
      <w:r w:rsidR="00673104" w:rsidRPr="004462A6">
        <w:rPr>
          <w:b/>
          <w:i/>
        </w:rPr>
        <w:tab/>
        <w:t xml:space="preserve"> </w:t>
      </w:r>
      <w:r w:rsidR="00673104" w:rsidRPr="004462A6">
        <w:rPr>
          <w:b/>
          <w:i/>
        </w:rPr>
        <w:tab/>
      </w:r>
      <w:r w:rsidR="00673104" w:rsidRPr="004462A6">
        <w:rPr>
          <w:b/>
          <w:i/>
        </w:rPr>
        <w:tab/>
      </w:r>
      <w:r w:rsidR="00673104" w:rsidRPr="004462A6">
        <w:rPr>
          <w:b/>
          <w:i/>
        </w:rPr>
        <w:tab/>
      </w:r>
      <w:r w:rsidR="00673104" w:rsidRPr="004462A6">
        <w:rPr>
          <w:b/>
          <w:i/>
        </w:rPr>
        <w:tab/>
      </w:r>
      <w:r w:rsidR="00673104" w:rsidRPr="004462A6">
        <w:rPr>
          <w:b/>
          <w:i/>
        </w:rPr>
        <w:tab/>
      </w:r>
      <w:r w:rsidR="00435888" w:rsidRPr="00B22312">
        <w:t>pag.</w:t>
      </w:r>
      <w:r w:rsidR="00F63250" w:rsidRPr="00B22312">
        <w:t>1</w:t>
      </w:r>
      <w:r w:rsidR="00AC7B09">
        <w:t>2</w:t>
      </w:r>
    </w:p>
    <w:p w14:paraId="5CFACD6B" w14:textId="7E1F6F83" w:rsidR="00435888" w:rsidRPr="004462A6" w:rsidRDefault="00F12C8A" w:rsidP="006726F8">
      <w:pPr>
        <w:spacing w:line="480" w:lineRule="auto"/>
        <w:outlineLvl w:val="0"/>
        <w:rPr>
          <w:b/>
          <w:i/>
        </w:rPr>
      </w:pPr>
      <w:r w:rsidRPr="004462A6">
        <w:rPr>
          <w:b/>
          <w:i/>
        </w:rPr>
        <w:t>s</w:t>
      </w:r>
      <w:r w:rsidR="004462A6" w:rsidRPr="004462A6">
        <w:rPr>
          <w:b/>
          <w:i/>
        </w:rPr>
        <w:t>4</w:t>
      </w:r>
      <w:r w:rsidRPr="004462A6">
        <w:rPr>
          <w:b/>
          <w:i/>
        </w:rPr>
        <w:t>.</w:t>
      </w:r>
      <w:r w:rsidR="00AC7B09">
        <w:rPr>
          <w:b/>
          <w:i/>
        </w:rPr>
        <w:t>5</w:t>
      </w:r>
      <w:r w:rsidRPr="004462A6">
        <w:rPr>
          <w:b/>
          <w:i/>
        </w:rPr>
        <w:t xml:space="preserve"> </w:t>
      </w:r>
      <w:r w:rsidRPr="004462A6">
        <w:rPr>
          <w:b/>
          <w:i/>
          <w:color w:val="000000"/>
        </w:rPr>
        <w:t>MR-Egger</w:t>
      </w:r>
      <w:r w:rsidR="00435888" w:rsidRPr="004462A6">
        <w:rPr>
          <w:b/>
          <w:i/>
        </w:rPr>
        <w:tab/>
      </w:r>
      <w:r w:rsidR="00435888" w:rsidRPr="004462A6">
        <w:rPr>
          <w:b/>
          <w:i/>
        </w:rPr>
        <w:tab/>
      </w:r>
      <w:r w:rsidR="00435888" w:rsidRPr="004462A6">
        <w:rPr>
          <w:b/>
          <w:i/>
        </w:rPr>
        <w:tab/>
        <w:t xml:space="preserve"> </w:t>
      </w:r>
      <w:r w:rsidR="00435888" w:rsidRPr="004462A6">
        <w:rPr>
          <w:b/>
          <w:i/>
        </w:rPr>
        <w:tab/>
      </w:r>
      <w:r w:rsidR="00435888" w:rsidRPr="004462A6">
        <w:rPr>
          <w:b/>
          <w:i/>
        </w:rPr>
        <w:tab/>
      </w:r>
      <w:r w:rsidR="00435888" w:rsidRPr="004462A6">
        <w:rPr>
          <w:b/>
          <w:i/>
        </w:rPr>
        <w:tab/>
      </w:r>
      <w:r w:rsidR="00435888" w:rsidRPr="004462A6">
        <w:rPr>
          <w:b/>
          <w:i/>
        </w:rPr>
        <w:tab/>
      </w:r>
      <w:r w:rsidR="00435888" w:rsidRPr="004462A6">
        <w:rPr>
          <w:b/>
          <w:i/>
        </w:rPr>
        <w:tab/>
      </w:r>
      <w:r w:rsidRPr="004462A6">
        <w:rPr>
          <w:b/>
          <w:i/>
        </w:rPr>
        <w:tab/>
      </w:r>
      <w:r w:rsidR="00435888" w:rsidRPr="00B22312">
        <w:t>pag.</w:t>
      </w:r>
      <w:r w:rsidR="00F63250" w:rsidRPr="00B22312">
        <w:t>1</w:t>
      </w:r>
      <w:r w:rsidR="00AC7B09">
        <w:t>3</w:t>
      </w:r>
    </w:p>
    <w:p w14:paraId="7391A53A" w14:textId="1EB780BF" w:rsidR="00B22312" w:rsidRDefault="004A217D" w:rsidP="004462A6">
      <w:pPr>
        <w:pStyle w:val="NoSpacing"/>
        <w:spacing w:line="480" w:lineRule="auto"/>
        <w:rPr>
          <w:rFonts w:ascii="Times New Roman" w:hAnsi="Times New Roman"/>
          <w:b/>
          <w:sz w:val="24"/>
          <w:szCs w:val="24"/>
        </w:rPr>
      </w:pPr>
      <w:r w:rsidRPr="004A217D">
        <w:rPr>
          <w:rFonts w:ascii="Times New Roman" w:hAnsi="Times New Roman"/>
          <w:b/>
          <w:i/>
          <w:sz w:val="24"/>
          <w:szCs w:val="24"/>
        </w:rPr>
        <w:t>Supplemental</w:t>
      </w:r>
      <w:r w:rsidRPr="004A217D">
        <w:rPr>
          <w:rFonts w:ascii="Times New Roman" w:hAnsi="Times New Roman"/>
          <w:b/>
          <w:i/>
          <w:sz w:val="24"/>
          <w:szCs w:val="24"/>
        </w:rPr>
        <w:t xml:space="preserve"> </w:t>
      </w:r>
      <w:proofErr w:type="spellStart"/>
      <w:r w:rsidR="00F12C8A" w:rsidRPr="004A217D">
        <w:rPr>
          <w:rFonts w:ascii="Times New Roman" w:hAnsi="Times New Roman"/>
          <w:b/>
          <w:i/>
          <w:sz w:val="24"/>
          <w:szCs w:val="24"/>
        </w:rPr>
        <w:t>eTable</w:t>
      </w:r>
      <w:proofErr w:type="spellEnd"/>
      <w:r w:rsidR="00F12C8A" w:rsidRPr="004A217D">
        <w:rPr>
          <w:rFonts w:ascii="Times New Roman" w:hAnsi="Times New Roman"/>
          <w:b/>
          <w:i/>
          <w:sz w:val="24"/>
          <w:szCs w:val="24"/>
        </w:rPr>
        <w:t xml:space="preserve"> 2</w:t>
      </w:r>
      <w:r w:rsidR="00686162" w:rsidRPr="004462A6">
        <w:rPr>
          <w:rFonts w:ascii="Times New Roman" w:hAnsi="Times New Roman"/>
          <w:b/>
          <w:i/>
          <w:sz w:val="24"/>
          <w:szCs w:val="24"/>
        </w:rPr>
        <w:tab/>
      </w:r>
      <w:r w:rsidR="00686162" w:rsidRPr="004462A6">
        <w:rPr>
          <w:rFonts w:ascii="Times New Roman" w:hAnsi="Times New Roman"/>
          <w:b/>
          <w:sz w:val="24"/>
          <w:szCs w:val="24"/>
        </w:rPr>
        <w:tab/>
      </w:r>
      <w:r w:rsidR="00686162" w:rsidRPr="004462A6">
        <w:rPr>
          <w:rFonts w:ascii="Times New Roman" w:hAnsi="Times New Roman"/>
          <w:b/>
          <w:sz w:val="24"/>
          <w:szCs w:val="24"/>
        </w:rPr>
        <w:tab/>
      </w:r>
      <w:r w:rsidR="00A65827" w:rsidRPr="004462A6">
        <w:rPr>
          <w:rFonts w:ascii="Times New Roman" w:hAnsi="Times New Roman"/>
          <w:b/>
          <w:sz w:val="24"/>
          <w:szCs w:val="24"/>
        </w:rPr>
        <w:t xml:space="preserve"> </w:t>
      </w:r>
      <w:r w:rsidR="00A65827" w:rsidRPr="004462A6">
        <w:rPr>
          <w:rFonts w:ascii="Times New Roman" w:hAnsi="Times New Roman"/>
          <w:b/>
          <w:sz w:val="24"/>
          <w:szCs w:val="24"/>
        </w:rPr>
        <w:tab/>
      </w:r>
      <w:r w:rsidR="00A65827" w:rsidRPr="004462A6">
        <w:rPr>
          <w:rFonts w:ascii="Times New Roman" w:hAnsi="Times New Roman"/>
          <w:b/>
          <w:sz w:val="24"/>
          <w:szCs w:val="24"/>
        </w:rPr>
        <w:tab/>
      </w:r>
      <w:r w:rsidR="00A65827" w:rsidRPr="004462A6">
        <w:rPr>
          <w:rFonts w:ascii="Times New Roman" w:hAnsi="Times New Roman"/>
          <w:b/>
          <w:sz w:val="24"/>
          <w:szCs w:val="24"/>
        </w:rPr>
        <w:tab/>
      </w:r>
      <w:r w:rsidR="00A65827" w:rsidRPr="004462A6">
        <w:rPr>
          <w:rFonts w:ascii="Times New Roman" w:hAnsi="Times New Roman"/>
          <w:b/>
          <w:sz w:val="24"/>
          <w:szCs w:val="24"/>
        </w:rPr>
        <w:tab/>
      </w:r>
      <w:r w:rsidR="00A65827" w:rsidRPr="004462A6">
        <w:rPr>
          <w:rFonts w:ascii="Times New Roman" w:hAnsi="Times New Roman"/>
          <w:b/>
          <w:sz w:val="24"/>
          <w:szCs w:val="24"/>
        </w:rPr>
        <w:tab/>
      </w:r>
      <w:r w:rsidR="007267F9" w:rsidRPr="004462A6">
        <w:rPr>
          <w:rFonts w:ascii="Times New Roman" w:hAnsi="Times New Roman"/>
          <w:sz w:val="24"/>
          <w:szCs w:val="24"/>
        </w:rPr>
        <w:t>pag.</w:t>
      </w:r>
      <w:r w:rsidR="00F63250">
        <w:rPr>
          <w:rFonts w:ascii="Times New Roman" w:hAnsi="Times New Roman"/>
          <w:sz w:val="24"/>
          <w:szCs w:val="24"/>
        </w:rPr>
        <w:t>1</w:t>
      </w:r>
      <w:r w:rsidR="003F52CE">
        <w:rPr>
          <w:rFonts w:ascii="Times New Roman" w:hAnsi="Times New Roman"/>
          <w:sz w:val="24"/>
          <w:szCs w:val="24"/>
        </w:rPr>
        <w:t>3</w:t>
      </w:r>
      <w:r w:rsidR="00F5356E" w:rsidRPr="004462A6">
        <w:rPr>
          <w:rFonts w:ascii="Times New Roman" w:hAnsi="Times New Roman"/>
          <w:b/>
          <w:sz w:val="24"/>
          <w:szCs w:val="24"/>
        </w:rPr>
        <w:tab/>
        <w:t xml:space="preserve"> </w:t>
      </w:r>
    </w:p>
    <w:p w14:paraId="132CAC38" w14:textId="53BAB765" w:rsidR="00A4690A" w:rsidRDefault="004A217D" w:rsidP="00B22312">
      <w:pPr>
        <w:spacing w:line="480" w:lineRule="auto"/>
        <w:outlineLvl w:val="0"/>
        <w:rPr>
          <w:b/>
          <w:i/>
        </w:rPr>
      </w:pPr>
      <w:r w:rsidRPr="004A217D">
        <w:rPr>
          <w:b/>
          <w:i/>
        </w:rPr>
        <w:t>Supplemental</w:t>
      </w:r>
      <w:r w:rsidRPr="004462A6">
        <w:rPr>
          <w:b/>
          <w:i/>
        </w:rPr>
        <w:t xml:space="preserve"> </w:t>
      </w:r>
      <w:proofErr w:type="spellStart"/>
      <w:r w:rsidR="00A4690A" w:rsidRPr="004462A6">
        <w:rPr>
          <w:b/>
          <w:i/>
        </w:rPr>
        <w:t>eTable</w:t>
      </w:r>
      <w:proofErr w:type="spellEnd"/>
      <w:r w:rsidR="00A4690A" w:rsidRPr="004462A6">
        <w:rPr>
          <w:b/>
          <w:i/>
        </w:rPr>
        <w:t xml:space="preserve"> </w:t>
      </w:r>
      <w:r w:rsidR="00A4690A">
        <w:rPr>
          <w:b/>
          <w:i/>
        </w:rPr>
        <w:t>3</w:t>
      </w:r>
      <w:r w:rsidR="00A4690A" w:rsidRPr="00A4690A">
        <w:t xml:space="preserve"> </w:t>
      </w:r>
      <w:r w:rsidR="00A4690A">
        <w:tab/>
      </w:r>
      <w:r w:rsidR="00A4690A">
        <w:tab/>
      </w:r>
      <w:r w:rsidR="00A4690A">
        <w:tab/>
      </w:r>
      <w:r w:rsidR="00A4690A">
        <w:tab/>
      </w:r>
      <w:r w:rsidR="00A4690A">
        <w:tab/>
      </w:r>
      <w:r w:rsidR="00A4690A">
        <w:tab/>
      </w:r>
      <w:r w:rsidR="00A4690A">
        <w:tab/>
      </w:r>
      <w:r w:rsidR="00A4690A">
        <w:tab/>
      </w:r>
      <w:r w:rsidR="00A4690A" w:rsidRPr="004462A6">
        <w:t>pag.</w:t>
      </w:r>
      <w:r w:rsidR="00A4690A">
        <w:t>14</w:t>
      </w:r>
      <w:r w:rsidR="00A4690A" w:rsidRPr="004462A6">
        <w:rPr>
          <w:b/>
        </w:rPr>
        <w:tab/>
      </w:r>
    </w:p>
    <w:p w14:paraId="086A54C4" w14:textId="1925A93B" w:rsidR="00B22312" w:rsidRPr="00B22312" w:rsidRDefault="00B22312" w:rsidP="00B22312">
      <w:pPr>
        <w:spacing w:line="480" w:lineRule="auto"/>
        <w:outlineLvl w:val="0"/>
        <w:rPr>
          <w:b/>
          <w:i/>
          <w:color w:val="000000"/>
        </w:rPr>
      </w:pPr>
      <w:r w:rsidRPr="00575BC0">
        <w:rPr>
          <w:b/>
          <w:i/>
        </w:rPr>
        <w:t xml:space="preserve">s5. </w:t>
      </w:r>
      <w:r w:rsidRPr="00575BC0">
        <w:rPr>
          <w:b/>
          <w:i/>
          <w:color w:val="000000"/>
        </w:rPr>
        <w:t>Analyses based on quantitative genetics theory</w:t>
      </w:r>
      <w:r w:rsidRPr="00B22312">
        <w:t xml:space="preserve"> </w:t>
      </w:r>
      <w:r>
        <w:tab/>
      </w:r>
      <w:r>
        <w:tab/>
      </w:r>
      <w:r>
        <w:tab/>
      </w:r>
      <w:r>
        <w:tab/>
      </w:r>
      <w:r>
        <w:tab/>
      </w:r>
      <w:r w:rsidRPr="004462A6">
        <w:t>pag.</w:t>
      </w:r>
      <w:r>
        <w:t>1</w:t>
      </w:r>
      <w:r w:rsidR="00A4690A">
        <w:t>5</w:t>
      </w:r>
    </w:p>
    <w:p w14:paraId="34A78341" w14:textId="5E9C2A66" w:rsidR="00B22312" w:rsidRDefault="0050312B" w:rsidP="004462A6">
      <w:pPr>
        <w:pStyle w:val="NoSpacing"/>
        <w:spacing w:line="480" w:lineRule="auto"/>
        <w:rPr>
          <w:rFonts w:ascii="Times New Roman" w:hAnsi="Times New Roman"/>
          <w:b/>
          <w:i/>
          <w:sz w:val="24"/>
          <w:szCs w:val="24"/>
        </w:rPr>
      </w:pPr>
      <w:r w:rsidRPr="004A217D">
        <w:rPr>
          <w:rFonts w:ascii="Times New Roman" w:hAnsi="Times New Roman"/>
          <w:b/>
          <w:i/>
          <w:sz w:val="24"/>
          <w:szCs w:val="24"/>
        </w:rPr>
        <w:t>Supplemental</w:t>
      </w:r>
      <w:r w:rsidRPr="004462A6">
        <w:rPr>
          <w:b/>
          <w:i/>
        </w:rPr>
        <w:t xml:space="preserve"> </w:t>
      </w:r>
      <w:proofErr w:type="spellStart"/>
      <w:r w:rsidR="00B22312" w:rsidRPr="004462A6">
        <w:rPr>
          <w:rFonts w:ascii="Times New Roman" w:hAnsi="Times New Roman"/>
          <w:b/>
          <w:i/>
          <w:sz w:val="24"/>
          <w:szCs w:val="24"/>
        </w:rPr>
        <w:t>eTable</w:t>
      </w:r>
      <w:proofErr w:type="spellEnd"/>
      <w:r w:rsidR="00B22312" w:rsidRPr="004462A6">
        <w:rPr>
          <w:rFonts w:ascii="Times New Roman" w:hAnsi="Times New Roman"/>
          <w:b/>
          <w:i/>
          <w:sz w:val="24"/>
          <w:szCs w:val="24"/>
        </w:rPr>
        <w:t xml:space="preserve"> </w:t>
      </w:r>
      <w:r w:rsidR="00A4690A">
        <w:rPr>
          <w:rFonts w:ascii="Times New Roman" w:hAnsi="Times New Roman"/>
          <w:b/>
          <w:i/>
          <w:sz w:val="24"/>
          <w:szCs w:val="24"/>
        </w:rPr>
        <w:t>4</w:t>
      </w:r>
      <w:r w:rsidR="00B22312" w:rsidRPr="004462A6">
        <w:rPr>
          <w:rFonts w:ascii="Times New Roman" w:hAnsi="Times New Roman"/>
          <w:b/>
          <w:i/>
          <w:sz w:val="24"/>
          <w:szCs w:val="24"/>
        </w:rPr>
        <w:tab/>
      </w:r>
      <w:r w:rsidR="00B22312" w:rsidRPr="004462A6">
        <w:rPr>
          <w:rFonts w:ascii="Times New Roman" w:hAnsi="Times New Roman"/>
          <w:b/>
          <w:sz w:val="24"/>
          <w:szCs w:val="24"/>
        </w:rPr>
        <w:tab/>
      </w:r>
      <w:r w:rsidR="00B22312" w:rsidRPr="004462A6">
        <w:rPr>
          <w:rFonts w:ascii="Times New Roman" w:hAnsi="Times New Roman"/>
          <w:b/>
          <w:sz w:val="24"/>
          <w:szCs w:val="24"/>
        </w:rPr>
        <w:tab/>
        <w:t xml:space="preserve"> </w:t>
      </w:r>
      <w:r w:rsidR="00B22312" w:rsidRPr="004462A6">
        <w:rPr>
          <w:rFonts w:ascii="Times New Roman" w:hAnsi="Times New Roman"/>
          <w:b/>
          <w:sz w:val="24"/>
          <w:szCs w:val="24"/>
        </w:rPr>
        <w:tab/>
      </w:r>
      <w:r w:rsidR="00B22312" w:rsidRPr="004462A6">
        <w:rPr>
          <w:rFonts w:ascii="Times New Roman" w:hAnsi="Times New Roman"/>
          <w:b/>
          <w:sz w:val="24"/>
          <w:szCs w:val="24"/>
        </w:rPr>
        <w:tab/>
      </w:r>
      <w:r w:rsidR="00B22312" w:rsidRPr="004462A6">
        <w:rPr>
          <w:rFonts w:ascii="Times New Roman" w:hAnsi="Times New Roman"/>
          <w:b/>
          <w:sz w:val="24"/>
          <w:szCs w:val="24"/>
        </w:rPr>
        <w:tab/>
      </w:r>
      <w:r w:rsidR="00B22312" w:rsidRPr="004462A6">
        <w:rPr>
          <w:rFonts w:ascii="Times New Roman" w:hAnsi="Times New Roman"/>
          <w:b/>
          <w:sz w:val="24"/>
          <w:szCs w:val="24"/>
        </w:rPr>
        <w:tab/>
      </w:r>
      <w:r>
        <w:rPr>
          <w:rFonts w:ascii="Times New Roman" w:hAnsi="Times New Roman"/>
          <w:b/>
          <w:sz w:val="24"/>
          <w:szCs w:val="24"/>
        </w:rPr>
        <w:tab/>
      </w:r>
      <w:r w:rsidR="00B22312" w:rsidRPr="004462A6">
        <w:rPr>
          <w:rFonts w:ascii="Times New Roman" w:hAnsi="Times New Roman"/>
          <w:sz w:val="24"/>
          <w:szCs w:val="24"/>
        </w:rPr>
        <w:t>pag.</w:t>
      </w:r>
      <w:r w:rsidR="00021D07">
        <w:rPr>
          <w:rFonts w:ascii="Times New Roman" w:hAnsi="Times New Roman"/>
          <w:sz w:val="24"/>
          <w:szCs w:val="24"/>
        </w:rPr>
        <w:t>1</w:t>
      </w:r>
      <w:r w:rsidR="00A4690A">
        <w:rPr>
          <w:rFonts w:ascii="Times New Roman" w:hAnsi="Times New Roman"/>
          <w:sz w:val="24"/>
          <w:szCs w:val="24"/>
        </w:rPr>
        <w:t>6</w:t>
      </w:r>
    </w:p>
    <w:p w14:paraId="3EDE12A7" w14:textId="3A7404D2" w:rsidR="00F5356E" w:rsidRPr="004462A6" w:rsidRDefault="00F5356E" w:rsidP="004462A6">
      <w:pPr>
        <w:pStyle w:val="NoSpacing"/>
        <w:spacing w:line="480" w:lineRule="auto"/>
        <w:rPr>
          <w:rFonts w:ascii="Times New Roman" w:hAnsi="Times New Roman"/>
          <w:sz w:val="24"/>
          <w:szCs w:val="24"/>
        </w:rPr>
      </w:pPr>
      <w:r w:rsidRPr="004462A6">
        <w:rPr>
          <w:rFonts w:ascii="Times New Roman" w:hAnsi="Times New Roman"/>
          <w:b/>
          <w:i/>
          <w:sz w:val="24"/>
          <w:szCs w:val="24"/>
        </w:rPr>
        <w:t>References</w:t>
      </w:r>
      <w:r w:rsidRPr="004462A6">
        <w:rPr>
          <w:rFonts w:ascii="Times New Roman" w:hAnsi="Times New Roman"/>
          <w:b/>
          <w:i/>
          <w:sz w:val="24"/>
          <w:szCs w:val="24"/>
        </w:rPr>
        <w:tab/>
      </w:r>
      <w:r w:rsidRPr="004462A6">
        <w:rPr>
          <w:rFonts w:ascii="Times New Roman" w:hAnsi="Times New Roman"/>
          <w:b/>
          <w:sz w:val="24"/>
          <w:szCs w:val="24"/>
        </w:rPr>
        <w:tab/>
      </w:r>
      <w:r w:rsidRPr="004462A6">
        <w:rPr>
          <w:rFonts w:ascii="Times New Roman" w:hAnsi="Times New Roman"/>
          <w:b/>
          <w:sz w:val="24"/>
          <w:szCs w:val="24"/>
        </w:rPr>
        <w:tab/>
        <w:t xml:space="preserve"> </w:t>
      </w:r>
      <w:r w:rsidRPr="004462A6">
        <w:rPr>
          <w:rFonts w:ascii="Times New Roman" w:hAnsi="Times New Roman"/>
          <w:b/>
          <w:sz w:val="24"/>
          <w:szCs w:val="24"/>
        </w:rPr>
        <w:tab/>
      </w:r>
      <w:r w:rsidRPr="004462A6">
        <w:rPr>
          <w:rFonts w:ascii="Times New Roman" w:hAnsi="Times New Roman"/>
          <w:b/>
          <w:sz w:val="24"/>
          <w:szCs w:val="24"/>
        </w:rPr>
        <w:tab/>
      </w:r>
      <w:r w:rsidRPr="004462A6">
        <w:rPr>
          <w:rFonts w:ascii="Times New Roman" w:hAnsi="Times New Roman"/>
          <w:b/>
          <w:sz w:val="24"/>
          <w:szCs w:val="24"/>
        </w:rPr>
        <w:tab/>
      </w:r>
      <w:r w:rsidRPr="004462A6">
        <w:rPr>
          <w:rFonts w:ascii="Times New Roman" w:hAnsi="Times New Roman"/>
          <w:b/>
          <w:sz w:val="24"/>
          <w:szCs w:val="24"/>
        </w:rPr>
        <w:tab/>
      </w:r>
      <w:r w:rsidRPr="004462A6">
        <w:rPr>
          <w:rFonts w:ascii="Times New Roman" w:hAnsi="Times New Roman"/>
          <w:b/>
          <w:sz w:val="24"/>
          <w:szCs w:val="24"/>
        </w:rPr>
        <w:tab/>
      </w:r>
      <w:r w:rsidRPr="004462A6">
        <w:rPr>
          <w:rFonts w:ascii="Times New Roman" w:hAnsi="Times New Roman"/>
          <w:b/>
          <w:sz w:val="24"/>
          <w:szCs w:val="24"/>
        </w:rPr>
        <w:tab/>
      </w:r>
      <w:r w:rsidRPr="004462A6">
        <w:rPr>
          <w:rFonts w:ascii="Times New Roman" w:hAnsi="Times New Roman"/>
          <w:b/>
          <w:sz w:val="24"/>
          <w:szCs w:val="24"/>
        </w:rPr>
        <w:tab/>
      </w:r>
      <w:r w:rsidRPr="004462A6">
        <w:rPr>
          <w:rFonts w:ascii="Times New Roman" w:hAnsi="Times New Roman"/>
          <w:sz w:val="24"/>
          <w:szCs w:val="24"/>
        </w:rPr>
        <w:t>pag.</w:t>
      </w:r>
      <w:r w:rsidR="00F63250">
        <w:rPr>
          <w:rFonts w:ascii="Times New Roman" w:hAnsi="Times New Roman"/>
          <w:sz w:val="24"/>
          <w:szCs w:val="24"/>
        </w:rPr>
        <w:t>1</w:t>
      </w:r>
      <w:r w:rsidR="00A4690A">
        <w:rPr>
          <w:rFonts w:ascii="Times New Roman" w:hAnsi="Times New Roman"/>
          <w:sz w:val="24"/>
          <w:szCs w:val="24"/>
        </w:rPr>
        <w:t>8</w:t>
      </w:r>
    </w:p>
    <w:p w14:paraId="068ABBEB" w14:textId="16265461" w:rsidR="006726F8" w:rsidRPr="00D12990" w:rsidRDefault="00D12990" w:rsidP="00D12990">
      <w:pPr>
        <w:autoSpaceDE w:val="0"/>
        <w:autoSpaceDN w:val="0"/>
        <w:adjustRightInd w:val="0"/>
        <w:spacing w:line="480" w:lineRule="auto"/>
        <w:outlineLvl w:val="0"/>
        <w:rPr>
          <w:b/>
        </w:rPr>
      </w:pPr>
      <w:r>
        <w:rPr>
          <w:b/>
        </w:rPr>
        <w:t>Data and software availability</w:t>
      </w:r>
      <w:r w:rsidR="006726F8" w:rsidRPr="004462A6">
        <w:rPr>
          <w:b/>
        </w:rPr>
        <w:tab/>
      </w:r>
      <w:r w:rsidR="006726F8" w:rsidRPr="004462A6">
        <w:rPr>
          <w:b/>
        </w:rPr>
        <w:tab/>
      </w:r>
      <w:r w:rsidR="006726F8" w:rsidRPr="004462A6">
        <w:rPr>
          <w:b/>
        </w:rPr>
        <w:tab/>
      </w:r>
      <w:r w:rsidR="006726F8" w:rsidRPr="004462A6">
        <w:rPr>
          <w:b/>
        </w:rPr>
        <w:tab/>
      </w:r>
      <w:r w:rsidR="006726F8" w:rsidRPr="004462A6">
        <w:rPr>
          <w:b/>
        </w:rPr>
        <w:tab/>
      </w:r>
      <w:r w:rsidR="006726F8" w:rsidRPr="004462A6">
        <w:rPr>
          <w:b/>
        </w:rPr>
        <w:tab/>
      </w:r>
      <w:r w:rsidR="006726F8" w:rsidRPr="004462A6">
        <w:rPr>
          <w:b/>
        </w:rPr>
        <w:tab/>
      </w:r>
      <w:r w:rsidR="006726F8" w:rsidRPr="004462A6">
        <w:t>pag.</w:t>
      </w:r>
      <w:r w:rsidR="009E0B61">
        <w:t>2</w:t>
      </w:r>
      <w:r w:rsidR="00A4690A">
        <w:t>1</w:t>
      </w:r>
    </w:p>
    <w:p w14:paraId="36D085A7" w14:textId="77777777" w:rsidR="009243E1" w:rsidRDefault="009243E1" w:rsidP="000F30C2">
      <w:pPr>
        <w:pStyle w:val="NoSpacing2"/>
        <w:outlineLvl w:val="0"/>
        <w:rPr>
          <w:b/>
        </w:rPr>
      </w:pPr>
    </w:p>
    <w:p w14:paraId="07730771" w14:textId="21EDB1F3" w:rsidR="000F30C2" w:rsidRPr="00EF5D46" w:rsidRDefault="000F30C2" w:rsidP="000F30C2">
      <w:pPr>
        <w:pStyle w:val="NoSpacing2"/>
        <w:outlineLvl w:val="0"/>
        <w:rPr>
          <w:b/>
          <w:i/>
        </w:rPr>
      </w:pPr>
      <w:r>
        <w:rPr>
          <w:b/>
          <w:i/>
        </w:rPr>
        <w:lastRenderedPageBreak/>
        <w:t>s</w:t>
      </w:r>
      <w:r w:rsidRPr="00EF5D46">
        <w:rPr>
          <w:b/>
          <w:i/>
        </w:rPr>
        <w:t>1.</w:t>
      </w:r>
      <w:r>
        <w:rPr>
          <w:b/>
          <w:i/>
        </w:rPr>
        <w:t xml:space="preserve"> Genotyping, quality control and imputation</w:t>
      </w:r>
    </w:p>
    <w:p w14:paraId="28ED5900" w14:textId="16CDE09F" w:rsidR="00A14DC4" w:rsidRPr="00A20BC4" w:rsidRDefault="00A42C37" w:rsidP="00A14DC4">
      <w:pPr>
        <w:spacing w:line="480" w:lineRule="auto"/>
      </w:pPr>
      <w:r w:rsidRPr="00A42C37">
        <w:rPr>
          <w:color w:val="000000"/>
        </w:rPr>
        <w:t>Genotyping, quality control and imputation were previously described in details</w:t>
      </w:r>
      <w:r w:rsidRPr="00A42C37">
        <w:rPr>
          <w:color w:val="000000"/>
        </w:rPr>
        <w:fldChar w:fldCharType="begin" w:fldLock="1"/>
      </w:r>
      <w:r w:rsidR="00E14238">
        <w:rPr>
          <w:color w:val="000000"/>
        </w:rPr>
        <w:instrText>ADDIN CSL_CITATION {"citationItems":[{"id":"ITEM-1","itemData":{"DOI":"10.1017/thg.2017.30","ISSN":"18392628","PMID":"28540843","abstract":"In 2009, the first genome-wide association study (GWAS) for major depressive disorder (MDD) highlighted an association with PCLO locus on chromosome 7, although not reaching genome-wide significance level. In the present study, we revisited the original GWAS after increasing the overall sample size and the number of interrogated SNPs. In an analysis comparing 1,942 cases with lifetime diagnosis of MDD and 4,565 controls, PCLO showed a genome-wide significant association with MDD at SNP (rs2715157, p = 2.91 × 10 −8 ) and gene-based ( p = 1.48 × 10 −7 ) level. Our results confirm the potential role of the PCLO gene in MDD, which is worth further replication and functional studies.","author":[{"dropping-particle":"","family":"Mbarek","given":"Hamdi","non-dropping-particle":"","parse-names":false,"suffix":""},{"dropping-particle":"","family":"Milaneschi","given":"Yuri","non-dropping-particle":"","parse-names":false,"suffix":""},{"dropping-particle":"","family":"Hottenga","given":"Jouke Jan","non-dropping-particle":"","parse-names":false,"suffix":""},{"dropping-particle":"","family":"Ligthart","given":"Lannie","non-dropping-particle":"","parse-names":false,"suffix":""},{"dropping-particle":"","family":"Geus","given":"Eco J.C.","non-dropping-particle":"De","parse-names":false,"suffix":""},{"dropping-particle":"","family":"Ehli","given":"Erik A.","non-dropping-particle":"","parse-names":false,"suffix":""},{"dropping-particle":"","family":"Willemsen","given":"Gonneke","non-dropping-particle":"","parse-names":false,"suffix":""},{"dropping-particle":"","family":"Davies","given":"Gareth E.","non-dropping-particle":"","parse-names":false,"suffix":""},{"dropping-particle":"","family":"Smit","given":"Jan H.","non-dropping-particle":"","parse-names":false,"suffix":""},{"dropping-particle":"","family":"Boomsma","given":"Dorret I.","non-dropping-particle":"","parse-names":false,"suffix":""},{"dropping-particle":"","family":"Penninx","given":"Brenda W.J.H.","non-dropping-particle":"","parse-names":false,"suffix":""}],"container-title":"Twin Research and Human Genetics","id":"ITEM-1","issue":"4","issued":{"date-parts":[["2017"]]},"page":"267-270","title":"Genome-Wide Significance for PCLO as a Gene for Major Depressive Disorder","type":"article-journal","volume":"20"},"uris":["http://www.mendeley.com/documents/?uuid=4bbbe8bc-eaee-4d06-83f7-9d6c9d8f8d6a"]}],"mendeley":{"formattedCitation":"&lt;sup&gt;1&lt;/sup&gt;","plainTextFormattedCitation":"1","previouslyFormattedCitation":"&lt;sup&gt;1&lt;/sup&gt;"},"properties":{"noteIndex":0},"schema":"https://github.com/citation-style-language/schema/raw/master/csl-citation.json"}</w:instrText>
      </w:r>
      <w:r w:rsidRPr="00A42C37">
        <w:rPr>
          <w:color w:val="000000"/>
        </w:rPr>
        <w:fldChar w:fldCharType="separate"/>
      </w:r>
      <w:r w:rsidRPr="00A42C37">
        <w:rPr>
          <w:noProof/>
          <w:color w:val="000000"/>
          <w:vertAlign w:val="superscript"/>
        </w:rPr>
        <w:t>1</w:t>
      </w:r>
      <w:r w:rsidRPr="00A42C37">
        <w:rPr>
          <w:color w:val="000000"/>
        </w:rPr>
        <w:fldChar w:fldCharType="end"/>
      </w:r>
      <w:r w:rsidRPr="00A42C37">
        <w:rPr>
          <w:color w:val="000000"/>
        </w:rPr>
        <w:t xml:space="preserve">. </w:t>
      </w:r>
      <w:r>
        <w:rPr>
          <w:color w:val="000000"/>
        </w:rPr>
        <w:t xml:space="preserve">Briefly, </w:t>
      </w:r>
      <w:r>
        <w:t xml:space="preserve">95% of the samples were genotyped on the </w:t>
      </w:r>
      <w:r w:rsidRPr="00A578D8">
        <w:t>Affymetrix 6.0 Human SNP array</w:t>
      </w:r>
      <w:r>
        <w:t xml:space="preserve"> and</w:t>
      </w:r>
      <w:r w:rsidRPr="00A578D8">
        <w:t xml:space="preserve"> the remaining on </w:t>
      </w:r>
      <w:r>
        <w:t xml:space="preserve">the </w:t>
      </w:r>
      <w:proofErr w:type="spellStart"/>
      <w:r w:rsidRPr="00A578D8">
        <w:t>Perlegen</w:t>
      </w:r>
      <w:proofErr w:type="spellEnd"/>
      <w:r w:rsidRPr="00A578D8">
        <w:t>-Affymetrix 5.0 array</w:t>
      </w:r>
      <w:r>
        <w:t>. After platform-specific QC the missing SNP genotypes between each platform were imputed using the GONL (Genome of the Netherlands)</w:t>
      </w:r>
      <w:r w:rsidR="00E14238">
        <w:fldChar w:fldCharType="begin" w:fldLock="1"/>
      </w:r>
      <w:r w:rsidR="00E14238">
        <w:instrText>ADDIN CSL_CITATION {"citationItems":[{"id":"ITEM-1","itemData":{"DOI":"10.1038/ng.3021","ISBN":"1546-1718 (Electronic)\\r1061-4036 (Linking)","ISSN":"15461718","PMID":"24974849","abstract":"Whole-genome sequencing enables complete characterization of genetic variation, but geographic clustering of rare alleles demands many diverse populations be studied. Here we describe the Genome of the Netherlands (GoNL) Project, in which we sequenced the whole genomes of 250 Dutch parent-offspring families and constructed a haplotype map of 20.4 million single-nucleotide variants and 1.2 million insertions and deletions. The intermediate coverage (</w:instrText>
      </w:r>
      <w:r w:rsidR="00E14238">
        <w:rPr>
          <w:rFonts w:ascii="Cambria Math" w:hAnsi="Cambria Math" w:cs="Cambria Math"/>
        </w:rPr>
        <w:instrText>∼</w:instrText>
      </w:r>
      <w:r w:rsidR="00E14238">
        <w:instrText>13×) and trio design enabled extensive characterization of structural variation, including midsize events (30-500 bp) previously poorly catalogued and de novo mutations. We demonstrate that the quality of the haplotypes boosts imputation accuracy in independent samples, especially for lower frequency alleles. Population genetic analyses demonstrate fine-scale structure across the country and support multiple ancient migrations, consistent with historical changes in sea level and flooding. The GoNL Project illustrates how single-population whole-genome sequencing can provide detailed characterization of genetic variation and may guide the design of future population studies.","author":[{"dropping-particle":"","family":"Francioli","given":"Laurent C.","non-dropping-particle":"","parse-names":false,"suffix":""},{"dropping-particle":"","family":"Menelaou","given":"Androniki","non-dropping-particle":"","parse-names":false,"suffix":""},{"dropping-particle":"","family":"Pulit","given":"Sara L.","non-dropping-particle":"","parse-names":false,"suffix":""},{"dropping-particle":"","family":"Dijk","given":"Freerk","non-dropping-particle":"Van","parse-names":false,"suffix":""},{"dropping-particle":"","family":"Palamara","given":"Pier Francesco","non-dropping-particle":"","parse-names":false,"suffix":""},{"dropping-particle":"","family":"Elbers","given":"Clara C.","non-dropping-particle":"","parse-names":false,"suffix":""},{"dropping-particle":"","family":"Neerincx","given":"Pieter B.T.","non-dropping-particle":"","parse-names":false,"suffix":""},{"dropping-particle":"","family":"Ye","given":"Kai","non-dropping-particle":"","parse-names":false,"suffix":""},{"dropping-particle":"","family":"Guryev","given":"Victor","non-dropping-particle":"","parse-names":false,"suffix":""},{"dropping-particle":"","family":"Kloosterman","given":"Wigard P.","non-dropping-particle":"","parse-names":false,"suffix":""},{"dropping-particle":"","family":"Deelen","given":"Patrick","non-dropping-particle":"","parse-names":false,"suffix":""},{"dropping-particle":"","family":"Abdellaoui","given":"Abdel","non-dropping-particle":"","parse-names":false,"suffix":""},{"dropping-particle":"","family":"Leeuwen","given":"Elisabeth M.","non-dropping-particle":"Van","parse-names":false,"suffix":""},{"dropping-particle":"","family":"Oven","given":"Mannis","non-dropping-particle":"Van","parse-names":false,"suffix":""},{"dropping-particle":"","family":"Vermaat","given":"Martijn","non-dropping-particle":"","parse-names":false,"suffix":""},{"dropping-particle":"","family":"Li","given":"Mingkun","non-dropping-particle":"","parse-names":false,"suffix":""},{"dropping-particle":"","family":"Laros","given":"Jeroen F.J.","non-dropping-particle":"","parse-names":false,"suffix":""},{"dropping-particle":"","family":"Karssen","given":"Lennart C.","non-dropping-particle":"","parse-names":false,"suffix":""},{"dropping-particle":"","family":"Kanterakis","given":"Alexandros","non-dropping-particle":"","parse-names":false,"suffix":""},{"dropping-particle":"","family":"Amin","given":"Najaf","non-dropping-particle":"","parse-names":false,"suffix":""},{"dropping-particle":"","family":"Hottenga","given":"Jouke Jan","non-dropping-particle":"","parse-names":false,"suffix":""},{"dropping-particle":"","family":"Lameijer","given":"Eric Wubbo","non-dropping-particle":"","parse-names":false,"suffix":""},{"dropping-particle":"","family":"Kattenberg","given":"Mathijs","non-dropping-particle":"","parse-names":false,"suffix":""},{"dropping-particle":"","family":"Dijkstra","given":"Martijn","non-dropping-particle":"","parse-names":false,"suffix":""},{"dropping-particle":"","family":"Byelas","given":"Heorhiy","non-dropping-particle":"","parse-names":false,"suffix":""},{"dropping-particle":"","family":"Setten","given":"Jessica","non-dropping-particle":"Van","parse-names":false,"suffix":""},{"dropping-particle":"","family":"Schaik","given":"Barbera D.C.","non-dropping-particle":"Van","parse-names":false,"suffix":""},{"dropping-particle":"","family":"Bot","given":"Jan","non-dropping-particle":"","parse-names":false,"suffix":""},{"dropping-particle":"","family":"Nijman","given":"Isaäc J.","non-dropping-particle":"","parse-names":false,"suffix":""},{"dropping-particle":"","family":"Renkens","given":"Ivo","non-dropping-particle":"","parse-names":false,"suffix":""},{"dropping-particle":"","family":"Marschall","given":"Tobias","non-dropping-particle":"","parse-names":false,"suffix":""},{"dropping-particle":"","family":"Schönhuth","given":"Alexander","non-dropping-particle":"","parse-names":false,"suffix":""},{"dropping-particle":"","family":"Hehir-Kwa","given":"Jayne Y.","non-dropping-particle":"","parse-names":false,"suffix":""},{"dropping-particle":"","family":"Handsaker","given":"Robert E.","non-dropping-particle":"","parse-names":false,"suffix":""},{"dropping-particle":"","family":"Polak","given":"Paz","non-dropping-particle":"","parse-names":false,"suffix":""},{"dropping-particle":"","family":"Sohail","given":"Mashaal","non-dropping-particle":"","parse-names":false,"suffix":""},{"dropping-particle":"","family":"Vuzman","given":"Dana","non-dropping-particle":"","parse-names":false,"suffix":""},{"dropping-particle":"","family":"Hormozdiari","given":"Fereydoun","non-dropping-particle":"","parse-names":false,"suffix":""},{"dropping-particle":"","family":"Enckevort","given":"David","non-dropping-particle":"Van","parse-names":false,"suffix":""},{"dropping-particle":"","family":"Mei","given":"Hailiang","non-dropping-particle":"","parse-names":false,"suffix":""},{"dropping-particle":"","family":"Koval","given":"Vyacheslav","non-dropping-particle":"","parse-names":false,"suffix":""},{"dropping-particle":"","family":"Moed","given":"Matthijs H.","non-dropping-particle":"","parse-names":false,"suffix":""},{"dropping-particle":"","family":"Velde","given":"KJoeri","non-dropping-particle":"Van Der","parse-names":false,"suffix":""},{"dropping-particle":"","family":"Rivadeneira","given":"Fernando","non-dropping-particle":"","parse-names":false,"suffix":""},{"dropping-particle":"","family":"Estrada","given":"Karol","non-dropping-particle":"","parse-names":false,"suffix":""},{"dropping-particle":"","family":"Medina-Gomez","given":"Carolina","non-dropping-particle":"","parse-names":false,"suffix":""},{"dropping-particle":"","family":"Isaacs","given":"Aaron","non-dropping-particle":"","parse-names":false,"suffix":""},{"dropping-particle":"","family":"McCarroll","given":"Steven A.","non-dropping-particle":"","parse-names":false,"suffix":""},{"dropping-particle":"","family":"Beekman","given":"Marian","non-dropping-particle":"","parse-names":false,"suffix":""},{"dropping-particle":"","family":"Mde Craen","given":"Anton J.","non-dropping-particle":"","parse-names":false,"suffix":""},{"dropping-particle":"","family":"Suchiman","given":"H. Eka D.","non-dropping-particle":"","parse-names":false,"suffix":""},{"dropping-particle":"","family":"Hofman","given":"Albert","non-dropping-particle":"","parse-names":false,"suffix":""},{"dropping-particle":"","family":"Oostra","given":"Ben","non-dropping-particle":"","parse-names":false,"suffix":""},{"dropping-particle":"","family":"Uitterlinden","given":"André G.","non-dropping-particle":"","parse-names":false,"suffix":""},{"dropping-particle":"","family":"Willemsen","given":"Gonneke","non-dropping-particle":"","parse-names":false,"suffix":""},{"dropping-particle":"","family":"Platteel","given":"Mathieu","non-dropping-particle":"","parse-names":false,"suffix":""},{"dropping-particle":"","family":"Veldink","given":"Jan H.","non-dropping-particle":"","parse-names":false,"suffix":""},{"dropping-particle":"","family":"Berg","given":"Leonard H.","non-dropping-particle":"Van Den","parse-names":false,"suffix":""},{"dropping-particle":"","family":"Pitts","given":"Steven J.","non-dropping-particle":"","parse-names":false,"suffix":""},{"dropping-particle":"","family":"Potluri","given":"Shobha","non-dropping-particle":"","parse-names":false,"suffix":""},{"dropping-particle":"","family":"Sundar","given":"Purnima","non-dropping-particle":"","parse-names":false,"suffix":""},{"dropping-particle":"","family":"Cox","given":"David R.","non-dropping-particle":"","parse-names":false,"suffix":""},{"dropping-particle":"","family":"Sunyaev","given":"Shamil R.","non-dropping-particle":"","parse-names":false,"suffix":""},{"dropping-particle":"","family":"Dunnen","given":"Johan T.","non-dropping-particle":"Den","parse-names":false,"suffix":""},{"dropping-particle":"","family":"Stoneking","given":"Mark","non-dropping-particle":"","parse-names":false,"suffix":""},{"dropping-particle":"","family":"Knijff","given":"Peter","non-dropping-particle":"De","parse-names":false,"suffix":""},{"dropping-particle":"","family":"Kayser","given":"Manfred","non-dropping-particle":"","parse-names":false,"suffix":""},{"dropping-particle":"","family":"Li","given":"Qibin","non-dropping-particle":"","parse-names":false,"suffix":""},{"dropping-particle":"","family":"Li","given":"Yingrui","non-dropping-particle":"","parse-names":false,"suffix":""},{"dropping-particle":"","family":"Du","given":"Yuanping","non-dropping-particle":"","parse-names":false,"suffix":""},{"dropping-particle":"","family":"Chen","given":"Ruoyan","non-dropping-particle":"","parse-names":false,"suffix":""},{"dropping-particle":"","family":"Cao","given":"Hongzhi","non-dropping-particle":"","parse-names":false,"suffix":""},{"dropping-particle":"","family":"Li","given":"Ning","non-dropping-particle":"","parse-names":false,"suffix":""},{"dropping-particle":"","family":"Cao","given":"Sujie","non-dropping-particle":"","parse-names":false,"suffix":""},{"dropping-particle":"","family":"Wang","given":"Jun","non-dropping-particle":"","parse-names":false,"suffix":""},{"dropping-particle":"","family":"Bovenberg","given":"Jasper A.","non-dropping-particle":"","parse-names":false,"suffix":""},{"dropping-particle":"","family":"Pe'er","given":"Itsik","non-dropping-particle":"","parse-names":false,"suffix":""},{"dropping-particle":"","family":"Slagboom","given":"P. Eline","non-dropping-particle":"","parse-names":false,"suffix":""},{"dropping-particle":"","family":"Duijn","given":"Cornelia M.","non-dropping-particle":"Van","parse-names":false,"suffix":""},{"dropping-particle":"","family":"Boomsma","given":"Dorret I.","non-dropping-particle":"","parse-names":false,"suffix":""},{"dropping-particle":"","family":"Ommen","given":"Gert Jan B.","non-dropping-particle":"Van","parse-names":false,"suffix":""},{"dropping-particle":"","family":"Bakker","given":"Paul I.W.","non-dropping-particle":"De","parse-names":false,"suffix":""},{"dropping-particle":"","family":"Swertz","given":"Morris A.","non-dropping-particle":"","parse-names":false,"suffix":""},{"dropping-particle":"","family":"Wijmenga","given":"Cisca","non-dropping-particle":"","parse-names":false,"suffix":""}],"container-title":"Nature Genetics","id":"ITEM-1","issue":"8","issued":{"date-parts":[["2014"]]},"page":"818-825","title":"Whole-genome sequence variation, population structure and demographic history of the Dutch population","type":"article-journal","volume":"46"},"uris":["http://www.mendeley.com/documents/?uuid=779f5362-5d50-40b4-9894-94d47a5fb940"]}],"mendeley":{"formattedCitation":"&lt;sup&gt;2&lt;/sup&gt;","plainTextFormattedCitation":"2","previouslyFormattedCitation":"&lt;sup&gt;2&lt;/sup&gt;"},"properties":{"noteIndex":0},"schema":"https://github.com/citation-style-language/schema/raw/master/csl-citation.json"}</w:instrText>
      </w:r>
      <w:r w:rsidR="00E14238">
        <w:fldChar w:fldCharType="separate"/>
      </w:r>
      <w:r w:rsidR="00E14238" w:rsidRPr="00E14238">
        <w:rPr>
          <w:noProof/>
          <w:vertAlign w:val="superscript"/>
        </w:rPr>
        <w:t>2</w:t>
      </w:r>
      <w:r w:rsidR="00E14238">
        <w:fldChar w:fldCharType="end"/>
      </w:r>
      <w:r>
        <w:t xml:space="preserve"> reference panel and then merged. Following more stringent QC, the SNPs from th</w:t>
      </w:r>
      <w:r w:rsidR="008E3F59">
        <w:t>is</w:t>
      </w:r>
      <w:r>
        <w:t xml:space="preserve"> cross-platform </w:t>
      </w:r>
      <w:r w:rsidR="008E3F59">
        <w:t xml:space="preserve">GONL </w:t>
      </w:r>
      <w:r>
        <w:t>imputed dataset (~1.2M) were used for a second round of imputations to the 1000G Phase 3 all ancestries reference panel using the Michigan Imputation Server</w:t>
      </w:r>
      <w:r w:rsidR="00E14238">
        <w:fldChar w:fldCharType="begin" w:fldLock="1"/>
      </w:r>
      <w:r w:rsidR="00673D20">
        <w:instrText>ADDIN CSL_CITATION {"citationItems":[{"id":"ITEM-1","itemData":{"DOI":"10.1038/ng.3656","ISBN":"1546-1718 (Electronic)\\r1061-4036 (Linking)","ISSN":"15461718","PMID":"27571263","abstract":"Genotype imputation is a key component of genetic association studies, where it increases power, facilitates meta-analysis, and aids interpretation of signals. Genotype imputation is computationally demanding and, with current tools, typically requires access to a high-performance computing cluster and to a reference panel of sequenced genomes. Here we describe improvements to imputation machinery that reduce computational requirements by more than an order of magnitude with no loss of accuracy in comparison to standard imputation tools. We also describe a new web-based service for imputation that facilitates access to new reference panels and greatly improves user experience and productivity.","author":[{"dropping-particle":"","family":"Das","given":"Sayantan","non-dropping-particle":"","parse-names":false,"suffix":""},{"dropping-particle":"","family":"Forer","given":"Lukas","non-dropping-particle":"","parse-names":false,"suffix":""},{"dropping-particle":"","family":"Schönherr","given":"Sebastian","non-dropping-particle":"","parse-names":false,"suffix":""},{"dropping-particle":"","family":"Sidore","given":"Carlo","non-dropping-particle":"","parse-names":false,"suffix":""},{"dropping-particle":"","family":"Locke","given":"Adam E.","non-dropping-particle":"","parse-names":false,"suffix":""},{"dropping-particle":"","family":"Kwong","given":"Alan","non-dropping-particle":"","parse-names":false,"suffix":""},{"dropping-particle":"","family":"Vrieze","given":"Scott I.","non-dropping-particle":"","parse-names":false,"suffix":""},{"dropping-particle":"","family":"Chew","given":"Emily Y.","non-dropping-particle":"","parse-names":false,"suffix":""},{"dropping-particle":"","family":"Levy","given":"Shawn","non-dropping-particle":"","parse-names":false,"suffix":""},{"dropping-particle":"","family":"McGue","given":"Matt","non-dropping-particle":"","parse-names":false,"suffix":""},{"dropping-particle":"","family":"Schlessinger","given":"David","non-dropping-particle":"","parse-names":false,"suffix":""},{"dropping-particle":"","family":"Stambolian","given":"Dwight","non-dropping-particle":"","parse-names":false,"suffix":""},{"dropping-particle":"","family":"Loh","given":"Po Ru","non-dropping-particle":"","parse-names":false,"suffix":""},{"dropping-particle":"","family":"Iacono","given":"William G.","non-dropping-particle":"","parse-names":false,"suffix":""},{"dropping-particle":"","family":"Swaroop","given":"Anand","non-dropping-particle":"","parse-names":false,"suffix":""},{"dropping-particle":"","family":"Scott","given":"Laura J.","non-dropping-particle":"","parse-names":false,"suffix":""},{"dropping-particle":"","family":"Cucca","given":"Francesco","non-dropping-particle":"","parse-names":false,"suffix":""},{"dropping-particle":"","family":"Kronenberg","given":"Florian","non-dropping-particle":"","parse-names":false,"suffix":""},{"dropping-particle":"","family":"Boehnke","given":"Michael","non-dropping-particle":"","parse-names":false,"suffix":""},{"dropping-particle":"","family":"Abecasis","given":"Gonçalo R.","non-dropping-particle":"","parse-names":false,"suffix":""},{"dropping-particle":"","family":"Fuchsberger","given":"Christian","non-dropping-particle":"","parse-names":false,"suffix":""}],"container-title":"Nature Genetics","id":"ITEM-1","issue":"10","issued":{"date-parts":[["2016"]]},"page":"1284-1287","title":"Next-generation genotype imputation service and methods","type":"article-journal","volume":"48"},"uris":["http://www.mendeley.com/documents/?uuid=c71bbdd2-66cd-4e23-975a-0c6c63189976"]}],"mendeley":{"formattedCitation":"&lt;sup&gt;3&lt;/sup&gt;","plainTextFormattedCitation":"3","previouslyFormattedCitation":"&lt;sup&gt;3&lt;/sup&gt;"},"properties":{"noteIndex":0},"schema":"https://github.com/citation-style-language/schema/raw/master/csl-citation.json"}</w:instrText>
      </w:r>
      <w:r w:rsidR="00E14238">
        <w:fldChar w:fldCharType="separate"/>
      </w:r>
      <w:r w:rsidR="00E14238" w:rsidRPr="00E14238">
        <w:rPr>
          <w:noProof/>
          <w:vertAlign w:val="superscript"/>
        </w:rPr>
        <w:t>3</w:t>
      </w:r>
      <w:r w:rsidR="00E14238">
        <w:fldChar w:fldCharType="end"/>
      </w:r>
      <w:r w:rsidR="00A14DC4">
        <w:t xml:space="preserve">. </w:t>
      </w:r>
      <w:r w:rsidR="00A14DC4" w:rsidRPr="00A14DC4">
        <w:rPr>
          <w:color w:val="000000"/>
        </w:rPr>
        <w:t>Genotype</w:t>
      </w:r>
      <w:r w:rsidR="00A14DC4" w:rsidRPr="00A20BC4">
        <w:rPr>
          <w:color w:val="000000"/>
        </w:rPr>
        <w:t xml:space="preserve"> data were used to build </w:t>
      </w:r>
      <w:r w:rsidR="00A14DC4">
        <w:rPr>
          <w:color w:val="000000"/>
        </w:rPr>
        <w:t xml:space="preserve">a </w:t>
      </w:r>
      <w:r w:rsidR="00A14DC4" w:rsidRPr="00A20BC4">
        <w:rPr>
          <w:color w:val="000000"/>
        </w:rPr>
        <w:t>relationship matrix measuring genetic similarity</w:t>
      </w:r>
      <w:r w:rsidR="00A14DC4">
        <w:rPr>
          <w:color w:val="000000"/>
        </w:rPr>
        <w:t xml:space="preserve"> using GCTA</w:t>
      </w:r>
      <w:r w:rsidR="00E14238">
        <w:rPr>
          <w:color w:val="000000"/>
        </w:rPr>
        <w:fldChar w:fldCharType="begin" w:fldLock="1"/>
      </w:r>
      <w:r w:rsidR="00673D20">
        <w:rPr>
          <w:color w:val="000000"/>
        </w:rPr>
        <w:instrText>ADDIN CSL_CITATION {"citationItems":[{"id":"ITEM-1","itemData":{"DOI":"10.1016/j.ajhg.2010.11.011","ISBN":"1537-6605","ISSN":"00029297","PMID":"21167468","abstract":"For most human complex diseases and traits, SNPs identified by genome-wide association studies (GWAS) explain only a small fraction of the heritability. Here we report a user-friendly software tool called genome-wide complex trait analysis (GCTA), which was developed based on a method we recently developed to address the \"missing heritability\" problem. GCTA estimates the variance explained by all the SNPs on a chromosome or on the whole genome for a complex trait rather than testing the association of any particular SNP to the trait. We introduce GCTA's five main functions: data management, estimation of the genetic relationships from SNPs, mixed linear model analysis of variance explained by the SNPs, estimation of the linkage disequilibrium structure, and GWAS simulation. We focus on the function of estimating the variance explained by all the SNPs on the X chromosome and testing the hypotheses of dosage compensation. The GCTA software is a versatile tool to estimate and partition complex trait variation with large GWAS data sets. © 2011 The American Society of Human Genetics.","author":[{"dropping-particle":"","family":"Yang","given":"Jian","non-dropping-particle":"","parse-names":false,"suffix":""},{"dropping-particle":"","family":"Lee","given":"S. Hong","non-dropping-particle":"","parse-names":false,"suffix":""},{"dropping-particle":"","family":"Goddard","given":"Michael E.","non-dropping-particle":"","parse-names":false,"suffix":""},{"dropping-particle":"","family":"Visscher","given":"Peter M.","non-dropping-particle":"","parse-names":false,"suffix":""}],"container-title":"American Journal of Human Genetics","id":"ITEM-1","issue":"1","issued":{"date-parts":[["2011"]]},"page":"76-82","publisher":"The American Society of Human Genetics","title":"GCTA: A tool for genome-wide complex trait analysis","type":"article-journal","volume":"88"},"uris":["http://www.mendeley.com/documents/?uuid=2df0b87f-7a4a-47d0-9479-231647a66f00"]}],"mendeley":{"formattedCitation":"&lt;sup&gt;4&lt;/sup&gt;","plainTextFormattedCitation":"4","previouslyFormattedCitation":"&lt;sup&gt;4&lt;/sup&gt;"},"properties":{"noteIndex":0},"schema":"https://github.com/citation-style-language/schema/raw/master/csl-citation.json"}</w:instrText>
      </w:r>
      <w:r w:rsidR="00E14238">
        <w:rPr>
          <w:color w:val="000000"/>
        </w:rPr>
        <w:fldChar w:fldCharType="separate"/>
      </w:r>
      <w:r w:rsidR="00E14238" w:rsidRPr="00E14238">
        <w:rPr>
          <w:noProof/>
          <w:color w:val="000000"/>
          <w:vertAlign w:val="superscript"/>
        </w:rPr>
        <w:t>4</w:t>
      </w:r>
      <w:r w:rsidR="00E14238">
        <w:rPr>
          <w:color w:val="000000"/>
        </w:rPr>
        <w:fldChar w:fldCharType="end"/>
      </w:r>
      <w:r w:rsidR="00E14238">
        <w:rPr>
          <w:color w:val="000000"/>
        </w:rPr>
        <w:t xml:space="preserve"> </w:t>
      </w:r>
      <w:r w:rsidR="00A14DC4" w:rsidRPr="00A20BC4">
        <w:rPr>
          <w:color w:val="000000"/>
        </w:rPr>
        <w:t xml:space="preserve">, which was pruned </w:t>
      </w:r>
      <w:r w:rsidR="007A59C6">
        <w:rPr>
          <w:color w:val="000000"/>
        </w:rPr>
        <w:t xml:space="preserve">at </w:t>
      </w:r>
      <w:r w:rsidR="00A14DC4">
        <w:rPr>
          <w:color w:val="000000"/>
        </w:rPr>
        <w:t>0.05 threshold</w:t>
      </w:r>
      <w:r w:rsidR="00A14DC4" w:rsidRPr="00A20BC4">
        <w:rPr>
          <w:color w:val="000000"/>
        </w:rPr>
        <w:t xml:space="preserve"> in order to </w:t>
      </w:r>
      <w:proofErr w:type="spellStart"/>
      <w:r w:rsidR="007A59C6">
        <w:rPr>
          <w:color w:val="000000"/>
        </w:rPr>
        <w:t>reatain</w:t>
      </w:r>
      <w:proofErr w:type="spellEnd"/>
      <w:r w:rsidR="00A14DC4" w:rsidRPr="00A20BC4">
        <w:rPr>
          <w:color w:val="000000"/>
        </w:rPr>
        <w:t xml:space="preserve"> unrelated participants.</w:t>
      </w:r>
    </w:p>
    <w:p w14:paraId="442506C6" w14:textId="19E608D3" w:rsidR="00A42C37" w:rsidRDefault="00A42C37" w:rsidP="00A42C37">
      <w:pPr>
        <w:autoSpaceDE w:val="0"/>
        <w:autoSpaceDN w:val="0"/>
        <w:adjustRightInd w:val="0"/>
        <w:spacing w:line="480" w:lineRule="auto"/>
        <w:outlineLvl w:val="0"/>
      </w:pPr>
    </w:p>
    <w:p w14:paraId="1A92A93B" w14:textId="09E28B4D" w:rsidR="000F30C2" w:rsidRDefault="000F30C2" w:rsidP="00EF5D46">
      <w:pPr>
        <w:pStyle w:val="NoSpacing2"/>
        <w:outlineLvl w:val="0"/>
        <w:rPr>
          <w:b/>
          <w:i/>
        </w:rPr>
      </w:pPr>
    </w:p>
    <w:p w14:paraId="5306C284" w14:textId="45612EF9" w:rsidR="00E60CAA" w:rsidRDefault="00E60CAA" w:rsidP="00EF5D46">
      <w:pPr>
        <w:pStyle w:val="NoSpacing2"/>
        <w:outlineLvl w:val="0"/>
        <w:rPr>
          <w:b/>
          <w:i/>
        </w:rPr>
      </w:pPr>
    </w:p>
    <w:p w14:paraId="3C53EB50" w14:textId="7A772244" w:rsidR="00E60CAA" w:rsidRDefault="00E60CAA" w:rsidP="00EF5D46">
      <w:pPr>
        <w:pStyle w:val="NoSpacing2"/>
        <w:outlineLvl w:val="0"/>
        <w:rPr>
          <w:b/>
          <w:i/>
        </w:rPr>
      </w:pPr>
    </w:p>
    <w:p w14:paraId="476A9279" w14:textId="5E820AE4" w:rsidR="00E60CAA" w:rsidRDefault="00E60CAA" w:rsidP="00EF5D46">
      <w:pPr>
        <w:pStyle w:val="NoSpacing2"/>
        <w:outlineLvl w:val="0"/>
        <w:rPr>
          <w:b/>
          <w:i/>
        </w:rPr>
      </w:pPr>
    </w:p>
    <w:p w14:paraId="3DE8ABFD" w14:textId="221AD69D" w:rsidR="00E60CAA" w:rsidRDefault="00E60CAA" w:rsidP="00EF5D46">
      <w:pPr>
        <w:pStyle w:val="NoSpacing2"/>
        <w:outlineLvl w:val="0"/>
        <w:rPr>
          <w:b/>
          <w:i/>
        </w:rPr>
      </w:pPr>
    </w:p>
    <w:p w14:paraId="7AA8065F" w14:textId="1B095357" w:rsidR="00E60CAA" w:rsidRDefault="00E60CAA" w:rsidP="00EF5D46">
      <w:pPr>
        <w:pStyle w:val="NoSpacing2"/>
        <w:outlineLvl w:val="0"/>
        <w:rPr>
          <w:b/>
          <w:i/>
        </w:rPr>
      </w:pPr>
    </w:p>
    <w:p w14:paraId="4FCEE894" w14:textId="4FBD438A" w:rsidR="00E60CAA" w:rsidRDefault="00E60CAA" w:rsidP="00EF5D46">
      <w:pPr>
        <w:pStyle w:val="NoSpacing2"/>
        <w:outlineLvl w:val="0"/>
        <w:rPr>
          <w:b/>
          <w:i/>
        </w:rPr>
      </w:pPr>
    </w:p>
    <w:p w14:paraId="2AD4F3CE" w14:textId="4699E42D" w:rsidR="00E60CAA" w:rsidRDefault="00E60CAA" w:rsidP="00EF5D46">
      <w:pPr>
        <w:pStyle w:val="NoSpacing2"/>
        <w:outlineLvl w:val="0"/>
        <w:rPr>
          <w:b/>
          <w:i/>
        </w:rPr>
      </w:pPr>
    </w:p>
    <w:p w14:paraId="18D370FC" w14:textId="02A236D6" w:rsidR="00E60CAA" w:rsidRDefault="00E60CAA" w:rsidP="00EF5D46">
      <w:pPr>
        <w:pStyle w:val="NoSpacing2"/>
        <w:outlineLvl w:val="0"/>
        <w:rPr>
          <w:b/>
          <w:i/>
        </w:rPr>
      </w:pPr>
    </w:p>
    <w:p w14:paraId="241E6791" w14:textId="3D77E584" w:rsidR="00E60CAA" w:rsidRDefault="00E60CAA" w:rsidP="00EF5D46">
      <w:pPr>
        <w:pStyle w:val="NoSpacing2"/>
        <w:outlineLvl w:val="0"/>
        <w:rPr>
          <w:b/>
          <w:i/>
        </w:rPr>
      </w:pPr>
    </w:p>
    <w:p w14:paraId="3BACE081" w14:textId="722D8FC0" w:rsidR="00E60CAA" w:rsidRDefault="00E60CAA" w:rsidP="00EF5D46">
      <w:pPr>
        <w:pStyle w:val="NoSpacing2"/>
        <w:outlineLvl w:val="0"/>
        <w:rPr>
          <w:b/>
          <w:i/>
        </w:rPr>
      </w:pPr>
    </w:p>
    <w:p w14:paraId="2CE5F7F4" w14:textId="77777777" w:rsidR="005D6F0E" w:rsidRDefault="005D6F0E" w:rsidP="00EF5D46">
      <w:pPr>
        <w:pStyle w:val="NoSpacing2"/>
        <w:outlineLvl w:val="0"/>
        <w:rPr>
          <w:b/>
          <w:i/>
        </w:rPr>
      </w:pPr>
    </w:p>
    <w:p w14:paraId="4B89AE7F" w14:textId="77777777" w:rsidR="00875E4E" w:rsidRDefault="00875E4E" w:rsidP="00EF5D46">
      <w:pPr>
        <w:pStyle w:val="NoSpacing2"/>
        <w:outlineLvl w:val="0"/>
        <w:rPr>
          <w:b/>
          <w:i/>
        </w:rPr>
      </w:pPr>
    </w:p>
    <w:p w14:paraId="73744928" w14:textId="299EC8CA" w:rsidR="009A7929" w:rsidRPr="00EF5D46" w:rsidRDefault="00063614" w:rsidP="00EF5D46">
      <w:pPr>
        <w:pStyle w:val="NoSpacing2"/>
        <w:outlineLvl w:val="0"/>
        <w:rPr>
          <w:b/>
          <w:i/>
        </w:rPr>
      </w:pPr>
      <w:r>
        <w:rPr>
          <w:b/>
          <w:i/>
        </w:rPr>
        <w:lastRenderedPageBreak/>
        <w:t>s</w:t>
      </w:r>
      <w:r w:rsidR="00B55ABB">
        <w:rPr>
          <w:b/>
          <w:i/>
        </w:rPr>
        <w:t>2</w:t>
      </w:r>
      <w:r w:rsidR="00FC34E1" w:rsidRPr="00EF5D46">
        <w:rPr>
          <w:b/>
          <w:i/>
        </w:rPr>
        <w:t>.</w:t>
      </w:r>
      <w:r w:rsidR="00242BB5">
        <w:rPr>
          <w:b/>
          <w:i/>
        </w:rPr>
        <w:t xml:space="preserve"> </w:t>
      </w:r>
      <w:r w:rsidR="00FA3D07" w:rsidRPr="00EF5D46">
        <w:rPr>
          <w:b/>
          <w:i/>
        </w:rPr>
        <w:t xml:space="preserve">Processing of n3-PUFA </w:t>
      </w:r>
      <w:r w:rsidR="006E16CB" w:rsidRPr="00EF5D46">
        <w:rPr>
          <w:b/>
          <w:i/>
        </w:rPr>
        <w:t>G</w:t>
      </w:r>
      <w:r w:rsidR="00A73F05" w:rsidRPr="00EF5D46">
        <w:rPr>
          <w:b/>
          <w:i/>
        </w:rPr>
        <w:t>WAS s</w:t>
      </w:r>
      <w:r w:rsidR="006E16CB" w:rsidRPr="00EF5D46">
        <w:rPr>
          <w:b/>
          <w:i/>
        </w:rPr>
        <w:t>ummary statistics</w:t>
      </w:r>
    </w:p>
    <w:p w14:paraId="04B0034D" w14:textId="62AAD52D" w:rsidR="00701C94" w:rsidRPr="00E4129D" w:rsidRDefault="007F3284" w:rsidP="00F7132B">
      <w:pPr>
        <w:spacing w:line="480" w:lineRule="auto"/>
        <w:rPr>
          <w:color w:val="000000"/>
        </w:rPr>
      </w:pPr>
      <w:r w:rsidRPr="00EF5D46">
        <w:t xml:space="preserve">Summary statistics </w:t>
      </w:r>
      <w:r w:rsidR="00EF3CC2" w:rsidRPr="00EF5D46">
        <w:t>for n3-PUFA</w:t>
      </w:r>
      <w:r w:rsidR="00EF3CC2" w:rsidRPr="00EF5D46">
        <w:rPr>
          <w:b/>
          <w:i/>
        </w:rPr>
        <w:t xml:space="preserve"> </w:t>
      </w:r>
      <w:r w:rsidR="00E96F61" w:rsidRPr="00EF5D46">
        <w:t xml:space="preserve">were obtained from </w:t>
      </w:r>
      <w:r w:rsidR="00EF3CC2" w:rsidRPr="00EF5D46">
        <w:rPr>
          <w:color w:val="000000"/>
        </w:rPr>
        <w:t xml:space="preserve">the </w:t>
      </w:r>
      <w:r w:rsidR="00EF3CC2" w:rsidRPr="00EF5D46">
        <w:rPr>
          <w:color w:val="333333"/>
        </w:rPr>
        <w:t>MAGNETIC NMR GWAS</w:t>
      </w:r>
      <w:r w:rsidR="00EF3CC2" w:rsidRPr="00EF5D46">
        <w:rPr>
          <w:color w:val="333333"/>
        </w:rPr>
        <w:fldChar w:fldCharType="begin" w:fldLock="1"/>
      </w:r>
      <w:r w:rsidR="00673D20">
        <w:rPr>
          <w:color w:val="333333"/>
        </w:rPr>
        <w:instrText>ADDIN CSL_CITATION {"citationItems":[{"id":"ITEM-1","itemData":{"DOI":"10.1038/ncomms11122","ISBN":"2041-1723 (Electronic)\\r2041-1723 (Linking)","ISSN":"2041-1723","PMID":"27005778","abstract":"Genome-wide association studies have identified numerous loci linked with complex diseases, for which the molecular mechanisms remain largely unclear. Comprehensive molecular profiling of circulating metabolites captures highly heritable traits, which can help to uncover metabolic pathophysiology underlying established disease variants. We conduct an extended genome-wide association study of genetic influences on 123 circulating metabolic traits quantified by nuclear magnetic resonance metabolomics from up to 24,925 individuals and identify eight novel loci for amino acids, pyruvate and fatty acids. The LPA locus link with cardiovascular risk exemplifies how detailed metabolic profiling may inform underlying aetiology via extensive associations with very-low-density lipoprotein and triglyceride metabolism. Genetic fine mapping and Mendelian randomization uncover wide-spread causal effects of lipoprotein(a) on overall lipoprotein metabolism and we assess potential pleiotropic consequences of genetically elevated lipoprotein(a) on diverse morbidities via electronic health-care records. Our findings strengthen the argument for safe LPA-targeted intervention to reduce cardiovascular risk.","author":[{"dropping-particle":"","family":"Kettunen","given":"Johannes","non-dropping-particle":"","parse-names":false,"suffix":""},{"dropping-particle":"","family":"Demirkan","given":"Ayşe","non-dropping-particle":"","parse-names":false,"suffix":""},{"dropping-particle":"","family":"Würtz","given":"Peter","non-dropping-particle":"","parse-names":false,"suffix":""},{"dropping-particle":"","family":"Draisma","given":"Harmen H.M. M","non-dropping-particle":"","parse-names":false,"suffix":""},{"dropping-particle":"","family":"Haller","given":"Toomas","non-dropping-particle":"","parse-names":false,"suffix":""},{"dropping-particle":"","family":"Rawal","given":"Rajesh","non-dropping-particle":"","parse-names":false,"suffix":""},{"dropping-particle":"","family":"Vaarhorst","given":"Anika","non-dropping-particle":"","parse-names":false,"suffix":""},{"dropping-particle":"","family":"Kangas","given":"Antti J.","non-dropping-particle":"","parse-names":false,"suffix":""},{"dropping-particle":"","family":"Lyytikäinen","given":"Leo-Pekka","non-dropping-particle":"","parse-names":false,"suffix":""},{"dropping-particle":"","family":"Pirinen","given":"Matti","non-dropping-particle":"","parse-names":false,"suffix":""},{"dropping-particle":"","family":"Pool","given":"René","non-dropping-particle":"","parse-names":false,"suffix":""},{"dropping-particle":"","family":"Sarin","given":"Antti-Pekka","non-dropping-particle":"","parse-names":false,"suffix":""},{"dropping-particle":"","family":"Soininen","given":"Pasi","non-dropping-particle":"","parse-names":false,"suffix":""},{"dropping-particle":"","family":"Tukiainen","given":"Taru","non-dropping-particle":"","parse-names":false,"suffix":""},{"dropping-particle":"","family":"Wang","given":"Qin","non-dropping-particle":"","parse-names":false,"suffix":""},{"dropping-particle":"","family":"Tiainen","given":"Mika","non-dropping-particle":"","parse-names":false,"suffix":""},{"dropping-particle":"","family":"Tynkkynen","given":"Tuulia","non-dropping-particle":"","parse-names":false,"suffix":""},{"dropping-particle":"","family":"Amin","given":"Najaf","non-dropping-particle":"","parse-names":false,"suffix":""},{"dropping-particle":"","family":"Zeller","given":"Tanja","non-dropping-particle":"","parse-names":false,"suffix":""},{"dropping-particle":"","family":"Beekman","given":"Marian","non-dropping-particle":"","parse-names":false,"suffix":""},{"dropping-particle":"","family":"Deelen","given":"Joris","non-dropping-particle":"","parse-names":false,"suffix":""},{"dropping-particle":"","family":"Dijk","given":"Ko Willems","non-dropping-particle":"van","parse-names":false,"suffix":""},{"dropping-particle":"","family":"Esko","given":"Tõnu","non-dropping-particle":"","parse-names":false,"suffix":""},{"dropping-particle":"","family":"Hottenga","given":"Jouke-Jan","non-dropping-particle":"","parse-names":false,"suffix":""},{"dropping-particle":"","family":"Leeuwen","given":"Elisabeth M","non-dropping-particle":"van","parse-names":false,"suffix":""},{"dropping-particle":"","family":"Lehtimäki","given":"Terho","non-dropping-particle":"","parse-names":false,"suffix":""},{"dropping-particle":"","family":"Mihailov","given":"Evelin","non-dropping-particle":"","parse-names":false,"suffix":""},{"dropping-particle":"","family":"Rose","given":"Richard J.","non-dropping-particle":"","parse-names":false,"suffix":""},{"dropping-particle":"","family":"Craen","given":"Anton J.M. M","non-dropping-particle":"de","parse-names":false,"suffix":""},{"dropping-particle":"","family":"Gieger","given":"Christian","non-dropping-particle":"","parse-names":false,"suffix":""},{"dropping-particle":"","family":"Kähönen","given":"Mika","non-dropping-particle":"","parse-names":false,"suffix":""},{"dropping-particle":"","family":"Perola","given":"Markus","non-dropping-particle":"","parse-names":false,"suffix":""},{"dropping-particle":"","family":"Blankenberg","given":"Stefan","non-dropping-particle":"","parse-names":false,"suffix":""},{"dropping-particle":"","family":"Savolainen","given":"Markku J.","non-dropping-particle":"","parse-names":false,"suffix":""},{"dropping-particle":"","family":"Verhoeven","given":"Aswin","non-dropping-particle":"","parse-names":false,"suffix":""},{"dropping-particle":"","family":"Viikari","given":"Jorma","non-dropping-particle":"","parse-names":false,"suffix":""},{"dropping-particle":"","family":"Willemsen","given":"Gonneke","non-dropping-particle":"","parse-names":false,"suffix":""},{"dropping-particle":"","family":"Boomsma","given":"Dorret I.","non-dropping-particle":"","parse-names":false,"suffix":""},{"dropping-particle":"","family":"Duijn","given":"Cornelia M.","non-dropping-particle":"van","parse-names":false,"suffix":""},{"dropping-particle":"","family":"Eriksson","given":"Johan","non-dropping-particle":"","parse-names":false,"suffix":""},{"dropping-particle":"","family":"Jula","given":"Antti","non-dropping-particle":"","parse-names":false,"suffix":""},{"dropping-particle":"","family":"Järvelin","given":"Marjo-Riitta","non-dropping-particle":"","parse-names":false,"suffix":""},{"dropping-particle":"","family":"Kaprio","given":"Jaakko","non-dropping-particle":"","parse-names":false,"suffix":""},{"dropping-particle":"","family":"Metspalu","given":"Andres","non-dropping-particle":"","parse-names":false,"suffix":""},{"dropping-particle":"","family":"Raitakari","given":"Olli","non-dropping-particle":"","parse-names":false,"suffix":""},{"dropping-particle":"","family":"Salomaa","given":"Veikko","non-dropping-particle":"","parse-names":false,"suffix":""},{"dropping-particle":"","family":"Slagboom","given":"P. Eline","non-dropping-particle":"","parse-names":false,"suffix":""},{"dropping-particle":"","family":"Waldenberger","given":"Melanie","non-dropping-particle":"","parse-names":false,"suffix":""},{"dropping-particle":"","family":"Ripatti","given":"Samuli","non-dropping-particle":"","parse-names":false,"suffix":""},{"dropping-particle":"","family":"Ala-Korpela","given":"Mika","non-dropping-particle":"","parse-names":false,"suffix":""}],"container-title":"Nature Communications","id":"ITEM-1","issued":{"date-parts":[["2016"]]},"page":"11122","title":"Genome-wide study for circulating metabolites identifies 62 loci and reveals novel systemic effects of LPA","type":"article-journal","volume":"7"},"uris":["http://www.mendeley.com/documents/?uuid=2707fbeb-daa8-4454-8483-bf79e09811ad"]}],"mendeley":{"formattedCitation":"&lt;sup&gt;5&lt;/sup&gt;","plainTextFormattedCitation":"5","previouslyFormattedCitation":"&lt;sup&gt;5&lt;/sup&gt;"},"properties":{"noteIndex":0},"schema":"https://github.com/citation-style-language/schema/raw/master/csl-citation.json"}</w:instrText>
      </w:r>
      <w:r w:rsidR="00EF3CC2" w:rsidRPr="00EF5D46">
        <w:rPr>
          <w:color w:val="333333"/>
        </w:rPr>
        <w:fldChar w:fldCharType="separate"/>
      </w:r>
      <w:r w:rsidR="00E14238" w:rsidRPr="00E14238">
        <w:rPr>
          <w:noProof/>
          <w:color w:val="333333"/>
          <w:vertAlign w:val="superscript"/>
        </w:rPr>
        <w:t>5</w:t>
      </w:r>
      <w:r w:rsidR="00EF3CC2" w:rsidRPr="00EF5D46">
        <w:rPr>
          <w:color w:val="333333"/>
        </w:rPr>
        <w:fldChar w:fldCharType="end"/>
      </w:r>
      <w:r w:rsidR="00EF3CC2" w:rsidRPr="00EF5D46">
        <w:rPr>
          <w:color w:val="333333"/>
        </w:rPr>
        <w:t xml:space="preserve"> examining the same metabolomics platform </w:t>
      </w:r>
      <w:r w:rsidR="00EF3CC2" w:rsidRPr="00EF5D46">
        <w:rPr>
          <w:color w:val="000000"/>
        </w:rPr>
        <w:t xml:space="preserve">(Nightingale Health Ltd., Helsinki, Finland) </w:t>
      </w:r>
      <w:r w:rsidR="00EF3CC2" w:rsidRPr="00EF5D46">
        <w:rPr>
          <w:color w:val="333333"/>
        </w:rPr>
        <w:t xml:space="preserve">adopted in NESDA on up to 24925 individuals. </w:t>
      </w:r>
      <w:r w:rsidR="00950EE0" w:rsidRPr="00EF5D46">
        <w:rPr>
          <w:color w:val="333333"/>
        </w:rPr>
        <w:t xml:space="preserve">The original manuscript reports </w:t>
      </w:r>
      <w:r w:rsidR="00E9503E" w:rsidRPr="00EF5D46">
        <w:rPr>
          <w:color w:val="333333"/>
        </w:rPr>
        <w:t xml:space="preserve">only </w:t>
      </w:r>
      <w:r w:rsidR="00950EE0" w:rsidRPr="00EF5D46">
        <w:rPr>
          <w:color w:val="333333"/>
        </w:rPr>
        <w:t>global pattern</w:t>
      </w:r>
      <w:r w:rsidR="00701C94">
        <w:rPr>
          <w:color w:val="333333"/>
        </w:rPr>
        <w:t>s</w:t>
      </w:r>
      <w:r w:rsidR="00950EE0" w:rsidRPr="00EF5D46">
        <w:rPr>
          <w:color w:val="333333"/>
        </w:rPr>
        <w:t xml:space="preserve"> of results across several metabolites. </w:t>
      </w:r>
      <w:r w:rsidR="00E9503E" w:rsidRPr="00EF5D46">
        <w:rPr>
          <w:color w:val="333333"/>
        </w:rPr>
        <w:t xml:space="preserve">We processed the </w:t>
      </w:r>
      <w:r w:rsidR="00E9503E" w:rsidRPr="00EF5D46">
        <w:rPr>
          <w:color w:val="000000"/>
        </w:rPr>
        <w:t>specific summary statistics for n3-PUFA in order to identif</w:t>
      </w:r>
      <w:r w:rsidR="00701C94">
        <w:rPr>
          <w:color w:val="000000"/>
        </w:rPr>
        <w:t>y</w:t>
      </w:r>
      <w:r w:rsidR="00E9503E" w:rsidRPr="00EF5D46">
        <w:rPr>
          <w:color w:val="000000"/>
        </w:rPr>
        <w:t xml:space="preserve"> independent genome-wide significant SNPs by using the FUMA tool</w:t>
      </w:r>
      <w:r w:rsidR="00EF5D46" w:rsidRPr="00EF5D46">
        <w:rPr>
          <w:color w:val="000000"/>
        </w:rPr>
        <w:fldChar w:fldCharType="begin" w:fldLock="1"/>
      </w:r>
      <w:r w:rsidR="00673D20">
        <w:rPr>
          <w:color w:val="000000"/>
        </w:rPr>
        <w:instrText>ADDIN CSL_CITATION {"citationItems":[{"id":"ITEM-1","itemData":{"DOI":"10.1101/110023","ISBN":"3131748079","ISSN":"00129658","PMID":"1000164161","abstract":"A main challenge in genome-wide association studies (GWAS) is to prioritize genetic variants and identify potential causal mechanisms of human diseases. Although multiple bioinformatics resources are available for functional annotation and prioritization, a standard, integrative approach is lacking. We developed FUMA: a web-based platform to facilitate functional annotation of GWAS results, prioritization of genes and interactive visualization of annotated results by incorporating information from multiple state-of-the-art biological databases.","author":[{"dropping-particle":"","family":"Watanabe","given":"Kyoko","non-dropping-particle":"","parse-names":false,"suffix":""},{"dropping-particle":"","family":"Taskesen","given":"Erdogan","non-dropping-particle":"","parse-names":false,"suffix":""},{"dropping-particle":"van","family":"Bochoven","given":"Arjen","non-dropping-particle":"","parse-names":false,"suffix":""},{"dropping-particle":"","family":"Posthuma","given":"Danielle","non-dropping-particle":"","parse-names":false,"suffix":""}],"container-title":"Nature Communications","id":"ITEM-1","issued":{"date-parts":[["2017"]]},"page":"1826","publisher":"Springer US","title":"FUMA: Functional mapping and annotation of genetic associations","type":"article-journal","volume":"8"},"uris":["http://www.mendeley.com/documents/?uuid=4300d351-8be1-4ab3-b80d-5403ef559e29"]}],"mendeley":{"formattedCitation":"&lt;sup&gt;6&lt;/sup&gt;","plainTextFormattedCitation":"6","previouslyFormattedCitation":"&lt;sup&gt;6&lt;/sup&gt;"},"properties":{"noteIndex":0},"schema":"https://github.com/citation-style-language/schema/raw/master/csl-citation.json"}</w:instrText>
      </w:r>
      <w:r w:rsidR="00EF5D46" w:rsidRPr="00EF5D46">
        <w:rPr>
          <w:color w:val="000000"/>
        </w:rPr>
        <w:fldChar w:fldCharType="separate"/>
      </w:r>
      <w:r w:rsidR="00E14238" w:rsidRPr="00E14238">
        <w:rPr>
          <w:noProof/>
          <w:color w:val="000000"/>
          <w:vertAlign w:val="superscript"/>
        </w:rPr>
        <w:t>6</w:t>
      </w:r>
      <w:r w:rsidR="00EF5D46" w:rsidRPr="00EF5D46">
        <w:rPr>
          <w:color w:val="000000"/>
        </w:rPr>
        <w:fldChar w:fldCharType="end"/>
      </w:r>
      <w:r w:rsidR="00EF5D46" w:rsidRPr="00EF5D46">
        <w:rPr>
          <w:color w:val="000000"/>
        </w:rPr>
        <w:t xml:space="preserve">. We </w:t>
      </w:r>
      <w:r w:rsidR="00EF5D46" w:rsidRPr="00E66FAC">
        <w:rPr>
          <w:color w:val="000000" w:themeColor="text1"/>
        </w:rPr>
        <w:t xml:space="preserve">applied the SNP2GENE function </w:t>
      </w:r>
      <w:r w:rsidR="00EF5D46" w:rsidRPr="00E66FAC">
        <w:rPr>
          <w:color w:val="000000" w:themeColor="text1"/>
          <w:shd w:val="clear" w:color="auto" w:fill="FFFFFF"/>
        </w:rPr>
        <w:t>using GWAS summary statistics as an input and providing annotation of genomic areas identified by lead SNPs. </w:t>
      </w:r>
      <w:r w:rsidR="0040366C" w:rsidRPr="00E66FAC">
        <w:rPr>
          <w:color w:val="000000" w:themeColor="text1"/>
          <w:shd w:val="clear" w:color="auto" w:fill="FFFFFF"/>
        </w:rPr>
        <w:t>The following criteria were applied</w:t>
      </w:r>
      <w:r w:rsidR="00F7132B">
        <w:rPr>
          <w:color w:val="000000" w:themeColor="text1"/>
          <w:shd w:val="clear" w:color="auto" w:fill="FFFFFF"/>
        </w:rPr>
        <w:t>:</w:t>
      </w:r>
      <w:r w:rsidR="00F7132B" w:rsidRPr="00F7132B">
        <w:t xml:space="preserve"> </w:t>
      </w:r>
      <w:r w:rsidR="00F7132B">
        <w:t>SNP</w:t>
      </w:r>
      <w:r w:rsidR="00C733E0">
        <w:t>s</w:t>
      </w:r>
      <w:r w:rsidR="00F7132B">
        <w:t xml:space="preserve"> with </w:t>
      </w:r>
      <w:r w:rsidR="00F7132B" w:rsidRPr="00F7132B">
        <w:t xml:space="preserve">MAF </w:t>
      </w:r>
      <w:r w:rsidR="00F7132B" w:rsidRPr="00F7132B">
        <w:rPr>
          <w:color w:val="635B53"/>
          <w:shd w:val="clear" w:color="auto" w:fill="FFFFFF"/>
        </w:rPr>
        <w:t>≥</w:t>
      </w:r>
      <w:r w:rsidR="00C733E0">
        <w:t xml:space="preserve"> </w:t>
      </w:r>
      <w:r w:rsidR="00F7132B" w:rsidRPr="00F7132B">
        <w:t>0.01</w:t>
      </w:r>
      <w:r w:rsidR="00C733E0">
        <w:t xml:space="preserve"> were retained, the </w:t>
      </w:r>
      <w:r w:rsidR="00F7132B" w:rsidRPr="00F7132B">
        <w:t xml:space="preserve">MHC region </w:t>
      </w:r>
      <w:r w:rsidR="00C733E0">
        <w:t>was excluded from annotation (</w:t>
      </w:r>
      <w:r w:rsidR="00F7132B" w:rsidRPr="00F7132B">
        <w:t>due to long-range</w:t>
      </w:r>
      <w:r w:rsidR="00F7132B">
        <w:t xml:space="preserve"> LD</w:t>
      </w:r>
      <w:r w:rsidR="00C733E0">
        <w:t>), an r</w:t>
      </w:r>
      <w:r w:rsidR="00C733E0" w:rsidRPr="00300460">
        <w:rPr>
          <w:vertAlign w:val="superscript"/>
        </w:rPr>
        <w:t>2</w:t>
      </w:r>
      <w:r w:rsidR="00C733E0">
        <w:rPr>
          <w:vertAlign w:val="superscript"/>
        </w:rPr>
        <w:t xml:space="preserve"> </w:t>
      </w:r>
      <w:r w:rsidR="00C733E0">
        <w:t xml:space="preserve">0.1 threshold was used to define LD structure of the lead SNP, maximum distance between LD blocks was set at  500kb and </w:t>
      </w:r>
      <w:r w:rsidR="00F7132B">
        <w:t xml:space="preserve">the EUR population of 1000Genomes </w:t>
      </w:r>
      <w:r w:rsidR="00C733E0">
        <w:t>was used as</w:t>
      </w:r>
      <w:r w:rsidR="00F7132B">
        <w:t xml:space="preserve"> LD reference. </w:t>
      </w:r>
      <w:r w:rsidR="00C733E0">
        <w:rPr>
          <w:color w:val="000000"/>
        </w:rPr>
        <w:t>Seven</w:t>
      </w:r>
      <w:r w:rsidR="00C733E0" w:rsidRPr="00A20BC4">
        <w:rPr>
          <w:color w:val="000000"/>
        </w:rPr>
        <w:t xml:space="preserve"> independent genome-wide significant SNPs </w:t>
      </w:r>
      <w:r w:rsidR="00B959E9">
        <w:rPr>
          <w:color w:val="000000"/>
        </w:rPr>
        <w:t>from 5 genomic loci were</w:t>
      </w:r>
      <w:r w:rsidR="002C6164">
        <w:rPr>
          <w:color w:val="000000"/>
        </w:rPr>
        <w:t xml:space="preserve"> identified</w:t>
      </w:r>
      <w:r w:rsidR="00B5042D">
        <w:rPr>
          <w:color w:val="000000"/>
        </w:rPr>
        <w:t>.</w:t>
      </w:r>
    </w:p>
    <w:p w14:paraId="5377F965" w14:textId="77777777" w:rsidR="00513231" w:rsidRDefault="00513231" w:rsidP="00F7132B">
      <w:pPr>
        <w:spacing w:line="480" w:lineRule="auto"/>
        <w:rPr>
          <w:b/>
        </w:rPr>
      </w:pPr>
    </w:p>
    <w:p w14:paraId="155BB6A0" w14:textId="5F85A3FB" w:rsidR="008F162D" w:rsidRPr="008F162D" w:rsidRDefault="00896B60" w:rsidP="00F7132B">
      <w:pPr>
        <w:spacing w:line="480" w:lineRule="auto"/>
      </w:pPr>
      <w:proofErr w:type="spellStart"/>
      <w:r>
        <w:rPr>
          <w:b/>
        </w:rPr>
        <w:t>Supplemtal</w:t>
      </w:r>
      <w:proofErr w:type="spellEnd"/>
      <w:r>
        <w:rPr>
          <w:b/>
        </w:rPr>
        <w:t xml:space="preserve"> </w:t>
      </w:r>
      <w:proofErr w:type="spellStart"/>
      <w:r w:rsidR="003F2E58" w:rsidRPr="003F2E58">
        <w:rPr>
          <w:b/>
        </w:rPr>
        <w:t>eTable</w:t>
      </w:r>
      <w:proofErr w:type="spellEnd"/>
      <w:r w:rsidR="003F2E58" w:rsidRPr="003F2E58">
        <w:rPr>
          <w:b/>
        </w:rPr>
        <w:t xml:space="preserve"> 1</w:t>
      </w:r>
      <w:r w:rsidR="002F2C06">
        <w:rPr>
          <w:b/>
        </w:rPr>
        <w:t xml:space="preserve"> </w:t>
      </w:r>
      <w:r w:rsidR="002F2C06">
        <w:rPr>
          <w:color w:val="000000"/>
        </w:rPr>
        <w:t>I</w:t>
      </w:r>
      <w:r w:rsidR="002F2C06" w:rsidRPr="00A20BC4">
        <w:rPr>
          <w:color w:val="000000"/>
        </w:rPr>
        <w:t>ndependent genome-wide significant SNPs</w:t>
      </w:r>
      <w:r w:rsidR="002F2C06">
        <w:rPr>
          <w:color w:val="000000"/>
        </w:rPr>
        <w:t xml:space="preserve"> in </w:t>
      </w:r>
      <w:r w:rsidR="002F2C06" w:rsidRPr="00EF5D46">
        <w:t>n3-PUFA</w:t>
      </w:r>
      <w:r w:rsidR="002F2C06">
        <w:t xml:space="preserve"> GWAS</w:t>
      </w:r>
    </w:p>
    <w:tbl>
      <w:tblPr>
        <w:tblW w:w="4380" w:type="dxa"/>
        <w:tblInd w:w="108" w:type="dxa"/>
        <w:tblLook w:val="04A0" w:firstRow="1" w:lastRow="0" w:firstColumn="1" w:lastColumn="0" w:noHBand="0" w:noVBand="1"/>
      </w:tblPr>
      <w:tblGrid>
        <w:gridCol w:w="1420"/>
        <w:gridCol w:w="600"/>
        <w:gridCol w:w="1300"/>
        <w:gridCol w:w="1060"/>
      </w:tblGrid>
      <w:tr w:rsidR="008F162D" w:rsidRPr="008F162D" w14:paraId="1FCAF836" w14:textId="77777777" w:rsidTr="008F162D">
        <w:trPr>
          <w:trHeight w:val="320"/>
        </w:trPr>
        <w:tc>
          <w:tcPr>
            <w:tcW w:w="1420" w:type="dxa"/>
            <w:tcBorders>
              <w:top w:val="nil"/>
              <w:left w:val="nil"/>
              <w:bottom w:val="single" w:sz="8" w:space="0" w:color="auto"/>
              <w:right w:val="nil"/>
            </w:tcBorders>
            <w:shd w:val="clear" w:color="auto" w:fill="auto"/>
            <w:noWrap/>
            <w:vAlign w:val="bottom"/>
            <w:hideMark/>
          </w:tcPr>
          <w:p w14:paraId="7A79D989" w14:textId="77777777" w:rsidR="008F162D" w:rsidRPr="008F162D" w:rsidRDefault="008F162D" w:rsidP="008F162D">
            <w:pPr>
              <w:jc w:val="center"/>
              <w:rPr>
                <w:rFonts w:ascii="Calibri (Body)" w:hAnsi="Calibri (Body)" w:cs="Calibri"/>
                <w:b/>
                <w:bCs/>
                <w:color w:val="000000"/>
                <w:sz w:val="20"/>
                <w:szCs w:val="20"/>
              </w:rPr>
            </w:pPr>
            <w:proofErr w:type="spellStart"/>
            <w:r w:rsidRPr="008F162D">
              <w:rPr>
                <w:rFonts w:ascii="Calibri (Body)" w:hAnsi="Calibri (Body)" w:cs="Calibri"/>
                <w:b/>
                <w:bCs/>
                <w:color w:val="000000"/>
                <w:sz w:val="20"/>
                <w:szCs w:val="20"/>
              </w:rPr>
              <w:t>rsid</w:t>
            </w:r>
            <w:proofErr w:type="spellEnd"/>
          </w:p>
        </w:tc>
        <w:tc>
          <w:tcPr>
            <w:tcW w:w="600" w:type="dxa"/>
            <w:tcBorders>
              <w:top w:val="nil"/>
              <w:left w:val="nil"/>
              <w:bottom w:val="single" w:sz="8" w:space="0" w:color="auto"/>
              <w:right w:val="nil"/>
            </w:tcBorders>
            <w:shd w:val="clear" w:color="auto" w:fill="auto"/>
            <w:noWrap/>
            <w:vAlign w:val="bottom"/>
            <w:hideMark/>
          </w:tcPr>
          <w:p w14:paraId="2F9B4C90" w14:textId="77777777" w:rsidR="008F162D" w:rsidRPr="008F162D" w:rsidRDefault="008F162D" w:rsidP="008F162D">
            <w:pPr>
              <w:jc w:val="center"/>
              <w:rPr>
                <w:rFonts w:ascii="Calibri (Body)" w:hAnsi="Calibri (Body)" w:cs="Calibri"/>
                <w:b/>
                <w:bCs/>
                <w:color w:val="000000"/>
                <w:sz w:val="20"/>
                <w:szCs w:val="20"/>
              </w:rPr>
            </w:pPr>
            <w:proofErr w:type="spellStart"/>
            <w:r w:rsidRPr="008F162D">
              <w:rPr>
                <w:rFonts w:ascii="Calibri (Body)" w:hAnsi="Calibri (Body)" w:cs="Calibri"/>
                <w:b/>
                <w:bCs/>
                <w:color w:val="000000"/>
                <w:sz w:val="20"/>
                <w:szCs w:val="20"/>
              </w:rPr>
              <w:t>chr</w:t>
            </w:r>
            <w:proofErr w:type="spellEnd"/>
          </w:p>
        </w:tc>
        <w:tc>
          <w:tcPr>
            <w:tcW w:w="1300" w:type="dxa"/>
            <w:tcBorders>
              <w:top w:val="nil"/>
              <w:left w:val="nil"/>
              <w:bottom w:val="single" w:sz="8" w:space="0" w:color="auto"/>
              <w:right w:val="nil"/>
            </w:tcBorders>
            <w:shd w:val="clear" w:color="auto" w:fill="auto"/>
            <w:noWrap/>
            <w:vAlign w:val="bottom"/>
            <w:hideMark/>
          </w:tcPr>
          <w:p w14:paraId="73D50A73" w14:textId="77777777" w:rsidR="008F162D" w:rsidRPr="008F162D" w:rsidRDefault="008F162D" w:rsidP="008F162D">
            <w:pPr>
              <w:jc w:val="center"/>
              <w:rPr>
                <w:rFonts w:ascii="Calibri (Body)" w:hAnsi="Calibri (Body)" w:cs="Calibri"/>
                <w:b/>
                <w:bCs/>
                <w:color w:val="000000"/>
                <w:sz w:val="20"/>
                <w:szCs w:val="20"/>
              </w:rPr>
            </w:pPr>
            <w:r w:rsidRPr="008F162D">
              <w:rPr>
                <w:rFonts w:ascii="Calibri (Body)" w:hAnsi="Calibri (Body)" w:cs="Calibri"/>
                <w:b/>
                <w:bCs/>
                <w:color w:val="000000"/>
                <w:sz w:val="20"/>
                <w:szCs w:val="20"/>
              </w:rPr>
              <w:t>position</w:t>
            </w:r>
          </w:p>
        </w:tc>
        <w:tc>
          <w:tcPr>
            <w:tcW w:w="1060" w:type="dxa"/>
            <w:tcBorders>
              <w:top w:val="nil"/>
              <w:left w:val="nil"/>
              <w:bottom w:val="single" w:sz="8" w:space="0" w:color="auto"/>
              <w:right w:val="nil"/>
            </w:tcBorders>
            <w:shd w:val="clear" w:color="auto" w:fill="auto"/>
            <w:noWrap/>
            <w:vAlign w:val="center"/>
            <w:hideMark/>
          </w:tcPr>
          <w:p w14:paraId="4EFECB52" w14:textId="77777777" w:rsidR="008F162D" w:rsidRPr="008F162D" w:rsidRDefault="008F162D" w:rsidP="008F162D">
            <w:pPr>
              <w:jc w:val="center"/>
              <w:rPr>
                <w:rFonts w:ascii="Calibri (Body)" w:hAnsi="Calibri (Body)" w:cs="Calibri"/>
                <w:b/>
                <w:bCs/>
                <w:i/>
                <w:iCs/>
                <w:color w:val="000000"/>
                <w:sz w:val="20"/>
                <w:szCs w:val="20"/>
              </w:rPr>
            </w:pPr>
            <w:r w:rsidRPr="008F162D">
              <w:rPr>
                <w:rFonts w:ascii="Calibri (Body)" w:hAnsi="Calibri (Body)" w:cs="Calibri"/>
                <w:b/>
                <w:bCs/>
                <w:i/>
                <w:iCs/>
                <w:color w:val="000000"/>
                <w:sz w:val="20"/>
                <w:szCs w:val="20"/>
              </w:rPr>
              <w:t>p</w:t>
            </w:r>
          </w:p>
        </w:tc>
      </w:tr>
      <w:tr w:rsidR="008F162D" w:rsidRPr="008F162D" w14:paraId="2817451D" w14:textId="77777777" w:rsidTr="008F162D">
        <w:trPr>
          <w:trHeight w:val="300"/>
        </w:trPr>
        <w:tc>
          <w:tcPr>
            <w:tcW w:w="1420" w:type="dxa"/>
            <w:tcBorders>
              <w:top w:val="nil"/>
              <w:left w:val="nil"/>
              <w:bottom w:val="nil"/>
              <w:right w:val="nil"/>
            </w:tcBorders>
            <w:shd w:val="clear" w:color="auto" w:fill="auto"/>
            <w:noWrap/>
            <w:vAlign w:val="bottom"/>
            <w:hideMark/>
          </w:tcPr>
          <w:p w14:paraId="48A0E6EA" w14:textId="77777777" w:rsidR="008F162D" w:rsidRPr="008F162D" w:rsidRDefault="008F162D" w:rsidP="008F162D">
            <w:pPr>
              <w:jc w:val="center"/>
              <w:rPr>
                <w:rFonts w:ascii="Calibri (Body)" w:hAnsi="Calibri (Body)" w:cs="Calibri"/>
                <w:color w:val="000000"/>
                <w:sz w:val="20"/>
                <w:szCs w:val="20"/>
              </w:rPr>
            </w:pPr>
            <w:r w:rsidRPr="008F162D">
              <w:rPr>
                <w:rFonts w:ascii="Calibri (Body)" w:hAnsi="Calibri (Body)" w:cs="Calibri"/>
                <w:color w:val="000000"/>
                <w:sz w:val="20"/>
                <w:szCs w:val="20"/>
              </w:rPr>
              <w:t>rs174546</w:t>
            </w:r>
          </w:p>
        </w:tc>
        <w:tc>
          <w:tcPr>
            <w:tcW w:w="600" w:type="dxa"/>
            <w:tcBorders>
              <w:top w:val="nil"/>
              <w:left w:val="nil"/>
              <w:bottom w:val="nil"/>
              <w:right w:val="nil"/>
            </w:tcBorders>
            <w:shd w:val="clear" w:color="auto" w:fill="auto"/>
            <w:noWrap/>
            <w:vAlign w:val="bottom"/>
            <w:hideMark/>
          </w:tcPr>
          <w:p w14:paraId="5FC77ACB" w14:textId="77777777" w:rsidR="008F162D" w:rsidRPr="008F162D" w:rsidRDefault="008F162D" w:rsidP="008F162D">
            <w:pPr>
              <w:jc w:val="center"/>
              <w:rPr>
                <w:rFonts w:ascii="Calibri (Body)" w:hAnsi="Calibri (Body)" w:cs="Calibri"/>
                <w:color w:val="000000"/>
                <w:sz w:val="20"/>
                <w:szCs w:val="20"/>
              </w:rPr>
            </w:pPr>
            <w:r w:rsidRPr="008F162D">
              <w:rPr>
                <w:rFonts w:ascii="Calibri (Body)" w:hAnsi="Calibri (Body)" w:cs="Calibri"/>
                <w:color w:val="000000"/>
                <w:sz w:val="20"/>
                <w:szCs w:val="20"/>
              </w:rPr>
              <w:t>11</w:t>
            </w:r>
          </w:p>
        </w:tc>
        <w:tc>
          <w:tcPr>
            <w:tcW w:w="1300" w:type="dxa"/>
            <w:tcBorders>
              <w:top w:val="nil"/>
              <w:left w:val="nil"/>
              <w:bottom w:val="nil"/>
              <w:right w:val="nil"/>
            </w:tcBorders>
            <w:shd w:val="clear" w:color="auto" w:fill="auto"/>
            <w:noWrap/>
            <w:vAlign w:val="bottom"/>
            <w:hideMark/>
          </w:tcPr>
          <w:p w14:paraId="02BEAB25" w14:textId="77777777" w:rsidR="008F162D" w:rsidRPr="008F162D" w:rsidRDefault="008F162D" w:rsidP="008F162D">
            <w:pPr>
              <w:jc w:val="center"/>
              <w:rPr>
                <w:rFonts w:ascii="Calibri (Body)" w:hAnsi="Calibri (Body)" w:cs="Calibri"/>
                <w:color w:val="000000"/>
                <w:sz w:val="20"/>
                <w:szCs w:val="20"/>
              </w:rPr>
            </w:pPr>
            <w:r w:rsidRPr="008F162D">
              <w:rPr>
                <w:rFonts w:ascii="Calibri (Body)" w:hAnsi="Calibri (Body)" w:cs="Calibri"/>
                <w:color w:val="000000"/>
                <w:sz w:val="20"/>
                <w:szCs w:val="20"/>
              </w:rPr>
              <w:t>61569830</w:t>
            </w:r>
          </w:p>
        </w:tc>
        <w:tc>
          <w:tcPr>
            <w:tcW w:w="1060" w:type="dxa"/>
            <w:tcBorders>
              <w:top w:val="nil"/>
              <w:left w:val="nil"/>
              <w:bottom w:val="nil"/>
              <w:right w:val="nil"/>
            </w:tcBorders>
            <w:shd w:val="clear" w:color="auto" w:fill="auto"/>
            <w:noWrap/>
            <w:vAlign w:val="center"/>
            <w:hideMark/>
          </w:tcPr>
          <w:p w14:paraId="67B86568" w14:textId="77777777" w:rsidR="008F162D" w:rsidRPr="008F162D" w:rsidRDefault="008F162D" w:rsidP="008F162D">
            <w:pPr>
              <w:jc w:val="center"/>
              <w:rPr>
                <w:rFonts w:ascii="Calibri (Body)" w:hAnsi="Calibri (Body)" w:cs="Calibri"/>
                <w:color w:val="000000"/>
                <w:sz w:val="20"/>
                <w:szCs w:val="20"/>
              </w:rPr>
            </w:pPr>
            <w:r w:rsidRPr="008F162D">
              <w:rPr>
                <w:rFonts w:ascii="Calibri (Body)" w:hAnsi="Calibri (Body)" w:cs="Calibri"/>
                <w:color w:val="000000"/>
                <w:sz w:val="20"/>
                <w:szCs w:val="20"/>
              </w:rPr>
              <w:t>1.2E-34</w:t>
            </w:r>
          </w:p>
        </w:tc>
      </w:tr>
      <w:tr w:rsidR="008F162D" w:rsidRPr="008F162D" w14:paraId="2F3779EC" w14:textId="77777777" w:rsidTr="008F162D">
        <w:trPr>
          <w:trHeight w:val="300"/>
        </w:trPr>
        <w:tc>
          <w:tcPr>
            <w:tcW w:w="1420" w:type="dxa"/>
            <w:tcBorders>
              <w:top w:val="nil"/>
              <w:left w:val="nil"/>
              <w:bottom w:val="nil"/>
              <w:right w:val="nil"/>
            </w:tcBorders>
            <w:shd w:val="clear" w:color="auto" w:fill="auto"/>
            <w:noWrap/>
            <w:vAlign w:val="bottom"/>
            <w:hideMark/>
          </w:tcPr>
          <w:p w14:paraId="1FC33D75" w14:textId="77777777" w:rsidR="008F162D" w:rsidRPr="008F162D" w:rsidRDefault="008F162D" w:rsidP="008F162D">
            <w:pPr>
              <w:jc w:val="center"/>
              <w:rPr>
                <w:rFonts w:ascii="Calibri (Body)" w:hAnsi="Calibri (Body)" w:cs="Calibri"/>
                <w:color w:val="000000"/>
                <w:sz w:val="20"/>
                <w:szCs w:val="20"/>
              </w:rPr>
            </w:pPr>
            <w:r w:rsidRPr="008F162D">
              <w:rPr>
                <w:rFonts w:ascii="Calibri (Body)" w:hAnsi="Calibri (Body)" w:cs="Calibri"/>
                <w:color w:val="000000"/>
                <w:sz w:val="20"/>
                <w:szCs w:val="20"/>
              </w:rPr>
              <w:t>rs1260326</w:t>
            </w:r>
          </w:p>
        </w:tc>
        <w:tc>
          <w:tcPr>
            <w:tcW w:w="600" w:type="dxa"/>
            <w:tcBorders>
              <w:top w:val="nil"/>
              <w:left w:val="nil"/>
              <w:bottom w:val="nil"/>
              <w:right w:val="nil"/>
            </w:tcBorders>
            <w:shd w:val="clear" w:color="auto" w:fill="auto"/>
            <w:noWrap/>
            <w:vAlign w:val="bottom"/>
            <w:hideMark/>
          </w:tcPr>
          <w:p w14:paraId="201975C4" w14:textId="77777777" w:rsidR="008F162D" w:rsidRPr="008F162D" w:rsidRDefault="008F162D" w:rsidP="008F162D">
            <w:pPr>
              <w:jc w:val="center"/>
              <w:rPr>
                <w:rFonts w:ascii="Calibri (Body)" w:hAnsi="Calibri (Body)" w:cs="Calibri"/>
                <w:color w:val="000000"/>
                <w:sz w:val="20"/>
                <w:szCs w:val="20"/>
              </w:rPr>
            </w:pPr>
            <w:r w:rsidRPr="008F162D">
              <w:rPr>
                <w:rFonts w:ascii="Calibri (Body)" w:hAnsi="Calibri (Body)" w:cs="Calibri"/>
                <w:color w:val="000000"/>
                <w:sz w:val="20"/>
                <w:szCs w:val="20"/>
              </w:rPr>
              <w:t>2</w:t>
            </w:r>
          </w:p>
        </w:tc>
        <w:tc>
          <w:tcPr>
            <w:tcW w:w="1300" w:type="dxa"/>
            <w:tcBorders>
              <w:top w:val="nil"/>
              <w:left w:val="nil"/>
              <w:bottom w:val="nil"/>
              <w:right w:val="nil"/>
            </w:tcBorders>
            <w:shd w:val="clear" w:color="auto" w:fill="auto"/>
            <w:noWrap/>
            <w:vAlign w:val="bottom"/>
            <w:hideMark/>
          </w:tcPr>
          <w:p w14:paraId="0BC7A5E4" w14:textId="77777777" w:rsidR="008F162D" w:rsidRPr="008F162D" w:rsidRDefault="008F162D" w:rsidP="008F162D">
            <w:pPr>
              <w:jc w:val="center"/>
              <w:rPr>
                <w:rFonts w:ascii="Calibri (Body)" w:hAnsi="Calibri (Body)" w:cs="Calibri"/>
                <w:color w:val="000000"/>
                <w:sz w:val="20"/>
                <w:szCs w:val="20"/>
              </w:rPr>
            </w:pPr>
            <w:r w:rsidRPr="008F162D">
              <w:rPr>
                <w:rFonts w:ascii="Calibri (Body)" w:hAnsi="Calibri (Body)" w:cs="Calibri"/>
                <w:color w:val="000000"/>
                <w:sz w:val="20"/>
                <w:szCs w:val="20"/>
              </w:rPr>
              <w:t>27730940</w:t>
            </w:r>
          </w:p>
        </w:tc>
        <w:tc>
          <w:tcPr>
            <w:tcW w:w="1060" w:type="dxa"/>
            <w:tcBorders>
              <w:top w:val="nil"/>
              <w:left w:val="nil"/>
              <w:bottom w:val="nil"/>
              <w:right w:val="nil"/>
            </w:tcBorders>
            <w:shd w:val="clear" w:color="auto" w:fill="auto"/>
            <w:noWrap/>
            <w:vAlign w:val="center"/>
            <w:hideMark/>
          </w:tcPr>
          <w:p w14:paraId="0533CC76" w14:textId="77777777" w:rsidR="008F162D" w:rsidRPr="008F162D" w:rsidRDefault="008F162D" w:rsidP="008F162D">
            <w:pPr>
              <w:jc w:val="center"/>
              <w:rPr>
                <w:rFonts w:ascii="Calibri (Body)" w:hAnsi="Calibri (Body)" w:cs="Calibri"/>
                <w:color w:val="000000"/>
                <w:sz w:val="20"/>
                <w:szCs w:val="20"/>
              </w:rPr>
            </w:pPr>
            <w:r w:rsidRPr="008F162D">
              <w:rPr>
                <w:rFonts w:ascii="Calibri (Body)" w:hAnsi="Calibri (Body)" w:cs="Calibri"/>
                <w:color w:val="000000"/>
                <w:sz w:val="20"/>
                <w:szCs w:val="20"/>
              </w:rPr>
              <w:t>3.4E-14</w:t>
            </w:r>
          </w:p>
        </w:tc>
      </w:tr>
      <w:tr w:rsidR="008F162D" w:rsidRPr="008F162D" w14:paraId="3952D4A5" w14:textId="77777777" w:rsidTr="008F162D">
        <w:trPr>
          <w:trHeight w:val="300"/>
        </w:trPr>
        <w:tc>
          <w:tcPr>
            <w:tcW w:w="1420" w:type="dxa"/>
            <w:tcBorders>
              <w:top w:val="nil"/>
              <w:left w:val="nil"/>
              <w:bottom w:val="nil"/>
              <w:right w:val="nil"/>
            </w:tcBorders>
            <w:shd w:val="clear" w:color="auto" w:fill="auto"/>
            <w:noWrap/>
            <w:vAlign w:val="bottom"/>
            <w:hideMark/>
          </w:tcPr>
          <w:p w14:paraId="7E4D2F44" w14:textId="77777777" w:rsidR="008F162D" w:rsidRPr="008F162D" w:rsidRDefault="008F162D" w:rsidP="008F162D">
            <w:pPr>
              <w:jc w:val="center"/>
              <w:rPr>
                <w:rFonts w:ascii="Calibri (Body)" w:hAnsi="Calibri (Body)" w:cs="Calibri"/>
                <w:color w:val="000000"/>
                <w:sz w:val="20"/>
                <w:szCs w:val="20"/>
              </w:rPr>
            </w:pPr>
            <w:r w:rsidRPr="008F162D">
              <w:rPr>
                <w:rFonts w:ascii="Calibri (Body)" w:hAnsi="Calibri (Body)" w:cs="Calibri"/>
                <w:color w:val="000000"/>
                <w:sz w:val="20"/>
                <w:szCs w:val="20"/>
              </w:rPr>
              <w:t>rs143988316</w:t>
            </w:r>
          </w:p>
        </w:tc>
        <w:tc>
          <w:tcPr>
            <w:tcW w:w="600" w:type="dxa"/>
            <w:tcBorders>
              <w:top w:val="nil"/>
              <w:left w:val="nil"/>
              <w:bottom w:val="nil"/>
              <w:right w:val="nil"/>
            </w:tcBorders>
            <w:shd w:val="clear" w:color="auto" w:fill="auto"/>
            <w:noWrap/>
            <w:vAlign w:val="bottom"/>
            <w:hideMark/>
          </w:tcPr>
          <w:p w14:paraId="721B506A" w14:textId="77777777" w:rsidR="008F162D" w:rsidRPr="008F162D" w:rsidRDefault="008F162D" w:rsidP="008F162D">
            <w:pPr>
              <w:jc w:val="center"/>
              <w:rPr>
                <w:rFonts w:ascii="Calibri (Body)" w:hAnsi="Calibri (Body)" w:cs="Calibri"/>
                <w:color w:val="000000"/>
                <w:sz w:val="20"/>
                <w:szCs w:val="20"/>
              </w:rPr>
            </w:pPr>
            <w:r w:rsidRPr="008F162D">
              <w:rPr>
                <w:rFonts w:ascii="Calibri (Body)" w:hAnsi="Calibri (Body)" w:cs="Calibri"/>
                <w:color w:val="000000"/>
                <w:sz w:val="20"/>
                <w:szCs w:val="20"/>
              </w:rPr>
              <w:t>19</w:t>
            </w:r>
          </w:p>
        </w:tc>
        <w:tc>
          <w:tcPr>
            <w:tcW w:w="1300" w:type="dxa"/>
            <w:tcBorders>
              <w:top w:val="nil"/>
              <w:left w:val="nil"/>
              <w:bottom w:val="nil"/>
              <w:right w:val="nil"/>
            </w:tcBorders>
            <w:shd w:val="clear" w:color="auto" w:fill="auto"/>
            <w:noWrap/>
            <w:vAlign w:val="bottom"/>
            <w:hideMark/>
          </w:tcPr>
          <w:p w14:paraId="1CE8F782" w14:textId="77777777" w:rsidR="008F162D" w:rsidRPr="008F162D" w:rsidRDefault="008F162D" w:rsidP="008F162D">
            <w:pPr>
              <w:jc w:val="center"/>
              <w:rPr>
                <w:rFonts w:ascii="Calibri (Body)" w:hAnsi="Calibri (Body)" w:cs="Calibri"/>
                <w:color w:val="000000"/>
                <w:sz w:val="20"/>
                <w:szCs w:val="20"/>
              </w:rPr>
            </w:pPr>
            <w:r w:rsidRPr="008F162D">
              <w:rPr>
                <w:rFonts w:ascii="Calibri (Body)" w:hAnsi="Calibri (Body)" w:cs="Calibri"/>
                <w:color w:val="000000"/>
                <w:sz w:val="20"/>
                <w:szCs w:val="20"/>
              </w:rPr>
              <w:t>19667254</w:t>
            </w:r>
          </w:p>
        </w:tc>
        <w:tc>
          <w:tcPr>
            <w:tcW w:w="1060" w:type="dxa"/>
            <w:tcBorders>
              <w:top w:val="nil"/>
              <w:left w:val="nil"/>
              <w:bottom w:val="nil"/>
              <w:right w:val="nil"/>
            </w:tcBorders>
            <w:shd w:val="clear" w:color="auto" w:fill="auto"/>
            <w:noWrap/>
            <w:vAlign w:val="center"/>
            <w:hideMark/>
          </w:tcPr>
          <w:p w14:paraId="306BF997" w14:textId="77777777" w:rsidR="008F162D" w:rsidRPr="008F162D" w:rsidRDefault="008F162D" w:rsidP="008F162D">
            <w:pPr>
              <w:jc w:val="center"/>
              <w:rPr>
                <w:rFonts w:ascii="Calibri (Body)" w:hAnsi="Calibri (Body)" w:cs="Calibri"/>
                <w:color w:val="000000"/>
                <w:sz w:val="20"/>
                <w:szCs w:val="20"/>
              </w:rPr>
            </w:pPr>
            <w:r w:rsidRPr="008F162D">
              <w:rPr>
                <w:rFonts w:ascii="Calibri (Body)" w:hAnsi="Calibri (Body)" w:cs="Calibri"/>
                <w:color w:val="000000"/>
                <w:sz w:val="20"/>
                <w:szCs w:val="20"/>
              </w:rPr>
              <w:t>3.0E-12</w:t>
            </w:r>
          </w:p>
        </w:tc>
      </w:tr>
      <w:tr w:rsidR="008F162D" w:rsidRPr="008F162D" w14:paraId="5BF23B92" w14:textId="77777777" w:rsidTr="008F162D">
        <w:trPr>
          <w:trHeight w:val="300"/>
        </w:trPr>
        <w:tc>
          <w:tcPr>
            <w:tcW w:w="1420" w:type="dxa"/>
            <w:tcBorders>
              <w:top w:val="nil"/>
              <w:left w:val="nil"/>
              <w:bottom w:val="nil"/>
              <w:right w:val="nil"/>
            </w:tcBorders>
            <w:shd w:val="clear" w:color="auto" w:fill="auto"/>
            <w:noWrap/>
            <w:vAlign w:val="bottom"/>
            <w:hideMark/>
          </w:tcPr>
          <w:p w14:paraId="39B4A006" w14:textId="77777777" w:rsidR="008F162D" w:rsidRPr="008F162D" w:rsidRDefault="008F162D" w:rsidP="008F162D">
            <w:pPr>
              <w:jc w:val="center"/>
              <w:rPr>
                <w:rFonts w:ascii="Calibri (Body)" w:hAnsi="Calibri (Body)" w:cs="Calibri"/>
                <w:color w:val="000000"/>
                <w:sz w:val="20"/>
                <w:szCs w:val="20"/>
              </w:rPr>
            </w:pPr>
            <w:r w:rsidRPr="008F162D">
              <w:rPr>
                <w:rFonts w:ascii="Calibri (Body)" w:hAnsi="Calibri (Body)" w:cs="Calibri"/>
                <w:color w:val="000000"/>
                <w:sz w:val="20"/>
                <w:szCs w:val="20"/>
              </w:rPr>
              <w:t>rs11604424</w:t>
            </w:r>
          </w:p>
        </w:tc>
        <w:tc>
          <w:tcPr>
            <w:tcW w:w="600" w:type="dxa"/>
            <w:tcBorders>
              <w:top w:val="nil"/>
              <w:left w:val="nil"/>
              <w:bottom w:val="nil"/>
              <w:right w:val="nil"/>
            </w:tcBorders>
            <w:shd w:val="clear" w:color="auto" w:fill="auto"/>
            <w:noWrap/>
            <w:vAlign w:val="bottom"/>
            <w:hideMark/>
          </w:tcPr>
          <w:p w14:paraId="616BD71A" w14:textId="77777777" w:rsidR="008F162D" w:rsidRPr="008F162D" w:rsidRDefault="008F162D" w:rsidP="008F162D">
            <w:pPr>
              <w:jc w:val="center"/>
              <w:rPr>
                <w:rFonts w:ascii="Calibri (Body)" w:hAnsi="Calibri (Body)" w:cs="Calibri"/>
                <w:color w:val="000000"/>
                <w:sz w:val="20"/>
                <w:szCs w:val="20"/>
              </w:rPr>
            </w:pPr>
            <w:r w:rsidRPr="008F162D">
              <w:rPr>
                <w:rFonts w:ascii="Calibri (Body)" w:hAnsi="Calibri (Body)" w:cs="Calibri"/>
                <w:color w:val="000000"/>
                <w:sz w:val="20"/>
                <w:szCs w:val="20"/>
              </w:rPr>
              <w:t>11</w:t>
            </w:r>
          </w:p>
        </w:tc>
        <w:tc>
          <w:tcPr>
            <w:tcW w:w="1300" w:type="dxa"/>
            <w:tcBorders>
              <w:top w:val="nil"/>
              <w:left w:val="nil"/>
              <w:bottom w:val="nil"/>
              <w:right w:val="nil"/>
            </w:tcBorders>
            <w:shd w:val="clear" w:color="auto" w:fill="auto"/>
            <w:noWrap/>
            <w:vAlign w:val="bottom"/>
            <w:hideMark/>
          </w:tcPr>
          <w:p w14:paraId="0127E0E2" w14:textId="77777777" w:rsidR="008F162D" w:rsidRPr="008F162D" w:rsidRDefault="008F162D" w:rsidP="008F162D">
            <w:pPr>
              <w:jc w:val="center"/>
              <w:rPr>
                <w:rFonts w:ascii="Calibri (Body)" w:hAnsi="Calibri (Body)" w:cs="Calibri"/>
                <w:color w:val="000000"/>
                <w:sz w:val="20"/>
                <w:szCs w:val="20"/>
              </w:rPr>
            </w:pPr>
            <w:r w:rsidRPr="008F162D">
              <w:rPr>
                <w:rFonts w:ascii="Calibri (Body)" w:hAnsi="Calibri (Body)" w:cs="Calibri"/>
                <w:color w:val="000000"/>
                <w:sz w:val="20"/>
                <w:szCs w:val="20"/>
              </w:rPr>
              <w:t>116651115</w:t>
            </w:r>
          </w:p>
        </w:tc>
        <w:tc>
          <w:tcPr>
            <w:tcW w:w="1060" w:type="dxa"/>
            <w:tcBorders>
              <w:top w:val="nil"/>
              <w:left w:val="nil"/>
              <w:bottom w:val="nil"/>
              <w:right w:val="nil"/>
            </w:tcBorders>
            <w:shd w:val="clear" w:color="auto" w:fill="auto"/>
            <w:noWrap/>
            <w:vAlign w:val="center"/>
            <w:hideMark/>
          </w:tcPr>
          <w:p w14:paraId="71EAE8CF" w14:textId="77777777" w:rsidR="008F162D" w:rsidRPr="008F162D" w:rsidRDefault="008F162D" w:rsidP="008F162D">
            <w:pPr>
              <w:jc w:val="center"/>
              <w:rPr>
                <w:rFonts w:ascii="Calibri (Body)" w:hAnsi="Calibri (Body)" w:cs="Calibri"/>
                <w:color w:val="000000"/>
                <w:sz w:val="20"/>
                <w:szCs w:val="20"/>
              </w:rPr>
            </w:pPr>
            <w:r w:rsidRPr="008F162D">
              <w:rPr>
                <w:rFonts w:ascii="Calibri (Body)" w:hAnsi="Calibri (Body)" w:cs="Calibri"/>
                <w:color w:val="000000"/>
                <w:sz w:val="20"/>
                <w:szCs w:val="20"/>
              </w:rPr>
              <w:t>3.3E-10</w:t>
            </w:r>
          </w:p>
        </w:tc>
      </w:tr>
      <w:tr w:rsidR="008F162D" w:rsidRPr="008F162D" w14:paraId="4164479A" w14:textId="77777777" w:rsidTr="008F162D">
        <w:trPr>
          <w:trHeight w:val="300"/>
        </w:trPr>
        <w:tc>
          <w:tcPr>
            <w:tcW w:w="1420" w:type="dxa"/>
            <w:tcBorders>
              <w:top w:val="nil"/>
              <w:left w:val="nil"/>
              <w:bottom w:val="nil"/>
              <w:right w:val="nil"/>
            </w:tcBorders>
            <w:shd w:val="clear" w:color="auto" w:fill="auto"/>
            <w:noWrap/>
            <w:vAlign w:val="bottom"/>
            <w:hideMark/>
          </w:tcPr>
          <w:p w14:paraId="76E4247B" w14:textId="77777777" w:rsidR="008F162D" w:rsidRPr="008F162D" w:rsidRDefault="008F162D" w:rsidP="008F162D">
            <w:pPr>
              <w:jc w:val="center"/>
              <w:rPr>
                <w:rFonts w:ascii="Calibri (Body)" w:hAnsi="Calibri (Body)" w:cs="Calibri"/>
                <w:color w:val="000000"/>
                <w:sz w:val="20"/>
                <w:szCs w:val="20"/>
              </w:rPr>
            </w:pPr>
            <w:r w:rsidRPr="008F162D">
              <w:rPr>
                <w:rFonts w:ascii="Calibri (Body)" w:hAnsi="Calibri (Body)" w:cs="Calibri"/>
                <w:color w:val="000000"/>
                <w:sz w:val="20"/>
                <w:szCs w:val="20"/>
              </w:rPr>
              <w:t>rs145717049</w:t>
            </w:r>
          </w:p>
        </w:tc>
        <w:tc>
          <w:tcPr>
            <w:tcW w:w="600" w:type="dxa"/>
            <w:tcBorders>
              <w:top w:val="nil"/>
              <w:left w:val="nil"/>
              <w:bottom w:val="nil"/>
              <w:right w:val="nil"/>
            </w:tcBorders>
            <w:shd w:val="clear" w:color="auto" w:fill="auto"/>
            <w:noWrap/>
            <w:vAlign w:val="bottom"/>
            <w:hideMark/>
          </w:tcPr>
          <w:p w14:paraId="295877B9" w14:textId="77777777" w:rsidR="008F162D" w:rsidRPr="008F162D" w:rsidRDefault="008F162D" w:rsidP="008F162D">
            <w:pPr>
              <w:jc w:val="center"/>
              <w:rPr>
                <w:rFonts w:ascii="Calibri (Body)" w:hAnsi="Calibri (Body)" w:cs="Calibri"/>
                <w:color w:val="000000"/>
                <w:sz w:val="20"/>
                <w:szCs w:val="20"/>
              </w:rPr>
            </w:pPr>
            <w:r w:rsidRPr="008F162D">
              <w:rPr>
                <w:rFonts w:ascii="Calibri (Body)" w:hAnsi="Calibri (Body)" w:cs="Calibri"/>
                <w:color w:val="000000"/>
                <w:sz w:val="20"/>
                <w:szCs w:val="20"/>
              </w:rPr>
              <w:t>19</w:t>
            </w:r>
          </w:p>
        </w:tc>
        <w:tc>
          <w:tcPr>
            <w:tcW w:w="1300" w:type="dxa"/>
            <w:tcBorders>
              <w:top w:val="nil"/>
              <w:left w:val="nil"/>
              <w:bottom w:val="nil"/>
              <w:right w:val="nil"/>
            </w:tcBorders>
            <w:shd w:val="clear" w:color="auto" w:fill="auto"/>
            <w:noWrap/>
            <w:vAlign w:val="bottom"/>
            <w:hideMark/>
          </w:tcPr>
          <w:p w14:paraId="41F5C38E" w14:textId="77777777" w:rsidR="008F162D" w:rsidRPr="008F162D" w:rsidRDefault="008F162D" w:rsidP="008F162D">
            <w:pPr>
              <w:jc w:val="center"/>
              <w:rPr>
                <w:rFonts w:ascii="Calibri (Body)" w:hAnsi="Calibri (Body)" w:cs="Calibri"/>
                <w:color w:val="000000"/>
                <w:sz w:val="20"/>
                <w:szCs w:val="20"/>
              </w:rPr>
            </w:pPr>
            <w:r w:rsidRPr="008F162D">
              <w:rPr>
                <w:rFonts w:ascii="Calibri (Body)" w:hAnsi="Calibri (Body)" w:cs="Calibri"/>
                <w:color w:val="000000"/>
                <w:sz w:val="20"/>
                <w:szCs w:val="20"/>
              </w:rPr>
              <w:t>19130096</w:t>
            </w:r>
          </w:p>
        </w:tc>
        <w:tc>
          <w:tcPr>
            <w:tcW w:w="1060" w:type="dxa"/>
            <w:tcBorders>
              <w:top w:val="nil"/>
              <w:left w:val="nil"/>
              <w:bottom w:val="nil"/>
              <w:right w:val="nil"/>
            </w:tcBorders>
            <w:shd w:val="clear" w:color="auto" w:fill="auto"/>
            <w:noWrap/>
            <w:vAlign w:val="center"/>
            <w:hideMark/>
          </w:tcPr>
          <w:p w14:paraId="0C5C0624" w14:textId="77777777" w:rsidR="008F162D" w:rsidRPr="008F162D" w:rsidRDefault="008F162D" w:rsidP="008F162D">
            <w:pPr>
              <w:jc w:val="center"/>
              <w:rPr>
                <w:rFonts w:ascii="Calibri (Body)" w:hAnsi="Calibri (Body)" w:cs="Calibri"/>
                <w:color w:val="000000"/>
                <w:sz w:val="20"/>
                <w:szCs w:val="20"/>
              </w:rPr>
            </w:pPr>
            <w:r w:rsidRPr="008F162D">
              <w:rPr>
                <w:rFonts w:ascii="Calibri (Body)" w:hAnsi="Calibri (Body)" w:cs="Calibri"/>
                <w:color w:val="000000"/>
                <w:sz w:val="20"/>
                <w:szCs w:val="20"/>
              </w:rPr>
              <w:t>6.7E-09</w:t>
            </w:r>
          </w:p>
        </w:tc>
      </w:tr>
      <w:tr w:rsidR="008F162D" w:rsidRPr="008F162D" w14:paraId="031D373C" w14:textId="77777777" w:rsidTr="008F162D">
        <w:trPr>
          <w:trHeight w:val="320"/>
        </w:trPr>
        <w:tc>
          <w:tcPr>
            <w:tcW w:w="1420" w:type="dxa"/>
            <w:tcBorders>
              <w:top w:val="nil"/>
              <w:left w:val="nil"/>
              <w:bottom w:val="single" w:sz="8" w:space="0" w:color="auto"/>
              <w:right w:val="nil"/>
            </w:tcBorders>
            <w:shd w:val="clear" w:color="auto" w:fill="auto"/>
            <w:noWrap/>
            <w:vAlign w:val="bottom"/>
            <w:hideMark/>
          </w:tcPr>
          <w:p w14:paraId="3F1BC573" w14:textId="77777777" w:rsidR="008F162D" w:rsidRPr="008F162D" w:rsidRDefault="008F162D" w:rsidP="008F162D">
            <w:pPr>
              <w:jc w:val="center"/>
              <w:rPr>
                <w:rFonts w:ascii="Calibri (Body)" w:hAnsi="Calibri (Body)" w:cs="Calibri"/>
                <w:color w:val="000000"/>
                <w:sz w:val="20"/>
                <w:szCs w:val="20"/>
              </w:rPr>
            </w:pPr>
            <w:r w:rsidRPr="008F162D">
              <w:rPr>
                <w:rFonts w:ascii="Calibri (Body)" w:hAnsi="Calibri (Body)" w:cs="Calibri"/>
                <w:color w:val="000000"/>
                <w:sz w:val="20"/>
                <w:szCs w:val="20"/>
              </w:rPr>
              <w:t>rs150617279</w:t>
            </w:r>
          </w:p>
        </w:tc>
        <w:tc>
          <w:tcPr>
            <w:tcW w:w="600" w:type="dxa"/>
            <w:tcBorders>
              <w:top w:val="nil"/>
              <w:left w:val="nil"/>
              <w:bottom w:val="single" w:sz="8" w:space="0" w:color="auto"/>
              <w:right w:val="nil"/>
            </w:tcBorders>
            <w:shd w:val="clear" w:color="auto" w:fill="auto"/>
            <w:noWrap/>
            <w:vAlign w:val="bottom"/>
            <w:hideMark/>
          </w:tcPr>
          <w:p w14:paraId="277292D6" w14:textId="77777777" w:rsidR="008F162D" w:rsidRPr="008F162D" w:rsidRDefault="008F162D" w:rsidP="008F162D">
            <w:pPr>
              <w:jc w:val="center"/>
              <w:rPr>
                <w:rFonts w:ascii="Calibri (Body)" w:hAnsi="Calibri (Body)" w:cs="Calibri"/>
                <w:color w:val="000000"/>
                <w:sz w:val="20"/>
                <w:szCs w:val="20"/>
              </w:rPr>
            </w:pPr>
            <w:r w:rsidRPr="008F162D">
              <w:rPr>
                <w:rFonts w:ascii="Calibri (Body)" w:hAnsi="Calibri (Body)" w:cs="Calibri"/>
                <w:color w:val="000000"/>
                <w:sz w:val="20"/>
                <w:szCs w:val="20"/>
              </w:rPr>
              <w:t>19</w:t>
            </w:r>
          </w:p>
        </w:tc>
        <w:tc>
          <w:tcPr>
            <w:tcW w:w="1300" w:type="dxa"/>
            <w:tcBorders>
              <w:top w:val="nil"/>
              <w:left w:val="nil"/>
              <w:bottom w:val="single" w:sz="8" w:space="0" w:color="auto"/>
              <w:right w:val="nil"/>
            </w:tcBorders>
            <w:shd w:val="clear" w:color="auto" w:fill="auto"/>
            <w:noWrap/>
            <w:vAlign w:val="bottom"/>
            <w:hideMark/>
          </w:tcPr>
          <w:p w14:paraId="7177EF36" w14:textId="77777777" w:rsidR="008F162D" w:rsidRPr="008F162D" w:rsidRDefault="008F162D" w:rsidP="008F162D">
            <w:pPr>
              <w:jc w:val="center"/>
              <w:rPr>
                <w:rFonts w:ascii="Calibri (Body)" w:hAnsi="Calibri (Body)" w:cs="Calibri"/>
                <w:color w:val="000000"/>
                <w:sz w:val="20"/>
                <w:szCs w:val="20"/>
              </w:rPr>
            </w:pPr>
            <w:r w:rsidRPr="008F162D">
              <w:rPr>
                <w:rFonts w:ascii="Calibri (Body)" w:hAnsi="Calibri (Body)" w:cs="Calibri"/>
                <w:color w:val="000000"/>
                <w:sz w:val="20"/>
                <w:szCs w:val="20"/>
              </w:rPr>
              <w:t>20139234</w:t>
            </w:r>
          </w:p>
        </w:tc>
        <w:tc>
          <w:tcPr>
            <w:tcW w:w="1060" w:type="dxa"/>
            <w:tcBorders>
              <w:top w:val="nil"/>
              <w:left w:val="nil"/>
              <w:bottom w:val="single" w:sz="8" w:space="0" w:color="auto"/>
              <w:right w:val="nil"/>
            </w:tcBorders>
            <w:shd w:val="clear" w:color="auto" w:fill="auto"/>
            <w:noWrap/>
            <w:vAlign w:val="center"/>
            <w:hideMark/>
          </w:tcPr>
          <w:p w14:paraId="2120D1CC" w14:textId="77777777" w:rsidR="008F162D" w:rsidRPr="008F162D" w:rsidRDefault="008F162D" w:rsidP="008F162D">
            <w:pPr>
              <w:jc w:val="center"/>
              <w:rPr>
                <w:rFonts w:ascii="Calibri (Body)" w:hAnsi="Calibri (Body)" w:cs="Calibri"/>
                <w:color w:val="000000"/>
                <w:sz w:val="20"/>
                <w:szCs w:val="20"/>
              </w:rPr>
            </w:pPr>
            <w:r w:rsidRPr="008F162D">
              <w:rPr>
                <w:rFonts w:ascii="Calibri (Body)" w:hAnsi="Calibri (Body)" w:cs="Calibri"/>
                <w:color w:val="000000"/>
                <w:sz w:val="20"/>
                <w:szCs w:val="20"/>
              </w:rPr>
              <w:t>7.1E-09</w:t>
            </w:r>
          </w:p>
        </w:tc>
      </w:tr>
    </w:tbl>
    <w:p w14:paraId="0A75196E" w14:textId="0B2E96CC" w:rsidR="00B5042D" w:rsidRDefault="00B5042D" w:rsidP="00F7132B">
      <w:pPr>
        <w:spacing w:line="480" w:lineRule="auto"/>
        <w:rPr>
          <w:color w:val="000000"/>
        </w:rPr>
      </w:pPr>
    </w:p>
    <w:p w14:paraId="01AF3E12" w14:textId="77777777" w:rsidR="00513231" w:rsidRDefault="00513231" w:rsidP="00513231">
      <w:pPr>
        <w:spacing w:line="480" w:lineRule="auto"/>
        <w:rPr>
          <w:color w:val="000000"/>
        </w:rPr>
      </w:pPr>
    </w:p>
    <w:p w14:paraId="07F30FC8" w14:textId="77777777" w:rsidR="00513231" w:rsidRDefault="00513231" w:rsidP="00513231">
      <w:pPr>
        <w:spacing w:line="480" w:lineRule="auto"/>
        <w:rPr>
          <w:color w:val="000000"/>
        </w:rPr>
      </w:pPr>
      <w:r w:rsidRPr="00947BB1">
        <w:rPr>
          <w:color w:val="000000"/>
        </w:rPr>
        <w:t>The top SNP was located in the 3'-UTR region of FADS1 (fatty acid desaturase enzyme, involved in fatty acids metabolism), confirming the biological relevance of the top GWAS hits for this trait. Consistently, other significant loci included relevant genes for hepatic lipid metabolisms, such as LIPC (lipase C) and GCKR (</w:t>
      </w:r>
      <w:r w:rsidRPr="00947BB1">
        <w:rPr>
          <w:bCs/>
          <w:color w:val="000000"/>
        </w:rPr>
        <w:t>Glucokinase regulatory protein</w:t>
      </w:r>
      <w:r w:rsidRPr="00947BB1">
        <w:rPr>
          <w:color w:val="000000"/>
        </w:rPr>
        <w:t>).</w:t>
      </w:r>
    </w:p>
    <w:p w14:paraId="422AD4CD" w14:textId="2CA31896" w:rsidR="00242BB5" w:rsidRPr="00513231" w:rsidRDefault="00E47930" w:rsidP="00513231">
      <w:pPr>
        <w:spacing w:line="480" w:lineRule="auto"/>
      </w:pPr>
      <w:r>
        <w:rPr>
          <w:b/>
          <w:i/>
        </w:rPr>
        <w:lastRenderedPageBreak/>
        <w:t>s3</w:t>
      </w:r>
      <w:r w:rsidR="00242BB5" w:rsidRPr="00EF5D46">
        <w:rPr>
          <w:b/>
          <w:i/>
        </w:rPr>
        <w:t>.</w:t>
      </w:r>
      <w:r w:rsidR="00242BB5">
        <w:rPr>
          <w:b/>
          <w:i/>
        </w:rPr>
        <w:t xml:space="preserve"> PRS analyses</w:t>
      </w:r>
    </w:p>
    <w:p w14:paraId="7D2CC631" w14:textId="273EAB0A" w:rsidR="00AA4E53" w:rsidRDefault="00AA4E53" w:rsidP="00AA4E53">
      <w:pPr>
        <w:pStyle w:val="NoSpacing2"/>
        <w:outlineLvl w:val="0"/>
        <w:rPr>
          <w:b/>
          <w:i/>
        </w:rPr>
      </w:pPr>
      <w:r>
        <w:rPr>
          <w:b/>
          <w:i/>
        </w:rPr>
        <w:t>s</w:t>
      </w:r>
      <w:r w:rsidR="00E47930">
        <w:rPr>
          <w:b/>
          <w:i/>
        </w:rPr>
        <w:t>3</w:t>
      </w:r>
      <w:r w:rsidRPr="00EF5D46">
        <w:rPr>
          <w:b/>
          <w:i/>
        </w:rPr>
        <w:t>.</w:t>
      </w:r>
      <w:r>
        <w:rPr>
          <w:b/>
          <w:i/>
        </w:rPr>
        <w:t xml:space="preserve">1 </w:t>
      </w:r>
      <w:r w:rsidR="004007F8">
        <w:rPr>
          <w:b/>
          <w:i/>
        </w:rPr>
        <w:t xml:space="preserve">PRS </w:t>
      </w:r>
      <w:r w:rsidR="005A3C03">
        <w:rPr>
          <w:b/>
          <w:i/>
        </w:rPr>
        <w:t>generation</w:t>
      </w:r>
    </w:p>
    <w:p w14:paraId="3037B3FE" w14:textId="46F73B0D" w:rsidR="001706C8" w:rsidRDefault="001706C8" w:rsidP="00673D20">
      <w:pPr>
        <w:spacing w:line="480" w:lineRule="auto"/>
      </w:pPr>
      <w:r>
        <w:rPr>
          <w:color w:val="000000"/>
        </w:rPr>
        <w:t>P</w:t>
      </w:r>
      <w:r w:rsidRPr="00A20BC4">
        <w:rPr>
          <w:color w:val="000000"/>
        </w:rPr>
        <w:t>olygenic risk score</w:t>
      </w:r>
      <w:r>
        <w:rPr>
          <w:color w:val="000000"/>
        </w:rPr>
        <w:t>s</w:t>
      </w:r>
      <w:r w:rsidRPr="00A20BC4">
        <w:rPr>
          <w:color w:val="000000"/>
        </w:rPr>
        <w:t xml:space="preserve"> (PRS)</w:t>
      </w:r>
      <w:r>
        <w:rPr>
          <w:color w:val="000000"/>
        </w:rPr>
        <w:t xml:space="preserve"> </w:t>
      </w:r>
      <w:r>
        <w:t xml:space="preserve">were </w:t>
      </w:r>
      <w:r w:rsidRPr="008C3A35">
        <w:rPr>
          <w:kern w:val="24"/>
        </w:rPr>
        <w:t xml:space="preserve">calculated as the number of risk alleles weighted by their effect sizes from the </w:t>
      </w:r>
      <w:r>
        <w:rPr>
          <w:kern w:val="24"/>
        </w:rPr>
        <w:t xml:space="preserve">relative </w:t>
      </w:r>
      <w:r w:rsidRPr="008C3A35">
        <w:rPr>
          <w:kern w:val="24"/>
        </w:rPr>
        <w:t xml:space="preserve">discovery </w:t>
      </w:r>
      <w:r>
        <w:rPr>
          <w:kern w:val="24"/>
        </w:rPr>
        <w:t xml:space="preserve">GWAS summary </w:t>
      </w:r>
      <w:r w:rsidRPr="008C3A35">
        <w:rPr>
          <w:kern w:val="24"/>
        </w:rPr>
        <w:t>statistics</w:t>
      </w:r>
      <w:r>
        <w:rPr>
          <w:kern w:val="24"/>
        </w:rPr>
        <w:t xml:space="preserve"> using PLINK</w:t>
      </w:r>
      <w:r w:rsidR="008A22FF">
        <w:rPr>
          <w:kern w:val="24"/>
        </w:rPr>
        <w:t>.</w:t>
      </w:r>
      <w:r w:rsidR="008A22FF">
        <w:rPr>
          <w:kern w:val="24"/>
        </w:rPr>
        <w:fldChar w:fldCharType="begin" w:fldLock="1"/>
      </w:r>
      <w:r w:rsidR="009A73FF">
        <w:rPr>
          <w:kern w:val="24"/>
        </w:rPr>
        <w:instrText>ADDIN CSL_CITATION {"citationItems":[{"id":"ITEM-1","itemData":{"DOI":"10.1186/s13742-015-0047-8","ISBN":"1374201500478","author":[{"dropping-particle":"","family":"Purcell","given":"Shaun M","non-dropping-particle":"","parse-names":false,"suffix":""},{"dropping-particle":"","family":"Chang","given":"Christopher C","non-dropping-particle":"","parse-names":false,"suffix":""},{"dropping-particle":"","family":"Chow","given":"Carson C","non-dropping-particle":"","parse-names":false,"suffix":""},{"dropping-particle":"","family":"Tellier","given":"Laurent CAM","non-dropping-particle":"","parse-names":false,"suffix":""},{"dropping-particle":"","family":"Lee","given":"James J","non-dropping-particle":"","parse-names":false,"suffix":""},{"dropping-particle":"","family":"Vattikuti","given":"Shashaank","non-dropping-particle":"","parse-names":false,"suffix":""}],"container-title":"GigaScience","id":"ITEM-1","issue":"1","issued":{"date-parts":[["2015"]]},"page":"1-16","title":"Second-generation PLINK: rising to the challenge of larger and richer datasets","type":"article-journal","volume":"4"},"uris":["http://www.mendeley.com/documents/?uuid=5133b164-a055-44e2-8dc1-59ca7643e168"]}],"mendeley":{"formattedCitation":"&lt;sup&gt;7&lt;/sup&gt;","plainTextFormattedCitation":"7","previouslyFormattedCitation":"&lt;sup&gt;7&lt;/sup&gt;"},"properties":{"noteIndex":0},"schema":"https://github.com/citation-style-language/schema/raw/master/csl-citation.json"}</w:instrText>
      </w:r>
      <w:r w:rsidR="008A22FF">
        <w:rPr>
          <w:kern w:val="24"/>
        </w:rPr>
        <w:fldChar w:fldCharType="separate"/>
      </w:r>
      <w:r w:rsidR="008A22FF" w:rsidRPr="008A22FF">
        <w:rPr>
          <w:noProof/>
          <w:kern w:val="24"/>
          <w:vertAlign w:val="superscript"/>
        </w:rPr>
        <w:t>7</w:t>
      </w:r>
      <w:r w:rsidR="008A22FF">
        <w:rPr>
          <w:kern w:val="24"/>
        </w:rPr>
        <w:fldChar w:fldCharType="end"/>
      </w:r>
    </w:p>
    <w:p w14:paraId="2F34D521" w14:textId="02372EA0" w:rsidR="00A25146" w:rsidRDefault="00A25146" w:rsidP="00673D20">
      <w:pPr>
        <w:spacing w:line="480" w:lineRule="auto"/>
      </w:pPr>
      <w:r w:rsidRPr="00A20BC4">
        <w:rPr>
          <w:color w:val="000000"/>
        </w:rPr>
        <w:t xml:space="preserve">PRS for 25-OH-D and </w:t>
      </w:r>
      <w:r>
        <w:rPr>
          <w:color w:val="000000"/>
        </w:rPr>
        <w:t>n3-PUFA</w:t>
      </w:r>
      <w:r w:rsidRPr="00A20BC4">
        <w:rPr>
          <w:color w:val="000000"/>
        </w:rPr>
        <w:t xml:space="preserve"> were based on genome-wide significant </w:t>
      </w:r>
      <w:r>
        <w:rPr>
          <w:color w:val="000000"/>
        </w:rPr>
        <w:t>SNPs</w:t>
      </w:r>
      <w:r w:rsidRPr="00A20BC4">
        <w:rPr>
          <w:color w:val="000000"/>
        </w:rPr>
        <w:t>, harboring relevant genes for the synthesis and metabolism of these markers</w:t>
      </w:r>
      <w:r>
        <w:rPr>
          <w:color w:val="000000"/>
        </w:rPr>
        <w:t>. For 25-OH-D we selected the 6</w:t>
      </w:r>
      <w:r w:rsidRPr="00A20BC4">
        <w:rPr>
          <w:color w:val="000000"/>
        </w:rPr>
        <w:t xml:space="preserve"> independent SNPs reported in the discovery GWAS</w:t>
      </w:r>
      <w:r>
        <w:rPr>
          <w:color w:val="000000"/>
        </w:rPr>
        <w:fldChar w:fldCharType="begin" w:fldLock="1"/>
      </w:r>
      <w:r w:rsidR="009A73FF">
        <w:rPr>
          <w:color w:val="000000"/>
        </w:rPr>
        <w:instrText>ADDIN CSL_CITATION {"citationItems":[{"id":"ITEM-1","itemData":{"DOI":"10.1038/s41467-017-02662-2","ISBN":"4146701702662","ISSN":"2041-1723","PMID":"29343764","author":[{"dropping-particle":"","family":"Jiang","given":"Xia","non-dropping-particle":"","parse-names":false,"suffix":""},{"dropping-particle":"","family":"O’Reilly","given":"Paul F.","non-dropping-particle":"","parse-names":false,"suffix":""},{"dropping-particle":"","family":"Aschard","given":"Hugues","non-dropping-particle":"","parse-names":false,"suffix":""},{"dropping-particle":"","family":"Hsu","given":"Yi-Hsiang","non-dropping-particle":"","parse-names":false,"suffix":""},{"dropping-particle":"","family":"Richards","given":"J. Brent","non-dropping-particle":"","parse-names":false,"suffix":""},{"dropping-particle":"","family":"Dupuis","given":"Josée","non-dropping-particle":"","parse-names":false,"suffix":""},{"dropping-particle":"","family":"Ingelsson","given":"Erik","non-dropping-particle":"","parse-names":false,"suffix":""},{"dropping-particle":"","family":"Karasik","given":"David","non-dropping-particle":"","parse-names":false,"suffix":""},{"dropping-particle":"","family":"Pilz","given":"Stefan","non-dropping-particle":"","parse-names":false,"suffix":""},{"dropping-particle":"","family":"Berry","given":"Diane","non-dropping-particle":"","parse-names":false,"suffix":""},{"dropping-particle":"","family":"Kestenbaum","given":"Bryan","non-dropping-particle":"","parse-names":false,"suffix":""},{"dropping-particle":"","family":"Zheng","given":"Jusheng","non-dropping-particle":"","parse-names":false,"suffix":""},{"dropping-particle":"","family":"Luan","given":"Jianan","non-dropping-particle":"","parse-names":false,"suffix":""},{"dropping-particle":"","family":"Sofianopoulou","given":"Eleni","non-dropping-particle":"","parse-names":false,"suffix":""},{"dropping-particle":"","family":"Streeten","given":"Elizabeth A.","non-dropping-particle":"","parse-names":false,"suffix":""},{"dropping-particle":"","family":"Albanes","given":"Demetrius","non-dropping-particle":"","parse-names":false,"suffix":""},{"dropping-particle":"","family":"Lutsey","given":"Pamela L.","non-dropping-particle":"","parse-names":false,"suffix":""},{"dropping-particle":"","family":"Yao","given":"Lu","non-dropping-particle":"","parse-names":false,"suffix":""},{"dropping-particle":"","family":"Tang","given":"Weihong","non-dropping-particle":"","parse-names":false,"suffix":""},{"dropping-particle":"","family":"Econs","given":"Michael J.","non-dropping-particle":"","parse-names":false,"suffix":""},{"dropping-particle":"","family":"Wallaschofski","given":"Henri","non-dropping-particle":"","parse-names":false,"suffix":""},{"dropping-particle":"","family":"Völzke","given":"Henry","non-dropping-particle":"","parse-names":false,"suffix":""},{"dropping-particle":"","family":"Zhou","given":"Ang","non-dropping-particle":"","parse-names":false,"suffix":""},{"dropping-particle":"","family":"Power","given":"Chris","non-dropping-particle":"","parse-names":false,"suffix":""},{"dropping-particle":"","family":"McCarthy","given":"Mark I.","non-dropping-particle":"","parse-names":false,"suffix":""},{"dropping-particle":"","family":"Michos","given":"Erin D.","non-dropping-particle":"","parse-names":false,"suffix":""},{"dropping-particle":"","family":"Boerwinkle","given":"Eric","non-dropping-particle":"","parse-names":false,"suffix":""},{"dropping-particle":"","family":"Weinstein","given":"Stephanie J.","non-dropping-particle":"","parse-names":false,"suffix":""},{"dropping-particle":"","family":"Freedman","given":"Neal D.","non-dropping-particle":"","parse-names":false,"suffix":""},{"dropping-particle":"","family":"Huang","given":"Wen-Yi","non-dropping-particle":"","parse-names":false,"suffix":""},{"dropping-particle":"","family":"Schoor","given":"Natasja M.","non-dropping-particle":"Van","parse-names":false,"suffix":""},{"dropping-particle":"","family":"Velde","given":"Nathalie","non-dropping-particle":"van der","parse-names":false,"suffix":""},{"dropping-particle":"de","family":"Groot","given":"Lisette C. P. G. M.","non-dropping-particle":"","parse-names":false,"suffix":""},{"dropping-particle":"","family":"Enneman","given":"Anke","non-dropping-particle":"","parse-names":false,"suffix":""},{"dropping-particle":"","family":"Cupples","given":"L. Adrienne","non-dropping-particle":"","parse-names":false,"suffix":""},{"dropping-particle":"","family":"Booth","given":"Sarah L.","non-dropping-particle":"","parse-names":false,"suffix":""},{"dropping-particle":"","family":"Vasan","given":"Ramachandran S.","non-dropping-particle":"","parse-names":false,"suffix":""},{"dropping-particle":"","family":"Liu","given":"Ching-Ti","non-dropping-particle":"","parse-names":false,"suffix":""},{"dropping-particle":"","family":"Zhou","given":"Yanhua","non-dropping-particle":"","parse-names":false,"suffix":""},{"dropping-particle":"","family":"Ripatti","given":"Samuli","non-dropping-particle":"","parse-names":false,"suffix":""},{"dropping-particle":"","family":"Ohlsson","given":"Claes","non-dropping-particle":"","parse-names":false,"suffix":""},{"dropping-particle":"","family":"Vandenput","given":"Liesbeth","non-dropping-particle":"","parse-names":false,"suffix":""},{"dropping-particle":"","family":"Lorentzon","given":"Mattias","non-dropping-particle":"","parse-names":false,"suffix":""},{"dropping-particle":"","family":"Eriksson","given":"Johan G.","non-dropping-particle":"","parse-names":false,"suffix":""},{"dropping-particle":"","family":"Shea","given":"M. Kyla","non-dropping-particle":"","parse-names":false,"suffix":""},{"dropping-particle":"","family":"Houston","given":"Denise K.","non-dropping-particle":"","parse-names":false,"suffix":""},{"dropping-particle":"","family":"Kritchevsky","given":"Stephen B.","non-dropping-particle":"","parse-names":false,"suffix":""},{"dropping-particle":"","family":"Liu","given":"Yongmei","non-dropping-particle":"","parse-names":false,"suffix":""},{"dropping-particle":"","family":"Lohman","given":"Kurt K.","non-dropping-particle":"","parse-names":false,"suffix":""},{"dropping-particle":"","family":"Ferrucci","given":"Luigi","non-dropping-particle":"","parse-names":false,"suffix":""},{"dropping-particle":"","family":"Peacock","given":"Munro","non-dropping-particle":"","parse-names":false,"suffix":""},{"dropping-particle":"","family":"Gieger","given":"Christian","non-dropping-particle":"","parse-names":false,"suffix":""},{"dropping-particle":"","family":"Beekman","given":"Marian","non-dropping-particle":"","parse-names":false,"suffix":""},{"dropping-particle":"","family":"Slagboom","given":"Eline","non-dropping-particle":"","parse-names":false,"suffix":""},{"dropping-particle":"","family":"Deelen","given":"Joris","non-dropping-particle":"","parse-names":false,"suffix":""},{"dropping-particle":"van","family":"Heemst","given":"Diana","non-dropping-particle":"","parse-names":false,"suffix":""},{"dropping-particle":"","family":"Kleber","given":"Marcus E.","non-dropping-particle":"","parse-names":false,"suffix":""},{"dropping-particle":"","family":"März","given":"Winfried","non-dropping-particle":"","parse-names":false,"suffix":""},{"dropping-particle":"","family":"Boer","given":"Ian H.","non-dropping-particle":"de","parse-names":false,"suffix":""},{"dropping-particle":"","family":"Wood","given":"Alexis C.","non-dropping-particle":"","parse-names":false,"suffix":""},{"dropping-particle":"","family":"Rotter","given":"Jerome I.","non-dropping-particle":"","parse-names":false,"suffix":""},{"dropping-particle":"","family":"Rich","given":"Stephen S.","non-dropping-particle":"","parse-names":false,"suffix":""},{"dropping-particle":"","family":"Robinson-Cohen","given":"Cassianne","non-dropping-particle":"","parse-names":false,"suffix":""},{"dropping-particle":"","family":"Heijer","given":"Martin","non-dropping-particle":"den","parse-names":false,"suffix":""},{"dropping-particle":"","family":"Jarvelin","given":"Marjo-Riitta","non-dropping-particle":"","parse-names":false,"suffix":""},{"dropping-particle":"","family":"Cavadino","given":"Alana","non-dropping-particle":"","parse-names":false,"suffix":""},{"dropping-particle":"","family":"Joshi","given":"Peter K.","non-dropping-particle":"","parse-names":false,"suffix":""},{"dropping-particle":"","family":"Wilson","given":"James F.","non-dropping-particle":"","parse-names":false,"suffix":""},{"dropping-particle":"","family":"Hayward","given":"Caroline","non-dropping-particle":"","parse-names":false,"suffix":""},{"dropping-particle":"","family":"Lind","given":"Lars","non-dropping-particle":"","parse-names":false,"suffix":""},{"dropping-particle":"","family":"Michaëlsson","given":"Karl","non-dropping-particle":"","parse-names":false,"suffix":""},{"dropping-particle":"","family":"Trompet","given":"Stella","non-dropping-particle":"","parse-names":false,"suffix":""},{"dropping-particle":"","family":"Zillikens","given":"M. Carola","non-dropping-particle":"","parse-names":false,"suffix":""},{"dropping-particle":"","family":"Uitterlinden","given":"Andre G.","non-dropping-particle":"","parse-names":false,"suffix":""},{"dropping-particle":"","family":"Rivadeneira","given":"Fernando","non-dropping-particle":"","parse-names":false,"suffix":""},{"dropping-particle":"","family":"Broer","given":"Linda","non-dropping-particle":"","parse-names":false,"suffix":""},{"dropping-particle":"","family":"Zgaga","given":"Lina","non-dropping-particle":"","parse-names":false,"suffix":""},{"dropping-particle":"","family":"Campbell","given":"Harry","non-dropping-particle":"","parse-names":false,"suffix":""},{"dropping-particle":"","family":"Theodoratou","given":"Evropi","non-dropping-particle":"","parse-names":false,"suffix":""},{"dropping-particle":"","family":"Farrington","given":"Susan M.","non-dropping-particle":"","parse-names":false,"suffix":""},{"dropping-particle":"","family":"Timofeeva","given":"Maria","non-dropping-particle":"","parse-names":false,"suffix":""},{"dropping-particle":"","family":"Dunlop","given":"Malcolm G.","non-dropping-particle":"","parse-names":false,"suffix":""},{"dropping-particle":"","family":"Valdes","given":"Ana M.","non-dropping-particle":"","parse-names":false,"suffix":""},{"dropping-particle":"","family":"Tikkanen","given":"Emmi","non-dropping-particle":"","parse-names":false,"suffix":""},{"dropping-particle":"","family":"Lehtimäki","given":"Terho","non-dropping-particle":"","parse-names":false,"suffix":""},{"dropping-particle":"","family":"Lyytikäinen","given":"Leo-Pekka","non-dropping-particle":"","parse-names":false,"suffix":""},{"dropping-particle":"","family":"Kähönen","given":"Mika","non-dropping-particle":"","parse-names":false,"suffix":""},{"dropping-particle":"","family":"Raitakari","given":"Olli T.","non-dropping-particle":"","parse-names":false,"suffix":""},{"dropping-particle":"","family":"Mikkilä","given":"Vera","non-dropping-particle":"","parse-names":false,"suffix":""},{"dropping-particle":"","family":"Ikram","given":"M. Arfan","non-dropping-particle":"","parse-names":false,"suffix":""},{"dropping-particle":"","family":"Sattar","given":"Naveed","non-dropping-particle":"","parse-names":false,"suffix":""},{"dropping-particle":"","family":"Jukema","given":"J. Wouter","non-dropping-particle":"","parse-names":false,"suffix":""},{"dropping-particle":"","family":"Wareham","given":"Nicholas J.","non-dropping-particle":"","parse-names":false,"suffix":""},{"dropping-particle":"","family":"Langenberg","given":"Claudia","non-dropping-particle":"","parse-names":false,"suffix":""},{"dropping-particle":"","family":"Forouhi","given":"Nita G.","non-dropping-particle":"","parse-names":false,"suffix":""},{"dropping-particle":"","family":"Gundersen","given":"Thomas E.","non-dropping-particle":"","parse-names":false,"suffix":""},{"dropping-particle":"","family":"Khaw","given":"Kay-Tee","non-dropping-particle":"","parse-names":false,"suffix":""},{"dropping-particle":"","family":"Butterworth","given":"Adam S.","non-dropping-particle":"","parse-names":false,"suffix":""},{"dropping-particle":"","family":"Danesh","given":"John","non-dropping-particle":"","parse-names":false,"suffix":""},{"dropping-particle":"","family":"Spector","given":"Timothy","non-dropping-particle":"","parse-names":false,"suffix":""},{"dropping-particle":"","family":"Wang","given":"Thomas J.","non-dropping-particle":"","parse-names":false,"suffix":""},{"dropping-particle":"","family":"Hyppönen","given":"Elina","non-dropping-particle":"","parse-names":false,"suffix":""},{"dropping-particle":"","family":"Kraft","given":"Peter","non-dropping-particle":"","parse-names":false,"suffix":""},{"dropping-particle":"","family":"Kiel","given":"Douglas P.","non-dropping-particle":"","parse-names":false,"suffix":""}],"container-title":"Nature Communications","id":"ITEM-1","issue":"1","issued":{"date-parts":[["2018"]]},"page":"260","title":"Genome-wide association study in 79,366 European-ancestry individuals informs the genetic architecture of 25-hydroxyvitamin D levels","type":"article-journal","volume":"9"},"uris":["http://www.mendeley.com/documents/?uuid=fe9da13a-8337-4666-9595-635f5bdebf0a"]}],"mendeley":{"formattedCitation":"&lt;sup&gt;8&lt;/sup&gt;","plainTextFormattedCitation":"8","previouslyFormattedCitation":"&lt;sup&gt;8&lt;/sup&gt;"},"properties":{"noteIndex":0},"schema":"https://github.com/citation-style-language/schema/raw/master/csl-citation.json"}</w:instrText>
      </w:r>
      <w:r>
        <w:rPr>
          <w:color w:val="000000"/>
        </w:rPr>
        <w:fldChar w:fldCharType="separate"/>
      </w:r>
      <w:r w:rsidR="009A73FF" w:rsidRPr="009A73FF">
        <w:rPr>
          <w:noProof/>
          <w:color w:val="000000"/>
          <w:vertAlign w:val="superscript"/>
        </w:rPr>
        <w:t>8</w:t>
      </w:r>
      <w:r>
        <w:rPr>
          <w:color w:val="000000"/>
        </w:rPr>
        <w:fldChar w:fldCharType="end"/>
      </w:r>
      <w:r>
        <w:rPr>
          <w:color w:val="000000"/>
        </w:rPr>
        <w:t xml:space="preserve">. </w:t>
      </w:r>
      <w:r w:rsidRPr="00A20BC4">
        <w:rPr>
          <w:color w:val="000000"/>
        </w:rPr>
        <w:t xml:space="preserve">For N-3 PUFAs, we identified 7 independent genome-wide significant SNPs by processing GWAS </w:t>
      </w:r>
      <w:r w:rsidRPr="00754086">
        <w:rPr>
          <w:color w:val="000000"/>
        </w:rPr>
        <w:t>summary statistics (supplemental materials s</w:t>
      </w:r>
      <w:r>
        <w:rPr>
          <w:color w:val="000000"/>
        </w:rPr>
        <w:t>2</w:t>
      </w:r>
      <w:r w:rsidRPr="00754086">
        <w:rPr>
          <w:color w:val="000000"/>
        </w:rPr>
        <w:t>)</w:t>
      </w:r>
      <w:r>
        <w:rPr>
          <w:kern w:val="24"/>
        </w:rPr>
        <w:t xml:space="preserve">. </w:t>
      </w:r>
      <w:r w:rsidR="002C2385">
        <w:rPr>
          <w:kern w:val="24"/>
        </w:rPr>
        <w:t xml:space="preserve">In NESDA, the SNPs were selected in the </w:t>
      </w:r>
      <w:r w:rsidR="002C2385" w:rsidRPr="00A578D8">
        <w:t xml:space="preserve">1000Genomes </w:t>
      </w:r>
      <w:r w:rsidR="002C2385">
        <w:t>imputed set (</w:t>
      </w:r>
      <w:r w:rsidR="002C2385">
        <w:rPr>
          <w:kern w:val="24"/>
        </w:rPr>
        <w:t>see s1 section).</w:t>
      </w:r>
    </w:p>
    <w:p w14:paraId="6993B341" w14:textId="6EFCB169" w:rsidR="00673D20" w:rsidRDefault="00673D20" w:rsidP="00673D20">
      <w:pPr>
        <w:spacing w:line="480" w:lineRule="auto"/>
      </w:pPr>
      <w:r>
        <w:t xml:space="preserve">PRS </w:t>
      </w:r>
      <w:r w:rsidRPr="008C3A35">
        <w:t xml:space="preserve">for </w:t>
      </w:r>
      <w:r w:rsidRPr="008C3A35">
        <w:rPr>
          <w:kern w:val="24"/>
        </w:rPr>
        <w:t>M</w:t>
      </w:r>
      <w:r>
        <w:rPr>
          <w:kern w:val="24"/>
        </w:rPr>
        <w:t>D</w:t>
      </w:r>
      <w:r w:rsidRPr="008C3A35">
        <w:rPr>
          <w:kern w:val="24"/>
        </w:rPr>
        <w:t xml:space="preserve">D was </w:t>
      </w:r>
      <w:r>
        <w:rPr>
          <w:kern w:val="24"/>
        </w:rPr>
        <w:t xml:space="preserve">built </w:t>
      </w:r>
      <w:r w:rsidRPr="008C3A35">
        <w:rPr>
          <w:kern w:val="24"/>
        </w:rPr>
        <w:t xml:space="preserve">based on </w:t>
      </w:r>
      <w:r w:rsidRPr="008C3A35">
        <w:t xml:space="preserve">the full polygenic signal from the </w:t>
      </w:r>
      <w:r>
        <w:t>MDD</w:t>
      </w:r>
      <w:r w:rsidRPr="008C3A35">
        <w:t xml:space="preserve"> GWAS</w:t>
      </w:r>
      <w:r>
        <w:t>.</w:t>
      </w:r>
      <w:r>
        <w:fldChar w:fldCharType="begin" w:fldLock="1"/>
      </w:r>
      <w:r w:rsidR="009A73FF">
        <w:instrText>ADDIN CSL_CITATION {"citationItems":[{"id":"ITEM-1","itemData":{"DOI":"https://doi.org/10.1101/167577","author":[{"dropping-particle":"","family":"Major Depressive Disorder Working Group of the Psychiatric Genomics Consortium","given":"","non-dropping-particle":"","parse-names":false,"suffix":""}],"container-title":"Nature genetics","id":"ITEM-1","issued":{"date-parts":[["2018"]]},"title":"Genome-wide association analyses identify 44 risk variants and refine the genetic architecture of major depressive disorder","type":"article-journal"},"uris":["http://www.mendeley.com/documents/?uuid=ad44a387-0636-4806-ba48-0d67b9e928bc"]}],"mendeley":{"formattedCitation":"&lt;sup&gt;9&lt;/sup&gt;","plainTextFormattedCitation":"9","previouslyFormattedCitation":"&lt;sup&gt;9&lt;/sup&gt;"},"properties":{"noteIndex":0},"schema":"https://github.com/citation-style-language/schema/raw/master/csl-citation.json"}</w:instrText>
      </w:r>
      <w:r>
        <w:fldChar w:fldCharType="separate"/>
      </w:r>
      <w:r w:rsidR="009A73FF" w:rsidRPr="009A73FF">
        <w:rPr>
          <w:noProof/>
          <w:vertAlign w:val="superscript"/>
        </w:rPr>
        <w:t>9</w:t>
      </w:r>
      <w:r>
        <w:fldChar w:fldCharType="end"/>
      </w:r>
      <w:r>
        <w:t xml:space="preserve"> </w:t>
      </w:r>
      <w:r w:rsidRPr="00FC0530">
        <w:rPr>
          <w:kern w:val="24"/>
        </w:rPr>
        <w:t xml:space="preserve">Since </w:t>
      </w:r>
      <w:r>
        <w:rPr>
          <w:kern w:val="24"/>
        </w:rPr>
        <w:t>NESDA data</w:t>
      </w:r>
      <w:r w:rsidRPr="00FC0530">
        <w:rPr>
          <w:kern w:val="24"/>
        </w:rPr>
        <w:t xml:space="preserve"> </w:t>
      </w:r>
      <w:r>
        <w:rPr>
          <w:kern w:val="24"/>
        </w:rPr>
        <w:t>were part of the GWAS</w:t>
      </w:r>
      <w:r w:rsidRPr="00FC0530">
        <w:rPr>
          <w:kern w:val="24"/>
        </w:rPr>
        <w:t>, we re-r</w:t>
      </w:r>
      <w:r>
        <w:rPr>
          <w:kern w:val="24"/>
        </w:rPr>
        <w:t>a</w:t>
      </w:r>
      <w:r w:rsidRPr="00FC0530">
        <w:rPr>
          <w:kern w:val="24"/>
        </w:rPr>
        <w:t xml:space="preserve">n the </w:t>
      </w:r>
      <w:r>
        <w:rPr>
          <w:kern w:val="24"/>
        </w:rPr>
        <w:t xml:space="preserve">MDD meta-analyses </w:t>
      </w:r>
      <w:r w:rsidRPr="00FC0530">
        <w:rPr>
          <w:kern w:val="24"/>
        </w:rPr>
        <w:t>after removal of overlapping datasets</w:t>
      </w:r>
      <w:r>
        <w:rPr>
          <w:kern w:val="24"/>
        </w:rPr>
        <w:t xml:space="preserve"> </w:t>
      </w:r>
      <w:r w:rsidRPr="00FC0530">
        <w:rPr>
          <w:kern w:val="24"/>
        </w:rPr>
        <w:t>(~</w:t>
      </w:r>
      <w:r>
        <w:rPr>
          <w:kern w:val="24"/>
        </w:rPr>
        <w:t>3</w:t>
      </w:r>
      <w:r w:rsidRPr="00FC0530">
        <w:rPr>
          <w:kern w:val="24"/>
        </w:rPr>
        <w:t>K samples)</w:t>
      </w:r>
      <w:r>
        <w:rPr>
          <w:kern w:val="24"/>
        </w:rPr>
        <w:t xml:space="preserve">. </w:t>
      </w:r>
      <w:r>
        <w:t xml:space="preserve">Summary statistics of the discovery were filtered by removing In/Del and strand ambiguous variants, SNPs with INFO &lt; 0.9, MAF &lt; 0.01. Overlapping SNPs between </w:t>
      </w:r>
      <w:r>
        <w:rPr>
          <w:kern w:val="24"/>
        </w:rPr>
        <w:t>the ~</w:t>
      </w:r>
      <w:r>
        <w:t xml:space="preserve">1.2M cross-platform GONL imputed </w:t>
      </w:r>
      <w:r w:rsidR="002C2385">
        <w:t>(</w:t>
      </w:r>
      <w:r w:rsidR="002C2385">
        <w:rPr>
          <w:kern w:val="24"/>
        </w:rPr>
        <w:t xml:space="preserve">see s1 section) </w:t>
      </w:r>
      <w:r>
        <w:t xml:space="preserve">and those retained from the discovery summary statistics were carried forward. PRS were built according to </w:t>
      </w:r>
      <w:proofErr w:type="spellStart"/>
      <w:r>
        <w:t>LDpred</w:t>
      </w:r>
      <w:proofErr w:type="spellEnd"/>
      <w:r>
        <w:t xml:space="preserve"> method</w:t>
      </w:r>
      <w:r>
        <w:fldChar w:fldCharType="begin" w:fldLock="1"/>
      </w:r>
      <w:r w:rsidR="009A73FF">
        <w:instrText>ADDIN CSL_CITATION {"citationItems":[{"id":"ITEM-1","itemData":{"DOI":"10.1016/j.ajhg.2015.09.001","ISBN":"0002-9297","ISSN":"00029297","PMID":"26430803","abstract":"Polygenic risk scores have shown great promise in predicting complex disease risk and will become more accurate as training sample sizes increase. The standard approach for calculating risk scores involves linkage disequilibrium (LD)-based marker pruning and applying a p value threshold to association statistics, but this discards information and can reduce predictive accuracy. We introduce LDpred, a method that infers the posterior mean effect size of each marker by using a prior on effect sizes and LD information from an external reference panel. Theory and simulations show that LDpred outperforms the approach of pruning followed by thresholding, particularly at large sample sizes. Accordingly, predicted R2 increased from 20.1% to 25.3% in a large schizophrenia dataset and from 9.8% to 12.0% in a large multiple sclerosis dataset. A similar relative improvement in accuracy was observed for three additional large disease datasets and for non-European schizophrenia samples. The advantage of LDpred over existing methods will grow as sample sizes increase.","author":[{"dropping-particle":"","family":"Vilhjálmsson","given":"Bjarni J.","non-dropping-particle":"","parse-names":false,"suffix":""},{"dropping-particle":"","family":"Yang","given":"Jian","non-dropping-particle":"","parse-names":false,"suffix":""},{"dropping-particle":"","family":"Finucane","given":"Hilary K.","non-dropping-particle":"","parse-names":false,"suffix":""},{"dropping-particle":"","family":"Gusev","given":"Alexander","non-dropping-particle":"","parse-names":false,"suffix":""},{"dropping-particle":"","family":"Lindström","given":"Sara","non-dropping-particle":"","parse-names":false,"suffix":""},{"dropping-particle":"","family":"Ripke","given":"Stephan","non-dropping-particle":"","parse-names":false,"suffix":""},{"dropping-particle":"","family":"Genovese","given":"Giulio","non-dropping-particle":"","parse-names":false,"suffix":""},{"dropping-particle":"","family":"Loh","given":"Po-Ru","non-dropping-particle":"","parse-names":false,"suffix":""},{"dropping-particle":"","family":"Bhatia","given":"Gaurav","non-dropping-particle":"","parse-names":false,"suffix":""},{"dropping-particle":"","family":"Do","given":"Ron","non-dropping-particle":"","parse-names":false,"suffix":""},{"dropping-particle":"","family":"Hayeck","given":"Tristan","non-dropping-particle":"","parse-names":false,"suffix":""},{"dropping-particle":"","family":"Won","given":"Hong-Hee","non-dropping-particle":"","parse-names":false,"suffix":""},{"dropping-particle":"","family":"Kathiresan","given":"Sekar","non-dropping-particle":"","parse-names":false,"suffix":""},{"dropping-particle":"","family":"Pato","given":"Michele","non-dropping-particle":"","parse-names":false,"suffix":""},{"dropping-particle":"","family":"Pato","given":"Carlos","non-dropping-particle":"","parse-names":false,"suffix":""},{"dropping-particle":"","family":"Tamimi","given":"Rulla","non-dropping-particle":"","parse-names":false,"suffix":""},{"dropping-particle":"","family":"Stahl","given":"Eli","non-dropping-particle":"","parse-names":false,"suffix":""},{"dropping-particle":"","family":"Zaitlen","given":"Noah","non-dropping-particle":"","parse-names":false,"suffix":""},{"dropping-particle":"","family":"Pasaniuc","given":"Bogdan","non-dropping-particle":"","parse-names":false,"suffix":""},{"dropping-particle":"","family":"Belbin","given":"Gillian","non-dropping-particle":"","parse-names":false,"suffix":""},{"dropping-particle":"","family":"Kenny","given":"Eimear E.","non-dropping-particle":"","parse-names":false,"suffix":""},{"dropping-particle":"","family":"Schierup","given":"Mikkel H.","non-dropping-particle":"","parse-names":false,"suffix":""},{"dropping-particle":"","family":"Jager","given":"Philip","non-dropping-particle":"De","parse-names":false,"suffix":""},{"dropping-particle":"","family":"Patsopoulos","given":"Nikolaos A.","non-dropping-particle":"","parse-names":false,"suffix":""},{"dropping-particle":"","family":"McCarroll","given":"Steve","non-dropping-particle":"","parse-names":false,"suffix":""},{"dropping-particle":"","family":"Daly","given":"Mark","non-dropping-particle":"","parse-names":false,"suffix":""},{"dropping-particle":"","family":"Purcell","given":"Shaun","non-dropping-particle":"","parse-names":false,"suffix":""},{"dropping-particle":"","family":"Chasman","given":"Daniel","non-dropping-particle":"","parse-names":false,"suffix":""},{"dropping-particle":"","family":"Neale","given":"Benjamin","non-dropping-particle":"","parse-names":false,"suffix":""},{"dropping-particle":"","family":"Goddard","given":"Michael","non-dropping-particle":"","parse-names":false,"suffix":""},{"dropping-particle":"","family":"Visscher","given":"Peter M.","non-dropping-particle":"","parse-names":false,"suffix":""},{"dropping-particle":"","family":"Kraft","given":"Peter","non-dropping-particle":"","parse-names":false,"suffix":""},{"dropping-particle":"","family":"Patterson","given":"Nick","non-dropping-particle":"","parse-names":false,"suffix":""},{"dropping-particle":"","family":"Price","given":"Alkes L.","non-dropping-particle":"","parse-names":false,"suffix":""}],"container-title":"The American Journal of Human Genetics","id":"ITEM-1","issue":"4","issued":{"date-parts":[["2015"]]},"page":"576-592","title":"Modeling Linkage Disequilibrium Increases Accuracy of Polygenic Risk Scores","type":"article-journal","volume":"97"},"uris":["http://www.mendeley.com/documents/?uuid=ddb964dc-48fe-4c2b-bfdc-f0cbeabe90c2"]}],"mendeley":{"formattedCitation":"&lt;sup&gt;10&lt;/sup&gt;","plainTextFormattedCitation":"10","previouslyFormattedCitation":"&lt;sup&gt;10&lt;/sup&gt;"},"properties":{"noteIndex":0},"schema":"https://github.com/citation-style-language/schema/raw/master/csl-citation.json"}</w:instrText>
      </w:r>
      <w:r>
        <w:fldChar w:fldCharType="separate"/>
      </w:r>
      <w:r w:rsidR="009A73FF" w:rsidRPr="009A73FF">
        <w:rPr>
          <w:noProof/>
          <w:vertAlign w:val="superscript"/>
        </w:rPr>
        <w:t>10</w:t>
      </w:r>
      <w:r>
        <w:fldChar w:fldCharType="end"/>
      </w:r>
      <w:r>
        <w:t xml:space="preserve"> using the dedicated software. 1000 unrelated individuals were selected to calculate LD for reference. The fraction of causal SNPs was set at 5% consistently with </w:t>
      </w:r>
      <w:r w:rsidR="009A73FF">
        <w:t>previous analyses</w:t>
      </w:r>
      <w:r>
        <w:t>.</w:t>
      </w:r>
      <w:r>
        <w:fldChar w:fldCharType="begin" w:fldLock="1"/>
      </w:r>
      <w:r w:rsidR="009A73FF">
        <w:instrText>ADDIN CSL_CITATION {"citationItems":[{"id":"ITEM-1","itemData":{"DOI":"10.1001/jamapsychiatry.2017.3016","author":[{"dropping-particle":"","family":"Milaneschi","given":"Yuri","non-dropping-particle":"","parse-names":false,"suffix":""},{"dropping-particle":"","family":"Lamers","given":"Femke","non-dropping-particle":"","parse-names":false,"suffix":""},{"dropping-particle":"","family":"Peyrot","given":"Wouter J","non-dropping-particle":"","parse-names":false,"suffix":""},{"dropping-particle":"","family":"Baune","given":"Berhnard T","non-dropping-particle":"","parse-names":false,"suffix":""},{"dropping-particle":"","family":"Breen","given":"Gerome","non-dropping-particle":"","parse-names":false,"suffix":""},{"dropping-particle":"","family":"Dehghan","given":"Abbas","non-dropping-particle":"","parse-names":false,"suffix":""},{"dropping-particle":"","family":"Forstner","given":"Andreas J","non-dropping-particle":"","parse-names":false,"suffix":""},{"dropping-particle":"","family":"Grabe","given":"Hans J","non-dropping-particle":"","parse-names":false,"suffix":""},{"dropping-particle":"","family":"Homuth","given":"Georg","non-dropping-particle":"","parse-names":false,"suffix":""},{"dropping-particle":"","family":"Kan","given":"Carol","non-dropping-particle":"","parse-names":false,"suffix":""},{"dropping-particle":"","family":"Lewis","given":"Cathryn","non-dropping-particle":"","parse-names":false,"suffix":""},{"dropping-particle":"","family":"Mullins","given":"Niamh","non-dropping-particle":"","parse-names":false,"suffix":""},{"dropping-particle":"","family":"Nauck","given":"Matthias","non-dropping-particle":"","parse-names":false,"suffix":""},{"dropping-particle":"","family":"Pistis","given":"Giorgio","non-dropping-particle":"","parse-names":false,"suffix":""},{"dropping-particle":"","family":"Preisig","given":"Martin","non-dropping-particle":"","parse-names":false,"suffix":""},{"dropping-particle":"","family":"Rivera","given":"Margarita","non-dropping-particle":"","parse-names":false,"suffix":""},{"dropping-particle":"","family":"Rietschel","given":"Marcella","non-dropping-particle":"","parse-names":false,"suffix":""},{"dropping-particle":"","family":"Streit","given":"Fabian","non-dropping-particle":"","parse-names":false,"suffix":""},{"dropping-particle":"","family":"Strohmaier","given":"Jana","non-dropping-particle":"","parse-names":false,"suffix":""},{"dropping-particle":"","family":"Teumer","given":"Alexander","non-dropping-particle":"","parse-names":false,"suffix":""},{"dropping-particle":"","family":"Auwera","given":"Sandra","non-dropping-particle":"Van der","parse-names":false,"suffix":""},{"dropping-particle":"","family":"Wray","given":"Naomi R","non-dropping-particle":"","parse-names":false,"suffix":""},{"dropping-particle":"","family":"CHARGE Inflammation Working Group","given":"","non-dropping-particle":"","parse-names":false,"suffix":""},{"dropping-particle":"","family":"Major Depressive Disorder Working Group of the Psychiatric Genomics","given":"","non-dropping-particle":"","parse-names":false,"suffix":""},{"dropping-particle":"","family":"Consortium","given":"","non-dropping-particle":"","parse-names":false,"suffix":""},{"dropping-particle":"","family":"Boomsma","given":"Dorret I","non-dropping-particle":"","parse-names":false,"suffix":""},{"dropping-particle":"","family":"Penninx","given":"Brenda WJH","non-dropping-particle":"","parse-names":false,"suffix":""}],"container-title":"JAMA psychiatry","id":"ITEM-1","issued":{"date-parts":[["2017"]]},"title":"Genetic Association of Major Depression With Atypical Features and Obesity-Related Immunometabolic Dysregulations","type":"article-journal"},"uris":["http://www.mendeley.com/documents/?uuid=5be208ed-2434-4d93-adea-8c0c2e6876e8"]}],"mendeley":{"formattedCitation":"&lt;sup&gt;11&lt;/sup&gt;","plainTextFormattedCitation":"11","previouslyFormattedCitation":"&lt;sup&gt;11&lt;/sup&gt;"},"properties":{"noteIndex":0},"schema":"https://github.com/citation-style-language/schema/raw/master/csl-citation.json"}</w:instrText>
      </w:r>
      <w:r>
        <w:fldChar w:fldCharType="separate"/>
      </w:r>
      <w:r w:rsidR="009A73FF" w:rsidRPr="009A73FF">
        <w:rPr>
          <w:noProof/>
          <w:vertAlign w:val="superscript"/>
        </w:rPr>
        <w:t>11</w:t>
      </w:r>
      <w:r>
        <w:fldChar w:fldCharType="end"/>
      </w:r>
    </w:p>
    <w:p w14:paraId="51FB96A1" w14:textId="77777777" w:rsidR="00AA4E53" w:rsidRDefault="00AA4E53" w:rsidP="00242BB5">
      <w:pPr>
        <w:pStyle w:val="NoSpacing2"/>
        <w:outlineLvl w:val="0"/>
        <w:rPr>
          <w:b/>
          <w:i/>
        </w:rPr>
      </w:pPr>
    </w:p>
    <w:p w14:paraId="67063648" w14:textId="3EA4170D" w:rsidR="00242BB5" w:rsidRDefault="00E47930" w:rsidP="00242BB5">
      <w:pPr>
        <w:pStyle w:val="NoSpacing2"/>
        <w:outlineLvl w:val="0"/>
        <w:rPr>
          <w:b/>
          <w:i/>
        </w:rPr>
      </w:pPr>
      <w:r>
        <w:rPr>
          <w:b/>
          <w:i/>
        </w:rPr>
        <w:t>s3</w:t>
      </w:r>
      <w:r w:rsidR="00242BB5" w:rsidRPr="00EF5D46">
        <w:rPr>
          <w:b/>
          <w:i/>
        </w:rPr>
        <w:t>.</w:t>
      </w:r>
      <w:r w:rsidR="004E305B">
        <w:rPr>
          <w:b/>
          <w:i/>
        </w:rPr>
        <w:t>2</w:t>
      </w:r>
      <w:r w:rsidR="00242BB5">
        <w:rPr>
          <w:b/>
          <w:i/>
        </w:rPr>
        <w:t xml:space="preserve"> </w:t>
      </w:r>
      <w:r w:rsidR="001B5289">
        <w:rPr>
          <w:b/>
          <w:i/>
        </w:rPr>
        <w:t>E</w:t>
      </w:r>
      <w:r w:rsidR="00242BB5">
        <w:rPr>
          <w:b/>
          <w:i/>
        </w:rPr>
        <w:t>stimation of variance explained by the PRS</w:t>
      </w:r>
    </w:p>
    <w:p w14:paraId="069FF0BA" w14:textId="05E53EC6" w:rsidR="001B5289" w:rsidRPr="009A5070" w:rsidRDefault="001B5289" w:rsidP="001B5289">
      <w:pPr>
        <w:spacing w:line="480" w:lineRule="auto"/>
        <w:outlineLvl w:val="0"/>
      </w:pPr>
      <w:r w:rsidRPr="008E6560">
        <w:t xml:space="preserve">Same-  and cross-trait associations of </w:t>
      </w:r>
      <w:r>
        <w:t xml:space="preserve">the different </w:t>
      </w:r>
      <w:r w:rsidRPr="008E6560">
        <w:t xml:space="preserve">PRS with 25-OH-D </w:t>
      </w:r>
      <w:r>
        <w:t xml:space="preserve">and n3-PUFA </w:t>
      </w:r>
      <w:r w:rsidRPr="008E6560">
        <w:t xml:space="preserve">concentrations and </w:t>
      </w:r>
      <w:r>
        <w:t xml:space="preserve">with </w:t>
      </w:r>
      <w:r w:rsidRPr="008E6560">
        <w:t xml:space="preserve">MDD </w:t>
      </w:r>
      <w:r>
        <w:t xml:space="preserve">diagnosis </w:t>
      </w:r>
      <w:r w:rsidRPr="008E6560">
        <w:t xml:space="preserve">were estimated using regression models (linear for 25-OH-D </w:t>
      </w:r>
      <w:r>
        <w:t xml:space="preserve">and </w:t>
      </w:r>
      <w:r w:rsidR="00701C94">
        <w:t>n</w:t>
      </w:r>
      <w:r>
        <w:t xml:space="preserve">3-PUFA </w:t>
      </w:r>
      <w:r w:rsidRPr="008E6560">
        <w:t>and binary logistic for MDD</w:t>
      </w:r>
      <w:r>
        <w:t xml:space="preserve">) </w:t>
      </w:r>
      <w:r w:rsidRPr="008E6560">
        <w:t>adjusted for sex and 10 ancestry-informative genetic principal components.</w:t>
      </w:r>
      <w:r>
        <w:t xml:space="preserve"> In analyses with 25-OH-D or n3-PUFA as </w:t>
      </w:r>
      <w:r>
        <w:lastRenderedPageBreak/>
        <w:t>outcomes, the proportion of variance explained by the PRS was estimated based in the difference in R</w:t>
      </w:r>
      <w:r w:rsidRPr="009A5070">
        <w:rPr>
          <w:vertAlign w:val="superscript"/>
        </w:rPr>
        <w:t>2</w:t>
      </w:r>
      <w:r>
        <w:rPr>
          <w:vertAlign w:val="superscript"/>
        </w:rPr>
        <w:t xml:space="preserve"> </w:t>
      </w:r>
      <w:r>
        <w:t xml:space="preserve">between a linear model including only covariates and a model additionally including the PRS. In analyses with MDD as outcome, </w:t>
      </w:r>
      <w:proofErr w:type="spellStart"/>
      <w:r>
        <w:t>Nagelkerke’s</w:t>
      </w:r>
      <w:proofErr w:type="spellEnd"/>
      <w:r>
        <w:t xml:space="preserve"> pseudo-R</w:t>
      </w:r>
      <w:r w:rsidRPr="009F77BD">
        <w:rPr>
          <w:vertAlign w:val="superscript"/>
        </w:rPr>
        <w:t>2</w:t>
      </w:r>
      <w:r>
        <w:t xml:space="preserve"> was derived and corrected for the covariates by substituting the null model in </w:t>
      </w:r>
      <w:proofErr w:type="spellStart"/>
      <w:r>
        <w:t>Nagelkerke’s</w:t>
      </w:r>
      <w:proofErr w:type="spellEnd"/>
      <w:r>
        <w:t xml:space="preserve"> equation for the model including the covariates. The corrected pseudo-R</w:t>
      </w:r>
      <w:r w:rsidRPr="009F77BD">
        <w:rPr>
          <w:vertAlign w:val="superscript"/>
        </w:rPr>
        <w:t>2</w:t>
      </w:r>
      <w:r>
        <w:t xml:space="preserve"> obtained was then re-scaled to the liability scale according to Lee et al.,</w:t>
      </w:r>
      <w:r>
        <w:fldChar w:fldCharType="begin" w:fldLock="1"/>
      </w:r>
      <w:r w:rsidR="009A73FF">
        <w:instrText>ADDIN CSL_CITATION {"citationItems":[{"id":"ITEM-1","itemData":{"DOI":"10.1002/gepi.21614","ISSN":"07410395","PMID":"22714935","abstract":"Genome-wide association studies have facilitated the construction of risk predictors for disease from multiple Single Nucleotide Polymorphism markers. The ability of such \"genetic profiles\" to predict outcome is usually quantified in an independent data set. Coefficients of determination (R(2) ) have been a useful measure to quantify the goodness-of-fit of the genetic profile. Various pseudo-R(2) measures for binary responses have been proposed. However, there is no standard or consensus measure because the concept of residual variance is not easily defined on the observed probability scale. Unlike other nongenetic predictors such as environmental exposure, there is prior information on genetic predictors because for most traits there are estimates of the proportion of variation in risk in the population due to all genetic factors, the heritability. It is this useful ability to benchmark that makes the choice of a measure of goodness-of-fit in genetic profiling different from that of nongenetic predictors. In this study, we use a liability threshold model to establish the relationship between the observed probability scale and underlying liability scale in measuring R(2) for binary responses. We show that currently used R(2) measures are difficult to interpret, biased by ascertainment, and not comparable to heritability. We suggest a novel and globally standard measure of R(2) that is interpretable on the liability scale. Furthermore, even when using ascertained case-control studies that are typical in human disease studies, we can obtain an R(2) measure on the liability scale that can be compared directly to heritability.","author":[{"dropping-particle":"","family":"Lee","given":"Sang Hong","non-dropping-particle":"","parse-names":false,"suffix":""},{"dropping-particle":"","family":"Goddard","given":"Michael E","non-dropping-particle":"","parse-names":false,"suffix":""},{"dropping-particle":"","family":"Wray","given":"Naomi R","non-dropping-particle":"","parse-names":false,"suffix":""},{"dropping-particle":"","family":"Visscher","given":"Peter M","non-dropping-particle":"","parse-names":false,"suffix":""}],"container-title":"Genetic Epidemiology","id":"ITEM-1","issue":"3","issued":{"date-parts":[["2012","4"]]},"page":"214-224","title":"A Better Coefficient of Determination for Genetic Profile Analysis","type":"article-journal","volume":"36"},"uris":["http://www.mendeley.com/documents/?uuid=2977b1ab-c4a8-3c78-9d5e-e3840e2dbf23"]}],"mendeley":{"formattedCitation":"&lt;sup&gt;12&lt;/sup&gt;","plainTextFormattedCitation":"12","previouslyFormattedCitation":"&lt;sup&gt;12&lt;/sup&gt;"},"properties":{"noteIndex":0},"schema":"https://github.com/citation-style-language/schema/raw/master/csl-citation.json"}</w:instrText>
      </w:r>
      <w:r>
        <w:fldChar w:fldCharType="separate"/>
      </w:r>
      <w:r w:rsidR="008A22FF" w:rsidRPr="008A22FF">
        <w:rPr>
          <w:noProof/>
          <w:vertAlign w:val="superscript"/>
        </w:rPr>
        <w:t>12</w:t>
      </w:r>
      <w:r>
        <w:fldChar w:fldCharType="end"/>
      </w:r>
      <w:r>
        <w:t xml:space="preserve"> obtaining a value </w:t>
      </w:r>
      <w:r w:rsidRPr="008B6D81">
        <w:t>directly comparable with heritability and robust against ascertainment bias.</w:t>
      </w:r>
      <w:r>
        <w:t xml:space="preserve"> </w:t>
      </w:r>
      <w:r w:rsidRPr="008B6D81">
        <w:t xml:space="preserve">Linear transformation on the liability scale was based on </w:t>
      </w:r>
      <w:r>
        <w:t>lifetime risk (K) for MDD of 0.15.</w:t>
      </w:r>
    </w:p>
    <w:p w14:paraId="6AAB2BB5" w14:textId="13FE030C" w:rsidR="002509C9" w:rsidRDefault="002509C9" w:rsidP="00927936">
      <w:pPr>
        <w:pStyle w:val="NoSpacing2"/>
        <w:rPr>
          <w:b/>
          <w:i/>
        </w:rPr>
      </w:pPr>
    </w:p>
    <w:p w14:paraId="12C79A6F" w14:textId="0E7C5B36" w:rsidR="00736FA0" w:rsidRDefault="00736FA0" w:rsidP="00927936">
      <w:pPr>
        <w:pStyle w:val="NoSpacing2"/>
        <w:rPr>
          <w:b/>
          <w:i/>
        </w:rPr>
      </w:pPr>
    </w:p>
    <w:p w14:paraId="53C3D3A6" w14:textId="1A9B6784" w:rsidR="00736FA0" w:rsidRDefault="00736FA0" w:rsidP="00927936">
      <w:pPr>
        <w:pStyle w:val="NoSpacing2"/>
        <w:rPr>
          <w:b/>
          <w:i/>
        </w:rPr>
      </w:pPr>
    </w:p>
    <w:p w14:paraId="56DEEF1F" w14:textId="41884CA2" w:rsidR="00736FA0" w:rsidRDefault="00736FA0" w:rsidP="00927936">
      <w:pPr>
        <w:pStyle w:val="NoSpacing2"/>
        <w:rPr>
          <w:b/>
          <w:i/>
        </w:rPr>
      </w:pPr>
    </w:p>
    <w:p w14:paraId="24F0AA8F" w14:textId="3FCC0345" w:rsidR="00736FA0" w:rsidRDefault="00736FA0" w:rsidP="00927936">
      <w:pPr>
        <w:pStyle w:val="NoSpacing2"/>
        <w:rPr>
          <w:b/>
          <w:i/>
        </w:rPr>
      </w:pPr>
    </w:p>
    <w:p w14:paraId="10A6474F" w14:textId="560A61FD" w:rsidR="00736FA0" w:rsidRDefault="00736FA0" w:rsidP="00927936">
      <w:pPr>
        <w:pStyle w:val="NoSpacing2"/>
        <w:rPr>
          <w:b/>
          <w:i/>
        </w:rPr>
      </w:pPr>
    </w:p>
    <w:p w14:paraId="675DFAE7" w14:textId="1B6F6183" w:rsidR="00736FA0" w:rsidRDefault="00736FA0" w:rsidP="00927936">
      <w:pPr>
        <w:pStyle w:val="NoSpacing2"/>
        <w:rPr>
          <w:b/>
          <w:i/>
        </w:rPr>
      </w:pPr>
    </w:p>
    <w:p w14:paraId="1AFCA028" w14:textId="6898CF88" w:rsidR="00736FA0" w:rsidRDefault="00736FA0" w:rsidP="00927936">
      <w:pPr>
        <w:pStyle w:val="NoSpacing2"/>
        <w:rPr>
          <w:b/>
          <w:i/>
        </w:rPr>
      </w:pPr>
    </w:p>
    <w:p w14:paraId="495E8CAA" w14:textId="4B47440D" w:rsidR="00736FA0" w:rsidRDefault="00736FA0" w:rsidP="00927936">
      <w:pPr>
        <w:pStyle w:val="NoSpacing2"/>
        <w:rPr>
          <w:b/>
          <w:i/>
        </w:rPr>
      </w:pPr>
    </w:p>
    <w:p w14:paraId="080A8EF4" w14:textId="181ACD28" w:rsidR="00736FA0" w:rsidRDefault="00736FA0" w:rsidP="00927936">
      <w:pPr>
        <w:pStyle w:val="NoSpacing2"/>
        <w:rPr>
          <w:b/>
          <w:i/>
        </w:rPr>
      </w:pPr>
    </w:p>
    <w:p w14:paraId="573D38F1" w14:textId="62BE6558" w:rsidR="00736FA0" w:rsidRDefault="00736FA0" w:rsidP="00927936">
      <w:pPr>
        <w:pStyle w:val="NoSpacing2"/>
        <w:rPr>
          <w:b/>
          <w:i/>
        </w:rPr>
      </w:pPr>
    </w:p>
    <w:p w14:paraId="3D42BB1C" w14:textId="4410E85B" w:rsidR="00736FA0" w:rsidRDefault="00736FA0" w:rsidP="00927936">
      <w:pPr>
        <w:pStyle w:val="NoSpacing2"/>
        <w:rPr>
          <w:b/>
          <w:i/>
        </w:rPr>
      </w:pPr>
    </w:p>
    <w:p w14:paraId="57AEB3F6" w14:textId="643ADA74" w:rsidR="00736FA0" w:rsidRDefault="00736FA0" w:rsidP="00927936">
      <w:pPr>
        <w:pStyle w:val="NoSpacing2"/>
        <w:rPr>
          <w:b/>
          <w:i/>
        </w:rPr>
      </w:pPr>
    </w:p>
    <w:p w14:paraId="40DB782C" w14:textId="3E9DF644" w:rsidR="00736FA0" w:rsidRDefault="00736FA0" w:rsidP="00927936">
      <w:pPr>
        <w:pStyle w:val="NoSpacing2"/>
        <w:rPr>
          <w:b/>
          <w:i/>
        </w:rPr>
      </w:pPr>
    </w:p>
    <w:p w14:paraId="4CFD7714" w14:textId="32CE1514" w:rsidR="00736FA0" w:rsidRDefault="00736FA0" w:rsidP="00927936">
      <w:pPr>
        <w:pStyle w:val="NoSpacing2"/>
        <w:rPr>
          <w:b/>
          <w:i/>
        </w:rPr>
      </w:pPr>
    </w:p>
    <w:p w14:paraId="270B7FCD" w14:textId="77777777" w:rsidR="00736FA0" w:rsidRDefault="00736FA0" w:rsidP="00927936">
      <w:pPr>
        <w:pStyle w:val="NoSpacing2"/>
        <w:rPr>
          <w:b/>
          <w:i/>
        </w:rPr>
      </w:pPr>
    </w:p>
    <w:p w14:paraId="38D6D33F" w14:textId="77777777" w:rsidR="00BC0CFC" w:rsidRDefault="00BC0CFC" w:rsidP="00A85875">
      <w:pPr>
        <w:pStyle w:val="NoSpacing2"/>
        <w:rPr>
          <w:b/>
          <w:i/>
        </w:rPr>
      </w:pPr>
    </w:p>
    <w:p w14:paraId="68A926DB" w14:textId="2D7BBFC4" w:rsidR="007A3630" w:rsidRPr="000B03EB" w:rsidRDefault="00BC0CFC" w:rsidP="007A3630">
      <w:pPr>
        <w:spacing w:line="480" w:lineRule="auto"/>
        <w:outlineLvl w:val="0"/>
        <w:rPr>
          <w:b/>
          <w:i/>
        </w:rPr>
      </w:pPr>
      <w:r>
        <w:rPr>
          <w:b/>
          <w:i/>
        </w:rPr>
        <w:lastRenderedPageBreak/>
        <w:t>s4</w:t>
      </w:r>
      <w:r w:rsidR="007A3630">
        <w:rPr>
          <w:b/>
          <w:i/>
        </w:rPr>
        <w:t xml:space="preserve">. </w:t>
      </w:r>
      <w:r w:rsidR="007A3630" w:rsidRPr="003D0786">
        <w:rPr>
          <w:b/>
          <w:i/>
        </w:rPr>
        <w:t>M</w:t>
      </w:r>
      <w:r w:rsidR="007A3630">
        <w:rPr>
          <w:b/>
          <w:i/>
        </w:rPr>
        <w:t>endelian randomization</w:t>
      </w:r>
    </w:p>
    <w:p w14:paraId="2BB0C43A" w14:textId="4FA2B3B4" w:rsidR="007A3630" w:rsidRPr="007A3630" w:rsidRDefault="007A3630" w:rsidP="007A3630">
      <w:pPr>
        <w:spacing w:line="480" w:lineRule="auto"/>
        <w:outlineLvl w:val="0"/>
        <w:rPr>
          <w:b/>
          <w:i/>
        </w:rPr>
      </w:pPr>
      <w:r w:rsidRPr="007A3630">
        <w:rPr>
          <w:b/>
          <w:i/>
        </w:rPr>
        <w:t>s</w:t>
      </w:r>
      <w:r w:rsidR="00BC0CFC">
        <w:rPr>
          <w:b/>
          <w:i/>
        </w:rPr>
        <w:t>4</w:t>
      </w:r>
      <w:r w:rsidRPr="007A3630">
        <w:rPr>
          <w:b/>
          <w:i/>
        </w:rPr>
        <w:t>.1 Selection of independent SNPs</w:t>
      </w:r>
      <w:r>
        <w:rPr>
          <w:b/>
          <w:i/>
        </w:rPr>
        <w:t xml:space="preserve"> as instruments for MR</w:t>
      </w:r>
    </w:p>
    <w:p w14:paraId="72DE6518" w14:textId="76B38CBD" w:rsidR="007A3630" w:rsidRDefault="007A3630" w:rsidP="00A85875">
      <w:pPr>
        <w:pStyle w:val="NoSpacing2"/>
        <w:rPr>
          <w:b/>
          <w:i/>
        </w:rPr>
      </w:pPr>
      <w:r w:rsidRPr="00A01701">
        <w:t>Two-sample Mendelian randomization (2SMR) analyses</w:t>
      </w:r>
      <w:r w:rsidRPr="00A01701">
        <w:fldChar w:fldCharType="begin" w:fldLock="1"/>
      </w:r>
      <w:r w:rsidR="009A73FF">
        <w:instrText>ADDIN CSL_CITATION {"citationItems":[{"id":"ITEM-1","itemData":{"DOI":"10.7554/eLife.34408","ISSN":"2050-084X","abstract":"&lt;p&gt;Results from genome-wide association studies (GWAS) can be used to infer causal relationships between phenotypes, using a strategy known as 2-sample Mendelian randomization (2SMR) and bypassing the need for individual-level data. However, 2SMR methods are evolving rapidly and GWAS results are often insufficiently curated, undermining efficient implementation of the approach. We therefore developed MR-Base (http://www.mrbase.org): a platform that integrates a curated database of complete GWAS results (no restrictions according to statistical significance) with an application programming interface, web app and R packages that automate 2SMR. The software includes several sensitivity analyses for assessing the impact of horizontal pleiotropy and other violations of assumptions. The database currently comprises 11 billion single nucleotide polymorphism-trait associations from 1673 GWAS and is updated on a regular basis. Integrating data with software ensures more rigorous application of hypothesis-driven analyses and allows millions of potential causal relationships to be efficiently evaluated in phenome-wide association studies.&lt;/p&gt;","author":[{"dropping-particle":"","family":"Hemani","given":"Gibran","non-dropping-particle":"","parse-names":false,"suffix":""},{"dropping-particle":"","family":"Zheng","given":"Jie","non-dropping-particle":"","parse-names":false,"suffix":""},{"dropping-particle":"","family":"Elsworth","given":"Benjamin","non-dropping-particle":"","parse-names":false,"suffix":""},{"dropping-particle":"","family":"Wade","given":"Kaitlin H","non-dropping-particle":"","parse-names":false,"suffix":""},{"dropping-particle":"","family":"Haberland","given":"Valeriia","non-dropping-particle":"","parse-names":false,"suffix":""},{"dropping-particle":"","family":"Baird","given":"Denis","non-dropping-particle":"","parse-names":false,"suffix":""},{"dropping-particle":"","family":"Laurin","given":"Charles","non-dropping-particle":"","parse-names":false,"suffix":""},{"dropping-particle":"","family":"Burgess","given":"Stephen","non-dropping-particle":"","parse-names":false,"suffix":""},{"dropping-particle":"","family":"Bowden","given":"Jack","non-dropping-particle":"","parse-names":false,"suffix":""},{"dropping-particle":"","family":"Langdon","given":"Ryan","non-dropping-particle":"","parse-names":false,"suffix":""},{"dropping-particle":"","family":"Tan","given":"Vanessa Y","non-dropping-particle":"","parse-names":false,"suffix":""},{"dropping-particle":"","family":"Yarmolinsky","given":"James","non-dropping-particle":"","parse-names":false,"suffix":""},{"dropping-particle":"","family":"Shihab","given":"Hashem A","non-dropping-particle":"","parse-names":false,"suffix":""},{"dropping-particle":"","family":"Timpson","given":"Nicholas J","non-dropping-particle":"","parse-names":false,"suffix":""},{"dropping-particle":"","family":"Evans","given":"David M","non-dropping-particle":"","parse-names":false,"suffix":""},{"dropping-particle":"","family":"Relton","given":"Caroline","non-dropping-particle":"","parse-names":false,"suffix":""},{"dropping-particle":"","family":"Martin","given":"Richard M","non-dropping-particle":"","parse-names":false,"suffix":""},{"dropping-particle":"","family":"Davey Smith","given":"George","non-dropping-particle":"","parse-names":false,"suffix":""},{"dropping-particle":"","family":"Gaunt","given":"Tom R","non-dropping-particle":"","parse-names":false,"suffix":""},{"dropping-particle":"","family":"Haycock","given":"Philip C","non-dropping-particle":"","parse-names":false,"suffix":""}],"container-title":"eLife","id":"ITEM-1","issued":{"date-parts":[["2018"]]},"page":"e34408","title":"The MR-Base platform supports systematic causal inference across the human phenome","type":"article-journal","volume":"7"},"uris":["http://www.mendeley.com/documents/?uuid=61ede037-fa80-4b63-9279-45d3ab737de1"]}],"mendeley":{"formattedCitation":"&lt;sup&gt;13&lt;/sup&gt;","plainTextFormattedCitation":"13","previouslyFormattedCitation":"&lt;sup&gt;13&lt;/sup&gt;"},"properties":{"noteIndex":0},"schema":"https://github.com/citation-style-language/schema/raw/master/csl-citation.json"}</w:instrText>
      </w:r>
      <w:r w:rsidRPr="00A01701">
        <w:fldChar w:fldCharType="separate"/>
      </w:r>
      <w:r w:rsidR="008A22FF" w:rsidRPr="008A22FF">
        <w:rPr>
          <w:noProof/>
          <w:vertAlign w:val="superscript"/>
        </w:rPr>
        <w:t>13</w:t>
      </w:r>
      <w:r w:rsidRPr="00A01701">
        <w:fldChar w:fldCharType="end"/>
      </w:r>
      <w:r w:rsidRPr="00A01701">
        <w:t xml:space="preserve"> based on GWAS summary statistics were performed to test the potential causal role of 25-OH-D and </w:t>
      </w:r>
      <w:r>
        <w:t>n3-PUFA</w:t>
      </w:r>
      <w:r w:rsidRPr="00A01701">
        <w:t xml:space="preserve"> on MDD risk and, inversely, of MDD on 25-OH-D and </w:t>
      </w:r>
      <w:r>
        <w:t>n3-PUFA</w:t>
      </w:r>
      <w:r w:rsidRPr="00A01701">
        <w:t xml:space="preserve"> levels.</w:t>
      </w:r>
      <w:r>
        <w:t xml:space="preserve"> </w:t>
      </w:r>
      <w:r w:rsidR="00E9114F">
        <w:t xml:space="preserve">For each trait used as exposure, genome-wide significant independent SNPs were selected as instruments. </w:t>
      </w:r>
    </w:p>
    <w:p w14:paraId="2282B9A8" w14:textId="77CF3FA1" w:rsidR="007A3630" w:rsidRDefault="00EE3E04" w:rsidP="00A85875">
      <w:pPr>
        <w:pStyle w:val="NoSpacing2"/>
        <w:rPr>
          <w:kern w:val="24"/>
        </w:rPr>
      </w:pPr>
      <w:r w:rsidRPr="00CB0685">
        <w:t>For analyses focusing</w:t>
      </w:r>
      <w:r>
        <w:t xml:space="preserve"> on 25-OH-D as exposure, the </w:t>
      </w:r>
      <w:r>
        <w:rPr>
          <w:kern w:val="24"/>
        </w:rPr>
        <w:t>6</w:t>
      </w:r>
      <w:r w:rsidRPr="00CB0685">
        <w:rPr>
          <w:kern w:val="24"/>
        </w:rPr>
        <w:t xml:space="preserve"> independent genome-wide significant SNPs </w:t>
      </w:r>
      <w:r>
        <w:rPr>
          <w:kern w:val="24"/>
        </w:rPr>
        <w:t>reported in the discovery GWAS</w:t>
      </w:r>
      <w:r>
        <w:rPr>
          <w:kern w:val="24"/>
        </w:rPr>
        <w:fldChar w:fldCharType="begin" w:fldLock="1"/>
      </w:r>
      <w:r w:rsidR="009A73FF">
        <w:rPr>
          <w:kern w:val="24"/>
        </w:rPr>
        <w:instrText>ADDIN CSL_CITATION {"citationItems":[{"id":"ITEM-1","itemData":{"DOI":"10.1038/s41467-017-02662-2","ISBN":"4146701702662","ISSN":"2041-1723","PMID":"29343764","author":[{"dropping-particle":"","family":"Jiang","given":"Xia","non-dropping-particle":"","parse-names":false,"suffix":""},{"dropping-particle":"","family":"O’Reilly","given":"Paul F.","non-dropping-particle":"","parse-names":false,"suffix":""},{"dropping-particle":"","family":"Aschard","given":"Hugues","non-dropping-particle":"","parse-names":false,"suffix":""},{"dropping-particle":"","family":"Hsu","given":"Yi-Hsiang","non-dropping-particle":"","parse-names":false,"suffix":""},{"dropping-particle":"","family":"Richards","given":"J. Brent","non-dropping-particle":"","parse-names":false,"suffix":""},{"dropping-particle":"","family":"Dupuis","given":"Josée","non-dropping-particle":"","parse-names":false,"suffix":""},{"dropping-particle":"","family":"Ingelsson","given":"Erik","non-dropping-particle":"","parse-names":false,"suffix":""},{"dropping-particle":"","family":"Karasik","given":"David","non-dropping-particle":"","parse-names":false,"suffix":""},{"dropping-particle":"","family":"Pilz","given":"Stefan","non-dropping-particle":"","parse-names":false,"suffix":""},{"dropping-particle":"","family":"Berry","given":"Diane","non-dropping-particle":"","parse-names":false,"suffix":""},{"dropping-particle":"","family":"Kestenbaum","given":"Bryan","non-dropping-particle":"","parse-names":false,"suffix":""},{"dropping-particle":"","family":"Zheng","given":"Jusheng","non-dropping-particle":"","parse-names":false,"suffix":""},{"dropping-particle":"","family":"Luan","given":"Jianan","non-dropping-particle":"","parse-names":false,"suffix":""},{"dropping-particle":"","family":"Sofianopoulou","given":"Eleni","non-dropping-particle":"","parse-names":false,"suffix":""},{"dropping-particle":"","family":"Streeten","given":"Elizabeth A.","non-dropping-particle":"","parse-names":false,"suffix":""},{"dropping-particle":"","family":"Albanes","given":"Demetrius","non-dropping-particle":"","parse-names":false,"suffix":""},{"dropping-particle":"","family":"Lutsey","given":"Pamela L.","non-dropping-particle":"","parse-names":false,"suffix":""},{"dropping-particle":"","family":"Yao","given":"Lu","non-dropping-particle":"","parse-names":false,"suffix":""},{"dropping-particle":"","family":"Tang","given":"Weihong","non-dropping-particle":"","parse-names":false,"suffix":""},{"dropping-particle":"","family":"Econs","given":"Michael J.","non-dropping-particle":"","parse-names":false,"suffix":""},{"dropping-particle":"","family":"Wallaschofski","given":"Henri","non-dropping-particle":"","parse-names":false,"suffix":""},{"dropping-particle":"","family":"Völzke","given":"Henry","non-dropping-particle":"","parse-names":false,"suffix":""},{"dropping-particle":"","family":"Zhou","given":"Ang","non-dropping-particle":"","parse-names":false,"suffix":""},{"dropping-particle":"","family":"Power","given":"Chris","non-dropping-particle":"","parse-names":false,"suffix":""},{"dropping-particle":"","family":"McCarthy","given":"Mark I.","non-dropping-particle":"","parse-names":false,"suffix":""},{"dropping-particle":"","family":"Michos","given":"Erin D.","non-dropping-particle":"","parse-names":false,"suffix":""},{"dropping-particle":"","family":"Boerwinkle","given":"Eric","non-dropping-particle":"","parse-names":false,"suffix":""},{"dropping-particle":"","family":"Weinstein","given":"Stephanie J.","non-dropping-particle":"","parse-names":false,"suffix":""},{"dropping-particle":"","family":"Freedman","given":"Neal D.","non-dropping-particle":"","parse-names":false,"suffix":""},{"dropping-particle":"","family":"Huang","given":"Wen-Yi","non-dropping-particle":"","parse-names":false,"suffix":""},{"dropping-particle":"","family":"Schoor","given":"Natasja M.","non-dropping-particle":"Van","parse-names":false,"suffix":""},{"dropping-particle":"","family":"Velde","given":"Nathalie","non-dropping-particle":"van der","parse-names":false,"suffix":""},{"dropping-particle":"de","family":"Groot","given":"Lisette C. P. G. M.","non-dropping-particle":"","parse-names":false,"suffix":""},{"dropping-particle":"","family":"Enneman","given":"Anke","non-dropping-particle":"","parse-names":false,"suffix":""},{"dropping-particle":"","family":"Cupples","given":"L. Adrienne","non-dropping-particle":"","parse-names":false,"suffix":""},{"dropping-particle":"","family":"Booth","given":"Sarah L.","non-dropping-particle":"","parse-names":false,"suffix":""},{"dropping-particle":"","family":"Vasan","given":"Ramachandran S.","non-dropping-particle":"","parse-names":false,"suffix":""},{"dropping-particle":"","family":"Liu","given":"Ching-Ti","non-dropping-particle":"","parse-names":false,"suffix":""},{"dropping-particle":"","family":"Zhou","given":"Yanhua","non-dropping-particle":"","parse-names":false,"suffix":""},{"dropping-particle":"","family":"Ripatti","given":"Samuli","non-dropping-particle":"","parse-names":false,"suffix":""},{"dropping-particle":"","family":"Ohlsson","given":"Claes","non-dropping-particle":"","parse-names":false,"suffix":""},{"dropping-particle":"","family":"Vandenput","given":"Liesbeth","non-dropping-particle":"","parse-names":false,"suffix":""},{"dropping-particle":"","family":"Lorentzon","given":"Mattias","non-dropping-particle":"","parse-names":false,"suffix":""},{"dropping-particle":"","family":"Eriksson","given":"Johan G.","non-dropping-particle":"","parse-names":false,"suffix":""},{"dropping-particle":"","family":"Shea","given":"M. Kyla","non-dropping-particle":"","parse-names":false,"suffix":""},{"dropping-particle":"","family":"Houston","given":"Denise K.","non-dropping-particle":"","parse-names":false,"suffix":""},{"dropping-particle":"","family":"Kritchevsky","given":"Stephen B.","non-dropping-particle":"","parse-names":false,"suffix":""},{"dropping-particle":"","family":"Liu","given":"Yongmei","non-dropping-particle":"","parse-names":false,"suffix":""},{"dropping-particle":"","family":"Lohman","given":"Kurt K.","non-dropping-particle":"","parse-names":false,"suffix":""},{"dropping-particle":"","family":"Ferrucci","given":"Luigi","non-dropping-particle":"","parse-names":false,"suffix":""},{"dropping-particle":"","family":"Peacock","given":"Munro","non-dropping-particle":"","parse-names":false,"suffix":""},{"dropping-particle":"","family":"Gieger","given":"Christian","non-dropping-particle":"","parse-names":false,"suffix":""},{"dropping-particle":"","family":"Beekman","given":"Marian","non-dropping-particle":"","parse-names":false,"suffix":""},{"dropping-particle":"","family":"Slagboom","given":"Eline","non-dropping-particle":"","parse-names":false,"suffix":""},{"dropping-particle":"","family":"Deelen","given":"Joris","non-dropping-particle":"","parse-names":false,"suffix":""},{"dropping-particle":"van","family":"Heemst","given":"Diana","non-dropping-particle":"","parse-names":false,"suffix":""},{"dropping-particle":"","family":"Kleber","given":"Marcus E.","non-dropping-particle":"","parse-names":false,"suffix":""},{"dropping-particle":"","family":"März","given":"Winfried","non-dropping-particle":"","parse-names":false,"suffix":""},{"dropping-particle":"","family":"Boer","given":"Ian H.","non-dropping-particle":"de","parse-names":false,"suffix":""},{"dropping-particle":"","family":"Wood","given":"Alexis C.","non-dropping-particle":"","parse-names":false,"suffix":""},{"dropping-particle":"","family":"Rotter","given":"Jerome I.","non-dropping-particle":"","parse-names":false,"suffix":""},{"dropping-particle":"","family":"Rich","given":"Stephen S.","non-dropping-particle":"","parse-names":false,"suffix":""},{"dropping-particle":"","family":"Robinson-Cohen","given":"Cassianne","non-dropping-particle":"","parse-names":false,"suffix":""},{"dropping-particle":"","family":"Heijer","given":"Martin","non-dropping-particle":"den","parse-names":false,"suffix":""},{"dropping-particle":"","family":"Jarvelin","given":"Marjo-Riitta","non-dropping-particle":"","parse-names":false,"suffix":""},{"dropping-particle":"","family":"Cavadino","given":"Alana","non-dropping-particle":"","parse-names":false,"suffix":""},{"dropping-particle":"","family":"Joshi","given":"Peter K.","non-dropping-particle":"","parse-names":false,"suffix":""},{"dropping-particle":"","family":"Wilson","given":"James F.","non-dropping-particle":"","parse-names":false,"suffix":""},{"dropping-particle":"","family":"Hayward","given":"Caroline","non-dropping-particle":"","parse-names":false,"suffix":""},{"dropping-particle":"","family":"Lind","given":"Lars","non-dropping-particle":"","parse-names":false,"suffix":""},{"dropping-particle":"","family":"Michaëlsson","given":"Karl","non-dropping-particle":"","parse-names":false,"suffix":""},{"dropping-particle":"","family":"Trompet","given":"Stella","non-dropping-particle":"","parse-names":false,"suffix":""},{"dropping-particle":"","family":"Zillikens","given":"M. Carola","non-dropping-particle":"","parse-names":false,"suffix":""},{"dropping-particle":"","family":"Uitterlinden","given":"Andre G.","non-dropping-particle":"","parse-names":false,"suffix":""},{"dropping-particle":"","family":"Rivadeneira","given":"Fernando","non-dropping-particle":"","parse-names":false,"suffix":""},{"dropping-particle":"","family":"Broer","given":"Linda","non-dropping-particle":"","parse-names":false,"suffix":""},{"dropping-particle":"","family":"Zgaga","given":"Lina","non-dropping-particle":"","parse-names":false,"suffix":""},{"dropping-particle":"","family":"Campbell","given":"Harry","non-dropping-particle":"","parse-names":false,"suffix":""},{"dropping-particle":"","family":"Theodoratou","given":"Evropi","non-dropping-particle":"","parse-names":false,"suffix":""},{"dropping-particle":"","family":"Farrington","given":"Susan M.","non-dropping-particle":"","parse-names":false,"suffix":""},{"dropping-particle":"","family":"Timofeeva","given":"Maria","non-dropping-particle":"","parse-names":false,"suffix":""},{"dropping-particle":"","family":"Dunlop","given":"Malcolm G.","non-dropping-particle":"","parse-names":false,"suffix":""},{"dropping-particle":"","family":"Valdes","given":"Ana M.","non-dropping-particle":"","parse-names":false,"suffix":""},{"dropping-particle":"","family":"Tikkanen","given":"Emmi","non-dropping-particle":"","parse-names":false,"suffix":""},{"dropping-particle":"","family":"Lehtimäki","given":"Terho","non-dropping-particle":"","parse-names":false,"suffix":""},{"dropping-particle":"","family":"Lyytikäinen","given":"Leo-Pekka","non-dropping-particle":"","parse-names":false,"suffix":""},{"dropping-particle":"","family":"Kähönen","given":"Mika","non-dropping-particle":"","parse-names":false,"suffix":""},{"dropping-particle":"","family":"Raitakari","given":"Olli T.","non-dropping-particle":"","parse-names":false,"suffix":""},{"dropping-particle":"","family":"Mikkilä","given":"Vera","non-dropping-particle":"","parse-names":false,"suffix":""},{"dropping-particle":"","family":"Ikram","given":"M. Arfan","non-dropping-particle":"","parse-names":false,"suffix":""},{"dropping-particle":"","family":"Sattar","given":"Naveed","non-dropping-particle":"","parse-names":false,"suffix":""},{"dropping-particle":"","family":"Jukema","given":"J. Wouter","non-dropping-particle":"","parse-names":false,"suffix":""},{"dropping-particle":"","family":"Wareham","given":"Nicholas J.","non-dropping-particle":"","parse-names":false,"suffix":""},{"dropping-particle":"","family":"Langenberg","given":"Claudia","non-dropping-particle":"","parse-names":false,"suffix":""},{"dropping-particle":"","family":"Forouhi","given":"Nita G.","non-dropping-particle":"","parse-names":false,"suffix":""},{"dropping-particle":"","family":"Gundersen","given":"Thomas E.","non-dropping-particle":"","parse-names":false,"suffix":""},{"dropping-particle":"","family":"Khaw","given":"Kay-Tee","non-dropping-particle":"","parse-names":false,"suffix":""},{"dropping-particle":"","family":"Butterworth","given":"Adam S.","non-dropping-particle":"","parse-names":false,"suffix":""},{"dropping-particle":"","family":"Danesh","given":"John","non-dropping-particle":"","parse-names":false,"suffix":""},{"dropping-particle":"","family":"Spector","given":"Timothy","non-dropping-particle":"","parse-names":false,"suffix":""},{"dropping-particle":"","family":"Wang","given":"Thomas J.","non-dropping-particle":"","parse-names":false,"suffix":""},{"dropping-particle":"","family":"Hyppönen","given":"Elina","non-dropping-particle":"","parse-names":false,"suffix":""},{"dropping-particle":"","family":"Kraft","given":"Peter","non-dropping-particle":"","parse-names":false,"suffix":""},{"dropping-particle":"","family":"Kiel","given":"Douglas P.","non-dropping-particle":"","parse-names":false,"suffix":""}],"container-title":"Nature Communications","id":"ITEM-1","issue":"1","issued":{"date-parts":[["2018"]]},"page":"260","title":"Genome-wide association study in 79,366 European-ancestry individuals informs the genetic architecture of 25-hydroxyvitamin D levels","type":"article-journal","volume":"9"},"uris":["http://www.mendeley.com/documents/?uuid=fe9da13a-8337-4666-9595-635f5bdebf0a"]}],"mendeley":{"formattedCitation":"&lt;sup&gt;8&lt;/sup&gt;","plainTextFormattedCitation":"8","previouslyFormattedCitation":"&lt;sup&gt;8&lt;/sup&gt;"},"properties":{"noteIndex":0},"schema":"https://github.com/citation-style-language/schema/raw/master/csl-citation.json"}</w:instrText>
      </w:r>
      <w:r>
        <w:rPr>
          <w:kern w:val="24"/>
        </w:rPr>
        <w:fldChar w:fldCharType="separate"/>
      </w:r>
      <w:r w:rsidR="009A73FF" w:rsidRPr="009A73FF">
        <w:rPr>
          <w:noProof/>
          <w:kern w:val="24"/>
          <w:vertAlign w:val="superscript"/>
        </w:rPr>
        <w:t>8</w:t>
      </w:r>
      <w:r>
        <w:rPr>
          <w:kern w:val="24"/>
        </w:rPr>
        <w:fldChar w:fldCharType="end"/>
      </w:r>
      <w:r>
        <w:rPr>
          <w:kern w:val="24"/>
        </w:rPr>
        <w:t xml:space="preserve"> were</w:t>
      </w:r>
      <w:r w:rsidRPr="00CB0685">
        <w:rPr>
          <w:kern w:val="24"/>
        </w:rPr>
        <w:t xml:space="preserve"> used.</w:t>
      </w:r>
      <w:r>
        <w:rPr>
          <w:kern w:val="24"/>
        </w:rPr>
        <w:t xml:space="preserve"> For </w:t>
      </w:r>
      <w:r w:rsidRPr="00CB0685">
        <w:t>analyses focusing</w:t>
      </w:r>
      <w:r>
        <w:t xml:space="preserve"> on n3-PUFA</w:t>
      </w:r>
      <w:r w:rsidR="00701C94">
        <w:t xml:space="preserve"> as exposure,</w:t>
      </w:r>
      <w:r>
        <w:t xml:space="preserve"> the 7 </w:t>
      </w:r>
      <w:r w:rsidRPr="00CB0685">
        <w:rPr>
          <w:kern w:val="24"/>
        </w:rPr>
        <w:t>independent genome-wide significant SNPs</w:t>
      </w:r>
      <w:r>
        <w:rPr>
          <w:kern w:val="24"/>
        </w:rPr>
        <w:t xml:space="preserve"> (</w:t>
      </w:r>
      <w:r w:rsidR="00A110E3">
        <w:rPr>
          <w:kern w:val="24"/>
        </w:rPr>
        <w:t>see</w:t>
      </w:r>
      <w:r>
        <w:rPr>
          <w:kern w:val="24"/>
        </w:rPr>
        <w:t xml:space="preserve"> s</w:t>
      </w:r>
      <w:r w:rsidR="00A110E3">
        <w:rPr>
          <w:kern w:val="24"/>
        </w:rPr>
        <w:t>2 section</w:t>
      </w:r>
      <w:r>
        <w:rPr>
          <w:kern w:val="24"/>
        </w:rPr>
        <w:t xml:space="preserve">) were selected. However, since </w:t>
      </w:r>
      <w:r w:rsidRPr="00EE3E04">
        <w:rPr>
          <w:kern w:val="24"/>
        </w:rPr>
        <w:t>rs145717049</w:t>
      </w:r>
      <w:r>
        <w:rPr>
          <w:kern w:val="24"/>
        </w:rPr>
        <w:t xml:space="preserve"> was not present in summary statistics of MDD GWAS</w:t>
      </w:r>
      <w:r>
        <w:rPr>
          <w:kern w:val="24"/>
        </w:rPr>
        <w:fldChar w:fldCharType="begin" w:fldLock="1"/>
      </w:r>
      <w:r w:rsidR="009A73FF">
        <w:rPr>
          <w:kern w:val="24"/>
        </w:rPr>
        <w:instrText>ADDIN CSL_CITATION {"citationItems":[{"id":"ITEM-1","itemData":{"DOI":"https://doi.org/10.1101/167577","author":[{"dropping-particle":"","family":"Major Depressive Disorder Working Group of the Psychiatric Genomics Consortium","given":"","non-dropping-particle":"","parse-names":false,"suffix":""}],"container-title":"Nature genetics","id":"ITEM-1","issued":{"date-parts":[["2018"]]},"title":"Genome-wide association analyses identify 44 risk variants and refine the genetic architecture of major depressive disorder","type":"article-journal"},"uris":["http://www.mendeley.com/documents/?uuid=ad44a387-0636-4806-ba48-0d67b9e928bc"]}],"mendeley":{"formattedCitation":"&lt;sup&gt;9&lt;/sup&gt;","plainTextFormattedCitation":"9","previouslyFormattedCitation":"&lt;sup&gt;9&lt;/sup&gt;"},"properties":{"noteIndex":0},"schema":"https://github.com/citation-style-language/schema/raw/master/csl-citation.json"}</w:instrText>
      </w:r>
      <w:r>
        <w:rPr>
          <w:kern w:val="24"/>
        </w:rPr>
        <w:fldChar w:fldCharType="separate"/>
      </w:r>
      <w:r w:rsidR="009A73FF" w:rsidRPr="009A73FF">
        <w:rPr>
          <w:noProof/>
          <w:kern w:val="24"/>
          <w:vertAlign w:val="superscript"/>
        </w:rPr>
        <w:t>9</w:t>
      </w:r>
      <w:r>
        <w:rPr>
          <w:kern w:val="24"/>
        </w:rPr>
        <w:fldChar w:fldCharType="end"/>
      </w:r>
      <w:r>
        <w:rPr>
          <w:kern w:val="24"/>
        </w:rPr>
        <w:t xml:space="preserve"> we replaced it with its best LD proxy (r</w:t>
      </w:r>
      <w:r w:rsidRPr="00EE3E04">
        <w:rPr>
          <w:kern w:val="24"/>
          <w:vertAlign w:val="superscript"/>
        </w:rPr>
        <w:t>2</w:t>
      </w:r>
      <w:r>
        <w:rPr>
          <w:kern w:val="24"/>
        </w:rPr>
        <w:t xml:space="preserve"> = 0.3, from </w:t>
      </w:r>
      <w:proofErr w:type="spellStart"/>
      <w:r>
        <w:rPr>
          <w:kern w:val="24"/>
        </w:rPr>
        <w:t>LDlink</w:t>
      </w:r>
      <w:proofErr w:type="spellEnd"/>
      <w:r>
        <w:rPr>
          <w:kern w:val="24"/>
        </w:rPr>
        <w:t xml:space="preserve"> 3.3.0)</w:t>
      </w:r>
      <w:r w:rsidR="00BF3E1B">
        <w:rPr>
          <w:kern w:val="24"/>
        </w:rPr>
        <w:t xml:space="preserve"> in EUR </w:t>
      </w:r>
      <w:r w:rsidR="00BF3E1B">
        <w:t>population of 1000Genomes</w:t>
      </w:r>
      <w:r w:rsidR="00BF3E1B">
        <w:rPr>
          <w:kern w:val="24"/>
        </w:rPr>
        <w:t xml:space="preserve">. </w:t>
      </w:r>
    </w:p>
    <w:p w14:paraId="1CD24B9A" w14:textId="291F2C6A" w:rsidR="00BF3E1B" w:rsidRDefault="00BF3E1B" w:rsidP="00A85875">
      <w:pPr>
        <w:pStyle w:val="NoSpacing2"/>
      </w:pPr>
      <w:r w:rsidRPr="00CB0685">
        <w:t xml:space="preserve">For </w:t>
      </w:r>
      <w:r>
        <w:t xml:space="preserve">MR </w:t>
      </w:r>
      <w:r w:rsidRPr="00CB0685">
        <w:t xml:space="preserve">analyses focusing on </w:t>
      </w:r>
      <w:r>
        <w:t>MDD</w:t>
      </w:r>
      <w:r w:rsidRPr="00CB0685">
        <w:t xml:space="preserve"> as exposure</w:t>
      </w:r>
      <w:r>
        <w:t xml:space="preserve"> and 25-OH-D as outcome</w:t>
      </w:r>
      <w:r w:rsidRPr="00CB0685">
        <w:t>,</w:t>
      </w:r>
      <w:r>
        <w:t xml:space="preserve"> we selected 37 independent SNPs from the PGC MDD GWAS. In order to maximize the number of overlapping variants across the two GWAS with a different number of interrogated SNPs (due to difference in imputation reference panel: 1000 Genomes for MDD and HapMap2 for 25-OH-D) we performed the following selection steps: firstly, we identified 873 non strand-ambiguous SNPs (with </w:t>
      </w:r>
      <w:r w:rsidRPr="00110AA9">
        <w:rPr>
          <w:i/>
        </w:rPr>
        <w:t>p</w:t>
      </w:r>
      <w:r>
        <w:t xml:space="preserve"> &lt; 5.0e-8 in the MDD GWAS) available in both GWAS; we then retained only one SNP from the extended MHC region (due to long-range LD) and the rest was clumped using PLINK v1.9 using a 500kb window and an r</w:t>
      </w:r>
      <w:r w:rsidRPr="00300460">
        <w:rPr>
          <w:vertAlign w:val="superscript"/>
        </w:rPr>
        <w:t>2</w:t>
      </w:r>
      <w:r>
        <w:rPr>
          <w:vertAlign w:val="superscript"/>
        </w:rPr>
        <w:t xml:space="preserve"> </w:t>
      </w:r>
      <w:r>
        <w:t>0.1 with the EUR population of 1000Genomes as LD reference.</w:t>
      </w:r>
    </w:p>
    <w:p w14:paraId="18DBF055" w14:textId="1F334DEB" w:rsidR="00C953EE" w:rsidRDefault="00BF3E1B" w:rsidP="00A85875">
      <w:pPr>
        <w:pStyle w:val="NoSpacing2"/>
      </w:pPr>
      <w:r>
        <w:t xml:space="preserve">We applied the same selection steps for MR </w:t>
      </w:r>
      <w:r w:rsidRPr="00CB0685">
        <w:t xml:space="preserve">analyses focusing on </w:t>
      </w:r>
      <w:r>
        <w:t>MDD</w:t>
      </w:r>
      <w:r w:rsidRPr="00CB0685">
        <w:t xml:space="preserve"> as exposure</w:t>
      </w:r>
      <w:r>
        <w:t xml:space="preserve"> and ne-PUFA as outcome and we selected 44 independent SNPs from the PGC MDD GWAS to be used as </w:t>
      </w:r>
      <w:r w:rsidR="002B2AA9">
        <w:t>instruments</w:t>
      </w:r>
      <w:r w:rsidR="00701C94">
        <w:t>.</w:t>
      </w:r>
    </w:p>
    <w:p w14:paraId="0E40F5FC" w14:textId="6D296E34" w:rsidR="00267255" w:rsidRDefault="00267255" w:rsidP="00A85875">
      <w:pPr>
        <w:pStyle w:val="NoSpacing2"/>
      </w:pPr>
    </w:p>
    <w:p w14:paraId="657207FB" w14:textId="77777777" w:rsidR="00267255" w:rsidRDefault="00267255" w:rsidP="00267255">
      <w:pPr>
        <w:pStyle w:val="NoSpacing2"/>
      </w:pPr>
      <w:r w:rsidRPr="007A3630">
        <w:rPr>
          <w:b/>
          <w:i/>
        </w:rPr>
        <w:lastRenderedPageBreak/>
        <w:t>s</w:t>
      </w:r>
      <w:r>
        <w:rPr>
          <w:b/>
          <w:i/>
        </w:rPr>
        <w:t>4</w:t>
      </w:r>
      <w:r w:rsidRPr="007A3630">
        <w:rPr>
          <w:b/>
          <w:i/>
        </w:rPr>
        <w:t>.</w:t>
      </w:r>
      <w:r>
        <w:rPr>
          <w:b/>
          <w:i/>
        </w:rPr>
        <w:t>2 Power to detect a significant causal estimate in one-sample MR analyses</w:t>
      </w:r>
    </w:p>
    <w:p w14:paraId="6975C0CB" w14:textId="62A91906" w:rsidR="00267255" w:rsidRDefault="00267255" w:rsidP="00267255">
      <w:pPr>
        <w:pStyle w:val="NoSpacing2"/>
      </w:pPr>
      <w:r>
        <w:t xml:space="preserve">The use of 2SMR allows to increase substantially the power of genetic instruments by leveraging on effect sizes estimated in large sample size of GWAS, as compared to individual-level data MR that has usually low power. For instance, even with a strong instrument as the PRS for increased </w:t>
      </w:r>
      <w:r w:rsidRPr="008C3A35">
        <w:t>25-OH-D</w:t>
      </w:r>
      <w:r>
        <w:t xml:space="preserve"> used hereby in NESDA data (</w:t>
      </w:r>
      <w:r w:rsidRPr="00CB0685">
        <w:t xml:space="preserve">3.5% of </w:t>
      </w:r>
      <w:r>
        <w:t xml:space="preserve">variance explained in </w:t>
      </w:r>
      <w:r w:rsidRPr="00CB0685">
        <w:t>25-OH-D levels</w:t>
      </w:r>
      <w:r>
        <w:t xml:space="preserve">, corresponding to an F-statistic of 89.93, with F &gt; 10 usually considered an adequate instrument) </w:t>
      </w:r>
      <w:r w:rsidRPr="00CB0685">
        <w:t xml:space="preserve">80% statistical power to detect a significant (at </w:t>
      </w:r>
      <w:r w:rsidRPr="00CB0685">
        <w:rPr>
          <w:rStyle w:val="mjxassistivemathml"/>
          <w:bdr w:val="none" w:sz="0" w:space="0" w:color="auto" w:frame="1"/>
        </w:rPr>
        <w:t>α</w:t>
      </w:r>
      <w:r>
        <w:rPr>
          <w:rStyle w:val="mjxassistivemathml"/>
          <w:bdr w:val="none" w:sz="0" w:space="0" w:color="auto" w:frame="1"/>
        </w:rPr>
        <w:t xml:space="preserve">=0.05) causal effect of 25-OH-D on lifetime MDD (exposure-outcome association unadjusted OR=0.79) could be reached with a sample size of 16069 (half cases) (from </w:t>
      </w:r>
      <w:proofErr w:type="spellStart"/>
      <w:r>
        <w:rPr>
          <w:rStyle w:val="mjxassistivemathml"/>
          <w:bdr w:val="none" w:sz="0" w:space="0" w:color="auto" w:frame="1"/>
        </w:rPr>
        <w:t>mRnd</w:t>
      </w:r>
      <w:proofErr w:type="spellEnd"/>
      <w:r>
        <w:rPr>
          <w:rStyle w:val="mjxassistivemathml"/>
          <w:bdr w:val="none" w:sz="0" w:space="0" w:color="auto" w:frame="1"/>
        </w:rPr>
        <w:t>, power calculator for MR</w:t>
      </w:r>
      <w:r>
        <w:rPr>
          <w:rStyle w:val="mjxassistivemathml"/>
          <w:bdr w:val="none" w:sz="0" w:space="0" w:color="auto" w:frame="1"/>
        </w:rPr>
        <w:fldChar w:fldCharType="begin" w:fldLock="1"/>
      </w:r>
      <w:r>
        <w:rPr>
          <w:rStyle w:val="mjxassistivemathml"/>
          <w:bdr w:val="none" w:sz="0" w:space="0" w:color="auto" w:frame="1"/>
        </w:rPr>
        <w:instrText>ADDIN CSL_CITATION {"citationItems":[{"id":"ITEM-1","itemData":{"DOI":"10.1093/ije/dyt179","ISBN":"1464-3685 (Electronic)\\r0300-5771 (Linking)","ISSN":"03005771","PMID":"24159078","abstract":"In Mendelian randomization (MR) studies, where genetic variants are used as proxy measures for an exposure trait of interest, obtaining adequate statistical power is frequently a concern due to the small amount of variation in a phenotypic trait that is typically explained by genetic variants. A range of power estimates based on simulations and specific parameters for two-stage least squares (2SLS) MR analyses based on continuous variables has previously been published. However there are presently no specific equations or software tools one can implement for calculating power of a given MR study. Using asymptotic theory, we show that in the case of continuous variables and a single instrument, for example a single-nucleotide polymorphism (SNP) or multiple SNP predictor, statistical power for a fixed sample size is a function of two parameters: the proportion of variation in the exposure variable explained by the genetic predictor and the true causal association between the exposure and outcome variable. We demonstrate that power for 2SLS MR can be derived using the non-centrality parameter (NCP) of the statistical test that is employed to test whether the 2SLS regression coefficient is zero. We show that the previously published power estimates from simulations can be represented theoretically using this NCP-based approach, with similar estimates observed when the simulation-based estimates are compared with our NCP-based approach. General equations for calculating statistical power for 2SLS MR using the NCP are provided in this note, and we implement the calculations in a web-based application.","author":[{"dropping-particle":"","family":"Brion","given":"Marie Jo A","non-dropping-particle":"","parse-names":false,"suffix":""},{"dropping-particle":"","family":"Shakhbazov","given":"Konstantin","non-dropping-particle":"","parse-names":false,"suffix":""},{"dropping-particle":"","family":"Visscher","given":"Peter M.","non-dropping-particle":"","parse-names":false,"suffix":""}],"container-title":"International Journal of Epidemiology","id":"ITEM-1","issue":"5","issued":{"date-parts":[["2013"]]},"page":"1497-1501","title":"Calculating statistical power in Mendelian randomization studies","type":"article-journal","volume":"42"},"uris":["http://www.mendeley.com/documents/?uuid=5448d478-54b9-40d4-8a98-0aae89800c05"]}],"mendeley":{"formattedCitation":"&lt;sup&gt;12&lt;/sup&gt;","plainTextFormattedCitation":"12","previouslyFormattedCitation":"&lt;sup&gt;8&lt;/sup&gt;"},"properties":{"noteIndex":0},"schema":"https://github.com/citation-style-language/schema/raw/master/csl-citation.json"}</w:instrText>
      </w:r>
      <w:r>
        <w:rPr>
          <w:rStyle w:val="mjxassistivemathml"/>
          <w:bdr w:val="none" w:sz="0" w:space="0" w:color="auto" w:frame="1"/>
        </w:rPr>
        <w:fldChar w:fldCharType="separate"/>
      </w:r>
      <w:r w:rsidRPr="00B812D9">
        <w:rPr>
          <w:rStyle w:val="mjxassistivemathml"/>
          <w:noProof/>
          <w:bdr w:val="none" w:sz="0" w:space="0" w:color="auto" w:frame="1"/>
          <w:vertAlign w:val="superscript"/>
        </w:rPr>
        <w:t>12</w:t>
      </w:r>
      <w:r>
        <w:rPr>
          <w:rStyle w:val="mjxassistivemathml"/>
          <w:bdr w:val="none" w:sz="0" w:space="0" w:color="auto" w:frame="1"/>
        </w:rPr>
        <w:fldChar w:fldCharType="end"/>
      </w:r>
      <w:r>
        <w:rPr>
          <w:rStyle w:val="mjxassistivemathml"/>
          <w:bdr w:val="none" w:sz="0" w:space="0" w:color="auto" w:frame="1"/>
        </w:rPr>
        <w:t>).</w:t>
      </w:r>
      <w:r>
        <w:t xml:space="preserve"> </w:t>
      </w:r>
      <w:r>
        <w:rPr>
          <w:rStyle w:val="mjxassistivemathml"/>
          <w:bdr w:val="none" w:sz="0" w:space="0" w:color="auto" w:frame="1"/>
        </w:rPr>
        <w:t xml:space="preserve">Similarly, using the PRS for n3-PUFA (0.8% variance explained, </w:t>
      </w:r>
      <w:r>
        <w:t xml:space="preserve">F-statistic 26.85) </w:t>
      </w:r>
      <w:r w:rsidRPr="00CB0685">
        <w:t>80% statistical power</w:t>
      </w:r>
      <w:r>
        <w:rPr>
          <w:rStyle w:val="mjxassistivemathml"/>
          <w:bdr w:val="none" w:sz="0" w:space="0" w:color="auto" w:frame="1"/>
        </w:rPr>
        <w:t xml:space="preserve"> to detect a significant causal effect of n3-PUFA on MDD (exposure-outcome association unadjusted OR=0.87) could be reached with a sample size of 202028 (half cases).</w:t>
      </w:r>
    </w:p>
    <w:p w14:paraId="5DFA7AFD" w14:textId="31C34D06" w:rsidR="002941DE" w:rsidRPr="008A736E" w:rsidRDefault="00340E47" w:rsidP="00087E08">
      <w:pPr>
        <w:spacing w:line="480" w:lineRule="auto"/>
        <w:sectPr w:rsidR="002941DE" w:rsidRPr="008A736E">
          <w:footerReference w:type="even" r:id="rId8"/>
          <w:footerReference w:type="default" r:id="rId9"/>
          <w:pgSz w:w="11906" w:h="16838"/>
          <w:pgMar w:top="1440" w:right="1440" w:bottom="1440" w:left="1440" w:header="708" w:footer="708" w:gutter="0"/>
          <w:cols w:space="708"/>
          <w:docGrid w:linePitch="360"/>
        </w:sectPr>
      </w:pPr>
      <w:r>
        <w:rPr>
          <w:rStyle w:val="mjxassistivemathml"/>
          <w:bdr w:val="none" w:sz="0" w:space="0" w:color="auto" w:frame="1"/>
        </w:rPr>
        <w:t xml:space="preserve"> </w:t>
      </w:r>
    </w:p>
    <w:p w14:paraId="0F67945A" w14:textId="71F08E04" w:rsidR="006329F9" w:rsidRDefault="007F4C67" w:rsidP="006329F9">
      <w:pPr>
        <w:spacing w:line="480" w:lineRule="auto"/>
        <w:outlineLvl w:val="0"/>
        <w:rPr>
          <w:b/>
          <w:i/>
        </w:rPr>
      </w:pPr>
      <w:r>
        <w:rPr>
          <w:b/>
          <w:i/>
        </w:rPr>
        <w:lastRenderedPageBreak/>
        <w:t>s4.</w:t>
      </w:r>
      <w:r w:rsidR="00267255">
        <w:rPr>
          <w:b/>
          <w:i/>
        </w:rPr>
        <w:t>3</w:t>
      </w:r>
      <w:r w:rsidR="006329F9">
        <w:rPr>
          <w:b/>
          <w:i/>
        </w:rPr>
        <w:t>MR plots</w:t>
      </w:r>
    </w:p>
    <w:p w14:paraId="02C02F6E" w14:textId="77777777" w:rsidR="008B71FF" w:rsidRDefault="008B71FF" w:rsidP="008B71FF">
      <w:pPr>
        <w:spacing w:line="480" w:lineRule="auto"/>
      </w:pPr>
      <w:r>
        <w:t>Panels: A. 2SMR estimates; B. Single SNP analyses ; C. Leave-one-out analyses</w:t>
      </w:r>
    </w:p>
    <w:p w14:paraId="4AAD9A69" w14:textId="2DA7D7AE" w:rsidR="008B71FF" w:rsidRPr="008B71FF" w:rsidRDefault="008B71FF" w:rsidP="008B71FF">
      <w:pPr>
        <w:rPr>
          <w:sz w:val="20"/>
          <w:szCs w:val="20"/>
        </w:rPr>
      </w:pPr>
      <w:r w:rsidRPr="00273892">
        <w:rPr>
          <w:sz w:val="20"/>
          <w:szCs w:val="20"/>
        </w:rPr>
        <w:t xml:space="preserve">Units of measure in discovery GWAS: </w:t>
      </w:r>
      <w:r>
        <w:rPr>
          <w:sz w:val="20"/>
          <w:szCs w:val="20"/>
        </w:rPr>
        <w:t xml:space="preserve"> </w:t>
      </w:r>
      <w:r w:rsidRPr="008B71FF">
        <w:rPr>
          <w:sz w:val="20"/>
          <w:szCs w:val="20"/>
        </w:rPr>
        <w:t xml:space="preserve">25-OH-D, 1 unit increase in (log) concentrations; </w:t>
      </w:r>
      <w:r>
        <w:rPr>
          <w:sz w:val="20"/>
          <w:szCs w:val="20"/>
        </w:rPr>
        <w:t xml:space="preserve"> </w:t>
      </w:r>
      <w:r w:rsidRPr="008B71FF">
        <w:rPr>
          <w:sz w:val="20"/>
          <w:szCs w:val="20"/>
        </w:rPr>
        <w:t>n3-PUFA, 1 unit increase in (</w:t>
      </w:r>
      <w:r w:rsidRPr="008B71FF">
        <w:rPr>
          <w:rFonts w:ascii="Courier New" w:hAnsi="Courier New" w:cs="Courier New"/>
          <w:sz w:val="20"/>
          <w:szCs w:val="20"/>
        </w:rPr>
        <w:t>﻿</w:t>
      </w:r>
      <w:r w:rsidRPr="008B71FF">
        <w:rPr>
          <w:sz w:val="20"/>
          <w:szCs w:val="20"/>
        </w:rPr>
        <w:t xml:space="preserve">inverse normal transformation) concentrations; </w:t>
      </w:r>
      <w:r>
        <w:rPr>
          <w:sz w:val="20"/>
          <w:szCs w:val="20"/>
        </w:rPr>
        <w:t xml:space="preserve"> </w:t>
      </w:r>
      <w:r w:rsidRPr="008B71FF">
        <w:rPr>
          <w:sz w:val="20"/>
          <w:szCs w:val="20"/>
        </w:rPr>
        <w:t>MDD, 1 log-unit increase in risk.</w:t>
      </w:r>
    </w:p>
    <w:p w14:paraId="73C16585" w14:textId="77777777" w:rsidR="008B71FF" w:rsidRDefault="008B71FF" w:rsidP="00D03639">
      <w:pPr>
        <w:spacing w:line="480" w:lineRule="auto"/>
        <w:rPr>
          <w:b/>
          <w:i/>
        </w:rPr>
      </w:pPr>
    </w:p>
    <w:p w14:paraId="70404C0E" w14:textId="6FD7AAE5" w:rsidR="00D03639" w:rsidRDefault="00896B60" w:rsidP="00D03639">
      <w:pPr>
        <w:spacing w:line="480" w:lineRule="auto"/>
      </w:pPr>
      <w:proofErr w:type="spellStart"/>
      <w:r w:rsidRPr="00896B60">
        <w:rPr>
          <w:b/>
          <w:i/>
        </w:rPr>
        <w:t>Supplemtal</w:t>
      </w:r>
      <w:proofErr w:type="spellEnd"/>
      <w:r>
        <w:rPr>
          <w:b/>
          <w:i/>
        </w:rPr>
        <w:t xml:space="preserve"> </w:t>
      </w:r>
      <w:proofErr w:type="spellStart"/>
      <w:r w:rsidR="006329F9">
        <w:rPr>
          <w:b/>
          <w:i/>
        </w:rPr>
        <w:t>eFigure</w:t>
      </w:r>
      <w:proofErr w:type="spellEnd"/>
      <w:r w:rsidR="006329F9">
        <w:rPr>
          <w:b/>
          <w:i/>
        </w:rPr>
        <w:t xml:space="preserve"> </w:t>
      </w:r>
      <w:r w:rsidR="002D2755">
        <w:rPr>
          <w:b/>
          <w:i/>
        </w:rPr>
        <w:t>1</w:t>
      </w:r>
      <w:r w:rsidR="006329F9">
        <w:rPr>
          <w:b/>
          <w:i/>
        </w:rPr>
        <w:t xml:space="preserve">. </w:t>
      </w:r>
      <w:r w:rsidR="006329F9">
        <w:t>2S</w:t>
      </w:r>
      <w:r w:rsidR="006329F9" w:rsidRPr="00B33C4F">
        <w:t xml:space="preserve">MR analyses estimating causal effects </w:t>
      </w:r>
      <w:r w:rsidR="006329F9">
        <w:t xml:space="preserve">of 25-OH-D on MDD  </w:t>
      </w:r>
    </w:p>
    <w:p w14:paraId="16A41FE2" w14:textId="5C366B0F" w:rsidR="00A13EA0" w:rsidRDefault="00A13EA0" w:rsidP="00D03639">
      <w:pPr>
        <w:spacing w:line="480" w:lineRule="auto"/>
      </w:pPr>
    </w:p>
    <w:p w14:paraId="2EB5FE35" w14:textId="77777777" w:rsidR="00EB355D" w:rsidRDefault="00EB355D" w:rsidP="00D03639">
      <w:pPr>
        <w:spacing w:line="480" w:lineRule="auto"/>
      </w:pPr>
    </w:p>
    <w:p w14:paraId="0D8970CD" w14:textId="27CAC800" w:rsidR="00D03639" w:rsidRDefault="003364B2" w:rsidP="00D03639">
      <w:pPr>
        <w:spacing w:line="480" w:lineRule="auto"/>
      </w:pPr>
      <w:r w:rsidRPr="003364B2">
        <w:rPr>
          <w:noProof/>
        </w:rPr>
        <w:drawing>
          <wp:inline distT="0" distB="0" distL="0" distR="0" wp14:anchorId="66245235" wp14:editId="619344FC">
            <wp:extent cx="9649141" cy="2626242"/>
            <wp:effectExtent l="0" t="0" r="3175" b="317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9670554" cy="2632070"/>
                    </a:xfrm>
                    <a:prstGeom prst="rect">
                      <a:avLst/>
                    </a:prstGeom>
                  </pic:spPr>
                </pic:pic>
              </a:graphicData>
            </a:graphic>
          </wp:inline>
        </w:drawing>
      </w:r>
    </w:p>
    <w:p w14:paraId="1B327089" w14:textId="67C1714D" w:rsidR="00433C83" w:rsidRDefault="00433C83" w:rsidP="00D03639">
      <w:pPr>
        <w:spacing w:line="480" w:lineRule="auto"/>
      </w:pPr>
    </w:p>
    <w:p w14:paraId="6B9BA41E" w14:textId="77777777" w:rsidR="008B71FF" w:rsidRDefault="008B71FF" w:rsidP="00A13EA0">
      <w:pPr>
        <w:spacing w:line="480" w:lineRule="auto"/>
      </w:pPr>
    </w:p>
    <w:p w14:paraId="39FA2802" w14:textId="4485D482" w:rsidR="00A13EA0" w:rsidRDefault="00896B60" w:rsidP="00A13EA0">
      <w:pPr>
        <w:spacing w:line="480" w:lineRule="auto"/>
      </w:pPr>
      <w:proofErr w:type="spellStart"/>
      <w:r w:rsidRPr="00896B60">
        <w:rPr>
          <w:b/>
          <w:i/>
        </w:rPr>
        <w:lastRenderedPageBreak/>
        <w:t>Supplemtal</w:t>
      </w:r>
      <w:proofErr w:type="spellEnd"/>
      <w:r>
        <w:rPr>
          <w:b/>
          <w:i/>
        </w:rPr>
        <w:t xml:space="preserve"> </w:t>
      </w:r>
      <w:proofErr w:type="spellStart"/>
      <w:r w:rsidR="00A13EA0">
        <w:rPr>
          <w:b/>
          <w:i/>
        </w:rPr>
        <w:t>eFigure</w:t>
      </w:r>
      <w:proofErr w:type="spellEnd"/>
      <w:r w:rsidR="00A13EA0">
        <w:rPr>
          <w:b/>
          <w:i/>
        </w:rPr>
        <w:t xml:space="preserve"> </w:t>
      </w:r>
      <w:r w:rsidR="002D2755">
        <w:rPr>
          <w:b/>
          <w:i/>
        </w:rPr>
        <w:t>2</w:t>
      </w:r>
      <w:r w:rsidR="00A13EA0">
        <w:rPr>
          <w:b/>
          <w:i/>
        </w:rPr>
        <w:t xml:space="preserve">. </w:t>
      </w:r>
      <w:r w:rsidR="00A13EA0">
        <w:t>2S</w:t>
      </w:r>
      <w:r w:rsidR="00A13EA0" w:rsidRPr="00B33C4F">
        <w:t xml:space="preserve">MR analyses estimating causal effects </w:t>
      </w:r>
      <w:r w:rsidR="00A13EA0">
        <w:t xml:space="preserve">of n3-PUFA on MDD  </w:t>
      </w:r>
    </w:p>
    <w:p w14:paraId="25AE3192" w14:textId="4CF3F115" w:rsidR="00433C83" w:rsidRDefault="00433C83" w:rsidP="00D03639">
      <w:pPr>
        <w:spacing w:line="480" w:lineRule="auto"/>
      </w:pPr>
    </w:p>
    <w:p w14:paraId="457498E8" w14:textId="77777777" w:rsidR="008B71FF" w:rsidRDefault="008B71FF" w:rsidP="00D03639">
      <w:pPr>
        <w:spacing w:line="480" w:lineRule="auto"/>
      </w:pPr>
    </w:p>
    <w:p w14:paraId="5C4B6091" w14:textId="1A3D4282" w:rsidR="00433C83" w:rsidRDefault="0045753E" w:rsidP="00D03639">
      <w:pPr>
        <w:spacing w:line="480" w:lineRule="auto"/>
      </w:pPr>
      <w:r w:rsidRPr="0045753E">
        <w:rPr>
          <w:noProof/>
        </w:rPr>
        <w:drawing>
          <wp:inline distT="0" distB="0" distL="0" distR="0" wp14:anchorId="3B2D228F" wp14:editId="02484230">
            <wp:extent cx="9586865" cy="2693773"/>
            <wp:effectExtent l="0" t="0" r="190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9613337" cy="2701211"/>
                    </a:xfrm>
                    <a:prstGeom prst="rect">
                      <a:avLst/>
                    </a:prstGeom>
                  </pic:spPr>
                </pic:pic>
              </a:graphicData>
            </a:graphic>
          </wp:inline>
        </w:drawing>
      </w:r>
    </w:p>
    <w:p w14:paraId="563537EF" w14:textId="055829AB" w:rsidR="00433C83" w:rsidRDefault="00433C83" w:rsidP="00D03639">
      <w:pPr>
        <w:spacing w:line="480" w:lineRule="auto"/>
      </w:pPr>
    </w:p>
    <w:p w14:paraId="390CEA2B" w14:textId="3B835EF1" w:rsidR="00D03639" w:rsidRDefault="00D03639" w:rsidP="00D03639">
      <w:pPr>
        <w:spacing w:line="480" w:lineRule="auto"/>
      </w:pPr>
    </w:p>
    <w:p w14:paraId="4E74030F" w14:textId="5E065B10" w:rsidR="00D03639" w:rsidRDefault="00D03639" w:rsidP="00D03639">
      <w:pPr>
        <w:spacing w:line="480" w:lineRule="auto"/>
      </w:pPr>
    </w:p>
    <w:p w14:paraId="11D94936" w14:textId="3BA641F4" w:rsidR="00D03639" w:rsidRDefault="00D03639" w:rsidP="006329F9">
      <w:pPr>
        <w:spacing w:line="480" w:lineRule="auto"/>
      </w:pPr>
    </w:p>
    <w:p w14:paraId="1BE2D331" w14:textId="664984D0" w:rsidR="006329F9" w:rsidRDefault="006329F9" w:rsidP="006329F9">
      <w:pPr>
        <w:spacing w:line="480" w:lineRule="auto"/>
        <w:rPr>
          <w:b/>
          <w:i/>
        </w:rPr>
      </w:pPr>
    </w:p>
    <w:p w14:paraId="631569EF" w14:textId="0B4858BA" w:rsidR="0045753E" w:rsidRDefault="00896B60" w:rsidP="0045753E">
      <w:pPr>
        <w:spacing w:line="480" w:lineRule="auto"/>
      </w:pPr>
      <w:proofErr w:type="spellStart"/>
      <w:r w:rsidRPr="00896B60">
        <w:rPr>
          <w:b/>
          <w:i/>
        </w:rPr>
        <w:lastRenderedPageBreak/>
        <w:t>Supplemtal</w:t>
      </w:r>
      <w:proofErr w:type="spellEnd"/>
      <w:r>
        <w:rPr>
          <w:b/>
          <w:i/>
        </w:rPr>
        <w:t xml:space="preserve"> </w:t>
      </w:r>
      <w:proofErr w:type="spellStart"/>
      <w:r w:rsidR="0045753E">
        <w:rPr>
          <w:b/>
          <w:i/>
        </w:rPr>
        <w:t>eFigure</w:t>
      </w:r>
      <w:proofErr w:type="spellEnd"/>
      <w:r w:rsidR="0045753E">
        <w:rPr>
          <w:b/>
          <w:i/>
        </w:rPr>
        <w:t xml:space="preserve"> </w:t>
      </w:r>
      <w:r w:rsidR="002D2755">
        <w:rPr>
          <w:b/>
          <w:i/>
        </w:rPr>
        <w:t>3</w:t>
      </w:r>
      <w:r w:rsidR="0045753E">
        <w:rPr>
          <w:b/>
          <w:i/>
        </w:rPr>
        <w:t xml:space="preserve">. </w:t>
      </w:r>
      <w:r w:rsidR="0045753E">
        <w:t>2S</w:t>
      </w:r>
      <w:r w:rsidR="0045753E" w:rsidRPr="00B33C4F">
        <w:t xml:space="preserve">MR analyses estimating causal effects </w:t>
      </w:r>
      <w:r w:rsidR="0045753E">
        <w:t xml:space="preserve">of MDD on 25-OH-D  </w:t>
      </w:r>
    </w:p>
    <w:p w14:paraId="113C18F2" w14:textId="4995BB9A" w:rsidR="008B71FF" w:rsidRDefault="008B71FF" w:rsidP="0045753E">
      <w:pPr>
        <w:spacing w:line="480" w:lineRule="auto"/>
      </w:pPr>
    </w:p>
    <w:p w14:paraId="104AEBEC" w14:textId="77777777" w:rsidR="008B71FF" w:rsidRDefault="008B71FF" w:rsidP="0045753E">
      <w:pPr>
        <w:spacing w:line="480" w:lineRule="auto"/>
      </w:pPr>
    </w:p>
    <w:p w14:paraId="19BDFF6B" w14:textId="7BF8BC46" w:rsidR="006329F9" w:rsidRDefault="0045753E" w:rsidP="006329F9">
      <w:pPr>
        <w:spacing w:line="480" w:lineRule="auto"/>
        <w:rPr>
          <w:b/>
          <w:i/>
        </w:rPr>
      </w:pPr>
      <w:r w:rsidRPr="0045753E">
        <w:rPr>
          <w:b/>
          <w:i/>
          <w:noProof/>
        </w:rPr>
        <w:drawing>
          <wp:inline distT="0" distB="0" distL="0" distR="0" wp14:anchorId="105BC7C3" wp14:editId="620FCE23">
            <wp:extent cx="9604144" cy="267729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9615351" cy="2680422"/>
                    </a:xfrm>
                    <a:prstGeom prst="rect">
                      <a:avLst/>
                    </a:prstGeom>
                  </pic:spPr>
                </pic:pic>
              </a:graphicData>
            </a:graphic>
          </wp:inline>
        </w:drawing>
      </w:r>
    </w:p>
    <w:p w14:paraId="0F4DFF0A" w14:textId="7F5A59F8" w:rsidR="006329F9" w:rsidRDefault="006329F9" w:rsidP="00A85875">
      <w:pPr>
        <w:pStyle w:val="NoSpacing2"/>
        <w:rPr>
          <w:b/>
          <w:i/>
        </w:rPr>
      </w:pPr>
    </w:p>
    <w:p w14:paraId="64ADA8F4" w14:textId="7B89F8D8" w:rsidR="006329F9" w:rsidRDefault="006329F9" w:rsidP="00A85875">
      <w:pPr>
        <w:pStyle w:val="NoSpacing2"/>
        <w:rPr>
          <w:b/>
          <w:i/>
        </w:rPr>
      </w:pPr>
    </w:p>
    <w:p w14:paraId="70570EFE" w14:textId="51682F53" w:rsidR="006329F9" w:rsidRDefault="006329F9" w:rsidP="00A85875">
      <w:pPr>
        <w:pStyle w:val="NoSpacing2"/>
        <w:rPr>
          <w:b/>
          <w:i/>
        </w:rPr>
      </w:pPr>
    </w:p>
    <w:p w14:paraId="7AEA3D04" w14:textId="362C4556" w:rsidR="006329F9" w:rsidRDefault="006329F9" w:rsidP="00A85875">
      <w:pPr>
        <w:pStyle w:val="NoSpacing2"/>
        <w:rPr>
          <w:b/>
          <w:i/>
        </w:rPr>
      </w:pPr>
    </w:p>
    <w:p w14:paraId="1022D99C" w14:textId="77777777" w:rsidR="008B71FF" w:rsidRDefault="008B71FF" w:rsidP="0045753E">
      <w:pPr>
        <w:spacing w:line="480" w:lineRule="auto"/>
        <w:rPr>
          <w:rFonts w:eastAsia="Calibri"/>
          <w:b/>
          <w:i/>
        </w:rPr>
      </w:pPr>
    </w:p>
    <w:p w14:paraId="7C282ABA" w14:textId="6D0C89E3" w:rsidR="0045753E" w:rsidRDefault="00896B60" w:rsidP="0045753E">
      <w:pPr>
        <w:spacing w:line="480" w:lineRule="auto"/>
      </w:pPr>
      <w:proofErr w:type="spellStart"/>
      <w:r w:rsidRPr="00896B60">
        <w:rPr>
          <w:b/>
          <w:i/>
        </w:rPr>
        <w:lastRenderedPageBreak/>
        <w:t>Supplemtal</w:t>
      </w:r>
      <w:proofErr w:type="spellEnd"/>
      <w:r>
        <w:rPr>
          <w:b/>
          <w:i/>
        </w:rPr>
        <w:t xml:space="preserve"> </w:t>
      </w:r>
      <w:proofErr w:type="spellStart"/>
      <w:r w:rsidR="0045753E">
        <w:rPr>
          <w:b/>
          <w:i/>
        </w:rPr>
        <w:t>eFigure</w:t>
      </w:r>
      <w:proofErr w:type="spellEnd"/>
      <w:r w:rsidR="0045753E">
        <w:rPr>
          <w:b/>
          <w:i/>
        </w:rPr>
        <w:t xml:space="preserve"> </w:t>
      </w:r>
      <w:r w:rsidR="002D2755">
        <w:rPr>
          <w:b/>
          <w:i/>
        </w:rPr>
        <w:t>4</w:t>
      </w:r>
      <w:r w:rsidR="0045753E">
        <w:rPr>
          <w:b/>
          <w:i/>
        </w:rPr>
        <w:t xml:space="preserve">. </w:t>
      </w:r>
      <w:r w:rsidR="0045753E">
        <w:t>2S</w:t>
      </w:r>
      <w:r w:rsidR="0045753E" w:rsidRPr="00B33C4F">
        <w:t xml:space="preserve">MR analyses estimating causal effects </w:t>
      </w:r>
      <w:r w:rsidR="0045753E">
        <w:t xml:space="preserve">of MDD on n3-PUFA  </w:t>
      </w:r>
    </w:p>
    <w:p w14:paraId="730E14B4" w14:textId="526CFE32" w:rsidR="008B71FF" w:rsidRDefault="008B71FF" w:rsidP="0045753E">
      <w:pPr>
        <w:spacing w:line="480" w:lineRule="auto"/>
      </w:pPr>
    </w:p>
    <w:p w14:paraId="3A60996F" w14:textId="77777777" w:rsidR="008B71FF" w:rsidRDefault="008B71FF" w:rsidP="0045753E">
      <w:pPr>
        <w:spacing w:line="480" w:lineRule="auto"/>
      </w:pPr>
    </w:p>
    <w:p w14:paraId="6872AC79" w14:textId="7FC3E7A0" w:rsidR="006329F9" w:rsidRDefault="008B71FF" w:rsidP="00A85875">
      <w:pPr>
        <w:pStyle w:val="NoSpacing2"/>
        <w:rPr>
          <w:b/>
          <w:i/>
        </w:rPr>
      </w:pPr>
      <w:r w:rsidRPr="008B71FF">
        <w:rPr>
          <w:b/>
          <w:i/>
          <w:noProof/>
        </w:rPr>
        <w:drawing>
          <wp:inline distT="0" distB="0" distL="0" distR="0" wp14:anchorId="1999E5EE" wp14:editId="7036F386">
            <wp:extent cx="9548525" cy="2743200"/>
            <wp:effectExtent l="0" t="0" r="190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9573304" cy="2750319"/>
                    </a:xfrm>
                    <a:prstGeom prst="rect">
                      <a:avLst/>
                    </a:prstGeom>
                  </pic:spPr>
                </pic:pic>
              </a:graphicData>
            </a:graphic>
          </wp:inline>
        </w:drawing>
      </w:r>
    </w:p>
    <w:p w14:paraId="11EF4E07" w14:textId="77777777" w:rsidR="006329F9" w:rsidRDefault="006329F9" w:rsidP="00A85875">
      <w:pPr>
        <w:pStyle w:val="NoSpacing2"/>
        <w:rPr>
          <w:b/>
          <w:i/>
        </w:rPr>
      </w:pPr>
    </w:p>
    <w:p w14:paraId="6FD80F06" w14:textId="77777777" w:rsidR="006329F9" w:rsidRDefault="006329F9" w:rsidP="00A85875">
      <w:pPr>
        <w:pStyle w:val="NoSpacing2"/>
        <w:rPr>
          <w:b/>
          <w:i/>
        </w:rPr>
      </w:pPr>
    </w:p>
    <w:p w14:paraId="0C07C2D2" w14:textId="77777777" w:rsidR="00BE3E3B" w:rsidRDefault="00BE3E3B" w:rsidP="00A85875">
      <w:pPr>
        <w:pStyle w:val="NoSpacing2"/>
        <w:rPr>
          <w:b/>
          <w:i/>
        </w:rPr>
        <w:sectPr w:rsidR="00BE3E3B" w:rsidSect="00C953EE">
          <w:pgSz w:w="16838" w:h="11906" w:orient="landscape"/>
          <w:pgMar w:top="1440" w:right="1440" w:bottom="1440" w:left="1440" w:header="708" w:footer="708" w:gutter="0"/>
          <w:cols w:space="708"/>
          <w:docGrid w:linePitch="360"/>
        </w:sectPr>
      </w:pPr>
    </w:p>
    <w:p w14:paraId="48008944" w14:textId="72C1A5F3" w:rsidR="00E93D48" w:rsidRPr="00E93D48" w:rsidRDefault="008C06DE" w:rsidP="00E93D48">
      <w:pPr>
        <w:spacing w:line="480" w:lineRule="auto"/>
        <w:outlineLvl w:val="0"/>
        <w:rPr>
          <w:b/>
          <w:i/>
        </w:rPr>
      </w:pPr>
      <w:r>
        <w:rPr>
          <w:b/>
          <w:i/>
        </w:rPr>
        <w:lastRenderedPageBreak/>
        <w:t>s4.</w:t>
      </w:r>
      <w:r w:rsidR="00267255">
        <w:rPr>
          <w:b/>
          <w:i/>
        </w:rPr>
        <w:t>4</w:t>
      </w:r>
      <w:r w:rsidR="00E93D48" w:rsidRPr="00E93D48">
        <w:rPr>
          <w:b/>
          <w:i/>
          <w:color w:val="000000"/>
        </w:rPr>
        <w:t xml:space="preserve">PheWAS for </w:t>
      </w:r>
      <w:r w:rsidR="00E93D48" w:rsidRPr="00E93D48">
        <w:rPr>
          <w:b/>
          <w:i/>
        </w:rPr>
        <w:t>rs174546</w:t>
      </w:r>
    </w:p>
    <w:p w14:paraId="07811285" w14:textId="6DC8C27C" w:rsidR="006329F9" w:rsidRPr="00A704D6" w:rsidRDefault="00E93D48" w:rsidP="00A85875">
      <w:pPr>
        <w:pStyle w:val="NoSpacing2"/>
        <w:rPr>
          <w:b/>
          <w:i/>
        </w:rPr>
      </w:pPr>
      <w:r>
        <w:t xml:space="preserve">In 2SMR analyses testing the causal effect of n3-PUFA on MDD we identified the SNP </w:t>
      </w:r>
      <w:r w:rsidR="00A62588">
        <w:t>r</w:t>
      </w:r>
      <w:r w:rsidRPr="00D10062">
        <w:t>s174546</w:t>
      </w:r>
      <w:r>
        <w:t xml:space="preserve"> as potential source of heterogeneity. </w:t>
      </w:r>
      <w:r w:rsidR="00FC7532">
        <w:rPr>
          <w:color w:val="000000"/>
        </w:rPr>
        <w:t xml:space="preserve">In order to evaluate whether this heterogeneity was indicating potential horizontal pleiotropy (the instrument/SNP is associated to the outcome trough pathways others than the exposure), we performed a </w:t>
      </w:r>
      <w:proofErr w:type="spellStart"/>
      <w:r w:rsidR="00FC7532">
        <w:rPr>
          <w:color w:val="000000"/>
        </w:rPr>
        <w:t>PheWAS</w:t>
      </w:r>
      <w:proofErr w:type="spellEnd"/>
      <w:r w:rsidR="00FC7532">
        <w:rPr>
          <w:color w:val="000000"/>
        </w:rPr>
        <w:t xml:space="preserve"> (phenome-wide association scan) using the GWAS ATLAS Resource</w:t>
      </w:r>
      <w:r w:rsidR="00847A20">
        <w:rPr>
          <w:color w:val="000000"/>
        </w:rPr>
        <w:fldChar w:fldCharType="begin" w:fldLock="1"/>
      </w:r>
      <w:r w:rsidR="009A73FF">
        <w:rPr>
          <w:color w:val="000000"/>
        </w:rPr>
        <w:instrText>ADDIN CSL_CITATION {"citationItems":[{"id":"ITEM-1","itemData":{"DOI":"10.1101/500090","author":[{"dropping-particle":"","family":"Watanabe","given":"Kyoko","non-dropping-particle":"","parse-names":false,"suffix":""},{"dropping-particle":"","family":"Stringer","given":"Sven","non-dropping-particle":"","parse-names":false,"suffix":""},{"dropping-particle":"","family":"Frei","given":"Oleksandr","non-dropping-particle":"","parse-names":false,"suffix":""},{"dropping-particle":"","family":"Mirkov","given":"Maša Umićević","non-dropping-particle":"","parse-names":false,"suffix":""},{"dropping-particle":"","family":"Polderman","given":"Tinca J.C.","non-dropping-particle":"","parse-names":false,"suffix":""},{"dropping-particle":"","family":"Sluis","given":"Sophie","non-dropping-particle":"van der","parse-names":false,"suffix":""},{"dropping-particle":"","family":"Andreassen","given":"Ole A.","non-dropping-particle":"","parse-names":false,"suffix":""},{"dropping-particle":"","family":"Neale","given":"Benjamin M.","non-dropping-particle":"","parse-names":false,"suffix":""},{"dropping-particle":"","family":"Posthuma","given":"Danielle","non-dropping-particle":"","parse-names":false,"suffix":""}],"container-title":"bioRxiv","id":"ITEM-1","issued":{"date-parts":[["2018"]]},"title":"A global overview of pleiotropy and genetic architecture in complex traits","type":"article-journal"},"uris":["http://www.mendeley.com/documents/?uuid=bc34dd95-d8f6-479d-a3ba-efbe39ebcd1b"]}],"mendeley":{"formattedCitation":"&lt;sup&gt;14&lt;/sup&gt;","plainTextFormattedCitation":"14","previouslyFormattedCitation":"&lt;sup&gt;14&lt;/sup&gt;"},"properties":{"noteIndex":0},"schema":"https://github.com/citation-style-language/schema/raw/master/csl-citation.json"}</w:instrText>
      </w:r>
      <w:r w:rsidR="00847A20">
        <w:rPr>
          <w:color w:val="000000"/>
        </w:rPr>
        <w:fldChar w:fldCharType="separate"/>
      </w:r>
      <w:r w:rsidR="008A22FF" w:rsidRPr="008A22FF">
        <w:rPr>
          <w:noProof/>
          <w:color w:val="000000"/>
          <w:vertAlign w:val="superscript"/>
        </w:rPr>
        <w:t>14</w:t>
      </w:r>
      <w:r w:rsidR="00847A20">
        <w:rPr>
          <w:color w:val="000000"/>
        </w:rPr>
        <w:fldChar w:fldCharType="end"/>
      </w:r>
      <w:r w:rsidR="002C79AF">
        <w:rPr>
          <w:color w:val="000000"/>
        </w:rPr>
        <w:t>. 3</w:t>
      </w:r>
      <w:r w:rsidR="00964CA0">
        <w:rPr>
          <w:color w:val="000000"/>
        </w:rPr>
        <w:t>,</w:t>
      </w:r>
      <w:r w:rsidR="002C79AF">
        <w:rPr>
          <w:color w:val="000000"/>
        </w:rPr>
        <w:t xml:space="preserve">798 traits were scanned and </w:t>
      </w:r>
      <w:r w:rsidR="00A704D6">
        <w:rPr>
          <w:color w:val="000000"/>
        </w:rPr>
        <w:t>67 significant (0.05/3</w:t>
      </w:r>
      <w:r w:rsidR="00964CA0">
        <w:rPr>
          <w:color w:val="000000"/>
        </w:rPr>
        <w:t>,</w:t>
      </w:r>
      <w:r w:rsidR="00A704D6">
        <w:rPr>
          <w:color w:val="000000"/>
        </w:rPr>
        <w:t xml:space="preserve">798 = </w:t>
      </w:r>
      <w:r w:rsidR="00A704D6" w:rsidRPr="00A704D6">
        <w:rPr>
          <w:color w:val="000000"/>
        </w:rPr>
        <w:t>1.3e-05</w:t>
      </w:r>
      <w:r w:rsidR="00A704D6">
        <w:rPr>
          <w:color w:val="000000"/>
        </w:rPr>
        <w:t xml:space="preserve">) associations were retrieved, including a wide array of traits. </w:t>
      </w:r>
    </w:p>
    <w:p w14:paraId="4E96FFEC" w14:textId="77777777" w:rsidR="002761B1" w:rsidRDefault="002761B1" w:rsidP="00A85875">
      <w:pPr>
        <w:pStyle w:val="NoSpacing2"/>
        <w:rPr>
          <w:b/>
          <w:i/>
        </w:rPr>
      </w:pPr>
    </w:p>
    <w:p w14:paraId="26A2A0A4" w14:textId="0D5970AA" w:rsidR="002761B1" w:rsidRDefault="00896B60" w:rsidP="00A85875">
      <w:pPr>
        <w:pStyle w:val="NoSpacing2"/>
        <w:rPr>
          <w:b/>
          <w:i/>
        </w:rPr>
      </w:pPr>
      <w:proofErr w:type="spellStart"/>
      <w:r w:rsidRPr="00896B60">
        <w:rPr>
          <w:b/>
          <w:i/>
        </w:rPr>
        <w:t>Supplemtal</w:t>
      </w:r>
      <w:proofErr w:type="spellEnd"/>
      <w:r>
        <w:rPr>
          <w:b/>
          <w:i/>
        </w:rPr>
        <w:t xml:space="preserve"> </w:t>
      </w:r>
      <w:proofErr w:type="spellStart"/>
      <w:r w:rsidR="002761B1">
        <w:rPr>
          <w:b/>
          <w:i/>
        </w:rPr>
        <w:t>eFigure</w:t>
      </w:r>
      <w:proofErr w:type="spellEnd"/>
      <w:r w:rsidR="002761B1">
        <w:rPr>
          <w:b/>
          <w:i/>
        </w:rPr>
        <w:t xml:space="preserve"> </w:t>
      </w:r>
      <w:r w:rsidR="00964CA0">
        <w:rPr>
          <w:b/>
          <w:i/>
        </w:rPr>
        <w:t>5</w:t>
      </w:r>
      <w:r w:rsidR="002761B1">
        <w:rPr>
          <w:b/>
          <w:i/>
        </w:rPr>
        <w:t xml:space="preserve">. </w:t>
      </w:r>
      <w:r w:rsidR="002761B1">
        <w:t xml:space="preserve">Significant </w:t>
      </w:r>
      <w:r w:rsidR="00A62588">
        <w:t>associations of r</w:t>
      </w:r>
      <w:r w:rsidR="00A62588" w:rsidRPr="00D10062">
        <w:t>s174546</w:t>
      </w:r>
      <w:r w:rsidR="00A62588">
        <w:t xml:space="preserve"> with traits organized in major domains</w:t>
      </w:r>
    </w:p>
    <w:p w14:paraId="2DC552D0" w14:textId="5F2E5727" w:rsidR="002761B1" w:rsidRDefault="00A62588" w:rsidP="00A85875">
      <w:pPr>
        <w:pStyle w:val="NoSpacing2"/>
        <w:rPr>
          <w:b/>
          <w:i/>
        </w:rPr>
      </w:pPr>
      <w:r>
        <w:rPr>
          <w:b/>
          <w:i/>
          <w:noProof/>
        </w:rPr>
        <w:drawing>
          <wp:inline distT="0" distB="0" distL="0" distR="0" wp14:anchorId="0FD24CEF" wp14:editId="3007B10A">
            <wp:extent cx="5338119" cy="4334486"/>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heWASplot_20190115_152415.jpeg"/>
                    <pic:cNvPicPr/>
                  </pic:nvPicPr>
                  <pic:blipFill>
                    <a:blip r:embed="rId14">
                      <a:extLst>
                        <a:ext uri="{28A0092B-C50C-407E-A947-70E740481C1C}">
                          <a14:useLocalDpi xmlns:a14="http://schemas.microsoft.com/office/drawing/2010/main" val="0"/>
                        </a:ext>
                      </a:extLst>
                    </a:blip>
                    <a:stretch>
                      <a:fillRect/>
                    </a:stretch>
                  </pic:blipFill>
                  <pic:spPr>
                    <a:xfrm>
                      <a:off x="0" y="0"/>
                      <a:ext cx="5345495" cy="4340475"/>
                    </a:xfrm>
                    <a:prstGeom prst="rect">
                      <a:avLst/>
                    </a:prstGeom>
                  </pic:spPr>
                </pic:pic>
              </a:graphicData>
            </a:graphic>
          </wp:inline>
        </w:drawing>
      </w:r>
    </w:p>
    <w:p w14:paraId="4E079753" w14:textId="77777777" w:rsidR="002761B1" w:rsidRDefault="002761B1" w:rsidP="00A85875">
      <w:pPr>
        <w:pStyle w:val="NoSpacing2"/>
        <w:rPr>
          <w:b/>
          <w:i/>
        </w:rPr>
      </w:pPr>
    </w:p>
    <w:p w14:paraId="4E4CAA78" w14:textId="7D3FF449" w:rsidR="006B63E2" w:rsidRPr="00E93D48" w:rsidRDefault="00C078E5" w:rsidP="006B63E2">
      <w:pPr>
        <w:spacing w:line="480" w:lineRule="auto"/>
        <w:outlineLvl w:val="0"/>
        <w:rPr>
          <w:b/>
          <w:i/>
        </w:rPr>
      </w:pPr>
      <w:r>
        <w:rPr>
          <w:b/>
          <w:i/>
        </w:rPr>
        <w:lastRenderedPageBreak/>
        <w:t>s4.</w:t>
      </w:r>
      <w:r w:rsidR="00267255">
        <w:rPr>
          <w:b/>
          <w:i/>
        </w:rPr>
        <w:t>5</w:t>
      </w:r>
      <w:r w:rsidR="001141CF">
        <w:rPr>
          <w:b/>
          <w:i/>
          <w:color w:val="000000"/>
        </w:rPr>
        <w:t>MR-Egger</w:t>
      </w:r>
    </w:p>
    <w:p w14:paraId="62929D8A" w14:textId="41CFB151" w:rsidR="00CF68F4" w:rsidRDefault="00CF68F4" w:rsidP="00A85875">
      <w:pPr>
        <w:pStyle w:val="NoSpacing2"/>
        <w:rPr>
          <w:b/>
          <w:i/>
        </w:rPr>
      </w:pPr>
      <w:r>
        <w:t>Additional analyses were performed using the MR</w:t>
      </w:r>
      <w:r w:rsidRPr="00A241DA">
        <w:t xml:space="preserve">-Egger </w:t>
      </w:r>
      <w:r>
        <w:t>method</w:t>
      </w:r>
      <w:r>
        <w:fldChar w:fldCharType="begin" w:fldLock="1"/>
      </w:r>
      <w:r w:rsidR="009A73FF">
        <w:instrText>ADDIN CSL_CITATION {"citationItems":[{"id":"ITEM-1","itemData":{"DOI":"10.1093/ije/dyv080","ISBN":"1464-3685 (Electronic)\\r0300-5771 (Linking)","ISSN":"14643685","PMID":"26050253","abstract":"BACKGROUND: The number of Mendelian randomization analyses including large numbers of genetic variants is rapidly increasing. This is due to the proliferation of genome-wide association studies, and the desire to obtain more precise estimates of causal effects. However, some genetic variants may not be valid instrumental variables, in particular due to them having more than one proximal phenotypic correlate (pleiotropy).\\n\\nMETHODS: We view Mendelian randomization with multiple instruments as a meta-analysis, and show that bias caused by pleiotropy can be regarded as analogous to small study bias. Causal estimates using each instrument can be displayed visually by a funnel plot to assess potential asymmetry. Egger regression, a tool to detect small study bias in meta-analysis, can be adapted to test for bias from pleiotropy, and the slope coefficient from Egger regression provides an estimate of the causal effect. Under the assumption that the association of each genetic variant with the exposure is independent of the pleiotropic effect of the variant (not via the exposure), Egger's test gives a valid test of the null causal hypothesis and a consistent causal effect estimate even when all the genetic variants are invalid instrumental variables.\\n\\nRESULTS: We illustrate the use of this approach by re-analysing two published Mendelian randomization studies of the causal effect of height on lung function, and the causal effect of blood pressure on coronary artery disease risk. The conservative nature of this approach is illustrated with these examples.\\n\\nCONCLUSIONS: An adaption of Egger regression (which we call MR-Egger) can detect some violations of the standard instrumental variable assumptions, and provide an effect estimate which is not subject to these violations. The approach provides a sensitivity analysis for the robustness of the findings from a Mendelian randomization investigation.","author":[{"dropping-particle":"","family":"Bowden","given":"Jack","non-dropping-particle":"","parse-names":false,"suffix":""},{"dropping-particle":"","family":"Smith","given":"George Davey","non-dropping-particle":"","parse-names":false,"suffix":""},{"dropping-particle":"","family":"Burgess","given":"Stephen","non-dropping-particle":"","parse-names":false,"suffix":""}],"container-title":"International Journal of Epidemiology","id":"ITEM-1","issue":"2","issued":{"date-parts":[["2015"]]},"page":"512-525","title":"Mendelian randomization with invalid instruments: Effect estimation and bias detection through Egger regression","type":"article-journal","volume":"44"},"uris":["http://www.mendeley.com/documents/?uuid=43044993-00b1-4a32-9d80-eabe0a144457"]}],"mendeley":{"formattedCitation":"&lt;sup&gt;15&lt;/sup&gt;","plainTextFormattedCitation":"15","previouslyFormattedCitation":"&lt;sup&gt;15&lt;/sup&gt;"},"properties":{"noteIndex":0},"schema":"https://github.com/citation-style-language/schema/raw/master/csl-citation.json"}</w:instrText>
      </w:r>
      <w:r>
        <w:fldChar w:fldCharType="separate"/>
      </w:r>
      <w:r w:rsidR="008A22FF" w:rsidRPr="008A22FF">
        <w:rPr>
          <w:noProof/>
          <w:vertAlign w:val="superscript"/>
        </w:rPr>
        <w:t>15</w:t>
      </w:r>
      <w:r>
        <w:fldChar w:fldCharType="end"/>
      </w:r>
      <w:r>
        <w:t xml:space="preserve"> relying </w:t>
      </w:r>
      <w:r w:rsidRPr="00A241DA">
        <w:t xml:space="preserve">on the </w:t>
      </w:r>
      <w:proofErr w:type="spellStart"/>
      <w:r w:rsidRPr="00A241DA">
        <w:t>InSIDE</w:t>
      </w:r>
      <w:proofErr w:type="spellEnd"/>
      <w:r w:rsidRPr="00A241DA">
        <w:t xml:space="preserve"> assumption</w:t>
      </w:r>
      <w:r>
        <w:t xml:space="preserve"> (</w:t>
      </w:r>
      <w:r w:rsidRPr="00A241DA">
        <w:t xml:space="preserve">the magnitude of any pleiotropic effects should not </w:t>
      </w:r>
      <w:r>
        <w:t>correlate</w:t>
      </w:r>
      <w:r w:rsidRPr="00A241DA">
        <w:t xml:space="preserve"> with the magnitude of the main </w:t>
      </w:r>
      <w:r>
        <w:t>effect) less conservative as the lack of horizontal pleiotropy The number of instruments used to test the causal effect of 25-OH-D and n3-PUFA was lower than that (N=10) recommended</w:t>
      </w:r>
      <w:r>
        <w:fldChar w:fldCharType="begin" w:fldLock="1"/>
      </w:r>
      <w:r w:rsidR="009A73FF">
        <w:instrText>ADDIN CSL_CITATION {"citationItems":[{"id":"ITEM-1","itemData":{"DOI":"10.1093/ije/dyv080","ISBN":"1464-3685 (Electronic)\\r0300-5771 (Linking)","ISSN":"14643685","PMID":"26050253","abstract":"BACKGROUND: The number of Mendelian randomization analyses including large numbers of genetic variants is rapidly increasing. This is due to the proliferation of genome-wide association studies, and the desire to obtain more precise estimates of causal effects. However, some genetic variants may not be valid instrumental variables, in particular due to them having more than one proximal phenotypic correlate (pleiotropy).\\n\\nMETHODS: We view Mendelian randomization with multiple instruments as a meta-analysis, and show that bias caused by pleiotropy can be regarded as analogous to small study bias. Causal estimates using each instrument can be displayed visually by a funnel plot to assess potential asymmetry. Egger regression, a tool to detect small study bias in meta-analysis, can be adapted to test for bias from pleiotropy, and the slope coefficient from Egger regression provides an estimate of the causal effect. Under the assumption that the association of each genetic variant with the exposure is independent of the pleiotropic effect of the variant (not via the exposure), Egger's test gives a valid test of the null causal hypothesis and a consistent causal effect estimate even when all the genetic variants are invalid instrumental variables.\\n\\nRESULTS: We illustrate the use of this approach by re-analysing two published Mendelian randomization studies of the causal effect of height on lung function, and the causal effect of blood pressure on coronary artery disease risk. The conservative nature of this approach is illustrated with these examples.\\n\\nCONCLUSIONS: An adaption of Egger regression (which we call MR-Egger) can detect some violations of the standard instrumental variable assumptions, and provide an effect estimate which is not subject to these violations. The approach provides a sensitivity analysis for the robustness of the findings from a Mendelian randomization investigation.","author":[{"dropping-particle":"","family":"Bowden","given":"Jack","non-dropping-particle":"","parse-names":false,"suffix":""},{"dropping-particle":"","family":"Smith","given":"George Davey","non-dropping-particle":"","parse-names":false,"suffix":""},{"dropping-particle":"","family":"Burgess","given":"Stephen","non-dropping-particle":"","parse-names":false,"suffix":""}],"container-title":"International Journal of Epidemiology","id":"ITEM-1","issue":"2","issued":{"date-parts":[["2015"]]},"page":"512-525","title":"Mendelian randomization with invalid instruments: Effect estimation and bias detection through Egger regression","type":"article-journal","volume":"44"},"uris":["http://www.mendeley.com/documents/?uuid=43044993-00b1-4a32-9d80-eabe0a144457"]}],"mendeley":{"formattedCitation":"&lt;sup&gt;15&lt;/sup&gt;","plainTextFormattedCitation":"15","previouslyFormattedCitation":"&lt;sup&gt;15&lt;/sup&gt;"},"properties":{"noteIndex":0},"schema":"https://github.com/citation-style-language/schema/raw/master/csl-citation.json"}</w:instrText>
      </w:r>
      <w:r>
        <w:fldChar w:fldCharType="separate"/>
      </w:r>
      <w:r w:rsidR="008A22FF" w:rsidRPr="008A22FF">
        <w:rPr>
          <w:noProof/>
          <w:vertAlign w:val="superscript"/>
        </w:rPr>
        <w:t>15</w:t>
      </w:r>
      <w:r>
        <w:fldChar w:fldCharType="end"/>
      </w:r>
      <w:r>
        <w:t xml:space="preserve"> to run an adequately powered MR-Egger analyses. T</w:t>
      </w:r>
      <w:r w:rsidRPr="0026100C">
        <w:rPr>
          <w:rFonts w:hint="cs"/>
        </w:rPr>
        <w:t xml:space="preserve">he </w:t>
      </w:r>
      <w:r>
        <w:t xml:space="preserve">estimates </w:t>
      </w:r>
      <w:r w:rsidRPr="0026100C">
        <w:rPr>
          <w:rFonts w:hint="cs"/>
        </w:rPr>
        <w:t xml:space="preserve">were </w:t>
      </w:r>
      <w:r>
        <w:t xml:space="preserve">substantially </w:t>
      </w:r>
      <w:r w:rsidRPr="0026100C">
        <w:rPr>
          <w:rFonts w:hint="cs"/>
        </w:rPr>
        <w:t xml:space="preserve">consistent with those obtained </w:t>
      </w:r>
      <w:r>
        <w:t xml:space="preserve">by other MR analyses. </w:t>
      </w:r>
      <w:r w:rsidR="00631A15">
        <w:t>Furthermore, estimates from MR-Egger intercept</w:t>
      </w:r>
      <w:r w:rsidR="00D65E75">
        <w:t>s</w:t>
      </w:r>
      <w:r w:rsidR="00631A15">
        <w:t xml:space="preserve"> suggests the lack of </w:t>
      </w:r>
      <w:r w:rsidR="00806296">
        <w:t>substantial</w:t>
      </w:r>
      <w:r w:rsidR="00631A15">
        <w:t xml:space="preserve"> pleiotropy in analyses </w:t>
      </w:r>
    </w:p>
    <w:p w14:paraId="36C6AE40" w14:textId="45EBEF2C" w:rsidR="00CF68F4" w:rsidRDefault="00CF68F4" w:rsidP="00A85875">
      <w:pPr>
        <w:pStyle w:val="NoSpacing2"/>
        <w:rPr>
          <w:b/>
          <w:i/>
        </w:rPr>
      </w:pPr>
    </w:p>
    <w:p w14:paraId="07433937" w14:textId="359F3790" w:rsidR="00631A15" w:rsidRDefault="00896B60" w:rsidP="00A85875">
      <w:pPr>
        <w:pStyle w:val="NoSpacing2"/>
        <w:rPr>
          <w:b/>
          <w:i/>
        </w:rPr>
      </w:pPr>
      <w:proofErr w:type="spellStart"/>
      <w:r w:rsidRPr="00896B60">
        <w:rPr>
          <w:b/>
          <w:i/>
        </w:rPr>
        <w:t>Supplemtal</w:t>
      </w:r>
      <w:proofErr w:type="spellEnd"/>
      <w:r>
        <w:rPr>
          <w:b/>
          <w:i/>
        </w:rPr>
        <w:t xml:space="preserve"> </w:t>
      </w:r>
      <w:proofErr w:type="spellStart"/>
      <w:r w:rsidR="00631A15">
        <w:rPr>
          <w:b/>
          <w:i/>
        </w:rPr>
        <w:t>eTable</w:t>
      </w:r>
      <w:proofErr w:type="spellEnd"/>
      <w:r w:rsidR="00631A15">
        <w:rPr>
          <w:b/>
          <w:i/>
        </w:rPr>
        <w:t xml:space="preserve"> 2</w:t>
      </w:r>
      <w:r w:rsidR="00575BC0">
        <w:rPr>
          <w:b/>
          <w:i/>
        </w:rPr>
        <w:t>.</w:t>
      </w:r>
      <w:r w:rsidR="00631A15">
        <w:rPr>
          <w:b/>
          <w:i/>
        </w:rPr>
        <w:t xml:space="preserve"> </w:t>
      </w:r>
      <w:r w:rsidR="00631A15">
        <w:t>2S</w:t>
      </w:r>
      <w:r w:rsidR="00631A15" w:rsidRPr="00B33C4F">
        <w:t xml:space="preserve">MR analyses </w:t>
      </w:r>
      <w:r w:rsidR="00631A15">
        <w:t>using the MR-Egger method</w:t>
      </w:r>
    </w:p>
    <w:tbl>
      <w:tblPr>
        <w:tblW w:w="7760" w:type="dxa"/>
        <w:tblInd w:w="108" w:type="dxa"/>
        <w:tblLook w:val="04A0" w:firstRow="1" w:lastRow="0" w:firstColumn="1" w:lastColumn="0" w:noHBand="0" w:noVBand="1"/>
      </w:tblPr>
      <w:tblGrid>
        <w:gridCol w:w="1060"/>
        <w:gridCol w:w="1060"/>
        <w:gridCol w:w="820"/>
        <w:gridCol w:w="266"/>
        <w:gridCol w:w="1078"/>
        <w:gridCol w:w="718"/>
        <w:gridCol w:w="607"/>
        <w:gridCol w:w="266"/>
        <w:gridCol w:w="1077"/>
        <w:gridCol w:w="718"/>
        <w:gridCol w:w="607"/>
      </w:tblGrid>
      <w:tr w:rsidR="00631A15" w:rsidRPr="00631A15" w14:paraId="3CCC0133" w14:textId="77777777" w:rsidTr="00631A15">
        <w:trPr>
          <w:trHeight w:val="300"/>
        </w:trPr>
        <w:tc>
          <w:tcPr>
            <w:tcW w:w="1060" w:type="dxa"/>
            <w:tcBorders>
              <w:top w:val="nil"/>
              <w:left w:val="nil"/>
              <w:bottom w:val="nil"/>
              <w:right w:val="nil"/>
            </w:tcBorders>
            <w:shd w:val="clear" w:color="auto" w:fill="auto"/>
            <w:noWrap/>
            <w:vAlign w:val="bottom"/>
            <w:hideMark/>
          </w:tcPr>
          <w:p w14:paraId="375B6051" w14:textId="77777777" w:rsidR="00631A15" w:rsidRPr="00631A15" w:rsidRDefault="00631A15" w:rsidP="00631A15"/>
        </w:tc>
        <w:tc>
          <w:tcPr>
            <w:tcW w:w="1060" w:type="dxa"/>
            <w:tcBorders>
              <w:top w:val="nil"/>
              <w:left w:val="nil"/>
              <w:bottom w:val="nil"/>
              <w:right w:val="nil"/>
            </w:tcBorders>
            <w:shd w:val="clear" w:color="auto" w:fill="auto"/>
            <w:noWrap/>
            <w:vAlign w:val="bottom"/>
            <w:hideMark/>
          </w:tcPr>
          <w:p w14:paraId="478ACDD4" w14:textId="77777777" w:rsidR="00631A15" w:rsidRPr="00631A15" w:rsidRDefault="00631A15" w:rsidP="00631A15">
            <w:pPr>
              <w:jc w:val="center"/>
              <w:rPr>
                <w:sz w:val="20"/>
                <w:szCs w:val="20"/>
              </w:rPr>
            </w:pPr>
          </w:p>
        </w:tc>
        <w:tc>
          <w:tcPr>
            <w:tcW w:w="820" w:type="dxa"/>
            <w:tcBorders>
              <w:top w:val="nil"/>
              <w:left w:val="nil"/>
              <w:bottom w:val="nil"/>
              <w:right w:val="nil"/>
            </w:tcBorders>
            <w:shd w:val="clear" w:color="auto" w:fill="auto"/>
            <w:noWrap/>
            <w:vAlign w:val="bottom"/>
            <w:hideMark/>
          </w:tcPr>
          <w:p w14:paraId="33072604" w14:textId="77777777" w:rsidR="00631A15" w:rsidRPr="00631A15" w:rsidRDefault="00631A15" w:rsidP="00631A15">
            <w:pPr>
              <w:jc w:val="center"/>
              <w:rPr>
                <w:sz w:val="20"/>
                <w:szCs w:val="20"/>
              </w:rPr>
            </w:pPr>
          </w:p>
        </w:tc>
        <w:tc>
          <w:tcPr>
            <w:tcW w:w="100" w:type="dxa"/>
            <w:tcBorders>
              <w:top w:val="nil"/>
              <w:left w:val="nil"/>
              <w:bottom w:val="nil"/>
              <w:right w:val="nil"/>
            </w:tcBorders>
            <w:shd w:val="clear" w:color="auto" w:fill="auto"/>
            <w:noWrap/>
            <w:vAlign w:val="bottom"/>
            <w:hideMark/>
          </w:tcPr>
          <w:p w14:paraId="344A45CA" w14:textId="77777777" w:rsidR="00631A15" w:rsidRPr="00631A15" w:rsidRDefault="00631A15" w:rsidP="00631A15">
            <w:pPr>
              <w:jc w:val="center"/>
              <w:rPr>
                <w:sz w:val="20"/>
                <w:szCs w:val="20"/>
              </w:rPr>
            </w:pPr>
          </w:p>
        </w:tc>
        <w:tc>
          <w:tcPr>
            <w:tcW w:w="4720" w:type="dxa"/>
            <w:gridSpan w:val="7"/>
            <w:tcBorders>
              <w:top w:val="nil"/>
              <w:left w:val="nil"/>
              <w:bottom w:val="single" w:sz="8" w:space="0" w:color="auto"/>
              <w:right w:val="nil"/>
            </w:tcBorders>
            <w:shd w:val="clear" w:color="auto" w:fill="auto"/>
            <w:noWrap/>
            <w:vAlign w:val="bottom"/>
            <w:hideMark/>
          </w:tcPr>
          <w:p w14:paraId="20642429" w14:textId="77777777" w:rsidR="00631A15" w:rsidRPr="00631A15" w:rsidRDefault="00631A15" w:rsidP="00631A15">
            <w:pPr>
              <w:jc w:val="center"/>
              <w:rPr>
                <w:rFonts w:ascii="Calibri" w:hAnsi="Calibri"/>
                <w:b/>
                <w:bCs/>
                <w:color w:val="000000"/>
                <w:sz w:val="22"/>
                <w:szCs w:val="22"/>
              </w:rPr>
            </w:pPr>
            <w:r w:rsidRPr="00631A15">
              <w:rPr>
                <w:rFonts w:ascii="Calibri" w:hAnsi="Calibri"/>
                <w:b/>
                <w:bCs/>
                <w:color w:val="000000"/>
                <w:sz w:val="22"/>
                <w:szCs w:val="22"/>
              </w:rPr>
              <w:t>MR-Egger</w:t>
            </w:r>
          </w:p>
        </w:tc>
      </w:tr>
      <w:tr w:rsidR="00631A15" w:rsidRPr="00631A15" w14:paraId="250962F3" w14:textId="77777777" w:rsidTr="00631A15">
        <w:trPr>
          <w:trHeight w:val="320"/>
        </w:trPr>
        <w:tc>
          <w:tcPr>
            <w:tcW w:w="1060" w:type="dxa"/>
            <w:tcBorders>
              <w:top w:val="nil"/>
              <w:left w:val="nil"/>
              <w:bottom w:val="nil"/>
              <w:right w:val="nil"/>
            </w:tcBorders>
            <w:shd w:val="clear" w:color="auto" w:fill="auto"/>
            <w:noWrap/>
            <w:vAlign w:val="bottom"/>
            <w:hideMark/>
          </w:tcPr>
          <w:p w14:paraId="7956E63A" w14:textId="77777777" w:rsidR="00631A15" w:rsidRPr="00631A15" w:rsidRDefault="00631A15" w:rsidP="00631A15">
            <w:pPr>
              <w:jc w:val="center"/>
              <w:rPr>
                <w:rFonts w:ascii="Calibri" w:hAnsi="Calibri"/>
                <w:b/>
                <w:bCs/>
                <w:color w:val="000000"/>
                <w:sz w:val="22"/>
                <w:szCs w:val="22"/>
              </w:rPr>
            </w:pPr>
          </w:p>
        </w:tc>
        <w:tc>
          <w:tcPr>
            <w:tcW w:w="1060" w:type="dxa"/>
            <w:tcBorders>
              <w:top w:val="nil"/>
              <w:left w:val="nil"/>
              <w:bottom w:val="nil"/>
              <w:right w:val="nil"/>
            </w:tcBorders>
            <w:shd w:val="clear" w:color="auto" w:fill="auto"/>
            <w:noWrap/>
            <w:vAlign w:val="bottom"/>
            <w:hideMark/>
          </w:tcPr>
          <w:p w14:paraId="15CB4412" w14:textId="77777777" w:rsidR="00631A15" w:rsidRPr="00631A15" w:rsidRDefault="00631A15" w:rsidP="00631A15">
            <w:pPr>
              <w:jc w:val="center"/>
              <w:rPr>
                <w:sz w:val="20"/>
                <w:szCs w:val="20"/>
              </w:rPr>
            </w:pPr>
          </w:p>
        </w:tc>
        <w:tc>
          <w:tcPr>
            <w:tcW w:w="820" w:type="dxa"/>
            <w:tcBorders>
              <w:top w:val="nil"/>
              <w:left w:val="nil"/>
              <w:bottom w:val="nil"/>
              <w:right w:val="nil"/>
            </w:tcBorders>
            <w:shd w:val="clear" w:color="auto" w:fill="auto"/>
            <w:noWrap/>
            <w:vAlign w:val="bottom"/>
            <w:hideMark/>
          </w:tcPr>
          <w:p w14:paraId="31FF29E7" w14:textId="77777777" w:rsidR="00631A15" w:rsidRPr="00631A15" w:rsidRDefault="00631A15" w:rsidP="00631A15">
            <w:pPr>
              <w:jc w:val="center"/>
              <w:rPr>
                <w:sz w:val="20"/>
                <w:szCs w:val="20"/>
              </w:rPr>
            </w:pPr>
          </w:p>
        </w:tc>
        <w:tc>
          <w:tcPr>
            <w:tcW w:w="100" w:type="dxa"/>
            <w:tcBorders>
              <w:top w:val="nil"/>
              <w:left w:val="nil"/>
              <w:bottom w:val="nil"/>
              <w:right w:val="nil"/>
            </w:tcBorders>
            <w:shd w:val="clear" w:color="auto" w:fill="auto"/>
            <w:noWrap/>
            <w:vAlign w:val="bottom"/>
            <w:hideMark/>
          </w:tcPr>
          <w:p w14:paraId="24F741B6" w14:textId="77777777" w:rsidR="00631A15" w:rsidRPr="00631A15" w:rsidRDefault="00631A15" w:rsidP="00631A15">
            <w:pPr>
              <w:jc w:val="center"/>
              <w:rPr>
                <w:sz w:val="20"/>
                <w:szCs w:val="20"/>
              </w:rPr>
            </w:pPr>
          </w:p>
        </w:tc>
        <w:tc>
          <w:tcPr>
            <w:tcW w:w="2309" w:type="dxa"/>
            <w:gridSpan w:val="3"/>
            <w:tcBorders>
              <w:top w:val="nil"/>
              <w:left w:val="nil"/>
              <w:bottom w:val="single" w:sz="8" w:space="0" w:color="auto"/>
              <w:right w:val="nil"/>
            </w:tcBorders>
            <w:shd w:val="clear" w:color="auto" w:fill="auto"/>
            <w:noWrap/>
            <w:vAlign w:val="center"/>
            <w:hideMark/>
          </w:tcPr>
          <w:p w14:paraId="3CA09ED6" w14:textId="77777777" w:rsidR="00631A15" w:rsidRPr="00631A15" w:rsidRDefault="00631A15" w:rsidP="00631A15">
            <w:pPr>
              <w:jc w:val="center"/>
              <w:rPr>
                <w:rFonts w:ascii="Calibri (Body)" w:hAnsi="Calibri (Body)"/>
                <w:b/>
                <w:bCs/>
                <w:color w:val="000000"/>
                <w:sz w:val="22"/>
                <w:szCs w:val="22"/>
              </w:rPr>
            </w:pPr>
            <w:r w:rsidRPr="00631A15">
              <w:rPr>
                <w:rFonts w:ascii="Calibri (Body)" w:hAnsi="Calibri (Body)"/>
                <w:b/>
                <w:bCs/>
                <w:color w:val="000000"/>
                <w:sz w:val="22"/>
                <w:szCs w:val="22"/>
              </w:rPr>
              <w:t>Intercept</w:t>
            </w:r>
          </w:p>
        </w:tc>
        <w:tc>
          <w:tcPr>
            <w:tcW w:w="103" w:type="dxa"/>
            <w:tcBorders>
              <w:top w:val="nil"/>
              <w:left w:val="nil"/>
              <w:bottom w:val="nil"/>
              <w:right w:val="nil"/>
            </w:tcBorders>
            <w:shd w:val="clear" w:color="auto" w:fill="auto"/>
            <w:noWrap/>
            <w:vAlign w:val="bottom"/>
            <w:hideMark/>
          </w:tcPr>
          <w:p w14:paraId="78FA48A9" w14:textId="77777777" w:rsidR="00631A15" w:rsidRPr="00631A15" w:rsidRDefault="00631A15" w:rsidP="00631A15">
            <w:pPr>
              <w:jc w:val="center"/>
              <w:rPr>
                <w:rFonts w:ascii="Calibri (Body)" w:hAnsi="Calibri (Body)"/>
                <w:b/>
                <w:bCs/>
                <w:color w:val="000000"/>
                <w:sz w:val="22"/>
                <w:szCs w:val="22"/>
              </w:rPr>
            </w:pPr>
          </w:p>
        </w:tc>
        <w:tc>
          <w:tcPr>
            <w:tcW w:w="2308" w:type="dxa"/>
            <w:gridSpan w:val="3"/>
            <w:tcBorders>
              <w:top w:val="nil"/>
              <w:left w:val="nil"/>
              <w:bottom w:val="single" w:sz="8" w:space="0" w:color="auto"/>
              <w:right w:val="nil"/>
            </w:tcBorders>
            <w:shd w:val="clear" w:color="auto" w:fill="auto"/>
            <w:noWrap/>
            <w:vAlign w:val="bottom"/>
            <w:hideMark/>
          </w:tcPr>
          <w:p w14:paraId="34C28231" w14:textId="77777777" w:rsidR="00631A15" w:rsidRPr="00631A15" w:rsidRDefault="00631A15" w:rsidP="00631A15">
            <w:pPr>
              <w:jc w:val="center"/>
              <w:rPr>
                <w:rFonts w:ascii="Calibri" w:hAnsi="Calibri"/>
                <w:b/>
                <w:bCs/>
                <w:color w:val="000000"/>
                <w:sz w:val="22"/>
                <w:szCs w:val="22"/>
              </w:rPr>
            </w:pPr>
            <w:r w:rsidRPr="00631A15">
              <w:rPr>
                <w:rFonts w:ascii="Calibri" w:hAnsi="Calibri"/>
                <w:b/>
                <w:bCs/>
                <w:color w:val="000000"/>
                <w:sz w:val="22"/>
                <w:szCs w:val="22"/>
              </w:rPr>
              <w:t>Slope</w:t>
            </w:r>
          </w:p>
        </w:tc>
      </w:tr>
      <w:tr w:rsidR="00631A15" w:rsidRPr="00631A15" w14:paraId="3A934AF9" w14:textId="77777777" w:rsidTr="00631A15">
        <w:trPr>
          <w:trHeight w:val="320"/>
        </w:trPr>
        <w:tc>
          <w:tcPr>
            <w:tcW w:w="1060" w:type="dxa"/>
            <w:tcBorders>
              <w:top w:val="nil"/>
              <w:left w:val="nil"/>
              <w:bottom w:val="single" w:sz="8" w:space="0" w:color="auto"/>
              <w:right w:val="nil"/>
            </w:tcBorders>
            <w:shd w:val="clear" w:color="auto" w:fill="auto"/>
            <w:noWrap/>
            <w:vAlign w:val="bottom"/>
            <w:hideMark/>
          </w:tcPr>
          <w:p w14:paraId="7425D340" w14:textId="77777777" w:rsidR="00631A15" w:rsidRPr="00631A15" w:rsidRDefault="00631A15" w:rsidP="00631A15">
            <w:pPr>
              <w:jc w:val="center"/>
              <w:rPr>
                <w:rFonts w:ascii="Calibri" w:hAnsi="Calibri"/>
                <w:b/>
                <w:bCs/>
                <w:color w:val="000000"/>
                <w:sz w:val="22"/>
                <w:szCs w:val="22"/>
              </w:rPr>
            </w:pPr>
            <w:r w:rsidRPr="00631A15">
              <w:rPr>
                <w:rFonts w:ascii="Calibri" w:hAnsi="Calibri"/>
                <w:b/>
                <w:bCs/>
                <w:color w:val="000000"/>
                <w:sz w:val="22"/>
                <w:szCs w:val="22"/>
              </w:rPr>
              <w:t>Exposure</w:t>
            </w:r>
          </w:p>
        </w:tc>
        <w:tc>
          <w:tcPr>
            <w:tcW w:w="1060" w:type="dxa"/>
            <w:tcBorders>
              <w:top w:val="nil"/>
              <w:left w:val="nil"/>
              <w:bottom w:val="single" w:sz="8" w:space="0" w:color="auto"/>
              <w:right w:val="nil"/>
            </w:tcBorders>
            <w:shd w:val="clear" w:color="auto" w:fill="auto"/>
            <w:noWrap/>
            <w:vAlign w:val="bottom"/>
            <w:hideMark/>
          </w:tcPr>
          <w:p w14:paraId="6A262952" w14:textId="77777777" w:rsidR="00631A15" w:rsidRPr="00631A15" w:rsidRDefault="00631A15" w:rsidP="00631A15">
            <w:pPr>
              <w:jc w:val="center"/>
              <w:rPr>
                <w:rFonts w:ascii="Calibri" w:hAnsi="Calibri"/>
                <w:b/>
                <w:bCs/>
                <w:color w:val="000000"/>
                <w:sz w:val="22"/>
                <w:szCs w:val="22"/>
              </w:rPr>
            </w:pPr>
            <w:r w:rsidRPr="00631A15">
              <w:rPr>
                <w:rFonts w:ascii="Calibri" w:hAnsi="Calibri"/>
                <w:b/>
                <w:bCs/>
                <w:color w:val="000000"/>
                <w:sz w:val="22"/>
                <w:szCs w:val="22"/>
              </w:rPr>
              <w:t>Outcome</w:t>
            </w:r>
          </w:p>
        </w:tc>
        <w:tc>
          <w:tcPr>
            <w:tcW w:w="820" w:type="dxa"/>
            <w:tcBorders>
              <w:top w:val="nil"/>
              <w:left w:val="nil"/>
              <w:bottom w:val="single" w:sz="8" w:space="0" w:color="auto"/>
              <w:right w:val="nil"/>
            </w:tcBorders>
            <w:shd w:val="clear" w:color="auto" w:fill="auto"/>
            <w:noWrap/>
            <w:vAlign w:val="bottom"/>
            <w:hideMark/>
          </w:tcPr>
          <w:p w14:paraId="550C1E5B" w14:textId="77777777" w:rsidR="00631A15" w:rsidRPr="00631A15" w:rsidRDefault="00631A15" w:rsidP="00631A15">
            <w:pPr>
              <w:jc w:val="center"/>
              <w:rPr>
                <w:rFonts w:ascii="Calibri" w:hAnsi="Calibri"/>
                <w:b/>
                <w:bCs/>
                <w:color w:val="000000"/>
                <w:sz w:val="22"/>
                <w:szCs w:val="22"/>
              </w:rPr>
            </w:pPr>
            <w:r w:rsidRPr="00631A15">
              <w:rPr>
                <w:rFonts w:ascii="Calibri" w:hAnsi="Calibri"/>
                <w:b/>
                <w:bCs/>
                <w:color w:val="000000"/>
                <w:sz w:val="22"/>
                <w:szCs w:val="22"/>
              </w:rPr>
              <w:t>N SNPs</w:t>
            </w:r>
          </w:p>
        </w:tc>
        <w:tc>
          <w:tcPr>
            <w:tcW w:w="100" w:type="dxa"/>
            <w:tcBorders>
              <w:top w:val="nil"/>
              <w:left w:val="nil"/>
              <w:bottom w:val="nil"/>
              <w:right w:val="nil"/>
            </w:tcBorders>
            <w:shd w:val="clear" w:color="auto" w:fill="auto"/>
            <w:noWrap/>
            <w:vAlign w:val="bottom"/>
            <w:hideMark/>
          </w:tcPr>
          <w:p w14:paraId="4CF574A8" w14:textId="77777777" w:rsidR="00631A15" w:rsidRPr="00631A15" w:rsidRDefault="00631A15" w:rsidP="00631A15">
            <w:pPr>
              <w:jc w:val="center"/>
              <w:rPr>
                <w:rFonts w:ascii="Calibri" w:hAnsi="Calibri"/>
                <w:b/>
                <w:bCs/>
                <w:color w:val="000000"/>
                <w:sz w:val="22"/>
                <w:szCs w:val="22"/>
              </w:rPr>
            </w:pPr>
          </w:p>
        </w:tc>
        <w:tc>
          <w:tcPr>
            <w:tcW w:w="1078" w:type="dxa"/>
            <w:tcBorders>
              <w:top w:val="nil"/>
              <w:left w:val="nil"/>
              <w:bottom w:val="single" w:sz="8" w:space="0" w:color="auto"/>
              <w:right w:val="nil"/>
            </w:tcBorders>
            <w:shd w:val="clear" w:color="auto" w:fill="auto"/>
            <w:noWrap/>
            <w:vAlign w:val="bottom"/>
            <w:hideMark/>
          </w:tcPr>
          <w:p w14:paraId="7F892493" w14:textId="77777777" w:rsidR="00631A15" w:rsidRPr="00631A15" w:rsidRDefault="00631A15" w:rsidP="00631A15">
            <w:pPr>
              <w:jc w:val="center"/>
              <w:rPr>
                <w:rFonts w:ascii="Calibri" w:hAnsi="Calibri"/>
                <w:b/>
                <w:bCs/>
                <w:color w:val="000000"/>
                <w:sz w:val="22"/>
                <w:szCs w:val="22"/>
              </w:rPr>
            </w:pPr>
            <w:r w:rsidRPr="00631A15">
              <w:rPr>
                <w:rFonts w:ascii="Calibri" w:hAnsi="Calibri"/>
                <w:b/>
                <w:bCs/>
                <w:color w:val="000000"/>
                <w:sz w:val="22"/>
                <w:szCs w:val="22"/>
              </w:rPr>
              <w:t>estimate</w:t>
            </w:r>
          </w:p>
        </w:tc>
        <w:tc>
          <w:tcPr>
            <w:tcW w:w="687" w:type="dxa"/>
            <w:tcBorders>
              <w:top w:val="nil"/>
              <w:left w:val="nil"/>
              <w:bottom w:val="single" w:sz="8" w:space="0" w:color="auto"/>
              <w:right w:val="nil"/>
            </w:tcBorders>
            <w:shd w:val="clear" w:color="auto" w:fill="auto"/>
            <w:noWrap/>
            <w:vAlign w:val="bottom"/>
            <w:hideMark/>
          </w:tcPr>
          <w:p w14:paraId="4B4D098C" w14:textId="77777777" w:rsidR="00631A15" w:rsidRPr="00631A15" w:rsidRDefault="00631A15" w:rsidP="00631A15">
            <w:pPr>
              <w:jc w:val="center"/>
              <w:rPr>
                <w:rFonts w:ascii="Calibri" w:hAnsi="Calibri"/>
                <w:b/>
                <w:bCs/>
                <w:color w:val="000000"/>
                <w:sz w:val="22"/>
                <w:szCs w:val="22"/>
              </w:rPr>
            </w:pPr>
            <w:r w:rsidRPr="00631A15">
              <w:rPr>
                <w:rFonts w:ascii="Calibri" w:hAnsi="Calibri"/>
                <w:b/>
                <w:bCs/>
                <w:color w:val="000000"/>
                <w:sz w:val="22"/>
                <w:szCs w:val="22"/>
              </w:rPr>
              <w:t>SE</w:t>
            </w:r>
          </w:p>
        </w:tc>
        <w:tc>
          <w:tcPr>
            <w:tcW w:w="544" w:type="dxa"/>
            <w:tcBorders>
              <w:top w:val="nil"/>
              <w:left w:val="nil"/>
              <w:bottom w:val="single" w:sz="8" w:space="0" w:color="auto"/>
              <w:right w:val="nil"/>
            </w:tcBorders>
            <w:shd w:val="clear" w:color="auto" w:fill="auto"/>
            <w:noWrap/>
            <w:vAlign w:val="center"/>
            <w:hideMark/>
          </w:tcPr>
          <w:p w14:paraId="65741A4C" w14:textId="77777777" w:rsidR="00631A15" w:rsidRPr="00631A15" w:rsidRDefault="00631A15" w:rsidP="00631A15">
            <w:pPr>
              <w:jc w:val="center"/>
              <w:rPr>
                <w:rFonts w:ascii="Calibri" w:hAnsi="Calibri"/>
                <w:b/>
                <w:bCs/>
                <w:i/>
                <w:iCs/>
                <w:color w:val="000000"/>
                <w:sz w:val="22"/>
                <w:szCs w:val="22"/>
              </w:rPr>
            </w:pPr>
            <w:r w:rsidRPr="00631A15">
              <w:rPr>
                <w:rFonts w:ascii="Calibri" w:hAnsi="Calibri"/>
                <w:b/>
                <w:bCs/>
                <w:i/>
                <w:iCs/>
                <w:color w:val="000000"/>
                <w:sz w:val="22"/>
                <w:szCs w:val="22"/>
              </w:rPr>
              <w:t>p</w:t>
            </w:r>
          </w:p>
        </w:tc>
        <w:tc>
          <w:tcPr>
            <w:tcW w:w="103" w:type="dxa"/>
            <w:tcBorders>
              <w:top w:val="nil"/>
              <w:left w:val="nil"/>
              <w:bottom w:val="nil"/>
              <w:right w:val="nil"/>
            </w:tcBorders>
            <w:shd w:val="clear" w:color="auto" w:fill="auto"/>
            <w:noWrap/>
            <w:vAlign w:val="bottom"/>
            <w:hideMark/>
          </w:tcPr>
          <w:p w14:paraId="3221B8AA" w14:textId="77777777" w:rsidR="00631A15" w:rsidRPr="00631A15" w:rsidRDefault="00631A15" w:rsidP="00631A15">
            <w:pPr>
              <w:jc w:val="center"/>
              <w:rPr>
                <w:rFonts w:ascii="Calibri" w:hAnsi="Calibri"/>
                <w:b/>
                <w:bCs/>
                <w:i/>
                <w:iCs/>
                <w:color w:val="000000"/>
                <w:sz w:val="22"/>
                <w:szCs w:val="22"/>
              </w:rPr>
            </w:pPr>
          </w:p>
        </w:tc>
        <w:tc>
          <w:tcPr>
            <w:tcW w:w="1077" w:type="dxa"/>
            <w:tcBorders>
              <w:top w:val="nil"/>
              <w:left w:val="nil"/>
              <w:bottom w:val="single" w:sz="8" w:space="0" w:color="auto"/>
              <w:right w:val="nil"/>
            </w:tcBorders>
            <w:shd w:val="clear" w:color="auto" w:fill="auto"/>
            <w:noWrap/>
            <w:vAlign w:val="bottom"/>
            <w:hideMark/>
          </w:tcPr>
          <w:p w14:paraId="52B6308B" w14:textId="77777777" w:rsidR="00631A15" w:rsidRPr="00631A15" w:rsidRDefault="00631A15" w:rsidP="00631A15">
            <w:pPr>
              <w:jc w:val="center"/>
              <w:rPr>
                <w:rFonts w:ascii="Calibri" w:hAnsi="Calibri"/>
                <w:b/>
                <w:bCs/>
                <w:color w:val="000000"/>
                <w:sz w:val="22"/>
                <w:szCs w:val="22"/>
              </w:rPr>
            </w:pPr>
            <w:r w:rsidRPr="00631A15">
              <w:rPr>
                <w:rFonts w:ascii="Calibri" w:hAnsi="Calibri"/>
                <w:b/>
                <w:bCs/>
                <w:color w:val="000000"/>
                <w:sz w:val="22"/>
                <w:szCs w:val="22"/>
              </w:rPr>
              <w:t>estimate</w:t>
            </w:r>
          </w:p>
        </w:tc>
        <w:tc>
          <w:tcPr>
            <w:tcW w:w="687" w:type="dxa"/>
            <w:tcBorders>
              <w:top w:val="nil"/>
              <w:left w:val="nil"/>
              <w:bottom w:val="single" w:sz="8" w:space="0" w:color="auto"/>
              <w:right w:val="nil"/>
            </w:tcBorders>
            <w:shd w:val="clear" w:color="auto" w:fill="auto"/>
            <w:noWrap/>
            <w:vAlign w:val="bottom"/>
            <w:hideMark/>
          </w:tcPr>
          <w:p w14:paraId="327115B8" w14:textId="77777777" w:rsidR="00631A15" w:rsidRPr="00631A15" w:rsidRDefault="00631A15" w:rsidP="00631A15">
            <w:pPr>
              <w:jc w:val="center"/>
              <w:rPr>
                <w:rFonts w:ascii="Calibri" w:hAnsi="Calibri"/>
                <w:b/>
                <w:bCs/>
                <w:color w:val="000000"/>
                <w:sz w:val="22"/>
                <w:szCs w:val="22"/>
              </w:rPr>
            </w:pPr>
            <w:r w:rsidRPr="00631A15">
              <w:rPr>
                <w:rFonts w:ascii="Calibri" w:hAnsi="Calibri"/>
                <w:b/>
                <w:bCs/>
                <w:color w:val="000000"/>
                <w:sz w:val="22"/>
                <w:szCs w:val="22"/>
              </w:rPr>
              <w:t>SE</w:t>
            </w:r>
          </w:p>
        </w:tc>
        <w:tc>
          <w:tcPr>
            <w:tcW w:w="544" w:type="dxa"/>
            <w:tcBorders>
              <w:top w:val="nil"/>
              <w:left w:val="nil"/>
              <w:bottom w:val="single" w:sz="8" w:space="0" w:color="auto"/>
              <w:right w:val="nil"/>
            </w:tcBorders>
            <w:shd w:val="clear" w:color="auto" w:fill="auto"/>
            <w:noWrap/>
            <w:vAlign w:val="center"/>
            <w:hideMark/>
          </w:tcPr>
          <w:p w14:paraId="375B09CA" w14:textId="77777777" w:rsidR="00631A15" w:rsidRPr="00631A15" w:rsidRDefault="00631A15" w:rsidP="00631A15">
            <w:pPr>
              <w:jc w:val="center"/>
              <w:rPr>
                <w:rFonts w:ascii="Calibri" w:hAnsi="Calibri"/>
                <w:b/>
                <w:bCs/>
                <w:i/>
                <w:iCs/>
                <w:color w:val="000000"/>
                <w:sz w:val="22"/>
                <w:szCs w:val="22"/>
              </w:rPr>
            </w:pPr>
            <w:r w:rsidRPr="00631A15">
              <w:rPr>
                <w:rFonts w:ascii="Calibri" w:hAnsi="Calibri"/>
                <w:b/>
                <w:bCs/>
                <w:i/>
                <w:iCs/>
                <w:color w:val="000000"/>
                <w:sz w:val="22"/>
                <w:szCs w:val="22"/>
              </w:rPr>
              <w:t>p</w:t>
            </w:r>
          </w:p>
        </w:tc>
      </w:tr>
      <w:tr w:rsidR="00631A15" w:rsidRPr="00631A15" w14:paraId="56E0DB51" w14:textId="77777777" w:rsidTr="00631A15">
        <w:trPr>
          <w:trHeight w:val="120"/>
        </w:trPr>
        <w:tc>
          <w:tcPr>
            <w:tcW w:w="1060" w:type="dxa"/>
            <w:tcBorders>
              <w:top w:val="nil"/>
              <w:left w:val="nil"/>
              <w:bottom w:val="nil"/>
              <w:right w:val="nil"/>
            </w:tcBorders>
            <w:shd w:val="clear" w:color="auto" w:fill="auto"/>
            <w:noWrap/>
            <w:vAlign w:val="bottom"/>
            <w:hideMark/>
          </w:tcPr>
          <w:p w14:paraId="3FAFFBF6" w14:textId="77777777" w:rsidR="00631A15" w:rsidRPr="00631A15" w:rsidRDefault="00631A15" w:rsidP="00631A15">
            <w:pPr>
              <w:jc w:val="center"/>
              <w:rPr>
                <w:rFonts w:ascii="Calibri" w:hAnsi="Calibri"/>
                <w:b/>
                <w:bCs/>
                <w:i/>
                <w:iCs/>
                <w:color w:val="000000"/>
                <w:sz w:val="22"/>
                <w:szCs w:val="22"/>
              </w:rPr>
            </w:pPr>
          </w:p>
        </w:tc>
        <w:tc>
          <w:tcPr>
            <w:tcW w:w="1060" w:type="dxa"/>
            <w:tcBorders>
              <w:top w:val="nil"/>
              <w:left w:val="nil"/>
              <w:bottom w:val="nil"/>
              <w:right w:val="nil"/>
            </w:tcBorders>
            <w:shd w:val="clear" w:color="auto" w:fill="auto"/>
            <w:noWrap/>
            <w:vAlign w:val="bottom"/>
            <w:hideMark/>
          </w:tcPr>
          <w:p w14:paraId="5D61ED79" w14:textId="77777777" w:rsidR="00631A15" w:rsidRPr="00631A15" w:rsidRDefault="00631A15" w:rsidP="00631A15">
            <w:pPr>
              <w:jc w:val="center"/>
              <w:rPr>
                <w:sz w:val="20"/>
                <w:szCs w:val="20"/>
              </w:rPr>
            </w:pPr>
          </w:p>
        </w:tc>
        <w:tc>
          <w:tcPr>
            <w:tcW w:w="820" w:type="dxa"/>
            <w:tcBorders>
              <w:top w:val="nil"/>
              <w:left w:val="nil"/>
              <w:bottom w:val="nil"/>
              <w:right w:val="nil"/>
            </w:tcBorders>
            <w:shd w:val="clear" w:color="auto" w:fill="auto"/>
            <w:noWrap/>
            <w:vAlign w:val="bottom"/>
            <w:hideMark/>
          </w:tcPr>
          <w:p w14:paraId="10E02462" w14:textId="77777777" w:rsidR="00631A15" w:rsidRPr="00631A15" w:rsidRDefault="00631A15" w:rsidP="00631A15">
            <w:pPr>
              <w:jc w:val="center"/>
              <w:rPr>
                <w:sz w:val="20"/>
                <w:szCs w:val="20"/>
              </w:rPr>
            </w:pPr>
          </w:p>
        </w:tc>
        <w:tc>
          <w:tcPr>
            <w:tcW w:w="100" w:type="dxa"/>
            <w:tcBorders>
              <w:top w:val="nil"/>
              <w:left w:val="nil"/>
              <w:bottom w:val="nil"/>
              <w:right w:val="nil"/>
            </w:tcBorders>
            <w:shd w:val="clear" w:color="auto" w:fill="auto"/>
            <w:noWrap/>
            <w:vAlign w:val="bottom"/>
            <w:hideMark/>
          </w:tcPr>
          <w:p w14:paraId="01E08CE3" w14:textId="77777777" w:rsidR="00631A15" w:rsidRPr="00631A15" w:rsidRDefault="00631A15" w:rsidP="00631A15">
            <w:pPr>
              <w:jc w:val="center"/>
              <w:rPr>
                <w:sz w:val="20"/>
                <w:szCs w:val="20"/>
              </w:rPr>
            </w:pPr>
          </w:p>
        </w:tc>
        <w:tc>
          <w:tcPr>
            <w:tcW w:w="1078" w:type="dxa"/>
            <w:tcBorders>
              <w:top w:val="nil"/>
              <w:left w:val="nil"/>
              <w:bottom w:val="nil"/>
              <w:right w:val="nil"/>
            </w:tcBorders>
            <w:shd w:val="clear" w:color="auto" w:fill="auto"/>
            <w:noWrap/>
            <w:vAlign w:val="bottom"/>
            <w:hideMark/>
          </w:tcPr>
          <w:p w14:paraId="1E89864E" w14:textId="77777777" w:rsidR="00631A15" w:rsidRPr="00631A15" w:rsidRDefault="00631A15" w:rsidP="00631A15">
            <w:pPr>
              <w:jc w:val="center"/>
              <w:rPr>
                <w:sz w:val="20"/>
                <w:szCs w:val="20"/>
              </w:rPr>
            </w:pPr>
          </w:p>
        </w:tc>
        <w:tc>
          <w:tcPr>
            <w:tcW w:w="687" w:type="dxa"/>
            <w:tcBorders>
              <w:top w:val="nil"/>
              <w:left w:val="nil"/>
              <w:bottom w:val="nil"/>
              <w:right w:val="nil"/>
            </w:tcBorders>
            <w:shd w:val="clear" w:color="auto" w:fill="auto"/>
            <w:noWrap/>
            <w:vAlign w:val="bottom"/>
            <w:hideMark/>
          </w:tcPr>
          <w:p w14:paraId="1CF22DC4" w14:textId="77777777" w:rsidR="00631A15" w:rsidRPr="00631A15" w:rsidRDefault="00631A15" w:rsidP="00631A15">
            <w:pPr>
              <w:jc w:val="center"/>
              <w:rPr>
                <w:sz w:val="20"/>
                <w:szCs w:val="20"/>
              </w:rPr>
            </w:pPr>
          </w:p>
        </w:tc>
        <w:tc>
          <w:tcPr>
            <w:tcW w:w="544" w:type="dxa"/>
            <w:tcBorders>
              <w:top w:val="nil"/>
              <w:left w:val="nil"/>
              <w:bottom w:val="nil"/>
              <w:right w:val="nil"/>
            </w:tcBorders>
            <w:shd w:val="clear" w:color="auto" w:fill="auto"/>
            <w:noWrap/>
            <w:vAlign w:val="bottom"/>
            <w:hideMark/>
          </w:tcPr>
          <w:p w14:paraId="11D27100" w14:textId="77777777" w:rsidR="00631A15" w:rsidRPr="00631A15" w:rsidRDefault="00631A15" w:rsidP="00631A15">
            <w:pPr>
              <w:jc w:val="center"/>
              <w:rPr>
                <w:sz w:val="20"/>
                <w:szCs w:val="20"/>
              </w:rPr>
            </w:pPr>
          </w:p>
        </w:tc>
        <w:tc>
          <w:tcPr>
            <w:tcW w:w="103" w:type="dxa"/>
            <w:tcBorders>
              <w:top w:val="nil"/>
              <w:left w:val="nil"/>
              <w:bottom w:val="nil"/>
              <w:right w:val="nil"/>
            </w:tcBorders>
            <w:shd w:val="clear" w:color="auto" w:fill="auto"/>
            <w:noWrap/>
            <w:vAlign w:val="bottom"/>
            <w:hideMark/>
          </w:tcPr>
          <w:p w14:paraId="5145DAB3" w14:textId="77777777" w:rsidR="00631A15" w:rsidRPr="00631A15" w:rsidRDefault="00631A15" w:rsidP="00631A15">
            <w:pPr>
              <w:jc w:val="center"/>
              <w:rPr>
                <w:sz w:val="20"/>
                <w:szCs w:val="20"/>
              </w:rPr>
            </w:pPr>
          </w:p>
        </w:tc>
        <w:tc>
          <w:tcPr>
            <w:tcW w:w="1077" w:type="dxa"/>
            <w:tcBorders>
              <w:top w:val="nil"/>
              <w:left w:val="nil"/>
              <w:bottom w:val="nil"/>
              <w:right w:val="nil"/>
            </w:tcBorders>
            <w:shd w:val="clear" w:color="auto" w:fill="auto"/>
            <w:noWrap/>
            <w:vAlign w:val="bottom"/>
            <w:hideMark/>
          </w:tcPr>
          <w:p w14:paraId="7FE3ECB9" w14:textId="77777777" w:rsidR="00631A15" w:rsidRPr="00631A15" w:rsidRDefault="00631A15" w:rsidP="00631A15">
            <w:pPr>
              <w:jc w:val="center"/>
              <w:rPr>
                <w:sz w:val="20"/>
                <w:szCs w:val="20"/>
              </w:rPr>
            </w:pPr>
          </w:p>
        </w:tc>
        <w:tc>
          <w:tcPr>
            <w:tcW w:w="687" w:type="dxa"/>
            <w:tcBorders>
              <w:top w:val="nil"/>
              <w:left w:val="nil"/>
              <w:bottom w:val="nil"/>
              <w:right w:val="nil"/>
            </w:tcBorders>
            <w:shd w:val="clear" w:color="auto" w:fill="auto"/>
            <w:noWrap/>
            <w:vAlign w:val="bottom"/>
            <w:hideMark/>
          </w:tcPr>
          <w:p w14:paraId="65FD8465" w14:textId="77777777" w:rsidR="00631A15" w:rsidRPr="00631A15" w:rsidRDefault="00631A15" w:rsidP="00631A15">
            <w:pPr>
              <w:jc w:val="center"/>
              <w:rPr>
                <w:sz w:val="20"/>
                <w:szCs w:val="20"/>
              </w:rPr>
            </w:pPr>
          </w:p>
        </w:tc>
        <w:tc>
          <w:tcPr>
            <w:tcW w:w="544" w:type="dxa"/>
            <w:tcBorders>
              <w:top w:val="nil"/>
              <w:left w:val="nil"/>
              <w:bottom w:val="nil"/>
              <w:right w:val="nil"/>
            </w:tcBorders>
            <w:shd w:val="clear" w:color="auto" w:fill="auto"/>
            <w:noWrap/>
            <w:vAlign w:val="bottom"/>
            <w:hideMark/>
          </w:tcPr>
          <w:p w14:paraId="49CCF507" w14:textId="77777777" w:rsidR="00631A15" w:rsidRPr="00631A15" w:rsidRDefault="00631A15" w:rsidP="00631A15">
            <w:pPr>
              <w:jc w:val="center"/>
              <w:rPr>
                <w:sz w:val="20"/>
                <w:szCs w:val="20"/>
              </w:rPr>
            </w:pPr>
          </w:p>
        </w:tc>
      </w:tr>
      <w:tr w:rsidR="00631A15" w:rsidRPr="00631A15" w14:paraId="0EEECCF8" w14:textId="77777777" w:rsidTr="00631A15">
        <w:trPr>
          <w:trHeight w:val="300"/>
        </w:trPr>
        <w:tc>
          <w:tcPr>
            <w:tcW w:w="1060" w:type="dxa"/>
            <w:tcBorders>
              <w:top w:val="nil"/>
              <w:left w:val="nil"/>
              <w:bottom w:val="nil"/>
              <w:right w:val="nil"/>
            </w:tcBorders>
            <w:shd w:val="clear" w:color="auto" w:fill="auto"/>
            <w:noWrap/>
            <w:vAlign w:val="bottom"/>
            <w:hideMark/>
          </w:tcPr>
          <w:p w14:paraId="0B4AA119" w14:textId="77777777" w:rsidR="00631A15" w:rsidRPr="00631A15" w:rsidRDefault="00631A15" w:rsidP="00631A15">
            <w:pPr>
              <w:jc w:val="center"/>
              <w:rPr>
                <w:rFonts w:ascii="Calibri" w:hAnsi="Calibri"/>
                <w:b/>
                <w:bCs/>
                <w:color w:val="000000"/>
                <w:sz w:val="22"/>
                <w:szCs w:val="22"/>
              </w:rPr>
            </w:pPr>
            <w:r w:rsidRPr="00631A15">
              <w:rPr>
                <w:rFonts w:ascii="Calibri" w:hAnsi="Calibri"/>
                <w:b/>
                <w:bCs/>
                <w:color w:val="000000"/>
                <w:sz w:val="22"/>
                <w:szCs w:val="22"/>
              </w:rPr>
              <w:t>25-OH-D</w:t>
            </w:r>
          </w:p>
        </w:tc>
        <w:tc>
          <w:tcPr>
            <w:tcW w:w="1060" w:type="dxa"/>
            <w:tcBorders>
              <w:top w:val="nil"/>
              <w:left w:val="nil"/>
              <w:bottom w:val="nil"/>
              <w:right w:val="nil"/>
            </w:tcBorders>
            <w:shd w:val="clear" w:color="auto" w:fill="auto"/>
            <w:noWrap/>
            <w:vAlign w:val="bottom"/>
            <w:hideMark/>
          </w:tcPr>
          <w:p w14:paraId="4912FA6C" w14:textId="77777777" w:rsidR="00631A15" w:rsidRPr="00631A15" w:rsidRDefault="00631A15" w:rsidP="00631A15">
            <w:pPr>
              <w:jc w:val="center"/>
              <w:rPr>
                <w:rFonts w:ascii="Calibri" w:hAnsi="Calibri"/>
                <w:b/>
                <w:bCs/>
                <w:color w:val="000000"/>
                <w:sz w:val="22"/>
                <w:szCs w:val="22"/>
              </w:rPr>
            </w:pPr>
            <w:r w:rsidRPr="00631A15">
              <w:rPr>
                <w:rFonts w:ascii="Calibri" w:hAnsi="Calibri"/>
                <w:b/>
                <w:bCs/>
                <w:color w:val="000000"/>
                <w:sz w:val="22"/>
                <w:szCs w:val="22"/>
              </w:rPr>
              <w:t>MDD</w:t>
            </w:r>
          </w:p>
        </w:tc>
        <w:tc>
          <w:tcPr>
            <w:tcW w:w="820" w:type="dxa"/>
            <w:tcBorders>
              <w:top w:val="nil"/>
              <w:left w:val="nil"/>
              <w:bottom w:val="nil"/>
              <w:right w:val="nil"/>
            </w:tcBorders>
            <w:shd w:val="clear" w:color="auto" w:fill="auto"/>
            <w:noWrap/>
            <w:vAlign w:val="bottom"/>
            <w:hideMark/>
          </w:tcPr>
          <w:p w14:paraId="781DDFDE" w14:textId="77777777" w:rsidR="00631A15" w:rsidRPr="00631A15" w:rsidRDefault="00631A15" w:rsidP="00631A15">
            <w:pPr>
              <w:jc w:val="center"/>
              <w:rPr>
                <w:rFonts w:ascii="Calibri" w:hAnsi="Calibri"/>
                <w:b/>
                <w:bCs/>
                <w:color w:val="000000"/>
                <w:sz w:val="22"/>
                <w:szCs w:val="22"/>
              </w:rPr>
            </w:pPr>
            <w:r w:rsidRPr="00631A15">
              <w:rPr>
                <w:rFonts w:ascii="Calibri" w:hAnsi="Calibri"/>
                <w:b/>
                <w:bCs/>
                <w:color w:val="000000"/>
                <w:sz w:val="22"/>
                <w:szCs w:val="22"/>
              </w:rPr>
              <w:t>6</w:t>
            </w:r>
          </w:p>
        </w:tc>
        <w:tc>
          <w:tcPr>
            <w:tcW w:w="100" w:type="dxa"/>
            <w:tcBorders>
              <w:top w:val="nil"/>
              <w:left w:val="nil"/>
              <w:bottom w:val="nil"/>
              <w:right w:val="nil"/>
            </w:tcBorders>
            <w:shd w:val="clear" w:color="auto" w:fill="auto"/>
            <w:noWrap/>
            <w:vAlign w:val="bottom"/>
            <w:hideMark/>
          </w:tcPr>
          <w:p w14:paraId="2D22314C" w14:textId="77777777" w:rsidR="00631A15" w:rsidRPr="00631A15" w:rsidRDefault="00631A15" w:rsidP="00631A15">
            <w:pPr>
              <w:jc w:val="center"/>
              <w:rPr>
                <w:rFonts w:ascii="Calibri" w:hAnsi="Calibri"/>
                <w:b/>
                <w:bCs/>
                <w:color w:val="000000"/>
                <w:sz w:val="22"/>
                <w:szCs w:val="22"/>
              </w:rPr>
            </w:pPr>
          </w:p>
        </w:tc>
        <w:tc>
          <w:tcPr>
            <w:tcW w:w="1078" w:type="dxa"/>
            <w:tcBorders>
              <w:top w:val="nil"/>
              <w:left w:val="nil"/>
              <w:bottom w:val="nil"/>
              <w:right w:val="nil"/>
            </w:tcBorders>
            <w:shd w:val="clear" w:color="auto" w:fill="auto"/>
            <w:noWrap/>
            <w:vAlign w:val="bottom"/>
            <w:hideMark/>
          </w:tcPr>
          <w:p w14:paraId="13CA0EF2" w14:textId="77777777" w:rsidR="00631A15" w:rsidRPr="00631A15" w:rsidRDefault="00631A15" w:rsidP="00631A15">
            <w:pPr>
              <w:jc w:val="center"/>
              <w:rPr>
                <w:rFonts w:ascii="Calibri" w:hAnsi="Calibri"/>
                <w:color w:val="000000"/>
                <w:sz w:val="22"/>
                <w:szCs w:val="22"/>
              </w:rPr>
            </w:pPr>
            <w:r w:rsidRPr="00631A15">
              <w:rPr>
                <w:rFonts w:ascii="Calibri" w:hAnsi="Calibri"/>
                <w:color w:val="000000"/>
                <w:sz w:val="22"/>
                <w:szCs w:val="22"/>
              </w:rPr>
              <w:t>0.004</w:t>
            </w:r>
          </w:p>
        </w:tc>
        <w:tc>
          <w:tcPr>
            <w:tcW w:w="687" w:type="dxa"/>
            <w:tcBorders>
              <w:top w:val="nil"/>
              <w:left w:val="nil"/>
              <w:bottom w:val="nil"/>
              <w:right w:val="nil"/>
            </w:tcBorders>
            <w:shd w:val="clear" w:color="auto" w:fill="auto"/>
            <w:noWrap/>
            <w:vAlign w:val="bottom"/>
            <w:hideMark/>
          </w:tcPr>
          <w:p w14:paraId="49AC27B0" w14:textId="77777777" w:rsidR="00631A15" w:rsidRPr="00631A15" w:rsidRDefault="00631A15" w:rsidP="00631A15">
            <w:pPr>
              <w:jc w:val="center"/>
              <w:rPr>
                <w:rFonts w:ascii="Calibri" w:hAnsi="Calibri"/>
                <w:color w:val="000000"/>
                <w:sz w:val="22"/>
                <w:szCs w:val="22"/>
              </w:rPr>
            </w:pPr>
            <w:r w:rsidRPr="00631A15">
              <w:rPr>
                <w:rFonts w:ascii="Calibri" w:hAnsi="Calibri"/>
                <w:color w:val="000000"/>
                <w:sz w:val="22"/>
                <w:szCs w:val="22"/>
              </w:rPr>
              <w:t>0.01</w:t>
            </w:r>
          </w:p>
        </w:tc>
        <w:tc>
          <w:tcPr>
            <w:tcW w:w="544" w:type="dxa"/>
            <w:tcBorders>
              <w:top w:val="nil"/>
              <w:left w:val="nil"/>
              <w:bottom w:val="nil"/>
              <w:right w:val="nil"/>
            </w:tcBorders>
            <w:shd w:val="clear" w:color="auto" w:fill="auto"/>
            <w:noWrap/>
            <w:vAlign w:val="center"/>
            <w:hideMark/>
          </w:tcPr>
          <w:p w14:paraId="6C7B799B" w14:textId="77777777" w:rsidR="00631A15" w:rsidRPr="00631A15" w:rsidRDefault="00631A15" w:rsidP="00631A15">
            <w:pPr>
              <w:jc w:val="center"/>
              <w:rPr>
                <w:rFonts w:ascii="Calibri" w:hAnsi="Calibri"/>
                <w:color w:val="000000"/>
                <w:sz w:val="22"/>
                <w:szCs w:val="22"/>
              </w:rPr>
            </w:pPr>
            <w:r w:rsidRPr="00631A15">
              <w:rPr>
                <w:rFonts w:ascii="Calibri" w:hAnsi="Calibri"/>
                <w:color w:val="000000"/>
                <w:sz w:val="22"/>
                <w:szCs w:val="22"/>
              </w:rPr>
              <w:t>0.74</w:t>
            </w:r>
          </w:p>
        </w:tc>
        <w:tc>
          <w:tcPr>
            <w:tcW w:w="103" w:type="dxa"/>
            <w:tcBorders>
              <w:top w:val="nil"/>
              <w:left w:val="nil"/>
              <w:bottom w:val="nil"/>
              <w:right w:val="nil"/>
            </w:tcBorders>
            <w:shd w:val="clear" w:color="auto" w:fill="auto"/>
            <w:noWrap/>
            <w:vAlign w:val="bottom"/>
            <w:hideMark/>
          </w:tcPr>
          <w:p w14:paraId="57F51403" w14:textId="77777777" w:rsidR="00631A15" w:rsidRPr="00631A15" w:rsidRDefault="00631A15" w:rsidP="00631A15">
            <w:pPr>
              <w:jc w:val="center"/>
              <w:rPr>
                <w:rFonts w:ascii="Calibri" w:hAnsi="Calibri"/>
                <w:color w:val="000000"/>
                <w:sz w:val="22"/>
                <w:szCs w:val="22"/>
              </w:rPr>
            </w:pPr>
          </w:p>
        </w:tc>
        <w:tc>
          <w:tcPr>
            <w:tcW w:w="1077" w:type="dxa"/>
            <w:tcBorders>
              <w:top w:val="nil"/>
              <w:left w:val="nil"/>
              <w:bottom w:val="nil"/>
              <w:right w:val="nil"/>
            </w:tcBorders>
            <w:shd w:val="clear" w:color="auto" w:fill="auto"/>
            <w:noWrap/>
            <w:vAlign w:val="bottom"/>
            <w:hideMark/>
          </w:tcPr>
          <w:p w14:paraId="700D95B9" w14:textId="77777777" w:rsidR="00631A15" w:rsidRPr="00631A15" w:rsidRDefault="00631A15" w:rsidP="00631A15">
            <w:pPr>
              <w:jc w:val="center"/>
              <w:rPr>
                <w:rFonts w:ascii="Calibri" w:hAnsi="Calibri"/>
                <w:color w:val="000000"/>
                <w:sz w:val="22"/>
                <w:szCs w:val="22"/>
              </w:rPr>
            </w:pPr>
            <w:r w:rsidRPr="00631A15">
              <w:rPr>
                <w:rFonts w:ascii="Calibri" w:hAnsi="Calibri"/>
                <w:color w:val="000000"/>
                <w:sz w:val="22"/>
                <w:szCs w:val="22"/>
              </w:rPr>
              <w:t>-0.03</w:t>
            </w:r>
          </w:p>
        </w:tc>
        <w:tc>
          <w:tcPr>
            <w:tcW w:w="687" w:type="dxa"/>
            <w:tcBorders>
              <w:top w:val="nil"/>
              <w:left w:val="nil"/>
              <w:bottom w:val="nil"/>
              <w:right w:val="nil"/>
            </w:tcBorders>
            <w:shd w:val="clear" w:color="auto" w:fill="auto"/>
            <w:noWrap/>
            <w:vAlign w:val="bottom"/>
            <w:hideMark/>
          </w:tcPr>
          <w:p w14:paraId="5435C3DB" w14:textId="77777777" w:rsidR="00631A15" w:rsidRPr="00631A15" w:rsidRDefault="00631A15" w:rsidP="00631A15">
            <w:pPr>
              <w:jc w:val="center"/>
              <w:rPr>
                <w:rFonts w:ascii="Calibri" w:hAnsi="Calibri"/>
                <w:color w:val="000000"/>
                <w:sz w:val="22"/>
                <w:szCs w:val="22"/>
              </w:rPr>
            </w:pPr>
            <w:r w:rsidRPr="00631A15">
              <w:rPr>
                <w:rFonts w:ascii="Calibri" w:hAnsi="Calibri"/>
                <w:color w:val="000000"/>
                <w:sz w:val="22"/>
                <w:szCs w:val="22"/>
              </w:rPr>
              <w:t>0.09</w:t>
            </w:r>
          </w:p>
        </w:tc>
        <w:tc>
          <w:tcPr>
            <w:tcW w:w="544" w:type="dxa"/>
            <w:tcBorders>
              <w:top w:val="nil"/>
              <w:left w:val="nil"/>
              <w:bottom w:val="nil"/>
              <w:right w:val="nil"/>
            </w:tcBorders>
            <w:shd w:val="clear" w:color="auto" w:fill="auto"/>
            <w:noWrap/>
            <w:vAlign w:val="bottom"/>
            <w:hideMark/>
          </w:tcPr>
          <w:p w14:paraId="2DA786E5" w14:textId="77777777" w:rsidR="00631A15" w:rsidRPr="00631A15" w:rsidRDefault="00631A15" w:rsidP="00631A15">
            <w:pPr>
              <w:jc w:val="center"/>
              <w:rPr>
                <w:rFonts w:ascii="Calibri" w:hAnsi="Calibri"/>
                <w:color w:val="000000"/>
                <w:sz w:val="22"/>
                <w:szCs w:val="22"/>
              </w:rPr>
            </w:pPr>
            <w:r w:rsidRPr="00631A15">
              <w:rPr>
                <w:rFonts w:ascii="Calibri" w:hAnsi="Calibri"/>
                <w:color w:val="000000"/>
                <w:sz w:val="22"/>
                <w:szCs w:val="22"/>
              </w:rPr>
              <w:t>0.71</w:t>
            </w:r>
          </w:p>
        </w:tc>
      </w:tr>
      <w:tr w:rsidR="00631A15" w:rsidRPr="00631A15" w14:paraId="522ED38B" w14:textId="77777777" w:rsidTr="00631A15">
        <w:trPr>
          <w:trHeight w:val="120"/>
        </w:trPr>
        <w:tc>
          <w:tcPr>
            <w:tcW w:w="1060" w:type="dxa"/>
            <w:tcBorders>
              <w:top w:val="nil"/>
              <w:left w:val="nil"/>
              <w:bottom w:val="nil"/>
              <w:right w:val="nil"/>
            </w:tcBorders>
            <w:shd w:val="clear" w:color="auto" w:fill="auto"/>
            <w:noWrap/>
            <w:vAlign w:val="bottom"/>
            <w:hideMark/>
          </w:tcPr>
          <w:p w14:paraId="7A3A0E65" w14:textId="77777777" w:rsidR="00631A15" w:rsidRPr="00631A15" w:rsidRDefault="00631A15" w:rsidP="00631A15">
            <w:pPr>
              <w:jc w:val="center"/>
              <w:rPr>
                <w:rFonts w:ascii="Calibri" w:hAnsi="Calibri"/>
                <w:color w:val="000000"/>
                <w:sz w:val="22"/>
                <w:szCs w:val="22"/>
              </w:rPr>
            </w:pPr>
          </w:p>
        </w:tc>
        <w:tc>
          <w:tcPr>
            <w:tcW w:w="1060" w:type="dxa"/>
            <w:tcBorders>
              <w:top w:val="nil"/>
              <w:left w:val="nil"/>
              <w:bottom w:val="nil"/>
              <w:right w:val="nil"/>
            </w:tcBorders>
            <w:shd w:val="clear" w:color="auto" w:fill="auto"/>
            <w:noWrap/>
            <w:vAlign w:val="bottom"/>
            <w:hideMark/>
          </w:tcPr>
          <w:p w14:paraId="204743C3" w14:textId="77777777" w:rsidR="00631A15" w:rsidRPr="00631A15" w:rsidRDefault="00631A15" w:rsidP="00631A15">
            <w:pPr>
              <w:jc w:val="center"/>
              <w:rPr>
                <w:sz w:val="20"/>
                <w:szCs w:val="20"/>
              </w:rPr>
            </w:pPr>
          </w:p>
        </w:tc>
        <w:tc>
          <w:tcPr>
            <w:tcW w:w="820" w:type="dxa"/>
            <w:tcBorders>
              <w:top w:val="nil"/>
              <w:left w:val="nil"/>
              <w:bottom w:val="nil"/>
              <w:right w:val="nil"/>
            </w:tcBorders>
            <w:shd w:val="clear" w:color="auto" w:fill="auto"/>
            <w:noWrap/>
            <w:vAlign w:val="bottom"/>
            <w:hideMark/>
          </w:tcPr>
          <w:p w14:paraId="68FF481C" w14:textId="77777777" w:rsidR="00631A15" w:rsidRPr="00631A15" w:rsidRDefault="00631A15" w:rsidP="00631A15">
            <w:pPr>
              <w:jc w:val="center"/>
              <w:rPr>
                <w:sz w:val="20"/>
                <w:szCs w:val="20"/>
              </w:rPr>
            </w:pPr>
          </w:p>
        </w:tc>
        <w:tc>
          <w:tcPr>
            <w:tcW w:w="100" w:type="dxa"/>
            <w:tcBorders>
              <w:top w:val="nil"/>
              <w:left w:val="nil"/>
              <w:bottom w:val="nil"/>
              <w:right w:val="nil"/>
            </w:tcBorders>
            <w:shd w:val="clear" w:color="auto" w:fill="auto"/>
            <w:noWrap/>
            <w:vAlign w:val="bottom"/>
            <w:hideMark/>
          </w:tcPr>
          <w:p w14:paraId="247E43D3" w14:textId="77777777" w:rsidR="00631A15" w:rsidRPr="00631A15" w:rsidRDefault="00631A15" w:rsidP="00631A15">
            <w:pPr>
              <w:jc w:val="center"/>
              <w:rPr>
                <w:sz w:val="20"/>
                <w:szCs w:val="20"/>
              </w:rPr>
            </w:pPr>
          </w:p>
        </w:tc>
        <w:tc>
          <w:tcPr>
            <w:tcW w:w="1078" w:type="dxa"/>
            <w:tcBorders>
              <w:top w:val="nil"/>
              <w:left w:val="nil"/>
              <w:bottom w:val="nil"/>
              <w:right w:val="nil"/>
            </w:tcBorders>
            <w:shd w:val="clear" w:color="auto" w:fill="auto"/>
            <w:noWrap/>
            <w:vAlign w:val="bottom"/>
            <w:hideMark/>
          </w:tcPr>
          <w:p w14:paraId="1AFCAD7A" w14:textId="77777777" w:rsidR="00631A15" w:rsidRPr="00631A15" w:rsidRDefault="00631A15" w:rsidP="00631A15">
            <w:pPr>
              <w:jc w:val="center"/>
              <w:rPr>
                <w:sz w:val="20"/>
                <w:szCs w:val="20"/>
              </w:rPr>
            </w:pPr>
          </w:p>
        </w:tc>
        <w:tc>
          <w:tcPr>
            <w:tcW w:w="687" w:type="dxa"/>
            <w:tcBorders>
              <w:top w:val="nil"/>
              <w:left w:val="nil"/>
              <w:bottom w:val="nil"/>
              <w:right w:val="nil"/>
            </w:tcBorders>
            <w:shd w:val="clear" w:color="auto" w:fill="auto"/>
            <w:noWrap/>
            <w:vAlign w:val="bottom"/>
            <w:hideMark/>
          </w:tcPr>
          <w:p w14:paraId="6A97E128" w14:textId="77777777" w:rsidR="00631A15" w:rsidRPr="00631A15" w:rsidRDefault="00631A15" w:rsidP="00631A15">
            <w:pPr>
              <w:jc w:val="center"/>
              <w:rPr>
                <w:sz w:val="20"/>
                <w:szCs w:val="20"/>
              </w:rPr>
            </w:pPr>
          </w:p>
        </w:tc>
        <w:tc>
          <w:tcPr>
            <w:tcW w:w="544" w:type="dxa"/>
            <w:tcBorders>
              <w:top w:val="nil"/>
              <w:left w:val="nil"/>
              <w:bottom w:val="nil"/>
              <w:right w:val="nil"/>
            </w:tcBorders>
            <w:shd w:val="clear" w:color="auto" w:fill="auto"/>
            <w:noWrap/>
            <w:vAlign w:val="bottom"/>
            <w:hideMark/>
          </w:tcPr>
          <w:p w14:paraId="5FA5B271" w14:textId="77777777" w:rsidR="00631A15" w:rsidRPr="00631A15" w:rsidRDefault="00631A15" w:rsidP="00631A15">
            <w:pPr>
              <w:jc w:val="center"/>
              <w:rPr>
                <w:sz w:val="20"/>
                <w:szCs w:val="20"/>
              </w:rPr>
            </w:pPr>
          </w:p>
        </w:tc>
        <w:tc>
          <w:tcPr>
            <w:tcW w:w="103" w:type="dxa"/>
            <w:tcBorders>
              <w:top w:val="nil"/>
              <w:left w:val="nil"/>
              <w:bottom w:val="nil"/>
              <w:right w:val="nil"/>
            </w:tcBorders>
            <w:shd w:val="clear" w:color="auto" w:fill="auto"/>
            <w:noWrap/>
            <w:vAlign w:val="bottom"/>
            <w:hideMark/>
          </w:tcPr>
          <w:p w14:paraId="72BB7D01" w14:textId="77777777" w:rsidR="00631A15" w:rsidRPr="00631A15" w:rsidRDefault="00631A15" w:rsidP="00631A15">
            <w:pPr>
              <w:jc w:val="center"/>
              <w:rPr>
                <w:sz w:val="20"/>
                <w:szCs w:val="20"/>
              </w:rPr>
            </w:pPr>
          </w:p>
        </w:tc>
        <w:tc>
          <w:tcPr>
            <w:tcW w:w="1077" w:type="dxa"/>
            <w:tcBorders>
              <w:top w:val="nil"/>
              <w:left w:val="nil"/>
              <w:bottom w:val="nil"/>
              <w:right w:val="nil"/>
            </w:tcBorders>
            <w:shd w:val="clear" w:color="auto" w:fill="auto"/>
            <w:noWrap/>
            <w:vAlign w:val="bottom"/>
            <w:hideMark/>
          </w:tcPr>
          <w:p w14:paraId="1DB7750B" w14:textId="77777777" w:rsidR="00631A15" w:rsidRPr="00631A15" w:rsidRDefault="00631A15" w:rsidP="00631A15">
            <w:pPr>
              <w:jc w:val="center"/>
              <w:rPr>
                <w:sz w:val="20"/>
                <w:szCs w:val="20"/>
              </w:rPr>
            </w:pPr>
          </w:p>
        </w:tc>
        <w:tc>
          <w:tcPr>
            <w:tcW w:w="687" w:type="dxa"/>
            <w:tcBorders>
              <w:top w:val="nil"/>
              <w:left w:val="nil"/>
              <w:bottom w:val="nil"/>
              <w:right w:val="nil"/>
            </w:tcBorders>
            <w:shd w:val="clear" w:color="auto" w:fill="auto"/>
            <w:noWrap/>
            <w:vAlign w:val="bottom"/>
            <w:hideMark/>
          </w:tcPr>
          <w:p w14:paraId="2211ED35" w14:textId="77777777" w:rsidR="00631A15" w:rsidRPr="00631A15" w:rsidRDefault="00631A15" w:rsidP="00631A15">
            <w:pPr>
              <w:jc w:val="center"/>
              <w:rPr>
                <w:sz w:val="20"/>
                <w:szCs w:val="20"/>
              </w:rPr>
            </w:pPr>
          </w:p>
        </w:tc>
        <w:tc>
          <w:tcPr>
            <w:tcW w:w="544" w:type="dxa"/>
            <w:tcBorders>
              <w:top w:val="nil"/>
              <w:left w:val="nil"/>
              <w:bottom w:val="nil"/>
              <w:right w:val="nil"/>
            </w:tcBorders>
            <w:shd w:val="clear" w:color="auto" w:fill="auto"/>
            <w:noWrap/>
            <w:vAlign w:val="bottom"/>
            <w:hideMark/>
          </w:tcPr>
          <w:p w14:paraId="24C5C54D" w14:textId="77777777" w:rsidR="00631A15" w:rsidRPr="00631A15" w:rsidRDefault="00631A15" w:rsidP="00631A15">
            <w:pPr>
              <w:jc w:val="center"/>
              <w:rPr>
                <w:sz w:val="20"/>
                <w:szCs w:val="20"/>
              </w:rPr>
            </w:pPr>
          </w:p>
        </w:tc>
      </w:tr>
      <w:tr w:rsidR="00631A15" w:rsidRPr="00631A15" w14:paraId="46E9E50C" w14:textId="77777777" w:rsidTr="00631A15">
        <w:trPr>
          <w:trHeight w:val="300"/>
        </w:trPr>
        <w:tc>
          <w:tcPr>
            <w:tcW w:w="1060" w:type="dxa"/>
            <w:tcBorders>
              <w:top w:val="nil"/>
              <w:left w:val="nil"/>
              <w:bottom w:val="nil"/>
              <w:right w:val="nil"/>
            </w:tcBorders>
            <w:shd w:val="clear" w:color="auto" w:fill="auto"/>
            <w:noWrap/>
            <w:vAlign w:val="bottom"/>
            <w:hideMark/>
          </w:tcPr>
          <w:p w14:paraId="69765AA7" w14:textId="3FF57DA2" w:rsidR="00631A15" w:rsidRPr="00631A15" w:rsidRDefault="00631A15" w:rsidP="00631A15">
            <w:pPr>
              <w:jc w:val="center"/>
              <w:rPr>
                <w:rFonts w:ascii="Calibri" w:hAnsi="Calibri"/>
                <w:b/>
                <w:bCs/>
                <w:color w:val="000000"/>
                <w:sz w:val="22"/>
                <w:szCs w:val="22"/>
              </w:rPr>
            </w:pPr>
            <w:r>
              <w:rPr>
                <w:rFonts w:ascii="Calibri" w:hAnsi="Calibri"/>
                <w:b/>
                <w:bCs/>
                <w:color w:val="000000"/>
                <w:sz w:val="22"/>
                <w:szCs w:val="22"/>
              </w:rPr>
              <w:t>n3</w:t>
            </w:r>
            <w:r w:rsidRPr="00631A15">
              <w:rPr>
                <w:rFonts w:ascii="Calibri" w:hAnsi="Calibri"/>
                <w:b/>
                <w:bCs/>
                <w:color w:val="000000"/>
                <w:sz w:val="22"/>
                <w:szCs w:val="22"/>
              </w:rPr>
              <w:t>-PUFA</w:t>
            </w:r>
          </w:p>
        </w:tc>
        <w:tc>
          <w:tcPr>
            <w:tcW w:w="1060" w:type="dxa"/>
            <w:tcBorders>
              <w:top w:val="nil"/>
              <w:left w:val="nil"/>
              <w:bottom w:val="nil"/>
              <w:right w:val="nil"/>
            </w:tcBorders>
            <w:shd w:val="clear" w:color="auto" w:fill="auto"/>
            <w:noWrap/>
            <w:vAlign w:val="bottom"/>
            <w:hideMark/>
          </w:tcPr>
          <w:p w14:paraId="7C80ACBB" w14:textId="77777777" w:rsidR="00631A15" w:rsidRPr="00631A15" w:rsidRDefault="00631A15" w:rsidP="00631A15">
            <w:pPr>
              <w:jc w:val="center"/>
              <w:rPr>
                <w:rFonts w:ascii="Calibri" w:hAnsi="Calibri"/>
                <w:b/>
                <w:bCs/>
                <w:color w:val="000000"/>
                <w:sz w:val="22"/>
                <w:szCs w:val="22"/>
              </w:rPr>
            </w:pPr>
            <w:r w:rsidRPr="00631A15">
              <w:rPr>
                <w:rFonts w:ascii="Calibri" w:hAnsi="Calibri"/>
                <w:b/>
                <w:bCs/>
                <w:color w:val="000000"/>
                <w:sz w:val="22"/>
                <w:szCs w:val="22"/>
              </w:rPr>
              <w:t>MDD</w:t>
            </w:r>
          </w:p>
        </w:tc>
        <w:tc>
          <w:tcPr>
            <w:tcW w:w="820" w:type="dxa"/>
            <w:tcBorders>
              <w:top w:val="nil"/>
              <w:left w:val="nil"/>
              <w:bottom w:val="nil"/>
              <w:right w:val="nil"/>
            </w:tcBorders>
            <w:shd w:val="clear" w:color="auto" w:fill="auto"/>
            <w:noWrap/>
            <w:vAlign w:val="bottom"/>
            <w:hideMark/>
          </w:tcPr>
          <w:p w14:paraId="6F6F69A2" w14:textId="77777777" w:rsidR="00631A15" w:rsidRPr="00631A15" w:rsidRDefault="00631A15" w:rsidP="00631A15">
            <w:pPr>
              <w:jc w:val="center"/>
              <w:rPr>
                <w:rFonts w:ascii="Calibri" w:hAnsi="Calibri"/>
                <w:b/>
                <w:bCs/>
                <w:color w:val="000000"/>
                <w:sz w:val="22"/>
                <w:szCs w:val="22"/>
              </w:rPr>
            </w:pPr>
            <w:r w:rsidRPr="00631A15">
              <w:rPr>
                <w:rFonts w:ascii="Calibri" w:hAnsi="Calibri"/>
                <w:b/>
                <w:bCs/>
                <w:color w:val="000000"/>
                <w:sz w:val="22"/>
                <w:szCs w:val="22"/>
              </w:rPr>
              <w:t>7</w:t>
            </w:r>
          </w:p>
        </w:tc>
        <w:tc>
          <w:tcPr>
            <w:tcW w:w="100" w:type="dxa"/>
            <w:tcBorders>
              <w:top w:val="nil"/>
              <w:left w:val="nil"/>
              <w:bottom w:val="nil"/>
              <w:right w:val="nil"/>
            </w:tcBorders>
            <w:shd w:val="clear" w:color="auto" w:fill="auto"/>
            <w:noWrap/>
            <w:vAlign w:val="bottom"/>
            <w:hideMark/>
          </w:tcPr>
          <w:p w14:paraId="203454AE" w14:textId="77777777" w:rsidR="00631A15" w:rsidRPr="00631A15" w:rsidRDefault="00631A15" w:rsidP="00631A15">
            <w:pPr>
              <w:jc w:val="center"/>
              <w:rPr>
                <w:rFonts w:ascii="Calibri" w:hAnsi="Calibri"/>
                <w:b/>
                <w:bCs/>
                <w:color w:val="000000"/>
                <w:sz w:val="22"/>
                <w:szCs w:val="22"/>
              </w:rPr>
            </w:pPr>
          </w:p>
        </w:tc>
        <w:tc>
          <w:tcPr>
            <w:tcW w:w="1078" w:type="dxa"/>
            <w:tcBorders>
              <w:top w:val="nil"/>
              <w:left w:val="nil"/>
              <w:bottom w:val="nil"/>
              <w:right w:val="nil"/>
            </w:tcBorders>
            <w:shd w:val="clear" w:color="auto" w:fill="auto"/>
            <w:noWrap/>
            <w:vAlign w:val="bottom"/>
            <w:hideMark/>
          </w:tcPr>
          <w:p w14:paraId="12A14F2F" w14:textId="77777777" w:rsidR="00631A15" w:rsidRPr="00631A15" w:rsidRDefault="00631A15" w:rsidP="00631A15">
            <w:pPr>
              <w:jc w:val="center"/>
              <w:rPr>
                <w:rFonts w:ascii="Calibri" w:hAnsi="Calibri"/>
                <w:color w:val="000000"/>
                <w:sz w:val="22"/>
                <w:szCs w:val="22"/>
              </w:rPr>
            </w:pPr>
            <w:r w:rsidRPr="00631A15">
              <w:rPr>
                <w:rFonts w:ascii="Calibri" w:hAnsi="Calibri"/>
                <w:color w:val="000000"/>
                <w:sz w:val="22"/>
                <w:szCs w:val="22"/>
              </w:rPr>
              <w:t>0.01</w:t>
            </w:r>
          </w:p>
        </w:tc>
        <w:tc>
          <w:tcPr>
            <w:tcW w:w="687" w:type="dxa"/>
            <w:tcBorders>
              <w:top w:val="nil"/>
              <w:left w:val="nil"/>
              <w:bottom w:val="nil"/>
              <w:right w:val="nil"/>
            </w:tcBorders>
            <w:shd w:val="clear" w:color="auto" w:fill="auto"/>
            <w:noWrap/>
            <w:vAlign w:val="bottom"/>
            <w:hideMark/>
          </w:tcPr>
          <w:p w14:paraId="51678BD9" w14:textId="77777777" w:rsidR="00631A15" w:rsidRPr="00631A15" w:rsidRDefault="00631A15" w:rsidP="00631A15">
            <w:pPr>
              <w:jc w:val="center"/>
              <w:rPr>
                <w:rFonts w:ascii="Calibri" w:hAnsi="Calibri"/>
                <w:color w:val="000000"/>
                <w:sz w:val="22"/>
                <w:szCs w:val="22"/>
              </w:rPr>
            </w:pPr>
            <w:r w:rsidRPr="00631A15">
              <w:rPr>
                <w:rFonts w:ascii="Calibri" w:hAnsi="Calibri"/>
                <w:color w:val="000000"/>
                <w:sz w:val="22"/>
                <w:szCs w:val="22"/>
              </w:rPr>
              <w:t>0.02</w:t>
            </w:r>
          </w:p>
        </w:tc>
        <w:tc>
          <w:tcPr>
            <w:tcW w:w="544" w:type="dxa"/>
            <w:tcBorders>
              <w:top w:val="nil"/>
              <w:left w:val="nil"/>
              <w:bottom w:val="nil"/>
              <w:right w:val="nil"/>
            </w:tcBorders>
            <w:shd w:val="clear" w:color="auto" w:fill="auto"/>
            <w:noWrap/>
            <w:vAlign w:val="bottom"/>
            <w:hideMark/>
          </w:tcPr>
          <w:p w14:paraId="0C6CF281" w14:textId="77777777" w:rsidR="00631A15" w:rsidRPr="00631A15" w:rsidRDefault="00631A15" w:rsidP="00631A15">
            <w:pPr>
              <w:jc w:val="center"/>
              <w:rPr>
                <w:rFonts w:ascii="Calibri" w:hAnsi="Calibri"/>
                <w:color w:val="000000"/>
                <w:sz w:val="22"/>
                <w:szCs w:val="22"/>
              </w:rPr>
            </w:pPr>
            <w:r w:rsidRPr="00631A15">
              <w:rPr>
                <w:rFonts w:ascii="Calibri" w:hAnsi="Calibri"/>
                <w:color w:val="000000"/>
                <w:sz w:val="22"/>
                <w:szCs w:val="22"/>
              </w:rPr>
              <w:t>0.71</w:t>
            </w:r>
          </w:p>
        </w:tc>
        <w:tc>
          <w:tcPr>
            <w:tcW w:w="103" w:type="dxa"/>
            <w:tcBorders>
              <w:top w:val="nil"/>
              <w:left w:val="nil"/>
              <w:bottom w:val="nil"/>
              <w:right w:val="nil"/>
            </w:tcBorders>
            <w:shd w:val="clear" w:color="auto" w:fill="auto"/>
            <w:noWrap/>
            <w:vAlign w:val="bottom"/>
            <w:hideMark/>
          </w:tcPr>
          <w:p w14:paraId="4A9FFD34" w14:textId="77777777" w:rsidR="00631A15" w:rsidRPr="00631A15" w:rsidRDefault="00631A15" w:rsidP="00631A15">
            <w:pPr>
              <w:jc w:val="center"/>
              <w:rPr>
                <w:rFonts w:ascii="Calibri" w:hAnsi="Calibri"/>
                <w:color w:val="000000"/>
                <w:sz w:val="22"/>
                <w:szCs w:val="22"/>
              </w:rPr>
            </w:pPr>
          </w:p>
        </w:tc>
        <w:tc>
          <w:tcPr>
            <w:tcW w:w="1077" w:type="dxa"/>
            <w:tcBorders>
              <w:top w:val="nil"/>
              <w:left w:val="nil"/>
              <w:bottom w:val="nil"/>
              <w:right w:val="nil"/>
            </w:tcBorders>
            <w:shd w:val="clear" w:color="auto" w:fill="auto"/>
            <w:noWrap/>
            <w:vAlign w:val="bottom"/>
            <w:hideMark/>
          </w:tcPr>
          <w:p w14:paraId="76C19286" w14:textId="77777777" w:rsidR="00631A15" w:rsidRPr="00631A15" w:rsidRDefault="00631A15" w:rsidP="00631A15">
            <w:pPr>
              <w:jc w:val="center"/>
              <w:rPr>
                <w:rFonts w:ascii="Calibri" w:hAnsi="Calibri"/>
                <w:color w:val="000000"/>
                <w:sz w:val="22"/>
                <w:szCs w:val="22"/>
              </w:rPr>
            </w:pPr>
            <w:r w:rsidRPr="00631A15">
              <w:rPr>
                <w:rFonts w:ascii="Calibri" w:hAnsi="Calibri"/>
                <w:color w:val="000000"/>
                <w:sz w:val="22"/>
                <w:szCs w:val="22"/>
              </w:rPr>
              <w:t>-0.12</w:t>
            </w:r>
          </w:p>
        </w:tc>
        <w:tc>
          <w:tcPr>
            <w:tcW w:w="687" w:type="dxa"/>
            <w:tcBorders>
              <w:top w:val="nil"/>
              <w:left w:val="nil"/>
              <w:bottom w:val="nil"/>
              <w:right w:val="nil"/>
            </w:tcBorders>
            <w:shd w:val="clear" w:color="auto" w:fill="auto"/>
            <w:noWrap/>
            <w:vAlign w:val="bottom"/>
            <w:hideMark/>
          </w:tcPr>
          <w:p w14:paraId="7B1F0853" w14:textId="77777777" w:rsidR="00631A15" w:rsidRPr="00631A15" w:rsidRDefault="00631A15" w:rsidP="00631A15">
            <w:pPr>
              <w:jc w:val="center"/>
              <w:rPr>
                <w:rFonts w:ascii="Calibri" w:hAnsi="Calibri"/>
                <w:color w:val="000000"/>
                <w:sz w:val="22"/>
                <w:szCs w:val="22"/>
              </w:rPr>
            </w:pPr>
            <w:r w:rsidRPr="00631A15">
              <w:rPr>
                <w:rFonts w:ascii="Calibri" w:hAnsi="Calibri"/>
                <w:color w:val="000000"/>
                <w:sz w:val="22"/>
                <w:szCs w:val="22"/>
              </w:rPr>
              <w:t>0.16</w:t>
            </w:r>
          </w:p>
        </w:tc>
        <w:tc>
          <w:tcPr>
            <w:tcW w:w="544" w:type="dxa"/>
            <w:tcBorders>
              <w:top w:val="nil"/>
              <w:left w:val="nil"/>
              <w:bottom w:val="nil"/>
              <w:right w:val="nil"/>
            </w:tcBorders>
            <w:shd w:val="clear" w:color="auto" w:fill="auto"/>
            <w:noWrap/>
            <w:vAlign w:val="bottom"/>
            <w:hideMark/>
          </w:tcPr>
          <w:p w14:paraId="708F5CD9" w14:textId="77777777" w:rsidR="00631A15" w:rsidRPr="00631A15" w:rsidRDefault="00631A15" w:rsidP="00631A15">
            <w:pPr>
              <w:jc w:val="center"/>
              <w:rPr>
                <w:rFonts w:ascii="Calibri" w:hAnsi="Calibri"/>
                <w:color w:val="000000"/>
                <w:sz w:val="22"/>
                <w:szCs w:val="22"/>
              </w:rPr>
            </w:pPr>
            <w:r w:rsidRPr="00631A15">
              <w:rPr>
                <w:rFonts w:ascii="Calibri" w:hAnsi="Calibri"/>
                <w:color w:val="000000"/>
                <w:sz w:val="22"/>
                <w:szCs w:val="22"/>
              </w:rPr>
              <w:t>0.50</w:t>
            </w:r>
          </w:p>
        </w:tc>
      </w:tr>
      <w:tr w:rsidR="00631A15" w:rsidRPr="00631A15" w14:paraId="39A04A95" w14:textId="77777777" w:rsidTr="00631A15">
        <w:trPr>
          <w:trHeight w:val="140"/>
        </w:trPr>
        <w:tc>
          <w:tcPr>
            <w:tcW w:w="1060" w:type="dxa"/>
            <w:tcBorders>
              <w:top w:val="nil"/>
              <w:left w:val="nil"/>
              <w:bottom w:val="nil"/>
              <w:right w:val="nil"/>
            </w:tcBorders>
            <w:shd w:val="clear" w:color="auto" w:fill="auto"/>
            <w:noWrap/>
            <w:vAlign w:val="bottom"/>
            <w:hideMark/>
          </w:tcPr>
          <w:p w14:paraId="1604CCB6" w14:textId="77777777" w:rsidR="00631A15" w:rsidRPr="00631A15" w:rsidRDefault="00631A15" w:rsidP="00631A15">
            <w:pPr>
              <w:rPr>
                <w:rFonts w:ascii="Calibri" w:hAnsi="Calibri"/>
                <w:color w:val="000000"/>
                <w:sz w:val="22"/>
                <w:szCs w:val="22"/>
              </w:rPr>
            </w:pPr>
          </w:p>
        </w:tc>
        <w:tc>
          <w:tcPr>
            <w:tcW w:w="1060" w:type="dxa"/>
            <w:tcBorders>
              <w:top w:val="nil"/>
              <w:left w:val="nil"/>
              <w:bottom w:val="nil"/>
              <w:right w:val="nil"/>
            </w:tcBorders>
            <w:shd w:val="clear" w:color="auto" w:fill="auto"/>
            <w:noWrap/>
            <w:vAlign w:val="bottom"/>
            <w:hideMark/>
          </w:tcPr>
          <w:p w14:paraId="512E234E" w14:textId="77777777" w:rsidR="00631A15" w:rsidRPr="00631A15" w:rsidRDefault="00631A15" w:rsidP="00631A15">
            <w:pPr>
              <w:jc w:val="center"/>
              <w:rPr>
                <w:sz w:val="20"/>
                <w:szCs w:val="20"/>
              </w:rPr>
            </w:pPr>
          </w:p>
        </w:tc>
        <w:tc>
          <w:tcPr>
            <w:tcW w:w="820" w:type="dxa"/>
            <w:tcBorders>
              <w:top w:val="nil"/>
              <w:left w:val="nil"/>
              <w:bottom w:val="nil"/>
              <w:right w:val="nil"/>
            </w:tcBorders>
            <w:shd w:val="clear" w:color="auto" w:fill="auto"/>
            <w:noWrap/>
            <w:vAlign w:val="bottom"/>
            <w:hideMark/>
          </w:tcPr>
          <w:p w14:paraId="720D4239" w14:textId="77777777" w:rsidR="00631A15" w:rsidRPr="00631A15" w:rsidRDefault="00631A15" w:rsidP="00631A15">
            <w:pPr>
              <w:jc w:val="center"/>
              <w:rPr>
                <w:sz w:val="20"/>
                <w:szCs w:val="20"/>
              </w:rPr>
            </w:pPr>
          </w:p>
        </w:tc>
        <w:tc>
          <w:tcPr>
            <w:tcW w:w="100" w:type="dxa"/>
            <w:tcBorders>
              <w:top w:val="nil"/>
              <w:left w:val="nil"/>
              <w:bottom w:val="nil"/>
              <w:right w:val="nil"/>
            </w:tcBorders>
            <w:shd w:val="clear" w:color="auto" w:fill="auto"/>
            <w:noWrap/>
            <w:vAlign w:val="bottom"/>
            <w:hideMark/>
          </w:tcPr>
          <w:p w14:paraId="01B26B37" w14:textId="77777777" w:rsidR="00631A15" w:rsidRPr="00631A15" w:rsidRDefault="00631A15" w:rsidP="00631A15">
            <w:pPr>
              <w:jc w:val="center"/>
              <w:rPr>
                <w:sz w:val="20"/>
                <w:szCs w:val="20"/>
              </w:rPr>
            </w:pPr>
          </w:p>
        </w:tc>
        <w:tc>
          <w:tcPr>
            <w:tcW w:w="1078" w:type="dxa"/>
            <w:tcBorders>
              <w:top w:val="nil"/>
              <w:left w:val="nil"/>
              <w:bottom w:val="nil"/>
              <w:right w:val="nil"/>
            </w:tcBorders>
            <w:shd w:val="clear" w:color="auto" w:fill="auto"/>
            <w:noWrap/>
            <w:vAlign w:val="bottom"/>
            <w:hideMark/>
          </w:tcPr>
          <w:p w14:paraId="34C7BCAD" w14:textId="77777777" w:rsidR="00631A15" w:rsidRPr="00631A15" w:rsidRDefault="00631A15" w:rsidP="00631A15">
            <w:pPr>
              <w:jc w:val="center"/>
              <w:rPr>
                <w:sz w:val="20"/>
                <w:szCs w:val="20"/>
              </w:rPr>
            </w:pPr>
          </w:p>
        </w:tc>
        <w:tc>
          <w:tcPr>
            <w:tcW w:w="687" w:type="dxa"/>
            <w:tcBorders>
              <w:top w:val="nil"/>
              <w:left w:val="nil"/>
              <w:bottom w:val="nil"/>
              <w:right w:val="nil"/>
            </w:tcBorders>
            <w:shd w:val="clear" w:color="auto" w:fill="auto"/>
            <w:noWrap/>
            <w:vAlign w:val="bottom"/>
            <w:hideMark/>
          </w:tcPr>
          <w:p w14:paraId="6D9E0C51" w14:textId="77777777" w:rsidR="00631A15" w:rsidRPr="00631A15" w:rsidRDefault="00631A15" w:rsidP="00631A15">
            <w:pPr>
              <w:jc w:val="center"/>
              <w:rPr>
                <w:sz w:val="20"/>
                <w:szCs w:val="20"/>
              </w:rPr>
            </w:pPr>
          </w:p>
        </w:tc>
        <w:tc>
          <w:tcPr>
            <w:tcW w:w="544" w:type="dxa"/>
            <w:tcBorders>
              <w:top w:val="nil"/>
              <w:left w:val="nil"/>
              <w:bottom w:val="nil"/>
              <w:right w:val="nil"/>
            </w:tcBorders>
            <w:shd w:val="clear" w:color="auto" w:fill="auto"/>
            <w:noWrap/>
            <w:vAlign w:val="bottom"/>
            <w:hideMark/>
          </w:tcPr>
          <w:p w14:paraId="634B7D9A" w14:textId="77777777" w:rsidR="00631A15" w:rsidRPr="00631A15" w:rsidRDefault="00631A15" w:rsidP="00631A15">
            <w:pPr>
              <w:jc w:val="center"/>
              <w:rPr>
                <w:sz w:val="20"/>
                <w:szCs w:val="20"/>
              </w:rPr>
            </w:pPr>
          </w:p>
        </w:tc>
        <w:tc>
          <w:tcPr>
            <w:tcW w:w="103" w:type="dxa"/>
            <w:tcBorders>
              <w:top w:val="nil"/>
              <w:left w:val="nil"/>
              <w:bottom w:val="nil"/>
              <w:right w:val="nil"/>
            </w:tcBorders>
            <w:shd w:val="clear" w:color="auto" w:fill="auto"/>
            <w:noWrap/>
            <w:vAlign w:val="bottom"/>
            <w:hideMark/>
          </w:tcPr>
          <w:p w14:paraId="621E78A6" w14:textId="77777777" w:rsidR="00631A15" w:rsidRPr="00631A15" w:rsidRDefault="00631A15" w:rsidP="00631A15">
            <w:pPr>
              <w:jc w:val="center"/>
              <w:rPr>
                <w:sz w:val="20"/>
                <w:szCs w:val="20"/>
              </w:rPr>
            </w:pPr>
          </w:p>
        </w:tc>
        <w:tc>
          <w:tcPr>
            <w:tcW w:w="1077" w:type="dxa"/>
            <w:tcBorders>
              <w:top w:val="nil"/>
              <w:left w:val="nil"/>
              <w:bottom w:val="nil"/>
              <w:right w:val="nil"/>
            </w:tcBorders>
            <w:shd w:val="clear" w:color="auto" w:fill="auto"/>
            <w:noWrap/>
            <w:vAlign w:val="bottom"/>
            <w:hideMark/>
          </w:tcPr>
          <w:p w14:paraId="4607743C" w14:textId="77777777" w:rsidR="00631A15" w:rsidRPr="00631A15" w:rsidRDefault="00631A15" w:rsidP="00631A15">
            <w:pPr>
              <w:jc w:val="center"/>
              <w:rPr>
                <w:sz w:val="20"/>
                <w:szCs w:val="20"/>
              </w:rPr>
            </w:pPr>
          </w:p>
        </w:tc>
        <w:tc>
          <w:tcPr>
            <w:tcW w:w="687" w:type="dxa"/>
            <w:tcBorders>
              <w:top w:val="nil"/>
              <w:left w:val="nil"/>
              <w:bottom w:val="nil"/>
              <w:right w:val="nil"/>
            </w:tcBorders>
            <w:shd w:val="clear" w:color="auto" w:fill="auto"/>
            <w:noWrap/>
            <w:vAlign w:val="bottom"/>
            <w:hideMark/>
          </w:tcPr>
          <w:p w14:paraId="27030C46" w14:textId="77777777" w:rsidR="00631A15" w:rsidRPr="00631A15" w:rsidRDefault="00631A15" w:rsidP="00631A15">
            <w:pPr>
              <w:jc w:val="center"/>
              <w:rPr>
                <w:sz w:val="20"/>
                <w:szCs w:val="20"/>
              </w:rPr>
            </w:pPr>
          </w:p>
        </w:tc>
        <w:tc>
          <w:tcPr>
            <w:tcW w:w="544" w:type="dxa"/>
            <w:tcBorders>
              <w:top w:val="nil"/>
              <w:left w:val="nil"/>
              <w:bottom w:val="nil"/>
              <w:right w:val="nil"/>
            </w:tcBorders>
            <w:shd w:val="clear" w:color="auto" w:fill="auto"/>
            <w:noWrap/>
            <w:vAlign w:val="bottom"/>
            <w:hideMark/>
          </w:tcPr>
          <w:p w14:paraId="3AFA912D" w14:textId="77777777" w:rsidR="00631A15" w:rsidRPr="00631A15" w:rsidRDefault="00631A15" w:rsidP="00631A15">
            <w:pPr>
              <w:jc w:val="center"/>
              <w:rPr>
                <w:sz w:val="20"/>
                <w:szCs w:val="20"/>
              </w:rPr>
            </w:pPr>
          </w:p>
        </w:tc>
      </w:tr>
      <w:tr w:rsidR="00631A15" w:rsidRPr="00631A15" w14:paraId="0ECD2236" w14:textId="77777777" w:rsidTr="00631A15">
        <w:trPr>
          <w:trHeight w:val="300"/>
        </w:trPr>
        <w:tc>
          <w:tcPr>
            <w:tcW w:w="1060" w:type="dxa"/>
            <w:tcBorders>
              <w:top w:val="nil"/>
              <w:left w:val="nil"/>
              <w:bottom w:val="nil"/>
              <w:right w:val="nil"/>
            </w:tcBorders>
            <w:shd w:val="clear" w:color="auto" w:fill="auto"/>
            <w:noWrap/>
            <w:vAlign w:val="bottom"/>
            <w:hideMark/>
          </w:tcPr>
          <w:p w14:paraId="555A0ACC" w14:textId="77777777" w:rsidR="00631A15" w:rsidRPr="00631A15" w:rsidRDefault="00631A15" w:rsidP="00631A15">
            <w:pPr>
              <w:jc w:val="center"/>
              <w:rPr>
                <w:rFonts w:ascii="Calibri" w:hAnsi="Calibri"/>
                <w:b/>
                <w:bCs/>
                <w:color w:val="000000"/>
                <w:sz w:val="22"/>
                <w:szCs w:val="22"/>
              </w:rPr>
            </w:pPr>
            <w:r w:rsidRPr="00631A15">
              <w:rPr>
                <w:rFonts w:ascii="Calibri" w:hAnsi="Calibri"/>
                <w:b/>
                <w:bCs/>
                <w:color w:val="000000"/>
                <w:sz w:val="22"/>
                <w:szCs w:val="22"/>
              </w:rPr>
              <w:t>MDD</w:t>
            </w:r>
          </w:p>
        </w:tc>
        <w:tc>
          <w:tcPr>
            <w:tcW w:w="1060" w:type="dxa"/>
            <w:tcBorders>
              <w:top w:val="nil"/>
              <w:left w:val="nil"/>
              <w:bottom w:val="nil"/>
              <w:right w:val="nil"/>
            </w:tcBorders>
            <w:shd w:val="clear" w:color="auto" w:fill="auto"/>
            <w:noWrap/>
            <w:vAlign w:val="bottom"/>
            <w:hideMark/>
          </w:tcPr>
          <w:p w14:paraId="7A5D17B0" w14:textId="77777777" w:rsidR="00631A15" w:rsidRPr="00631A15" w:rsidRDefault="00631A15" w:rsidP="00631A15">
            <w:pPr>
              <w:jc w:val="center"/>
              <w:rPr>
                <w:rFonts w:ascii="Calibri" w:hAnsi="Calibri"/>
                <w:b/>
                <w:bCs/>
                <w:color w:val="000000"/>
                <w:sz w:val="22"/>
                <w:szCs w:val="22"/>
              </w:rPr>
            </w:pPr>
            <w:r w:rsidRPr="00631A15">
              <w:rPr>
                <w:rFonts w:ascii="Calibri" w:hAnsi="Calibri"/>
                <w:b/>
                <w:bCs/>
                <w:color w:val="000000"/>
                <w:sz w:val="22"/>
                <w:szCs w:val="22"/>
              </w:rPr>
              <w:t>25-OH-D</w:t>
            </w:r>
          </w:p>
        </w:tc>
        <w:tc>
          <w:tcPr>
            <w:tcW w:w="820" w:type="dxa"/>
            <w:tcBorders>
              <w:top w:val="nil"/>
              <w:left w:val="nil"/>
              <w:bottom w:val="nil"/>
              <w:right w:val="nil"/>
            </w:tcBorders>
            <w:shd w:val="clear" w:color="auto" w:fill="auto"/>
            <w:noWrap/>
            <w:vAlign w:val="bottom"/>
            <w:hideMark/>
          </w:tcPr>
          <w:p w14:paraId="6062A423" w14:textId="77777777" w:rsidR="00631A15" w:rsidRPr="00631A15" w:rsidRDefault="00631A15" w:rsidP="00631A15">
            <w:pPr>
              <w:jc w:val="center"/>
              <w:rPr>
                <w:rFonts w:ascii="Calibri" w:hAnsi="Calibri"/>
                <w:b/>
                <w:bCs/>
                <w:color w:val="000000"/>
                <w:sz w:val="22"/>
                <w:szCs w:val="22"/>
              </w:rPr>
            </w:pPr>
            <w:r w:rsidRPr="00631A15">
              <w:rPr>
                <w:rFonts w:ascii="Calibri" w:hAnsi="Calibri"/>
                <w:b/>
                <w:bCs/>
                <w:color w:val="000000"/>
                <w:sz w:val="22"/>
                <w:szCs w:val="22"/>
              </w:rPr>
              <w:t>37</w:t>
            </w:r>
          </w:p>
        </w:tc>
        <w:tc>
          <w:tcPr>
            <w:tcW w:w="100" w:type="dxa"/>
            <w:tcBorders>
              <w:top w:val="nil"/>
              <w:left w:val="nil"/>
              <w:bottom w:val="nil"/>
              <w:right w:val="nil"/>
            </w:tcBorders>
            <w:shd w:val="clear" w:color="auto" w:fill="auto"/>
            <w:noWrap/>
            <w:vAlign w:val="bottom"/>
            <w:hideMark/>
          </w:tcPr>
          <w:p w14:paraId="433FAD74" w14:textId="77777777" w:rsidR="00631A15" w:rsidRPr="00631A15" w:rsidRDefault="00631A15" w:rsidP="00631A15">
            <w:pPr>
              <w:jc w:val="center"/>
              <w:rPr>
                <w:rFonts w:ascii="Calibri" w:hAnsi="Calibri"/>
                <w:b/>
                <w:bCs/>
                <w:color w:val="000000"/>
                <w:sz w:val="22"/>
                <w:szCs w:val="22"/>
              </w:rPr>
            </w:pPr>
          </w:p>
        </w:tc>
        <w:tc>
          <w:tcPr>
            <w:tcW w:w="1078" w:type="dxa"/>
            <w:tcBorders>
              <w:top w:val="nil"/>
              <w:left w:val="nil"/>
              <w:bottom w:val="nil"/>
              <w:right w:val="nil"/>
            </w:tcBorders>
            <w:shd w:val="clear" w:color="auto" w:fill="auto"/>
            <w:noWrap/>
            <w:vAlign w:val="bottom"/>
            <w:hideMark/>
          </w:tcPr>
          <w:p w14:paraId="7CEE13B4" w14:textId="77777777" w:rsidR="00631A15" w:rsidRPr="00631A15" w:rsidRDefault="00631A15" w:rsidP="00631A15">
            <w:pPr>
              <w:jc w:val="center"/>
              <w:rPr>
                <w:rFonts w:ascii="Calibri" w:hAnsi="Calibri"/>
                <w:color w:val="000000"/>
                <w:sz w:val="22"/>
                <w:szCs w:val="22"/>
              </w:rPr>
            </w:pPr>
            <w:r w:rsidRPr="00631A15">
              <w:rPr>
                <w:rFonts w:ascii="Calibri" w:hAnsi="Calibri"/>
                <w:color w:val="000000"/>
                <w:sz w:val="22"/>
                <w:szCs w:val="22"/>
              </w:rPr>
              <w:t>0.003</w:t>
            </w:r>
          </w:p>
        </w:tc>
        <w:tc>
          <w:tcPr>
            <w:tcW w:w="687" w:type="dxa"/>
            <w:tcBorders>
              <w:top w:val="nil"/>
              <w:left w:val="nil"/>
              <w:bottom w:val="nil"/>
              <w:right w:val="nil"/>
            </w:tcBorders>
            <w:shd w:val="clear" w:color="auto" w:fill="auto"/>
            <w:noWrap/>
            <w:vAlign w:val="bottom"/>
            <w:hideMark/>
          </w:tcPr>
          <w:p w14:paraId="5476D50E" w14:textId="77777777" w:rsidR="00631A15" w:rsidRPr="00631A15" w:rsidRDefault="00631A15" w:rsidP="00631A15">
            <w:pPr>
              <w:jc w:val="center"/>
              <w:rPr>
                <w:rFonts w:ascii="Calibri" w:hAnsi="Calibri"/>
                <w:color w:val="000000"/>
                <w:sz w:val="22"/>
                <w:szCs w:val="22"/>
              </w:rPr>
            </w:pPr>
            <w:r w:rsidRPr="00631A15">
              <w:rPr>
                <w:rFonts w:ascii="Calibri" w:hAnsi="Calibri"/>
                <w:color w:val="000000"/>
                <w:sz w:val="22"/>
                <w:szCs w:val="22"/>
              </w:rPr>
              <w:t>0.003</w:t>
            </w:r>
          </w:p>
        </w:tc>
        <w:tc>
          <w:tcPr>
            <w:tcW w:w="544" w:type="dxa"/>
            <w:tcBorders>
              <w:top w:val="nil"/>
              <w:left w:val="nil"/>
              <w:bottom w:val="nil"/>
              <w:right w:val="nil"/>
            </w:tcBorders>
            <w:shd w:val="clear" w:color="auto" w:fill="auto"/>
            <w:noWrap/>
            <w:vAlign w:val="bottom"/>
            <w:hideMark/>
          </w:tcPr>
          <w:p w14:paraId="6DD84CE1" w14:textId="77777777" w:rsidR="00631A15" w:rsidRPr="00631A15" w:rsidRDefault="00631A15" w:rsidP="00631A15">
            <w:pPr>
              <w:jc w:val="center"/>
              <w:rPr>
                <w:rFonts w:ascii="Calibri" w:hAnsi="Calibri"/>
                <w:color w:val="000000"/>
                <w:sz w:val="22"/>
                <w:szCs w:val="22"/>
              </w:rPr>
            </w:pPr>
            <w:r w:rsidRPr="00631A15">
              <w:rPr>
                <w:rFonts w:ascii="Calibri" w:hAnsi="Calibri"/>
                <w:color w:val="000000"/>
                <w:sz w:val="22"/>
                <w:szCs w:val="22"/>
              </w:rPr>
              <w:t>0.29</w:t>
            </w:r>
          </w:p>
        </w:tc>
        <w:tc>
          <w:tcPr>
            <w:tcW w:w="103" w:type="dxa"/>
            <w:tcBorders>
              <w:top w:val="nil"/>
              <w:left w:val="nil"/>
              <w:bottom w:val="nil"/>
              <w:right w:val="nil"/>
            </w:tcBorders>
            <w:shd w:val="clear" w:color="auto" w:fill="auto"/>
            <w:noWrap/>
            <w:vAlign w:val="bottom"/>
            <w:hideMark/>
          </w:tcPr>
          <w:p w14:paraId="1E0A48EE" w14:textId="77777777" w:rsidR="00631A15" w:rsidRPr="00631A15" w:rsidRDefault="00631A15" w:rsidP="00631A15">
            <w:pPr>
              <w:jc w:val="center"/>
              <w:rPr>
                <w:rFonts w:ascii="Calibri" w:hAnsi="Calibri"/>
                <w:color w:val="000000"/>
                <w:sz w:val="22"/>
                <w:szCs w:val="22"/>
              </w:rPr>
            </w:pPr>
          </w:p>
        </w:tc>
        <w:tc>
          <w:tcPr>
            <w:tcW w:w="1077" w:type="dxa"/>
            <w:tcBorders>
              <w:top w:val="nil"/>
              <w:left w:val="nil"/>
              <w:bottom w:val="nil"/>
              <w:right w:val="nil"/>
            </w:tcBorders>
            <w:shd w:val="clear" w:color="auto" w:fill="auto"/>
            <w:noWrap/>
            <w:vAlign w:val="bottom"/>
            <w:hideMark/>
          </w:tcPr>
          <w:p w14:paraId="0B9C893D" w14:textId="77777777" w:rsidR="00631A15" w:rsidRPr="00631A15" w:rsidRDefault="00631A15" w:rsidP="00631A15">
            <w:pPr>
              <w:jc w:val="center"/>
              <w:rPr>
                <w:rFonts w:ascii="Calibri" w:hAnsi="Calibri"/>
                <w:color w:val="000000"/>
                <w:sz w:val="22"/>
                <w:szCs w:val="22"/>
              </w:rPr>
            </w:pPr>
            <w:r w:rsidRPr="00631A15">
              <w:rPr>
                <w:rFonts w:ascii="Calibri" w:hAnsi="Calibri"/>
                <w:color w:val="000000"/>
                <w:sz w:val="22"/>
                <w:szCs w:val="22"/>
              </w:rPr>
              <w:t>-0.11</w:t>
            </w:r>
          </w:p>
        </w:tc>
        <w:tc>
          <w:tcPr>
            <w:tcW w:w="687" w:type="dxa"/>
            <w:tcBorders>
              <w:top w:val="nil"/>
              <w:left w:val="nil"/>
              <w:bottom w:val="nil"/>
              <w:right w:val="nil"/>
            </w:tcBorders>
            <w:shd w:val="clear" w:color="auto" w:fill="auto"/>
            <w:noWrap/>
            <w:vAlign w:val="bottom"/>
            <w:hideMark/>
          </w:tcPr>
          <w:p w14:paraId="0F49942C" w14:textId="77777777" w:rsidR="00631A15" w:rsidRPr="00631A15" w:rsidRDefault="00631A15" w:rsidP="00631A15">
            <w:pPr>
              <w:jc w:val="center"/>
              <w:rPr>
                <w:rFonts w:ascii="Calibri" w:hAnsi="Calibri"/>
                <w:color w:val="000000"/>
                <w:sz w:val="22"/>
                <w:szCs w:val="22"/>
              </w:rPr>
            </w:pPr>
            <w:r w:rsidRPr="00631A15">
              <w:rPr>
                <w:rFonts w:ascii="Calibri" w:hAnsi="Calibri"/>
                <w:color w:val="000000"/>
                <w:sz w:val="22"/>
                <w:szCs w:val="22"/>
              </w:rPr>
              <w:t>0.09</w:t>
            </w:r>
          </w:p>
        </w:tc>
        <w:tc>
          <w:tcPr>
            <w:tcW w:w="544" w:type="dxa"/>
            <w:tcBorders>
              <w:top w:val="nil"/>
              <w:left w:val="nil"/>
              <w:bottom w:val="nil"/>
              <w:right w:val="nil"/>
            </w:tcBorders>
            <w:shd w:val="clear" w:color="auto" w:fill="auto"/>
            <w:noWrap/>
            <w:vAlign w:val="center"/>
            <w:hideMark/>
          </w:tcPr>
          <w:p w14:paraId="14C61981" w14:textId="77777777" w:rsidR="00631A15" w:rsidRPr="00631A15" w:rsidRDefault="00631A15" w:rsidP="00631A15">
            <w:pPr>
              <w:jc w:val="center"/>
              <w:rPr>
                <w:rFonts w:ascii="Calibri" w:hAnsi="Calibri"/>
                <w:color w:val="000000"/>
                <w:sz w:val="22"/>
                <w:szCs w:val="22"/>
              </w:rPr>
            </w:pPr>
            <w:r w:rsidRPr="00631A15">
              <w:rPr>
                <w:rFonts w:ascii="Calibri" w:hAnsi="Calibri"/>
                <w:color w:val="000000"/>
                <w:sz w:val="22"/>
                <w:szCs w:val="22"/>
              </w:rPr>
              <w:t>0.23</w:t>
            </w:r>
          </w:p>
        </w:tc>
      </w:tr>
      <w:tr w:rsidR="00631A15" w:rsidRPr="00631A15" w14:paraId="4DAAB9C1" w14:textId="77777777" w:rsidTr="00631A15">
        <w:trPr>
          <w:trHeight w:val="120"/>
        </w:trPr>
        <w:tc>
          <w:tcPr>
            <w:tcW w:w="1060" w:type="dxa"/>
            <w:tcBorders>
              <w:top w:val="nil"/>
              <w:left w:val="nil"/>
              <w:bottom w:val="nil"/>
              <w:right w:val="nil"/>
            </w:tcBorders>
            <w:shd w:val="clear" w:color="auto" w:fill="auto"/>
            <w:noWrap/>
            <w:vAlign w:val="bottom"/>
            <w:hideMark/>
          </w:tcPr>
          <w:p w14:paraId="6EA63BDE" w14:textId="77777777" w:rsidR="00631A15" w:rsidRPr="00631A15" w:rsidRDefault="00631A15" w:rsidP="00631A15">
            <w:pPr>
              <w:jc w:val="center"/>
              <w:rPr>
                <w:rFonts w:ascii="Calibri" w:hAnsi="Calibri"/>
                <w:color w:val="000000"/>
                <w:sz w:val="22"/>
                <w:szCs w:val="22"/>
              </w:rPr>
            </w:pPr>
          </w:p>
        </w:tc>
        <w:tc>
          <w:tcPr>
            <w:tcW w:w="1060" w:type="dxa"/>
            <w:tcBorders>
              <w:top w:val="nil"/>
              <w:left w:val="nil"/>
              <w:bottom w:val="nil"/>
              <w:right w:val="nil"/>
            </w:tcBorders>
            <w:shd w:val="clear" w:color="auto" w:fill="auto"/>
            <w:noWrap/>
            <w:vAlign w:val="bottom"/>
            <w:hideMark/>
          </w:tcPr>
          <w:p w14:paraId="7A53B413" w14:textId="77777777" w:rsidR="00631A15" w:rsidRPr="00631A15" w:rsidRDefault="00631A15" w:rsidP="00631A15">
            <w:pPr>
              <w:jc w:val="center"/>
              <w:rPr>
                <w:sz w:val="20"/>
                <w:szCs w:val="20"/>
              </w:rPr>
            </w:pPr>
          </w:p>
        </w:tc>
        <w:tc>
          <w:tcPr>
            <w:tcW w:w="820" w:type="dxa"/>
            <w:tcBorders>
              <w:top w:val="nil"/>
              <w:left w:val="nil"/>
              <w:bottom w:val="nil"/>
              <w:right w:val="nil"/>
            </w:tcBorders>
            <w:shd w:val="clear" w:color="auto" w:fill="auto"/>
            <w:noWrap/>
            <w:vAlign w:val="bottom"/>
            <w:hideMark/>
          </w:tcPr>
          <w:p w14:paraId="783023A0" w14:textId="77777777" w:rsidR="00631A15" w:rsidRPr="00631A15" w:rsidRDefault="00631A15" w:rsidP="00631A15">
            <w:pPr>
              <w:jc w:val="center"/>
              <w:rPr>
                <w:sz w:val="20"/>
                <w:szCs w:val="20"/>
              </w:rPr>
            </w:pPr>
          </w:p>
        </w:tc>
        <w:tc>
          <w:tcPr>
            <w:tcW w:w="100" w:type="dxa"/>
            <w:tcBorders>
              <w:top w:val="nil"/>
              <w:left w:val="nil"/>
              <w:bottom w:val="nil"/>
              <w:right w:val="nil"/>
            </w:tcBorders>
            <w:shd w:val="clear" w:color="auto" w:fill="auto"/>
            <w:noWrap/>
            <w:vAlign w:val="bottom"/>
            <w:hideMark/>
          </w:tcPr>
          <w:p w14:paraId="69D3B286" w14:textId="77777777" w:rsidR="00631A15" w:rsidRPr="00631A15" w:rsidRDefault="00631A15" w:rsidP="00631A15">
            <w:pPr>
              <w:jc w:val="center"/>
              <w:rPr>
                <w:sz w:val="20"/>
                <w:szCs w:val="20"/>
              </w:rPr>
            </w:pPr>
          </w:p>
        </w:tc>
        <w:tc>
          <w:tcPr>
            <w:tcW w:w="1078" w:type="dxa"/>
            <w:tcBorders>
              <w:top w:val="nil"/>
              <w:left w:val="nil"/>
              <w:bottom w:val="nil"/>
              <w:right w:val="nil"/>
            </w:tcBorders>
            <w:shd w:val="clear" w:color="auto" w:fill="auto"/>
            <w:noWrap/>
            <w:vAlign w:val="bottom"/>
            <w:hideMark/>
          </w:tcPr>
          <w:p w14:paraId="7974B331" w14:textId="77777777" w:rsidR="00631A15" w:rsidRPr="00631A15" w:rsidRDefault="00631A15" w:rsidP="00631A15">
            <w:pPr>
              <w:jc w:val="center"/>
              <w:rPr>
                <w:sz w:val="20"/>
                <w:szCs w:val="20"/>
              </w:rPr>
            </w:pPr>
          </w:p>
        </w:tc>
        <w:tc>
          <w:tcPr>
            <w:tcW w:w="687" w:type="dxa"/>
            <w:tcBorders>
              <w:top w:val="nil"/>
              <w:left w:val="nil"/>
              <w:bottom w:val="nil"/>
              <w:right w:val="nil"/>
            </w:tcBorders>
            <w:shd w:val="clear" w:color="auto" w:fill="auto"/>
            <w:noWrap/>
            <w:vAlign w:val="bottom"/>
            <w:hideMark/>
          </w:tcPr>
          <w:p w14:paraId="0D0B49F4" w14:textId="77777777" w:rsidR="00631A15" w:rsidRPr="00631A15" w:rsidRDefault="00631A15" w:rsidP="00631A15">
            <w:pPr>
              <w:jc w:val="center"/>
              <w:rPr>
                <w:sz w:val="20"/>
                <w:szCs w:val="20"/>
              </w:rPr>
            </w:pPr>
          </w:p>
        </w:tc>
        <w:tc>
          <w:tcPr>
            <w:tcW w:w="544" w:type="dxa"/>
            <w:tcBorders>
              <w:top w:val="nil"/>
              <w:left w:val="nil"/>
              <w:bottom w:val="nil"/>
              <w:right w:val="nil"/>
            </w:tcBorders>
            <w:shd w:val="clear" w:color="auto" w:fill="auto"/>
            <w:noWrap/>
            <w:vAlign w:val="bottom"/>
            <w:hideMark/>
          </w:tcPr>
          <w:p w14:paraId="0520BF88" w14:textId="77777777" w:rsidR="00631A15" w:rsidRPr="00631A15" w:rsidRDefault="00631A15" w:rsidP="00631A15">
            <w:pPr>
              <w:jc w:val="center"/>
              <w:rPr>
                <w:sz w:val="20"/>
                <w:szCs w:val="20"/>
              </w:rPr>
            </w:pPr>
          </w:p>
        </w:tc>
        <w:tc>
          <w:tcPr>
            <w:tcW w:w="103" w:type="dxa"/>
            <w:tcBorders>
              <w:top w:val="nil"/>
              <w:left w:val="nil"/>
              <w:bottom w:val="nil"/>
              <w:right w:val="nil"/>
            </w:tcBorders>
            <w:shd w:val="clear" w:color="auto" w:fill="auto"/>
            <w:noWrap/>
            <w:vAlign w:val="bottom"/>
            <w:hideMark/>
          </w:tcPr>
          <w:p w14:paraId="54606620" w14:textId="77777777" w:rsidR="00631A15" w:rsidRPr="00631A15" w:rsidRDefault="00631A15" w:rsidP="00631A15">
            <w:pPr>
              <w:jc w:val="center"/>
              <w:rPr>
                <w:sz w:val="20"/>
                <w:szCs w:val="20"/>
              </w:rPr>
            </w:pPr>
          </w:p>
        </w:tc>
        <w:tc>
          <w:tcPr>
            <w:tcW w:w="1077" w:type="dxa"/>
            <w:tcBorders>
              <w:top w:val="nil"/>
              <w:left w:val="nil"/>
              <w:bottom w:val="nil"/>
              <w:right w:val="nil"/>
            </w:tcBorders>
            <w:shd w:val="clear" w:color="auto" w:fill="auto"/>
            <w:noWrap/>
            <w:vAlign w:val="bottom"/>
            <w:hideMark/>
          </w:tcPr>
          <w:p w14:paraId="113AA96D" w14:textId="77777777" w:rsidR="00631A15" w:rsidRPr="00631A15" w:rsidRDefault="00631A15" w:rsidP="00631A15">
            <w:pPr>
              <w:jc w:val="center"/>
              <w:rPr>
                <w:sz w:val="20"/>
                <w:szCs w:val="20"/>
              </w:rPr>
            </w:pPr>
          </w:p>
        </w:tc>
        <w:tc>
          <w:tcPr>
            <w:tcW w:w="687" w:type="dxa"/>
            <w:tcBorders>
              <w:top w:val="nil"/>
              <w:left w:val="nil"/>
              <w:bottom w:val="nil"/>
              <w:right w:val="nil"/>
            </w:tcBorders>
            <w:shd w:val="clear" w:color="auto" w:fill="auto"/>
            <w:noWrap/>
            <w:vAlign w:val="bottom"/>
            <w:hideMark/>
          </w:tcPr>
          <w:p w14:paraId="12827F3C" w14:textId="77777777" w:rsidR="00631A15" w:rsidRPr="00631A15" w:rsidRDefault="00631A15" w:rsidP="00631A15">
            <w:pPr>
              <w:jc w:val="center"/>
              <w:rPr>
                <w:sz w:val="20"/>
                <w:szCs w:val="20"/>
              </w:rPr>
            </w:pPr>
          </w:p>
        </w:tc>
        <w:tc>
          <w:tcPr>
            <w:tcW w:w="544" w:type="dxa"/>
            <w:tcBorders>
              <w:top w:val="nil"/>
              <w:left w:val="nil"/>
              <w:bottom w:val="nil"/>
              <w:right w:val="nil"/>
            </w:tcBorders>
            <w:shd w:val="clear" w:color="auto" w:fill="auto"/>
            <w:noWrap/>
            <w:vAlign w:val="center"/>
            <w:hideMark/>
          </w:tcPr>
          <w:p w14:paraId="3357E2F6" w14:textId="77777777" w:rsidR="00631A15" w:rsidRPr="00631A15" w:rsidRDefault="00631A15" w:rsidP="00631A15">
            <w:pPr>
              <w:jc w:val="center"/>
              <w:rPr>
                <w:sz w:val="20"/>
                <w:szCs w:val="20"/>
              </w:rPr>
            </w:pPr>
          </w:p>
        </w:tc>
      </w:tr>
      <w:tr w:rsidR="00631A15" w:rsidRPr="00631A15" w14:paraId="5A1F7F32" w14:textId="77777777" w:rsidTr="00631A15">
        <w:trPr>
          <w:trHeight w:val="300"/>
        </w:trPr>
        <w:tc>
          <w:tcPr>
            <w:tcW w:w="1060" w:type="dxa"/>
            <w:tcBorders>
              <w:top w:val="nil"/>
              <w:left w:val="nil"/>
              <w:bottom w:val="nil"/>
              <w:right w:val="nil"/>
            </w:tcBorders>
            <w:shd w:val="clear" w:color="auto" w:fill="auto"/>
            <w:noWrap/>
            <w:vAlign w:val="bottom"/>
            <w:hideMark/>
          </w:tcPr>
          <w:p w14:paraId="29A4F868" w14:textId="77777777" w:rsidR="00631A15" w:rsidRPr="00631A15" w:rsidRDefault="00631A15" w:rsidP="00631A15">
            <w:pPr>
              <w:jc w:val="center"/>
              <w:rPr>
                <w:rFonts w:ascii="Calibri" w:hAnsi="Calibri"/>
                <w:b/>
                <w:bCs/>
                <w:color w:val="000000"/>
                <w:sz w:val="22"/>
                <w:szCs w:val="22"/>
              </w:rPr>
            </w:pPr>
            <w:r w:rsidRPr="00631A15">
              <w:rPr>
                <w:rFonts w:ascii="Calibri" w:hAnsi="Calibri"/>
                <w:b/>
                <w:bCs/>
                <w:color w:val="000000"/>
                <w:sz w:val="22"/>
                <w:szCs w:val="22"/>
              </w:rPr>
              <w:t>MDD</w:t>
            </w:r>
          </w:p>
        </w:tc>
        <w:tc>
          <w:tcPr>
            <w:tcW w:w="1060" w:type="dxa"/>
            <w:tcBorders>
              <w:top w:val="nil"/>
              <w:left w:val="nil"/>
              <w:bottom w:val="nil"/>
              <w:right w:val="nil"/>
            </w:tcBorders>
            <w:shd w:val="clear" w:color="auto" w:fill="auto"/>
            <w:noWrap/>
            <w:vAlign w:val="bottom"/>
            <w:hideMark/>
          </w:tcPr>
          <w:p w14:paraId="38DA78B6" w14:textId="2E0B5264" w:rsidR="00631A15" w:rsidRPr="00631A15" w:rsidRDefault="00631A15" w:rsidP="00631A15">
            <w:pPr>
              <w:jc w:val="center"/>
              <w:rPr>
                <w:rFonts w:ascii="Calibri" w:hAnsi="Calibri"/>
                <w:b/>
                <w:bCs/>
                <w:color w:val="000000"/>
                <w:sz w:val="22"/>
                <w:szCs w:val="22"/>
              </w:rPr>
            </w:pPr>
            <w:r>
              <w:rPr>
                <w:rFonts w:ascii="Calibri" w:hAnsi="Calibri"/>
                <w:b/>
                <w:bCs/>
                <w:color w:val="000000"/>
                <w:sz w:val="22"/>
                <w:szCs w:val="22"/>
              </w:rPr>
              <w:t>n</w:t>
            </w:r>
            <w:r w:rsidRPr="00631A15">
              <w:rPr>
                <w:rFonts w:ascii="Calibri" w:hAnsi="Calibri"/>
                <w:b/>
                <w:bCs/>
                <w:color w:val="000000"/>
                <w:sz w:val="22"/>
                <w:szCs w:val="22"/>
              </w:rPr>
              <w:t>3-PUFA</w:t>
            </w:r>
          </w:p>
        </w:tc>
        <w:tc>
          <w:tcPr>
            <w:tcW w:w="820" w:type="dxa"/>
            <w:tcBorders>
              <w:top w:val="nil"/>
              <w:left w:val="nil"/>
              <w:bottom w:val="nil"/>
              <w:right w:val="nil"/>
            </w:tcBorders>
            <w:shd w:val="clear" w:color="auto" w:fill="auto"/>
            <w:noWrap/>
            <w:vAlign w:val="bottom"/>
            <w:hideMark/>
          </w:tcPr>
          <w:p w14:paraId="3055AA2C" w14:textId="77777777" w:rsidR="00631A15" w:rsidRPr="00631A15" w:rsidRDefault="00631A15" w:rsidP="00631A15">
            <w:pPr>
              <w:jc w:val="center"/>
              <w:rPr>
                <w:rFonts w:ascii="Calibri" w:hAnsi="Calibri"/>
                <w:b/>
                <w:bCs/>
                <w:color w:val="000000"/>
                <w:sz w:val="22"/>
                <w:szCs w:val="22"/>
              </w:rPr>
            </w:pPr>
            <w:r w:rsidRPr="00631A15">
              <w:rPr>
                <w:rFonts w:ascii="Calibri" w:hAnsi="Calibri"/>
                <w:b/>
                <w:bCs/>
                <w:color w:val="000000"/>
                <w:sz w:val="22"/>
                <w:szCs w:val="22"/>
              </w:rPr>
              <w:t>44</w:t>
            </w:r>
          </w:p>
        </w:tc>
        <w:tc>
          <w:tcPr>
            <w:tcW w:w="100" w:type="dxa"/>
            <w:tcBorders>
              <w:top w:val="nil"/>
              <w:left w:val="nil"/>
              <w:bottom w:val="nil"/>
              <w:right w:val="nil"/>
            </w:tcBorders>
            <w:shd w:val="clear" w:color="auto" w:fill="auto"/>
            <w:noWrap/>
            <w:vAlign w:val="bottom"/>
            <w:hideMark/>
          </w:tcPr>
          <w:p w14:paraId="616E1B78" w14:textId="77777777" w:rsidR="00631A15" w:rsidRPr="00631A15" w:rsidRDefault="00631A15" w:rsidP="00631A15">
            <w:pPr>
              <w:jc w:val="center"/>
              <w:rPr>
                <w:rFonts w:ascii="Calibri" w:hAnsi="Calibri"/>
                <w:b/>
                <w:bCs/>
                <w:color w:val="000000"/>
                <w:sz w:val="22"/>
                <w:szCs w:val="22"/>
              </w:rPr>
            </w:pPr>
          </w:p>
        </w:tc>
        <w:tc>
          <w:tcPr>
            <w:tcW w:w="1078" w:type="dxa"/>
            <w:tcBorders>
              <w:top w:val="nil"/>
              <w:left w:val="nil"/>
              <w:bottom w:val="nil"/>
              <w:right w:val="nil"/>
            </w:tcBorders>
            <w:shd w:val="clear" w:color="auto" w:fill="auto"/>
            <w:noWrap/>
            <w:vAlign w:val="bottom"/>
            <w:hideMark/>
          </w:tcPr>
          <w:p w14:paraId="5820C15B" w14:textId="77777777" w:rsidR="00631A15" w:rsidRPr="00631A15" w:rsidRDefault="00631A15" w:rsidP="00631A15">
            <w:pPr>
              <w:jc w:val="center"/>
              <w:rPr>
                <w:rFonts w:ascii="Calibri" w:hAnsi="Calibri"/>
                <w:color w:val="000000"/>
                <w:sz w:val="22"/>
                <w:szCs w:val="22"/>
              </w:rPr>
            </w:pPr>
            <w:r w:rsidRPr="00631A15">
              <w:rPr>
                <w:rFonts w:ascii="Calibri" w:hAnsi="Calibri"/>
                <w:color w:val="000000"/>
                <w:sz w:val="22"/>
                <w:szCs w:val="22"/>
              </w:rPr>
              <w:t>0.004</w:t>
            </w:r>
          </w:p>
        </w:tc>
        <w:tc>
          <w:tcPr>
            <w:tcW w:w="687" w:type="dxa"/>
            <w:tcBorders>
              <w:top w:val="nil"/>
              <w:left w:val="nil"/>
              <w:bottom w:val="nil"/>
              <w:right w:val="nil"/>
            </w:tcBorders>
            <w:shd w:val="clear" w:color="auto" w:fill="auto"/>
            <w:noWrap/>
            <w:vAlign w:val="bottom"/>
            <w:hideMark/>
          </w:tcPr>
          <w:p w14:paraId="7BA69613" w14:textId="77777777" w:rsidR="00631A15" w:rsidRPr="00631A15" w:rsidRDefault="00631A15" w:rsidP="00631A15">
            <w:pPr>
              <w:jc w:val="center"/>
              <w:rPr>
                <w:rFonts w:ascii="Calibri" w:hAnsi="Calibri"/>
                <w:color w:val="000000"/>
                <w:sz w:val="22"/>
                <w:szCs w:val="22"/>
              </w:rPr>
            </w:pPr>
            <w:r w:rsidRPr="00631A15">
              <w:rPr>
                <w:rFonts w:ascii="Calibri" w:hAnsi="Calibri"/>
                <w:color w:val="000000"/>
                <w:sz w:val="22"/>
                <w:szCs w:val="22"/>
              </w:rPr>
              <w:t>0.011</w:t>
            </w:r>
          </w:p>
        </w:tc>
        <w:tc>
          <w:tcPr>
            <w:tcW w:w="544" w:type="dxa"/>
            <w:tcBorders>
              <w:top w:val="nil"/>
              <w:left w:val="nil"/>
              <w:bottom w:val="nil"/>
              <w:right w:val="nil"/>
            </w:tcBorders>
            <w:shd w:val="clear" w:color="auto" w:fill="auto"/>
            <w:noWrap/>
            <w:vAlign w:val="bottom"/>
            <w:hideMark/>
          </w:tcPr>
          <w:p w14:paraId="40D844D3" w14:textId="77777777" w:rsidR="00631A15" w:rsidRPr="00631A15" w:rsidRDefault="00631A15" w:rsidP="00631A15">
            <w:pPr>
              <w:jc w:val="center"/>
              <w:rPr>
                <w:rFonts w:ascii="Calibri" w:hAnsi="Calibri"/>
                <w:color w:val="000000"/>
                <w:sz w:val="22"/>
                <w:szCs w:val="22"/>
              </w:rPr>
            </w:pPr>
            <w:r w:rsidRPr="00631A15">
              <w:rPr>
                <w:rFonts w:ascii="Calibri" w:hAnsi="Calibri"/>
                <w:color w:val="000000"/>
                <w:sz w:val="22"/>
                <w:szCs w:val="22"/>
              </w:rPr>
              <w:t>0.74</w:t>
            </w:r>
          </w:p>
        </w:tc>
        <w:tc>
          <w:tcPr>
            <w:tcW w:w="103" w:type="dxa"/>
            <w:tcBorders>
              <w:top w:val="nil"/>
              <w:left w:val="nil"/>
              <w:bottom w:val="nil"/>
              <w:right w:val="nil"/>
            </w:tcBorders>
            <w:shd w:val="clear" w:color="auto" w:fill="auto"/>
            <w:noWrap/>
            <w:vAlign w:val="bottom"/>
            <w:hideMark/>
          </w:tcPr>
          <w:p w14:paraId="43D5181C" w14:textId="77777777" w:rsidR="00631A15" w:rsidRPr="00631A15" w:rsidRDefault="00631A15" w:rsidP="00631A15">
            <w:pPr>
              <w:jc w:val="center"/>
              <w:rPr>
                <w:rFonts w:ascii="Calibri" w:hAnsi="Calibri"/>
                <w:color w:val="000000"/>
                <w:sz w:val="22"/>
                <w:szCs w:val="22"/>
              </w:rPr>
            </w:pPr>
          </w:p>
        </w:tc>
        <w:tc>
          <w:tcPr>
            <w:tcW w:w="1077" w:type="dxa"/>
            <w:tcBorders>
              <w:top w:val="nil"/>
              <w:left w:val="nil"/>
              <w:bottom w:val="nil"/>
              <w:right w:val="nil"/>
            </w:tcBorders>
            <w:shd w:val="clear" w:color="auto" w:fill="auto"/>
            <w:noWrap/>
            <w:vAlign w:val="bottom"/>
            <w:hideMark/>
          </w:tcPr>
          <w:p w14:paraId="610AD29F" w14:textId="77777777" w:rsidR="00631A15" w:rsidRPr="00631A15" w:rsidRDefault="00631A15" w:rsidP="00631A15">
            <w:pPr>
              <w:jc w:val="center"/>
              <w:rPr>
                <w:rFonts w:ascii="Calibri" w:hAnsi="Calibri"/>
                <w:color w:val="000000"/>
                <w:sz w:val="22"/>
                <w:szCs w:val="22"/>
              </w:rPr>
            </w:pPr>
            <w:r w:rsidRPr="00631A15">
              <w:rPr>
                <w:rFonts w:ascii="Calibri" w:hAnsi="Calibri"/>
                <w:color w:val="000000"/>
                <w:sz w:val="22"/>
                <w:szCs w:val="22"/>
              </w:rPr>
              <w:t>-0.079</w:t>
            </w:r>
          </w:p>
        </w:tc>
        <w:tc>
          <w:tcPr>
            <w:tcW w:w="687" w:type="dxa"/>
            <w:tcBorders>
              <w:top w:val="nil"/>
              <w:left w:val="nil"/>
              <w:bottom w:val="nil"/>
              <w:right w:val="nil"/>
            </w:tcBorders>
            <w:shd w:val="clear" w:color="auto" w:fill="auto"/>
            <w:noWrap/>
            <w:vAlign w:val="bottom"/>
            <w:hideMark/>
          </w:tcPr>
          <w:p w14:paraId="773EFF8A" w14:textId="77777777" w:rsidR="00631A15" w:rsidRPr="00631A15" w:rsidRDefault="00631A15" w:rsidP="00631A15">
            <w:pPr>
              <w:jc w:val="center"/>
              <w:rPr>
                <w:rFonts w:ascii="Calibri" w:hAnsi="Calibri"/>
                <w:color w:val="000000"/>
                <w:sz w:val="22"/>
                <w:szCs w:val="22"/>
              </w:rPr>
            </w:pPr>
            <w:r w:rsidRPr="00631A15">
              <w:rPr>
                <w:rFonts w:ascii="Calibri" w:hAnsi="Calibri"/>
                <w:color w:val="000000"/>
                <w:sz w:val="22"/>
                <w:szCs w:val="22"/>
              </w:rPr>
              <w:t>0.337</w:t>
            </w:r>
          </w:p>
        </w:tc>
        <w:tc>
          <w:tcPr>
            <w:tcW w:w="544" w:type="dxa"/>
            <w:tcBorders>
              <w:top w:val="nil"/>
              <w:left w:val="nil"/>
              <w:bottom w:val="nil"/>
              <w:right w:val="nil"/>
            </w:tcBorders>
            <w:shd w:val="clear" w:color="auto" w:fill="auto"/>
            <w:noWrap/>
            <w:vAlign w:val="bottom"/>
            <w:hideMark/>
          </w:tcPr>
          <w:p w14:paraId="46DE52E9" w14:textId="77777777" w:rsidR="00631A15" w:rsidRPr="00631A15" w:rsidRDefault="00631A15" w:rsidP="00631A15">
            <w:pPr>
              <w:jc w:val="center"/>
              <w:rPr>
                <w:rFonts w:ascii="Calibri" w:hAnsi="Calibri"/>
                <w:color w:val="000000"/>
                <w:sz w:val="22"/>
                <w:szCs w:val="22"/>
              </w:rPr>
            </w:pPr>
            <w:r w:rsidRPr="00631A15">
              <w:rPr>
                <w:rFonts w:ascii="Calibri" w:hAnsi="Calibri"/>
                <w:color w:val="000000"/>
                <w:sz w:val="22"/>
                <w:szCs w:val="22"/>
              </w:rPr>
              <w:t>0.82</w:t>
            </w:r>
          </w:p>
        </w:tc>
      </w:tr>
      <w:tr w:rsidR="00631A15" w:rsidRPr="00631A15" w14:paraId="59FD5B57" w14:textId="77777777" w:rsidTr="00631A15">
        <w:trPr>
          <w:trHeight w:val="120"/>
        </w:trPr>
        <w:tc>
          <w:tcPr>
            <w:tcW w:w="1060" w:type="dxa"/>
            <w:tcBorders>
              <w:top w:val="nil"/>
              <w:left w:val="nil"/>
              <w:bottom w:val="single" w:sz="8" w:space="0" w:color="auto"/>
              <w:right w:val="nil"/>
            </w:tcBorders>
            <w:shd w:val="clear" w:color="auto" w:fill="auto"/>
            <w:noWrap/>
            <w:vAlign w:val="bottom"/>
            <w:hideMark/>
          </w:tcPr>
          <w:p w14:paraId="055F971B" w14:textId="77777777" w:rsidR="00631A15" w:rsidRPr="00631A15" w:rsidRDefault="00631A15" w:rsidP="00631A15">
            <w:pPr>
              <w:jc w:val="center"/>
              <w:rPr>
                <w:rFonts w:ascii="Calibri" w:hAnsi="Calibri"/>
                <w:color w:val="000000"/>
                <w:sz w:val="22"/>
                <w:szCs w:val="22"/>
              </w:rPr>
            </w:pPr>
            <w:r w:rsidRPr="00631A15">
              <w:rPr>
                <w:rFonts w:ascii="Calibri" w:hAnsi="Calibri"/>
                <w:color w:val="000000"/>
                <w:sz w:val="22"/>
                <w:szCs w:val="22"/>
              </w:rPr>
              <w:t> </w:t>
            </w:r>
          </w:p>
        </w:tc>
        <w:tc>
          <w:tcPr>
            <w:tcW w:w="1060" w:type="dxa"/>
            <w:tcBorders>
              <w:top w:val="nil"/>
              <w:left w:val="nil"/>
              <w:bottom w:val="single" w:sz="8" w:space="0" w:color="auto"/>
              <w:right w:val="nil"/>
            </w:tcBorders>
            <w:shd w:val="clear" w:color="auto" w:fill="auto"/>
            <w:noWrap/>
            <w:vAlign w:val="bottom"/>
            <w:hideMark/>
          </w:tcPr>
          <w:p w14:paraId="3F34968A" w14:textId="77777777" w:rsidR="00631A15" w:rsidRPr="00631A15" w:rsidRDefault="00631A15" w:rsidP="00631A15">
            <w:pPr>
              <w:jc w:val="center"/>
              <w:rPr>
                <w:rFonts w:ascii="Calibri" w:hAnsi="Calibri"/>
                <w:color w:val="000000"/>
                <w:sz w:val="22"/>
                <w:szCs w:val="22"/>
              </w:rPr>
            </w:pPr>
            <w:r w:rsidRPr="00631A15">
              <w:rPr>
                <w:rFonts w:ascii="Calibri" w:hAnsi="Calibri"/>
                <w:color w:val="000000"/>
                <w:sz w:val="22"/>
                <w:szCs w:val="22"/>
              </w:rPr>
              <w:t> </w:t>
            </w:r>
          </w:p>
        </w:tc>
        <w:tc>
          <w:tcPr>
            <w:tcW w:w="820" w:type="dxa"/>
            <w:tcBorders>
              <w:top w:val="nil"/>
              <w:left w:val="nil"/>
              <w:bottom w:val="single" w:sz="8" w:space="0" w:color="auto"/>
              <w:right w:val="nil"/>
            </w:tcBorders>
            <w:shd w:val="clear" w:color="auto" w:fill="auto"/>
            <w:noWrap/>
            <w:vAlign w:val="bottom"/>
            <w:hideMark/>
          </w:tcPr>
          <w:p w14:paraId="5F7FFAA8" w14:textId="77777777" w:rsidR="00631A15" w:rsidRPr="00631A15" w:rsidRDefault="00631A15" w:rsidP="00631A15">
            <w:pPr>
              <w:jc w:val="center"/>
              <w:rPr>
                <w:rFonts w:ascii="Calibri" w:hAnsi="Calibri"/>
                <w:color w:val="000000"/>
                <w:sz w:val="22"/>
                <w:szCs w:val="22"/>
              </w:rPr>
            </w:pPr>
            <w:r w:rsidRPr="00631A15">
              <w:rPr>
                <w:rFonts w:ascii="Calibri" w:hAnsi="Calibri"/>
                <w:color w:val="000000"/>
                <w:sz w:val="22"/>
                <w:szCs w:val="22"/>
              </w:rPr>
              <w:t> </w:t>
            </w:r>
          </w:p>
        </w:tc>
        <w:tc>
          <w:tcPr>
            <w:tcW w:w="100" w:type="dxa"/>
            <w:tcBorders>
              <w:top w:val="nil"/>
              <w:left w:val="nil"/>
              <w:bottom w:val="single" w:sz="8" w:space="0" w:color="auto"/>
              <w:right w:val="nil"/>
            </w:tcBorders>
            <w:shd w:val="clear" w:color="auto" w:fill="auto"/>
            <w:noWrap/>
            <w:vAlign w:val="bottom"/>
            <w:hideMark/>
          </w:tcPr>
          <w:p w14:paraId="4BBFE6A8" w14:textId="77777777" w:rsidR="00631A15" w:rsidRPr="00631A15" w:rsidRDefault="00631A15" w:rsidP="00631A15">
            <w:pPr>
              <w:jc w:val="center"/>
              <w:rPr>
                <w:rFonts w:ascii="Calibri" w:hAnsi="Calibri"/>
                <w:color w:val="000000"/>
                <w:sz w:val="22"/>
                <w:szCs w:val="22"/>
              </w:rPr>
            </w:pPr>
            <w:r w:rsidRPr="00631A15">
              <w:rPr>
                <w:rFonts w:ascii="Calibri" w:hAnsi="Calibri"/>
                <w:color w:val="000000"/>
                <w:sz w:val="22"/>
                <w:szCs w:val="22"/>
              </w:rPr>
              <w:t> </w:t>
            </w:r>
          </w:p>
        </w:tc>
        <w:tc>
          <w:tcPr>
            <w:tcW w:w="1078" w:type="dxa"/>
            <w:tcBorders>
              <w:top w:val="nil"/>
              <w:left w:val="nil"/>
              <w:bottom w:val="single" w:sz="8" w:space="0" w:color="auto"/>
              <w:right w:val="nil"/>
            </w:tcBorders>
            <w:shd w:val="clear" w:color="auto" w:fill="auto"/>
            <w:noWrap/>
            <w:vAlign w:val="bottom"/>
            <w:hideMark/>
          </w:tcPr>
          <w:p w14:paraId="1C009CE4" w14:textId="77777777" w:rsidR="00631A15" w:rsidRPr="00631A15" w:rsidRDefault="00631A15" w:rsidP="00631A15">
            <w:pPr>
              <w:jc w:val="center"/>
              <w:rPr>
                <w:rFonts w:ascii="Calibri" w:hAnsi="Calibri"/>
                <w:color w:val="000000"/>
                <w:sz w:val="22"/>
                <w:szCs w:val="22"/>
              </w:rPr>
            </w:pPr>
            <w:r w:rsidRPr="00631A15">
              <w:rPr>
                <w:rFonts w:ascii="Calibri" w:hAnsi="Calibri"/>
                <w:color w:val="000000"/>
                <w:sz w:val="22"/>
                <w:szCs w:val="22"/>
              </w:rPr>
              <w:t> </w:t>
            </w:r>
          </w:p>
        </w:tc>
        <w:tc>
          <w:tcPr>
            <w:tcW w:w="687" w:type="dxa"/>
            <w:tcBorders>
              <w:top w:val="nil"/>
              <w:left w:val="nil"/>
              <w:bottom w:val="single" w:sz="8" w:space="0" w:color="auto"/>
              <w:right w:val="nil"/>
            </w:tcBorders>
            <w:shd w:val="clear" w:color="auto" w:fill="auto"/>
            <w:noWrap/>
            <w:vAlign w:val="bottom"/>
            <w:hideMark/>
          </w:tcPr>
          <w:p w14:paraId="5E8F92D8" w14:textId="77777777" w:rsidR="00631A15" w:rsidRPr="00631A15" w:rsidRDefault="00631A15" w:rsidP="00631A15">
            <w:pPr>
              <w:jc w:val="center"/>
              <w:rPr>
                <w:rFonts w:ascii="Calibri" w:hAnsi="Calibri"/>
                <w:color w:val="000000"/>
                <w:sz w:val="22"/>
                <w:szCs w:val="22"/>
              </w:rPr>
            </w:pPr>
            <w:r w:rsidRPr="00631A15">
              <w:rPr>
                <w:rFonts w:ascii="Calibri" w:hAnsi="Calibri"/>
                <w:color w:val="000000"/>
                <w:sz w:val="22"/>
                <w:szCs w:val="22"/>
              </w:rPr>
              <w:t> </w:t>
            </w:r>
          </w:p>
        </w:tc>
        <w:tc>
          <w:tcPr>
            <w:tcW w:w="544" w:type="dxa"/>
            <w:tcBorders>
              <w:top w:val="nil"/>
              <w:left w:val="nil"/>
              <w:bottom w:val="single" w:sz="8" w:space="0" w:color="auto"/>
              <w:right w:val="nil"/>
            </w:tcBorders>
            <w:shd w:val="clear" w:color="auto" w:fill="auto"/>
            <w:noWrap/>
            <w:vAlign w:val="bottom"/>
            <w:hideMark/>
          </w:tcPr>
          <w:p w14:paraId="45015544" w14:textId="77777777" w:rsidR="00631A15" w:rsidRPr="00631A15" w:rsidRDefault="00631A15" w:rsidP="00631A15">
            <w:pPr>
              <w:jc w:val="center"/>
              <w:rPr>
                <w:rFonts w:ascii="Calibri" w:hAnsi="Calibri"/>
                <w:color w:val="000000"/>
                <w:sz w:val="22"/>
                <w:szCs w:val="22"/>
              </w:rPr>
            </w:pPr>
            <w:r w:rsidRPr="00631A15">
              <w:rPr>
                <w:rFonts w:ascii="Calibri" w:hAnsi="Calibri"/>
                <w:color w:val="000000"/>
                <w:sz w:val="22"/>
                <w:szCs w:val="22"/>
              </w:rPr>
              <w:t> </w:t>
            </w:r>
          </w:p>
        </w:tc>
        <w:tc>
          <w:tcPr>
            <w:tcW w:w="103" w:type="dxa"/>
            <w:tcBorders>
              <w:top w:val="nil"/>
              <w:left w:val="nil"/>
              <w:bottom w:val="single" w:sz="8" w:space="0" w:color="auto"/>
              <w:right w:val="nil"/>
            </w:tcBorders>
            <w:shd w:val="clear" w:color="auto" w:fill="auto"/>
            <w:noWrap/>
            <w:vAlign w:val="bottom"/>
            <w:hideMark/>
          </w:tcPr>
          <w:p w14:paraId="5F30E1A6" w14:textId="77777777" w:rsidR="00631A15" w:rsidRPr="00631A15" w:rsidRDefault="00631A15" w:rsidP="00631A15">
            <w:pPr>
              <w:jc w:val="center"/>
              <w:rPr>
                <w:rFonts w:ascii="Calibri" w:hAnsi="Calibri"/>
                <w:color w:val="000000"/>
                <w:sz w:val="22"/>
                <w:szCs w:val="22"/>
              </w:rPr>
            </w:pPr>
            <w:r w:rsidRPr="00631A15">
              <w:rPr>
                <w:rFonts w:ascii="Calibri" w:hAnsi="Calibri"/>
                <w:color w:val="000000"/>
                <w:sz w:val="22"/>
                <w:szCs w:val="22"/>
              </w:rPr>
              <w:t> </w:t>
            </w:r>
          </w:p>
        </w:tc>
        <w:tc>
          <w:tcPr>
            <w:tcW w:w="1077" w:type="dxa"/>
            <w:tcBorders>
              <w:top w:val="nil"/>
              <w:left w:val="nil"/>
              <w:bottom w:val="single" w:sz="8" w:space="0" w:color="auto"/>
              <w:right w:val="nil"/>
            </w:tcBorders>
            <w:shd w:val="clear" w:color="auto" w:fill="auto"/>
            <w:noWrap/>
            <w:vAlign w:val="bottom"/>
            <w:hideMark/>
          </w:tcPr>
          <w:p w14:paraId="714D963C" w14:textId="77777777" w:rsidR="00631A15" w:rsidRPr="00631A15" w:rsidRDefault="00631A15" w:rsidP="00631A15">
            <w:pPr>
              <w:jc w:val="center"/>
              <w:rPr>
                <w:rFonts w:ascii="Calibri" w:hAnsi="Calibri"/>
                <w:color w:val="000000"/>
                <w:sz w:val="22"/>
                <w:szCs w:val="22"/>
              </w:rPr>
            </w:pPr>
            <w:r w:rsidRPr="00631A15">
              <w:rPr>
                <w:rFonts w:ascii="Calibri" w:hAnsi="Calibri"/>
                <w:color w:val="000000"/>
                <w:sz w:val="22"/>
                <w:szCs w:val="22"/>
              </w:rPr>
              <w:t> </w:t>
            </w:r>
          </w:p>
        </w:tc>
        <w:tc>
          <w:tcPr>
            <w:tcW w:w="687" w:type="dxa"/>
            <w:tcBorders>
              <w:top w:val="nil"/>
              <w:left w:val="nil"/>
              <w:bottom w:val="single" w:sz="8" w:space="0" w:color="auto"/>
              <w:right w:val="nil"/>
            </w:tcBorders>
            <w:shd w:val="clear" w:color="auto" w:fill="auto"/>
            <w:noWrap/>
            <w:vAlign w:val="bottom"/>
            <w:hideMark/>
          </w:tcPr>
          <w:p w14:paraId="48898271" w14:textId="77777777" w:rsidR="00631A15" w:rsidRPr="00631A15" w:rsidRDefault="00631A15" w:rsidP="00631A15">
            <w:pPr>
              <w:jc w:val="center"/>
              <w:rPr>
                <w:rFonts w:ascii="Calibri" w:hAnsi="Calibri"/>
                <w:color w:val="000000"/>
                <w:sz w:val="22"/>
                <w:szCs w:val="22"/>
              </w:rPr>
            </w:pPr>
            <w:r w:rsidRPr="00631A15">
              <w:rPr>
                <w:rFonts w:ascii="Calibri" w:hAnsi="Calibri"/>
                <w:color w:val="000000"/>
                <w:sz w:val="22"/>
                <w:szCs w:val="22"/>
              </w:rPr>
              <w:t> </w:t>
            </w:r>
          </w:p>
        </w:tc>
        <w:tc>
          <w:tcPr>
            <w:tcW w:w="544" w:type="dxa"/>
            <w:tcBorders>
              <w:top w:val="nil"/>
              <w:left w:val="nil"/>
              <w:bottom w:val="single" w:sz="8" w:space="0" w:color="auto"/>
              <w:right w:val="nil"/>
            </w:tcBorders>
            <w:shd w:val="clear" w:color="auto" w:fill="auto"/>
            <w:noWrap/>
            <w:vAlign w:val="bottom"/>
            <w:hideMark/>
          </w:tcPr>
          <w:p w14:paraId="5E5E12A0" w14:textId="77777777" w:rsidR="00631A15" w:rsidRPr="00631A15" w:rsidRDefault="00631A15" w:rsidP="00631A15">
            <w:pPr>
              <w:jc w:val="center"/>
              <w:rPr>
                <w:rFonts w:ascii="Calibri" w:hAnsi="Calibri"/>
                <w:color w:val="000000"/>
                <w:sz w:val="22"/>
                <w:szCs w:val="22"/>
              </w:rPr>
            </w:pPr>
            <w:r w:rsidRPr="00631A15">
              <w:rPr>
                <w:rFonts w:ascii="Calibri" w:hAnsi="Calibri"/>
                <w:color w:val="000000"/>
                <w:sz w:val="22"/>
                <w:szCs w:val="22"/>
              </w:rPr>
              <w:t> </w:t>
            </w:r>
          </w:p>
        </w:tc>
      </w:tr>
    </w:tbl>
    <w:p w14:paraId="463E9B08" w14:textId="6ACE6BA1" w:rsidR="00CF68F4" w:rsidRDefault="00CF68F4" w:rsidP="00A85875">
      <w:pPr>
        <w:pStyle w:val="NoSpacing2"/>
        <w:rPr>
          <w:b/>
          <w:i/>
        </w:rPr>
      </w:pPr>
    </w:p>
    <w:p w14:paraId="060D6E07" w14:textId="77777777" w:rsidR="00045583" w:rsidRDefault="00045583" w:rsidP="00250F2B">
      <w:pPr>
        <w:spacing w:line="480" w:lineRule="auto"/>
        <w:rPr>
          <w:b/>
          <w:i/>
        </w:rPr>
      </w:pPr>
    </w:p>
    <w:p w14:paraId="64CE9AF2" w14:textId="77777777" w:rsidR="00031DB4" w:rsidRDefault="00031DB4" w:rsidP="00250F2B">
      <w:pPr>
        <w:spacing w:line="480" w:lineRule="auto"/>
        <w:rPr>
          <w:b/>
          <w:i/>
        </w:rPr>
      </w:pPr>
    </w:p>
    <w:p w14:paraId="5E76BFE6" w14:textId="77777777" w:rsidR="00031DB4" w:rsidRDefault="00031DB4" w:rsidP="00250F2B">
      <w:pPr>
        <w:spacing w:line="480" w:lineRule="auto"/>
        <w:rPr>
          <w:b/>
          <w:i/>
        </w:rPr>
      </w:pPr>
    </w:p>
    <w:p w14:paraId="5AC4BF04" w14:textId="77777777" w:rsidR="00031DB4" w:rsidRDefault="00031DB4" w:rsidP="00250F2B">
      <w:pPr>
        <w:spacing w:line="480" w:lineRule="auto"/>
        <w:rPr>
          <w:b/>
          <w:i/>
        </w:rPr>
      </w:pPr>
    </w:p>
    <w:p w14:paraId="74281150" w14:textId="77777777" w:rsidR="00031DB4" w:rsidRDefault="00031DB4" w:rsidP="00250F2B">
      <w:pPr>
        <w:spacing w:line="480" w:lineRule="auto"/>
        <w:rPr>
          <w:b/>
          <w:i/>
        </w:rPr>
      </w:pPr>
    </w:p>
    <w:p w14:paraId="1DAA5C40" w14:textId="77777777" w:rsidR="00031DB4" w:rsidRDefault="00031DB4" w:rsidP="00250F2B">
      <w:pPr>
        <w:spacing w:line="480" w:lineRule="auto"/>
        <w:rPr>
          <w:b/>
          <w:i/>
        </w:rPr>
      </w:pPr>
    </w:p>
    <w:p w14:paraId="758CF382" w14:textId="77777777" w:rsidR="00031DB4" w:rsidRDefault="00031DB4" w:rsidP="00250F2B">
      <w:pPr>
        <w:spacing w:line="480" w:lineRule="auto"/>
        <w:rPr>
          <w:b/>
          <w:i/>
        </w:rPr>
      </w:pPr>
    </w:p>
    <w:p w14:paraId="08F76527" w14:textId="42E19F31" w:rsidR="00A3693F" w:rsidRDefault="00896B60" w:rsidP="00A3693F">
      <w:pPr>
        <w:pStyle w:val="NoSpacing2"/>
      </w:pPr>
      <w:proofErr w:type="spellStart"/>
      <w:r w:rsidRPr="00896B60">
        <w:rPr>
          <w:b/>
          <w:i/>
        </w:rPr>
        <w:lastRenderedPageBreak/>
        <w:t>Supplemtal</w:t>
      </w:r>
      <w:proofErr w:type="spellEnd"/>
      <w:r>
        <w:rPr>
          <w:b/>
          <w:i/>
        </w:rPr>
        <w:t xml:space="preserve"> </w:t>
      </w:r>
      <w:proofErr w:type="spellStart"/>
      <w:r w:rsidR="00A3693F">
        <w:rPr>
          <w:b/>
          <w:i/>
        </w:rPr>
        <w:t>eTable</w:t>
      </w:r>
      <w:proofErr w:type="spellEnd"/>
      <w:r w:rsidR="00A3693F">
        <w:rPr>
          <w:b/>
          <w:i/>
        </w:rPr>
        <w:t xml:space="preserve"> 3. </w:t>
      </w:r>
      <w:r w:rsidR="00A3693F">
        <w:t>2S</w:t>
      </w:r>
      <w:r w:rsidR="00A3693F" w:rsidRPr="00B33C4F">
        <w:t xml:space="preserve">MR analyses </w:t>
      </w:r>
      <w:r w:rsidR="00AC5C22">
        <w:t xml:space="preserve">using </w:t>
      </w:r>
      <w:r w:rsidR="00A3693F">
        <w:t xml:space="preserve">MR-Egger and </w:t>
      </w:r>
      <w:r w:rsidR="00EB2CF8">
        <w:t>MR-</w:t>
      </w:r>
      <w:r w:rsidR="00A3693F">
        <w:t xml:space="preserve">RAPS methods with </w:t>
      </w:r>
      <w:r w:rsidR="00E51311">
        <w:t>polygenic instruments</w:t>
      </w:r>
      <w:r w:rsidR="00672BFD">
        <w:t xml:space="preserve"> including larger sets of SNPs.</w:t>
      </w:r>
    </w:p>
    <w:tbl>
      <w:tblPr>
        <w:tblW w:w="9133" w:type="dxa"/>
        <w:tblLook w:val="04A0" w:firstRow="1" w:lastRow="0" w:firstColumn="1" w:lastColumn="0" w:noHBand="0" w:noVBand="1"/>
      </w:tblPr>
      <w:tblGrid>
        <w:gridCol w:w="1171"/>
        <w:gridCol w:w="1171"/>
        <w:gridCol w:w="905"/>
        <w:gridCol w:w="293"/>
        <w:gridCol w:w="1185"/>
        <w:gridCol w:w="792"/>
        <w:gridCol w:w="673"/>
        <w:gridCol w:w="293"/>
        <w:gridCol w:w="1185"/>
        <w:gridCol w:w="792"/>
        <w:gridCol w:w="673"/>
      </w:tblGrid>
      <w:tr w:rsidR="00533C70" w14:paraId="1C6402FF" w14:textId="77777777" w:rsidTr="00533C70">
        <w:trPr>
          <w:trHeight w:val="318"/>
        </w:trPr>
        <w:tc>
          <w:tcPr>
            <w:tcW w:w="1171" w:type="dxa"/>
            <w:tcBorders>
              <w:top w:val="nil"/>
              <w:left w:val="nil"/>
              <w:bottom w:val="nil"/>
              <w:right w:val="nil"/>
            </w:tcBorders>
            <w:shd w:val="clear" w:color="auto" w:fill="auto"/>
            <w:noWrap/>
            <w:vAlign w:val="bottom"/>
            <w:hideMark/>
          </w:tcPr>
          <w:p w14:paraId="1CE075C3" w14:textId="77777777" w:rsidR="00AC5C22" w:rsidRDefault="00AC5C22"/>
        </w:tc>
        <w:tc>
          <w:tcPr>
            <w:tcW w:w="1171" w:type="dxa"/>
            <w:tcBorders>
              <w:top w:val="nil"/>
              <w:left w:val="nil"/>
              <w:bottom w:val="nil"/>
              <w:right w:val="nil"/>
            </w:tcBorders>
            <w:shd w:val="clear" w:color="auto" w:fill="auto"/>
            <w:noWrap/>
            <w:vAlign w:val="bottom"/>
            <w:hideMark/>
          </w:tcPr>
          <w:p w14:paraId="6A126C44" w14:textId="77777777" w:rsidR="00AC5C22" w:rsidRDefault="00AC5C22">
            <w:pPr>
              <w:jc w:val="center"/>
              <w:rPr>
                <w:sz w:val="20"/>
                <w:szCs w:val="20"/>
              </w:rPr>
            </w:pPr>
          </w:p>
        </w:tc>
        <w:tc>
          <w:tcPr>
            <w:tcW w:w="905" w:type="dxa"/>
            <w:tcBorders>
              <w:top w:val="nil"/>
              <w:left w:val="nil"/>
              <w:bottom w:val="nil"/>
              <w:right w:val="nil"/>
            </w:tcBorders>
            <w:shd w:val="clear" w:color="auto" w:fill="auto"/>
            <w:noWrap/>
            <w:vAlign w:val="bottom"/>
            <w:hideMark/>
          </w:tcPr>
          <w:p w14:paraId="5FD04FE8" w14:textId="77777777" w:rsidR="00AC5C22" w:rsidRDefault="00AC5C22">
            <w:pPr>
              <w:jc w:val="center"/>
              <w:rPr>
                <w:sz w:val="20"/>
                <w:szCs w:val="20"/>
              </w:rPr>
            </w:pPr>
          </w:p>
        </w:tc>
        <w:tc>
          <w:tcPr>
            <w:tcW w:w="293" w:type="dxa"/>
            <w:tcBorders>
              <w:top w:val="nil"/>
              <w:left w:val="nil"/>
              <w:bottom w:val="nil"/>
              <w:right w:val="nil"/>
            </w:tcBorders>
            <w:shd w:val="clear" w:color="auto" w:fill="auto"/>
            <w:noWrap/>
            <w:vAlign w:val="bottom"/>
            <w:hideMark/>
          </w:tcPr>
          <w:p w14:paraId="55966400" w14:textId="77777777" w:rsidR="00AC5C22" w:rsidRDefault="00AC5C22">
            <w:pPr>
              <w:jc w:val="center"/>
              <w:rPr>
                <w:sz w:val="20"/>
                <w:szCs w:val="20"/>
              </w:rPr>
            </w:pPr>
          </w:p>
        </w:tc>
        <w:tc>
          <w:tcPr>
            <w:tcW w:w="2650" w:type="dxa"/>
            <w:gridSpan w:val="3"/>
            <w:tcBorders>
              <w:top w:val="single" w:sz="8" w:space="0" w:color="auto"/>
              <w:left w:val="nil"/>
              <w:bottom w:val="single" w:sz="8" w:space="0" w:color="auto"/>
              <w:right w:val="nil"/>
            </w:tcBorders>
            <w:shd w:val="clear" w:color="auto" w:fill="auto"/>
            <w:noWrap/>
            <w:vAlign w:val="bottom"/>
            <w:hideMark/>
          </w:tcPr>
          <w:p w14:paraId="05874359" w14:textId="77777777" w:rsidR="00AC5C22" w:rsidRDefault="00AC5C22">
            <w:pPr>
              <w:jc w:val="center"/>
              <w:rPr>
                <w:rFonts w:ascii="Calibri" w:hAnsi="Calibri" w:cs="Calibri"/>
                <w:b/>
                <w:bCs/>
                <w:color w:val="000000"/>
                <w:sz w:val="22"/>
                <w:szCs w:val="22"/>
              </w:rPr>
            </w:pPr>
            <w:r>
              <w:rPr>
                <w:rFonts w:ascii="Calibri" w:hAnsi="Calibri" w:cs="Calibri"/>
                <w:b/>
                <w:bCs/>
                <w:color w:val="000000"/>
                <w:sz w:val="22"/>
                <w:szCs w:val="22"/>
              </w:rPr>
              <w:t>MR-Egger</w:t>
            </w:r>
          </w:p>
        </w:tc>
        <w:tc>
          <w:tcPr>
            <w:tcW w:w="293" w:type="dxa"/>
            <w:tcBorders>
              <w:top w:val="single" w:sz="8" w:space="0" w:color="auto"/>
              <w:left w:val="nil"/>
              <w:bottom w:val="nil"/>
              <w:right w:val="nil"/>
            </w:tcBorders>
            <w:shd w:val="clear" w:color="auto" w:fill="auto"/>
            <w:noWrap/>
            <w:vAlign w:val="bottom"/>
            <w:hideMark/>
          </w:tcPr>
          <w:p w14:paraId="312F5DA9" w14:textId="77777777" w:rsidR="00AC5C22" w:rsidRDefault="00AC5C22">
            <w:pPr>
              <w:jc w:val="center"/>
              <w:rPr>
                <w:rFonts w:ascii="Calibri" w:hAnsi="Calibri" w:cs="Calibri"/>
                <w:color w:val="000000"/>
                <w:sz w:val="22"/>
                <w:szCs w:val="22"/>
              </w:rPr>
            </w:pPr>
            <w:r>
              <w:rPr>
                <w:rFonts w:ascii="Calibri" w:hAnsi="Calibri" w:cs="Calibri"/>
                <w:color w:val="000000"/>
                <w:sz w:val="22"/>
                <w:szCs w:val="22"/>
              </w:rPr>
              <w:t> </w:t>
            </w:r>
          </w:p>
        </w:tc>
        <w:tc>
          <w:tcPr>
            <w:tcW w:w="2650" w:type="dxa"/>
            <w:gridSpan w:val="3"/>
            <w:tcBorders>
              <w:top w:val="single" w:sz="8" w:space="0" w:color="auto"/>
              <w:left w:val="nil"/>
              <w:bottom w:val="single" w:sz="8" w:space="0" w:color="auto"/>
              <w:right w:val="nil"/>
            </w:tcBorders>
            <w:shd w:val="clear" w:color="auto" w:fill="auto"/>
            <w:noWrap/>
            <w:vAlign w:val="bottom"/>
            <w:hideMark/>
          </w:tcPr>
          <w:p w14:paraId="0128FC4F" w14:textId="56ACB756" w:rsidR="00AC5C22" w:rsidRDefault="00E47FB1">
            <w:pPr>
              <w:jc w:val="center"/>
              <w:rPr>
                <w:rFonts w:ascii="Calibri" w:hAnsi="Calibri" w:cs="Calibri"/>
                <w:b/>
                <w:bCs/>
                <w:color w:val="000000"/>
                <w:sz w:val="22"/>
                <w:szCs w:val="22"/>
              </w:rPr>
            </w:pPr>
            <w:r>
              <w:rPr>
                <w:rFonts w:ascii="Calibri" w:hAnsi="Calibri" w:cs="Calibri"/>
                <w:b/>
                <w:bCs/>
                <w:color w:val="000000"/>
                <w:sz w:val="22"/>
                <w:szCs w:val="22"/>
              </w:rPr>
              <w:t>MR-</w:t>
            </w:r>
            <w:r w:rsidR="00AC5C22">
              <w:rPr>
                <w:rFonts w:ascii="Calibri" w:hAnsi="Calibri" w:cs="Calibri"/>
                <w:b/>
                <w:bCs/>
                <w:color w:val="000000"/>
                <w:sz w:val="22"/>
                <w:szCs w:val="22"/>
              </w:rPr>
              <w:t>RAPS</w:t>
            </w:r>
          </w:p>
        </w:tc>
      </w:tr>
      <w:tr w:rsidR="00AC5C22" w14:paraId="7526ECA4" w14:textId="77777777" w:rsidTr="00533C70">
        <w:trPr>
          <w:trHeight w:val="318"/>
        </w:trPr>
        <w:tc>
          <w:tcPr>
            <w:tcW w:w="1171" w:type="dxa"/>
            <w:tcBorders>
              <w:top w:val="nil"/>
              <w:left w:val="nil"/>
              <w:bottom w:val="single" w:sz="8" w:space="0" w:color="auto"/>
              <w:right w:val="nil"/>
            </w:tcBorders>
            <w:shd w:val="clear" w:color="auto" w:fill="auto"/>
            <w:noWrap/>
            <w:vAlign w:val="bottom"/>
            <w:hideMark/>
          </w:tcPr>
          <w:p w14:paraId="43D3AF21" w14:textId="77777777" w:rsidR="00AC5C22" w:rsidRDefault="00AC5C22">
            <w:pPr>
              <w:jc w:val="center"/>
              <w:rPr>
                <w:rFonts w:ascii="Calibri" w:hAnsi="Calibri" w:cs="Calibri"/>
                <w:b/>
                <w:bCs/>
                <w:color w:val="000000"/>
                <w:sz w:val="22"/>
                <w:szCs w:val="22"/>
              </w:rPr>
            </w:pPr>
            <w:r>
              <w:rPr>
                <w:rFonts w:ascii="Calibri" w:hAnsi="Calibri" w:cs="Calibri"/>
                <w:b/>
                <w:bCs/>
                <w:color w:val="000000"/>
                <w:sz w:val="22"/>
                <w:szCs w:val="22"/>
              </w:rPr>
              <w:t>Exposure</w:t>
            </w:r>
          </w:p>
        </w:tc>
        <w:tc>
          <w:tcPr>
            <w:tcW w:w="1171" w:type="dxa"/>
            <w:tcBorders>
              <w:top w:val="nil"/>
              <w:left w:val="nil"/>
              <w:bottom w:val="single" w:sz="8" w:space="0" w:color="auto"/>
              <w:right w:val="nil"/>
            </w:tcBorders>
            <w:shd w:val="clear" w:color="auto" w:fill="auto"/>
            <w:noWrap/>
            <w:vAlign w:val="bottom"/>
            <w:hideMark/>
          </w:tcPr>
          <w:p w14:paraId="2AF256B3" w14:textId="77777777" w:rsidR="00AC5C22" w:rsidRDefault="00AC5C22">
            <w:pPr>
              <w:jc w:val="center"/>
              <w:rPr>
                <w:rFonts w:ascii="Calibri" w:hAnsi="Calibri" w:cs="Calibri"/>
                <w:b/>
                <w:bCs/>
                <w:color w:val="000000"/>
                <w:sz w:val="22"/>
                <w:szCs w:val="22"/>
              </w:rPr>
            </w:pPr>
            <w:r>
              <w:rPr>
                <w:rFonts w:ascii="Calibri" w:hAnsi="Calibri" w:cs="Calibri"/>
                <w:b/>
                <w:bCs/>
                <w:color w:val="000000"/>
                <w:sz w:val="22"/>
                <w:szCs w:val="22"/>
              </w:rPr>
              <w:t>Outcome</w:t>
            </w:r>
          </w:p>
        </w:tc>
        <w:tc>
          <w:tcPr>
            <w:tcW w:w="905" w:type="dxa"/>
            <w:tcBorders>
              <w:top w:val="nil"/>
              <w:left w:val="nil"/>
              <w:bottom w:val="single" w:sz="8" w:space="0" w:color="auto"/>
              <w:right w:val="nil"/>
            </w:tcBorders>
            <w:shd w:val="clear" w:color="auto" w:fill="auto"/>
            <w:noWrap/>
            <w:vAlign w:val="bottom"/>
            <w:hideMark/>
          </w:tcPr>
          <w:p w14:paraId="2DF4DAC2" w14:textId="77777777" w:rsidR="00AC5C22" w:rsidRDefault="00AC5C22">
            <w:pPr>
              <w:jc w:val="center"/>
              <w:rPr>
                <w:rFonts w:ascii="Calibri" w:hAnsi="Calibri" w:cs="Calibri"/>
                <w:b/>
                <w:bCs/>
                <w:color w:val="000000"/>
                <w:sz w:val="22"/>
                <w:szCs w:val="22"/>
              </w:rPr>
            </w:pPr>
            <w:r>
              <w:rPr>
                <w:rFonts w:ascii="Calibri" w:hAnsi="Calibri" w:cs="Calibri"/>
                <w:b/>
                <w:bCs/>
                <w:color w:val="000000"/>
                <w:sz w:val="22"/>
                <w:szCs w:val="22"/>
              </w:rPr>
              <w:t>N SNPs</w:t>
            </w:r>
          </w:p>
        </w:tc>
        <w:tc>
          <w:tcPr>
            <w:tcW w:w="293" w:type="dxa"/>
            <w:tcBorders>
              <w:top w:val="nil"/>
              <w:left w:val="nil"/>
              <w:bottom w:val="nil"/>
              <w:right w:val="nil"/>
            </w:tcBorders>
            <w:shd w:val="clear" w:color="auto" w:fill="auto"/>
            <w:noWrap/>
            <w:vAlign w:val="bottom"/>
            <w:hideMark/>
          </w:tcPr>
          <w:p w14:paraId="25791421" w14:textId="77777777" w:rsidR="00AC5C22" w:rsidRDefault="00AC5C22">
            <w:pPr>
              <w:jc w:val="center"/>
              <w:rPr>
                <w:rFonts w:ascii="Calibri" w:hAnsi="Calibri" w:cs="Calibri"/>
                <w:b/>
                <w:bCs/>
                <w:color w:val="000000"/>
                <w:sz w:val="22"/>
                <w:szCs w:val="22"/>
              </w:rPr>
            </w:pPr>
          </w:p>
        </w:tc>
        <w:tc>
          <w:tcPr>
            <w:tcW w:w="1185" w:type="dxa"/>
            <w:tcBorders>
              <w:top w:val="nil"/>
              <w:left w:val="nil"/>
              <w:bottom w:val="single" w:sz="8" w:space="0" w:color="auto"/>
              <w:right w:val="nil"/>
            </w:tcBorders>
            <w:shd w:val="clear" w:color="auto" w:fill="auto"/>
            <w:noWrap/>
            <w:vAlign w:val="bottom"/>
            <w:hideMark/>
          </w:tcPr>
          <w:p w14:paraId="3105ECB0" w14:textId="77777777" w:rsidR="00AC5C22" w:rsidRDefault="00AC5C22">
            <w:pPr>
              <w:jc w:val="center"/>
              <w:rPr>
                <w:rFonts w:ascii="Calibri" w:hAnsi="Calibri" w:cs="Calibri"/>
                <w:b/>
                <w:bCs/>
                <w:color w:val="000000"/>
                <w:sz w:val="22"/>
                <w:szCs w:val="22"/>
              </w:rPr>
            </w:pPr>
            <w:r>
              <w:rPr>
                <w:rFonts w:ascii="Calibri" w:hAnsi="Calibri" w:cs="Calibri"/>
                <w:b/>
                <w:bCs/>
                <w:color w:val="000000"/>
                <w:sz w:val="22"/>
                <w:szCs w:val="22"/>
              </w:rPr>
              <w:t>estimate</w:t>
            </w:r>
          </w:p>
        </w:tc>
        <w:tc>
          <w:tcPr>
            <w:tcW w:w="792" w:type="dxa"/>
            <w:tcBorders>
              <w:top w:val="nil"/>
              <w:left w:val="nil"/>
              <w:bottom w:val="single" w:sz="8" w:space="0" w:color="auto"/>
              <w:right w:val="nil"/>
            </w:tcBorders>
            <w:shd w:val="clear" w:color="auto" w:fill="auto"/>
            <w:noWrap/>
            <w:vAlign w:val="bottom"/>
            <w:hideMark/>
          </w:tcPr>
          <w:p w14:paraId="4B55E657" w14:textId="77777777" w:rsidR="00AC5C22" w:rsidRDefault="00AC5C22">
            <w:pPr>
              <w:jc w:val="center"/>
              <w:rPr>
                <w:rFonts w:ascii="Calibri" w:hAnsi="Calibri" w:cs="Calibri"/>
                <w:b/>
                <w:bCs/>
                <w:color w:val="000000"/>
                <w:sz w:val="22"/>
                <w:szCs w:val="22"/>
              </w:rPr>
            </w:pPr>
            <w:r>
              <w:rPr>
                <w:rFonts w:ascii="Calibri" w:hAnsi="Calibri" w:cs="Calibri"/>
                <w:b/>
                <w:bCs/>
                <w:color w:val="000000"/>
                <w:sz w:val="22"/>
                <w:szCs w:val="22"/>
              </w:rPr>
              <w:t>SE</w:t>
            </w:r>
          </w:p>
        </w:tc>
        <w:tc>
          <w:tcPr>
            <w:tcW w:w="672" w:type="dxa"/>
            <w:tcBorders>
              <w:top w:val="nil"/>
              <w:left w:val="nil"/>
              <w:bottom w:val="single" w:sz="8" w:space="0" w:color="auto"/>
              <w:right w:val="nil"/>
            </w:tcBorders>
            <w:shd w:val="clear" w:color="auto" w:fill="auto"/>
            <w:noWrap/>
            <w:vAlign w:val="center"/>
            <w:hideMark/>
          </w:tcPr>
          <w:p w14:paraId="39727F9B" w14:textId="77777777" w:rsidR="00AC5C22" w:rsidRDefault="00AC5C22">
            <w:pPr>
              <w:jc w:val="center"/>
              <w:rPr>
                <w:rFonts w:ascii="Calibri" w:hAnsi="Calibri" w:cs="Calibri"/>
                <w:b/>
                <w:bCs/>
                <w:i/>
                <w:iCs/>
                <w:color w:val="000000"/>
                <w:sz w:val="22"/>
                <w:szCs w:val="22"/>
              </w:rPr>
            </w:pPr>
            <w:r>
              <w:rPr>
                <w:rFonts w:ascii="Calibri" w:hAnsi="Calibri" w:cs="Calibri"/>
                <w:b/>
                <w:bCs/>
                <w:i/>
                <w:iCs/>
                <w:color w:val="000000"/>
                <w:sz w:val="22"/>
                <w:szCs w:val="22"/>
              </w:rPr>
              <w:t>p</w:t>
            </w:r>
          </w:p>
        </w:tc>
        <w:tc>
          <w:tcPr>
            <w:tcW w:w="293" w:type="dxa"/>
            <w:tcBorders>
              <w:top w:val="nil"/>
              <w:left w:val="nil"/>
              <w:bottom w:val="nil"/>
              <w:right w:val="nil"/>
            </w:tcBorders>
            <w:shd w:val="clear" w:color="auto" w:fill="auto"/>
            <w:noWrap/>
            <w:vAlign w:val="bottom"/>
            <w:hideMark/>
          </w:tcPr>
          <w:p w14:paraId="78963BA4" w14:textId="77777777" w:rsidR="00AC5C22" w:rsidRDefault="00AC5C22">
            <w:pPr>
              <w:jc w:val="center"/>
              <w:rPr>
                <w:rFonts w:ascii="Calibri" w:hAnsi="Calibri" w:cs="Calibri"/>
                <w:b/>
                <w:bCs/>
                <w:i/>
                <w:iCs/>
                <w:color w:val="000000"/>
                <w:sz w:val="22"/>
                <w:szCs w:val="22"/>
              </w:rPr>
            </w:pPr>
          </w:p>
        </w:tc>
        <w:tc>
          <w:tcPr>
            <w:tcW w:w="1185" w:type="dxa"/>
            <w:tcBorders>
              <w:top w:val="nil"/>
              <w:left w:val="nil"/>
              <w:bottom w:val="single" w:sz="8" w:space="0" w:color="auto"/>
              <w:right w:val="nil"/>
            </w:tcBorders>
            <w:shd w:val="clear" w:color="auto" w:fill="auto"/>
            <w:noWrap/>
            <w:vAlign w:val="bottom"/>
            <w:hideMark/>
          </w:tcPr>
          <w:p w14:paraId="367AF6B8" w14:textId="77777777" w:rsidR="00AC5C22" w:rsidRDefault="00AC5C22">
            <w:pPr>
              <w:jc w:val="center"/>
              <w:rPr>
                <w:rFonts w:ascii="Calibri" w:hAnsi="Calibri" w:cs="Calibri"/>
                <w:b/>
                <w:bCs/>
                <w:color w:val="000000"/>
                <w:sz w:val="22"/>
                <w:szCs w:val="22"/>
              </w:rPr>
            </w:pPr>
            <w:r>
              <w:rPr>
                <w:rFonts w:ascii="Calibri" w:hAnsi="Calibri" w:cs="Calibri"/>
                <w:b/>
                <w:bCs/>
                <w:color w:val="000000"/>
                <w:sz w:val="22"/>
                <w:szCs w:val="22"/>
              </w:rPr>
              <w:t>estimate</w:t>
            </w:r>
          </w:p>
        </w:tc>
        <w:tc>
          <w:tcPr>
            <w:tcW w:w="792" w:type="dxa"/>
            <w:tcBorders>
              <w:top w:val="nil"/>
              <w:left w:val="nil"/>
              <w:bottom w:val="single" w:sz="8" w:space="0" w:color="auto"/>
              <w:right w:val="nil"/>
            </w:tcBorders>
            <w:shd w:val="clear" w:color="auto" w:fill="auto"/>
            <w:noWrap/>
            <w:vAlign w:val="bottom"/>
            <w:hideMark/>
          </w:tcPr>
          <w:p w14:paraId="2657B94D" w14:textId="77777777" w:rsidR="00AC5C22" w:rsidRDefault="00AC5C22">
            <w:pPr>
              <w:jc w:val="center"/>
              <w:rPr>
                <w:rFonts w:ascii="Calibri" w:hAnsi="Calibri" w:cs="Calibri"/>
                <w:b/>
                <w:bCs/>
                <w:color w:val="000000"/>
                <w:sz w:val="22"/>
                <w:szCs w:val="22"/>
              </w:rPr>
            </w:pPr>
            <w:r>
              <w:rPr>
                <w:rFonts w:ascii="Calibri" w:hAnsi="Calibri" w:cs="Calibri"/>
                <w:b/>
                <w:bCs/>
                <w:color w:val="000000"/>
                <w:sz w:val="22"/>
                <w:szCs w:val="22"/>
              </w:rPr>
              <w:t>SE</w:t>
            </w:r>
          </w:p>
        </w:tc>
        <w:tc>
          <w:tcPr>
            <w:tcW w:w="672" w:type="dxa"/>
            <w:tcBorders>
              <w:top w:val="nil"/>
              <w:left w:val="nil"/>
              <w:bottom w:val="single" w:sz="8" w:space="0" w:color="auto"/>
              <w:right w:val="nil"/>
            </w:tcBorders>
            <w:shd w:val="clear" w:color="auto" w:fill="auto"/>
            <w:noWrap/>
            <w:vAlign w:val="center"/>
            <w:hideMark/>
          </w:tcPr>
          <w:p w14:paraId="0E6C8B41" w14:textId="77777777" w:rsidR="00AC5C22" w:rsidRDefault="00AC5C22">
            <w:pPr>
              <w:jc w:val="center"/>
              <w:rPr>
                <w:rFonts w:ascii="Calibri" w:hAnsi="Calibri" w:cs="Calibri"/>
                <w:b/>
                <w:bCs/>
                <w:i/>
                <w:iCs/>
                <w:color w:val="000000"/>
                <w:sz w:val="22"/>
                <w:szCs w:val="22"/>
              </w:rPr>
            </w:pPr>
            <w:r>
              <w:rPr>
                <w:rFonts w:ascii="Calibri" w:hAnsi="Calibri" w:cs="Calibri"/>
                <w:b/>
                <w:bCs/>
                <w:i/>
                <w:iCs/>
                <w:color w:val="000000"/>
                <w:sz w:val="22"/>
                <w:szCs w:val="22"/>
              </w:rPr>
              <w:t>p</w:t>
            </w:r>
          </w:p>
        </w:tc>
      </w:tr>
      <w:tr w:rsidR="00AC5C22" w14:paraId="0C4F1091" w14:textId="77777777" w:rsidTr="00533C70">
        <w:trPr>
          <w:trHeight w:val="119"/>
        </w:trPr>
        <w:tc>
          <w:tcPr>
            <w:tcW w:w="1171" w:type="dxa"/>
            <w:tcBorders>
              <w:top w:val="nil"/>
              <w:left w:val="nil"/>
              <w:bottom w:val="nil"/>
              <w:right w:val="nil"/>
            </w:tcBorders>
            <w:shd w:val="clear" w:color="auto" w:fill="auto"/>
            <w:noWrap/>
            <w:vAlign w:val="bottom"/>
            <w:hideMark/>
          </w:tcPr>
          <w:p w14:paraId="715139F9" w14:textId="77777777" w:rsidR="00AC5C22" w:rsidRDefault="00AC5C22">
            <w:pPr>
              <w:jc w:val="center"/>
              <w:rPr>
                <w:rFonts w:ascii="Calibri" w:hAnsi="Calibri" w:cs="Calibri"/>
                <w:b/>
                <w:bCs/>
                <w:i/>
                <w:iCs/>
                <w:color w:val="000000"/>
                <w:sz w:val="22"/>
                <w:szCs w:val="22"/>
              </w:rPr>
            </w:pPr>
          </w:p>
        </w:tc>
        <w:tc>
          <w:tcPr>
            <w:tcW w:w="1171" w:type="dxa"/>
            <w:tcBorders>
              <w:top w:val="nil"/>
              <w:left w:val="nil"/>
              <w:bottom w:val="nil"/>
              <w:right w:val="nil"/>
            </w:tcBorders>
            <w:shd w:val="clear" w:color="auto" w:fill="auto"/>
            <w:noWrap/>
            <w:vAlign w:val="bottom"/>
            <w:hideMark/>
          </w:tcPr>
          <w:p w14:paraId="542A02F6" w14:textId="77777777" w:rsidR="00AC5C22" w:rsidRDefault="00AC5C22">
            <w:pPr>
              <w:jc w:val="center"/>
              <w:rPr>
                <w:sz w:val="20"/>
                <w:szCs w:val="20"/>
              </w:rPr>
            </w:pPr>
          </w:p>
        </w:tc>
        <w:tc>
          <w:tcPr>
            <w:tcW w:w="905" w:type="dxa"/>
            <w:tcBorders>
              <w:top w:val="nil"/>
              <w:left w:val="nil"/>
              <w:bottom w:val="nil"/>
              <w:right w:val="nil"/>
            </w:tcBorders>
            <w:shd w:val="clear" w:color="auto" w:fill="auto"/>
            <w:noWrap/>
            <w:vAlign w:val="bottom"/>
            <w:hideMark/>
          </w:tcPr>
          <w:p w14:paraId="6AC07ACB" w14:textId="77777777" w:rsidR="00AC5C22" w:rsidRDefault="00AC5C22">
            <w:pPr>
              <w:jc w:val="center"/>
              <w:rPr>
                <w:sz w:val="20"/>
                <w:szCs w:val="20"/>
              </w:rPr>
            </w:pPr>
          </w:p>
        </w:tc>
        <w:tc>
          <w:tcPr>
            <w:tcW w:w="293" w:type="dxa"/>
            <w:tcBorders>
              <w:top w:val="nil"/>
              <w:left w:val="nil"/>
              <w:bottom w:val="nil"/>
              <w:right w:val="nil"/>
            </w:tcBorders>
            <w:shd w:val="clear" w:color="auto" w:fill="auto"/>
            <w:noWrap/>
            <w:vAlign w:val="bottom"/>
            <w:hideMark/>
          </w:tcPr>
          <w:p w14:paraId="7533BF5E" w14:textId="77777777" w:rsidR="00AC5C22" w:rsidRDefault="00AC5C22">
            <w:pPr>
              <w:jc w:val="center"/>
              <w:rPr>
                <w:sz w:val="20"/>
                <w:szCs w:val="20"/>
              </w:rPr>
            </w:pPr>
          </w:p>
        </w:tc>
        <w:tc>
          <w:tcPr>
            <w:tcW w:w="1185" w:type="dxa"/>
            <w:tcBorders>
              <w:top w:val="nil"/>
              <w:left w:val="nil"/>
              <w:bottom w:val="nil"/>
              <w:right w:val="nil"/>
            </w:tcBorders>
            <w:shd w:val="clear" w:color="auto" w:fill="auto"/>
            <w:noWrap/>
            <w:vAlign w:val="bottom"/>
            <w:hideMark/>
          </w:tcPr>
          <w:p w14:paraId="5D41827E" w14:textId="77777777" w:rsidR="00AC5C22" w:rsidRDefault="00AC5C22">
            <w:pPr>
              <w:jc w:val="center"/>
              <w:rPr>
                <w:sz w:val="20"/>
                <w:szCs w:val="20"/>
              </w:rPr>
            </w:pPr>
          </w:p>
        </w:tc>
        <w:tc>
          <w:tcPr>
            <w:tcW w:w="792" w:type="dxa"/>
            <w:tcBorders>
              <w:top w:val="nil"/>
              <w:left w:val="nil"/>
              <w:bottom w:val="nil"/>
              <w:right w:val="nil"/>
            </w:tcBorders>
            <w:shd w:val="clear" w:color="auto" w:fill="auto"/>
            <w:noWrap/>
            <w:vAlign w:val="bottom"/>
            <w:hideMark/>
          </w:tcPr>
          <w:p w14:paraId="3537F3AA" w14:textId="77777777" w:rsidR="00AC5C22" w:rsidRDefault="00AC5C22">
            <w:pPr>
              <w:jc w:val="center"/>
              <w:rPr>
                <w:sz w:val="20"/>
                <w:szCs w:val="20"/>
              </w:rPr>
            </w:pPr>
          </w:p>
        </w:tc>
        <w:tc>
          <w:tcPr>
            <w:tcW w:w="672" w:type="dxa"/>
            <w:tcBorders>
              <w:top w:val="nil"/>
              <w:left w:val="nil"/>
              <w:bottom w:val="nil"/>
              <w:right w:val="nil"/>
            </w:tcBorders>
            <w:shd w:val="clear" w:color="auto" w:fill="auto"/>
            <w:noWrap/>
            <w:vAlign w:val="bottom"/>
            <w:hideMark/>
          </w:tcPr>
          <w:p w14:paraId="3E8B9D12" w14:textId="77777777" w:rsidR="00AC5C22" w:rsidRDefault="00AC5C22">
            <w:pPr>
              <w:jc w:val="center"/>
              <w:rPr>
                <w:sz w:val="20"/>
                <w:szCs w:val="20"/>
              </w:rPr>
            </w:pPr>
          </w:p>
        </w:tc>
        <w:tc>
          <w:tcPr>
            <w:tcW w:w="293" w:type="dxa"/>
            <w:tcBorders>
              <w:top w:val="nil"/>
              <w:left w:val="nil"/>
              <w:bottom w:val="nil"/>
              <w:right w:val="nil"/>
            </w:tcBorders>
            <w:shd w:val="clear" w:color="auto" w:fill="auto"/>
            <w:noWrap/>
            <w:vAlign w:val="bottom"/>
            <w:hideMark/>
          </w:tcPr>
          <w:p w14:paraId="0D158CFD" w14:textId="77777777" w:rsidR="00AC5C22" w:rsidRDefault="00AC5C22">
            <w:pPr>
              <w:jc w:val="center"/>
              <w:rPr>
                <w:sz w:val="20"/>
                <w:szCs w:val="20"/>
              </w:rPr>
            </w:pPr>
          </w:p>
        </w:tc>
        <w:tc>
          <w:tcPr>
            <w:tcW w:w="1185" w:type="dxa"/>
            <w:tcBorders>
              <w:top w:val="nil"/>
              <w:left w:val="nil"/>
              <w:bottom w:val="nil"/>
              <w:right w:val="nil"/>
            </w:tcBorders>
            <w:shd w:val="clear" w:color="auto" w:fill="auto"/>
            <w:noWrap/>
            <w:vAlign w:val="bottom"/>
            <w:hideMark/>
          </w:tcPr>
          <w:p w14:paraId="0ECE8A66" w14:textId="77777777" w:rsidR="00AC5C22" w:rsidRDefault="00AC5C22">
            <w:pPr>
              <w:jc w:val="center"/>
              <w:rPr>
                <w:sz w:val="20"/>
                <w:szCs w:val="20"/>
              </w:rPr>
            </w:pPr>
          </w:p>
        </w:tc>
        <w:tc>
          <w:tcPr>
            <w:tcW w:w="792" w:type="dxa"/>
            <w:tcBorders>
              <w:top w:val="nil"/>
              <w:left w:val="nil"/>
              <w:bottom w:val="nil"/>
              <w:right w:val="nil"/>
            </w:tcBorders>
            <w:shd w:val="clear" w:color="auto" w:fill="auto"/>
            <w:noWrap/>
            <w:vAlign w:val="bottom"/>
            <w:hideMark/>
          </w:tcPr>
          <w:p w14:paraId="24A01F48" w14:textId="77777777" w:rsidR="00AC5C22" w:rsidRDefault="00AC5C22">
            <w:pPr>
              <w:jc w:val="center"/>
              <w:rPr>
                <w:sz w:val="20"/>
                <w:szCs w:val="20"/>
              </w:rPr>
            </w:pPr>
          </w:p>
        </w:tc>
        <w:tc>
          <w:tcPr>
            <w:tcW w:w="672" w:type="dxa"/>
            <w:tcBorders>
              <w:top w:val="nil"/>
              <w:left w:val="nil"/>
              <w:bottom w:val="nil"/>
              <w:right w:val="nil"/>
            </w:tcBorders>
            <w:shd w:val="clear" w:color="auto" w:fill="auto"/>
            <w:noWrap/>
            <w:vAlign w:val="bottom"/>
            <w:hideMark/>
          </w:tcPr>
          <w:p w14:paraId="2DDCD7C9" w14:textId="77777777" w:rsidR="00AC5C22" w:rsidRDefault="00AC5C22">
            <w:pPr>
              <w:jc w:val="center"/>
              <w:rPr>
                <w:sz w:val="20"/>
                <w:szCs w:val="20"/>
              </w:rPr>
            </w:pPr>
          </w:p>
        </w:tc>
      </w:tr>
      <w:tr w:rsidR="00AC5C22" w14:paraId="3F125699" w14:textId="77777777" w:rsidTr="00533C70">
        <w:trPr>
          <w:trHeight w:val="298"/>
        </w:trPr>
        <w:tc>
          <w:tcPr>
            <w:tcW w:w="1171" w:type="dxa"/>
            <w:tcBorders>
              <w:top w:val="nil"/>
              <w:left w:val="nil"/>
              <w:bottom w:val="nil"/>
              <w:right w:val="nil"/>
            </w:tcBorders>
            <w:shd w:val="clear" w:color="auto" w:fill="auto"/>
            <w:noWrap/>
            <w:vAlign w:val="bottom"/>
            <w:hideMark/>
          </w:tcPr>
          <w:p w14:paraId="503B3649" w14:textId="77777777" w:rsidR="00AC5C22" w:rsidRDefault="00AC5C22">
            <w:pPr>
              <w:jc w:val="center"/>
              <w:rPr>
                <w:rFonts w:ascii="Calibri" w:hAnsi="Calibri" w:cs="Calibri"/>
                <w:b/>
                <w:bCs/>
                <w:color w:val="000000"/>
                <w:sz w:val="22"/>
                <w:szCs w:val="22"/>
              </w:rPr>
            </w:pPr>
            <w:r>
              <w:rPr>
                <w:rFonts w:ascii="Calibri" w:hAnsi="Calibri" w:cs="Calibri"/>
                <w:b/>
                <w:bCs/>
                <w:color w:val="000000"/>
                <w:sz w:val="22"/>
                <w:szCs w:val="22"/>
              </w:rPr>
              <w:t>25-OH-D</w:t>
            </w:r>
          </w:p>
        </w:tc>
        <w:tc>
          <w:tcPr>
            <w:tcW w:w="1171" w:type="dxa"/>
            <w:tcBorders>
              <w:top w:val="nil"/>
              <w:left w:val="nil"/>
              <w:bottom w:val="nil"/>
              <w:right w:val="nil"/>
            </w:tcBorders>
            <w:shd w:val="clear" w:color="auto" w:fill="auto"/>
            <w:noWrap/>
            <w:vAlign w:val="bottom"/>
            <w:hideMark/>
          </w:tcPr>
          <w:p w14:paraId="0A9E5D6C" w14:textId="77777777" w:rsidR="00AC5C22" w:rsidRDefault="00AC5C22">
            <w:pPr>
              <w:jc w:val="center"/>
              <w:rPr>
                <w:rFonts w:ascii="Calibri" w:hAnsi="Calibri" w:cs="Calibri"/>
                <w:b/>
                <w:bCs/>
                <w:color w:val="000000"/>
                <w:sz w:val="22"/>
                <w:szCs w:val="22"/>
              </w:rPr>
            </w:pPr>
            <w:r>
              <w:rPr>
                <w:rFonts w:ascii="Calibri" w:hAnsi="Calibri" w:cs="Calibri"/>
                <w:b/>
                <w:bCs/>
                <w:color w:val="000000"/>
                <w:sz w:val="22"/>
                <w:szCs w:val="22"/>
              </w:rPr>
              <w:t>MDD</w:t>
            </w:r>
          </w:p>
        </w:tc>
        <w:tc>
          <w:tcPr>
            <w:tcW w:w="905" w:type="dxa"/>
            <w:tcBorders>
              <w:top w:val="nil"/>
              <w:left w:val="nil"/>
              <w:bottom w:val="nil"/>
              <w:right w:val="nil"/>
            </w:tcBorders>
            <w:shd w:val="clear" w:color="auto" w:fill="auto"/>
            <w:noWrap/>
            <w:vAlign w:val="bottom"/>
            <w:hideMark/>
          </w:tcPr>
          <w:p w14:paraId="7872B5F9" w14:textId="77777777" w:rsidR="00AC5C22" w:rsidRDefault="00AC5C22">
            <w:pPr>
              <w:jc w:val="center"/>
              <w:rPr>
                <w:rFonts w:ascii="Calibri" w:hAnsi="Calibri" w:cs="Calibri"/>
                <w:b/>
                <w:bCs/>
                <w:color w:val="000000"/>
                <w:sz w:val="22"/>
                <w:szCs w:val="22"/>
              </w:rPr>
            </w:pPr>
            <w:r>
              <w:rPr>
                <w:rFonts w:ascii="Calibri" w:hAnsi="Calibri" w:cs="Calibri"/>
                <w:b/>
                <w:bCs/>
                <w:color w:val="000000"/>
                <w:sz w:val="22"/>
                <w:szCs w:val="22"/>
              </w:rPr>
              <w:t>132</w:t>
            </w:r>
          </w:p>
        </w:tc>
        <w:tc>
          <w:tcPr>
            <w:tcW w:w="293" w:type="dxa"/>
            <w:tcBorders>
              <w:top w:val="nil"/>
              <w:left w:val="nil"/>
              <w:bottom w:val="nil"/>
              <w:right w:val="nil"/>
            </w:tcBorders>
            <w:shd w:val="clear" w:color="auto" w:fill="auto"/>
            <w:noWrap/>
            <w:vAlign w:val="bottom"/>
            <w:hideMark/>
          </w:tcPr>
          <w:p w14:paraId="63BC0512" w14:textId="77777777" w:rsidR="00AC5C22" w:rsidRDefault="00AC5C22">
            <w:pPr>
              <w:jc w:val="center"/>
              <w:rPr>
                <w:rFonts w:ascii="Calibri" w:hAnsi="Calibri" w:cs="Calibri"/>
                <w:b/>
                <w:bCs/>
                <w:color w:val="000000"/>
                <w:sz w:val="22"/>
                <w:szCs w:val="22"/>
              </w:rPr>
            </w:pPr>
          </w:p>
        </w:tc>
        <w:tc>
          <w:tcPr>
            <w:tcW w:w="1185" w:type="dxa"/>
            <w:tcBorders>
              <w:top w:val="nil"/>
              <w:left w:val="nil"/>
              <w:bottom w:val="nil"/>
              <w:right w:val="nil"/>
            </w:tcBorders>
            <w:shd w:val="clear" w:color="auto" w:fill="auto"/>
            <w:noWrap/>
            <w:vAlign w:val="bottom"/>
            <w:hideMark/>
          </w:tcPr>
          <w:p w14:paraId="3F1B67DE" w14:textId="77777777" w:rsidR="00AC5C22" w:rsidRDefault="00AC5C22">
            <w:pPr>
              <w:jc w:val="center"/>
              <w:rPr>
                <w:rFonts w:ascii="Calibri" w:hAnsi="Calibri" w:cs="Calibri"/>
                <w:color w:val="000000"/>
                <w:sz w:val="22"/>
                <w:szCs w:val="22"/>
              </w:rPr>
            </w:pPr>
            <w:r>
              <w:rPr>
                <w:rFonts w:ascii="Calibri" w:hAnsi="Calibri" w:cs="Calibri"/>
                <w:color w:val="000000"/>
                <w:sz w:val="22"/>
                <w:szCs w:val="22"/>
              </w:rPr>
              <w:t>-0.01</w:t>
            </w:r>
          </w:p>
        </w:tc>
        <w:tc>
          <w:tcPr>
            <w:tcW w:w="792" w:type="dxa"/>
            <w:tcBorders>
              <w:top w:val="nil"/>
              <w:left w:val="nil"/>
              <w:bottom w:val="nil"/>
              <w:right w:val="nil"/>
            </w:tcBorders>
            <w:shd w:val="clear" w:color="auto" w:fill="auto"/>
            <w:noWrap/>
            <w:vAlign w:val="bottom"/>
            <w:hideMark/>
          </w:tcPr>
          <w:p w14:paraId="196C91CF" w14:textId="77777777" w:rsidR="00AC5C22" w:rsidRDefault="00AC5C22">
            <w:pPr>
              <w:jc w:val="center"/>
              <w:rPr>
                <w:rFonts w:ascii="Calibri" w:hAnsi="Calibri" w:cs="Calibri"/>
                <w:color w:val="000000"/>
                <w:sz w:val="22"/>
                <w:szCs w:val="22"/>
              </w:rPr>
            </w:pPr>
            <w:r>
              <w:rPr>
                <w:rFonts w:ascii="Calibri" w:hAnsi="Calibri" w:cs="Calibri"/>
                <w:color w:val="000000"/>
                <w:sz w:val="22"/>
                <w:szCs w:val="22"/>
              </w:rPr>
              <w:t>0.06</w:t>
            </w:r>
          </w:p>
        </w:tc>
        <w:tc>
          <w:tcPr>
            <w:tcW w:w="672" w:type="dxa"/>
            <w:tcBorders>
              <w:top w:val="nil"/>
              <w:left w:val="nil"/>
              <w:bottom w:val="nil"/>
              <w:right w:val="nil"/>
            </w:tcBorders>
            <w:shd w:val="clear" w:color="auto" w:fill="auto"/>
            <w:noWrap/>
            <w:vAlign w:val="bottom"/>
            <w:hideMark/>
          </w:tcPr>
          <w:p w14:paraId="752263B9" w14:textId="77777777" w:rsidR="00AC5C22" w:rsidRDefault="00AC5C22">
            <w:pPr>
              <w:jc w:val="center"/>
              <w:rPr>
                <w:rFonts w:ascii="Calibri" w:hAnsi="Calibri" w:cs="Calibri"/>
                <w:color w:val="000000"/>
                <w:sz w:val="22"/>
                <w:szCs w:val="22"/>
              </w:rPr>
            </w:pPr>
            <w:r>
              <w:rPr>
                <w:rFonts w:ascii="Calibri" w:hAnsi="Calibri" w:cs="Calibri"/>
                <w:color w:val="000000"/>
                <w:sz w:val="22"/>
                <w:szCs w:val="22"/>
              </w:rPr>
              <w:t>0.90</w:t>
            </w:r>
          </w:p>
        </w:tc>
        <w:tc>
          <w:tcPr>
            <w:tcW w:w="293" w:type="dxa"/>
            <w:tcBorders>
              <w:top w:val="nil"/>
              <w:left w:val="nil"/>
              <w:bottom w:val="nil"/>
              <w:right w:val="nil"/>
            </w:tcBorders>
            <w:shd w:val="clear" w:color="auto" w:fill="auto"/>
            <w:noWrap/>
            <w:vAlign w:val="bottom"/>
            <w:hideMark/>
          </w:tcPr>
          <w:p w14:paraId="4358B2E2" w14:textId="77777777" w:rsidR="00AC5C22" w:rsidRDefault="00AC5C22">
            <w:pPr>
              <w:jc w:val="center"/>
              <w:rPr>
                <w:rFonts w:ascii="Calibri" w:hAnsi="Calibri" w:cs="Calibri"/>
                <w:color w:val="000000"/>
                <w:sz w:val="22"/>
                <w:szCs w:val="22"/>
              </w:rPr>
            </w:pPr>
          </w:p>
        </w:tc>
        <w:tc>
          <w:tcPr>
            <w:tcW w:w="1185" w:type="dxa"/>
            <w:tcBorders>
              <w:top w:val="nil"/>
              <w:left w:val="nil"/>
              <w:bottom w:val="nil"/>
              <w:right w:val="nil"/>
            </w:tcBorders>
            <w:shd w:val="clear" w:color="auto" w:fill="auto"/>
            <w:noWrap/>
            <w:vAlign w:val="bottom"/>
            <w:hideMark/>
          </w:tcPr>
          <w:p w14:paraId="3CD3598D" w14:textId="77777777" w:rsidR="00AC5C22" w:rsidRDefault="00AC5C22">
            <w:pPr>
              <w:jc w:val="center"/>
              <w:rPr>
                <w:rFonts w:ascii="Calibri" w:hAnsi="Calibri" w:cs="Calibri"/>
                <w:color w:val="000000"/>
                <w:sz w:val="22"/>
                <w:szCs w:val="22"/>
              </w:rPr>
            </w:pPr>
            <w:r>
              <w:rPr>
                <w:rFonts w:ascii="Calibri" w:hAnsi="Calibri" w:cs="Calibri"/>
                <w:color w:val="000000"/>
                <w:sz w:val="22"/>
                <w:szCs w:val="22"/>
              </w:rPr>
              <w:t>-0.02</w:t>
            </w:r>
          </w:p>
        </w:tc>
        <w:tc>
          <w:tcPr>
            <w:tcW w:w="792" w:type="dxa"/>
            <w:tcBorders>
              <w:top w:val="nil"/>
              <w:left w:val="nil"/>
              <w:bottom w:val="nil"/>
              <w:right w:val="nil"/>
            </w:tcBorders>
            <w:shd w:val="clear" w:color="auto" w:fill="auto"/>
            <w:noWrap/>
            <w:vAlign w:val="bottom"/>
            <w:hideMark/>
          </w:tcPr>
          <w:p w14:paraId="131F3AB6" w14:textId="77777777" w:rsidR="00AC5C22" w:rsidRDefault="00AC5C22">
            <w:pPr>
              <w:jc w:val="center"/>
              <w:rPr>
                <w:rFonts w:ascii="Calibri" w:hAnsi="Calibri" w:cs="Calibri"/>
                <w:color w:val="000000"/>
                <w:sz w:val="22"/>
                <w:szCs w:val="22"/>
              </w:rPr>
            </w:pPr>
            <w:r>
              <w:rPr>
                <w:rFonts w:ascii="Calibri" w:hAnsi="Calibri" w:cs="Calibri"/>
                <w:color w:val="000000"/>
                <w:sz w:val="22"/>
                <w:szCs w:val="22"/>
              </w:rPr>
              <w:t>0.04</w:t>
            </w:r>
          </w:p>
        </w:tc>
        <w:tc>
          <w:tcPr>
            <w:tcW w:w="672" w:type="dxa"/>
            <w:tcBorders>
              <w:top w:val="nil"/>
              <w:left w:val="nil"/>
              <w:bottom w:val="nil"/>
              <w:right w:val="nil"/>
            </w:tcBorders>
            <w:shd w:val="clear" w:color="auto" w:fill="auto"/>
            <w:noWrap/>
            <w:vAlign w:val="bottom"/>
            <w:hideMark/>
          </w:tcPr>
          <w:p w14:paraId="301C0C58" w14:textId="77777777" w:rsidR="00AC5C22" w:rsidRDefault="00AC5C22">
            <w:pPr>
              <w:jc w:val="center"/>
              <w:rPr>
                <w:rFonts w:ascii="Calibri" w:hAnsi="Calibri" w:cs="Calibri"/>
                <w:color w:val="000000"/>
                <w:sz w:val="22"/>
                <w:szCs w:val="22"/>
              </w:rPr>
            </w:pPr>
            <w:r>
              <w:rPr>
                <w:rFonts w:ascii="Calibri" w:hAnsi="Calibri" w:cs="Calibri"/>
                <w:color w:val="000000"/>
                <w:sz w:val="22"/>
                <w:szCs w:val="22"/>
              </w:rPr>
              <w:t>0.64</w:t>
            </w:r>
          </w:p>
        </w:tc>
      </w:tr>
      <w:tr w:rsidR="00AC5C22" w14:paraId="59915017" w14:textId="77777777" w:rsidTr="00533C70">
        <w:trPr>
          <w:trHeight w:val="119"/>
        </w:trPr>
        <w:tc>
          <w:tcPr>
            <w:tcW w:w="1171" w:type="dxa"/>
            <w:tcBorders>
              <w:top w:val="nil"/>
              <w:left w:val="nil"/>
              <w:bottom w:val="nil"/>
              <w:right w:val="nil"/>
            </w:tcBorders>
            <w:shd w:val="clear" w:color="auto" w:fill="auto"/>
            <w:noWrap/>
            <w:vAlign w:val="bottom"/>
            <w:hideMark/>
          </w:tcPr>
          <w:p w14:paraId="3D910220" w14:textId="77777777" w:rsidR="00AC5C22" w:rsidRDefault="00AC5C22">
            <w:pPr>
              <w:jc w:val="center"/>
              <w:rPr>
                <w:rFonts w:ascii="Calibri" w:hAnsi="Calibri" w:cs="Calibri"/>
                <w:color w:val="000000"/>
                <w:sz w:val="22"/>
                <w:szCs w:val="22"/>
              </w:rPr>
            </w:pPr>
          </w:p>
        </w:tc>
        <w:tc>
          <w:tcPr>
            <w:tcW w:w="1171" w:type="dxa"/>
            <w:tcBorders>
              <w:top w:val="nil"/>
              <w:left w:val="nil"/>
              <w:bottom w:val="nil"/>
              <w:right w:val="nil"/>
            </w:tcBorders>
            <w:shd w:val="clear" w:color="auto" w:fill="auto"/>
            <w:noWrap/>
            <w:vAlign w:val="bottom"/>
            <w:hideMark/>
          </w:tcPr>
          <w:p w14:paraId="7F0B5798" w14:textId="77777777" w:rsidR="00AC5C22" w:rsidRDefault="00AC5C22">
            <w:pPr>
              <w:jc w:val="center"/>
              <w:rPr>
                <w:sz w:val="20"/>
                <w:szCs w:val="20"/>
              </w:rPr>
            </w:pPr>
          </w:p>
        </w:tc>
        <w:tc>
          <w:tcPr>
            <w:tcW w:w="905" w:type="dxa"/>
            <w:tcBorders>
              <w:top w:val="nil"/>
              <w:left w:val="nil"/>
              <w:bottom w:val="nil"/>
              <w:right w:val="nil"/>
            </w:tcBorders>
            <w:shd w:val="clear" w:color="auto" w:fill="auto"/>
            <w:noWrap/>
            <w:vAlign w:val="bottom"/>
            <w:hideMark/>
          </w:tcPr>
          <w:p w14:paraId="712C577B" w14:textId="77777777" w:rsidR="00AC5C22" w:rsidRDefault="00AC5C22">
            <w:pPr>
              <w:jc w:val="center"/>
              <w:rPr>
                <w:sz w:val="20"/>
                <w:szCs w:val="20"/>
              </w:rPr>
            </w:pPr>
          </w:p>
        </w:tc>
        <w:tc>
          <w:tcPr>
            <w:tcW w:w="293" w:type="dxa"/>
            <w:tcBorders>
              <w:top w:val="nil"/>
              <w:left w:val="nil"/>
              <w:bottom w:val="nil"/>
              <w:right w:val="nil"/>
            </w:tcBorders>
            <w:shd w:val="clear" w:color="auto" w:fill="auto"/>
            <w:noWrap/>
            <w:vAlign w:val="bottom"/>
            <w:hideMark/>
          </w:tcPr>
          <w:p w14:paraId="4D24EDDD" w14:textId="77777777" w:rsidR="00AC5C22" w:rsidRDefault="00AC5C22">
            <w:pPr>
              <w:jc w:val="center"/>
              <w:rPr>
                <w:sz w:val="20"/>
                <w:szCs w:val="20"/>
              </w:rPr>
            </w:pPr>
          </w:p>
        </w:tc>
        <w:tc>
          <w:tcPr>
            <w:tcW w:w="1185" w:type="dxa"/>
            <w:tcBorders>
              <w:top w:val="nil"/>
              <w:left w:val="nil"/>
              <w:bottom w:val="nil"/>
              <w:right w:val="nil"/>
            </w:tcBorders>
            <w:shd w:val="clear" w:color="auto" w:fill="auto"/>
            <w:noWrap/>
            <w:vAlign w:val="bottom"/>
            <w:hideMark/>
          </w:tcPr>
          <w:p w14:paraId="1CC60B95" w14:textId="77777777" w:rsidR="00AC5C22" w:rsidRDefault="00AC5C22">
            <w:pPr>
              <w:jc w:val="center"/>
              <w:rPr>
                <w:sz w:val="20"/>
                <w:szCs w:val="20"/>
              </w:rPr>
            </w:pPr>
          </w:p>
        </w:tc>
        <w:tc>
          <w:tcPr>
            <w:tcW w:w="792" w:type="dxa"/>
            <w:tcBorders>
              <w:top w:val="nil"/>
              <w:left w:val="nil"/>
              <w:bottom w:val="nil"/>
              <w:right w:val="nil"/>
            </w:tcBorders>
            <w:shd w:val="clear" w:color="auto" w:fill="auto"/>
            <w:noWrap/>
            <w:vAlign w:val="bottom"/>
            <w:hideMark/>
          </w:tcPr>
          <w:p w14:paraId="74B713DD" w14:textId="77777777" w:rsidR="00AC5C22" w:rsidRDefault="00AC5C22">
            <w:pPr>
              <w:jc w:val="center"/>
              <w:rPr>
                <w:sz w:val="20"/>
                <w:szCs w:val="20"/>
              </w:rPr>
            </w:pPr>
          </w:p>
        </w:tc>
        <w:tc>
          <w:tcPr>
            <w:tcW w:w="672" w:type="dxa"/>
            <w:tcBorders>
              <w:top w:val="nil"/>
              <w:left w:val="nil"/>
              <w:bottom w:val="nil"/>
              <w:right w:val="nil"/>
            </w:tcBorders>
            <w:shd w:val="clear" w:color="auto" w:fill="auto"/>
            <w:noWrap/>
            <w:vAlign w:val="bottom"/>
            <w:hideMark/>
          </w:tcPr>
          <w:p w14:paraId="2E820317" w14:textId="77777777" w:rsidR="00AC5C22" w:rsidRDefault="00AC5C22">
            <w:pPr>
              <w:jc w:val="center"/>
              <w:rPr>
                <w:sz w:val="20"/>
                <w:szCs w:val="20"/>
              </w:rPr>
            </w:pPr>
          </w:p>
        </w:tc>
        <w:tc>
          <w:tcPr>
            <w:tcW w:w="293" w:type="dxa"/>
            <w:tcBorders>
              <w:top w:val="nil"/>
              <w:left w:val="nil"/>
              <w:bottom w:val="nil"/>
              <w:right w:val="nil"/>
            </w:tcBorders>
            <w:shd w:val="clear" w:color="auto" w:fill="auto"/>
            <w:noWrap/>
            <w:vAlign w:val="bottom"/>
            <w:hideMark/>
          </w:tcPr>
          <w:p w14:paraId="4CBD624B" w14:textId="77777777" w:rsidR="00AC5C22" w:rsidRDefault="00AC5C22">
            <w:pPr>
              <w:jc w:val="center"/>
              <w:rPr>
                <w:sz w:val="20"/>
                <w:szCs w:val="20"/>
              </w:rPr>
            </w:pPr>
          </w:p>
        </w:tc>
        <w:tc>
          <w:tcPr>
            <w:tcW w:w="1185" w:type="dxa"/>
            <w:tcBorders>
              <w:top w:val="nil"/>
              <w:left w:val="nil"/>
              <w:bottom w:val="nil"/>
              <w:right w:val="nil"/>
            </w:tcBorders>
            <w:shd w:val="clear" w:color="auto" w:fill="auto"/>
            <w:noWrap/>
            <w:vAlign w:val="bottom"/>
            <w:hideMark/>
          </w:tcPr>
          <w:p w14:paraId="1870C864" w14:textId="77777777" w:rsidR="00AC5C22" w:rsidRDefault="00AC5C22">
            <w:pPr>
              <w:jc w:val="center"/>
              <w:rPr>
                <w:sz w:val="20"/>
                <w:szCs w:val="20"/>
              </w:rPr>
            </w:pPr>
          </w:p>
        </w:tc>
        <w:tc>
          <w:tcPr>
            <w:tcW w:w="792" w:type="dxa"/>
            <w:tcBorders>
              <w:top w:val="nil"/>
              <w:left w:val="nil"/>
              <w:bottom w:val="nil"/>
              <w:right w:val="nil"/>
            </w:tcBorders>
            <w:shd w:val="clear" w:color="auto" w:fill="auto"/>
            <w:noWrap/>
            <w:vAlign w:val="bottom"/>
            <w:hideMark/>
          </w:tcPr>
          <w:p w14:paraId="39C46272" w14:textId="77777777" w:rsidR="00AC5C22" w:rsidRDefault="00AC5C22">
            <w:pPr>
              <w:jc w:val="center"/>
              <w:rPr>
                <w:sz w:val="20"/>
                <w:szCs w:val="20"/>
              </w:rPr>
            </w:pPr>
          </w:p>
        </w:tc>
        <w:tc>
          <w:tcPr>
            <w:tcW w:w="672" w:type="dxa"/>
            <w:tcBorders>
              <w:top w:val="nil"/>
              <w:left w:val="nil"/>
              <w:bottom w:val="nil"/>
              <w:right w:val="nil"/>
            </w:tcBorders>
            <w:shd w:val="clear" w:color="auto" w:fill="auto"/>
            <w:noWrap/>
            <w:vAlign w:val="bottom"/>
            <w:hideMark/>
          </w:tcPr>
          <w:p w14:paraId="3E017925" w14:textId="77777777" w:rsidR="00AC5C22" w:rsidRDefault="00AC5C22">
            <w:pPr>
              <w:jc w:val="center"/>
              <w:rPr>
                <w:sz w:val="20"/>
                <w:szCs w:val="20"/>
              </w:rPr>
            </w:pPr>
          </w:p>
        </w:tc>
      </w:tr>
      <w:tr w:rsidR="00AC5C22" w14:paraId="377A2538" w14:textId="77777777" w:rsidTr="00533C70">
        <w:trPr>
          <w:trHeight w:val="298"/>
        </w:trPr>
        <w:tc>
          <w:tcPr>
            <w:tcW w:w="1171" w:type="dxa"/>
            <w:tcBorders>
              <w:top w:val="nil"/>
              <w:left w:val="nil"/>
              <w:bottom w:val="nil"/>
              <w:right w:val="nil"/>
            </w:tcBorders>
            <w:shd w:val="clear" w:color="auto" w:fill="auto"/>
            <w:noWrap/>
            <w:vAlign w:val="bottom"/>
            <w:hideMark/>
          </w:tcPr>
          <w:p w14:paraId="36BA5F6B" w14:textId="02527809" w:rsidR="00AC5C22" w:rsidRDefault="00AC5C22">
            <w:pPr>
              <w:jc w:val="center"/>
              <w:rPr>
                <w:rFonts w:ascii="Calibri" w:hAnsi="Calibri" w:cs="Calibri"/>
                <w:b/>
                <w:bCs/>
                <w:color w:val="000000"/>
                <w:sz w:val="22"/>
                <w:szCs w:val="22"/>
              </w:rPr>
            </w:pPr>
            <w:r>
              <w:rPr>
                <w:rFonts w:ascii="Calibri" w:hAnsi="Calibri" w:cs="Calibri"/>
                <w:b/>
                <w:bCs/>
                <w:color w:val="000000"/>
                <w:sz w:val="22"/>
                <w:szCs w:val="22"/>
              </w:rPr>
              <w:t>n3-PUFAs</w:t>
            </w:r>
            <w:r w:rsidR="00533C70" w:rsidRPr="00533C70">
              <w:rPr>
                <w:rFonts w:ascii="Calibri" w:hAnsi="Calibri" w:cs="Calibri"/>
                <w:b/>
                <w:bCs/>
                <w:i/>
                <w:color w:val="000000"/>
                <w:sz w:val="22"/>
                <w:szCs w:val="22"/>
                <w:vertAlign w:val="superscript"/>
              </w:rPr>
              <w:t>a</w:t>
            </w:r>
          </w:p>
        </w:tc>
        <w:tc>
          <w:tcPr>
            <w:tcW w:w="1171" w:type="dxa"/>
            <w:tcBorders>
              <w:top w:val="nil"/>
              <w:left w:val="nil"/>
              <w:bottom w:val="nil"/>
              <w:right w:val="nil"/>
            </w:tcBorders>
            <w:shd w:val="clear" w:color="auto" w:fill="auto"/>
            <w:noWrap/>
            <w:vAlign w:val="bottom"/>
            <w:hideMark/>
          </w:tcPr>
          <w:p w14:paraId="26EB5647" w14:textId="77777777" w:rsidR="00AC5C22" w:rsidRDefault="00AC5C22">
            <w:pPr>
              <w:jc w:val="center"/>
              <w:rPr>
                <w:rFonts w:ascii="Calibri" w:hAnsi="Calibri" w:cs="Calibri"/>
                <w:b/>
                <w:bCs/>
                <w:color w:val="000000"/>
                <w:sz w:val="22"/>
                <w:szCs w:val="22"/>
              </w:rPr>
            </w:pPr>
            <w:r>
              <w:rPr>
                <w:rFonts w:ascii="Calibri" w:hAnsi="Calibri" w:cs="Calibri"/>
                <w:b/>
                <w:bCs/>
                <w:color w:val="000000"/>
                <w:sz w:val="22"/>
                <w:szCs w:val="22"/>
              </w:rPr>
              <w:t>MDD</w:t>
            </w:r>
          </w:p>
        </w:tc>
        <w:tc>
          <w:tcPr>
            <w:tcW w:w="905" w:type="dxa"/>
            <w:tcBorders>
              <w:top w:val="nil"/>
              <w:left w:val="nil"/>
              <w:bottom w:val="nil"/>
              <w:right w:val="nil"/>
            </w:tcBorders>
            <w:shd w:val="clear" w:color="auto" w:fill="auto"/>
            <w:noWrap/>
            <w:vAlign w:val="bottom"/>
            <w:hideMark/>
          </w:tcPr>
          <w:p w14:paraId="2D59A36E" w14:textId="77777777" w:rsidR="00AC5C22" w:rsidRDefault="00AC5C22">
            <w:pPr>
              <w:jc w:val="center"/>
              <w:rPr>
                <w:rFonts w:ascii="Calibri" w:hAnsi="Calibri" w:cs="Calibri"/>
                <w:b/>
                <w:bCs/>
                <w:color w:val="000000"/>
                <w:sz w:val="22"/>
                <w:szCs w:val="22"/>
              </w:rPr>
            </w:pPr>
            <w:r>
              <w:rPr>
                <w:rFonts w:ascii="Calibri" w:hAnsi="Calibri" w:cs="Calibri"/>
                <w:b/>
                <w:bCs/>
                <w:color w:val="000000"/>
                <w:sz w:val="22"/>
                <w:szCs w:val="22"/>
              </w:rPr>
              <w:t>132</w:t>
            </w:r>
          </w:p>
        </w:tc>
        <w:tc>
          <w:tcPr>
            <w:tcW w:w="293" w:type="dxa"/>
            <w:tcBorders>
              <w:top w:val="nil"/>
              <w:left w:val="nil"/>
              <w:bottom w:val="nil"/>
              <w:right w:val="nil"/>
            </w:tcBorders>
            <w:shd w:val="clear" w:color="auto" w:fill="auto"/>
            <w:noWrap/>
            <w:vAlign w:val="bottom"/>
            <w:hideMark/>
          </w:tcPr>
          <w:p w14:paraId="62DF914B" w14:textId="77777777" w:rsidR="00AC5C22" w:rsidRDefault="00AC5C22">
            <w:pPr>
              <w:jc w:val="center"/>
              <w:rPr>
                <w:rFonts w:ascii="Calibri" w:hAnsi="Calibri" w:cs="Calibri"/>
                <w:b/>
                <w:bCs/>
                <w:color w:val="000000"/>
                <w:sz w:val="22"/>
                <w:szCs w:val="22"/>
              </w:rPr>
            </w:pPr>
          </w:p>
        </w:tc>
        <w:tc>
          <w:tcPr>
            <w:tcW w:w="1185" w:type="dxa"/>
            <w:tcBorders>
              <w:top w:val="nil"/>
              <w:left w:val="nil"/>
              <w:bottom w:val="nil"/>
              <w:right w:val="nil"/>
            </w:tcBorders>
            <w:shd w:val="clear" w:color="auto" w:fill="auto"/>
            <w:noWrap/>
            <w:vAlign w:val="bottom"/>
            <w:hideMark/>
          </w:tcPr>
          <w:p w14:paraId="35D5DE63" w14:textId="77777777" w:rsidR="00AC5C22" w:rsidRDefault="00AC5C22">
            <w:pPr>
              <w:jc w:val="center"/>
              <w:rPr>
                <w:rFonts w:ascii="Calibri" w:hAnsi="Calibri" w:cs="Calibri"/>
                <w:color w:val="000000"/>
                <w:sz w:val="22"/>
                <w:szCs w:val="22"/>
              </w:rPr>
            </w:pPr>
            <w:r>
              <w:rPr>
                <w:rFonts w:ascii="Calibri" w:hAnsi="Calibri" w:cs="Calibri"/>
                <w:color w:val="000000"/>
                <w:sz w:val="22"/>
                <w:szCs w:val="22"/>
              </w:rPr>
              <w:t>0.03</w:t>
            </w:r>
          </w:p>
        </w:tc>
        <w:tc>
          <w:tcPr>
            <w:tcW w:w="792" w:type="dxa"/>
            <w:tcBorders>
              <w:top w:val="nil"/>
              <w:left w:val="nil"/>
              <w:bottom w:val="nil"/>
              <w:right w:val="nil"/>
            </w:tcBorders>
            <w:shd w:val="clear" w:color="auto" w:fill="auto"/>
            <w:noWrap/>
            <w:vAlign w:val="bottom"/>
            <w:hideMark/>
          </w:tcPr>
          <w:p w14:paraId="68C14445" w14:textId="77777777" w:rsidR="00AC5C22" w:rsidRDefault="00AC5C22">
            <w:pPr>
              <w:jc w:val="center"/>
              <w:rPr>
                <w:rFonts w:ascii="Calibri" w:hAnsi="Calibri" w:cs="Calibri"/>
                <w:color w:val="000000"/>
                <w:sz w:val="22"/>
                <w:szCs w:val="22"/>
              </w:rPr>
            </w:pPr>
            <w:r>
              <w:rPr>
                <w:rFonts w:ascii="Calibri" w:hAnsi="Calibri" w:cs="Calibri"/>
                <w:color w:val="000000"/>
                <w:sz w:val="22"/>
                <w:szCs w:val="22"/>
              </w:rPr>
              <w:t>0.02</w:t>
            </w:r>
          </w:p>
        </w:tc>
        <w:tc>
          <w:tcPr>
            <w:tcW w:w="672" w:type="dxa"/>
            <w:tcBorders>
              <w:top w:val="nil"/>
              <w:left w:val="nil"/>
              <w:bottom w:val="nil"/>
              <w:right w:val="nil"/>
            </w:tcBorders>
            <w:shd w:val="clear" w:color="auto" w:fill="auto"/>
            <w:noWrap/>
            <w:vAlign w:val="bottom"/>
            <w:hideMark/>
          </w:tcPr>
          <w:p w14:paraId="5964EFC5" w14:textId="77777777" w:rsidR="00AC5C22" w:rsidRDefault="00AC5C22">
            <w:pPr>
              <w:jc w:val="center"/>
              <w:rPr>
                <w:rFonts w:ascii="Calibri" w:hAnsi="Calibri" w:cs="Calibri"/>
                <w:color w:val="000000"/>
                <w:sz w:val="22"/>
                <w:szCs w:val="22"/>
              </w:rPr>
            </w:pPr>
            <w:r>
              <w:rPr>
                <w:rFonts w:ascii="Calibri" w:hAnsi="Calibri" w:cs="Calibri"/>
                <w:color w:val="000000"/>
                <w:sz w:val="22"/>
                <w:szCs w:val="22"/>
              </w:rPr>
              <w:t>0.12</w:t>
            </w:r>
          </w:p>
        </w:tc>
        <w:tc>
          <w:tcPr>
            <w:tcW w:w="293" w:type="dxa"/>
            <w:tcBorders>
              <w:top w:val="nil"/>
              <w:left w:val="nil"/>
              <w:bottom w:val="nil"/>
              <w:right w:val="nil"/>
            </w:tcBorders>
            <w:shd w:val="clear" w:color="auto" w:fill="auto"/>
            <w:noWrap/>
            <w:vAlign w:val="bottom"/>
            <w:hideMark/>
          </w:tcPr>
          <w:p w14:paraId="104F3734" w14:textId="77777777" w:rsidR="00AC5C22" w:rsidRDefault="00AC5C22">
            <w:pPr>
              <w:jc w:val="center"/>
              <w:rPr>
                <w:rFonts w:ascii="Calibri" w:hAnsi="Calibri" w:cs="Calibri"/>
                <w:color w:val="000000"/>
                <w:sz w:val="22"/>
                <w:szCs w:val="22"/>
              </w:rPr>
            </w:pPr>
          </w:p>
        </w:tc>
        <w:tc>
          <w:tcPr>
            <w:tcW w:w="1185" w:type="dxa"/>
            <w:tcBorders>
              <w:top w:val="nil"/>
              <w:left w:val="nil"/>
              <w:bottom w:val="nil"/>
              <w:right w:val="nil"/>
            </w:tcBorders>
            <w:shd w:val="clear" w:color="auto" w:fill="auto"/>
            <w:noWrap/>
            <w:vAlign w:val="bottom"/>
            <w:hideMark/>
          </w:tcPr>
          <w:p w14:paraId="4A05892D" w14:textId="77777777" w:rsidR="00AC5C22" w:rsidRDefault="00AC5C22">
            <w:pPr>
              <w:jc w:val="center"/>
              <w:rPr>
                <w:rFonts w:ascii="Calibri" w:hAnsi="Calibri" w:cs="Calibri"/>
                <w:color w:val="000000"/>
                <w:sz w:val="22"/>
                <w:szCs w:val="22"/>
              </w:rPr>
            </w:pPr>
            <w:r>
              <w:rPr>
                <w:rFonts w:ascii="Calibri" w:hAnsi="Calibri" w:cs="Calibri"/>
                <w:color w:val="000000"/>
                <w:sz w:val="22"/>
                <w:szCs w:val="22"/>
              </w:rPr>
              <w:t>-0.01</w:t>
            </w:r>
          </w:p>
        </w:tc>
        <w:tc>
          <w:tcPr>
            <w:tcW w:w="792" w:type="dxa"/>
            <w:tcBorders>
              <w:top w:val="nil"/>
              <w:left w:val="nil"/>
              <w:bottom w:val="nil"/>
              <w:right w:val="nil"/>
            </w:tcBorders>
            <w:shd w:val="clear" w:color="auto" w:fill="auto"/>
            <w:noWrap/>
            <w:vAlign w:val="bottom"/>
            <w:hideMark/>
          </w:tcPr>
          <w:p w14:paraId="516C6188" w14:textId="77777777" w:rsidR="00AC5C22" w:rsidRDefault="00AC5C22">
            <w:pPr>
              <w:jc w:val="center"/>
              <w:rPr>
                <w:rFonts w:ascii="Calibri" w:hAnsi="Calibri" w:cs="Calibri"/>
                <w:color w:val="000000"/>
                <w:sz w:val="22"/>
                <w:szCs w:val="22"/>
              </w:rPr>
            </w:pPr>
            <w:r>
              <w:rPr>
                <w:rFonts w:ascii="Calibri" w:hAnsi="Calibri" w:cs="Calibri"/>
                <w:color w:val="000000"/>
                <w:sz w:val="22"/>
                <w:szCs w:val="22"/>
              </w:rPr>
              <w:t>0.01</w:t>
            </w:r>
          </w:p>
        </w:tc>
        <w:tc>
          <w:tcPr>
            <w:tcW w:w="672" w:type="dxa"/>
            <w:tcBorders>
              <w:top w:val="nil"/>
              <w:left w:val="nil"/>
              <w:bottom w:val="nil"/>
              <w:right w:val="nil"/>
            </w:tcBorders>
            <w:shd w:val="clear" w:color="auto" w:fill="auto"/>
            <w:noWrap/>
            <w:vAlign w:val="bottom"/>
            <w:hideMark/>
          </w:tcPr>
          <w:p w14:paraId="45E6849C" w14:textId="77777777" w:rsidR="00AC5C22" w:rsidRDefault="00AC5C22">
            <w:pPr>
              <w:jc w:val="center"/>
              <w:rPr>
                <w:rFonts w:ascii="Calibri" w:hAnsi="Calibri" w:cs="Calibri"/>
                <w:color w:val="000000"/>
                <w:sz w:val="22"/>
                <w:szCs w:val="22"/>
              </w:rPr>
            </w:pPr>
            <w:r>
              <w:rPr>
                <w:rFonts w:ascii="Calibri" w:hAnsi="Calibri" w:cs="Calibri"/>
                <w:color w:val="000000"/>
                <w:sz w:val="22"/>
                <w:szCs w:val="22"/>
              </w:rPr>
              <w:t>0.11</w:t>
            </w:r>
          </w:p>
        </w:tc>
      </w:tr>
      <w:tr w:rsidR="00AC5C22" w14:paraId="4E7363EB" w14:textId="77777777" w:rsidTr="00533C70">
        <w:trPr>
          <w:trHeight w:val="139"/>
        </w:trPr>
        <w:tc>
          <w:tcPr>
            <w:tcW w:w="1171" w:type="dxa"/>
            <w:tcBorders>
              <w:top w:val="nil"/>
              <w:left w:val="nil"/>
              <w:bottom w:val="nil"/>
              <w:right w:val="nil"/>
            </w:tcBorders>
            <w:shd w:val="clear" w:color="auto" w:fill="auto"/>
            <w:noWrap/>
            <w:vAlign w:val="bottom"/>
            <w:hideMark/>
          </w:tcPr>
          <w:p w14:paraId="63F2B94C" w14:textId="77777777" w:rsidR="00AC5C22" w:rsidRDefault="00AC5C22">
            <w:pPr>
              <w:jc w:val="center"/>
              <w:rPr>
                <w:rFonts w:ascii="Calibri" w:hAnsi="Calibri" w:cs="Calibri"/>
                <w:color w:val="000000"/>
                <w:sz w:val="22"/>
                <w:szCs w:val="22"/>
              </w:rPr>
            </w:pPr>
          </w:p>
        </w:tc>
        <w:tc>
          <w:tcPr>
            <w:tcW w:w="1171" w:type="dxa"/>
            <w:tcBorders>
              <w:top w:val="nil"/>
              <w:left w:val="nil"/>
              <w:bottom w:val="nil"/>
              <w:right w:val="nil"/>
            </w:tcBorders>
            <w:shd w:val="clear" w:color="auto" w:fill="auto"/>
            <w:noWrap/>
            <w:vAlign w:val="bottom"/>
            <w:hideMark/>
          </w:tcPr>
          <w:p w14:paraId="71BB7E49" w14:textId="77777777" w:rsidR="00AC5C22" w:rsidRDefault="00AC5C22">
            <w:pPr>
              <w:jc w:val="center"/>
              <w:rPr>
                <w:sz w:val="20"/>
                <w:szCs w:val="20"/>
              </w:rPr>
            </w:pPr>
          </w:p>
        </w:tc>
        <w:tc>
          <w:tcPr>
            <w:tcW w:w="905" w:type="dxa"/>
            <w:tcBorders>
              <w:top w:val="nil"/>
              <w:left w:val="nil"/>
              <w:bottom w:val="nil"/>
              <w:right w:val="nil"/>
            </w:tcBorders>
            <w:shd w:val="clear" w:color="auto" w:fill="auto"/>
            <w:noWrap/>
            <w:vAlign w:val="bottom"/>
            <w:hideMark/>
          </w:tcPr>
          <w:p w14:paraId="40E8A304" w14:textId="77777777" w:rsidR="00AC5C22" w:rsidRDefault="00AC5C22">
            <w:pPr>
              <w:jc w:val="center"/>
              <w:rPr>
                <w:sz w:val="20"/>
                <w:szCs w:val="20"/>
              </w:rPr>
            </w:pPr>
          </w:p>
        </w:tc>
        <w:tc>
          <w:tcPr>
            <w:tcW w:w="293" w:type="dxa"/>
            <w:tcBorders>
              <w:top w:val="nil"/>
              <w:left w:val="nil"/>
              <w:bottom w:val="nil"/>
              <w:right w:val="nil"/>
            </w:tcBorders>
            <w:shd w:val="clear" w:color="auto" w:fill="auto"/>
            <w:noWrap/>
            <w:vAlign w:val="bottom"/>
            <w:hideMark/>
          </w:tcPr>
          <w:p w14:paraId="37C2AAE4" w14:textId="77777777" w:rsidR="00AC5C22" w:rsidRDefault="00AC5C22">
            <w:pPr>
              <w:jc w:val="center"/>
              <w:rPr>
                <w:sz w:val="20"/>
                <w:szCs w:val="20"/>
              </w:rPr>
            </w:pPr>
          </w:p>
        </w:tc>
        <w:tc>
          <w:tcPr>
            <w:tcW w:w="1185" w:type="dxa"/>
            <w:tcBorders>
              <w:top w:val="nil"/>
              <w:left w:val="nil"/>
              <w:bottom w:val="nil"/>
              <w:right w:val="nil"/>
            </w:tcBorders>
            <w:shd w:val="clear" w:color="auto" w:fill="auto"/>
            <w:noWrap/>
            <w:vAlign w:val="bottom"/>
            <w:hideMark/>
          </w:tcPr>
          <w:p w14:paraId="4222CFE2" w14:textId="77777777" w:rsidR="00AC5C22" w:rsidRDefault="00AC5C22">
            <w:pPr>
              <w:jc w:val="center"/>
              <w:rPr>
                <w:sz w:val="20"/>
                <w:szCs w:val="20"/>
              </w:rPr>
            </w:pPr>
          </w:p>
        </w:tc>
        <w:tc>
          <w:tcPr>
            <w:tcW w:w="792" w:type="dxa"/>
            <w:tcBorders>
              <w:top w:val="nil"/>
              <w:left w:val="nil"/>
              <w:bottom w:val="nil"/>
              <w:right w:val="nil"/>
            </w:tcBorders>
            <w:shd w:val="clear" w:color="auto" w:fill="auto"/>
            <w:noWrap/>
            <w:vAlign w:val="bottom"/>
            <w:hideMark/>
          </w:tcPr>
          <w:p w14:paraId="4C8DEFE3" w14:textId="77777777" w:rsidR="00AC5C22" w:rsidRDefault="00AC5C22">
            <w:pPr>
              <w:jc w:val="center"/>
              <w:rPr>
                <w:sz w:val="20"/>
                <w:szCs w:val="20"/>
              </w:rPr>
            </w:pPr>
          </w:p>
        </w:tc>
        <w:tc>
          <w:tcPr>
            <w:tcW w:w="672" w:type="dxa"/>
            <w:tcBorders>
              <w:top w:val="nil"/>
              <w:left w:val="nil"/>
              <w:bottom w:val="nil"/>
              <w:right w:val="nil"/>
            </w:tcBorders>
            <w:shd w:val="clear" w:color="auto" w:fill="auto"/>
            <w:noWrap/>
            <w:vAlign w:val="bottom"/>
            <w:hideMark/>
          </w:tcPr>
          <w:p w14:paraId="7C38A8AF" w14:textId="77777777" w:rsidR="00AC5C22" w:rsidRDefault="00AC5C22">
            <w:pPr>
              <w:jc w:val="center"/>
              <w:rPr>
                <w:sz w:val="20"/>
                <w:szCs w:val="20"/>
              </w:rPr>
            </w:pPr>
          </w:p>
        </w:tc>
        <w:tc>
          <w:tcPr>
            <w:tcW w:w="293" w:type="dxa"/>
            <w:tcBorders>
              <w:top w:val="nil"/>
              <w:left w:val="nil"/>
              <w:bottom w:val="nil"/>
              <w:right w:val="nil"/>
            </w:tcBorders>
            <w:shd w:val="clear" w:color="auto" w:fill="auto"/>
            <w:noWrap/>
            <w:vAlign w:val="bottom"/>
            <w:hideMark/>
          </w:tcPr>
          <w:p w14:paraId="24AC3DE2" w14:textId="77777777" w:rsidR="00AC5C22" w:rsidRDefault="00AC5C22">
            <w:pPr>
              <w:jc w:val="center"/>
              <w:rPr>
                <w:sz w:val="20"/>
                <w:szCs w:val="20"/>
              </w:rPr>
            </w:pPr>
          </w:p>
        </w:tc>
        <w:tc>
          <w:tcPr>
            <w:tcW w:w="1185" w:type="dxa"/>
            <w:tcBorders>
              <w:top w:val="nil"/>
              <w:left w:val="nil"/>
              <w:bottom w:val="nil"/>
              <w:right w:val="nil"/>
            </w:tcBorders>
            <w:shd w:val="clear" w:color="auto" w:fill="auto"/>
            <w:noWrap/>
            <w:vAlign w:val="bottom"/>
            <w:hideMark/>
          </w:tcPr>
          <w:p w14:paraId="7ECEC7C3" w14:textId="77777777" w:rsidR="00AC5C22" w:rsidRDefault="00AC5C22">
            <w:pPr>
              <w:jc w:val="center"/>
              <w:rPr>
                <w:sz w:val="20"/>
                <w:szCs w:val="20"/>
              </w:rPr>
            </w:pPr>
          </w:p>
        </w:tc>
        <w:tc>
          <w:tcPr>
            <w:tcW w:w="792" w:type="dxa"/>
            <w:tcBorders>
              <w:top w:val="nil"/>
              <w:left w:val="nil"/>
              <w:bottom w:val="nil"/>
              <w:right w:val="nil"/>
            </w:tcBorders>
            <w:shd w:val="clear" w:color="auto" w:fill="auto"/>
            <w:noWrap/>
            <w:vAlign w:val="bottom"/>
            <w:hideMark/>
          </w:tcPr>
          <w:p w14:paraId="5DD27AAD" w14:textId="77777777" w:rsidR="00AC5C22" w:rsidRDefault="00AC5C22">
            <w:pPr>
              <w:jc w:val="center"/>
              <w:rPr>
                <w:sz w:val="20"/>
                <w:szCs w:val="20"/>
              </w:rPr>
            </w:pPr>
          </w:p>
        </w:tc>
        <w:tc>
          <w:tcPr>
            <w:tcW w:w="672" w:type="dxa"/>
            <w:tcBorders>
              <w:top w:val="nil"/>
              <w:left w:val="nil"/>
              <w:bottom w:val="nil"/>
              <w:right w:val="nil"/>
            </w:tcBorders>
            <w:shd w:val="clear" w:color="auto" w:fill="auto"/>
            <w:noWrap/>
            <w:vAlign w:val="bottom"/>
            <w:hideMark/>
          </w:tcPr>
          <w:p w14:paraId="6EB91BFB" w14:textId="77777777" w:rsidR="00AC5C22" w:rsidRDefault="00AC5C22">
            <w:pPr>
              <w:jc w:val="center"/>
              <w:rPr>
                <w:sz w:val="20"/>
                <w:szCs w:val="20"/>
              </w:rPr>
            </w:pPr>
          </w:p>
        </w:tc>
      </w:tr>
      <w:tr w:rsidR="00AC5C22" w14:paraId="1A76D84E" w14:textId="77777777" w:rsidTr="00533C70">
        <w:trPr>
          <w:trHeight w:val="298"/>
        </w:trPr>
        <w:tc>
          <w:tcPr>
            <w:tcW w:w="1171" w:type="dxa"/>
            <w:tcBorders>
              <w:top w:val="nil"/>
              <w:left w:val="nil"/>
              <w:bottom w:val="nil"/>
              <w:right w:val="nil"/>
            </w:tcBorders>
            <w:shd w:val="clear" w:color="auto" w:fill="auto"/>
            <w:noWrap/>
            <w:vAlign w:val="bottom"/>
            <w:hideMark/>
          </w:tcPr>
          <w:p w14:paraId="3BCD1267" w14:textId="77777777" w:rsidR="00AC5C22" w:rsidRDefault="00AC5C22">
            <w:pPr>
              <w:jc w:val="center"/>
              <w:rPr>
                <w:rFonts w:ascii="Calibri" w:hAnsi="Calibri" w:cs="Calibri"/>
                <w:b/>
                <w:bCs/>
                <w:color w:val="000000"/>
                <w:sz w:val="22"/>
                <w:szCs w:val="22"/>
              </w:rPr>
            </w:pPr>
            <w:r>
              <w:rPr>
                <w:rFonts w:ascii="Calibri" w:hAnsi="Calibri" w:cs="Calibri"/>
                <w:b/>
                <w:bCs/>
                <w:color w:val="000000"/>
                <w:sz w:val="22"/>
                <w:szCs w:val="22"/>
              </w:rPr>
              <w:t>MDD</w:t>
            </w:r>
          </w:p>
        </w:tc>
        <w:tc>
          <w:tcPr>
            <w:tcW w:w="1171" w:type="dxa"/>
            <w:tcBorders>
              <w:top w:val="nil"/>
              <w:left w:val="nil"/>
              <w:bottom w:val="nil"/>
              <w:right w:val="nil"/>
            </w:tcBorders>
            <w:shd w:val="clear" w:color="auto" w:fill="auto"/>
            <w:noWrap/>
            <w:vAlign w:val="bottom"/>
            <w:hideMark/>
          </w:tcPr>
          <w:p w14:paraId="4547BFB3" w14:textId="77777777" w:rsidR="00AC5C22" w:rsidRDefault="00AC5C22">
            <w:pPr>
              <w:jc w:val="center"/>
              <w:rPr>
                <w:rFonts w:ascii="Calibri" w:hAnsi="Calibri" w:cs="Calibri"/>
                <w:b/>
                <w:bCs/>
                <w:color w:val="000000"/>
                <w:sz w:val="22"/>
                <w:szCs w:val="22"/>
              </w:rPr>
            </w:pPr>
            <w:r>
              <w:rPr>
                <w:rFonts w:ascii="Calibri" w:hAnsi="Calibri" w:cs="Calibri"/>
                <w:b/>
                <w:bCs/>
                <w:color w:val="000000"/>
                <w:sz w:val="22"/>
                <w:szCs w:val="22"/>
              </w:rPr>
              <w:t>25-OH-D</w:t>
            </w:r>
          </w:p>
        </w:tc>
        <w:tc>
          <w:tcPr>
            <w:tcW w:w="905" w:type="dxa"/>
            <w:tcBorders>
              <w:top w:val="nil"/>
              <w:left w:val="nil"/>
              <w:bottom w:val="nil"/>
              <w:right w:val="nil"/>
            </w:tcBorders>
            <w:shd w:val="clear" w:color="auto" w:fill="auto"/>
            <w:noWrap/>
            <w:vAlign w:val="bottom"/>
            <w:hideMark/>
          </w:tcPr>
          <w:p w14:paraId="6C921E66" w14:textId="77777777" w:rsidR="00AC5C22" w:rsidRDefault="00AC5C22">
            <w:pPr>
              <w:jc w:val="center"/>
              <w:rPr>
                <w:rFonts w:ascii="Calibri" w:hAnsi="Calibri" w:cs="Calibri"/>
                <w:b/>
                <w:bCs/>
                <w:color w:val="000000"/>
                <w:sz w:val="22"/>
                <w:szCs w:val="22"/>
              </w:rPr>
            </w:pPr>
            <w:r>
              <w:rPr>
                <w:rFonts w:ascii="Calibri" w:hAnsi="Calibri" w:cs="Calibri"/>
                <w:b/>
                <w:bCs/>
                <w:color w:val="000000"/>
                <w:sz w:val="22"/>
                <w:szCs w:val="22"/>
              </w:rPr>
              <w:t>477</w:t>
            </w:r>
          </w:p>
        </w:tc>
        <w:tc>
          <w:tcPr>
            <w:tcW w:w="293" w:type="dxa"/>
            <w:tcBorders>
              <w:top w:val="nil"/>
              <w:left w:val="nil"/>
              <w:bottom w:val="nil"/>
              <w:right w:val="nil"/>
            </w:tcBorders>
            <w:shd w:val="clear" w:color="auto" w:fill="auto"/>
            <w:noWrap/>
            <w:vAlign w:val="bottom"/>
            <w:hideMark/>
          </w:tcPr>
          <w:p w14:paraId="3CA5303B" w14:textId="77777777" w:rsidR="00AC5C22" w:rsidRDefault="00AC5C22">
            <w:pPr>
              <w:jc w:val="center"/>
              <w:rPr>
                <w:rFonts w:ascii="Calibri" w:hAnsi="Calibri" w:cs="Calibri"/>
                <w:b/>
                <w:bCs/>
                <w:color w:val="000000"/>
                <w:sz w:val="22"/>
                <w:szCs w:val="22"/>
              </w:rPr>
            </w:pPr>
          </w:p>
        </w:tc>
        <w:tc>
          <w:tcPr>
            <w:tcW w:w="1185" w:type="dxa"/>
            <w:tcBorders>
              <w:top w:val="nil"/>
              <w:left w:val="nil"/>
              <w:bottom w:val="nil"/>
              <w:right w:val="nil"/>
            </w:tcBorders>
            <w:shd w:val="clear" w:color="auto" w:fill="auto"/>
            <w:noWrap/>
            <w:vAlign w:val="bottom"/>
            <w:hideMark/>
          </w:tcPr>
          <w:p w14:paraId="283826F8" w14:textId="77777777" w:rsidR="00AC5C22" w:rsidRDefault="00AC5C22">
            <w:pPr>
              <w:jc w:val="center"/>
              <w:rPr>
                <w:rFonts w:ascii="Calibri" w:hAnsi="Calibri" w:cs="Calibri"/>
                <w:color w:val="000000"/>
                <w:sz w:val="22"/>
                <w:szCs w:val="22"/>
              </w:rPr>
            </w:pPr>
            <w:r>
              <w:rPr>
                <w:rFonts w:ascii="Calibri" w:hAnsi="Calibri" w:cs="Calibri"/>
                <w:color w:val="000000"/>
                <w:sz w:val="22"/>
                <w:szCs w:val="22"/>
              </w:rPr>
              <w:t>0.01</w:t>
            </w:r>
          </w:p>
        </w:tc>
        <w:tc>
          <w:tcPr>
            <w:tcW w:w="792" w:type="dxa"/>
            <w:tcBorders>
              <w:top w:val="nil"/>
              <w:left w:val="nil"/>
              <w:bottom w:val="nil"/>
              <w:right w:val="nil"/>
            </w:tcBorders>
            <w:shd w:val="clear" w:color="auto" w:fill="auto"/>
            <w:noWrap/>
            <w:vAlign w:val="bottom"/>
            <w:hideMark/>
          </w:tcPr>
          <w:p w14:paraId="0D3BC247" w14:textId="77777777" w:rsidR="00AC5C22" w:rsidRDefault="00AC5C22">
            <w:pPr>
              <w:jc w:val="center"/>
              <w:rPr>
                <w:rFonts w:ascii="Calibri" w:hAnsi="Calibri" w:cs="Calibri"/>
                <w:color w:val="000000"/>
                <w:sz w:val="22"/>
                <w:szCs w:val="22"/>
              </w:rPr>
            </w:pPr>
            <w:r>
              <w:rPr>
                <w:rFonts w:ascii="Calibri" w:hAnsi="Calibri" w:cs="Calibri"/>
                <w:color w:val="000000"/>
                <w:sz w:val="22"/>
                <w:szCs w:val="22"/>
              </w:rPr>
              <w:t>0.02</w:t>
            </w:r>
          </w:p>
        </w:tc>
        <w:tc>
          <w:tcPr>
            <w:tcW w:w="672" w:type="dxa"/>
            <w:tcBorders>
              <w:top w:val="nil"/>
              <w:left w:val="nil"/>
              <w:bottom w:val="nil"/>
              <w:right w:val="nil"/>
            </w:tcBorders>
            <w:shd w:val="clear" w:color="auto" w:fill="auto"/>
            <w:noWrap/>
            <w:vAlign w:val="center"/>
            <w:hideMark/>
          </w:tcPr>
          <w:p w14:paraId="4898CA86" w14:textId="77777777" w:rsidR="00AC5C22" w:rsidRDefault="00AC5C22">
            <w:pPr>
              <w:jc w:val="center"/>
              <w:rPr>
                <w:rFonts w:ascii="Calibri" w:hAnsi="Calibri" w:cs="Calibri"/>
                <w:color w:val="000000"/>
                <w:sz w:val="22"/>
                <w:szCs w:val="22"/>
              </w:rPr>
            </w:pPr>
            <w:r>
              <w:rPr>
                <w:rFonts w:ascii="Calibri" w:hAnsi="Calibri" w:cs="Calibri"/>
                <w:color w:val="000000"/>
                <w:sz w:val="22"/>
                <w:szCs w:val="22"/>
              </w:rPr>
              <w:t>0.56</w:t>
            </w:r>
          </w:p>
        </w:tc>
        <w:tc>
          <w:tcPr>
            <w:tcW w:w="293" w:type="dxa"/>
            <w:tcBorders>
              <w:top w:val="nil"/>
              <w:left w:val="nil"/>
              <w:bottom w:val="nil"/>
              <w:right w:val="nil"/>
            </w:tcBorders>
            <w:shd w:val="clear" w:color="auto" w:fill="auto"/>
            <w:noWrap/>
            <w:vAlign w:val="bottom"/>
            <w:hideMark/>
          </w:tcPr>
          <w:p w14:paraId="289E6161" w14:textId="77777777" w:rsidR="00AC5C22" w:rsidRDefault="00AC5C22">
            <w:pPr>
              <w:jc w:val="center"/>
              <w:rPr>
                <w:rFonts w:ascii="Calibri" w:hAnsi="Calibri" w:cs="Calibri"/>
                <w:color w:val="000000"/>
                <w:sz w:val="22"/>
                <w:szCs w:val="22"/>
              </w:rPr>
            </w:pPr>
          </w:p>
        </w:tc>
        <w:tc>
          <w:tcPr>
            <w:tcW w:w="1185" w:type="dxa"/>
            <w:tcBorders>
              <w:top w:val="nil"/>
              <w:left w:val="nil"/>
              <w:bottom w:val="nil"/>
              <w:right w:val="nil"/>
            </w:tcBorders>
            <w:shd w:val="clear" w:color="auto" w:fill="auto"/>
            <w:noWrap/>
            <w:vAlign w:val="bottom"/>
            <w:hideMark/>
          </w:tcPr>
          <w:p w14:paraId="5F0A92E3" w14:textId="77777777" w:rsidR="00AC5C22" w:rsidRDefault="00AC5C22">
            <w:pPr>
              <w:jc w:val="center"/>
              <w:rPr>
                <w:rFonts w:ascii="Calibri" w:hAnsi="Calibri" w:cs="Calibri"/>
                <w:color w:val="000000"/>
                <w:sz w:val="22"/>
                <w:szCs w:val="22"/>
              </w:rPr>
            </w:pPr>
            <w:r>
              <w:rPr>
                <w:rFonts w:ascii="Calibri" w:hAnsi="Calibri" w:cs="Calibri"/>
                <w:color w:val="000000"/>
                <w:sz w:val="22"/>
                <w:szCs w:val="22"/>
              </w:rPr>
              <w:t>-0.01</w:t>
            </w:r>
          </w:p>
        </w:tc>
        <w:tc>
          <w:tcPr>
            <w:tcW w:w="792" w:type="dxa"/>
            <w:tcBorders>
              <w:top w:val="nil"/>
              <w:left w:val="nil"/>
              <w:bottom w:val="nil"/>
              <w:right w:val="nil"/>
            </w:tcBorders>
            <w:shd w:val="clear" w:color="auto" w:fill="auto"/>
            <w:noWrap/>
            <w:vAlign w:val="bottom"/>
            <w:hideMark/>
          </w:tcPr>
          <w:p w14:paraId="33B207B3" w14:textId="77777777" w:rsidR="00AC5C22" w:rsidRDefault="00AC5C22">
            <w:pPr>
              <w:jc w:val="center"/>
              <w:rPr>
                <w:rFonts w:ascii="Calibri" w:hAnsi="Calibri" w:cs="Calibri"/>
                <w:color w:val="000000"/>
                <w:sz w:val="22"/>
                <w:szCs w:val="22"/>
              </w:rPr>
            </w:pPr>
            <w:r>
              <w:rPr>
                <w:rFonts w:ascii="Calibri" w:hAnsi="Calibri" w:cs="Calibri"/>
                <w:color w:val="000000"/>
                <w:sz w:val="22"/>
                <w:szCs w:val="22"/>
              </w:rPr>
              <w:t>0.01</w:t>
            </w:r>
          </w:p>
        </w:tc>
        <w:tc>
          <w:tcPr>
            <w:tcW w:w="672" w:type="dxa"/>
            <w:tcBorders>
              <w:top w:val="nil"/>
              <w:left w:val="nil"/>
              <w:bottom w:val="nil"/>
              <w:right w:val="nil"/>
            </w:tcBorders>
            <w:shd w:val="clear" w:color="auto" w:fill="auto"/>
            <w:noWrap/>
            <w:vAlign w:val="center"/>
            <w:hideMark/>
          </w:tcPr>
          <w:p w14:paraId="4FDE33D2" w14:textId="77777777" w:rsidR="00AC5C22" w:rsidRDefault="00AC5C22">
            <w:pPr>
              <w:jc w:val="center"/>
              <w:rPr>
                <w:rFonts w:ascii="Calibri" w:hAnsi="Calibri" w:cs="Calibri"/>
                <w:color w:val="000000"/>
                <w:sz w:val="22"/>
                <w:szCs w:val="22"/>
              </w:rPr>
            </w:pPr>
            <w:r>
              <w:rPr>
                <w:rFonts w:ascii="Calibri" w:hAnsi="Calibri" w:cs="Calibri"/>
                <w:color w:val="000000"/>
                <w:sz w:val="22"/>
                <w:szCs w:val="22"/>
              </w:rPr>
              <w:t>0.13</w:t>
            </w:r>
          </w:p>
        </w:tc>
      </w:tr>
      <w:tr w:rsidR="00AC5C22" w14:paraId="2B67E267" w14:textId="77777777" w:rsidTr="00533C70">
        <w:trPr>
          <w:trHeight w:val="119"/>
        </w:trPr>
        <w:tc>
          <w:tcPr>
            <w:tcW w:w="1171" w:type="dxa"/>
            <w:tcBorders>
              <w:top w:val="nil"/>
              <w:left w:val="nil"/>
              <w:bottom w:val="nil"/>
              <w:right w:val="nil"/>
            </w:tcBorders>
            <w:shd w:val="clear" w:color="auto" w:fill="auto"/>
            <w:noWrap/>
            <w:vAlign w:val="bottom"/>
            <w:hideMark/>
          </w:tcPr>
          <w:p w14:paraId="5C54FA15" w14:textId="77777777" w:rsidR="00AC5C22" w:rsidRDefault="00AC5C22">
            <w:pPr>
              <w:jc w:val="center"/>
              <w:rPr>
                <w:rFonts w:ascii="Calibri" w:hAnsi="Calibri" w:cs="Calibri"/>
                <w:color w:val="000000"/>
                <w:sz w:val="22"/>
                <w:szCs w:val="22"/>
              </w:rPr>
            </w:pPr>
          </w:p>
        </w:tc>
        <w:tc>
          <w:tcPr>
            <w:tcW w:w="1171" w:type="dxa"/>
            <w:tcBorders>
              <w:top w:val="nil"/>
              <w:left w:val="nil"/>
              <w:bottom w:val="nil"/>
              <w:right w:val="nil"/>
            </w:tcBorders>
            <w:shd w:val="clear" w:color="auto" w:fill="auto"/>
            <w:noWrap/>
            <w:vAlign w:val="bottom"/>
            <w:hideMark/>
          </w:tcPr>
          <w:p w14:paraId="430AD7FD" w14:textId="77777777" w:rsidR="00AC5C22" w:rsidRDefault="00AC5C22">
            <w:pPr>
              <w:jc w:val="center"/>
              <w:rPr>
                <w:sz w:val="20"/>
                <w:szCs w:val="20"/>
              </w:rPr>
            </w:pPr>
          </w:p>
        </w:tc>
        <w:tc>
          <w:tcPr>
            <w:tcW w:w="905" w:type="dxa"/>
            <w:tcBorders>
              <w:top w:val="nil"/>
              <w:left w:val="nil"/>
              <w:bottom w:val="nil"/>
              <w:right w:val="nil"/>
            </w:tcBorders>
            <w:shd w:val="clear" w:color="auto" w:fill="auto"/>
            <w:noWrap/>
            <w:vAlign w:val="bottom"/>
            <w:hideMark/>
          </w:tcPr>
          <w:p w14:paraId="120CCF04" w14:textId="77777777" w:rsidR="00AC5C22" w:rsidRDefault="00AC5C22">
            <w:pPr>
              <w:jc w:val="center"/>
              <w:rPr>
                <w:sz w:val="20"/>
                <w:szCs w:val="20"/>
              </w:rPr>
            </w:pPr>
          </w:p>
        </w:tc>
        <w:tc>
          <w:tcPr>
            <w:tcW w:w="293" w:type="dxa"/>
            <w:tcBorders>
              <w:top w:val="nil"/>
              <w:left w:val="nil"/>
              <w:bottom w:val="nil"/>
              <w:right w:val="nil"/>
            </w:tcBorders>
            <w:shd w:val="clear" w:color="auto" w:fill="auto"/>
            <w:noWrap/>
            <w:vAlign w:val="bottom"/>
            <w:hideMark/>
          </w:tcPr>
          <w:p w14:paraId="106E9895" w14:textId="77777777" w:rsidR="00AC5C22" w:rsidRDefault="00AC5C22">
            <w:pPr>
              <w:jc w:val="center"/>
              <w:rPr>
                <w:sz w:val="20"/>
                <w:szCs w:val="20"/>
              </w:rPr>
            </w:pPr>
          </w:p>
        </w:tc>
        <w:tc>
          <w:tcPr>
            <w:tcW w:w="1185" w:type="dxa"/>
            <w:tcBorders>
              <w:top w:val="nil"/>
              <w:left w:val="nil"/>
              <w:bottom w:val="nil"/>
              <w:right w:val="nil"/>
            </w:tcBorders>
            <w:shd w:val="clear" w:color="auto" w:fill="auto"/>
            <w:noWrap/>
            <w:vAlign w:val="bottom"/>
            <w:hideMark/>
          </w:tcPr>
          <w:p w14:paraId="7DE05495" w14:textId="77777777" w:rsidR="00AC5C22" w:rsidRDefault="00AC5C22">
            <w:pPr>
              <w:jc w:val="center"/>
              <w:rPr>
                <w:sz w:val="20"/>
                <w:szCs w:val="20"/>
              </w:rPr>
            </w:pPr>
          </w:p>
        </w:tc>
        <w:tc>
          <w:tcPr>
            <w:tcW w:w="792" w:type="dxa"/>
            <w:tcBorders>
              <w:top w:val="nil"/>
              <w:left w:val="nil"/>
              <w:bottom w:val="nil"/>
              <w:right w:val="nil"/>
            </w:tcBorders>
            <w:shd w:val="clear" w:color="auto" w:fill="auto"/>
            <w:noWrap/>
            <w:vAlign w:val="bottom"/>
            <w:hideMark/>
          </w:tcPr>
          <w:p w14:paraId="2219CAC5" w14:textId="77777777" w:rsidR="00AC5C22" w:rsidRDefault="00AC5C22">
            <w:pPr>
              <w:jc w:val="center"/>
              <w:rPr>
                <w:sz w:val="20"/>
                <w:szCs w:val="20"/>
              </w:rPr>
            </w:pPr>
          </w:p>
        </w:tc>
        <w:tc>
          <w:tcPr>
            <w:tcW w:w="672" w:type="dxa"/>
            <w:tcBorders>
              <w:top w:val="nil"/>
              <w:left w:val="nil"/>
              <w:bottom w:val="nil"/>
              <w:right w:val="nil"/>
            </w:tcBorders>
            <w:shd w:val="clear" w:color="auto" w:fill="auto"/>
            <w:noWrap/>
            <w:vAlign w:val="center"/>
            <w:hideMark/>
          </w:tcPr>
          <w:p w14:paraId="5284BE1C" w14:textId="77777777" w:rsidR="00AC5C22" w:rsidRDefault="00AC5C22">
            <w:pPr>
              <w:jc w:val="center"/>
              <w:rPr>
                <w:sz w:val="20"/>
                <w:szCs w:val="20"/>
              </w:rPr>
            </w:pPr>
          </w:p>
        </w:tc>
        <w:tc>
          <w:tcPr>
            <w:tcW w:w="293" w:type="dxa"/>
            <w:tcBorders>
              <w:top w:val="nil"/>
              <w:left w:val="nil"/>
              <w:bottom w:val="nil"/>
              <w:right w:val="nil"/>
            </w:tcBorders>
            <w:shd w:val="clear" w:color="auto" w:fill="auto"/>
            <w:noWrap/>
            <w:vAlign w:val="bottom"/>
            <w:hideMark/>
          </w:tcPr>
          <w:p w14:paraId="497E0A25" w14:textId="77777777" w:rsidR="00AC5C22" w:rsidRDefault="00AC5C22">
            <w:pPr>
              <w:jc w:val="center"/>
              <w:rPr>
                <w:sz w:val="20"/>
                <w:szCs w:val="20"/>
              </w:rPr>
            </w:pPr>
          </w:p>
        </w:tc>
        <w:tc>
          <w:tcPr>
            <w:tcW w:w="1185" w:type="dxa"/>
            <w:tcBorders>
              <w:top w:val="nil"/>
              <w:left w:val="nil"/>
              <w:bottom w:val="nil"/>
              <w:right w:val="nil"/>
            </w:tcBorders>
            <w:shd w:val="clear" w:color="auto" w:fill="auto"/>
            <w:noWrap/>
            <w:vAlign w:val="bottom"/>
            <w:hideMark/>
          </w:tcPr>
          <w:p w14:paraId="0357FC58" w14:textId="77777777" w:rsidR="00AC5C22" w:rsidRDefault="00AC5C22">
            <w:pPr>
              <w:jc w:val="center"/>
              <w:rPr>
                <w:sz w:val="20"/>
                <w:szCs w:val="20"/>
              </w:rPr>
            </w:pPr>
          </w:p>
        </w:tc>
        <w:tc>
          <w:tcPr>
            <w:tcW w:w="792" w:type="dxa"/>
            <w:tcBorders>
              <w:top w:val="nil"/>
              <w:left w:val="nil"/>
              <w:bottom w:val="nil"/>
              <w:right w:val="nil"/>
            </w:tcBorders>
            <w:shd w:val="clear" w:color="auto" w:fill="auto"/>
            <w:noWrap/>
            <w:vAlign w:val="bottom"/>
            <w:hideMark/>
          </w:tcPr>
          <w:p w14:paraId="617879B5" w14:textId="77777777" w:rsidR="00AC5C22" w:rsidRDefault="00AC5C22">
            <w:pPr>
              <w:jc w:val="center"/>
              <w:rPr>
                <w:sz w:val="20"/>
                <w:szCs w:val="20"/>
              </w:rPr>
            </w:pPr>
          </w:p>
        </w:tc>
        <w:tc>
          <w:tcPr>
            <w:tcW w:w="672" w:type="dxa"/>
            <w:tcBorders>
              <w:top w:val="nil"/>
              <w:left w:val="nil"/>
              <w:bottom w:val="nil"/>
              <w:right w:val="nil"/>
            </w:tcBorders>
            <w:shd w:val="clear" w:color="auto" w:fill="auto"/>
            <w:noWrap/>
            <w:vAlign w:val="center"/>
            <w:hideMark/>
          </w:tcPr>
          <w:p w14:paraId="65E2085E" w14:textId="77777777" w:rsidR="00AC5C22" w:rsidRDefault="00AC5C22">
            <w:pPr>
              <w:jc w:val="center"/>
              <w:rPr>
                <w:sz w:val="20"/>
                <w:szCs w:val="20"/>
              </w:rPr>
            </w:pPr>
          </w:p>
        </w:tc>
      </w:tr>
      <w:tr w:rsidR="00AC5C22" w14:paraId="09845AD2" w14:textId="77777777" w:rsidTr="00533C70">
        <w:trPr>
          <w:trHeight w:val="298"/>
        </w:trPr>
        <w:tc>
          <w:tcPr>
            <w:tcW w:w="1171" w:type="dxa"/>
            <w:tcBorders>
              <w:top w:val="nil"/>
              <w:left w:val="nil"/>
              <w:bottom w:val="nil"/>
              <w:right w:val="nil"/>
            </w:tcBorders>
            <w:shd w:val="clear" w:color="auto" w:fill="auto"/>
            <w:noWrap/>
            <w:vAlign w:val="bottom"/>
            <w:hideMark/>
          </w:tcPr>
          <w:p w14:paraId="4B65649B" w14:textId="77777777" w:rsidR="00AC5C22" w:rsidRDefault="00AC5C22">
            <w:pPr>
              <w:jc w:val="center"/>
              <w:rPr>
                <w:rFonts w:ascii="Calibri" w:hAnsi="Calibri" w:cs="Calibri"/>
                <w:b/>
                <w:bCs/>
                <w:color w:val="000000"/>
                <w:sz w:val="22"/>
                <w:szCs w:val="22"/>
              </w:rPr>
            </w:pPr>
            <w:r>
              <w:rPr>
                <w:rFonts w:ascii="Calibri" w:hAnsi="Calibri" w:cs="Calibri"/>
                <w:b/>
                <w:bCs/>
                <w:color w:val="000000"/>
                <w:sz w:val="22"/>
                <w:szCs w:val="22"/>
              </w:rPr>
              <w:t>MDD</w:t>
            </w:r>
          </w:p>
        </w:tc>
        <w:tc>
          <w:tcPr>
            <w:tcW w:w="1171" w:type="dxa"/>
            <w:tcBorders>
              <w:top w:val="nil"/>
              <w:left w:val="nil"/>
              <w:bottom w:val="nil"/>
              <w:right w:val="nil"/>
            </w:tcBorders>
            <w:shd w:val="clear" w:color="auto" w:fill="auto"/>
            <w:noWrap/>
            <w:vAlign w:val="bottom"/>
            <w:hideMark/>
          </w:tcPr>
          <w:p w14:paraId="0BD16A53" w14:textId="77777777" w:rsidR="00AC5C22" w:rsidRDefault="00AC5C22">
            <w:pPr>
              <w:jc w:val="center"/>
              <w:rPr>
                <w:rFonts w:ascii="Calibri" w:hAnsi="Calibri" w:cs="Calibri"/>
                <w:b/>
                <w:bCs/>
                <w:color w:val="000000"/>
                <w:sz w:val="22"/>
                <w:szCs w:val="22"/>
              </w:rPr>
            </w:pPr>
            <w:r>
              <w:rPr>
                <w:rFonts w:ascii="Calibri" w:hAnsi="Calibri" w:cs="Calibri"/>
                <w:b/>
                <w:bCs/>
                <w:color w:val="000000"/>
                <w:sz w:val="22"/>
                <w:szCs w:val="22"/>
              </w:rPr>
              <w:t>n3-PUFAs</w:t>
            </w:r>
          </w:p>
        </w:tc>
        <w:tc>
          <w:tcPr>
            <w:tcW w:w="905" w:type="dxa"/>
            <w:tcBorders>
              <w:top w:val="nil"/>
              <w:left w:val="nil"/>
              <w:bottom w:val="nil"/>
              <w:right w:val="nil"/>
            </w:tcBorders>
            <w:shd w:val="clear" w:color="auto" w:fill="auto"/>
            <w:noWrap/>
            <w:vAlign w:val="bottom"/>
            <w:hideMark/>
          </w:tcPr>
          <w:p w14:paraId="7BE8A7B9" w14:textId="77777777" w:rsidR="00AC5C22" w:rsidRDefault="00AC5C22">
            <w:pPr>
              <w:jc w:val="center"/>
              <w:rPr>
                <w:rFonts w:ascii="Calibri" w:hAnsi="Calibri" w:cs="Calibri"/>
                <w:b/>
                <w:bCs/>
                <w:color w:val="000000"/>
                <w:sz w:val="22"/>
                <w:szCs w:val="22"/>
              </w:rPr>
            </w:pPr>
            <w:r>
              <w:rPr>
                <w:rFonts w:ascii="Calibri" w:hAnsi="Calibri" w:cs="Calibri"/>
                <w:b/>
                <w:bCs/>
                <w:color w:val="000000"/>
                <w:sz w:val="22"/>
                <w:szCs w:val="22"/>
              </w:rPr>
              <w:t>675</w:t>
            </w:r>
          </w:p>
        </w:tc>
        <w:tc>
          <w:tcPr>
            <w:tcW w:w="293" w:type="dxa"/>
            <w:tcBorders>
              <w:top w:val="nil"/>
              <w:left w:val="nil"/>
              <w:bottom w:val="nil"/>
              <w:right w:val="nil"/>
            </w:tcBorders>
            <w:shd w:val="clear" w:color="auto" w:fill="auto"/>
            <w:noWrap/>
            <w:vAlign w:val="bottom"/>
            <w:hideMark/>
          </w:tcPr>
          <w:p w14:paraId="27775F8A" w14:textId="77777777" w:rsidR="00AC5C22" w:rsidRDefault="00AC5C22">
            <w:pPr>
              <w:jc w:val="center"/>
              <w:rPr>
                <w:rFonts w:ascii="Calibri" w:hAnsi="Calibri" w:cs="Calibri"/>
                <w:b/>
                <w:bCs/>
                <w:color w:val="000000"/>
                <w:sz w:val="22"/>
                <w:szCs w:val="22"/>
              </w:rPr>
            </w:pPr>
          </w:p>
        </w:tc>
        <w:tc>
          <w:tcPr>
            <w:tcW w:w="1185" w:type="dxa"/>
            <w:tcBorders>
              <w:top w:val="nil"/>
              <w:left w:val="nil"/>
              <w:bottom w:val="nil"/>
              <w:right w:val="nil"/>
            </w:tcBorders>
            <w:shd w:val="clear" w:color="auto" w:fill="auto"/>
            <w:noWrap/>
            <w:vAlign w:val="bottom"/>
            <w:hideMark/>
          </w:tcPr>
          <w:p w14:paraId="29990A60" w14:textId="77777777" w:rsidR="00AC5C22" w:rsidRDefault="00AC5C22">
            <w:pPr>
              <w:jc w:val="center"/>
              <w:rPr>
                <w:rFonts w:ascii="Calibri" w:hAnsi="Calibri" w:cs="Calibri"/>
                <w:color w:val="000000"/>
                <w:sz w:val="22"/>
                <w:szCs w:val="22"/>
              </w:rPr>
            </w:pPr>
            <w:r>
              <w:rPr>
                <w:rFonts w:ascii="Calibri" w:hAnsi="Calibri" w:cs="Calibri"/>
                <w:color w:val="000000"/>
                <w:sz w:val="22"/>
                <w:szCs w:val="22"/>
              </w:rPr>
              <w:t>0.003</w:t>
            </w:r>
          </w:p>
        </w:tc>
        <w:tc>
          <w:tcPr>
            <w:tcW w:w="792" w:type="dxa"/>
            <w:tcBorders>
              <w:top w:val="nil"/>
              <w:left w:val="nil"/>
              <w:bottom w:val="nil"/>
              <w:right w:val="nil"/>
            </w:tcBorders>
            <w:shd w:val="clear" w:color="auto" w:fill="auto"/>
            <w:noWrap/>
            <w:vAlign w:val="bottom"/>
            <w:hideMark/>
          </w:tcPr>
          <w:p w14:paraId="6F2FC529" w14:textId="77777777" w:rsidR="00AC5C22" w:rsidRDefault="00AC5C22">
            <w:pPr>
              <w:jc w:val="center"/>
              <w:rPr>
                <w:rFonts w:ascii="Calibri" w:hAnsi="Calibri" w:cs="Calibri"/>
                <w:color w:val="000000"/>
                <w:sz w:val="22"/>
                <w:szCs w:val="22"/>
              </w:rPr>
            </w:pPr>
            <w:r>
              <w:rPr>
                <w:rFonts w:ascii="Calibri" w:hAnsi="Calibri" w:cs="Calibri"/>
                <w:color w:val="000000"/>
                <w:sz w:val="22"/>
                <w:szCs w:val="22"/>
              </w:rPr>
              <w:t>0.058</w:t>
            </w:r>
          </w:p>
        </w:tc>
        <w:tc>
          <w:tcPr>
            <w:tcW w:w="672" w:type="dxa"/>
            <w:tcBorders>
              <w:top w:val="nil"/>
              <w:left w:val="nil"/>
              <w:bottom w:val="nil"/>
              <w:right w:val="nil"/>
            </w:tcBorders>
            <w:shd w:val="clear" w:color="auto" w:fill="auto"/>
            <w:noWrap/>
            <w:vAlign w:val="bottom"/>
            <w:hideMark/>
          </w:tcPr>
          <w:p w14:paraId="16ABB041" w14:textId="77777777" w:rsidR="00AC5C22" w:rsidRDefault="00AC5C22">
            <w:pPr>
              <w:jc w:val="center"/>
              <w:rPr>
                <w:rFonts w:ascii="Calibri" w:hAnsi="Calibri" w:cs="Calibri"/>
                <w:color w:val="000000"/>
                <w:sz w:val="22"/>
                <w:szCs w:val="22"/>
              </w:rPr>
            </w:pPr>
            <w:r>
              <w:rPr>
                <w:rFonts w:ascii="Calibri" w:hAnsi="Calibri" w:cs="Calibri"/>
                <w:color w:val="000000"/>
                <w:sz w:val="22"/>
                <w:szCs w:val="22"/>
              </w:rPr>
              <w:t>0.96</w:t>
            </w:r>
          </w:p>
        </w:tc>
        <w:tc>
          <w:tcPr>
            <w:tcW w:w="293" w:type="dxa"/>
            <w:tcBorders>
              <w:top w:val="nil"/>
              <w:left w:val="nil"/>
              <w:bottom w:val="nil"/>
              <w:right w:val="nil"/>
            </w:tcBorders>
            <w:shd w:val="clear" w:color="auto" w:fill="auto"/>
            <w:noWrap/>
            <w:vAlign w:val="bottom"/>
            <w:hideMark/>
          </w:tcPr>
          <w:p w14:paraId="539578EA" w14:textId="77777777" w:rsidR="00AC5C22" w:rsidRDefault="00AC5C22">
            <w:pPr>
              <w:jc w:val="center"/>
              <w:rPr>
                <w:rFonts w:ascii="Calibri" w:hAnsi="Calibri" w:cs="Calibri"/>
                <w:color w:val="000000"/>
                <w:sz w:val="22"/>
                <w:szCs w:val="22"/>
              </w:rPr>
            </w:pPr>
          </w:p>
        </w:tc>
        <w:tc>
          <w:tcPr>
            <w:tcW w:w="1185" w:type="dxa"/>
            <w:tcBorders>
              <w:top w:val="nil"/>
              <w:left w:val="nil"/>
              <w:bottom w:val="nil"/>
              <w:right w:val="nil"/>
            </w:tcBorders>
            <w:shd w:val="clear" w:color="auto" w:fill="auto"/>
            <w:noWrap/>
            <w:vAlign w:val="bottom"/>
            <w:hideMark/>
          </w:tcPr>
          <w:p w14:paraId="284C97E7" w14:textId="77777777" w:rsidR="00AC5C22" w:rsidRDefault="00AC5C22">
            <w:pPr>
              <w:jc w:val="center"/>
              <w:rPr>
                <w:rFonts w:ascii="Calibri" w:hAnsi="Calibri" w:cs="Calibri"/>
                <w:color w:val="000000"/>
                <w:sz w:val="22"/>
                <w:szCs w:val="22"/>
              </w:rPr>
            </w:pPr>
            <w:r>
              <w:rPr>
                <w:rFonts w:ascii="Calibri" w:hAnsi="Calibri" w:cs="Calibri"/>
                <w:color w:val="000000"/>
                <w:sz w:val="22"/>
                <w:szCs w:val="22"/>
              </w:rPr>
              <w:t>-0.02</w:t>
            </w:r>
          </w:p>
        </w:tc>
        <w:tc>
          <w:tcPr>
            <w:tcW w:w="792" w:type="dxa"/>
            <w:tcBorders>
              <w:top w:val="nil"/>
              <w:left w:val="nil"/>
              <w:bottom w:val="nil"/>
              <w:right w:val="nil"/>
            </w:tcBorders>
            <w:shd w:val="clear" w:color="auto" w:fill="auto"/>
            <w:noWrap/>
            <w:vAlign w:val="bottom"/>
            <w:hideMark/>
          </w:tcPr>
          <w:p w14:paraId="1D6C4C2A" w14:textId="77777777" w:rsidR="00AC5C22" w:rsidRDefault="00AC5C22">
            <w:pPr>
              <w:jc w:val="center"/>
              <w:rPr>
                <w:rFonts w:ascii="Calibri" w:hAnsi="Calibri" w:cs="Calibri"/>
                <w:color w:val="000000"/>
                <w:sz w:val="22"/>
                <w:szCs w:val="22"/>
              </w:rPr>
            </w:pPr>
            <w:r>
              <w:rPr>
                <w:rFonts w:ascii="Calibri" w:hAnsi="Calibri" w:cs="Calibri"/>
                <w:color w:val="000000"/>
                <w:sz w:val="22"/>
                <w:szCs w:val="22"/>
              </w:rPr>
              <w:t>0.024</w:t>
            </w:r>
          </w:p>
        </w:tc>
        <w:tc>
          <w:tcPr>
            <w:tcW w:w="672" w:type="dxa"/>
            <w:tcBorders>
              <w:top w:val="nil"/>
              <w:left w:val="nil"/>
              <w:bottom w:val="nil"/>
              <w:right w:val="nil"/>
            </w:tcBorders>
            <w:shd w:val="clear" w:color="auto" w:fill="auto"/>
            <w:noWrap/>
            <w:vAlign w:val="bottom"/>
            <w:hideMark/>
          </w:tcPr>
          <w:p w14:paraId="5EB2B987" w14:textId="77777777" w:rsidR="00AC5C22" w:rsidRDefault="00AC5C22">
            <w:pPr>
              <w:jc w:val="center"/>
              <w:rPr>
                <w:rFonts w:ascii="Calibri" w:hAnsi="Calibri" w:cs="Calibri"/>
                <w:color w:val="000000"/>
                <w:sz w:val="22"/>
                <w:szCs w:val="22"/>
              </w:rPr>
            </w:pPr>
            <w:r>
              <w:rPr>
                <w:rFonts w:ascii="Calibri" w:hAnsi="Calibri" w:cs="Calibri"/>
                <w:color w:val="000000"/>
                <w:sz w:val="22"/>
                <w:szCs w:val="22"/>
              </w:rPr>
              <w:t>0.46</w:t>
            </w:r>
          </w:p>
        </w:tc>
      </w:tr>
      <w:tr w:rsidR="00AC5C22" w14:paraId="4434EF37" w14:textId="77777777" w:rsidTr="00533C70">
        <w:trPr>
          <w:trHeight w:val="119"/>
        </w:trPr>
        <w:tc>
          <w:tcPr>
            <w:tcW w:w="1171" w:type="dxa"/>
            <w:tcBorders>
              <w:top w:val="nil"/>
              <w:left w:val="nil"/>
              <w:bottom w:val="single" w:sz="8" w:space="0" w:color="auto"/>
              <w:right w:val="nil"/>
            </w:tcBorders>
            <w:shd w:val="clear" w:color="auto" w:fill="auto"/>
            <w:noWrap/>
            <w:vAlign w:val="bottom"/>
            <w:hideMark/>
          </w:tcPr>
          <w:p w14:paraId="359CD78C" w14:textId="77777777" w:rsidR="00AC5C22" w:rsidRDefault="00AC5C22">
            <w:pPr>
              <w:jc w:val="center"/>
              <w:rPr>
                <w:rFonts w:ascii="Calibri" w:hAnsi="Calibri" w:cs="Calibri"/>
                <w:color w:val="000000"/>
                <w:sz w:val="22"/>
                <w:szCs w:val="22"/>
              </w:rPr>
            </w:pPr>
            <w:r>
              <w:rPr>
                <w:rFonts w:ascii="Calibri" w:hAnsi="Calibri" w:cs="Calibri"/>
                <w:color w:val="000000"/>
                <w:sz w:val="22"/>
                <w:szCs w:val="22"/>
              </w:rPr>
              <w:t> </w:t>
            </w:r>
          </w:p>
        </w:tc>
        <w:tc>
          <w:tcPr>
            <w:tcW w:w="1171" w:type="dxa"/>
            <w:tcBorders>
              <w:top w:val="nil"/>
              <w:left w:val="nil"/>
              <w:bottom w:val="single" w:sz="8" w:space="0" w:color="auto"/>
              <w:right w:val="nil"/>
            </w:tcBorders>
            <w:shd w:val="clear" w:color="auto" w:fill="auto"/>
            <w:noWrap/>
            <w:vAlign w:val="bottom"/>
            <w:hideMark/>
          </w:tcPr>
          <w:p w14:paraId="5D05E49C" w14:textId="77777777" w:rsidR="00AC5C22" w:rsidRDefault="00AC5C22">
            <w:pPr>
              <w:jc w:val="center"/>
              <w:rPr>
                <w:rFonts w:ascii="Calibri" w:hAnsi="Calibri" w:cs="Calibri"/>
                <w:color w:val="000000"/>
                <w:sz w:val="22"/>
                <w:szCs w:val="22"/>
              </w:rPr>
            </w:pPr>
            <w:r>
              <w:rPr>
                <w:rFonts w:ascii="Calibri" w:hAnsi="Calibri" w:cs="Calibri"/>
                <w:color w:val="000000"/>
                <w:sz w:val="22"/>
                <w:szCs w:val="22"/>
              </w:rPr>
              <w:t> </w:t>
            </w:r>
          </w:p>
        </w:tc>
        <w:tc>
          <w:tcPr>
            <w:tcW w:w="905" w:type="dxa"/>
            <w:tcBorders>
              <w:top w:val="nil"/>
              <w:left w:val="nil"/>
              <w:bottom w:val="single" w:sz="8" w:space="0" w:color="auto"/>
              <w:right w:val="nil"/>
            </w:tcBorders>
            <w:shd w:val="clear" w:color="auto" w:fill="auto"/>
            <w:noWrap/>
            <w:vAlign w:val="bottom"/>
            <w:hideMark/>
          </w:tcPr>
          <w:p w14:paraId="46200AD7" w14:textId="77777777" w:rsidR="00AC5C22" w:rsidRDefault="00AC5C22">
            <w:pPr>
              <w:jc w:val="center"/>
              <w:rPr>
                <w:rFonts w:ascii="Calibri" w:hAnsi="Calibri" w:cs="Calibri"/>
                <w:color w:val="000000"/>
                <w:sz w:val="22"/>
                <w:szCs w:val="22"/>
              </w:rPr>
            </w:pPr>
            <w:r>
              <w:rPr>
                <w:rFonts w:ascii="Calibri" w:hAnsi="Calibri" w:cs="Calibri"/>
                <w:color w:val="000000"/>
                <w:sz w:val="22"/>
                <w:szCs w:val="22"/>
              </w:rPr>
              <w:t> </w:t>
            </w:r>
          </w:p>
        </w:tc>
        <w:tc>
          <w:tcPr>
            <w:tcW w:w="293" w:type="dxa"/>
            <w:tcBorders>
              <w:top w:val="nil"/>
              <w:left w:val="nil"/>
              <w:bottom w:val="single" w:sz="8" w:space="0" w:color="auto"/>
              <w:right w:val="nil"/>
            </w:tcBorders>
            <w:shd w:val="clear" w:color="auto" w:fill="auto"/>
            <w:noWrap/>
            <w:vAlign w:val="bottom"/>
            <w:hideMark/>
          </w:tcPr>
          <w:p w14:paraId="564CAF99" w14:textId="77777777" w:rsidR="00AC5C22" w:rsidRDefault="00AC5C22">
            <w:pPr>
              <w:jc w:val="center"/>
              <w:rPr>
                <w:rFonts w:ascii="Calibri" w:hAnsi="Calibri" w:cs="Calibri"/>
                <w:color w:val="000000"/>
                <w:sz w:val="22"/>
                <w:szCs w:val="22"/>
              </w:rPr>
            </w:pPr>
            <w:r>
              <w:rPr>
                <w:rFonts w:ascii="Calibri" w:hAnsi="Calibri" w:cs="Calibri"/>
                <w:color w:val="000000"/>
                <w:sz w:val="22"/>
                <w:szCs w:val="22"/>
              </w:rPr>
              <w:t> </w:t>
            </w:r>
          </w:p>
        </w:tc>
        <w:tc>
          <w:tcPr>
            <w:tcW w:w="1185" w:type="dxa"/>
            <w:tcBorders>
              <w:top w:val="nil"/>
              <w:left w:val="nil"/>
              <w:bottom w:val="single" w:sz="8" w:space="0" w:color="auto"/>
              <w:right w:val="nil"/>
            </w:tcBorders>
            <w:shd w:val="clear" w:color="auto" w:fill="auto"/>
            <w:noWrap/>
            <w:vAlign w:val="bottom"/>
            <w:hideMark/>
          </w:tcPr>
          <w:p w14:paraId="56F96416" w14:textId="77777777" w:rsidR="00AC5C22" w:rsidRDefault="00AC5C22">
            <w:pPr>
              <w:jc w:val="center"/>
              <w:rPr>
                <w:rFonts w:ascii="Calibri" w:hAnsi="Calibri" w:cs="Calibri"/>
                <w:color w:val="000000"/>
                <w:sz w:val="22"/>
                <w:szCs w:val="22"/>
              </w:rPr>
            </w:pPr>
            <w:r>
              <w:rPr>
                <w:rFonts w:ascii="Calibri" w:hAnsi="Calibri" w:cs="Calibri"/>
                <w:color w:val="000000"/>
                <w:sz w:val="22"/>
                <w:szCs w:val="22"/>
              </w:rPr>
              <w:t> </w:t>
            </w:r>
          </w:p>
        </w:tc>
        <w:tc>
          <w:tcPr>
            <w:tcW w:w="792" w:type="dxa"/>
            <w:tcBorders>
              <w:top w:val="nil"/>
              <w:left w:val="nil"/>
              <w:bottom w:val="single" w:sz="8" w:space="0" w:color="auto"/>
              <w:right w:val="nil"/>
            </w:tcBorders>
            <w:shd w:val="clear" w:color="auto" w:fill="auto"/>
            <w:noWrap/>
            <w:vAlign w:val="bottom"/>
            <w:hideMark/>
          </w:tcPr>
          <w:p w14:paraId="38818239" w14:textId="77777777" w:rsidR="00AC5C22" w:rsidRDefault="00AC5C22">
            <w:pPr>
              <w:jc w:val="center"/>
              <w:rPr>
                <w:rFonts w:ascii="Calibri" w:hAnsi="Calibri" w:cs="Calibri"/>
                <w:color w:val="000000"/>
                <w:sz w:val="22"/>
                <w:szCs w:val="22"/>
              </w:rPr>
            </w:pPr>
            <w:r>
              <w:rPr>
                <w:rFonts w:ascii="Calibri" w:hAnsi="Calibri" w:cs="Calibri"/>
                <w:color w:val="000000"/>
                <w:sz w:val="22"/>
                <w:szCs w:val="22"/>
              </w:rPr>
              <w:t> </w:t>
            </w:r>
          </w:p>
        </w:tc>
        <w:tc>
          <w:tcPr>
            <w:tcW w:w="672" w:type="dxa"/>
            <w:tcBorders>
              <w:top w:val="nil"/>
              <w:left w:val="nil"/>
              <w:bottom w:val="single" w:sz="8" w:space="0" w:color="auto"/>
              <w:right w:val="nil"/>
            </w:tcBorders>
            <w:shd w:val="clear" w:color="auto" w:fill="auto"/>
            <w:noWrap/>
            <w:vAlign w:val="bottom"/>
            <w:hideMark/>
          </w:tcPr>
          <w:p w14:paraId="5B6DA391" w14:textId="77777777" w:rsidR="00AC5C22" w:rsidRDefault="00AC5C22">
            <w:pPr>
              <w:jc w:val="center"/>
              <w:rPr>
                <w:rFonts w:ascii="Calibri" w:hAnsi="Calibri" w:cs="Calibri"/>
                <w:color w:val="000000"/>
                <w:sz w:val="22"/>
                <w:szCs w:val="22"/>
              </w:rPr>
            </w:pPr>
            <w:r>
              <w:rPr>
                <w:rFonts w:ascii="Calibri" w:hAnsi="Calibri" w:cs="Calibri"/>
                <w:color w:val="000000"/>
                <w:sz w:val="22"/>
                <w:szCs w:val="22"/>
              </w:rPr>
              <w:t> </w:t>
            </w:r>
          </w:p>
        </w:tc>
        <w:tc>
          <w:tcPr>
            <w:tcW w:w="293" w:type="dxa"/>
            <w:tcBorders>
              <w:top w:val="nil"/>
              <w:left w:val="nil"/>
              <w:bottom w:val="single" w:sz="8" w:space="0" w:color="auto"/>
              <w:right w:val="nil"/>
            </w:tcBorders>
            <w:shd w:val="clear" w:color="auto" w:fill="auto"/>
            <w:noWrap/>
            <w:vAlign w:val="bottom"/>
            <w:hideMark/>
          </w:tcPr>
          <w:p w14:paraId="1828C9DE" w14:textId="77777777" w:rsidR="00AC5C22" w:rsidRDefault="00AC5C22">
            <w:pPr>
              <w:jc w:val="center"/>
              <w:rPr>
                <w:rFonts w:ascii="Calibri" w:hAnsi="Calibri" w:cs="Calibri"/>
                <w:color w:val="000000"/>
                <w:sz w:val="22"/>
                <w:szCs w:val="22"/>
              </w:rPr>
            </w:pPr>
            <w:r>
              <w:rPr>
                <w:rFonts w:ascii="Calibri" w:hAnsi="Calibri" w:cs="Calibri"/>
                <w:color w:val="000000"/>
                <w:sz w:val="22"/>
                <w:szCs w:val="22"/>
              </w:rPr>
              <w:t> </w:t>
            </w:r>
          </w:p>
        </w:tc>
        <w:tc>
          <w:tcPr>
            <w:tcW w:w="1185" w:type="dxa"/>
            <w:tcBorders>
              <w:top w:val="nil"/>
              <w:left w:val="nil"/>
              <w:bottom w:val="single" w:sz="8" w:space="0" w:color="auto"/>
              <w:right w:val="nil"/>
            </w:tcBorders>
            <w:shd w:val="clear" w:color="auto" w:fill="auto"/>
            <w:noWrap/>
            <w:vAlign w:val="bottom"/>
            <w:hideMark/>
          </w:tcPr>
          <w:p w14:paraId="6FD51B78" w14:textId="77777777" w:rsidR="00AC5C22" w:rsidRDefault="00AC5C22">
            <w:pPr>
              <w:jc w:val="center"/>
              <w:rPr>
                <w:rFonts w:ascii="Calibri" w:hAnsi="Calibri" w:cs="Calibri"/>
                <w:color w:val="000000"/>
                <w:sz w:val="22"/>
                <w:szCs w:val="22"/>
              </w:rPr>
            </w:pPr>
            <w:r>
              <w:rPr>
                <w:rFonts w:ascii="Calibri" w:hAnsi="Calibri" w:cs="Calibri"/>
                <w:color w:val="000000"/>
                <w:sz w:val="22"/>
                <w:szCs w:val="22"/>
              </w:rPr>
              <w:t> </w:t>
            </w:r>
          </w:p>
        </w:tc>
        <w:tc>
          <w:tcPr>
            <w:tcW w:w="792" w:type="dxa"/>
            <w:tcBorders>
              <w:top w:val="nil"/>
              <w:left w:val="nil"/>
              <w:bottom w:val="single" w:sz="8" w:space="0" w:color="auto"/>
              <w:right w:val="nil"/>
            </w:tcBorders>
            <w:shd w:val="clear" w:color="auto" w:fill="auto"/>
            <w:noWrap/>
            <w:vAlign w:val="bottom"/>
            <w:hideMark/>
          </w:tcPr>
          <w:p w14:paraId="5D8BB1EB" w14:textId="77777777" w:rsidR="00AC5C22" w:rsidRDefault="00AC5C22">
            <w:pPr>
              <w:jc w:val="center"/>
              <w:rPr>
                <w:rFonts w:ascii="Calibri" w:hAnsi="Calibri" w:cs="Calibri"/>
                <w:color w:val="000000"/>
                <w:sz w:val="22"/>
                <w:szCs w:val="22"/>
              </w:rPr>
            </w:pPr>
            <w:r>
              <w:rPr>
                <w:rFonts w:ascii="Calibri" w:hAnsi="Calibri" w:cs="Calibri"/>
                <w:color w:val="000000"/>
                <w:sz w:val="22"/>
                <w:szCs w:val="22"/>
              </w:rPr>
              <w:t> </w:t>
            </w:r>
          </w:p>
        </w:tc>
        <w:tc>
          <w:tcPr>
            <w:tcW w:w="672" w:type="dxa"/>
            <w:tcBorders>
              <w:top w:val="nil"/>
              <w:left w:val="nil"/>
              <w:bottom w:val="single" w:sz="8" w:space="0" w:color="auto"/>
              <w:right w:val="nil"/>
            </w:tcBorders>
            <w:shd w:val="clear" w:color="auto" w:fill="auto"/>
            <w:noWrap/>
            <w:vAlign w:val="bottom"/>
            <w:hideMark/>
          </w:tcPr>
          <w:p w14:paraId="533570CB" w14:textId="77777777" w:rsidR="00AC5C22" w:rsidRDefault="00AC5C22">
            <w:pPr>
              <w:jc w:val="center"/>
              <w:rPr>
                <w:rFonts w:ascii="Calibri" w:hAnsi="Calibri" w:cs="Calibri"/>
                <w:color w:val="000000"/>
                <w:sz w:val="22"/>
                <w:szCs w:val="22"/>
              </w:rPr>
            </w:pPr>
            <w:r>
              <w:rPr>
                <w:rFonts w:ascii="Calibri" w:hAnsi="Calibri" w:cs="Calibri"/>
                <w:color w:val="000000"/>
                <w:sz w:val="22"/>
                <w:szCs w:val="22"/>
              </w:rPr>
              <w:t> </w:t>
            </w:r>
          </w:p>
        </w:tc>
      </w:tr>
    </w:tbl>
    <w:p w14:paraId="72F02899" w14:textId="77777777" w:rsidR="00533C70" w:rsidRDefault="00533C70" w:rsidP="00D44CF0">
      <w:pPr>
        <w:spacing w:line="480" w:lineRule="auto"/>
        <w:rPr>
          <w:sz w:val="20"/>
          <w:szCs w:val="20"/>
        </w:rPr>
      </w:pPr>
    </w:p>
    <w:p w14:paraId="7D151983" w14:textId="38AFDA31" w:rsidR="00D44CF0" w:rsidRPr="00533C70" w:rsidRDefault="00C245AA" w:rsidP="00533C70">
      <w:pPr>
        <w:spacing w:line="360" w:lineRule="auto"/>
        <w:rPr>
          <w:sz w:val="20"/>
          <w:szCs w:val="20"/>
        </w:rPr>
      </w:pPr>
      <w:r w:rsidRPr="00533C70">
        <w:rPr>
          <w:sz w:val="20"/>
          <w:szCs w:val="20"/>
        </w:rPr>
        <w:t>RAPS analyses performed with default settings in MR-Base R package</w:t>
      </w:r>
    </w:p>
    <w:p w14:paraId="1B9DEA38" w14:textId="1BAD4B74" w:rsidR="00533C70" w:rsidRPr="00533C70" w:rsidRDefault="00533C70" w:rsidP="00533C70">
      <w:pPr>
        <w:rPr>
          <w:sz w:val="20"/>
          <w:szCs w:val="20"/>
        </w:rPr>
      </w:pPr>
      <w:r w:rsidRPr="00533C70">
        <w:rPr>
          <w:b/>
          <w:bCs/>
          <w:i/>
          <w:color w:val="000000"/>
          <w:sz w:val="20"/>
          <w:szCs w:val="20"/>
          <w:vertAlign w:val="superscript"/>
        </w:rPr>
        <w:t xml:space="preserve">a </w:t>
      </w:r>
      <w:r w:rsidRPr="00533C70">
        <w:rPr>
          <w:bCs/>
          <w:color w:val="000000"/>
          <w:sz w:val="20"/>
          <w:szCs w:val="20"/>
        </w:rPr>
        <w:t xml:space="preserve">Potential </w:t>
      </w:r>
      <w:r w:rsidRPr="00533C70">
        <w:rPr>
          <w:color w:val="333333"/>
          <w:sz w:val="20"/>
          <w:szCs w:val="20"/>
          <w:shd w:val="clear" w:color="auto" w:fill="FFFFFF"/>
        </w:rPr>
        <w:t>directional horizontal pleiotropy</w:t>
      </w:r>
      <w:r>
        <w:rPr>
          <w:color w:val="333333"/>
          <w:sz w:val="20"/>
          <w:szCs w:val="20"/>
          <w:shd w:val="clear" w:color="auto" w:fill="FFFFFF"/>
        </w:rPr>
        <w:t xml:space="preserve"> indicated by MR-Egger intercept: estimate</w:t>
      </w:r>
      <w:r w:rsidR="00DB27CB">
        <w:rPr>
          <w:color w:val="333333"/>
          <w:sz w:val="20"/>
          <w:szCs w:val="20"/>
          <w:shd w:val="clear" w:color="auto" w:fill="FFFFFF"/>
        </w:rPr>
        <w:t>=</w:t>
      </w:r>
      <w:r>
        <w:rPr>
          <w:color w:val="333333"/>
          <w:sz w:val="20"/>
          <w:szCs w:val="20"/>
          <w:shd w:val="clear" w:color="auto" w:fill="FFFFFF"/>
        </w:rPr>
        <w:t xml:space="preserve"> </w:t>
      </w:r>
      <w:r w:rsidRPr="00533C70">
        <w:rPr>
          <w:color w:val="333333"/>
          <w:sz w:val="20"/>
          <w:szCs w:val="20"/>
          <w:shd w:val="clear" w:color="auto" w:fill="FFFFFF"/>
        </w:rPr>
        <w:t>-0.00</w:t>
      </w:r>
      <w:r>
        <w:rPr>
          <w:color w:val="333333"/>
          <w:sz w:val="20"/>
          <w:szCs w:val="20"/>
          <w:shd w:val="clear" w:color="auto" w:fill="FFFFFF"/>
        </w:rPr>
        <w:t>5, se</w:t>
      </w:r>
      <w:r w:rsidR="00DB27CB">
        <w:rPr>
          <w:color w:val="333333"/>
          <w:sz w:val="20"/>
          <w:szCs w:val="20"/>
          <w:shd w:val="clear" w:color="auto" w:fill="FFFFFF"/>
        </w:rPr>
        <w:t xml:space="preserve">=0.002, </w:t>
      </w:r>
      <w:r w:rsidR="00DB27CB" w:rsidRPr="00DB27CB">
        <w:rPr>
          <w:i/>
          <w:color w:val="333333"/>
          <w:sz w:val="20"/>
          <w:szCs w:val="20"/>
          <w:shd w:val="clear" w:color="auto" w:fill="FFFFFF"/>
        </w:rPr>
        <w:t>p</w:t>
      </w:r>
      <w:r w:rsidR="00DB27CB">
        <w:rPr>
          <w:color w:val="333333"/>
          <w:sz w:val="20"/>
          <w:szCs w:val="20"/>
          <w:shd w:val="clear" w:color="auto" w:fill="FFFFFF"/>
        </w:rPr>
        <w:t>=1.8e-3</w:t>
      </w:r>
    </w:p>
    <w:p w14:paraId="4D5265BD" w14:textId="377B483A" w:rsidR="00533C70" w:rsidRPr="00533C70" w:rsidRDefault="00533C70" w:rsidP="00533C70">
      <w:pPr>
        <w:spacing w:line="360" w:lineRule="auto"/>
        <w:rPr>
          <w:sz w:val="20"/>
          <w:szCs w:val="20"/>
        </w:rPr>
      </w:pPr>
    </w:p>
    <w:p w14:paraId="28620AAF" w14:textId="77777777" w:rsidR="00D93C1B" w:rsidRPr="003A73FE" w:rsidRDefault="00D93C1B" w:rsidP="003A73FE">
      <w:pPr>
        <w:spacing w:line="480" w:lineRule="auto"/>
        <w:outlineLvl w:val="0"/>
        <w:rPr>
          <w:b/>
          <w:i/>
        </w:rPr>
      </w:pPr>
    </w:p>
    <w:p w14:paraId="4EDEB350" w14:textId="77777777" w:rsidR="00D93C1B" w:rsidRPr="003A73FE" w:rsidRDefault="00D93C1B" w:rsidP="003A73FE">
      <w:pPr>
        <w:spacing w:line="480" w:lineRule="auto"/>
        <w:outlineLvl w:val="0"/>
        <w:rPr>
          <w:b/>
          <w:i/>
        </w:rPr>
      </w:pPr>
    </w:p>
    <w:p w14:paraId="0714976E" w14:textId="77777777" w:rsidR="00D93C1B" w:rsidRPr="003A73FE" w:rsidRDefault="00D93C1B" w:rsidP="003A73FE">
      <w:pPr>
        <w:spacing w:line="480" w:lineRule="auto"/>
        <w:outlineLvl w:val="0"/>
        <w:rPr>
          <w:b/>
          <w:i/>
        </w:rPr>
      </w:pPr>
    </w:p>
    <w:p w14:paraId="3576DAF0" w14:textId="77777777" w:rsidR="00D93C1B" w:rsidRPr="003A73FE" w:rsidRDefault="00D93C1B" w:rsidP="003A73FE">
      <w:pPr>
        <w:spacing w:line="480" w:lineRule="auto"/>
        <w:outlineLvl w:val="0"/>
        <w:rPr>
          <w:b/>
          <w:i/>
        </w:rPr>
      </w:pPr>
    </w:p>
    <w:p w14:paraId="18F66205" w14:textId="77777777" w:rsidR="00D93C1B" w:rsidRPr="003A73FE" w:rsidRDefault="00D93C1B" w:rsidP="003A73FE">
      <w:pPr>
        <w:spacing w:line="480" w:lineRule="auto"/>
        <w:outlineLvl w:val="0"/>
        <w:rPr>
          <w:b/>
          <w:i/>
        </w:rPr>
      </w:pPr>
    </w:p>
    <w:p w14:paraId="0F6EBEAB" w14:textId="77777777" w:rsidR="00D93C1B" w:rsidRDefault="00D93C1B" w:rsidP="003F6561">
      <w:pPr>
        <w:spacing w:line="480" w:lineRule="auto"/>
        <w:outlineLvl w:val="0"/>
        <w:rPr>
          <w:b/>
          <w:i/>
        </w:rPr>
      </w:pPr>
    </w:p>
    <w:p w14:paraId="490006BF" w14:textId="77777777" w:rsidR="00D93C1B" w:rsidRDefault="00D93C1B" w:rsidP="003F6561">
      <w:pPr>
        <w:spacing w:line="480" w:lineRule="auto"/>
        <w:outlineLvl w:val="0"/>
        <w:rPr>
          <w:b/>
          <w:i/>
        </w:rPr>
      </w:pPr>
    </w:p>
    <w:p w14:paraId="7291B697" w14:textId="77777777" w:rsidR="00D93C1B" w:rsidRDefault="00D93C1B" w:rsidP="003F6561">
      <w:pPr>
        <w:spacing w:line="480" w:lineRule="auto"/>
        <w:outlineLvl w:val="0"/>
        <w:rPr>
          <w:b/>
          <w:i/>
        </w:rPr>
      </w:pPr>
    </w:p>
    <w:p w14:paraId="114AE408" w14:textId="77777777" w:rsidR="00D93C1B" w:rsidRDefault="00D93C1B" w:rsidP="003F6561">
      <w:pPr>
        <w:spacing w:line="480" w:lineRule="auto"/>
        <w:outlineLvl w:val="0"/>
        <w:rPr>
          <w:b/>
          <w:i/>
        </w:rPr>
      </w:pPr>
    </w:p>
    <w:p w14:paraId="7A9525F3" w14:textId="77777777" w:rsidR="00D93C1B" w:rsidRDefault="00D93C1B" w:rsidP="003F6561">
      <w:pPr>
        <w:spacing w:line="480" w:lineRule="auto"/>
        <w:outlineLvl w:val="0"/>
        <w:rPr>
          <w:b/>
          <w:i/>
        </w:rPr>
      </w:pPr>
    </w:p>
    <w:p w14:paraId="47C9BFF0" w14:textId="77777777" w:rsidR="00D93C1B" w:rsidRDefault="00D93C1B" w:rsidP="003F6561">
      <w:pPr>
        <w:spacing w:line="480" w:lineRule="auto"/>
        <w:outlineLvl w:val="0"/>
        <w:rPr>
          <w:b/>
          <w:i/>
        </w:rPr>
      </w:pPr>
    </w:p>
    <w:p w14:paraId="0C171843" w14:textId="77777777" w:rsidR="00D93C1B" w:rsidRDefault="00D93C1B" w:rsidP="003F6561">
      <w:pPr>
        <w:spacing w:line="480" w:lineRule="auto"/>
        <w:outlineLvl w:val="0"/>
        <w:rPr>
          <w:b/>
          <w:i/>
        </w:rPr>
      </w:pPr>
    </w:p>
    <w:p w14:paraId="43B5D75A" w14:textId="77777777" w:rsidR="00D93C1B" w:rsidRDefault="00D93C1B" w:rsidP="003F6561">
      <w:pPr>
        <w:spacing w:line="480" w:lineRule="auto"/>
        <w:outlineLvl w:val="0"/>
        <w:rPr>
          <w:b/>
          <w:i/>
        </w:rPr>
      </w:pPr>
    </w:p>
    <w:p w14:paraId="2C794327" w14:textId="77777777" w:rsidR="00D93C1B" w:rsidRDefault="00D93C1B" w:rsidP="003F6561">
      <w:pPr>
        <w:spacing w:line="480" w:lineRule="auto"/>
        <w:outlineLvl w:val="0"/>
        <w:rPr>
          <w:b/>
          <w:i/>
        </w:rPr>
      </w:pPr>
    </w:p>
    <w:p w14:paraId="24FEEE44" w14:textId="77777777" w:rsidR="00D93C1B" w:rsidRDefault="00D93C1B" w:rsidP="003F6561">
      <w:pPr>
        <w:spacing w:line="480" w:lineRule="auto"/>
        <w:outlineLvl w:val="0"/>
        <w:rPr>
          <w:b/>
          <w:i/>
        </w:rPr>
      </w:pPr>
    </w:p>
    <w:p w14:paraId="7704D752" w14:textId="77777777" w:rsidR="0091174D" w:rsidRDefault="0091174D" w:rsidP="003F6561">
      <w:pPr>
        <w:spacing w:line="480" w:lineRule="auto"/>
        <w:outlineLvl w:val="0"/>
        <w:rPr>
          <w:b/>
          <w:i/>
        </w:rPr>
      </w:pPr>
    </w:p>
    <w:p w14:paraId="2C1F19FC" w14:textId="1AF2FDF1" w:rsidR="00031DB4" w:rsidRPr="00575BC0" w:rsidRDefault="00031DB4" w:rsidP="003F6561">
      <w:pPr>
        <w:spacing w:line="480" w:lineRule="auto"/>
        <w:outlineLvl w:val="0"/>
        <w:rPr>
          <w:b/>
          <w:i/>
          <w:color w:val="000000"/>
        </w:rPr>
      </w:pPr>
      <w:r w:rsidRPr="00575BC0">
        <w:rPr>
          <w:b/>
          <w:i/>
        </w:rPr>
        <w:lastRenderedPageBreak/>
        <w:t xml:space="preserve">s5. </w:t>
      </w:r>
      <w:r w:rsidRPr="00575BC0">
        <w:rPr>
          <w:b/>
          <w:i/>
          <w:color w:val="000000"/>
        </w:rPr>
        <w:t>Analyses based on quantitative genetics theory</w:t>
      </w:r>
    </w:p>
    <w:p w14:paraId="30EBEBF5" w14:textId="63996D4F" w:rsidR="003F6561" w:rsidRPr="00575BC0" w:rsidRDefault="00031DB4" w:rsidP="003F6561">
      <w:pPr>
        <w:pStyle w:val="Nessunaspaziatura1"/>
        <w:spacing w:line="480" w:lineRule="auto"/>
        <w:rPr>
          <w:rFonts w:ascii="Times New Roman" w:hAnsi="Times New Roman"/>
          <w:sz w:val="24"/>
          <w:szCs w:val="24"/>
          <w:lang w:val="en-US"/>
        </w:rPr>
      </w:pPr>
      <w:r w:rsidRPr="00575BC0">
        <w:rPr>
          <w:rFonts w:ascii="Times New Roman" w:hAnsi="Times New Roman"/>
          <w:sz w:val="24"/>
          <w:szCs w:val="24"/>
          <w:lang w:val="en-US"/>
        </w:rPr>
        <w:t>MR leverages on pleiotropic effects of SNPs on both the exposure (25-OH-D or n3-PUFA) and the outcome (MDD), in particular vertical pleiotropy emerging from the fact that the SNPs used as instruments are associated with the outcome only through the exposure. It could be hypothesize that, provided an existing causal exposure-outcome relationship, SNPs significantly associated with the exposure would be associated also with the outcome in an adequately powered GWAS.</w:t>
      </w:r>
      <w:r w:rsidR="00CA530C" w:rsidRPr="00575BC0">
        <w:rPr>
          <w:rFonts w:ascii="Times New Roman" w:hAnsi="Times New Roman"/>
          <w:sz w:val="24"/>
          <w:szCs w:val="24"/>
          <w:lang w:val="en-US"/>
        </w:rPr>
        <w:t xml:space="preserve"> Using quantitative genetics theory the expected power, assuming a causal relationship, to detect a significant association in the MDD GWAS</w:t>
      </w:r>
      <w:r w:rsidR="00CA530C" w:rsidRPr="00575BC0">
        <w:rPr>
          <w:rFonts w:ascii="Times New Roman" w:hAnsi="Times New Roman"/>
          <w:sz w:val="24"/>
          <w:szCs w:val="24"/>
          <w:lang w:val="en-US"/>
        </w:rPr>
        <w:fldChar w:fldCharType="begin" w:fldLock="1"/>
      </w:r>
      <w:r w:rsidR="009A73FF">
        <w:rPr>
          <w:rFonts w:ascii="Times New Roman" w:hAnsi="Times New Roman"/>
          <w:sz w:val="24"/>
          <w:szCs w:val="24"/>
          <w:lang w:val="en-US"/>
        </w:rPr>
        <w:instrText>ADDIN CSL_CITATION {"citationItems":[{"id":"ITEM-1","itemData":{"DOI":"https://doi.org/10.1101/167577","author":[{"dropping-particle":"","family":"Major Depressive Disorder Working Group of the Psychiatric Genomics Consortium","given":"","non-dropping-particle":"","parse-names":false,"suffix":""}],"container-title":"Nature genetics","id":"ITEM-1","issued":{"date-parts":[["2018"]]},"title":"Genome-wide association analyses identify 44 risk variants and refine the genetic architecture of major depressive disorder","type":"article-journal"},"uris":["http://www.mendeley.com/documents/?uuid=ad44a387-0636-4806-ba48-0d67b9e928bc"]}],"mendeley":{"formattedCitation":"&lt;sup&gt;9&lt;/sup&gt;","plainTextFormattedCitation":"9","previouslyFormattedCitation":"&lt;sup&gt;9&lt;/sup&gt;"},"properties":{"noteIndex":0},"schema":"https://github.com/citation-style-language/schema/raw/master/csl-citation.json"}</w:instrText>
      </w:r>
      <w:r w:rsidR="00CA530C" w:rsidRPr="00575BC0">
        <w:rPr>
          <w:rFonts w:ascii="Times New Roman" w:hAnsi="Times New Roman"/>
          <w:sz w:val="24"/>
          <w:szCs w:val="24"/>
          <w:lang w:val="en-US"/>
        </w:rPr>
        <w:fldChar w:fldCharType="separate"/>
      </w:r>
      <w:r w:rsidR="009A73FF" w:rsidRPr="009A73FF">
        <w:rPr>
          <w:rFonts w:ascii="Times New Roman" w:hAnsi="Times New Roman"/>
          <w:noProof/>
          <w:sz w:val="24"/>
          <w:szCs w:val="24"/>
          <w:vertAlign w:val="superscript"/>
          <w:lang w:val="en-US"/>
        </w:rPr>
        <w:t>9</w:t>
      </w:r>
      <w:r w:rsidR="00CA530C" w:rsidRPr="00575BC0">
        <w:rPr>
          <w:rFonts w:ascii="Times New Roman" w:hAnsi="Times New Roman"/>
          <w:sz w:val="24"/>
          <w:szCs w:val="24"/>
          <w:lang w:val="en-US"/>
        </w:rPr>
        <w:fldChar w:fldCharType="end"/>
      </w:r>
      <w:r w:rsidR="00CA530C" w:rsidRPr="00575BC0">
        <w:rPr>
          <w:rFonts w:ascii="Times New Roman" w:hAnsi="Times New Roman"/>
          <w:sz w:val="24"/>
          <w:szCs w:val="24"/>
          <w:lang w:val="en-US"/>
        </w:rPr>
        <w:t xml:space="preserve"> for SNPs genome-wide significantly related to 25-OH-D or n3-PUFA in the discovery GWAS</w:t>
      </w:r>
      <w:r w:rsidR="00CA530C" w:rsidRPr="00575BC0">
        <w:rPr>
          <w:rFonts w:ascii="Times New Roman" w:hAnsi="Times New Roman"/>
          <w:sz w:val="24"/>
          <w:szCs w:val="24"/>
          <w:lang w:val="en-US"/>
        </w:rPr>
        <w:fldChar w:fldCharType="begin" w:fldLock="1"/>
      </w:r>
      <w:r w:rsidR="009A73FF">
        <w:rPr>
          <w:rFonts w:ascii="Times New Roman" w:hAnsi="Times New Roman"/>
          <w:sz w:val="24"/>
          <w:szCs w:val="24"/>
          <w:lang w:val="en-US"/>
        </w:rPr>
        <w:instrText>ADDIN CSL_CITATION {"citationItems":[{"id":"ITEM-1","itemData":{"DOI":"10.1038/s41467-017-02662-2","ISBN":"4146701702662","ISSN":"2041-1723","PMID":"29343764","author":[{"dropping-particle":"","family":"Jiang","given":"Xia","non-dropping-particle":"","parse-names":false,"suffix":""},{"dropping-particle":"","family":"O’Reilly","given":"Paul F.","non-dropping-particle":"","parse-names":false,"suffix":""},{"dropping-particle":"","family":"Aschard","given":"Hugues","non-dropping-particle":"","parse-names":false,"suffix":""},{"dropping-particle":"","family":"Hsu","given":"Yi-Hsiang","non-dropping-particle":"","parse-names":false,"suffix":""},{"dropping-particle":"","family":"Richards","given":"J. Brent","non-dropping-particle":"","parse-names":false,"suffix":""},{"dropping-particle":"","family":"Dupuis","given":"Josée","non-dropping-particle":"","parse-names":false,"suffix":""},{"dropping-particle":"","family":"Ingelsson","given":"Erik","non-dropping-particle":"","parse-names":false,"suffix":""},{"dropping-particle":"","family":"Karasik","given":"David","non-dropping-particle":"","parse-names":false,"suffix":""},{"dropping-particle":"","family":"Pilz","given":"Stefan","non-dropping-particle":"","parse-names":false,"suffix":""},{"dropping-particle":"","family":"Berry","given":"Diane","non-dropping-particle":"","parse-names":false,"suffix":""},{"dropping-particle":"","family":"Kestenbaum","given":"Bryan","non-dropping-particle":"","parse-names":false,"suffix":""},{"dropping-particle":"","family":"Zheng","given":"Jusheng","non-dropping-particle":"","parse-names":false,"suffix":""},{"dropping-particle":"","family":"Luan","given":"Jianan","non-dropping-particle":"","parse-names":false,"suffix":""},{"dropping-particle":"","family":"Sofianopoulou","given":"Eleni","non-dropping-particle":"","parse-names":false,"suffix":""},{"dropping-particle":"","family":"Streeten","given":"Elizabeth A.","non-dropping-particle":"","parse-names":false,"suffix":""},{"dropping-particle":"","family":"Albanes","given":"Demetrius","non-dropping-particle":"","parse-names":false,"suffix":""},{"dropping-particle":"","family":"Lutsey","given":"Pamela L.","non-dropping-particle":"","parse-names":false,"suffix":""},{"dropping-particle":"","family":"Yao","given":"Lu","non-dropping-particle":"","parse-names":false,"suffix":""},{"dropping-particle":"","family":"Tang","given":"Weihong","non-dropping-particle":"","parse-names":false,"suffix":""},{"dropping-particle":"","family":"Econs","given":"Michael J.","non-dropping-particle":"","parse-names":false,"suffix":""},{"dropping-particle":"","family":"Wallaschofski","given":"Henri","non-dropping-particle":"","parse-names":false,"suffix":""},{"dropping-particle":"","family":"Völzke","given":"Henry","non-dropping-particle":"","parse-names":false,"suffix":""},{"dropping-particle":"","family":"Zhou","given":"Ang","non-dropping-particle":"","parse-names":false,"suffix":""},{"dropping-particle":"","family":"Power","given":"Chris","non-dropping-particle":"","parse-names":false,"suffix":""},{"dropping-particle":"","family":"McCarthy","given":"Mark I.","non-dropping-particle":"","parse-names":false,"suffix":""},{"dropping-particle":"","family":"Michos","given":"Erin D.","non-dropping-particle":"","parse-names":false,"suffix":""},{"dropping-particle":"","family":"Boerwinkle","given":"Eric","non-dropping-particle":"","parse-names":false,"suffix":""},{"dropping-particle":"","family":"Weinstein","given":"Stephanie J.","non-dropping-particle":"","parse-names":false,"suffix":""},{"dropping-particle":"","family":"Freedman","given":"Neal D.","non-dropping-particle":"","parse-names":false,"suffix":""},{"dropping-particle":"","family":"Huang","given":"Wen-Yi","non-dropping-particle":"","parse-names":false,"suffix":""},{"dropping-particle":"","family":"Schoor","given":"Natasja M.","non-dropping-particle":"Van","parse-names":false,"suffix":""},{"dropping-particle":"","family":"Velde","given":"Nathalie","non-dropping-particle":"van der","parse-names":false,"suffix":""},{"dropping-particle":"de","family":"Groot","given":"Lisette C. P. G. M.","non-dropping-particle":"","parse-names":false,"suffix":""},{"dropping-particle":"","family":"Enneman","given":"Anke","non-dropping-particle":"","parse-names":false,"suffix":""},{"dropping-particle":"","family":"Cupples","given":"L. Adrienne","non-dropping-particle":"","parse-names":false,"suffix":""},{"dropping-particle":"","family":"Booth","given":"Sarah L.","non-dropping-particle":"","parse-names":false,"suffix":""},{"dropping-particle":"","family":"Vasan","given":"Ramachandran S.","non-dropping-particle":"","parse-names":false,"suffix":""},{"dropping-particle":"","family":"Liu","given":"Ching-Ti","non-dropping-particle":"","parse-names":false,"suffix":""},{"dropping-particle":"","family":"Zhou","given":"Yanhua","non-dropping-particle":"","parse-names":false,"suffix":""},{"dropping-particle":"","family":"Ripatti","given":"Samuli","non-dropping-particle":"","parse-names":false,"suffix":""},{"dropping-particle":"","family":"Ohlsson","given":"Claes","non-dropping-particle":"","parse-names":false,"suffix":""},{"dropping-particle":"","family":"Vandenput","given":"Liesbeth","non-dropping-particle":"","parse-names":false,"suffix":""},{"dropping-particle":"","family":"Lorentzon","given":"Mattias","non-dropping-particle":"","parse-names":false,"suffix":""},{"dropping-particle":"","family":"Eriksson","given":"Johan G.","non-dropping-particle":"","parse-names":false,"suffix":""},{"dropping-particle":"","family":"Shea","given":"M. Kyla","non-dropping-particle":"","parse-names":false,"suffix":""},{"dropping-particle":"","family":"Houston","given":"Denise K.","non-dropping-particle":"","parse-names":false,"suffix":""},{"dropping-particle":"","family":"Kritchevsky","given":"Stephen B.","non-dropping-particle":"","parse-names":false,"suffix":""},{"dropping-particle":"","family":"Liu","given":"Yongmei","non-dropping-particle":"","parse-names":false,"suffix":""},{"dropping-particle":"","family":"Lohman","given":"Kurt K.","non-dropping-particle":"","parse-names":false,"suffix":""},{"dropping-particle":"","family":"Ferrucci","given":"Luigi","non-dropping-particle":"","parse-names":false,"suffix":""},{"dropping-particle":"","family":"Peacock","given":"Munro","non-dropping-particle":"","parse-names":false,"suffix":""},{"dropping-particle":"","family":"Gieger","given":"Christian","non-dropping-particle":"","parse-names":false,"suffix":""},{"dropping-particle":"","family":"Beekman","given":"Marian","non-dropping-particle":"","parse-names":false,"suffix":""},{"dropping-particle":"","family":"Slagboom","given":"Eline","non-dropping-particle":"","parse-names":false,"suffix":""},{"dropping-particle":"","family":"Deelen","given":"Joris","non-dropping-particle":"","parse-names":false,"suffix":""},{"dropping-particle":"van","family":"Heemst","given":"Diana","non-dropping-particle":"","parse-names":false,"suffix":""},{"dropping-particle":"","family":"Kleber","given":"Marcus E.","non-dropping-particle":"","parse-names":false,"suffix":""},{"dropping-particle":"","family":"März","given":"Winfried","non-dropping-particle":"","parse-names":false,"suffix":""},{"dropping-particle":"","family":"Boer","given":"Ian H.","non-dropping-particle":"de","parse-names":false,"suffix":""},{"dropping-particle":"","family":"Wood","given":"Alexis C.","non-dropping-particle":"","parse-names":false,"suffix":""},{"dropping-particle":"","family":"Rotter","given":"Jerome I.","non-dropping-particle":"","parse-names":false,"suffix":""},{"dropping-particle":"","family":"Rich","given":"Stephen S.","non-dropping-particle":"","parse-names":false,"suffix":""},{"dropping-particle":"","family":"Robinson-Cohen","given":"Cassianne","non-dropping-particle":"","parse-names":false,"suffix":""},{"dropping-particle":"","family":"Heijer","given":"Martin","non-dropping-particle":"den","parse-names":false,"suffix":""},{"dropping-particle":"","family":"Jarvelin","given":"Marjo-Riitta","non-dropping-particle":"","parse-names":false,"suffix":""},{"dropping-particle":"","family":"Cavadino","given":"Alana","non-dropping-particle":"","parse-names":false,"suffix":""},{"dropping-particle":"","family":"Joshi","given":"Peter K.","non-dropping-particle":"","parse-names":false,"suffix":""},{"dropping-particle":"","family":"Wilson","given":"James F.","non-dropping-particle":"","parse-names":false,"suffix":""},{"dropping-particle":"","family":"Hayward","given":"Caroline","non-dropping-particle":"","parse-names":false,"suffix":""},{"dropping-particle":"","family":"Lind","given":"Lars","non-dropping-particle":"","parse-names":false,"suffix":""},{"dropping-particle":"","family":"Michaëlsson","given":"Karl","non-dropping-particle":"","parse-names":false,"suffix":""},{"dropping-particle":"","family":"Trompet","given":"Stella","non-dropping-particle":"","parse-names":false,"suffix":""},{"dropping-particle":"","family":"Zillikens","given":"M. Carola","non-dropping-particle":"","parse-names":false,"suffix":""},{"dropping-particle":"","family":"Uitterlinden","given":"Andre G.","non-dropping-particle":"","parse-names":false,"suffix":""},{"dropping-particle":"","family":"Rivadeneira","given":"Fernando","non-dropping-particle":"","parse-names":false,"suffix":""},{"dropping-particle":"","family":"Broer","given":"Linda","non-dropping-particle":"","parse-names":false,"suffix":""},{"dropping-particle":"","family":"Zgaga","given":"Lina","non-dropping-particle":"","parse-names":false,"suffix":""},{"dropping-particle":"","family":"Campbell","given":"Harry","non-dropping-particle":"","parse-names":false,"suffix":""},{"dropping-particle":"","family":"Theodoratou","given":"Evropi","non-dropping-particle":"","parse-names":false,"suffix":""},{"dropping-particle":"","family":"Farrington","given":"Susan M.","non-dropping-particle":"","parse-names":false,"suffix":""},{"dropping-particle":"","family":"Timofeeva","given":"Maria","non-dropping-particle":"","parse-names":false,"suffix":""},{"dropping-particle":"","family":"Dunlop","given":"Malcolm G.","non-dropping-particle":"","parse-names":false,"suffix":""},{"dropping-particle":"","family":"Valdes","given":"Ana M.","non-dropping-particle":"","parse-names":false,"suffix":""},{"dropping-particle":"","family":"Tikkanen","given":"Emmi","non-dropping-particle":"","parse-names":false,"suffix":""},{"dropping-particle":"","family":"Lehtimäki","given":"Terho","non-dropping-particle":"","parse-names":false,"suffix":""},{"dropping-particle":"","family":"Lyytikäinen","given":"Leo-Pekka","non-dropping-particle":"","parse-names":false,"suffix":""},{"dropping-particle":"","family":"Kähönen","given":"Mika","non-dropping-particle":"","parse-names":false,"suffix":""},{"dropping-particle":"","family":"Raitakari","given":"Olli T.","non-dropping-particle":"","parse-names":false,"suffix":""},{"dropping-particle":"","family":"Mikkilä","given":"Vera","non-dropping-particle":"","parse-names":false,"suffix":""},{"dropping-particle":"","family":"Ikram","given":"M. Arfan","non-dropping-particle":"","parse-names":false,"suffix":""},{"dropping-particle":"","family":"Sattar","given":"Naveed","non-dropping-particle":"","parse-names":false,"suffix":""},{"dropping-particle":"","family":"Jukema","given":"J. Wouter","non-dropping-particle":"","parse-names":false,"suffix":""},{"dropping-particle":"","family":"Wareham","given":"Nicholas J.","non-dropping-particle":"","parse-names":false,"suffix":""},{"dropping-particle":"","family":"Langenberg","given":"Claudia","non-dropping-particle":"","parse-names":false,"suffix":""},{"dropping-particle":"","family":"Forouhi","given":"Nita G.","non-dropping-particle":"","parse-names":false,"suffix":""},{"dropping-particle":"","family":"Gundersen","given":"Thomas E.","non-dropping-particle":"","parse-names":false,"suffix":""},{"dropping-particle":"","family":"Khaw","given":"Kay-Tee","non-dropping-particle":"","parse-names":false,"suffix":""},{"dropping-particle":"","family":"Butterworth","given":"Adam S.","non-dropping-particle":"","parse-names":false,"suffix":""},{"dropping-particle":"","family":"Danesh","given":"John","non-dropping-particle":"","parse-names":false,"suffix":""},{"dropping-particle":"","family":"Spector","given":"Timothy","non-dropping-particle":"","parse-names":false,"suffix":""},{"dropping-particle":"","family":"Wang","given":"Thomas J.","non-dropping-particle":"","parse-names":false,"suffix":""},{"dropping-particle":"","family":"Hyppönen","given":"Elina","non-dropping-particle":"","parse-names":false,"suffix":""},{"dropping-particle":"","family":"Kraft","given":"Peter","non-dropping-particle":"","parse-names":false,"suffix":""},{"dropping-particle":"","family":"Kiel","given":"Douglas P.","non-dropping-particle":"","parse-names":false,"suffix":""}],"container-title":"Nature Communications","id":"ITEM-1","issue":"1","issued":{"date-parts":[["2018"]]},"page":"260","title":"Genome-wide association study in 79,366 European-ancestry individuals informs the genetic architecture of 25-hydroxyvitamin D levels","type":"article-journal","volume":"9"},"uris":["http://www.mendeley.com/documents/?uuid=fe9da13a-8337-4666-9595-635f5bdebf0a"]},{"id":"ITEM-2","itemData":{"DOI":"10.1038/ncomms11122","ISBN":"2041-1723 (Electronic)\\r2041-1723 (Linking)","ISSN":"2041-1723","PMID":"27005778","abstract":"Genome-wide association studies have identified numerous loci linked with complex diseases, for which the molecular mechanisms remain largely unclear. Comprehensive molecular profiling of circulating metabolites captures highly heritable traits, which can help to uncover metabolic pathophysiology underlying established disease variants. We conduct an extended genome-wide association study of genetic influences on 123 circulating metabolic traits quantified by nuclear magnetic resonance metabolomics from up to 24,925 individuals and identify eight novel loci for amino acids, pyruvate and fatty acids. The LPA locus link with cardiovascular risk exemplifies how detailed metabolic profiling may inform underlying aetiology via extensive associations with very-low-density lipoprotein and triglyceride metabolism. Genetic fine mapping and Mendelian randomization uncover wide-spread causal effects of lipoprotein(a) on overall lipoprotein metabolism and we assess potential pleiotropic consequences of genetically elevated lipoprotein(a) on diverse morbidities via electronic health-care records. Our findings strengthen the argument for safe LPA-targeted intervention to reduce cardiovascular risk.","author":[{"dropping-particle":"","family":"Kettunen","given":"Johannes","non-dropping-particle":"","parse-names":false,"suffix":""},{"dropping-particle":"","family":"Demirkan","given":"Ayşe","non-dropping-particle":"","parse-names":false,"suffix":""},{"dropping-particle":"","family":"Würtz","given":"Peter","non-dropping-particle":"","parse-names":false,"suffix":""},{"dropping-particle":"","family":"Draisma","given":"Harmen H.M. M","non-dropping-particle":"","parse-names":false,"suffix":""},{"dropping-particle":"","family":"Haller","given":"Toomas","non-dropping-particle":"","parse-names":false,"suffix":""},{"dropping-particle":"","family":"Rawal","given":"Rajesh","non-dropping-particle":"","parse-names":false,"suffix":""},{"dropping-particle":"","family":"Vaarhorst","given":"Anika","non-dropping-particle":"","parse-names":false,"suffix":""},{"dropping-particle":"","family":"Kangas","given":"Antti J.","non-dropping-particle":"","parse-names":false,"suffix":""},{"dropping-particle":"","family":"Lyytikäinen","given":"Leo-Pekka","non-dropping-particle":"","parse-names":false,"suffix":""},{"dropping-particle":"","family":"Pirinen","given":"Matti","non-dropping-particle":"","parse-names":false,"suffix":""},{"dropping-particle":"","family":"Pool","given":"René","non-dropping-particle":"","parse-names":false,"suffix":""},{"dropping-particle":"","family":"Sarin","given":"Antti-Pekka","non-dropping-particle":"","parse-names":false,"suffix":""},{"dropping-particle":"","family":"Soininen","given":"Pasi","non-dropping-particle":"","parse-names":false,"suffix":""},{"dropping-particle":"","family":"Tukiainen","given":"Taru","non-dropping-particle":"","parse-names":false,"suffix":""},{"dropping-particle":"","family":"Wang","given":"Qin","non-dropping-particle":"","parse-names":false,"suffix":""},{"dropping-particle":"","family":"Tiainen","given":"Mika","non-dropping-particle":"","parse-names":false,"suffix":""},{"dropping-particle":"","family":"Tynkkynen","given":"Tuulia","non-dropping-particle":"","parse-names":false,"suffix":""},{"dropping-particle":"","family":"Amin","given":"Najaf","non-dropping-particle":"","parse-names":false,"suffix":""},{"dropping-particle":"","family":"Zeller","given":"Tanja","non-dropping-particle":"","parse-names":false,"suffix":""},{"dropping-particle":"","family":"Beekman","given":"Marian","non-dropping-particle":"","parse-names":false,"suffix":""},{"dropping-particle":"","family":"Deelen","given":"Joris","non-dropping-particle":"","parse-names":false,"suffix":""},{"dropping-particle":"","family":"Dijk","given":"Ko Willems","non-dropping-particle":"van","parse-names":false,"suffix":""},{"dropping-particle":"","family":"Esko","given":"Tõnu","non-dropping-particle":"","parse-names":false,"suffix":""},{"dropping-particle":"","family":"Hottenga","given":"Jouke-Jan","non-dropping-particle":"","parse-names":false,"suffix":""},{"dropping-particle":"","family":"Leeuwen","given":"Elisabeth M","non-dropping-particle":"van","parse-names":false,"suffix":""},{"dropping-particle":"","family":"Lehtimäki","given":"Terho","non-dropping-particle":"","parse-names":false,"suffix":""},{"dropping-particle":"","family":"Mihailov","given":"Evelin","non-dropping-particle":"","parse-names":false,"suffix":""},{"dropping-particle":"","family":"Rose","given":"Richard J.","non-dropping-particle":"","parse-names":false,"suffix":""},{"dropping-particle":"","family":"Craen","given":"Anton J.M. M","non-dropping-particle":"de","parse-names":false,"suffix":""},{"dropping-particle":"","family":"Gieger","given":"Christian","non-dropping-particle":"","parse-names":false,"suffix":""},{"dropping-particle":"","family":"Kähönen","given":"Mika","non-dropping-particle":"","parse-names":false,"suffix":""},{"dropping-particle":"","family":"Perola","given":"Markus","non-dropping-particle":"","parse-names":false,"suffix":""},{"dropping-particle":"","family":"Blankenberg","given":"Stefan","non-dropping-particle":"","parse-names":false,"suffix":""},{"dropping-particle":"","family":"Savolainen","given":"Markku J.","non-dropping-particle":"","parse-names":false,"suffix":""},{"dropping-particle":"","family":"Verhoeven","given":"Aswin","non-dropping-particle":"","parse-names":false,"suffix":""},{"dropping-particle":"","family":"Viikari","given":"Jorma","non-dropping-particle":"","parse-names":false,"suffix":""},{"dropping-particle":"","family":"Willemsen","given":"Gonneke","non-dropping-particle":"","parse-names":false,"suffix":""},{"dropping-particle":"","family":"Boomsma","given":"Dorret I.","non-dropping-particle":"","parse-names":false,"suffix":""},{"dropping-particle":"","family":"Duijn","given":"Cornelia M.","non-dropping-particle":"van","parse-names":false,"suffix":""},{"dropping-particle":"","family":"Eriksson","given":"Johan","non-dropping-particle":"","parse-names":false,"suffix":""},{"dropping-particle":"","family":"Jula","given":"Antti","non-dropping-particle":"","parse-names":false,"suffix":""},{"dropping-particle":"","family":"Järvelin","given":"Marjo-Riitta","non-dropping-particle":"","parse-names":false,"suffix":""},{"dropping-particle":"","family":"Kaprio","given":"Jaakko","non-dropping-particle":"","parse-names":false,"suffix":""},{"dropping-particle":"","family":"Metspalu","given":"Andres","non-dropping-particle":"","parse-names":false,"suffix":""},{"dropping-particle":"","family":"Raitakari","given":"Olli","non-dropping-particle":"","parse-names":false,"suffix":""},{"dropping-particle":"","family":"Salomaa","given":"Veikko","non-dropping-particle":"","parse-names":false,"suffix":""},{"dropping-particle":"","family":"Slagboom","given":"P. Eline","non-dropping-particle":"","parse-names":false,"suffix":""},{"dropping-particle":"","family":"Waldenberger","given":"Melanie","non-dropping-particle":"","parse-names":false,"suffix":""},{"dropping-particle":"","family":"Ripatti","given":"Samuli","non-dropping-particle":"","parse-names":false,"suffix":""},{"dropping-particle":"","family":"Ala-Korpela","given":"Mika","non-dropping-particle":"","parse-names":false,"suffix":""}],"container-title":"Nature Communications","id":"ITEM-2","issued":{"date-parts":[["2016"]]},"page":"11122","title":"Genome-wide study for circulating metabolites identifies 62 loci and reveals novel systemic effects of LPA","type":"article-journal","volume":"7"},"uris":["http://www.mendeley.com/documents/?uuid=2707fbeb-daa8-4454-8483-bf79e09811ad"]}],"mendeley":{"formattedCitation":"&lt;sup&gt;5,8&lt;/sup&gt;","plainTextFormattedCitation":"5,8","previouslyFormattedCitation":"&lt;sup&gt;5,8&lt;/sup&gt;"},"properties":{"noteIndex":0},"schema":"https://github.com/citation-style-language/schema/raw/master/csl-citation.json"}</w:instrText>
      </w:r>
      <w:r w:rsidR="00CA530C" w:rsidRPr="00575BC0">
        <w:rPr>
          <w:rFonts w:ascii="Times New Roman" w:hAnsi="Times New Roman"/>
          <w:sz w:val="24"/>
          <w:szCs w:val="24"/>
          <w:lang w:val="en-US"/>
        </w:rPr>
        <w:fldChar w:fldCharType="separate"/>
      </w:r>
      <w:r w:rsidR="009A73FF" w:rsidRPr="009A73FF">
        <w:rPr>
          <w:rFonts w:ascii="Times New Roman" w:hAnsi="Times New Roman"/>
          <w:noProof/>
          <w:sz w:val="24"/>
          <w:szCs w:val="24"/>
          <w:vertAlign w:val="superscript"/>
          <w:lang w:val="en-US"/>
        </w:rPr>
        <w:t>5,8</w:t>
      </w:r>
      <w:r w:rsidR="00CA530C" w:rsidRPr="00575BC0">
        <w:rPr>
          <w:rFonts w:ascii="Times New Roman" w:hAnsi="Times New Roman"/>
          <w:sz w:val="24"/>
          <w:szCs w:val="24"/>
          <w:lang w:val="en-US"/>
        </w:rPr>
        <w:fldChar w:fldCharType="end"/>
      </w:r>
      <w:r w:rsidR="00CA530C" w:rsidRPr="00575BC0">
        <w:rPr>
          <w:rFonts w:ascii="Times New Roman" w:hAnsi="Times New Roman"/>
          <w:sz w:val="24"/>
          <w:szCs w:val="24"/>
          <w:lang w:val="en-US"/>
        </w:rPr>
        <w:t xml:space="preserve"> could be estimated.</w:t>
      </w:r>
      <w:r w:rsidR="00D25297" w:rsidRPr="00575BC0">
        <w:rPr>
          <w:rFonts w:ascii="Times New Roman" w:hAnsi="Times New Roman"/>
          <w:sz w:val="24"/>
          <w:szCs w:val="24"/>
          <w:lang w:val="en-US"/>
        </w:rPr>
        <w:t xml:space="preserve"> These power estimations can be compared to the empirical findings from the GWAS on MDD, to explore if 25-OH-D or n3-PUFA may be causal for MDD. In other words, when the estimated power is large assuming a causal impact of </w:t>
      </w:r>
      <w:r w:rsidR="00384715" w:rsidRPr="00575BC0">
        <w:rPr>
          <w:rFonts w:ascii="Times New Roman" w:hAnsi="Times New Roman"/>
          <w:sz w:val="24"/>
          <w:szCs w:val="24"/>
          <w:lang w:val="en-US"/>
        </w:rPr>
        <w:t>25-OH-D or n3-PUFA</w:t>
      </w:r>
      <w:r w:rsidR="00D25297" w:rsidRPr="00575BC0">
        <w:rPr>
          <w:rFonts w:ascii="Times New Roman" w:hAnsi="Times New Roman"/>
          <w:sz w:val="24"/>
          <w:szCs w:val="24"/>
          <w:lang w:val="en-US"/>
        </w:rPr>
        <w:t xml:space="preserve"> on MDD, but when SNPs are not significantly linked to MDD, this would suggest that </w:t>
      </w:r>
      <w:r w:rsidR="00384715" w:rsidRPr="00575BC0">
        <w:rPr>
          <w:rFonts w:ascii="Times New Roman" w:hAnsi="Times New Roman"/>
          <w:sz w:val="24"/>
          <w:szCs w:val="24"/>
          <w:lang w:val="en-US"/>
        </w:rPr>
        <w:t>25-OH-D or n3-PUFA</w:t>
      </w:r>
      <w:r w:rsidR="00D25297" w:rsidRPr="00575BC0">
        <w:rPr>
          <w:rFonts w:ascii="Times New Roman" w:hAnsi="Times New Roman"/>
          <w:sz w:val="24"/>
          <w:szCs w:val="24"/>
          <w:lang w:val="en-US"/>
        </w:rPr>
        <w:t xml:space="preserve"> </w:t>
      </w:r>
      <w:r w:rsidR="00384715" w:rsidRPr="00575BC0">
        <w:rPr>
          <w:rFonts w:ascii="Times New Roman" w:hAnsi="Times New Roman"/>
          <w:sz w:val="24"/>
          <w:szCs w:val="24"/>
          <w:lang w:val="en-US"/>
        </w:rPr>
        <w:t>are</w:t>
      </w:r>
      <w:r w:rsidR="00D25297" w:rsidRPr="00575BC0">
        <w:rPr>
          <w:rFonts w:ascii="Times New Roman" w:hAnsi="Times New Roman"/>
          <w:sz w:val="24"/>
          <w:szCs w:val="24"/>
          <w:lang w:val="en-US"/>
        </w:rPr>
        <w:t xml:space="preserve"> not causal for MDD.</w:t>
      </w:r>
    </w:p>
    <w:p w14:paraId="3B94A3E1" w14:textId="0AA86CA4" w:rsidR="008B15B4" w:rsidRPr="00575BC0" w:rsidRDefault="003F6561" w:rsidP="008B15B4">
      <w:pPr>
        <w:pStyle w:val="Nessunaspaziatura1"/>
        <w:spacing w:line="480" w:lineRule="auto"/>
        <w:rPr>
          <w:rFonts w:ascii="Times New Roman" w:eastAsiaTheme="minorEastAsia" w:hAnsi="Times New Roman"/>
          <w:sz w:val="24"/>
          <w:szCs w:val="24"/>
          <w:lang w:val="en-US"/>
        </w:rPr>
      </w:pPr>
      <w:r w:rsidRPr="00575BC0">
        <w:rPr>
          <w:rFonts w:ascii="Times New Roman" w:hAnsi="Times New Roman"/>
          <w:sz w:val="24"/>
          <w:szCs w:val="24"/>
          <w:lang w:val="en-US"/>
        </w:rPr>
        <w:t>The SNP effects on Vitamin D found in the GWAS</w:t>
      </w:r>
      <w:r w:rsidRPr="00575BC0">
        <w:rPr>
          <w:rFonts w:ascii="Times New Roman" w:hAnsi="Times New Roman"/>
          <w:sz w:val="24"/>
          <w:szCs w:val="24"/>
          <w:lang w:val="en-US"/>
        </w:rPr>
        <w:fldChar w:fldCharType="begin" w:fldLock="1"/>
      </w:r>
      <w:r w:rsidR="009A73FF">
        <w:rPr>
          <w:rFonts w:ascii="Times New Roman" w:hAnsi="Times New Roman"/>
          <w:sz w:val="24"/>
          <w:szCs w:val="24"/>
          <w:lang w:val="en-US"/>
        </w:rPr>
        <w:instrText>ADDIN CSL_CITATION {"citationItems":[{"id":"ITEM-1","itemData":{"DOI":"10.1038/s41467-017-02662-2","ISBN":"4146701702662","ISSN":"2041-1723","PMID":"29343764","author":[{"dropping-particle":"","family":"Jiang","given":"Xia","non-dropping-particle":"","parse-names":false,"suffix":""},{"dropping-particle":"","family":"O’Reilly","given":"Paul F.","non-dropping-particle":"","parse-names":false,"suffix":""},{"dropping-particle":"","family":"Aschard","given":"Hugues","non-dropping-particle":"","parse-names":false,"suffix":""},{"dropping-particle":"","family":"Hsu","given":"Yi-Hsiang","non-dropping-particle":"","parse-names":false,"suffix":""},{"dropping-particle":"","family":"Richards","given":"J. Brent","non-dropping-particle":"","parse-names":false,"suffix":""},{"dropping-particle":"","family":"Dupuis","given":"Josée","non-dropping-particle":"","parse-names":false,"suffix":""},{"dropping-particle":"","family":"Ingelsson","given":"Erik","non-dropping-particle":"","parse-names":false,"suffix":""},{"dropping-particle":"","family":"Karasik","given":"David","non-dropping-particle":"","parse-names":false,"suffix":""},{"dropping-particle":"","family":"Pilz","given":"Stefan","non-dropping-particle":"","parse-names":false,"suffix":""},{"dropping-particle":"","family":"Berry","given":"Diane","non-dropping-particle":"","parse-names":false,"suffix":""},{"dropping-particle":"","family":"Kestenbaum","given":"Bryan","non-dropping-particle":"","parse-names":false,"suffix":""},{"dropping-particle":"","family":"Zheng","given":"Jusheng","non-dropping-particle":"","parse-names":false,"suffix":""},{"dropping-particle":"","family":"Luan","given":"Jianan","non-dropping-particle":"","parse-names":false,"suffix":""},{"dropping-particle":"","family":"Sofianopoulou","given":"Eleni","non-dropping-particle":"","parse-names":false,"suffix":""},{"dropping-particle":"","family":"Streeten","given":"Elizabeth A.","non-dropping-particle":"","parse-names":false,"suffix":""},{"dropping-particle":"","family":"Albanes","given":"Demetrius","non-dropping-particle":"","parse-names":false,"suffix":""},{"dropping-particle":"","family":"Lutsey","given":"Pamela L.","non-dropping-particle":"","parse-names":false,"suffix":""},{"dropping-particle":"","family":"Yao","given":"Lu","non-dropping-particle":"","parse-names":false,"suffix":""},{"dropping-particle":"","family":"Tang","given":"Weihong","non-dropping-particle":"","parse-names":false,"suffix":""},{"dropping-particle":"","family":"Econs","given":"Michael J.","non-dropping-particle":"","parse-names":false,"suffix":""},{"dropping-particle":"","family":"Wallaschofski","given":"Henri","non-dropping-particle":"","parse-names":false,"suffix":""},{"dropping-particle":"","family":"Völzke","given":"Henry","non-dropping-particle":"","parse-names":false,"suffix":""},{"dropping-particle":"","family":"Zhou","given":"Ang","non-dropping-particle":"","parse-names":false,"suffix":""},{"dropping-particle":"","family":"Power","given":"Chris","non-dropping-particle":"","parse-names":false,"suffix":""},{"dropping-particle":"","family":"McCarthy","given":"Mark I.","non-dropping-particle":"","parse-names":false,"suffix":""},{"dropping-particle":"","family":"Michos","given":"Erin D.","non-dropping-particle":"","parse-names":false,"suffix":""},{"dropping-particle":"","family":"Boerwinkle","given":"Eric","non-dropping-particle":"","parse-names":false,"suffix":""},{"dropping-particle":"","family":"Weinstein","given":"Stephanie J.","non-dropping-particle":"","parse-names":false,"suffix":""},{"dropping-particle":"","family":"Freedman","given":"Neal D.","non-dropping-particle":"","parse-names":false,"suffix":""},{"dropping-particle":"","family":"Huang","given":"Wen-Yi","non-dropping-particle":"","parse-names":false,"suffix":""},{"dropping-particle":"","family":"Schoor","given":"Natasja M.","non-dropping-particle":"Van","parse-names":false,"suffix":""},{"dropping-particle":"","family":"Velde","given":"Nathalie","non-dropping-particle":"van der","parse-names":false,"suffix":""},{"dropping-particle":"de","family":"Groot","given":"Lisette C. P. G. M.","non-dropping-particle":"","parse-names":false,"suffix":""},{"dropping-particle":"","family":"Enneman","given":"Anke","non-dropping-particle":"","parse-names":false,"suffix":""},{"dropping-particle":"","family":"Cupples","given":"L. Adrienne","non-dropping-particle":"","parse-names":false,"suffix":""},{"dropping-particle":"","family":"Booth","given":"Sarah L.","non-dropping-particle":"","parse-names":false,"suffix":""},{"dropping-particle":"","family":"Vasan","given":"Ramachandran S.","non-dropping-particle":"","parse-names":false,"suffix":""},{"dropping-particle":"","family":"Liu","given":"Ching-Ti","non-dropping-particle":"","parse-names":false,"suffix":""},{"dropping-particle":"","family":"Zhou","given":"Yanhua","non-dropping-particle":"","parse-names":false,"suffix":""},{"dropping-particle":"","family":"Ripatti","given":"Samuli","non-dropping-particle":"","parse-names":false,"suffix":""},{"dropping-particle":"","family":"Ohlsson","given":"Claes","non-dropping-particle":"","parse-names":false,"suffix":""},{"dropping-particle":"","family":"Vandenput","given":"Liesbeth","non-dropping-particle":"","parse-names":false,"suffix":""},{"dropping-particle":"","family":"Lorentzon","given":"Mattias","non-dropping-particle":"","parse-names":false,"suffix":""},{"dropping-particle":"","family":"Eriksson","given":"Johan G.","non-dropping-particle":"","parse-names":false,"suffix":""},{"dropping-particle":"","family":"Shea","given":"M. Kyla","non-dropping-particle":"","parse-names":false,"suffix":""},{"dropping-particle":"","family":"Houston","given":"Denise K.","non-dropping-particle":"","parse-names":false,"suffix":""},{"dropping-particle":"","family":"Kritchevsky","given":"Stephen B.","non-dropping-particle":"","parse-names":false,"suffix":""},{"dropping-particle":"","family":"Liu","given":"Yongmei","non-dropping-particle":"","parse-names":false,"suffix":""},{"dropping-particle":"","family":"Lohman","given":"Kurt K.","non-dropping-particle":"","parse-names":false,"suffix":""},{"dropping-particle":"","family":"Ferrucci","given":"Luigi","non-dropping-particle":"","parse-names":false,"suffix":""},{"dropping-particle":"","family":"Peacock","given":"Munro","non-dropping-particle":"","parse-names":false,"suffix":""},{"dropping-particle":"","family":"Gieger","given":"Christian","non-dropping-particle":"","parse-names":false,"suffix":""},{"dropping-particle":"","family":"Beekman","given":"Marian","non-dropping-particle":"","parse-names":false,"suffix":""},{"dropping-particle":"","family":"Slagboom","given":"Eline","non-dropping-particle":"","parse-names":false,"suffix":""},{"dropping-particle":"","family":"Deelen","given":"Joris","non-dropping-particle":"","parse-names":false,"suffix":""},{"dropping-particle":"van","family":"Heemst","given":"Diana","non-dropping-particle":"","parse-names":false,"suffix":""},{"dropping-particle":"","family":"Kleber","given":"Marcus E.","non-dropping-particle":"","parse-names":false,"suffix":""},{"dropping-particle":"","family":"März","given":"Winfried","non-dropping-particle":"","parse-names":false,"suffix":""},{"dropping-particle":"","family":"Boer","given":"Ian H.","non-dropping-particle":"de","parse-names":false,"suffix":""},{"dropping-particle":"","family":"Wood","given":"Alexis C.","non-dropping-particle":"","parse-names":false,"suffix":""},{"dropping-particle":"","family":"Rotter","given":"Jerome I.","non-dropping-particle":"","parse-names":false,"suffix":""},{"dropping-particle":"","family":"Rich","given":"Stephen S.","non-dropping-particle":"","parse-names":false,"suffix":""},{"dropping-particle":"","family":"Robinson-Cohen","given":"Cassianne","non-dropping-particle":"","parse-names":false,"suffix":""},{"dropping-particle":"","family":"Heijer","given":"Martin","non-dropping-particle":"den","parse-names":false,"suffix":""},{"dropping-particle":"","family":"Jarvelin","given":"Marjo-Riitta","non-dropping-particle":"","parse-names":false,"suffix":""},{"dropping-particle":"","family":"Cavadino","given":"Alana","non-dropping-particle":"","parse-names":false,"suffix":""},{"dropping-particle":"","family":"Joshi","given":"Peter K.","non-dropping-particle":"","parse-names":false,"suffix":""},{"dropping-particle":"","family":"Wilson","given":"James F.","non-dropping-particle":"","parse-names":false,"suffix":""},{"dropping-particle":"","family":"Hayward","given":"Caroline","non-dropping-particle":"","parse-names":false,"suffix":""},{"dropping-particle":"","family":"Lind","given":"Lars","non-dropping-particle":"","parse-names":false,"suffix":""},{"dropping-particle":"","family":"Michaëlsson","given":"Karl","non-dropping-particle":"","parse-names":false,"suffix":""},{"dropping-particle":"","family":"Trompet","given":"Stella","non-dropping-particle":"","parse-names":false,"suffix":""},{"dropping-particle":"","family":"Zillikens","given":"M. Carola","non-dropping-particle":"","parse-names":false,"suffix":""},{"dropping-particle":"","family":"Uitterlinden","given":"Andre G.","non-dropping-particle":"","parse-names":false,"suffix":""},{"dropping-particle":"","family":"Rivadeneira","given":"Fernando","non-dropping-particle":"","parse-names":false,"suffix":""},{"dropping-particle":"","family":"Broer","given":"Linda","non-dropping-particle":"","parse-names":false,"suffix":""},{"dropping-particle":"","family":"Zgaga","given":"Lina","non-dropping-particle":"","parse-names":false,"suffix":""},{"dropping-particle":"","family":"Campbell","given":"Harry","non-dropping-particle":"","parse-names":false,"suffix":""},{"dropping-particle":"","family":"Theodoratou","given":"Evropi","non-dropping-particle":"","parse-names":false,"suffix":""},{"dropping-particle":"","family":"Farrington","given":"Susan M.","non-dropping-particle":"","parse-names":false,"suffix":""},{"dropping-particle":"","family":"Timofeeva","given":"Maria","non-dropping-particle":"","parse-names":false,"suffix":""},{"dropping-particle":"","family":"Dunlop","given":"Malcolm G.","non-dropping-particle":"","parse-names":false,"suffix":""},{"dropping-particle":"","family":"Valdes","given":"Ana M.","non-dropping-particle":"","parse-names":false,"suffix":""},{"dropping-particle":"","family":"Tikkanen","given":"Emmi","non-dropping-particle":"","parse-names":false,"suffix":""},{"dropping-particle":"","family":"Lehtimäki","given":"Terho","non-dropping-particle":"","parse-names":false,"suffix":""},{"dropping-particle":"","family":"Lyytikäinen","given":"Leo-Pekka","non-dropping-particle":"","parse-names":false,"suffix":""},{"dropping-particle":"","family":"Kähönen","given":"Mika","non-dropping-particle":"","parse-names":false,"suffix":""},{"dropping-particle":"","family":"Raitakari","given":"Olli T.","non-dropping-particle":"","parse-names":false,"suffix":""},{"dropping-particle":"","family":"Mikkilä","given":"Vera","non-dropping-particle":"","parse-names":false,"suffix":""},{"dropping-particle":"","family":"Ikram","given":"M. Arfan","non-dropping-particle":"","parse-names":false,"suffix":""},{"dropping-particle":"","family":"Sattar","given":"Naveed","non-dropping-particle":"","parse-names":false,"suffix":""},{"dropping-particle":"","family":"Jukema","given":"J. Wouter","non-dropping-particle":"","parse-names":false,"suffix":""},{"dropping-particle":"","family":"Wareham","given":"Nicholas J.","non-dropping-particle":"","parse-names":false,"suffix":""},{"dropping-particle":"","family":"Langenberg","given":"Claudia","non-dropping-particle":"","parse-names":false,"suffix":""},{"dropping-particle":"","family":"Forouhi","given":"Nita G.","non-dropping-particle":"","parse-names":false,"suffix":""},{"dropping-particle":"","family":"Gundersen","given":"Thomas E.","non-dropping-particle":"","parse-names":false,"suffix":""},{"dropping-particle":"","family":"Khaw","given":"Kay-Tee","non-dropping-particle":"","parse-names":false,"suffix":""},{"dropping-particle":"","family":"Butterworth","given":"Adam S.","non-dropping-particle":"","parse-names":false,"suffix":""},{"dropping-particle":"","family":"Danesh","given":"John","non-dropping-particle":"","parse-names":false,"suffix":""},{"dropping-particle":"","family":"Spector","given":"Timothy","non-dropping-particle":"","parse-names":false,"suffix":""},{"dropping-particle":"","family":"Wang","given":"Thomas J.","non-dropping-particle":"","parse-names":false,"suffix":""},{"dropping-particle":"","family":"Hyppönen","given":"Elina","non-dropping-particle":"","parse-names":false,"suffix":""},{"dropping-particle":"","family":"Kraft","given":"Peter","non-dropping-particle":"","parse-names":false,"suffix":""},{"dropping-particle":"","family":"Kiel","given":"Douglas P.","non-dropping-particle":"","parse-names":false,"suffix":""}],"container-title":"Nature Communications","id":"ITEM-1","issue":"1","issued":{"date-parts":[["2018"]]},"page":"260","title":"Genome-wide association study in 79,366 European-ancestry individuals informs the genetic architecture of 25-hydroxyvitamin D levels","type":"article-journal","volume":"9"},"uris":["http://www.mendeley.com/documents/?uuid=fe9da13a-8337-4666-9595-635f5bdebf0a"]}],"mendeley":{"formattedCitation":"&lt;sup&gt;8&lt;/sup&gt;","plainTextFormattedCitation":"8","previouslyFormattedCitation":"&lt;sup&gt;8&lt;/sup&gt;"},"properties":{"noteIndex":0},"schema":"https://github.com/citation-style-language/schema/raw/master/csl-citation.json"}</w:instrText>
      </w:r>
      <w:r w:rsidRPr="00575BC0">
        <w:rPr>
          <w:rFonts w:ascii="Times New Roman" w:hAnsi="Times New Roman"/>
          <w:sz w:val="24"/>
          <w:szCs w:val="24"/>
          <w:lang w:val="en-US"/>
        </w:rPr>
        <w:fldChar w:fldCharType="separate"/>
      </w:r>
      <w:r w:rsidR="009A73FF" w:rsidRPr="009A73FF">
        <w:rPr>
          <w:rFonts w:ascii="Times New Roman" w:hAnsi="Times New Roman"/>
          <w:noProof/>
          <w:sz w:val="24"/>
          <w:szCs w:val="24"/>
          <w:vertAlign w:val="superscript"/>
          <w:lang w:val="en-US"/>
        </w:rPr>
        <w:t>8</w:t>
      </w:r>
      <w:r w:rsidRPr="00575BC0">
        <w:rPr>
          <w:rFonts w:ascii="Times New Roman" w:hAnsi="Times New Roman"/>
          <w:sz w:val="24"/>
          <w:szCs w:val="24"/>
          <w:lang w:val="en-US"/>
        </w:rPr>
        <w:fldChar w:fldCharType="end"/>
      </w:r>
      <w:r w:rsidRPr="00575BC0">
        <w:rPr>
          <w:rFonts w:ascii="Times New Roman" w:hAnsi="Times New Roman"/>
          <w:sz w:val="24"/>
          <w:szCs w:val="24"/>
          <w:lang w:val="en-US"/>
        </w:rPr>
        <w:t xml:space="preserve"> were scaled to standardized SNP effects (effects when 25-OH-D would have been scaled to a variance of 1 for the GWAS analyses). For this, the equation from </w:t>
      </w:r>
      <w:proofErr w:type="spellStart"/>
      <w:r w:rsidRPr="00575BC0">
        <w:rPr>
          <w:rFonts w:ascii="Times New Roman" w:hAnsi="Times New Roman"/>
          <w:sz w:val="24"/>
          <w:szCs w:val="24"/>
          <w:lang w:val="en-US"/>
        </w:rPr>
        <w:t>Okbay</w:t>
      </w:r>
      <w:proofErr w:type="spellEnd"/>
      <w:r w:rsidRPr="00575BC0">
        <w:rPr>
          <w:rFonts w:ascii="Times New Roman" w:hAnsi="Times New Roman"/>
          <w:sz w:val="24"/>
          <w:szCs w:val="24"/>
          <w:lang w:val="en-US"/>
        </w:rPr>
        <w:t xml:space="preserve"> et al.</w:t>
      </w:r>
      <w:r w:rsidRPr="00575BC0">
        <w:rPr>
          <w:rFonts w:ascii="Times New Roman" w:hAnsi="Times New Roman"/>
          <w:sz w:val="24"/>
          <w:szCs w:val="24"/>
          <w:lang w:val="en-US"/>
        </w:rPr>
        <w:fldChar w:fldCharType="begin" w:fldLock="1"/>
      </w:r>
      <w:r w:rsidR="009A73FF">
        <w:rPr>
          <w:rFonts w:ascii="Times New Roman" w:hAnsi="Times New Roman"/>
          <w:sz w:val="24"/>
          <w:szCs w:val="24"/>
          <w:lang w:val="en-US"/>
        </w:rPr>
        <w:instrText>ADDIN CSL_CITATION {"citationItems":[{"id":"ITEM-1","itemData":{"DOI":"10.1038/ng.3552","ISSN":"1061-4036","PMID":"27089181","abstract":"Very few genetic variants have been associated with depression and neuroticism, likely because of limitations on sample size in previous studies. Subjective well-being, a phenotype that is genetically correlated with both of these traits, has not yet been studied with genome-wide data. We conducted genome-wide association studies of three phenotypes: subjective well-being (n = 298,420), depressive symptoms (n = 161,460), and neuroticism (n = 170,911). We identify 3 variants associated with subjective well-being, 2 variants associated with depressive symptoms, and 11 variants associated with neuroticism, including 2 inversion polymorphisms. The two loci associated with depressive symptoms replicate in an independent depression sample. Joint analyses that exploit the high genetic correlations between the phenotypes (|ρˆ| ≈ 0.8) strengthen the overall credibility of the findings and allow us to identify additional variants. Across our phenotypes, loci regulating expression in central nervous system and adrenal or pancreas tissues are strongly enriched for association.","author":[{"dropping-particle":"","family":"Okbay","given":"Aysu","non-dropping-particle":"","parse-names":false,"suffix":""},{"dropping-particle":"","family":"Baselmans","given":"Bart M L","non-dropping-particle":"","parse-names":false,"suffix":""},{"dropping-particle":"","family":"Neve","given":"Jan-Emmanuel","non-dropping-particle":"De","parse-names":false,"suffix":""},{"dropping-particle":"","family":"Turley","given":"Patrick","non-dropping-particle":"","parse-names":false,"suffix":""},{"dropping-particle":"","family":"Nivard","given":"Michel G","non-dropping-particle":"","parse-names":false,"suffix":""},{"dropping-particle":"","family":"Fontana","given":"Mark Alan","non-dropping-particle":"","parse-names":false,"suffix":""},{"dropping-particle":"","family":"Meddens","given":"S Fleur W","non-dropping-particle":"","parse-names":false,"suffix":""},{"dropping-particle":"","family":"Linnér","given":"Richard Karlsson","non-dropping-particle":"","parse-names":false,"suffix":""},{"dropping-particle":"","family":"Rietveld","given":"Cornelius A","non-dropping-particle":"","parse-names":false,"suffix":""},{"dropping-particle":"","family":"Derringer","given":"Jaime","non-dropping-particle":"","parse-names":false,"suffix":""},{"dropping-particle":"","family":"Gratten","given":"Jacob","non-dropping-particle":"","parse-names":false,"suffix":""},{"dropping-particle":"","family":"Lee","given":"James J","non-dropping-particle":"","parse-names":false,"suffix":""},{"dropping-particle":"","family":"Liu","given":"Jimmy Z","non-dropping-particle":"","parse-names":false,"suffix":""},{"dropping-particle":"","family":"Vlaming","given":"Ronald","non-dropping-particle":"de","parse-names":false,"suffix":""},{"dropping-particle":"","family":"Ahluwalia","given":"Tarunveer S","non-dropping-particle":"","parse-names":false,"suffix":""},{"dropping-particle":"","family":"Buchwald","given":"Jadwiga","non-dropping-particle":"","parse-names":false,"suffix":""},{"dropping-particle":"","family":"Cavadino","given":"Alana","non-dropping-particle":"","parse-names":false,"suffix":""},{"dropping-particle":"","family":"Frazier-Wood","given":"Alexis C","non-dropping-particle":"","parse-names":false,"suffix":""},{"dropping-particle":"","family":"Furlotte","given":"Nicholas A","non-dropping-particle":"","parse-names":false,"suffix":""},{"dropping-particle":"","family":"Garfield","given":"Victoria","non-dropping-particle":"","parse-names":false,"suffix":""},{"dropping-particle":"","family":"Geisel","given":"Marie Henrike","non-dropping-particle":"","parse-names":false,"suffix":""},{"dropping-particle":"","family":"Gonzalez","given":"Juan R","non-dropping-particle":"","parse-names":false,"suffix":""},{"dropping-particle":"","family":"Haitjema","given":"Saskia","non-dropping-particle":"","parse-names":false,"suffix":""},{"dropping-particle":"","family":"Karlsson","given":"Robert","non-dropping-particle":"","parse-names":false,"suffix":""},{"dropping-particle":"","family":"Laan","given":"Sander W","non-dropping-particle":"van der","parse-names":false,"suffix":""},{"dropping-particle":"","family":"Ladwig","given":"Karl-Heinz","non-dropping-particle":"","parse-names":false,"suffix":""},{"dropping-particle":"","family":"Lahti","given":"Jari","non-dropping-particle":"","parse-names":false,"suffix":""},{"dropping-particle":"","family":"Lee","given":"Sven J","non-dropping-particle":"van der","parse-names":false,"suffix":""},{"dropping-particle":"","family":"Lind","given":"Penelope A","non-dropping-particle":"","parse-names":false,"suffix":""},{"dropping-particle":"","family":"Liu","given":"Tian","non-dropping-particle":"","parse-names":false,"suffix":""},{"dropping-particle":"","family":"Matteson","given":"Lindsay","non-dropping-particle":"","parse-names":false,"suffix":""},{"dropping-particle":"","family":"Mihailov","given":"Evelin","non-dropping-particle":"","parse-names":false,"suffix":""},{"dropping-particle":"","family":"Miller","given":"Michael B","non-dropping-particle":"","parse-names":false,"suffix":""},{"dropping-particle":"","family":"Minica","given":"Camelia C","non-dropping-particle":"","parse-names":false,"suffix":""},{"dropping-particle":"","family":"Nolte","given":"Ilja M","non-dropping-particle":"","parse-names":false,"suffix":""},{"dropping-particle":"","family":"Mook-Kanamori","given":"Dennis","non-dropping-particle":"","parse-names":false,"suffix":""},{"dropping-particle":"","family":"Most","given":"Peter J","non-dropping-particle":"van der","parse-names":false,"suffix":""},{"dropping-particle":"","family":"Oldmeadow","given":"Christopher","non-dropping-particle":"","parse-names":false,"suffix":""},{"dropping-particle":"","family":"Qian","given":"Yong","non-dropping-particle":"","parse-names":false,"suffix":""},{"dropping-particle":"","family":"Raitakari","given":"Olli","non-dropping-particle":"","parse-names":false,"suffix":""},{"dropping-particle":"","family":"Rawal","given":"Rajesh","non-dropping-particle":"","parse-names":false,"suffix":""},{"dropping-particle":"","family":"Realo","given":"Anu","non-dropping-particle":"","parse-names":false,"suffix":""},{"dropping-particle":"","family":"Rueedi","given":"Rico","non-dropping-particle":"","parse-names":false,"suffix":""},{"dropping-particle":"","family":"Schmidt","given":"Börge","non-dropping-particle":"","parse-names":false,"suffix":""},{"dropping-particle":"V","family":"Smith","given":"Albert","non-dropping-particle":"","parse-names":false,"suffix":""},{"dropping-particle":"","family":"Stergiakouli","given":"Evie","non-dropping-particle":"","parse-names":false,"suffix":""},{"dropping-particle":"","family":"Tanaka","given":"Toshiko","non-dropping-particle":"","parse-names":false,"suffix":""},{"dropping-particle":"","family":"Taylor","given":"Kent","non-dropping-particle":"","parse-names":false,"suffix":""},{"dropping-particle":"","family":"Wedenoja","given":"Juho","non-dropping-particle":"","parse-names":false,"suffix":""},{"dropping-particle":"","family":"Wellmann","given":"Juergen","non-dropping-particle":"","parse-names":false,"suffix":""},{"dropping-particle":"","family":"Westra","given":"Harm-Jan","non-dropping-particle":"","parse-names":false,"suffix":""},{"dropping-particle":"","family":"Willems","given":"Sara M","non-dropping-particle":"","parse-names":false,"suffix":""},{"dropping-particle":"","family":"Zhao","given":"Wei","non-dropping-particle":"","parse-names":false,"suffix":""},{"dropping-particle":"","family":"Amin","given":"Najaf","non-dropping-particle":"","parse-names":false,"suffix":""},{"dropping-particle":"","family":"Bakshi","given":"Andrew","non-dropping-particle":"","parse-names":false,"suffix":""},{"dropping-particle":"","family":"Boyle","given":"Patricia A","non-dropping-particle":"","parse-names":false,"suffix":""},{"dropping-particle":"","family":"Cherney","given":"Samantha","non-dropping-particle":"","parse-names":false,"suffix":""},{"dropping-particle":"","family":"Cox","given":"Simon R","non-dropping-particle":"","parse-names":false,"suffix":""},{"dropping-particle":"","family":"Davies","given":"Gail","non-dropping-particle":"","parse-names":false,"suffix":""},{"dropping-particle":"","family":"Davis","given":"Oliver S P","non-dropping-particle":"","parse-names":false,"suffix":""},{"dropping-particle":"","family":"Ding","given":"Jun","non-dropping-particle":"","parse-names":false,"suffix":""},{"dropping-particle":"","family":"Direk","given":"Nese","non-dropping-particle":"","parse-names":false,"suffix":""},{"dropping-particle":"","family":"Eibich","given":"Peter","non-dropping-particle":"","parse-names":false,"suffix":""},{"dropping-particle":"","family":"Emeny","given":"Rebecca T","non-dropping-particle":"","parse-names":false,"suffix":""},{"dropping-particle":"","family":"Fatemifar","given":"Ghazaleh","non-dropping-particle":"","parse-names":false,"suffix":""},{"dropping-particle":"","family":"Faul","given":"Jessica D","non-dropping-particle":"","parse-names":false,"suffix":""},{"dropping-particle":"","family":"Ferrucci","given":"Luigi","non-dropping-particle":"","parse-names":false,"suffix":""},{"dropping-particle":"","family":"Forstner","given":"Andreas","non-dropping-particle":"","parse-names":false,"suffix":""},{"dropping-particle":"","family":"Gieger","given":"Christian","non-dropping-particle":"","parse-names":false,"suffix":""},{"dropping-particle":"","family":"Gupta","given":"Richa","non-dropping-particle":"","parse-names":false,"suffix":""},{"dropping-particle":"","family":"Harris","given":"Tamara B","non-dropping-particle":"","parse-names":false,"suffix":""},{"dropping-particle":"","family":"Harris","given":"Juliette M","non-dropping-particle":"","parse-names":false,"suffix":""},{"dropping-particle":"","family":"Holliday","given":"Elizabeth G","non-dropping-particle":"","parse-names":false,"suffix":""},{"dropping-particle":"","family":"Hottenga","given":"Jouke-Jan","non-dropping-particle":"","parse-names":false,"suffix":""},{"dropping-particle":"","family":"Jager","given":"Philip L","non-dropping-particle":"De","parse-names":false,"suffix":""},{"dropping-particle":"","family":"Kaakinen","given":"Marika A","non-dropping-particle":"","parse-names":false,"suffix":""},{"dropping-particle":"","family":"Kajantie","given":"Eero","non-dropping-particle":"","parse-names":false,"suffix":""},{"dropping-particle":"","family":"Karhunen","given":"Ville","non-dropping-particle":"","parse-names":false,"suffix":""},{"dropping-particle":"","family":"Kolcic","given":"Ivana","non-dropping-particle":"","parse-names":false,"suffix":""},{"dropping-particle":"","family":"Kumari","given":"Meena","non-dropping-particle":"","parse-names":false,"suffix":""},{"dropping-particle":"","family":"Launer","given":"Lenore J","non-dropping-particle":"","parse-names":false,"suffix":""},{"dropping-particle":"","family":"Franke","given":"Lude","non-dropping-particle":"","parse-names":false,"suffix":""},{"dropping-particle":"","family":"Li-Gao","given":"Ruifang","non-dropping-particle":"","parse-names":false,"suffix":""},{"dropping-particle":"","family":"Koini","given":"Marisa","non-dropping-particle":"","parse-names":false,"suffix":""},{"dropping-particle":"","family":"Loukola","given":"Anu","non-dropping-particle":"","parse-names":false,"suffix":""},{"dropping-particle":"","family":"Marques-Vidal","given":"Pedro","non-dropping-particle":"","parse-names":false,"suffix":""},{"dropping-particle":"","family":"Montgomery","given":"Grant W","non-dropping-particle":"","parse-names":false,"suffix":""},{"dropping-particle":"","family":"Mosing","given":"Miriam A","non-dropping-particle":"","parse-names":false,"suffix":""},{"dropping-particle":"","family":"Paternoster","given":"Lavinia","non-dropping-particle":"","parse-names":false,"suffix":""},{"dropping-particle":"","family":"Pattie","given":"Alison","non-dropping-particle":"","parse-names":false,"suffix":""},{"dropping-particle":"","family":"Petrovic","given":"Katja E","non-dropping-particle":"","parse-names":false,"suffix":""},{"dropping-particle":"","family":"Pulkki-Råback","given":"Laura","non-dropping-particle":"","parse-names":false,"suffix":""},{"dropping-particle":"","family":"Quaye","given":"Lydia","non-dropping-particle":"","parse-names":false,"suffix":""},{"dropping-particle":"","family":"Räikkönen","given":"Katri","non-dropping-particle":"","parse-names":false,"suffix":""},{"dropping-particle":"","family":"Rudan","given":"Igor","non-dropping-particle":"","parse-names":false,"suffix":""},{"dropping-particle":"","family":"Scott","given":"Rodney J","non-dropping-particle":"","parse-names":false,"suffix":""},{"dropping-particle":"","family":"Smith","given":"Jennifer A","non-dropping-particle":"","parse-names":false,"suffix":""},{"dropping-particle":"","family":"Sutin","given":"Angelina R","non-dropping-particle":"","parse-names":false,"suffix":""},{"dropping-particle":"","family":"Trzaskowski","given":"Maciej","non-dropping-particle":"","parse-names":false,"suffix":""},{"dropping-particle":"","family":"Vinkhuyzen","given":"Anna E","non-dropping-particle":"","parse-names":false,"suffix":""},{"dropping-particle":"","family":"Yu","given":"Lei","non-dropping-particle":"","parse-names":false,"suffix":""},{"dropping-particle":"","family":"Zabaneh","given":"Delilah","non-dropping-particle":"","parse-names":false,"suffix":""},{"dropping-particle":"","family":"Attia","given":"John R","non-dropping-particle":"","parse-names":false,"suffix":""},{"dropping-particle":"","family":"Bennett","given":"David A","non-dropping-particle":"","parse-names":false,"suffix":""},{"dropping-particle":"","family":"Berger","given":"Klaus","non-dropping-particle":"","parse-names":false,"suffix":""},{"dropping-particle":"","family":"Bertram","given":"Lars","non-dropping-particle":"","parse-names":false,"suffix":""},{"dropping-particle":"","family":"Boomsma","given":"Dorret I","non-dropping-particle":"","parse-names":false,"suffix":""},{"dropping-particle":"","family":"Snieder","given":"Harold","non-dropping-particle":"","parse-names":false,"suffix":""},{"dropping-particle":"","family":"Chang","given":"Shun-Chiao","non-dropping-particle":"","parse-names":false,"suffix":""},{"dropping-particle":"","family":"Cucca","given":"Francesco","non-dropping-particle":"","parse-names":false,"suffix":""},{"dropping-particle":"","family":"Deary","given":"Ian J","non-dropping-particle":"","parse-names":false,"suffix":""},{"dropping-particle":"","family":"Duijn","given":"Cornelia M","non-dropping-particle":"van","parse-names":false,"suffix":""},{"dropping-particle":"","family":"Eriksson","given":"Johan G","non-dropping-particle":"","parse-names":false,"suffix":""},{"dropping-particle":"","family":"Bültmann","given":"Ute","non-dropping-particle":"","parse-names":false,"suffix":""},{"dropping-particle":"","family":"Geus","given":"Eco J C","non-dropping-particle":"de","parse-names":false,"suffix":""},{"dropping-particle":"","family":"Groenen","given":"Patrick J F","non-dropping-particle":"","parse-names":false,"suffix":""},{"dropping-particle":"","family":"Gudnason","given":"Vilmundur","non-dropping-particle":"","parse-names":false,"suffix":""},{"dropping-particle":"","family":"Hansen","given":"Torben","non-dropping-particle":"","parse-names":false,"suffix":""},{"dropping-particle":"","family":"Hartman","given":"Catharine A","non-dropping-particle":"","parse-names":false,"suffix":""},{"dropping-particle":"","family":"Haworth","given":"Claire M A","non-dropping-particle":"","parse-names":false,"suffix":""},{"dropping-particle":"","family":"Hayward","given":"Caroline","non-dropping-particle":"","parse-names":false,"suffix":""},{"dropping-particle":"","family":"Heath","given":"Andrew C","non-dropping-particle":"","parse-names":false,"suffix":""},{"dropping-particle":"","family":"Hinds","given":"David A","non-dropping-particle":"","parse-names":false,"suffix":""},{"dropping-particle":"","family":"Hyppönen","given":"Elina","non-dropping-particle":"","parse-names":false,"suffix":""},{"dropping-particle":"","family":"Iacono","given":"William G","non-dropping-particle":"","parse-names":false,"suffix":""},{"dropping-particle":"","family":"Järvelin","given":"Marjo-Riitta","non-dropping-particle":"","parse-names":false,"suffix":""},{"dropping-particle":"","family":"Jöckel","given":"Karl-Heinz","non-dropping-particle":"","parse-names":false,"suffix":""},{"dropping-particle":"","family":"Kaprio","given":"Jaakko","non-dropping-particle":"","parse-names":false,"suffix":""},{"dropping-particle":"","family":"Kardia","given":"Sharon L R","non-dropping-particle":"","parse-names":false,"suffix":""},{"dropping-particle":"","family":"Keltikangas-Järvinen","given":"Liisa","non-dropping-particle":"","parse-names":false,"suffix":""},{"dropping-particle":"","family":"Kraft","given":"Peter","non-dropping-particle":"","parse-names":false,"suffix":""},{"dropping-particle":"","family":"Kubzansky","given":"Laura D","non-dropping-particle":"","parse-names":false,"suffix":""},{"dropping-particle":"","family":"Lehtimäki","given":"Terho","non-dropping-particle":"","parse-names":false,"suffix":""},{"dropping-particle":"","family":"Magnusson","given":"Patrik K E","non-dropping-particle":"","parse-names":false,"suffix":""},{"dropping-particle":"","family":"Martin","given":"Nicholas G","non-dropping-particle":"","parse-names":false,"suffix":""},{"dropping-particle":"","family":"McGue","given":"Matt","non-dropping-particle":"","parse-names":false,"suffix":""},{"dropping-particle":"","family":"Metspalu","given":"Andres","non-dropping-particle":"","parse-names":false,"suffix":""},{"dropping-particle":"","family":"Mills","given":"Melinda","non-dropping-particle":"","parse-names":false,"suffix":""},{"dropping-particle":"","family":"Mutsert","given":"Renée","non-dropping-particle":"de","parse-names":false,"suffix":""},{"dropping-particle":"","family":"Oldehinkel","given":"Albertine J","non-dropping-particle":"","parse-names":false,"suffix":""},{"dropping-particle":"","family":"Pasterkamp","given":"Gerard","non-dropping-particle":"","parse-names":false,"suffix":""},{"dropping-particle":"","family":"Pedersen","given":"Nancy L","non-dropping-particle":"","parse-names":false,"suffix":""},{"dropping-particle":"","family":"Plomin","given":"Robert","non-dropping-particle":"","parse-names":false,"suffix":""},{"dropping-particle":"","family":"Polasek","given":"Ozren","non-dropping-particle":"","parse-names":false,"suffix":""},{"dropping-particle":"","family":"Power","given":"Christine","non-dropping-particle":"","parse-names":false,"suffix":""},{"dropping-particle":"","family":"Rich","given":"Stephen S","non-dropping-particle":"","parse-names":false,"suffix":""},{"dropping-particle":"","family":"Rosendaal","given":"Frits R","non-dropping-particle":"","parse-names":false,"suffix":""},{"dropping-particle":"","family":"Ruijter","given":"Hester M","non-dropping-particle":"den","parse-names":false,"suffix":""},{"dropping-particle":"","family":"Schlessinger","given":"David","non-dropping-particle":"","parse-names":false,"suffix":""},{"dropping-particle":"","family":"Schmidt","given":"Helena","non-dropping-particle":"","parse-names":false,"suffix":""},{"dropping-particle":"","family":"Svento","given":"Rauli","non-dropping-particle":"","parse-names":false,"suffix":""},{"dropping-particle":"","family":"Schmidt","given":"Reinhold","non-dropping-particle":"","parse-names":false,"suffix":""},{"dropping-particle":"","family":"Alizadeh","given":"Behrooz Z","non-dropping-particle":"","parse-names":false,"suffix":""},{"dropping-particle":"","family":"Sørensen","given":"Thorkild I A","non-dropping-particle":"","parse-names":false,"suffix":""},{"dropping-particle":"","family":"Spector","given":"Tim D","non-dropping-particle":"","parse-names":false,"suffix":""},{"dropping-particle":"","family":"Steptoe","given":"Andrew","non-dropping-particle":"","parse-names":false,"suffix":""},{"dropping-particle":"","family":"Terracciano","given":"Antonio","non-dropping-particle":"","parse-names":false,"suffix":""},{"dropping-particle":"","family":"Thurik","given":"A Roy","non-dropping-particle":"","parse-names":false,"suffix":""},{"dropping-particle":"","family":"Timpson","given":"Nicholas J","non-dropping-particle":"","parse-names":false,"suffix":""},{"dropping-particle":"","family":"Tiemeier","given":"Henning","non-dropping-particle":"","parse-names":false,"suffix":""},{"dropping-particle":"","family":"Uitterlinden","given":"André G","non-dropping-particle":"","parse-names":false,"suffix":""},{"dropping-particle":"","family":"Vollenweider","given":"Peter","non-dropping-particle":"","parse-names":false,"suffix":""},{"dropping-particle":"","family":"Wagner","given":"Gert G","non-dropping-particle":"","parse-names":false,"suffix":""},{"dropping-particle":"","family":"Weir","given":"David R","non-dropping-particle":"","parse-names":false,"suffix":""},{"dropping-particle":"","family":"Yang","given":"Jian","non-dropping-particle":"","parse-names":false,"suffix":""},{"dropping-particle":"","family":"Conley","given":"Dalton C","non-dropping-particle":"","parse-names":false,"suffix":""},{"dropping-particle":"","family":"Smith","given":"George Davey","non-dropping-particle":"","parse-names":false,"suffix":""},{"dropping-particle":"","family":"Hofman","given":"Albert","non-dropping-particle":"","parse-names":false,"suffix":""},{"dropping-particle":"","family":"Johannesson","given":"Magnus","non-dropping-particle":"","parse-names":false,"suffix":""},{"dropping-particle":"","family":"Laibson","given":"David I","non-dropping-particle":"","parse-names":false,"suffix":""},{"dropping-particle":"","family":"Medland","given":"Sarah E","non-dropping-particle":"","parse-names":false,"suffix":""},{"dropping-particle":"","family":"Meyer","given":"Michelle N","non-dropping-particle":"","parse-names":false,"suffix":""},{"dropping-particle":"","family":"Pickrell","given":"Joseph K","non-dropping-particle":"","parse-names":false,"suffix":""},{"dropping-particle":"","family":"Esko","given":"Tõnu","non-dropping-particle":"","parse-names":false,"suffix":""},{"dropping-particle":"","family":"Krueger","given":"Robert F","non-dropping-particle":"","parse-names":false,"suffix":""},{"dropping-particle":"","family":"Beauchamp","given":"Jonathan P","non-dropping-particle":"","parse-names":false,"suffix":""},{"dropping-particle":"","family":"Koellinger","given":"Philipp D","non-dropping-particle":"","parse-names":false,"suffix":""},{"dropping-particle":"","family":"Benjamin","given":"Daniel J","non-dropping-particle":"","parse-names":false,"suffix":""},{"dropping-particle":"","family":"Bartels","given":"Meike","non-dropping-particle":"","parse-names":false,"suffix":""},{"dropping-particle":"","family":"Cesarini","given":"David","non-dropping-particle":"","parse-names":false,"suffix":""}],"container-title":"Nature Genetics","id":"ITEM-1","issue":"6","issued":{"date-parts":[["2016"]]},"page":"1-13","title":"Genetic variants associated with subjective well-being, depressive symptoms, and neuroticism identified through genome-wide analyses","type":"article-journal","volume":"48"},"uris":["http://www.mendeley.com/documents/?uuid=97c916f6-35d3-4a1d-9189-c4498fc6f0f2"]}],"mendeley":{"formattedCitation":"&lt;sup&gt;16&lt;/sup&gt;","plainTextFormattedCitation":"16","previouslyFormattedCitation":"&lt;sup&gt;16&lt;/sup&gt;"},"properties":{"noteIndex":0},"schema":"https://github.com/citation-style-language/schema/raw/master/csl-citation.json"}</w:instrText>
      </w:r>
      <w:r w:rsidRPr="00575BC0">
        <w:rPr>
          <w:rFonts w:ascii="Times New Roman" w:hAnsi="Times New Roman"/>
          <w:sz w:val="24"/>
          <w:szCs w:val="24"/>
          <w:lang w:val="en-US"/>
        </w:rPr>
        <w:fldChar w:fldCharType="separate"/>
      </w:r>
      <w:r w:rsidR="008A22FF" w:rsidRPr="008A22FF">
        <w:rPr>
          <w:rFonts w:ascii="Times New Roman" w:hAnsi="Times New Roman"/>
          <w:noProof/>
          <w:sz w:val="24"/>
          <w:szCs w:val="24"/>
          <w:vertAlign w:val="superscript"/>
          <w:lang w:val="en-US"/>
        </w:rPr>
        <w:t>16</w:t>
      </w:r>
      <w:r w:rsidRPr="00575BC0">
        <w:rPr>
          <w:rFonts w:ascii="Times New Roman" w:hAnsi="Times New Roman"/>
          <w:sz w:val="24"/>
          <w:szCs w:val="24"/>
          <w:lang w:val="en-US"/>
        </w:rPr>
        <w:fldChar w:fldCharType="end"/>
      </w:r>
      <w:r w:rsidRPr="00575BC0">
        <w:rPr>
          <w:rFonts w:ascii="Times New Roman" w:hAnsi="Times New Roman"/>
          <w:sz w:val="24"/>
          <w:szCs w:val="24"/>
          <w:lang w:val="en-US"/>
        </w:rPr>
        <w:t xml:space="preserve"> was used </w:t>
      </w:r>
      <m:oMath>
        <m:r>
          <w:rPr>
            <w:rFonts w:ascii="Cambria Math" w:hAnsi="Cambria Math"/>
            <w:sz w:val="24"/>
            <w:szCs w:val="24"/>
            <w:lang w:val="en-US"/>
          </w:rPr>
          <m:t>standardize beta=(beta/SE)/</m:t>
        </m:r>
        <m:rad>
          <m:radPr>
            <m:degHide m:val="1"/>
            <m:ctrlPr>
              <w:rPr>
                <w:rFonts w:ascii="Cambria Math" w:hAnsi="Cambria Math"/>
                <w:i/>
                <w:sz w:val="24"/>
                <w:szCs w:val="24"/>
                <w:lang w:val="en-US"/>
              </w:rPr>
            </m:ctrlPr>
          </m:radPr>
          <m:deg/>
          <m:e>
            <m:r>
              <w:rPr>
                <w:rFonts w:ascii="Cambria Math" w:hAnsi="Cambria Math"/>
                <w:sz w:val="24"/>
                <w:szCs w:val="24"/>
                <w:lang w:val="en-US"/>
              </w:rPr>
              <m:t>N*2*AF(1-AF)</m:t>
            </m:r>
          </m:e>
        </m:rad>
      </m:oMath>
      <w:r w:rsidRPr="00575BC0">
        <w:rPr>
          <w:rFonts w:ascii="Times New Roman" w:eastAsiaTheme="minorEastAsia" w:hAnsi="Times New Roman"/>
          <w:sz w:val="24"/>
          <w:szCs w:val="24"/>
          <w:lang w:val="en-US"/>
        </w:rPr>
        <w:t xml:space="preserve"> with </w:t>
      </w:r>
      <m:oMath>
        <m:r>
          <w:rPr>
            <w:rFonts w:ascii="Cambria Math" w:eastAsiaTheme="minorEastAsia" w:hAnsi="Cambria Math"/>
            <w:sz w:val="24"/>
            <w:szCs w:val="24"/>
            <w:lang w:val="en-US"/>
          </w:rPr>
          <m:t>N=79,366</m:t>
        </m:r>
      </m:oMath>
      <w:r w:rsidRPr="00575BC0">
        <w:rPr>
          <w:rFonts w:ascii="Times New Roman" w:eastAsiaTheme="minorEastAsia" w:hAnsi="Times New Roman"/>
          <w:sz w:val="24"/>
          <w:szCs w:val="24"/>
          <w:lang w:val="en-US"/>
        </w:rPr>
        <w:t xml:space="preserve"> and </w:t>
      </w:r>
      <m:oMath>
        <m:r>
          <w:rPr>
            <w:rFonts w:ascii="Cambria Math" w:eastAsiaTheme="minorEastAsia" w:hAnsi="Cambria Math"/>
            <w:sz w:val="24"/>
            <w:szCs w:val="24"/>
            <w:lang w:val="en-US"/>
          </w:rPr>
          <m:t>AF</m:t>
        </m:r>
      </m:oMath>
      <w:r w:rsidRPr="00575BC0">
        <w:rPr>
          <w:rFonts w:ascii="Times New Roman" w:eastAsiaTheme="minorEastAsia" w:hAnsi="Times New Roman"/>
          <w:sz w:val="24"/>
          <w:szCs w:val="24"/>
          <w:lang w:val="en-US"/>
        </w:rPr>
        <w:t xml:space="preserve"> the allele frequency as displayed in eTable 3. Subsequently, the variance explained in </w:t>
      </w:r>
      <w:r w:rsidRPr="00575BC0">
        <w:rPr>
          <w:rFonts w:ascii="Times New Roman" w:hAnsi="Times New Roman"/>
          <w:sz w:val="24"/>
          <w:szCs w:val="24"/>
          <w:lang w:val="en-US"/>
        </w:rPr>
        <w:t>25-OH-D</w:t>
      </w:r>
      <w:r w:rsidRPr="00575BC0">
        <w:rPr>
          <w:rFonts w:ascii="Times New Roman" w:eastAsiaTheme="minorEastAsia" w:hAnsi="Times New Roman"/>
          <w:sz w:val="24"/>
          <w:szCs w:val="24"/>
          <w:lang w:val="en-US"/>
        </w:rPr>
        <w:t xml:space="preserve"> was estimated as </w:t>
      </w:r>
      <m:oMath>
        <m:sSub>
          <m:sSubPr>
            <m:ctrlPr>
              <w:rPr>
                <w:rFonts w:ascii="Cambria Math" w:eastAsiaTheme="minorEastAsia" w:hAnsi="Cambria Math"/>
                <w:i/>
                <w:sz w:val="24"/>
                <w:szCs w:val="24"/>
                <w:lang w:val="en-US"/>
              </w:rPr>
            </m:ctrlPr>
          </m:sSubPr>
          <m:e>
            <m:r>
              <w:rPr>
                <w:rFonts w:ascii="Cambria Math" w:eastAsiaTheme="minorEastAsia" w:hAnsi="Cambria Math"/>
                <w:sz w:val="24"/>
                <w:szCs w:val="24"/>
                <w:lang w:val="en-US"/>
              </w:rPr>
              <m:t>Var</m:t>
            </m:r>
          </m:e>
          <m:sub>
            <m:r>
              <w:rPr>
                <w:rFonts w:ascii="Cambria Math" w:eastAsiaTheme="minorEastAsia" w:hAnsi="Cambria Math"/>
                <w:sz w:val="24"/>
                <w:szCs w:val="24"/>
                <w:lang w:val="en-US"/>
              </w:rPr>
              <m:t>SNP→VitD</m:t>
            </m:r>
          </m:sub>
        </m:sSub>
        <m:r>
          <w:rPr>
            <w:rFonts w:ascii="Cambria Math" w:eastAsiaTheme="minorEastAsia" w:hAnsi="Cambria Math"/>
            <w:sz w:val="24"/>
            <w:szCs w:val="24"/>
            <w:lang w:val="en-US"/>
          </w:rPr>
          <m:t>=</m:t>
        </m:r>
        <m:sSup>
          <m:sSupPr>
            <m:ctrlPr>
              <w:rPr>
                <w:rFonts w:ascii="Cambria Math" w:eastAsiaTheme="minorEastAsia" w:hAnsi="Cambria Math"/>
                <w:i/>
                <w:sz w:val="24"/>
                <w:szCs w:val="24"/>
                <w:lang w:val="en-US"/>
              </w:rPr>
            </m:ctrlPr>
          </m:sSupPr>
          <m:e>
            <m:r>
              <w:rPr>
                <w:rFonts w:ascii="Cambria Math" w:eastAsiaTheme="minorEastAsia" w:hAnsi="Cambria Math"/>
                <w:sz w:val="24"/>
                <w:szCs w:val="24"/>
                <w:lang w:val="en-US"/>
              </w:rPr>
              <m:t>(</m:t>
            </m:r>
            <m:r>
              <w:rPr>
                <w:rFonts w:ascii="Cambria Math" w:hAnsi="Cambria Math"/>
                <w:sz w:val="24"/>
                <w:szCs w:val="24"/>
                <w:lang w:val="en-US"/>
              </w:rPr>
              <m:t>standardize beta)</m:t>
            </m:r>
          </m:e>
          <m:sup>
            <m:r>
              <w:rPr>
                <w:rFonts w:ascii="Cambria Math" w:eastAsiaTheme="minorEastAsia" w:hAnsi="Cambria Math"/>
                <w:sz w:val="24"/>
                <w:szCs w:val="24"/>
                <w:lang w:val="en-US"/>
              </w:rPr>
              <m:t>2</m:t>
            </m:r>
          </m:sup>
        </m:sSup>
        <m:r>
          <w:rPr>
            <w:rFonts w:ascii="Cambria Math" w:eastAsiaTheme="minorEastAsia" w:hAnsi="Cambria Math"/>
            <w:sz w:val="24"/>
            <w:szCs w:val="24"/>
            <w:lang w:val="en-US"/>
          </w:rPr>
          <m:t>*2*AF*(1-AF)</m:t>
        </m:r>
      </m:oMath>
      <w:r w:rsidRPr="00575BC0">
        <w:rPr>
          <w:rFonts w:ascii="Times New Roman" w:eastAsiaTheme="minorEastAsia" w:hAnsi="Times New Roman"/>
          <w:sz w:val="24"/>
          <w:szCs w:val="24"/>
          <w:lang w:val="en-US"/>
        </w:rPr>
        <w:t xml:space="preserve">. The combined impact of the six SNPs thus adds up to 2.7% variance explained in </w:t>
      </w:r>
      <w:r w:rsidRPr="00575BC0">
        <w:rPr>
          <w:rFonts w:ascii="Times New Roman" w:hAnsi="Times New Roman"/>
          <w:sz w:val="24"/>
          <w:szCs w:val="24"/>
          <w:lang w:val="en-US"/>
        </w:rPr>
        <w:t>25-OH-D</w:t>
      </w:r>
      <w:r w:rsidRPr="00575BC0">
        <w:rPr>
          <w:rFonts w:ascii="Times New Roman" w:eastAsiaTheme="minorEastAsia" w:hAnsi="Times New Roman"/>
          <w:sz w:val="24"/>
          <w:szCs w:val="24"/>
          <w:lang w:val="en-US"/>
        </w:rPr>
        <w:t>, which is very close to the combined impact presented by Jiang et al</w:t>
      </w:r>
      <w:r w:rsidRPr="00575BC0">
        <w:rPr>
          <w:rFonts w:ascii="Times New Roman" w:eastAsiaTheme="minorEastAsia" w:hAnsi="Times New Roman"/>
          <w:sz w:val="24"/>
          <w:szCs w:val="24"/>
          <w:lang w:val="en-US"/>
        </w:rPr>
        <w:fldChar w:fldCharType="begin" w:fldLock="1"/>
      </w:r>
      <w:r w:rsidR="009A73FF">
        <w:rPr>
          <w:rFonts w:ascii="Times New Roman" w:eastAsiaTheme="minorEastAsia" w:hAnsi="Times New Roman"/>
          <w:sz w:val="24"/>
          <w:szCs w:val="24"/>
          <w:lang w:val="en-US"/>
        </w:rPr>
        <w:instrText>ADDIN CSL_CITATION {"citationItems":[{"id":"ITEM-1","itemData":{"DOI":"10.1038/s41467-017-02662-2","ISBN":"4146701702662","ISSN":"2041-1723","PMID":"29343764","author":[{"dropping-particle":"","family":"Jiang","given":"Xia","non-dropping-particle":"","parse-names":false,"suffix":""},{"dropping-particle":"","family":"O’Reilly","given":"Paul F.","non-dropping-particle":"","parse-names":false,"suffix":""},{"dropping-particle":"","family":"Aschard","given":"Hugues","non-dropping-particle":"","parse-names":false,"suffix":""},{"dropping-particle":"","family":"Hsu","given":"Yi-Hsiang","non-dropping-particle":"","parse-names":false,"suffix":""},{"dropping-particle":"","family":"Richards","given":"J. Brent","non-dropping-particle":"","parse-names":false,"suffix":""},{"dropping-particle":"","family":"Dupuis","given":"Josée","non-dropping-particle":"","parse-names":false,"suffix":""},{"dropping-particle":"","family":"Ingelsson","given":"Erik","non-dropping-particle":"","parse-names":false,"suffix":""},{"dropping-particle":"","family":"Karasik","given":"David","non-dropping-particle":"","parse-names":false,"suffix":""},{"dropping-particle":"","family":"Pilz","given":"Stefan","non-dropping-particle":"","parse-names":false,"suffix":""},{"dropping-particle":"","family":"Berry","given":"Diane","non-dropping-particle":"","parse-names":false,"suffix":""},{"dropping-particle":"","family":"Kestenbaum","given":"Bryan","non-dropping-particle":"","parse-names":false,"suffix":""},{"dropping-particle":"","family":"Zheng","given":"Jusheng","non-dropping-particle":"","parse-names":false,"suffix":""},{"dropping-particle":"","family":"Luan","given":"Jianan","non-dropping-particle":"","parse-names":false,"suffix":""},{"dropping-particle":"","family":"Sofianopoulou","given":"Eleni","non-dropping-particle":"","parse-names":false,"suffix":""},{"dropping-particle":"","family":"Streeten","given":"Elizabeth A.","non-dropping-particle":"","parse-names":false,"suffix":""},{"dropping-particle":"","family":"Albanes","given":"Demetrius","non-dropping-particle":"","parse-names":false,"suffix":""},{"dropping-particle":"","family":"Lutsey","given":"Pamela L.","non-dropping-particle":"","parse-names":false,"suffix":""},{"dropping-particle":"","family":"Yao","given":"Lu","non-dropping-particle":"","parse-names":false,"suffix":""},{"dropping-particle":"","family":"Tang","given":"Weihong","non-dropping-particle":"","parse-names":false,"suffix":""},{"dropping-particle":"","family":"Econs","given":"Michael J.","non-dropping-particle":"","parse-names":false,"suffix":""},{"dropping-particle":"","family":"Wallaschofski","given":"Henri","non-dropping-particle":"","parse-names":false,"suffix":""},{"dropping-particle":"","family":"Völzke","given":"Henry","non-dropping-particle":"","parse-names":false,"suffix":""},{"dropping-particle":"","family":"Zhou","given":"Ang","non-dropping-particle":"","parse-names":false,"suffix":""},{"dropping-particle":"","family":"Power","given":"Chris","non-dropping-particle":"","parse-names":false,"suffix":""},{"dropping-particle":"","family":"McCarthy","given":"Mark I.","non-dropping-particle":"","parse-names":false,"suffix":""},{"dropping-particle":"","family":"Michos","given":"Erin D.","non-dropping-particle":"","parse-names":false,"suffix":""},{"dropping-particle":"","family":"Boerwinkle","given":"Eric","non-dropping-particle":"","parse-names":false,"suffix":""},{"dropping-particle":"","family":"Weinstein","given":"Stephanie J.","non-dropping-particle":"","parse-names":false,"suffix":""},{"dropping-particle":"","family":"Freedman","given":"Neal D.","non-dropping-particle":"","parse-names":false,"suffix":""},{"dropping-particle":"","family":"Huang","given":"Wen-Yi","non-dropping-particle":"","parse-names":false,"suffix":""},{"dropping-particle":"","family":"Schoor","given":"Natasja M.","non-dropping-particle":"Van","parse-names":false,"suffix":""},{"dropping-particle":"","family":"Velde","given":"Nathalie","non-dropping-particle":"van der","parse-names":false,"suffix":""},{"dropping-particle":"de","family":"Groot","given":"Lisette C. P. G. M.","non-dropping-particle":"","parse-names":false,"suffix":""},{"dropping-particle":"","family":"Enneman","given":"Anke","non-dropping-particle":"","parse-names":false,"suffix":""},{"dropping-particle":"","family":"Cupples","given":"L. Adrienne","non-dropping-particle":"","parse-names":false,"suffix":""},{"dropping-particle":"","family":"Booth","given":"Sarah L.","non-dropping-particle":"","parse-names":false,"suffix":""},{"dropping-particle":"","family":"Vasan","given":"Ramachandran S.","non-dropping-particle":"","parse-names":false,"suffix":""},{"dropping-particle":"","family":"Liu","given":"Ching-Ti","non-dropping-particle":"","parse-names":false,"suffix":""},{"dropping-particle":"","family":"Zhou","given":"Yanhua","non-dropping-particle":"","parse-names":false,"suffix":""},{"dropping-particle":"","family":"Ripatti","given":"Samuli","non-dropping-particle":"","parse-names":false,"suffix":""},{"dropping-particle":"","family":"Ohlsson","given":"Claes","non-dropping-particle":"","parse-names":false,"suffix":""},{"dropping-particle":"","family":"Vandenput","given":"Liesbeth","non-dropping-particle":"","parse-names":false,"suffix":""},{"dropping-particle":"","family":"Lorentzon","given":"Mattias","non-dropping-particle":"","parse-names":false,"suffix":""},{"dropping-particle":"","family":"Eriksson","given":"Johan G.","non-dropping-particle":"","parse-names":false,"suffix":""},{"dropping-particle":"","family":"Shea","given":"M. Kyla","non-dropping-particle":"","parse-names":false,"suffix":""},{"dropping-particle":"","family":"Houston","given":"Denise K.","non-dropping-particle":"","parse-names":false,"suffix":""},{"dropping-particle":"","family":"Kritchevsky","given":"Stephen B.","non-dropping-particle":"","parse-names":false,"suffix":""},{"dropping-particle":"","family":"Liu","given":"Yongmei","non-dropping-particle":"","parse-names":false,"suffix":""},{"dropping-particle":"","family":"Lohman","given":"Kurt K.","non-dropping-particle":"","parse-names":false,"suffix":""},{"dropping-particle":"","family":"Ferrucci","given":"Luigi","non-dropping-particle":"","parse-names":false,"suffix":""},{"dropping-particle":"","family":"Peacock","given":"Munro","non-dropping-particle":"","parse-names":false,"suffix":""},{"dropping-particle":"","family":"Gieger","given":"Christian","non-dropping-particle":"","parse-names":false,"suffix":""},{"dropping-particle":"","family":"Beekman","given":"Marian","non-dropping-particle":"","parse-names":false,"suffix":""},{"dropping-particle":"","family":"Slagboom","given":"Eline","non-dropping-particle":"","parse-names":false,"suffix":""},{"dropping-particle":"","family":"Deelen","given":"Joris","non-dropping-particle":"","parse-names":false,"suffix":""},{"dropping-particle":"van","family":"Heemst","given":"Diana","non-dropping-particle":"","parse-names":false,"suffix":""},{"dropping-particle":"","family":"Kleber","given":"Marcus E.","non-dropping-particle":"","parse-names":false,"suffix":""},{"dropping-particle":"","family":"März","given":"Winfried","non-dropping-particle":"","parse-names":false,"suffix":""},{"dropping-particle":"","family":"Boer","given":"Ian H.","non-dropping-particle":"de","parse-names":false,"suffix":""},{"dropping-particle":"","family":"Wood","given":"Alexis C.","non-dropping-particle":"","parse-names":false,"suffix":""},{"dropping-particle":"","family":"Rotter","given":"Jerome I.","non-dropping-particle":"","parse-names":false,"suffix":""},{"dropping-particle":"","family":"Rich","given":"Stephen S.","non-dropping-particle":"","parse-names":false,"suffix":""},{"dropping-particle":"","family":"Robinson-Cohen","given":"Cassianne","non-dropping-particle":"","parse-names":false,"suffix":""},{"dropping-particle":"","family":"Heijer","given":"Martin","non-dropping-particle":"den","parse-names":false,"suffix":""},{"dropping-particle":"","family":"Jarvelin","given":"Marjo-Riitta","non-dropping-particle":"","parse-names":false,"suffix":""},{"dropping-particle":"","family":"Cavadino","given":"Alana","non-dropping-particle":"","parse-names":false,"suffix":""},{"dropping-particle":"","family":"Joshi","given":"Peter K.","non-dropping-particle":"","parse-names":false,"suffix":""},{"dropping-particle":"","family":"Wilson","given":"James F.","non-dropping-particle":"","parse-names":false,"suffix":""},{"dropping-particle":"","family":"Hayward","given":"Caroline","non-dropping-particle":"","parse-names":false,"suffix":""},{"dropping-particle":"","family":"Lind","given":"Lars","non-dropping-particle":"","parse-names":false,"suffix":""},{"dropping-particle":"","family":"Michaëlsson","given":"Karl","non-dropping-particle":"","parse-names":false,"suffix":""},{"dropping-particle":"","family":"Trompet","given":"Stella","non-dropping-particle":"","parse-names":false,"suffix":""},{"dropping-particle":"","family":"Zillikens","given":"M. Carola","non-dropping-particle":"","parse-names":false,"suffix":""},{"dropping-particle":"","family":"Uitterlinden","given":"Andre G.","non-dropping-particle":"","parse-names":false,"suffix":""},{"dropping-particle":"","family":"Rivadeneira","given":"Fernando","non-dropping-particle":"","parse-names":false,"suffix":""},{"dropping-particle":"","family":"Broer","given":"Linda","non-dropping-particle":"","parse-names":false,"suffix":""},{"dropping-particle":"","family":"Zgaga","given":"Lina","non-dropping-particle":"","parse-names":false,"suffix":""},{"dropping-particle":"","family":"Campbell","given":"Harry","non-dropping-particle":"","parse-names":false,"suffix":""},{"dropping-particle":"","family":"Theodoratou","given":"Evropi","non-dropping-particle":"","parse-names":false,"suffix":""},{"dropping-particle":"","family":"Farrington","given":"Susan M.","non-dropping-particle":"","parse-names":false,"suffix":""},{"dropping-particle":"","family":"Timofeeva","given":"Maria","non-dropping-particle":"","parse-names":false,"suffix":""},{"dropping-particle":"","family":"Dunlop","given":"Malcolm G.","non-dropping-particle":"","parse-names":false,"suffix":""},{"dropping-particle":"","family":"Valdes","given":"Ana M.","non-dropping-particle":"","parse-names":false,"suffix":""},{"dropping-particle":"","family":"Tikkanen","given":"Emmi","non-dropping-particle":"","parse-names":false,"suffix":""},{"dropping-particle":"","family":"Lehtimäki","given":"Terho","non-dropping-particle":"","parse-names":false,"suffix":""},{"dropping-particle":"","family":"Lyytikäinen","given":"Leo-Pekka","non-dropping-particle":"","parse-names":false,"suffix":""},{"dropping-particle":"","family":"Kähönen","given":"Mika","non-dropping-particle":"","parse-names":false,"suffix":""},{"dropping-particle":"","family":"Raitakari","given":"Olli T.","non-dropping-particle":"","parse-names":false,"suffix":""},{"dropping-particle":"","family":"Mikkilä","given":"Vera","non-dropping-particle":"","parse-names":false,"suffix":""},{"dropping-particle":"","family":"Ikram","given":"M. Arfan","non-dropping-particle":"","parse-names":false,"suffix":""},{"dropping-particle":"","family":"Sattar","given":"Naveed","non-dropping-particle":"","parse-names":false,"suffix":""},{"dropping-particle":"","family":"Jukema","given":"J. Wouter","non-dropping-particle":"","parse-names":false,"suffix":""},{"dropping-particle":"","family":"Wareham","given":"Nicholas J.","non-dropping-particle":"","parse-names":false,"suffix":""},{"dropping-particle":"","family":"Langenberg","given":"Claudia","non-dropping-particle":"","parse-names":false,"suffix":""},{"dropping-particle":"","family":"Forouhi","given":"Nita G.","non-dropping-particle":"","parse-names":false,"suffix":""},{"dropping-particle":"","family":"Gundersen","given":"Thomas E.","non-dropping-particle":"","parse-names":false,"suffix":""},{"dropping-particle":"","family":"Khaw","given":"Kay-Tee","non-dropping-particle":"","parse-names":false,"suffix":""},{"dropping-particle":"","family":"Butterworth","given":"Adam S.","non-dropping-particle":"","parse-names":false,"suffix":""},{"dropping-particle":"","family":"Danesh","given":"John","non-dropping-particle":"","parse-names":false,"suffix":""},{"dropping-particle":"","family":"Spector","given":"Timothy","non-dropping-particle":"","parse-names":false,"suffix":""},{"dropping-particle":"","family":"Wang","given":"Thomas J.","non-dropping-particle":"","parse-names":false,"suffix":""},{"dropping-particle":"","family":"Hyppönen","given":"Elina","non-dropping-particle":"","parse-names":false,"suffix":""},{"dropping-particle":"","family":"Kraft","given":"Peter","non-dropping-particle":"","parse-names":false,"suffix":""},{"dropping-particle":"","family":"Kiel","given":"Douglas P.","non-dropping-particle":"","parse-names":false,"suffix":""}],"container-title":"Nature Communications","id":"ITEM-1","issue":"1","issued":{"date-parts":[["2018"]]},"page":"260","title":"Genome-wide association study in 79,366 European-ancestry individuals informs the genetic architecture of 25-hydroxyvitamin D levels","type":"article-journal","volume":"9"},"uris":["http://www.mendeley.com/documents/?uuid=fe9da13a-8337-4666-9595-635f5bdebf0a"]}],"mendeley":{"formattedCitation":"&lt;sup&gt;8&lt;/sup&gt;","plainTextFormattedCitation":"8","previouslyFormattedCitation":"&lt;sup&gt;8&lt;/sup&gt;"},"properties":{"noteIndex":0},"schema":"https://github.com/citation-style-language/schema/raw/master/csl-citation.json"}</w:instrText>
      </w:r>
      <w:r w:rsidRPr="00575BC0">
        <w:rPr>
          <w:rFonts w:ascii="Times New Roman" w:eastAsiaTheme="minorEastAsia" w:hAnsi="Times New Roman"/>
          <w:sz w:val="24"/>
          <w:szCs w:val="24"/>
          <w:lang w:val="en-US"/>
        </w:rPr>
        <w:fldChar w:fldCharType="separate"/>
      </w:r>
      <w:r w:rsidR="009A73FF" w:rsidRPr="009A73FF">
        <w:rPr>
          <w:rFonts w:ascii="Times New Roman" w:eastAsiaTheme="minorEastAsia" w:hAnsi="Times New Roman"/>
          <w:noProof/>
          <w:sz w:val="24"/>
          <w:szCs w:val="24"/>
          <w:vertAlign w:val="superscript"/>
          <w:lang w:val="en-US"/>
        </w:rPr>
        <w:t>8</w:t>
      </w:r>
      <w:r w:rsidRPr="00575BC0">
        <w:rPr>
          <w:rFonts w:ascii="Times New Roman" w:eastAsiaTheme="minorEastAsia" w:hAnsi="Times New Roman"/>
          <w:sz w:val="24"/>
          <w:szCs w:val="24"/>
          <w:lang w:val="en-US"/>
        </w:rPr>
        <w:fldChar w:fldCharType="end"/>
      </w:r>
      <w:r w:rsidRPr="00575BC0">
        <w:rPr>
          <w:rFonts w:ascii="Times New Roman" w:eastAsiaTheme="minorEastAsia" w:hAnsi="Times New Roman"/>
          <w:sz w:val="24"/>
          <w:szCs w:val="24"/>
          <w:lang w:val="en-US"/>
        </w:rPr>
        <w:t xml:space="preserve"> of 2.8%, indicating our approximation of the variance explained in Vitamin D is correct.</w:t>
      </w:r>
    </w:p>
    <w:p w14:paraId="6E085331" w14:textId="09A230C0" w:rsidR="00B0651C" w:rsidRPr="00575BC0" w:rsidRDefault="008B15B4" w:rsidP="00B0651C">
      <w:pPr>
        <w:pStyle w:val="Nessunaspaziatura1"/>
        <w:spacing w:line="480" w:lineRule="auto"/>
        <w:rPr>
          <w:rFonts w:ascii="Times New Roman" w:eastAsiaTheme="minorEastAsia" w:hAnsi="Times New Roman"/>
          <w:sz w:val="24"/>
          <w:szCs w:val="24"/>
          <w:lang w:val="en-US"/>
        </w:rPr>
      </w:pPr>
      <w:r w:rsidRPr="00575BC0">
        <w:rPr>
          <w:rFonts w:ascii="Times New Roman" w:hAnsi="Times New Roman"/>
          <w:sz w:val="24"/>
          <w:szCs w:val="24"/>
          <w:lang w:val="en-US"/>
        </w:rPr>
        <w:t>The variance explained in MDD liability by 25-OH-D was estimated at 5%, and by n3-PUFA at 4% based on Lee et al</w:t>
      </w:r>
      <w:r w:rsidRPr="00575BC0">
        <w:rPr>
          <w:rFonts w:ascii="Times New Roman" w:hAnsi="Times New Roman"/>
          <w:sz w:val="24"/>
          <w:szCs w:val="24"/>
          <w:lang w:val="en-US"/>
        </w:rPr>
        <w:fldChar w:fldCharType="begin" w:fldLock="1"/>
      </w:r>
      <w:r w:rsidR="009A73FF">
        <w:rPr>
          <w:rFonts w:ascii="Times New Roman" w:hAnsi="Times New Roman"/>
          <w:sz w:val="24"/>
          <w:szCs w:val="24"/>
          <w:lang w:val="en-US"/>
        </w:rPr>
        <w:instrText>ADDIN CSL_CITATION {"citationItems":[{"id":"ITEM-1","itemData":{"DOI":"10.1002/gepi.21614","ISSN":"07410395","PMID":"22714935","abstract":"Genome-wide association studies have facilitated the construction of risk predictors for disease from multiple Single Nucleotide Polymorphism markers. The ability of such \"genetic profiles\" to predict outcome is usually quantified in an independent data set. Coefficients of determination (R(2) ) have been a useful measure to quantify the goodness-of-fit of the genetic profile. Various pseudo-R(2) measures for binary responses have been proposed. However, there is no standard or consensus measure because the concept of residual variance is not easily defined on the observed probability scale. Unlike other nongenetic predictors such as environmental exposure, there is prior information on genetic predictors because for most traits there are estimates of the proportion of variation in risk in the population due to all genetic factors, the heritability. It is this useful ability to benchmark that makes the choice of a measure of goodness-of-fit in genetic profiling different from that of nongenetic predictors. In this study, we use a liability threshold model to establish the relationship between the observed probability scale and underlying liability scale in measuring R(2) for binary responses. We show that currently used R(2) measures are difficult to interpret, biased by ascertainment, and not comparable to heritability. We suggest a novel and globally standard measure of R(2) that is interpretable on the liability scale. Furthermore, even when using ascertained case-control studies that are typical in human disease studies, we can obtain an R(2) measure on the liability scale that can be compared directly to heritability.","author":[{"dropping-particle":"","family":"Lee","given":"Sang Hong","non-dropping-particle":"","parse-names":false,"suffix":""},{"dropping-particle":"","family":"Goddard","given":"Michael E","non-dropping-particle":"","parse-names":false,"suffix":""},{"dropping-particle":"","family":"Wray","given":"Naomi R","non-dropping-particle":"","parse-names":false,"suffix":""},{"dropping-particle":"","family":"Visscher","given":"Peter M","non-dropping-particle":"","parse-names":false,"suffix":""}],"container-title":"Genetic Epidemiology","id":"ITEM-1","issue":"3","issued":{"date-parts":[["2012","4"]]},"page":"214-224","title":"A Better Coefficient of Determination for Genetic Profile Analysis","type":"article-journal","volume":"36"},"uris":["http://www.mendeley.com/documents/?uuid=2977b1ab-c4a8-3c78-9d5e-e3840e2dbf23"]}],"mendeley":{"formattedCitation":"&lt;sup&gt;12&lt;/sup&gt;","plainTextFormattedCitation":"12","previouslyFormattedCitation":"&lt;sup&gt;12&lt;/sup&gt;"},"properties":{"noteIndex":0},"schema":"https://github.com/citation-style-language/schema/raw/master/csl-citation.json"}</w:instrText>
      </w:r>
      <w:r w:rsidRPr="00575BC0">
        <w:rPr>
          <w:rFonts w:ascii="Times New Roman" w:hAnsi="Times New Roman"/>
          <w:sz w:val="24"/>
          <w:szCs w:val="24"/>
          <w:lang w:val="en-US"/>
        </w:rPr>
        <w:fldChar w:fldCharType="separate"/>
      </w:r>
      <w:r w:rsidR="008A22FF" w:rsidRPr="008A22FF">
        <w:rPr>
          <w:rFonts w:ascii="Times New Roman" w:hAnsi="Times New Roman"/>
          <w:noProof/>
          <w:sz w:val="24"/>
          <w:szCs w:val="24"/>
          <w:vertAlign w:val="superscript"/>
          <w:lang w:val="en-US"/>
        </w:rPr>
        <w:t>12</w:t>
      </w:r>
      <w:r w:rsidRPr="00575BC0">
        <w:rPr>
          <w:rFonts w:ascii="Times New Roman" w:hAnsi="Times New Roman"/>
          <w:sz w:val="24"/>
          <w:szCs w:val="24"/>
          <w:lang w:val="en-US"/>
        </w:rPr>
        <w:fldChar w:fldCharType="end"/>
      </w:r>
      <w:r w:rsidRPr="00575BC0">
        <w:rPr>
          <w:rFonts w:ascii="Times New Roman" w:hAnsi="Times New Roman"/>
          <w:sz w:val="24"/>
          <w:szCs w:val="24"/>
          <w:lang w:val="en-US"/>
        </w:rPr>
        <w:t xml:space="preserve"> method. When the link between 25-OH-D and MDD would be </w:t>
      </w:r>
      <w:r w:rsidRPr="00575BC0">
        <w:rPr>
          <w:rFonts w:ascii="Times New Roman" w:hAnsi="Times New Roman"/>
          <w:sz w:val="24"/>
          <w:szCs w:val="24"/>
          <w:lang w:val="en-US"/>
        </w:rPr>
        <w:lastRenderedPageBreak/>
        <w:t xml:space="preserve">causal, SNPs would thus explain </w:t>
      </w:r>
      <m:oMath>
        <m:sSub>
          <m:sSubPr>
            <m:ctrlPr>
              <w:rPr>
                <w:rFonts w:ascii="Cambria Math" w:eastAsiaTheme="minorEastAsia" w:hAnsi="Cambria Math"/>
                <w:i/>
                <w:sz w:val="24"/>
                <w:szCs w:val="24"/>
                <w:lang w:val="en-US"/>
              </w:rPr>
            </m:ctrlPr>
          </m:sSubPr>
          <m:e>
            <m:sSub>
              <m:sSubPr>
                <m:ctrlPr>
                  <w:rPr>
                    <w:rFonts w:ascii="Cambria Math" w:eastAsiaTheme="minorEastAsia" w:hAnsi="Cambria Math"/>
                    <w:i/>
                    <w:sz w:val="24"/>
                    <w:szCs w:val="24"/>
                    <w:lang w:val="en-US"/>
                  </w:rPr>
                </m:ctrlPr>
              </m:sSubPr>
              <m:e>
                <m:r>
                  <w:rPr>
                    <w:rFonts w:ascii="Cambria Math" w:eastAsiaTheme="minorEastAsia" w:hAnsi="Cambria Math"/>
                    <w:sz w:val="24"/>
                    <w:szCs w:val="24"/>
                    <w:lang w:val="en-US"/>
                  </w:rPr>
                  <m:t>Var</m:t>
                </m:r>
              </m:e>
              <m:sub>
                <m:r>
                  <w:rPr>
                    <w:rFonts w:ascii="Cambria Math" w:eastAsiaTheme="minorEastAsia" w:hAnsi="Cambria Math"/>
                    <w:sz w:val="24"/>
                    <w:szCs w:val="24"/>
                    <w:lang w:val="en-US"/>
                  </w:rPr>
                  <m:t>SNP→MDD</m:t>
                </m:r>
              </m:sub>
            </m:sSub>
            <m:r>
              <w:rPr>
                <w:rFonts w:ascii="Cambria Math" w:eastAsiaTheme="minorEastAsia" w:hAnsi="Cambria Math"/>
                <w:sz w:val="24"/>
                <w:szCs w:val="24"/>
                <w:lang w:val="en-US"/>
              </w:rPr>
              <m:t>=0.05*Var</m:t>
            </m:r>
          </m:e>
          <m:sub>
            <m:r>
              <w:rPr>
                <w:rFonts w:ascii="Cambria Math" w:eastAsiaTheme="minorEastAsia" w:hAnsi="Cambria Math"/>
                <w:sz w:val="24"/>
                <w:szCs w:val="24"/>
                <w:lang w:val="en-US"/>
              </w:rPr>
              <m:t>SNP→exposure</m:t>
            </m:r>
          </m:sub>
        </m:sSub>
      </m:oMath>
      <w:r w:rsidRPr="00575BC0">
        <w:rPr>
          <w:rFonts w:ascii="Times New Roman" w:eastAsiaTheme="minorEastAsia" w:hAnsi="Times New Roman"/>
          <w:sz w:val="24"/>
          <w:szCs w:val="24"/>
          <w:lang w:val="en-US"/>
        </w:rPr>
        <w:t xml:space="preserve"> of variance in MDD. From this the power to detect an association between the SNP and MDD in </w:t>
      </w:r>
      <w:r w:rsidRPr="00575BC0">
        <w:rPr>
          <w:rFonts w:ascii="Times New Roman" w:hAnsi="Times New Roman"/>
          <w:sz w:val="24"/>
          <w:szCs w:val="24"/>
          <w:lang w:val="en-US"/>
        </w:rPr>
        <w:t xml:space="preserve">the related GWAS (135,458 cases 344,901 controls) </w:t>
      </w:r>
      <w:r w:rsidR="00F7762F" w:rsidRPr="00575BC0">
        <w:rPr>
          <w:rFonts w:ascii="Times New Roman" w:eastAsiaTheme="minorEastAsia" w:hAnsi="Times New Roman"/>
          <w:sz w:val="24"/>
          <w:szCs w:val="24"/>
          <w:lang w:val="en-US"/>
        </w:rPr>
        <w:t>was approximated as described previously.</w:t>
      </w:r>
      <w:r w:rsidR="00F7762F" w:rsidRPr="00575BC0">
        <w:rPr>
          <w:rFonts w:ascii="Times New Roman" w:eastAsiaTheme="minorEastAsia" w:hAnsi="Times New Roman"/>
          <w:sz w:val="24"/>
          <w:szCs w:val="24"/>
          <w:lang w:val="en-US"/>
        </w:rPr>
        <w:fldChar w:fldCharType="begin" w:fldLock="1"/>
      </w:r>
      <w:r w:rsidR="009A73FF">
        <w:rPr>
          <w:rFonts w:ascii="Times New Roman" w:eastAsiaTheme="minorEastAsia" w:hAnsi="Times New Roman"/>
          <w:sz w:val="24"/>
          <w:szCs w:val="24"/>
          <w:lang w:val="en-US"/>
        </w:rPr>
        <w:instrText>ADDIN CSL_CITATION {"citationItems":[{"id":"ITEM-1","itemData":{"DOI":"10.1016/j.ajhg.2015.12.017","ISBN":"0002-9297","ISSN":"15376605","PMID":"26849113","abstract":"Genome-wide association studies (GWASs) are an optimal design for discovery of disease risk loci for diseases whose underlying genetic architecture includes many common causal loci of small effect (a polygenic architecture). We consider two designs that deserve careful consideration if the true underlying genetic architecture of the trait is polygenic: parent-offspring trios and unscreened control subjects. We assess these designs in terms of quantification of the total contribution of genome-wide genetic markers to disease risk (SNP heritability) and power to detect an associated risk allele. First, we show that trio designs should be avoided when: (1) the disease has a lifetime risk &gt; 1%; (2) trio probands are ascertained from families with more than one affected sibling under which scenario the SNP heritability can drop by more than 50% and power can drop as much as from 0.9 to 0.15 for a sample of 20,000 subjects; or (3) assortative mating occurs (spouse correlation of the underlying liability to the disorder), which decreases the SNP heritability but not the power to detect a single locus in the trio design. Some studies use unscreened rather than screened control subjects because these can be easier to collect; we show that the estimated SNP heritability should then be scaled by dividing by (1 - K × u)2for disorders with population prevalence K and proportion of unscreened control subjects u. When omitting to scale appropriately, the SNP heritability of, for example, major depressive disorder (K = 0.15) would be underestimated by 28% when none of the control subjects are screened.","author":[{"dropping-particle":"","family":"Peyrot","given":"Wouter J.","non-dropping-particle":"","parse-names":false,"suffix":""},{"dropping-particle":"","family":"Boomsma","given":"Dorret I.","non-dropping-particle":"","parse-names":false,"suffix":""},{"dropping-particle":"","family":"Penninx","given":"Brenda W.J.H.","non-dropping-particle":"","parse-names":false,"suffix":""},{"dropping-particle":"","family":"Wray","given":"Naomi R.","non-dropping-particle":"","parse-names":false,"suffix":""}],"container-title":"American Journal of Human Genetics","id":"ITEM-1","issue":"2","issued":{"date-parts":[["2016"]]},"page":"382-391","publisher":"The American Society of Human Genetics","title":"Disease and Polygenic Architecture: Avoid Trio Design and Appropriately Account for Unscreened Control Subjects for Common Disease","type":"article-journal","volume":"98"},"uris":["http://www.mendeley.com/documents/?uuid=3e4b7c29-4006-4e1a-8136-5a3e38e0f6f5"]}],"mendeley":{"formattedCitation":"&lt;sup&gt;17&lt;/sup&gt;","plainTextFormattedCitation":"17","previouslyFormattedCitation":"&lt;sup&gt;17&lt;/sup&gt;"},"properties":{"noteIndex":0},"schema":"https://github.com/citation-style-language/schema/raw/master/csl-citation.json"}</w:instrText>
      </w:r>
      <w:r w:rsidR="00F7762F" w:rsidRPr="00575BC0">
        <w:rPr>
          <w:rFonts w:ascii="Times New Roman" w:eastAsiaTheme="minorEastAsia" w:hAnsi="Times New Roman"/>
          <w:sz w:val="24"/>
          <w:szCs w:val="24"/>
          <w:lang w:val="en-US"/>
        </w:rPr>
        <w:fldChar w:fldCharType="separate"/>
      </w:r>
      <w:r w:rsidR="008A22FF" w:rsidRPr="008A22FF">
        <w:rPr>
          <w:rFonts w:ascii="Times New Roman" w:eastAsiaTheme="minorEastAsia" w:hAnsi="Times New Roman"/>
          <w:noProof/>
          <w:sz w:val="24"/>
          <w:szCs w:val="24"/>
          <w:vertAlign w:val="superscript"/>
          <w:lang w:val="en-US"/>
        </w:rPr>
        <w:t>17</w:t>
      </w:r>
      <w:r w:rsidR="00F7762F" w:rsidRPr="00575BC0">
        <w:rPr>
          <w:rFonts w:ascii="Times New Roman" w:eastAsiaTheme="minorEastAsia" w:hAnsi="Times New Roman"/>
          <w:sz w:val="24"/>
          <w:szCs w:val="24"/>
          <w:lang w:val="en-US"/>
        </w:rPr>
        <w:fldChar w:fldCharType="end"/>
      </w:r>
      <w:r w:rsidR="00F7762F" w:rsidRPr="00575BC0">
        <w:rPr>
          <w:rFonts w:ascii="Times New Roman" w:eastAsiaTheme="minorEastAsia" w:hAnsi="Times New Roman"/>
          <w:sz w:val="24"/>
          <w:szCs w:val="24"/>
          <w:lang w:val="en-US"/>
        </w:rPr>
        <w:t xml:space="preserve"> </w:t>
      </w:r>
      <w:r w:rsidRPr="00575BC0">
        <w:rPr>
          <w:rFonts w:ascii="Times New Roman" w:eastAsiaTheme="minorEastAsia" w:hAnsi="Times New Roman"/>
          <w:sz w:val="24"/>
          <w:szCs w:val="24"/>
          <w:lang w:val="en-US"/>
        </w:rPr>
        <w:t xml:space="preserve">In a second set of analyses, we assumed 25% of the link between the exposure and MDD would be causal, with 25-OH-D thus explaining 1.25% of variance in MDD and n3-PUFA 0.1%. rs174546 was excluded from analyses of n3-PUFA, because </w:t>
      </w:r>
      <w:r w:rsidR="00F7762F" w:rsidRPr="00575BC0">
        <w:rPr>
          <w:rFonts w:ascii="Times New Roman" w:eastAsiaTheme="minorEastAsia" w:hAnsi="Times New Roman"/>
          <w:sz w:val="24"/>
          <w:szCs w:val="24"/>
          <w:lang w:val="en-US"/>
        </w:rPr>
        <w:t>it showed potential horizontal pleiotropy</w:t>
      </w:r>
      <w:r w:rsidRPr="00575BC0">
        <w:rPr>
          <w:rFonts w:ascii="Times New Roman" w:eastAsiaTheme="minorEastAsia" w:hAnsi="Times New Roman"/>
          <w:sz w:val="24"/>
          <w:szCs w:val="24"/>
          <w:lang w:val="en-US"/>
        </w:rPr>
        <w:t xml:space="preserve"> (</w:t>
      </w:r>
      <w:r w:rsidR="00F7762F" w:rsidRPr="00575BC0">
        <w:rPr>
          <w:rFonts w:ascii="Times New Roman" w:eastAsiaTheme="minorEastAsia" w:hAnsi="Times New Roman"/>
          <w:sz w:val="24"/>
          <w:szCs w:val="24"/>
          <w:lang w:val="en-US"/>
        </w:rPr>
        <w:t>supplemental materials s4.3</w:t>
      </w:r>
      <w:r w:rsidRPr="00575BC0">
        <w:rPr>
          <w:rFonts w:ascii="Times New Roman" w:eastAsiaTheme="minorEastAsia" w:hAnsi="Times New Roman"/>
          <w:sz w:val="24"/>
          <w:szCs w:val="24"/>
          <w:lang w:val="en-US"/>
        </w:rPr>
        <w:t xml:space="preserve">). </w:t>
      </w:r>
    </w:p>
    <w:p w14:paraId="58F7AA02" w14:textId="5CF4A897" w:rsidR="002B17AB" w:rsidRPr="00575BC0" w:rsidRDefault="00B0651C" w:rsidP="002B17AB">
      <w:pPr>
        <w:pStyle w:val="Nessunaspaziatura1"/>
        <w:spacing w:line="480" w:lineRule="auto"/>
        <w:rPr>
          <w:rFonts w:ascii="Times New Roman" w:eastAsiaTheme="minorEastAsia" w:hAnsi="Times New Roman"/>
          <w:sz w:val="24"/>
          <w:szCs w:val="24"/>
          <w:lang w:val="en-US"/>
        </w:rPr>
      </w:pPr>
      <w:r w:rsidRPr="00575BC0">
        <w:rPr>
          <w:rFonts w:ascii="Times New Roman" w:eastAsiaTheme="minorEastAsia" w:hAnsi="Times New Roman"/>
          <w:sz w:val="24"/>
          <w:szCs w:val="24"/>
          <w:lang w:val="en-US"/>
        </w:rPr>
        <w:t xml:space="preserve">The power to detect SNP-effects in MDD GWAS was approximated at 0.74-1.00 and 0.13-1.00 assuming, respectively, a full and quarter </w:t>
      </w:r>
      <w:r w:rsidR="00A209F3" w:rsidRPr="00575BC0">
        <w:rPr>
          <w:rFonts w:ascii="Times New Roman" w:eastAsiaTheme="minorEastAsia" w:hAnsi="Times New Roman"/>
          <w:sz w:val="24"/>
          <w:szCs w:val="24"/>
          <w:lang w:val="en-US"/>
        </w:rPr>
        <w:t xml:space="preserve">of </w:t>
      </w:r>
      <w:r w:rsidRPr="00575BC0">
        <w:rPr>
          <w:rFonts w:ascii="Times New Roman" w:eastAsiaTheme="minorEastAsia" w:hAnsi="Times New Roman"/>
          <w:sz w:val="24"/>
          <w:szCs w:val="24"/>
          <w:lang w:val="en-US"/>
        </w:rPr>
        <w:t>causal link between 25-OH-D and MDD, and at 0.4-0.87 and 0.13-0.34 assuming</w:t>
      </w:r>
      <w:r w:rsidR="00A209F3" w:rsidRPr="00575BC0">
        <w:rPr>
          <w:rFonts w:ascii="Times New Roman" w:eastAsiaTheme="minorEastAsia" w:hAnsi="Times New Roman"/>
          <w:sz w:val="24"/>
          <w:szCs w:val="24"/>
          <w:lang w:val="en-US"/>
        </w:rPr>
        <w:t>, respectively,</w:t>
      </w:r>
      <w:r w:rsidRPr="00575BC0">
        <w:rPr>
          <w:rFonts w:ascii="Times New Roman" w:eastAsiaTheme="minorEastAsia" w:hAnsi="Times New Roman"/>
          <w:sz w:val="24"/>
          <w:szCs w:val="24"/>
          <w:lang w:val="en-US"/>
        </w:rPr>
        <w:t xml:space="preserve"> a full </w:t>
      </w:r>
      <w:r w:rsidR="00A209F3" w:rsidRPr="00575BC0">
        <w:rPr>
          <w:rFonts w:ascii="Times New Roman" w:eastAsiaTheme="minorEastAsia" w:hAnsi="Times New Roman"/>
          <w:sz w:val="24"/>
          <w:szCs w:val="24"/>
          <w:lang w:val="en-US"/>
        </w:rPr>
        <w:t xml:space="preserve">and a </w:t>
      </w:r>
      <w:r w:rsidRPr="00575BC0">
        <w:rPr>
          <w:rFonts w:ascii="Times New Roman" w:eastAsiaTheme="minorEastAsia" w:hAnsi="Times New Roman"/>
          <w:sz w:val="24"/>
          <w:szCs w:val="24"/>
          <w:lang w:val="en-US"/>
        </w:rPr>
        <w:t xml:space="preserve">quarter of causal link </w:t>
      </w:r>
      <w:r w:rsidR="00A209F3" w:rsidRPr="00575BC0">
        <w:rPr>
          <w:rFonts w:ascii="Times New Roman" w:eastAsiaTheme="minorEastAsia" w:hAnsi="Times New Roman"/>
          <w:sz w:val="24"/>
          <w:szCs w:val="24"/>
          <w:lang w:val="en-US"/>
        </w:rPr>
        <w:t xml:space="preserve">between </w:t>
      </w:r>
      <w:r w:rsidRPr="00575BC0">
        <w:rPr>
          <w:rFonts w:ascii="Times New Roman" w:eastAsiaTheme="minorEastAsia" w:hAnsi="Times New Roman"/>
          <w:sz w:val="24"/>
          <w:szCs w:val="24"/>
          <w:lang w:val="en-US"/>
        </w:rPr>
        <w:t xml:space="preserve">n3-PUFA and MDD. Thus, when </w:t>
      </w:r>
      <w:r w:rsidR="00A209F3" w:rsidRPr="00575BC0">
        <w:rPr>
          <w:rFonts w:ascii="Times New Roman" w:eastAsiaTheme="minorEastAsia" w:hAnsi="Times New Roman"/>
          <w:sz w:val="24"/>
          <w:szCs w:val="24"/>
          <w:lang w:val="en-US"/>
        </w:rPr>
        <w:t>25-OH-D</w:t>
      </w:r>
      <w:r w:rsidRPr="00575BC0">
        <w:rPr>
          <w:rFonts w:ascii="Times New Roman" w:eastAsiaTheme="minorEastAsia" w:hAnsi="Times New Roman"/>
          <w:sz w:val="24"/>
          <w:szCs w:val="24"/>
          <w:lang w:val="en-US"/>
        </w:rPr>
        <w:t xml:space="preserve"> or n3-PUFA would be causal for MDD, some of the SNPs would be expected to be associated with MDD. However, in MDD</w:t>
      </w:r>
      <w:r w:rsidR="00A209F3" w:rsidRPr="00575BC0">
        <w:rPr>
          <w:rFonts w:ascii="Times New Roman" w:eastAsiaTheme="minorEastAsia" w:hAnsi="Times New Roman"/>
          <w:sz w:val="24"/>
          <w:szCs w:val="24"/>
          <w:lang w:val="en-US"/>
        </w:rPr>
        <w:t xml:space="preserve"> GWAS</w:t>
      </w:r>
      <w:r w:rsidRPr="00575BC0">
        <w:rPr>
          <w:rFonts w:ascii="Times New Roman" w:eastAsiaTheme="minorEastAsia" w:hAnsi="Times New Roman"/>
          <w:sz w:val="24"/>
          <w:szCs w:val="24"/>
          <w:lang w:val="en-US"/>
        </w:rPr>
        <w:t>, none of the SNPs is associated with MDD at p&lt;0.05. Note that although</w:t>
      </w:r>
      <w:r w:rsidRPr="00575BC0">
        <w:rPr>
          <w:rFonts w:ascii="Times New Roman" w:hAnsi="Times New Roman"/>
          <w:sz w:val="24"/>
          <w:szCs w:val="24"/>
          <w:lang w:val="en-US"/>
        </w:rPr>
        <w:t xml:space="preserve"> </w:t>
      </w:r>
      <w:r w:rsidRPr="00575BC0">
        <w:rPr>
          <w:rFonts w:ascii="Times New Roman" w:eastAsiaTheme="minorEastAsia" w:hAnsi="Times New Roman"/>
          <w:sz w:val="24"/>
          <w:szCs w:val="24"/>
          <w:lang w:val="en-US"/>
        </w:rPr>
        <w:t>rs150617279 has a significant impact on MDD, this is in the opposite direction as would be expected under causality of n3-PUFA on MDD (n3-PUFA negative correlated to MDD, so the SNP should have an opposing direction of effect when the association would be causal).</w:t>
      </w:r>
    </w:p>
    <w:p w14:paraId="5EE65191" w14:textId="123A5B1B" w:rsidR="002B17AB" w:rsidRDefault="002B17AB" w:rsidP="002B17AB">
      <w:pPr>
        <w:spacing w:line="480" w:lineRule="auto"/>
        <w:rPr>
          <w:color w:val="000000"/>
        </w:rPr>
      </w:pPr>
      <w:r w:rsidRPr="00575BC0">
        <w:rPr>
          <w:rFonts w:eastAsiaTheme="minorEastAsia"/>
        </w:rPr>
        <w:t xml:space="preserve">In conclusion, </w:t>
      </w:r>
      <w:r w:rsidRPr="00575BC0">
        <w:rPr>
          <w:color w:val="000000"/>
        </w:rPr>
        <w:t xml:space="preserve">these results strongly suggest that the phenotypic link between </w:t>
      </w:r>
      <w:r w:rsidR="0082597B" w:rsidRPr="00575BC0">
        <w:rPr>
          <w:color w:val="000000"/>
        </w:rPr>
        <w:t>25-OH-D</w:t>
      </w:r>
      <w:r w:rsidRPr="00575BC0">
        <w:rPr>
          <w:color w:val="000000"/>
        </w:rPr>
        <w:t xml:space="preserve"> and MDD and between n3-PUFA and MDD is not attributable to a causal effects.</w:t>
      </w:r>
    </w:p>
    <w:p w14:paraId="7153089C" w14:textId="77777777" w:rsidR="00575BC0" w:rsidRDefault="00575BC0" w:rsidP="002B17AB">
      <w:pPr>
        <w:spacing w:line="480" w:lineRule="auto"/>
        <w:sectPr w:rsidR="00575BC0" w:rsidSect="00973FAE">
          <w:pgSz w:w="11906" w:h="16838"/>
          <w:pgMar w:top="1440" w:right="1440" w:bottom="1440" w:left="1440" w:header="708" w:footer="708" w:gutter="0"/>
          <w:cols w:space="708"/>
          <w:docGrid w:linePitch="360"/>
        </w:sectPr>
      </w:pPr>
    </w:p>
    <w:p w14:paraId="63C5CD4F" w14:textId="273BA9E6" w:rsidR="00575BC0" w:rsidRDefault="00896B60" w:rsidP="002B17AB">
      <w:pPr>
        <w:spacing w:line="480" w:lineRule="auto"/>
      </w:pPr>
      <w:proofErr w:type="spellStart"/>
      <w:r w:rsidRPr="00896B60">
        <w:rPr>
          <w:b/>
          <w:i/>
        </w:rPr>
        <w:lastRenderedPageBreak/>
        <w:t>Supplemtal</w:t>
      </w:r>
      <w:proofErr w:type="spellEnd"/>
      <w:r w:rsidRPr="00575BC0">
        <w:rPr>
          <w:b/>
          <w:i/>
        </w:rPr>
        <w:t xml:space="preserve"> </w:t>
      </w:r>
      <w:bookmarkStart w:id="0" w:name="_GoBack"/>
      <w:bookmarkEnd w:id="0"/>
      <w:proofErr w:type="spellStart"/>
      <w:r w:rsidR="00575BC0" w:rsidRPr="00575BC0">
        <w:rPr>
          <w:b/>
          <w:i/>
        </w:rPr>
        <w:t>eTable</w:t>
      </w:r>
      <w:proofErr w:type="spellEnd"/>
      <w:r w:rsidR="00575BC0" w:rsidRPr="00575BC0">
        <w:rPr>
          <w:b/>
          <w:i/>
        </w:rPr>
        <w:t xml:space="preserve"> </w:t>
      </w:r>
      <w:r w:rsidR="00543877">
        <w:rPr>
          <w:b/>
          <w:i/>
        </w:rPr>
        <w:t>4</w:t>
      </w:r>
      <w:r w:rsidR="00575BC0">
        <w:rPr>
          <w:b/>
          <w:i/>
        </w:rPr>
        <w:t xml:space="preserve">. </w:t>
      </w:r>
      <w:r w:rsidR="00575BC0">
        <w:t xml:space="preserve"> Estimated </w:t>
      </w:r>
      <w:r w:rsidR="00575BC0" w:rsidRPr="00575BC0">
        <w:t>power, assuming a causal relationship, to detect a significant association in the MDD GWAS</w:t>
      </w:r>
      <w:r w:rsidR="00575BC0">
        <w:t xml:space="preserve"> </w:t>
      </w:r>
      <w:r w:rsidR="00575BC0" w:rsidRPr="00575BC0">
        <w:t>for SNPs genome-wide significantly related to 25-OH-D or n3-PUFA</w:t>
      </w:r>
      <w:r w:rsidR="00575BC0">
        <w:t xml:space="preserve">. </w:t>
      </w:r>
    </w:p>
    <w:tbl>
      <w:tblPr>
        <w:tblW w:w="13183" w:type="dxa"/>
        <w:tblLook w:val="04A0" w:firstRow="1" w:lastRow="0" w:firstColumn="1" w:lastColumn="0" w:noHBand="0" w:noVBand="1"/>
      </w:tblPr>
      <w:tblGrid>
        <w:gridCol w:w="1614"/>
        <w:gridCol w:w="1400"/>
        <w:gridCol w:w="1146"/>
        <w:gridCol w:w="1348"/>
        <w:gridCol w:w="271"/>
        <w:gridCol w:w="1697"/>
        <w:gridCol w:w="865"/>
        <w:gridCol w:w="271"/>
        <w:gridCol w:w="1696"/>
        <w:gridCol w:w="865"/>
        <w:gridCol w:w="271"/>
        <w:gridCol w:w="1276"/>
        <w:gridCol w:w="955"/>
      </w:tblGrid>
      <w:tr w:rsidR="00BE4F08" w:rsidRPr="00392D14" w14:paraId="32683E01" w14:textId="77777777" w:rsidTr="00BE4F08">
        <w:trPr>
          <w:trHeight w:val="340"/>
        </w:trPr>
        <w:tc>
          <w:tcPr>
            <w:tcW w:w="13183" w:type="dxa"/>
            <w:gridSpan w:val="13"/>
            <w:tcBorders>
              <w:top w:val="nil"/>
              <w:left w:val="nil"/>
              <w:bottom w:val="single" w:sz="4" w:space="0" w:color="auto"/>
              <w:right w:val="nil"/>
            </w:tcBorders>
            <w:shd w:val="clear" w:color="auto" w:fill="auto"/>
            <w:noWrap/>
            <w:vAlign w:val="bottom"/>
            <w:hideMark/>
          </w:tcPr>
          <w:p w14:paraId="316CB4FE" w14:textId="5709539A" w:rsidR="00BE4F08" w:rsidRPr="00392D14" w:rsidRDefault="00BE4F08" w:rsidP="00BE4F08">
            <w:pPr>
              <w:rPr>
                <w:rFonts w:ascii="Calibri" w:hAnsi="Calibri" w:cs="Calibri"/>
                <w:color w:val="000000"/>
              </w:rPr>
            </w:pPr>
          </w:p>
        </w:tc>
      </w:tr>
      <w:tr w:rsidR="00BE4F08" w:rsidRPr="00392D14" w14:paraId="589C5E21" w14:textId="77777777" w:rsidTr="00BE4F08">
        <w:trPr>
          <w:trHeight w:val="340"/>
        </w:trPr>
        <w:tc>
          <w:tcPr>
            <w:tcW w:w="1614" w:type="dxa"/>
            <w:tcBorders>
              <w:top w:val="nil"/>
              <w:left w:val="nil"/>
              <w:bottom w:val="nil"/>
              <w:right w:val="nil"/>
            </w:tcBorders>
            <w:shd w:val="clear" w:color="auto" w:fill="auto"/>
            <w:noWrap/>
            <w:vAlign w:val="bottom"/>
            <w:hideMark/>
          </w:tcPr>
          <w:p w14:paraId="641F7C03" w14:textId="77777777" w:rsidR="00BE4F08" w:rsidRPr="00392D14" w:rsidRDefault="00BE4F08" w:rsidP="00BE4F08">
            <w:pPr>
              <w:rPr>
                <w:rFonts w:ascii="Calibri" w:hAnsi="Calibri" w:cs="Calibri"/>
                <w:color w:val="000000"/>
              </w:rPr>
            </w:pPr>
          </w:p>
        </w:tc>
        <w:tc>
          <w:tcPr>
            <w:tcW w:w="1400" w:type="dxa"/>
            <w:tcBorders>
              <w:top w:val="nil"/>
              <w:left w:val="nil"/>
              <w:bottom w:val="nil"/>
              <w:right w:val="nil"/>
            </w:tcBorders>
            <w:shd w:val="clear" w:color="auto" w:fill="auto"/>
            <w:noWrap/>
            <w:vAlign w:val="bottom"/>
            <w:hideMark/>
          </w:tcPr>
          <w:p w14:paraId="26E55C27" w14:textId="77777777" w:rsidR="00BE4F08" w:rsidRPr="00392D14" w:rsidRDefault="00BE4F08" w:rsidP="00BE4F08">
            <w:pPr>
              <w:rPr>
                <w:sz w:val="20"/>
                <w:szCs w:val="20"/>
              </w:rPr>
            </w:pPr>
          </w:p>
        </w:tc>
        <w:tc>
          <w:tcPr>
            <w:tcW w:w="2494" w:type="dxa"/>
            <w:gridSpan w:val="2"/>
            <w:tcBorders>
              <w:top w:val="single" w:sz="4" w:space="0" w:color="auto"/>
              <w:left w:val="nil"/>
              <w:bottom w:val="single" w:sz="4" w:space="0" w:color="auto"/>
              <w:right w:val="nil"/>
            </w:tcBorders>
            <w:shd w:val="clear" w:color="auto" w:fill="auto"/>
            <w:noWrap/>
            <w:vAlign w:val="bottom"/>
            <w:hideMark/>
          </w:tcPr>
          <w:p w14:paraId="480D0E92" w14:textId="77777777" w:rsidR="00BE4F08" w:rsidRPr="00392D14" w:rsidRDefault="00BE4F08" w:rsidP="00BE4F08">
            <w:pPr>
              <w:jc w:val="center"/>
              <w:rPr>
                <w:rFonts w:ascii="Calibri" w:hAnsi="Calibri" w:cs="Calibri"/>
                <w:color w:val="000000"/>
              </w:rPr>
            </w:pPr>
            <w:r w:rsidRPr="00392D14">
              <w:rPr>
                <w:rFonts w:ascii="Calibri" w:hAnsi="Calibri" w:cs="Calibri"/>
                <w:color w:val="000000"/>
              </w:rPr>
              <w:t>SNP effect on exposure</w:t>
            </w:r>
          </w:p>
        </w:tc>
        <w:tc>
          <w:tcPr>
            <w:tcW w:w="105" w:type="dxa"/>
            <w:tcBorders>
              <w:top w:val="nil"/>
              <w:left w:val="nil"/>
              <w:bottom w:val="nil"/>
              <w:right w:val="nil"/>
            </w:tcBorders>
            <w:shd w:val="clear" w:color="auto" w:fill="auto"/>
            <w:noWrap/>
            <w:vAlign w:val="bottom"/>
            <w:hideMark/>
          </w:tcPr>
          <w:p w14:paraId="37F4DF0A" w14:textId="77777777" w:rsidR="00BE4F08" w:rsidRPr="00392D14" w:rsidRDefault="00BE4F08" w:rsidP="00BE4F08">
            <w:pPr>
              <w:jc w:val="center"/>
              <w:rPr>
                <w:rFonts w:ascii="Calibri" w:hAnsi="Calibri" w:cs="Calibri"/>
                <w:color w:val="000000"/>
              </w:rPr>
            </w:pPr>
          </w:p>
        </w:tc>
        <w:tc>
          <w:tcPr>
            <w:tcW w:w="5234" w:type="dxa"/>
            <w:gridSpan w:val="5"/>
            <w:tcBorders>
              <w:top w:val="nil"/>
              <w:left w:val="nil"/>
              <w:bottom w:val="single" w:sz="4" w:space="0" w:color="auto"/>
              <w:right w:val="nil"/>
            </w:tcBorders>
            <w:shd w:val="clear" w:color="auto" w:fill="auto"/>
            <w:noWrap/>
            <w:vAlign w:val="bottom"/>
            <w:hideMark/>
          </w:tcPr>
          <w:p w14:paraId="481D60F8" w14:textId="77777777" w:rsidR="00BE4F08" w:rsidRPr="00392D14" w:rsidRDefault="00BE4F08" w:rsidP="00BE4F08">
            <w:pPr>
              <w:rPr>
                <w:rFonts w:ascii="Calibri" w:hAnsi="Calibri" w:cs="Calibri"/>
                <w:color w:val="000000"/>
              </w:rPr>
            </w:pPr>
            <w:r w:rsidRPr="00392D14">
              <w:rPr>
                <w:rFonts w:ascii="Calibri" w:hAnsi="Calibri" w:cs="Calibri"/>
                <w:color w:val="000000"/>
              </w:rPr>
              <w:t xml:space="preserve">Power to detect SNP in MDD </w:t>
            </w:r>
            <w:r>
              <w:rPr>
                <w:rFonts w:ascii="Calibri" w:hAnsi="Calibri" w:cs="Calibri"/>
                <w:color w:val="000000"/>
              </w:rPr>
              <w:t xml:space="preserve">at </w:t>
            </w:r>
            <w:r w:rsidRPr="00392D14">
              <w:rPr>
                <w:rFonts w:ascii="Calibri" w:hAnsi="Calibri" w:cs="Calibri"/>
                <w:color w:val="000000"/>
              </w:rPr>
              <w:t>p&lt;0.05</w:t>
            </w:r>
          </w:p>
        </w:tc>
        <w:tc>
          <w:tcPr>
            <w:tcW w:w="105" w:type="dxa"/>
            <w:tcBorders>
              <w:top w:val="nil"/>
              <w:left w:val="nil"/>
              <w:bottom w:val="nil"/>
              <w:right w:val="nil"/>
            </w:tcBorders>
            <w:shd w:val="clear" w:color="auto" w:fill="auto"/>
            <w:noWrap/>
            <w:vAlign w:val="bottom"/>
            <w:hideMark/>
          </w:tcPr>
          <w:p w14:paraId="2A1DD7DF" w14:textId="77777777" w:rsidR="00BE4F08" w:rsidRPr="00392D14" w:rsidRDefault="00BE4F08" w:rsidP="00BE4F08">
            <w:pPr>
              <w:rPr>
                <w:rFonts w:ascii="Calibri" w:hAnsi="Calibri" w:cs="Calibri"/>
                <w:color w:val="000000"/>
              </w:rPr>
            </w:pPr>
          </w:p>
        </w:tc>
        <w:tc>
          <w:tcPr>
            <w:tcW w:w="2231" w:type="dxa"/>
            <w:gridSpan w:val="2"/>
            <w:vMerge w:val="restart"/>
            <w:tcBorders>
              <w:top w:val="nil"/>
              <w:left w:val="nil"/>
              <w:bottom w:val="single" w:sz="4" w:space="0" w:color="000000"/>
              <w:right w:val="nil"/>
            </w:tcBorders>
            <w:shd w:val="clear" w:color="auto" w:fill="auto"/>
            <w:vAlign w:val="bottom"/>
            <w:hideMark/>
          </w:tcPr>
          <w:p w14:paraId="55EF4E51" w14:textId="77777777" w:rsidR="00BE4F08" w:rsidRPr="00392D14" w:rsidRDefault="00BE4F08" w:rsidP="00BE4F08">
            <w:pPr>
              <w:jc w:val="center"/>
              <w:rPr>
                <w:rFonts w:ascii="Calibri" w:hAnsi="Calibri" w:cs="Calibri"/>
                <w:color w:val="000000"/>
              </w:rPr>
            </w:pPr>
            <w:r w:rsidRPr="00392D14">
              <w:rPr>
                <w:rFonts w:ascii="Calibri" w:hAnsi="Calibri" w:cs="Calibri"/>
                <w:color w:val="000000"/>
              </w:rPr>
              <w:t>Emp</w:t>
            </w:r>
            <w:r>
              <w:rPr>
                <w:rFonts w:ascii="Calibri" w:hAnsi="Calibri" w:cs="Calibri"/>
                <w:color w:val="000000"/>
              </w:rPr>
              <w:t>i</w:t>
            </w:r>
            <w:r w:rsidRPr="00392D14">
              <w:rPr>
                <w:rFonts w:ascii="Calibri" w:hAnsi="Calibri" w:cs="Calibri"/>
                <w:color w:val="000000"/>
              </w:rPr>
              <w:t>rically estimated effect on MDD in PGC</w:t>
            </w:r>
          </w:p>
        </w:tc>
      </w:tr>
      <w:tr w:rsidR="00BE4F08" w:rsidRPr="00392D14" w14:paraId="3DA61651" w14:textId="77777777" w:rsidTr="00BE4F08">
        <w:trPr>
          <w:trHeight w:val="340"/>
        </w:trPr>
        <w:tc>
          <w:tcPr>
            <w:tcW w:w="1614" w:type="dxa"/>
            <w:tcBorders>
              <w:top w:val="nil"/>
              <w:left w:val="nil"/>
              <w:bottom w:val="nil"/>
              <w:right w:val="nil"/>
            </w:tcBorders>
            <w:shd w:val="clear" w:color="auto" w:fill="auto"/>
            <w:noWrap/>
            <w:vAlign w:val="bottom"/>
            <w:hideMark/>
          </w:tcPr>
          <w:p w14:paraId="01D3F6A0" w14:textId="77777777" w:rsidR="00BE4F08" w:rsidRPr="00392D14" w:rsidRDefault="00BE4F08" w:rsidP="00BE4F08">
            <w:pPr>
              <w:jc w:val="center"/>
              <w:rPr>
                <w:rFonts w:ascii="Calibri" w:hAnsi="Calibri" w:cs="Calibri"/>
                <w:color w:val="000000"/>
              </w:rPr>
            </w:pPr>
          </w:p>
        </w:tc>
        <w:tc>
          <w:tcPr>
            <w:tcW w:w="1400" w:type="dxa"/>
            <w:vMerge w:val="restart"/>
            <w:tcBorders>
              <w:top w:val="nil"/>
              <w:left w:val="nil"/>
              <w:bottom w:val="single" w:sz="4" w:space="0" w:color="000000"/>
              <w:right w:val="nil"/>
            </w:tcBorders>
            <w:shd w:val="clear" w:color="auto" w:fill="auto"/>
            <w:vAlign w:val="bottom"/>
            <w:hideMark/>
          </w:tcPr>
          <w:p w14:paraId="3BA91B69" w14:textId="77777777" w:rsidR="00BE4F08" w:rsidRPr="00392D14" w:rsidRDefault="00BE4F08" w:rsidP="00BE4F08">
            <w:pPr>
              <w:jc w:val="center"/>
              <w:rPr>
                <w:rFonts w:ascii="Calibri" w:hAnsi="Calibri" w:cs="Calibri"/>
                <w:color w:val="000000"/>
              </w:rPr>
            </w:pPr>
            <w:r w:rsidRPr="00392D14">
              <w:rPr>
                <w:rFonts w:ascii="Calibri" w:hAnsi="Calibri" w:cs="Calibri"/>
                <w:color w:val="000000"/>
              </w:rPr>
              <w:t>Allele Frequency</w:t>
            </w:r>
          </w:p>
        </w:tc>
        <w:tc>
          <w:tcPr>
            <w:tcW w:w="1146" w:type="dxa"/>
            <w:vMerge w:val="restart"/>
            <w:tcBorders>
              <w:top w:val="nil"/>
              <w:left w:val="nil"/>
              <w:bottom w:val="single" w:sz="4" w:space="0" w:color="000000"/>
              <w:right w:val="nil"/>
            </w:tcBorders>
            <w:shd w:val="clear" w:color="auto" w:fill="auto"/>
            <w:vAlign w:val="bottom"/>
            <w:hideMark/>
          </w:tcPr>
          <w:p w14:paraId="618D6954" w14:textId="77777777" w:rsidR="00BE4F08" w:rsidRPr="00392D14" w:rsidRDefault="00BE4F08" w:rsidP="00BE4F08">
            <w:pPr>
              <w:jc w:val="center"/>
              <w:rPr>
                <w:rFonts w:ascii="Calibri" w:hAnsi="Calibri" w:cs="Calibri"/>
                <w:color w:val="000000"/>
              </w:rPr>
            </w:pPr>
            <w:r w:rsidRPr="00392D14">
              <w:rPr>
                <w:rFonts w:ascii="Calibri" w:hAnsi="Calibri" w:cs="Calibri"/>
                <w:color w:val="000000"/>
              </w:rPr>
              <w:t>Beta</w:t>
            </w:r>
          </w:p>
        </w:tc>
        <w:tc>
          <w:tcPr>
            <w:tcW w:w="1348" w:type="dxa"/>
            <w:vMerge w:val="restart"/>
            <w:tcBorders>
              <w:top w:val="nil"/>
              <w:left w:val="nil"/>
              <w:bottom w:val="single" w:sz="4" w:space="0" w:color="000000"/>
              <w:right w:val="nil"/>
            </w:tcBorders>
            <w:shd w:val="clear" w:color="auto" w:fill="auto"/>
            <w:vAlign w:val="bottom"/>
            <w:hideMark/>
          </w:tcPr>
          <w:p w14:paraId="090EB8B9" w14:textId="77777777" w:rsidR="00BE4F08" w:rsidRPr="00392D14" w:rsidRDefault="00BE4F08" w:rsidP="00BE4F08">
            <w:pPr>
              <w:jc w:val="center"/>
              <w:rPr>
                <w:rFonts w:ascii="Calibri" w:hAnsi="Calibri" w:cs="Calibri"/>
                <w:color w:val="000000"/>
              </w:rPr>
            </w:pPr>
            <w:r w:rsidRPr="00392D14">
              <w:rPr>
                <w:rFonts w:ascii="Calibri" w:hAnsi="Calibri" w:cs="Calibri"/>
                <w:color w:val="000000"/>
              </w:rPr>
              <w:t>Variance explained</w:t>
            </w:r>
          </w:p>
        </w:tc>
        <w:tc>
          <w:tcPr>
            <w:tcW w:w="105" w:type="dxa"/>
            <w:tcBorders>
              <w:top w:val="nil"/>
              <w:left w:val="nil"/>
              <w:bottom w:val="nil"/>
              <w:right w:val="nil"/>
            </w:tcBorders>
            <w:shd w:val="clear" w:color="auto" w:fill="auto"/>
            <w:noWrap/>
            <w:vAlign w:val="bottom"/>
            <w:hideMark/>
          </w:tcPr>
          <w:p w14:paraId="14D158B1" w14:textId="77777777" w:rsidR="00BE4F08" w:rsidRPr="00392D14" w:rsidRDefault="00BE4F08" w:rsidP="00BE4F08">
            <w:pPr>
              <w:jc w:val="center"/>
              <w:rPr>
                <w:rFonts w:ascii="Calibri" w:hAnsi="Calibri" w:cs="Calibri"/>
                <w:color w:val="000000"/>
              </w:rPr>
            </w:pPr>
          </w:p>
        </w:tc>
        <w:tc>
          <w:tcPr>
            <w:tcW w:w="2562" w:type="dxa"/>
            <w:gridSpan w:val="2"/>
            <w:tcBorders>
              <w:top w:val="nil"/>
              <w:left w:val="nil"/>
              <w:bottom w:val="single" w:sz="4" w:space="0" w:color="auto"/>
              <w:right w:val="nil"/>
            </w:tcBorders>
            <w:shd w:val="clear" w:color="auto" w:fill="auto"/>
            <w:vAlign w:val="bottom"/>
            <w:hideMark/>
          </w:tcPr>
          <w:p w14:paraId="3E443CB7" w14:textId="77777777" w:rsidR="00BE4F08" w:rsidRPr="00392D14" w:rsidRDefault="00BE4F08" w:rsidP="00BE4F08">
            <w:pPr>
              <w:jc w:val="center"/>
              <w:rPr>
                <w:rFonts w:ascii="Calibri" w:hAnsi="Calibri" w:cs="Calibri"/>
                <w:color w:val="000000"/>
              </w:rPr>
            </w:pPr>
            <w:r w:rsidRPr="00392D14">
              <w:rPr>
                <w:rFonts w:ascii="Calibri" w:hAnsi="Calibri" w:cs="Calibri"/>
                <w:color w:val="000000"/>
              </w:rPr>
              <w:t>Fully causal</w:t>
            </w:r>
          </w:p>
        </w:tc>
        <w:tc>
          <w:tcPr>
            <w:tcW w:w="111" w:type="dxa"/>
            <w:tcBorders>
              <w:top w:val="nil"/>
              <w:left w:val="nil"/>
              <w:bottom w:val="nil"/>
              <w:right w:val="nil"/>
            </w:tcBorders>
            <w:shd w:val="clear" w:color="auto" w:fill="auto"/>
            <w:noWrap/>
            <w:vAlign w:val="bottom"/>
            <w:hideMark/>
          </w:tcPr>
          <w:p w14:paraId="5ADA1E15" w14:textId="77777777" w:rsidR="00BE4F08" w:rsidRPr="00392D14" w:rsidRDefault="00BE4F08" w:rsidP="00BE4F08">
            <w:pPr>
              <w:jc w:val="center"/>
              <w:rPr>
                <w:rFonts w:ascii="Calibri" w:hAnsi="Calibri" w:cs="Calibri"/>
                <w:color w:val="000000"/>
              </w:rPr>
            </w:pPr>
          </w:p>
        </w:tc>
        <w:tc>
          <w:tcPr>
            <w:tcW w:w="2561" w:type="dxa"/>
            <w:gridSpan w:val="2"/>
            <w:tcBorders>
              <w:top w:val="nil"/>
              <w:left w:val="nil"/>
              <w:bottom w:val="single" w:sz="4" w:space="0" w:color="auto"/>
              <w:right w:val="nil"/>
            </w:tcBorders>
            <w:shd w:val="clear" w:color="auto" w:fill="auto"/>
            <w:vAlign w:val="bottom"/>
            <w:hideMark/>
          </w:tcPr>
          <w:p w14:paraId="7CC0F127" w14:textId="77777777" w:rsidR="00BE4F08" w:rsidRPr="00392D14" w:rsidRDefault="00BE4F08" w:rsidP="00BE4F08">
            <w:pPr>
              <w:jc w:val="center"/>
              <w:rPr>
                <w:rFonts w:ascii="Calibri" w:hAnsi="Calibri" w:cs="Calibri"/>
                <w:color w:val="000000"/>
              </w:rPr>
            </w:pPr>
            <w:r>
              <w:rPr>
                <w:rFonts w:ascii="Calibri" w:hAnsi="Calibri" w:cs="Calibri"/>
                <w:color w:val="000000"/>
              </w:rPr>
              <w:t>Quarter</w:t>
            </w:r>
            <w:r w:rsidRPr="00392D14">
              <w:rPr>
                <w:rFonts w:ascii="Calibri" w:hAnsi="Calibri" w:cs="Calibri"/>
                <w:color w:val="000000"/>
              </w:rPr>
              <w:t xml:space="preserve"> causal</w:t>
            </w:r>
          </w:p>
        </w:tc>
        <w:tc>
          <w:tcPr>
            <w:tcW w:w="105" w:type="dxa"/>
            <w:tcBorders>
              <w:top w:val="nil"/>
              <w:left w:val="nil"/>
              <w:bottom w:val="nil"/>
              <w:right w:val="nil"/>
            </w:tcBorders>
            <w:shd w:val="clear" w:color="auto" w:fill="auto"/>
            <w:noWrap/>
            <w:vAlign w:val="bottom"/>
            <w:hideMark/>
          </w:tcPr>
          <w:p w14:paraId="10F06A18" w14:textId="77777777" w:rsidR="00BE4F08" w:rsidRPr="00392D14" w:rsidRDefault="00BE4F08" w:rsidP="00BE4F08">
            <w:pPr>
              <w:jc w:val="center"/>
              <w:rPr>
                <w:rFonts w:ascii="Calibri" w:hAnsi="Calibri" w:cs="Calibri"/>
                <w:color w:val="000000"/>
              </w:rPr>
            </w:pPr>
          </w:p>
        </w:tc>
        <w:tc>
          <w:tcPr>
            <w:tcW w:w="2231" w:type="dxa"/>
            <w:gridSpan w:val="2"/>
            <w:vMerge/>
            <w:tcBorders>
              <w:top w:val="nil"/>
              <w:left w:val="nil"/>
              <w:bottom w:val="nil"/>
              <w:right w:val="nil"/>
            </w:tcBorders>
            <w:vAlign w:val="center"/>
            <w:hideMark/>
          </w:tcPr>
          <w:p w14:paraId="7222D72F" w14:textId="77777777" w:rsidR="00BE4F08" w:rsidRPr="00392D14" w:rsidRDefault="00BE4F08" w:rsidP="00BE4F08">
            <w:pPr>
              <w:rPr>
                <w:rFonts w:ascii="Calibri" w:hAnsi="Calibri" w:cs="Calibri"/>
                <w:color w:val="000000"/>
              </w:rPr>
            </w:pPr>
          </w:p>
        </w:tc>
      </w:tr>
      <w:tr w:rsidR="00BE4F08" w:rsidRPr="00392D14" w14:paraId="14948FD4" w14:textId="77777777" w:rsidTr="00BE4F08">
        <w:trPr>
          <w:trHeight w:val="340"/>
        </w:trPr>
        <w:tc>
          <w:tcPr>
            <w:tcW w:w="1614" w:type="dxa"/>
            <w:tcBorders>
              <w:top w:val="nil"/>
              <w:left w:val="nil"/>
              <w:bottom w:val="single" w:sz="4" w:space="0" w:color="auto"/>
              <w:right w:val="nil"/>
            </w:tcBorders>
            <w:shd w:val="clear" w:color="auto" w:fill="auto"/>
            <w:noWrap/>
            <w:vAlign w:val="bottom"/>
            <w:hideMark/>
          </w:tcPr>
          <w:p w14:paraId="27B2FF2A" w14:textId="77777777" w:rsidR="00BE4F08" w:rsidRPr="00392D14" w:rsidRDefault="00BE4F08" w:rsidP="00BE4F08">
            <w:pPr>
              <w:rPr>
                <w:rFonts w:ascii="Calibri" w:hAnsi="Calibri" w:cs="Calibri"/>
                <w:color w:val="000000"/>
              </w:rPr>
            </w:pPr>
            <w:r w:rsidRPr="00392D14">
              <w:rPr>
                <w:rFonts w:ascii="Calibri" w:hAnsi="Calibri" w:cs="Calibri"/>
                <w:color w:val="000000"/>
              </w:rPr>
              <w:t>SNP</w:t>
            </w:r>
          </w:p>
        </w:tc>
        <w:tc>
          <w:tcPr>
            <w:tcW w:w="1400" w:type="dxa"/>
            <w:vMerge/>
            <w:tcBorders>
              <w:top w:val="nil"/>
              <w:left w:val="nil"/>
              <w:bottom w:val="single" w:sz="4" w:space="0" w:color="000000"/>
              <w:right w:val="nil"/>
            </w:tcBorders>
            <w:vAlign w:val="center"/>
            <w:hideMark/>
          </w:tcPr>
          <w:p w14:paraId="18F3AAA7" w14:textId="77777777" w:rsidR="00BE4F08" w:rsidRPr="00392D14" w:rsidRDefault="00BE4F08" w:rsidP="00BE4F08">
            <w:pPr>
              <w:rPr>
                <w:rFonts w:ascii="Calibri" w:hAnsi="Calibri" w:cs="Calibri"/>
                <w:color w:val="000000"/>
              </w:rPr>
            </w:pPr>
          </w:p>
        </w:tc>
        <w:tc>
          <w:tcPr>
            <w:tcW w:w="1146" w:type="dxa"/>
            <w:vMerge/>
            <w:tcBorders>
              <w:top w:val="nil"/>
              <w:left w:val="nil"/>
              <w:bottom w:val="single" w:sz="4" w:space="0" w:color="000000"/>
              <w:right w:val="nil"/>
            </w:tcBorders>
            <w:vAlign w:val="center"/>
            <w:hideMark/>
          </w:tcPr>
          <w:p w14:paraId="56E68B94" w14:textId="77777777" w:rsidR="00BE4F08" w:rsidRPr="00392D14" w:rsidRDefault="00BE4F08" w:rsidP="00BE4F08">
            <w:pPr>
              <w:rPr>
                <w:rFonts w:ascii="Calibri" w:hAnsi="Calibri" w:cs="Calibri"/>
                <w:color w:val="000000"/>
              </w:rPr>
            </w:pPr>
          </w:p>
        </w:tc>
        <w:tc>
          <w:tcPr>
            <w:tcW w:w="1348" w:type="dxa"/>
            <w:vMerge/>
            <w:tcBorders>
              <w:top w:val="nil"/>
              <w:left w:val="nil"/>
              <w:bottom w:val="single" w:sz="4" w:space="0" w:color="000000"/>
              <w:right w:val="nil"/>
            </w:tcBorders>
            <w:vAlign w:val="center"/>
            <w:hideMark/>
          </w:tcPr>
          <w:p w14:paraId="65858E78" w14:textId="77777777" w:rsidR="00BE4F08" w:rsidRPr="00392D14" w:rsidRDefault="00BE4F08" w:rsidP="00BE4F08">
            <w:pPr>
              <w:rPr>
                <w:rFonts w:ascii="Calibri" w:hAnsi="Calibri" w:cs="Calibri"/>
                <w:color w:val="000000"/>
              </w:rPr>
            </w:pPr>
          </w:p>
        </w:tc>
        <w:tc>
          <w:tcPr>
            <w:tcW w:w="105" w:type="dxa"/>
            <w:tcBorders>
              <w:top w:val="nil"/>
              <w:left w:val="nil"/>
              <w:bottom w:val="single" w:sz="4" w:space="0" w:color="auto"/>
              <w:right w:val="nil"/>
            </w:tcBorders>
            <w:shd w:val="clear" w:color="auto" w:fill="auto"/>
            <w:noWrap/>
            <w:vAlign w:val="bottom"/>
            <w:hideMark/>
          </w:tcPr>
          <w:p w14:paraId="4FB78C67" w14:textId="77777777" w:rsidR="00BE4F08" w:rsidRPr="00392D14" w:rsidRDefault="00BE4F08" w:rsidP="00BE4F08">
            <w:pPr>
              <w:jc w:val="center"/>
              <w:rPr>
                <w:rFonts w:ascii="Calibri" w:hAnsi="Calibri" w:cs="Calibri"/>
                <w:color w:val="000000"/>
              </w:rPr>
            </w:pPr>
            <w:r w:rsidRPr="00392D14">
              <w:rPr>
                <w:rFonts w:ascii="Calibri" w:hAnsi="Calibri" w:cs="Calibri"/>
                <w:color w:val="000000"/>
              </w:rPr>
              <w:t> </w:t>
            </w:r>
          </w:p>
        </w:tc>
        <w:tc>
          <w:tcPr>
            <w:tcW w:w="1697" w:type="dxa"/>
            <w:tcBorders>
              <w:top w:val="nil"/>
              <w:left w:val="nil"/>
              <w:bottom w:val="single" w:sz="4" w:space="0" w:color="auto"/>
              <w:right w:val="nil"/>
            </w:tcBorders>
            <w:shd w:val="clear" w:color="auto" w:fill="auto"/>
            <w:noWrap/>
            <w:vAlign w:val="bottom"/>
            <w:hideMark/>
          </w:tcPr>
          <w:p w14:paraId="4F921A18" w14:textId="77777777" w:rsidR="00BE4F08" w:rsidRPr="00392D14" w:rsidRDefault="00BE4F08" w:rsidP="00BE4F08">
            <w:pPr>
              <w:jc w:val="center"/>
              <w:rPr>
                <w:rFonts w:ascii="Calibri" w:hAnsi="Calibri" w:cs="Calibri"/>
                <w:color w:val="000000"/>
              </w:rPr>
            </w:pPr>
            <w:r w:rsidRPr="00392D14">
              <w:rPr>
                <w:rFonts w:ascii="Calibri" w:hAnsi="Calibri" w:cs="Calibri"/>
                <w:color w:val="000000"/>
              </w:rPr>
              <w:t>Var MDD (%)</w:t>
            </w:r>
          </w:p>
        </w:tc>
        <w:tc>
          <w:tcPr>
            <w:tcW w:w="865" w:type="dxa"/>
            <w:tcBorders>
              <w:top w:val="nil"/>
              <w:left w:val="nil"/>
              <w:bottom w:val="single" w:sz="4" w:space="0" w:color="auto"/>
              <w:right w:val="nil"/>
            </w:tcBorders>
            <w:shd w:val="clear" w:color="auto" w:fill="auto"/>
            <w:noWrap/>
            <w:vAlign w:val="bottom"/>
            <w:hideMark/>
          </w:tcPr>
          <w:p w14:paraId="32FFD9EB" w14:textId="77777777" w:rsidR="00BE4F08" w:rsidRPr="00392D14" w:rsidRDefault="00BE4F08" w:rsidP="00BE4F08">
            <w:pPr>
              <w:jc w:val="center"/>
              <w:rPr>
                <w:rFonts w:ascii="Calibri" w:hAnsi="Calibri" w:cs="Calibri"/>
                <w:color w:val="000000"/>
              </w:rPr>
            </w:pPr>
            <w:r w:rsidRPr="00392D14">
              <w:rPr>
                <w:rFonts w:ascii="Calibri" w:hAnsi="Calibri" w:cs="Calibri"/>
                <w:color w:val="000000"/>
              </w:rPr>
              <w:t xml:space="preserve">power </w:t>
            </w:r>
          </w:p>
        </w:tc>
        <w:tc>
          <w:tcPr>
            <w:tcW w:w="111" w:type="dxa"/>
            <w:tcBorders>
              <w:top w:val="nil"/>
              <w:left w:val="nil"/>
              <w:bottom w:val="single" w:sz="4" w:space="0" w:color="auto"/>
              <w:right w:val="nil"/>
            </w:tcBorders>
            <w:shd w:val="clear" w:color="auto" w:fill="auto"/>
            <w:noWrap/>
            <w:vAlign w:val="bottom"/>
            <w:hideMark/>
          </w:tcPr>
          <w:p w14:paraId="1C57E5FD" w14:textId="77777777" w:rsidR="00BE4F08" w:rsidRPr="00392D14" w:rsidRDefault="00BE4F08" w:rsidP="00BE4F08">
            <w:pPr>
              <w:jc w:val="center"/>
              <w:rPr>
                <w:rFonts w:ascii="Calibri" w:hAnsi="Calibri" w:cs="Calibri"/>
                <w:color w:val="000000"/>
              </w:rPr>
            </w:pPr>
            <w:r w:rsidRPr="00392D14">
              <w:rPr>
                <w:rFonts w:ascii="Calibri" w:hAnsi="Calibri" w:cs="Calibri"/>
                <w:color w:val="000000"/>
              </w:rPr>
              <w:t> </w:t>
            </w:r>
          </w:p>
        </w:tc>
        <w:tc>
          <w:tcPr>
            <w:tcW w:w="1696" w:type="dxa"/>
            <w:tcBorders>
              <w:top w:val="nil"/>
              <w:left w:val="nil"/>
              <w:bottom w:val="single" w:sz="4" w:space="0" w:color="auto"/>
              <w:right w:val="nil"/>
            </w:tcBorders>
            <w:shd w:val="clear" w:color="auto" w:fill="auto"/>
            <w:noWrap/>
            <w:vAlign w:val="bottom"/>
            <w:hideMark/>
          </w:tcPr>
          <w:p w14:paraId="731ED7AD" w14:textId="77777777" w:rsidR="00BE4F08" w:rsidRPr="00392D14" w:rsidRDefault="00BE4F08" w:rsidP="00BE4F08">
            <w:pPr>
              <w:jc w:val="center"/>
              <w:rPr>
                <w:rFonts w:ascii="Calibri" w:hAnsi="Calibri" w:cs="Calibri"/>
                <w:color w:val="000000"/>
              </w:rPr>
            </w:pPr>
            <w:r w:rsidRPr="00392D14">
              <w:rPr>
                <w:rFonts w:ascii="Calibri" w:hAnsi="Calibri" w:cs="Calibri"/>
                <w:color w:val="000000"/>
              </w:rPr>
              <w:t>Var MDD (%)</w:t>
            </w:r>
          </w:p>
        </w:tc>
        <w:tc>
          <w:tcPr>
            <w:tcW w:w="865" w:type="dxa"/>
            <w:tcBorders>
              <w:top w:val="nil"/>
              <w:left w:val="nil"/>
              <w:bottom w:val="single" w:sz="4" w:space="0" w:color="auto"/>
              <w:right w:val="nil"/>
            </w:tcBorders>
            <w:shd w:val="clear" w:color="auto" w:fill="auto"/>
            <w:noWrap/>
            <w:vAlign w:val="bottom"/>
            <w:hideMark/>
          </w:tcPr>
          <w:p w14:paraId="0144ED9B" w14:textId="77777777" w:rsidR="00BE4F08" w:rsidRPr="00392D14" w:rsidRDefault="00BE4F08" w:rsidP="00BE4F08">
            <w:pPr>
              <w:jc w:val="center"/>
              <w:rPr>
                <w:rFonts w:ascii="Calibri" w:hAnsi="Calibri" w:cs="Calibri"/>
                <w:color w:val="000000"/>
              </w:rPr>
            </w:pPr>
            <w:r w:rsidRPr="00392D14">
              <w:rPr>
                <w:rFonts w:ascii="Calibri" w:hAnsi="Calibri" w:cs="Calibri"/>
                <w:color w:val="000000"/>
              </w:rPr>
              <w:t xml:space="preserve">power </w:t>
            </w:r>
          </w:p>
        </w:tc>
        <w:tc>
          <w:tcPr>
            <w:tcW w:w="105" w:type="dxa"/>
            <w:tcBorders>
              <w:top w:val="nil"/>
              <w:left w:val="nil"/>
              <w:bottom w:val="single" w:sz="4" w:space="0" w:color="auto"/>
              <w:right w:val="nil"/>
            </w:tcBorders>
            <w:shd w:val="clear" w:color="auto" w:fill="auto"/>
            <w:noWrap/>
            <w:vAlign w:val="bottom"/>
            <w:hideMark/>
          </w:tcPr>
          <w:p w14:paraId="4C5BFA32" w14:textId="77777777" w:rsidR="00BE4F08" w:rsidRPr="00392D14" w:rsidRDefault="00BE4F08" w:rsidP="00BE4F08">
            <w:pPr>
              <w:jc w:val="center"/>
              <w:rPr>
                <w:rFonts w:ascii="Calibri" w:hAnsi="Calibri" w:cs="Calibri"/>
                <w:color w:val="000000"/>
              </w:rPr>
            </w:pPr>
            <w:r w:rsidRPr="00392D14">
              <w:rPr>
                <w:rFonts w:ascii="Calibri" w:hAnsi="Calibri" w:cs="Calibri"/>
                <w:color w:val="000000"/>
              </w:rPr>
              <w:t> </w:t>
            </w:r>
          </w:p>
        </w:tc>
        <w:tc>
          <w:tcPr>
            <w:tcW w:w="1276" w:type="dxa"/>
            <w:tcBorders>
              <w:top w:val="nil"/>
              <w:left w:val="nil"/>
              <w:bottom w:val="single" w:sz="4" w:space="0" w:color="auto"/>
              <w:right w:val="nil"/>
            </w:tcBorders>
            <w:shd w:val="clear" w:color="auto" w:fill="auto"/>
            <w:noWrap/>
            <w:vAlign w:val="bottom"/>
            <w:hideMark/>
          </w:tcPr>
          <w:p w14:paraId="7F9A346A" w14:textId="77777777" w:rsidR="00BE4F08" w:rsidRPr="00392D14" w:rsidRDefault="00BE4F08" w:rsidP="00BE4F08">
            <w:pPr>
              <w:jc w:val="center"/>
              <w:rPr>
                <w:rFonts w:ascii="Calibri" w:hAnsi="Calibri" w:cs="Calibri"/>
                <w:color w:val="000000"/>
              </w:rPr>
            </w:pPr>
            <w:r w:rsidRPr="00392D14">
              <w:rPr>
                <w:rFonts w:ascii="Calibri" w:hAnsi="Calibri" w:cs="Calibri"/>
                <w:color w:val="000000"/>
              </w:rPr>
              <w:t>Beta MDD</w:t>
            </w:r>
          </w:p>
        </w:tc>
        <w:tc>
          <w:tcPr>
            <w:tcW w:w="955" w:type="dxa"/>
            <w:tcBorders>
              <w:top w:val="nil"/>
              <w:left w:val="nil"/>
              <w:bottom w:val="single" w:sz="4" w:space="0" w:color="auto"/>
              <w:right w:val="nil"/>
            </w:tcBorders>
            <w:shd w:val="clear" w:color="auto" w:fill="auto"/>
            <w:noWrap/>
            <w:vAlign w:val="bottom"/>
            <w:hideMark/>
          </w:tcPr>
          <w:p w14:paraId="59D9D386" w14:textId="77777777" w:rsidR="00BE4F08" w:rsidRPr="00392D14" w:rsidRDefault="00BE4F08" w:rsidP="00BE4F08">
            <w:pPr>
              <w:jc w:val="center"/>
              <w:rPr>
                <w:rFonts w:ascii="Calibri" w:hAnsi="Calibri" w:cs="Calibri"/>
                <w:color w:val="000000"/>
              </w:rPr>
            </w:pPr>
            <w:r w:rsidRPr="00392D14">
              <w:rPr>
                <w:rFonts w:ascii="Calibri" w:hAnsi="Calibri" w:cs="Calibri"/>
                <w:color w:val="000000"/>
              </w:rPr>
              <w:t>p-value</w:t>
            </w:r>
          </w:p>
        </w:tc>
      </w:tr>
      <w:tr w:rsidR="00BE4F08" w:rsidRPr="00392D14" w14:paraId="1B34B39D" w14:textId="77777777" w:rsidTr="00BE4F08">
        <w:trPr>
          <w:trHeight w:val="340"/>
        </w:trPr>
        <w:tc>
          <w:tcPr>
            <w:tcW w:w="13183" w:type="dxa"/>
            <w:gridSpan w:val="13"/>
            <w:tcBorders>
              <w:top w:val="single" w:sz="4" w:space="0" w:color="auto"/>
              <w:left w:val="nil"/>
              <w:bottom w:val="single" w:sz="4" w:space="0" w:color="auto"/>
              <w:right w:val="nil"/>
            </w:tcBorders>
            <w:shd w:val="clear" w:color="auto" w:fill="auto"/>
            <w:noWrap/>
            <w:vAlign w:val="bottom"/>
            <w:hideMark/>
          </w:tcPr>
          <w:p w14:paraId="225E6AD2" w14:textId="77777777" w:rsidR="00BE4F08" w:rsidRPr="00392D14" w:rsidRDefault="00BE4F08" w:rsidP="00BE4F08">
            <w:pPr>
              <w:rPr>
                <w:rFonts w:ascii="Calibri" w:hAnsi="Calibri" w:cs="Calibri"/>
                <w:color w:val="000000"/>
              </w:rPr>
            </w:pPr>
            <w:r w:rsidRPr="00392D14">
              <w:rPr>
                <w:rFonts w:ascii="Calibri" w:hAnsi="Calibri" w:cs="Calibri"/>
                <w:color w:val="000000"/>
              </w:rPr>
              <w:t>Exposure tested Vitamin D</w:t>
            </w:r>
          </w:p>
        </w:tc>
      </w:tr>
      <w:tr w:rsidR="00BE4F08" w:rsidRPr="00392D14" w14:paraId="0F7B5BF2" w14:textId="77777777" w:rsidTr="00BE4F08">
        <w:trPr>
          <w:trHeight w:val="340"/>
        </w:trPr>
        <w:tc>
          <w:tcPr>
            <w:tcW w:w="1614" w:type="dxa"/>
            <w:tcBorders>
              <w:top w:val="nil"/>
              <w:left w:val="nil"/>
              <w:bottom w:val="nil"/>
              <w:right w:val="nil"/>
            </w:tcBorders>
            <w:shd w:val="clear" w:color="auto" w:fill="auto"/>
            <w:noWrap/>
            <w:vAlign w:val="bottom"/>
            <w:hideMark/>
          </w:tcPr>
          <w:p w14:paraId="4FDB3FC9" w14:textId="77777777" w:rsidR="00BE4F08" w:rsidRPr="00392D14" w:rsidRDefault="00BE4F08" w:rsidP="00BE4F08">
            <w:pPr>
              <w:rPr>
                <w:rFonts w:ascii="Calibri" w:hAnsi="Calibri" w:cs="Calibri"/>
                <w:color w:val="000000"/>
              </w:rPr>
            </w:pPr>
            <w:r w:rsidRPr="00392D14">
              <w:rPr>
                <w:rFonts w:ascii="Calibri" w:hAnsi="Calibri" w:cs="Calibri"/>
                <w:color w:val="000000"/>
              </w:rPr>
              <w:t>rs10741657</w:t>
            </w:r>
          </w:p>
        </w:tc>
        <w:tc>
          <w:tcPr>
            <w:tcW w:w="1400" w:type="dxa"/>
            <w:tcBorders>
              <w:top w:val="nil"/>
              <w:left w:val="nil"/>
              <w:bottom w:val="nil"/>
              <w:right w:val="nil"/>
            </w:tcBorders>
            <w:shd w:val="clear" w:color="auto" w:fill="auto"/>
            <w:noWrap/>
            <w:vAlign w:val="bottom"/>
            <w:hideMark/>
          </w:tcPr>
          <w:p w14:paraId="292AF33D" w14:textId="77777777" w:rsidR="00BE4F08" w:rsidRPr="00392D14" w:rsidRDefault="00BE4F08" w:rsidP="00BE4F08">
            <w:pPr>
              <w:jc w:val="center"/>
              <w:rPr>
                <w:rFonts w:ascii="Calibri" w:hAnsi="Calibri" w:cs="Calibri"/>
                <w:color w:val="000000"/>
              </w:rPr>
            </w:pPr>
            <w:r w:rsidRPr="00392D14">
              <w:rPr>
                <w:rFonts w:ascii="Calibri" w:hAnsi="Calibri" w:cs="Calibri"/>
                <w:color w:val="000000"/>
              </w:rPr>
              <w:t>0.40</w:t>
            </w:r>
          </w:p>
        </w:tc>
        <w:tc>
          <w:tcPr>
            <w:tcW w:w="1146" w:type="dxa"/>
            <w:tcBorders>
              <w:top w:val="nil"/>
              <w:left w:val="nil"/>
              <w:bottom w:val="nil"/>
              <w:right w:val="nil"/>
            </w:tcBorders>
            <w:shd w:val="clear" w:color="auto" w:fill="auto"/>
            <w:noWrap/>
            <w:vAlign w:val="bottom"/>
            <w:hideMark/>
          </w:tcPr>
          <w:p w14:paraId="6FC2303E" w14:textId="77777777" w:rsidR="00BE4F08" w:rsidRPr="00392D14" w:rsidRDefault="00BE4F08" w:rsidP="00BE4F08">
            <w:pPr>
              <w:jc w:val="center"/>
              <w:rPr>
                <w:rFonts w:ascii="Calibri" w:hAnsi="Calibri" w:cs="Calibri"/>
                <w:color w:val="000000"/>
              </w:rPr>
            </w:pPr>
            <w:r w:rsidRPr="00392D14">
              <w:rPr>
                <w:rFonts w:ascii="Calibri" w:hAnsi="Calibri" w:cs="Calibri"/>
                <w:color w:val="000000"/>
              </w:rPr>
              <w:t xml:space="preserve"> 0.031</w:t>
            </w:r>
          </w:p>
        </w:tc>
        <w:tc>
          <w:tcPr>
            <w:tcW w:w="1348" w:type="dxa"/>
            <w:tcBorders>
              <w:top w:val="nil"/>
              <w:left w:val="nil"/>
              <w:bottom w:val="nil"/>
              <w:right w:val="nil"/>
            </w:tcBorders>
            <w:shd w:val="clear" w:color="auto" w:fill="auto"/>
            <w:noWrap/>
            <w:vAlign w:val="bottom"/>
            <w:hideMark/>
          </w:tcPr>
          <w:p w14:paraId="07C1A680" w14:textId="77777777" w:rsidR="00BE4F08" w:rsidRPr="00392D14" w:rsidRDefault="00BE4F08" w:rsidP="00BE4F08">
            <w:pPr>
              <w:jc w:val="center"/>
              <w:rPr>
                <w:rFonts w:ascii="Calibri" w:hAnsi="Calibri" w:cs="Calibri"/>
                <w:color w:val="000000"/>
              </w:rPr>
            </w:pPr>
            <w:r w:rsidRPr="00392D14">
              <w:rPr>
                <w:rFonts w:ascii="Calibri" w:hAnsi="Calibri" w:cs="Calibri"/>
                <w:color w:val="000000"/>
              </w:rPr>
              <w:t>2.5e-01</w:t>
            </w:r>
          </w:p>
        </w:tc>
        <w:tc>
          <w:tcPr>
            <w:tcW w:w="105" w:type="dxa"/>
            <w:tcBorders>
              <w:top w:val="nil"/>
              <w:left w:val="nil"/>
              <w:bottom w:val="nil"/>
              <w:right w:val="nil"/>
            </w:tcBorders>
            <w:shd w:val="clear" w:color="auto" w:fill="auto"/>
            <w:noWrap/>
            <w:vAlign w:val="bottom"/>
            <w:hideMark/>
          </w:tcPr>
          <w:p w14:paraId="2B1D263D" w14:textId="77777777" w:rsidR="00BE4F08" w:rsidRPr="00392D14" w:rsidRDefault="00BE4F08" w:rsidP="00BE4F08">
            <w:pPr>
              <w:jc w:val="center"/>
              <w:rPr>
                <w:rFonts w:ascii="Calibri" w:hAnsi="Calibri" w:cs="Calibri"/>
                <w:color w:val="000000"/>
              </w:rPr>
            </w:pPr>
          </w:p>
        </w:tc>
        <w:tc>
          <w:tcPr>
            <w:tcW w:w="1697" w:type="dxa"/>
            <w:tcBorders>
              <w:top w:val="nil"/>
              <w:left w:val="nil"/>
              <w:bottom w:val="nil"/>
              <w:right w:val="nil"/>
            </w:tcBorders>
            <w:shd w:val="clear" w:color="auto" w:fill="auto"/>
            <w:noWrap/>
            <w:vAlign w:val="bottom"/>
            <w:hideMark/>
          </w:tcPr>
          <w:p w14:paraId="1850AC4F" w14:textId="77777777" w:rsidR="00BE4F08" w:rsidRPr="00392D14" w:rsidRDefault="00BE4F08" w:rsidP="00BE4F08">
            <w:pPr>
              <w:jc w:val="center"/>
              <w:rPr>
                <w:rFonts w:ascii="Calibri" w:hAnsi="Calibri" w:cs="Calibri"/>
                <w:color w:val="000000"/>
              </w:rPr>
            </w:pPr>
            <w:r w:rsidRPr="00392D14">
              <w:rPr>
                <w:rFonts w:ascii="Calibri" w:hAnsi="Calibri" w:cs="Calibri"/>
                <w:color w:val="000000"/>
              </w:rPr>
              <w:t>1.2e-02</w:t>
            </w:r>
          </w:p>
        </w:tc>
        <w:tc>
          <w:tcPr>
            <w:tcW w:w="865" w:type="dxa"/>
            <w:tcBorders>
              <w:top w:val="nil"/>
              <w:left w:val="nil"/>
              <w:bottom w:val="nil"/>
              <w:right w:val="nil"/>
            </w:tcBorders>
            <w:shd w:val="clear" w:color="auto" w:fill="auto"/>
            <w:noWrap/>
            <w:vAlign w:val="bottom"/>
            <w:hideMark/>
          </w:tcPr>
          <w:p w14:paraId="69EF0460" w14:textId="77777777" w:rsidR="00BE4F08" w:rsidRPr="00392D14" w:rsidRDefault="00BE4F08" w:rsidP="00BE4F08">
            <w:pPr>
              <w:jc w:val="center"/>
              <w:rPr>
                <w:rFonts w:ascii="Calibri" w:hAnsi="Calibri" w:cs="Calibri"/>
                <w:color w:val="000000"/>
              </w:rPr>
            </w:pPr>
            <w:r w:rsidRPr="00392D14">
              <w:rPr>
                <w:rFonts w:ascii="Calibri" w:hAnsi="Calibri" w:cs="Calibri"/>
                <w:color w:val="000000"/>
              </w:rPr>
              <w:t>1.00</w:t>
            </w:r>
          </w:p>
        </w:tc>
        <w:tc>
          <w:tcPr>
            <w:tcW w:w="111" w:type="dxa"/>
            <w:tcBorders>
              <w:top w:val="nil"/>
              <w:left w:val="nil"/>
              <w:bottom w:val="nil"/>
              <w:right w:val="nil"/>
            </w:tcBorders>
            <w:shd w:val="clear" w:color="auto" w:fill="auto"/>
            <w:noWrap/>
            <w:vAlign w:val="bottom"/>
            <w:hideMark/>
          </w:tcPr>
          <w:p w14:paraId="1187C120" w14:textId="77777777" w:rsidR="00BE4F08" w:rsidRPr="00392D14" w:rsidRDefault="00BE4F08" w:rsidP="00BE4F08">
            <w:pPr>
              <w:jc w:val="center"/>
              <w:rPr>
                <w:rFonts w:ascii="Calibri" w:hAnsi="Calibri" w:cs="Calibri"/>
                <w:color w:val="000000"/>
              </w:rPr>
            </w:pPr>
          </w:p>
        </w:tc>
        <w:tc>
          <w:tcPr>
            <w:tcW w:w="1696" w:type="dxa"/>
            <w:tcBorders>
              <w:top w:val="nil"/>
              <w:left w:val="nil"/>
              <w:bottom w:val="nil"/>
              <w:right w:val="nil"/>
            </w:tcBorders>
            <w:shd w:val="clear" w:color="auto" w:fill="auto"/>
            <w:noWrap/>
            <w:vAlign w:val="bottom"/>
            <w:hideMark/>
          </w:tcPr>
          <w:p w14:paraId="2008B1D5" w14:textId="77777777" w:rsidR="00BE4F08" w:rsidRPr="00392D14" w:rsidRDefault="00BE4F08" w:rsidP="00BE4F08">
            <w:pPr>
              <w:jc w:val="center"/>
              <w:rPr>
                <w:rFonts w:ascii="Calibri" w:hAnsi="Calibri" w:cs="Calibri"/>
                <w:color w:val="000000"/>
              </w:rPr>
            </w:pPr>
            <w:r w:rsidRPr="00392D14">
              <w:rPr>
                <w:rFonts w:ascii="Calibri" w:hAnsi="Calibri" w:cs="Calibri"/>
                <w:color w:val="000000"/>
              </w:rPr>
              <w:t>3.1e-03</w:t>
            </w:r>
          </w:p>
        </w:tc>
        <w:tc>
          <w:tcPr>
            <w:tcW w:w="865" w:type="dxa"/>
            <w:tcBorders>
              <w:top w:val="nil"/>
              <w:left w:val="nil"/>
              <w:bottom w:val="nil"/>
              <w:right w:val="nil"/>
            </w:tcBorders>
            <w:shd w:val="clear" w:color="auto" w:fill="auto"/>
            <w:noWrap/>
            <w:vAlign w:val="bottom"/>
            <w:hideMark/>
          </w:tcPr>
          <w:p w14:paraId="089AFD9E" w14:textId="77777777" w:rsidR="00BE4F08" w:rsidRPr="00392D14" w:rsidRDefault="00BE4F08" w:rsidP="00BE4F08">
            <w:pPr>
              <w:jc w:val="center"/>
              <w:rPr>
                <w:rFonts w:ascii="Calibri" w:hAnsi="Calibri" w:cs="Calibri"/>
                <w:color w:val="000000"/>
              </w:rPr>
            </w:pPr>
            <w:r w:rsidRPr="00392D14">
              <w:rPr>
                <w:rFonts w:ascii="Calibri" w:hAnsi="Calibri" w:cs="Calibri"/>
                <w:color w:val="000000"/>
              </w:rPr>
              <w:t>0.89</w:t>
            </w:r>
          </w:p>
        </w:tc>
        <w:tc>
          <w:tcPr>
            <w:tcW w:w="105" w:type="dxa"/>
            <w:tcBorders>
              <w:top w:val="nil"/>
              <w:left w:val="nil"/>
              <w:bottom w:val="nil"/>
              <w:right w:val="nil"/>
            </w:tcBorders>
            <w:shd w:val="clear" w:color="auto" w:fill="auto"/>
            <w:noWrap/>
            <w:vAlign w:val="bottom"/>
            <w:hideMark/>
          </w:tcPr>
          <w:p w14:paraId="3D004395" w14:textId="77777777" w:rsidR="00BE4F08" w:rsidRPr="00392D14" w:rsidRDefault="00BE4F08" w:rsidP="00BE4F08">
            <w:pPr>
              <w:jc w:val="center"/>
              <w:rPr>
                <w:rFonts w:ascii="Calibri" w:hAnsi="Calibri" w:cs="Calibri"/>
                <w:color w:val="000000"/>
              </w:rPr>
            </w:pPr>
          </w:p>
        </w:tc>
        <w:tc>
          <w:tcPr>
            <w:tcW w:w="1276" w:type="dxa"/>
            <w:tcBorders>
              <w:top w:val="nil"/>
              <w:left w:val="nil"/>
              <w:bottom w:val="nil"/>
              <w:right w:val="nil"/>
            </w:tcBorders>
            <w:shd w:val="clear" w:color="auto" w:fill="auto"/>
            <w:noWrap/>
            <w:vAlign w:val="bottom"/>
            <w:hideMark/>
          </w:tcPr>
          <w:p w14:paraId="4E2D72E9" w14:textId="77777777" w:rsidR="00BE4F08" w:rsidRPr="00392D14" w:rsidRDefault="00BE4F08" w:rsidP="00BE4F08">
            <w:pPr>
              <w:jc w:val="center"/>
              <w:rPr>
                <w:rFonts w:ascii="Calibri" w:hAnsi="Calibri" w:cs="Calibri"/>
                <w:color w:val="000000"/>
              </w:rPr>
            </w:pPr>
            <w:r w:rsidRPr="00392D14">
              <w:rPr>
                <w:rFonts w:ascii="Calibri" w:hAnsi="Calibri" w:cs="Calibri"/>
                <w:color w:val="000000"/>
              </w:rPr>
              <w:t>-0.007</w:t>
            </w:r>
          </w:p>
        </w:tc>
        <w:tc>
          <w:tcPr>
            <w:tcW w:w="955" w:type="dxa"/>
            <w:tcBorders>
              <w:top w:val="nil"/>
              <w:left w:val="nil"/>
              <w:bottom w:val="nil"/>
              <w:right w:val="nil"/>
            </w:tcBorders>
            <w:shd w:val="clear" w:color="auto" w:fill="auto"/>
            <w:noWrap/>
            <w:vAlign w:val="bottom"/>
            <w:hideMark/>
          </w:tcPr>
          <w:p w14:paraId="409E2EEF" w14:textId="77777777" w:rsidR="00BE4F08" w:rsidRPr="00392D14" w:rsidRDefault="00BE4F08" w:rsidP="00BE4F08">
            <w:pPr>
              <w:jc w:val="center"/>
              <w:rPr>
                <w:rFonts w:ascii="Calibri" w:hAnsi="Calibri" w:cs="Calibri"/>
                <w:color w:val="000000"/>
              </w:rPr>
            </w:pPr>
            <w:r w:rsidRPr="00392D14">
              <w:rPr>
                <w:rFonts w:ascii="Calibri" w:hAnsi="Calibri" w:cs="Calibri"/>
                <w:color w:val="000000"/>
              </w:rPr>
              <w:t>0.139</w:t>
            </w:r>
          </w:p>
        </w:tc>
      </w:tr>
      <w:tr w:rsidR="00BE4F08" w:rsidRPr="00392D14" w14:paraId="7B5E4D0B" w14:textId="77777777" w:rsidTr="00BE4F08">
        <w:trPr>
          <w:trHeight w:val="340"/>
        </w:trPr>
        <w:tc>
          <w:tcPr>
            <w:tcW w:w="1614" w:type="dxa"/>
            <w:tcBorders>
              <w:top w:val="nil"/>
              <w:left w:val="nil"/>
              <w:bottom w:val="nil"/>
              <w:right w:val="nil"/>
            </w:tcBorders>
            <w:shd w:val="clear" w:color="auto" w:fill="auto"/>
            <w:noWrap/>
            <w:vAlign w:val="bottom"/>
            <w:hideMark/>
          </w:tcPr>
          <w:p w14:paraId="0A831395" w14:textId="77777777" w:rsidR="00BE4F08" w:rsidRPr="00392D14" w:rsidRDefault="00BE4F08" w:rsidP="00BE4F08">
            <w:pPr>
              <w:rPr>
                <w:rFonts w:ascii="Calibri" w:hAnsi="Calibri" w:cs="Calibri"/>
                <w:color w:val="000000"/>
              </w:rPr>
            </w:pPr>
            <w:r w:rsidRPr="00392D14">
              <w:rPr>
                <w:rFonts w:ascii="Calibri" w:hAnsi="Calibri" w:cs="Calibri"/>
                <w:color w:val="000000"/>
              </w:rPr>
              <w:t>rs10745742</w:t>
            </w:r>
          </w:p>
        </w:tc>
        <w:tc>
          <w:tcPr>
            <w:tcW w:w="1400" w:type="dxa"/>
            <w:tcBorders>
              <w:top w:val="nil"/>
              <w:left w:val="nil"/>
              <w:bottom w:val="nil"/>
              <w:right w:val="nil"/>
            </w:tcBorders>
            <w:shd w:val="clear" w:color="auto" w:fill="auto"/>
            <w:noWrap/>
            <w:vAlign w:val="bottom"/>
            <w:hideMark/>
          </w:tcPr>
          <w:p w14:paraId="6192E53D" w14:textId="77777777" w:rsidR="00BE4F08" w:rsidRPr="00392D14" w:rsidRDefault="00BE4F08" w:rsidP="00BE4F08">
            <w:pPr>
              <w:jc w:val="center"/>
              <w:rPr>
                <w:rFonts w:ascii="Calibri" w:hAnsi="Calibri" w:cs="Calibri"/>
                <w:color w:val="000000"/>
              </w:rPr>
            </w:pPr>
            <w:r w:rsidRPr="00392D14">
              <w:rPr>
                <w:rFonts w:ascii="Calibri" w:hAnsi="Calibri" w:cs="Calibri"/>
                <w:color w:val="000000"/>
              </w:rPr>
              <w:t>0.40</w:t>
            </w:r>
          </w:p>
        </w:tc>
        <w:tc>
          <w:tcPr>
            <w:tcW w:w="1146" w:type="dxa"/>
            <w:tcBorders>
              <w:top w:val="nil"/>
              <w:left w:val="nil"/>
              <w:bottom w:val="nil"/>
              <w:right w:val="nil"/>
            </w:tcBorders>
            <w:shd w:val="clear" w:color="auto" w:fill="auto"/>
            <w:noWrap/>
            <w:vAlign w:val="bottom"/>
            <w:hideMark/>
          </w:tcPr>
          <w:p w14:paraId="5B713225" w14:textId="77777777" w:rsidR="00BE4F08" w:rsidRPr="00392D14" w:rsidRDefault="00BE4F08" w:rsidP="00BE4F08">
            <w:pPr>
              <w:jc w:val="center"/>
              <w:rPr>
                <w:rFonts w:ascii="Calibri" w:hAnsi="Calibri" w:cs="Calibri"/>
                <w:color w:val="000000"/>
              </w:rPr>
            </w:pPr>
            <w:r w:rsidRPr="00392D14">
              <w:rPr>
                <w:rFonts w:ascii="Calibri" w:hAnsi="Calibri" w:cs="Calibri"/>
                <w:color w:val="000000"/>
              </w:rPr>
              <w:t xml:space="preserve"> 0.016</w:t>
            </w:r>
          </w:p>
        </w:tc>
        <w:tc>
          <w:tcPr>
            <w:tcW w:w="1348" w:type="dxa"/>
            <w:tcBorders>
              <w:top w:val="nil"/>
              <w:left w:val="nil"/>
              <w:bottom w:val="nil"/>
              <w:right w:val="nil"/>
            </w:tcBorders>
            <w:shd w:val="clear" w:color="auto" w:fill="auto"/>
            <w:noWrap/>
            <w:vAlign w:val="bottom"/>
            <w:hideMark/>
          </w:tcPr>
          <w:p w14:paraId="209D9F3E" w14:textId="77777777" w:rsidR="00BE4F08" w:rsidRPr="00392D14" w:rsidRDefault="00BE4F08" w:rsidP="00BE4F08">
            <w:pPr>
              <w:jc w:val="center"/>
              <w:rPr>
                <w:rFonts w:ascii="Calibri" w:hAnsi="Calibri" w:cs="Calibri"/>
                <w:color w:val="000000"/>
              </w:rPr>
            </w:pPr>
            <w:r w:rsidRPr="00392D14">
              <w:rPr>
                <w:rFonts w:ascii="Calibri" w:hAnsi="Calibri" w:cs="Calibri"/>
                <w:color w:val="000000"/>
              </w:rPr>
              <w:t>7.1e-02</w:t>
            </w:r>
          </w:p>
        </w:tc>
        <w:tc>
          <w:tcPr>
            <w:tcW w:w="105" w:type="dxa"/>
            <w:tcBorders>
              <w:top w:val="nil"/>
              <w:left w:val="nil"/>
              <w:bottom w:val="nil"/>
              <w:right w:val="nil"/>
            </w:tcBorders>
            <w:shd w:val="clear" w:color="auto" w:fill="auto"/>
            <w:noWrap/>
            <w:vAlign w:val="bottom"/>
            <w:hideMark/>
          </w:tcPr>
          <w:p w14:paraId="59F2D348" w14:textId="77777777" w:rsidR="00BE4F08" w:rsidRPr="00392D14" w:rsidRDefault="00BE4F08" w:rsidP="00BE4F08">
            <w:pPr>
              <w:jc w:val="center"/>
              <w:rPr>
                <w:rFonts w:ascii="Calibri" w:hAnsi="Calibri" w:cs="Calibri"/>
                <w:color w:val="000000"/>
              </w:rPr>
            </w:pPr>
          </w:p>
        </w:tc>
        <w:tc>
          <w:tcPr>
            <w:tcW w:w="1697" w:type="dxa"/>
            <w:tcBorders>
              <w:top w:val="nil"/>
              <w:left w:val="nil"/>
              <w:bottom w:val="nil"/>
              <w:right w:val="nil"/>
            </w:tcBorders>
            <w:shd w:val="clear" w:color="auto" w:fill="auto"/>
            <w:noWrap/>
            <w:vAlign w:val="bottom"/>
            <w:hideMark/>
          </w:tcPr>
          <w:p w14:paraId="53A04F1E" w14:textId="77777777" w:rsidR="00BE4F08" w:rsidRPr="00392D14" w:rsidRDefault="00BE4F08" w:rsidP="00BE4F08">
            <w:pPr>
              <w:jc w:val="center"/>
              <w:rPr>
                <w:rFonts w:ascii="Calibri" w:hAnsi="Calibri" w:cs="Calibri"/>
                <w:color w:val="000000"/>
              </w:rPr>
            </w:pPr>
            <w:r w:rsidRPr="00392D14">
              <w:rPr>
                <w:rFonts w:ascii="Calibri" w:hAnsi="Calibri" w:cs="Calibri"/>
                <w:color w:val="000000"/>
              </w:rPr>
              <w:t>3.5e-03</w:t>
            </w:r>
          </w:p>
        </w:tc>
        <w:tc>
          <w:tcPr>
            <w:tcW w:w="865" w:type="dxa"/>
            <w:tcBorders>
              <w:top w:val="nil"/>
              <w:left w:val="nil"/>
              <w:bottom w:val="nil"/>
              <w:right w:val="nil"/>
            </w:tcBorders>
            <w:shd w:val="clear" w:color="auto" w:fill="auto"/>
            <w:noWrap/>
            <w:vAlign w:val="bottom"/>
            <w:hideMark/>
          </w:tcPr>
          <w:p w14:paraId="48080332" w14:textId="77777777" w:rsidR="00BE4F08" w:rsidRPr="00392D14" w:rsidRDefault="00BE4F08" w:rsidP="00BE4F08">
            <w:pPr>
              <w:jc w:val="center"/>
              <w:rPr>
                <w:rFonts w:ascii="Calibri" w:hAnsi="Calibri" w:cs="Calibri"/>
                <w:color w:val="000000"/>
              </w:rPr>
            </w:pPr>
            <w:r w:rsidRPr="00392D14">
              <w:rPr>
                <w:rFonts w:ascii="Calibri" w:hAnsi="Calibri" w:cs="Calibri"/>
                <w:color w:val="000000"/>
              </w:rPr>
              <w:t>0.92</w:t>
            </w:r>
          </w:p>
        </w:tc>
        <w:tc>
          <w:tcPr>
            <w:tcW w:w="111" w:type="dxa"/>
            <w:tcBorders>
              <w:top w:val="nil"/>
              <w:left w:val="nil"/>
              <w:bottom w:val="nil"/>
              <w:right w:val="nil"/>
            </w:tcBorders>
            <w:shd w:val="clear" w:color="auto" w:fill="auto"/>
            <w:noWrap/>
            <w:vAlign w:val="bottom"/>
            <w:hideMark/>
          </w:tcPr>
          <w:p w14:paraId="766F7212" w14:textId="77777777" w:rsidR="00BE4F08" w:rsidRPr="00392D14" w:rsidRDefault="00BE4F08" w:rsidP="00BE4F08">
            <w:pPr>
              <w:jc w:val="center"/>
              <w:rPr>
                <w:rFonts w:ascii="Calibri" w:hAnsi="Calibri" w:cs="Calibri"/>
                <w:color w:val="000000"/>
              </w:rPr>
            </w:pPr>
          </w:p>
        </w:tc>
        <w:tc>
          <w:tcPr>
            <w:tcW w:w="1696" w:type="dxa"/>
            <w:tcBorders>
              <w:top w:val="nil"/>
              <w:left w:val="nil"/>
              <w:bottom w:val="nil"/>
              <w:right w:val="nil"/>
            </w:tcBorders>
            <w:shd w:val="clear" w:color="auto" w:fill="auto"/>
            <w:noWrap/>
            <w:vAlign w:val="bottom"/>
            <w:hideMark/>
          </w:tcPr>
          <w:p w14:paraId="2C7825BC" w14:textId="77777777" w:rsidR="00BE4F08" w:rsidRPr="00392D14" w:rsidRDefault="00BE4F08" w:rsidP="00BE4F08">
            <w:pPr>
              <w:jc w:val="center"/>
              <w:rPr>
                <w:rFonts w:ascii="Calibri" w:hAnsi="Calibri" w:cs="Calibri"/>
                <w:color w:val="000000"/>
              </w:rPr>
            </w:pPr>
            <w:r w:rsidRPr="00392D14">
              <w:rPr>
                <w:rFonts w:ascii="Calibri" w:hAnsi="Calibri" w:cs="Calibri"/>
                <w:color w:val="000000"/>
              </w:rPr>
              <w:t>8.9e-04</w:t>
            </w:r>
          </w:p>
        </w:tc>
        <w:tc>
          <w:tcPr>
            <w:tcW w:w="865" w:type="dxa"/>
            <w:tcBorders>
              <w:top w:val="nil"/>
              <w:left w:val="nil"/>
              <w:bottom w:val="nil"/>
              <w:right w:val="nil"/>
            </w:tcBorders>
            <w:shd w:val="clear" w:color="auto" w:fill="auto"/>
            <w:noWrap/>
            <w:vAlign w:val="bottom"/>
            <w:hideMark/>
          </w:tcPr>
          <w:p w14:paraId="184C6741" w14:textId="77777777" w:rsidR="00BE4F08" w:rsidRPr="00392D14" w:rsidRDefault="00BE4F08" w:rsidP="00BE4F08">
            <w:pPr>
              <w:jc w:val="center"/>
              <w:rPr>
                <w:rFonts w:ascii="Calibri" w:hAnsi="Calibri" w:cs="Calibri"/>
                <w:color w:val="000000"/>
              </w:rPr>
            </w:pPr>
            <w:r w:rsidRPr="00392D14">
              <w:rPr>
                <w:rFonts w:ascii="Calibri" w:hAnsi="Calibri" w:cs="Calibri"/>
                <w:color w:val="000000"/>
              </w:rPr>
              <w:t>0.40</w:t>
            </w:r>
          </w:p>
        </w:tc>
        <w:tc>
          <w:tcPr>
            <w:tcW w:w="105" w:type="dxa"/>
            <w:tcBorders>
              <w:top w:val="nil"/>
              <w:left w:val="nil"/>
              <w:bottom w:val="nil"/>
              <w:right w:val="nil"/>
            </w:tcBorders>
            <w:shd w:val="clear" w:color="auto" w:fill="auto"/>
            <w:noWrap/>
            <w:vAlign w:val="bottom"/>
            <w:hideMark/>
          </w:tcPr>
          <w:p w14:paraId="4621E6CE" w14:textId="77777777" w:rsidR="00BE4F08" w:rsidRPr="00392D14" w:rsidRDefault="00BE4F08" w:rsidP="00BE4F08">
            <w:pPr>
              <w:jc w:val="center"/>
              <w:rPr>
                <w:rFonts w:ascii="Calibri" w:hAnsi="Calibri" w:cs="Calibri"/>
                <w:color w:val="000000"/>
              </w:rPr>
            </w:pPr>
          </w:p>
        </w:tc>
        <w:tc>
          <w:tcPr>
            <w:tcW w:w="1276" w:type="dxa"/>
            <w:tcBorders>
              <w:top w:val="nil"/>
              <w:left w:val="nil"/>
              <w:bottom w:val="nil"/>
              <w:right w:val="nil"/>
            </w:tcBorders>
            <w:shd w:val="clear" w:color="auto" w:fill="auto"/>
            <w:noWrap/>
            <w:vAlign w:val="bottom"/>
            <w:hideMark/>
          </w:tcPr>
          <w:p w14:paraId="1DA03D89" w14:textId="77777777" w:rsidR="00BE4F08" w:rsidRPr="00392D14" w:rsidRDefault="00BE4F08" w:rsidP="00BE4F08">
            <w:pPr>
              <w:jc w:val="center"/>
              <w:rPr>
                <w:rFonts w:ascii="Calibri" w:hAnsi="Calibri" w:cs="Calibri"/>
                <w:color w:val="000000"/>
              </w:rPr>
            </w:pPr>
            <w:r w:rsidRPr="00392D14">
              <w:rPr>
                <w:rFonts w:ascii="Calibri" w:hAnsi="Calibri" w:cs="Calibri"/>
                <w:color w:val="000000"/>
              </w:rPr>
              <w:t xml:space="preserve"> 0.001</w:t>
            </w:r>
          </w:p>
        </w:tc>
        <w:tc>
          <w:tcPr>
            <w:tcW w:w="955" w:type="dxa"/>
            <w:tcBorders>
              <w:top w:val="nil"/>
              <w:left w:val="nil"/>
              <w:bottom w:val="nil"/>
              <w:right w:val="nil"/>
            </w:tcBorders>
            <w:shd w:val="clear" w:color="auto" w:fill="auto"/>
            <w:noWrap/>
            <w:vAlign w:val="bottom"/>
            <w:hideMark/>
          </w:tcPr>
          <w:p w14:paraId="27657C4D" w14:textId="77777777" w:rsidR="00BE4F08" w:rsidRPr="00392D14" w:rsidRDefault="00BE4F08" w:rsidP="00BE4F08">
            <w:pPr>
              <w:jc w:val="center"/>
              <w:rPr>
                <w:rFonts w:ascii="Calibri" w:hAnsi="Calibri" w:cs="Calibri"/>
                <w:color w:val="000000"/>
              </w:rPr>
            </w:pPr>
            <w:r w:rsidRPr="00392D14">
              <w:rPr>
                <w:rFonts w:ascii="Calibri" w:hAnsi="Calibri" w:cs="Calibri"/>
                <w:color w:val="000000"/>
              </w:rPr>
              <w:t>0.866</w:t>
            </w:r>
          </w:p>
        </w:tc>
      </w:tr>
      <w:tr w:rsidR="00BE4F08" w:rsidRPr="00392D14" w14:paraId="77485105" w14:textId="77777777" w:rsidTr="00BE4F08">
        <w:trPr>
          <w:trHeight w:val="340"/>
        </w:trPr>
        <w:tc>
          <w:tcPr>
            <w:tcW w:w="1614" w:type="dxa"/>
            <w:tcBorders>
              <w:top w:val="nil"/>
              <w:left w:val="nil"/>
              <w:bottom w:val="nil"/>
              <w:right w:val="nil"/>
            </w:tcBorders>
            <w:shd w:val="clear" w:color="auto" w:fill="auto"/>
            <w:noWrap/>
            <w:vAlign w:val="bottom"/>
            <w:hideMark/>
          </w:tcPr>
          <w:p w14:paraId="6BBE8C3D" w14:textId="77777777" w:rsidR="00BE4F08" w:rsidRPr="00392D14" w:rsidRDefault="00BE4F08" w:rsidP="00BE4F08">
            <w:pPr>
              <w:rPr>
                <w:rFonts w:ascii="Calibri" w:hAnsi="Calibri" w:cs="Calibri"/>
                <w:color w:val="000000"/>
              </w:rPr>
            </w:pPr>
            <w:r w:rsidRPr="00392D14">
              <w:rPr>
                <w:rFonts w:ascii="Calibri" w:hAnsi="Calibri" w:cs="Calibri"/>
                <w:color w:val="000000"/>
              </w:rPr>
              <w:t>rs12785878</w:t>
            </w:r>
          </w:p>
        </w:tc>
        <w:tc>
          <w:tcPr>
            <w:tcW w:w="1400" w:type="dxa"/>
            <w:tcBorders>
              <w:top w:val="nil"/>
              <w:left w:val="nil"/>
              <w:bottom w:val="nil"/>
              <w:right w:val="nil"/>
            </w:tcBorders>
            <w:shd w:val="clear" w:color="auto" w:fill="auto"/>
            <w:noWrap/>
            <w:vAlign w:val="bottom"/>
            <w:hideMark/>
          </w:tcPr>
          <w:p w14:paraId="0816FA12" w14:textId="77777777" w:rsidR="00BE4F08" w:rsidRPr="00392D14" w:rsidRDefault="00BE4F08" w:rsidP="00BE4F08">
            <w:pPr>
              <w:jc w:val="center"/>
              <w:rPr>
                <w:rFonts w:ascii="Calibri" w:hAnsi="Calibri" w:cs="Calibri"/>
                <w:color w:val="000000"/>
              </w:rPr>
            </w:pPr>
            <w:r w:rsidRPr="00392D14">
              <w:rPr>
                <w:rFonts w:ascii="Calibri" w:hAnsi="Calibri" w:cs="Calibri"/>
                <w:color w:val="000000"/>
              </w:rPr>
              <w:t>0.75</w:t>
            </w:r>
          </w:p>
        </w:tc>
        <w:tc>
          <w:tcPr>
            <w:tcW w:w="1146" w:type="dxa"/>
            <w:tcBorders>
              <w:top w:val="nil"/>
              <w:left w:val="nil"/>
              <w:bottom w:val="nil"/>
              <w:right w:val="nil"/>
            </w:tcBorders>
            <w:shd w:val="clear" w:color="auto" w:fill="auto"/>
            <w:noWrap/>
            <w:vAlign w:val="bottom"/>
            <w:hideMark/>
          </w:tcPr>
          <w:p w14:paraId="74844C64" w14:textId="77777777" w:rsidR="00BE4F08" w:rsidRPr="00392D14" w:rsidRDefault="00BE4F08" w:rsidP="00BE4F08">
            <w:pPr>
              <w:jc w:val="center"/>
              <w:rPr>
                <w:rFonts w:ascii="Calibri" w:hAnsi="Calibri" w:cs="Calibri"/>
                <w:color w:val="000000"/>
              </w:rPr>
            </w:pPr>
            <w:r w:rsidRPr="00392D14">
              <w:rPr>
                <w:rFonts w:ascii="Calibri" w:hAnsi="Calibri" w:cs="Calibri"/>
                <w:color w:val="000000"/>
              </w:rPr>
              <w:t xml:space="preserve"> 0.036</w:t>
            </w:r>
          </w:p>
        </w:tc>
        <w:tc>
          <w:tcPr>
            <w:tcW w:w="1348" w:type="dxa"/>
            <w:tcBorders>
              <w:top w:val="nil"/>
              <w:left w:val="nil"/>
              <w:bottom w:val="nil"/>
              <w:right w:val="nil"/>
            </w:tcBorders>
            <w:shd w:val="clear" w:color="auto" w:fill="auto"/>
            <w:noWrap/>
            <w:vAlign w:val="bottom"/>
            <w:hideMark/>
          </w:tcPr>
          <w:p w14:paraId="12739FF4" w14:textId="77777777" w:rsidR="00BE4F08" w:rsidRPr="00392D14" w:rsidRDefault="00BE4F08" w:rsidP="00BE4F08">
            <w:pPr>
              <w:jc w:val="center"/>
              <w:rPr>
                <w:rFonts w:ascii="Calibri" w:hAnsi="Calibri" w:cs="Calibri"/>
                <w:color w:val="000000"/>
              </w:rPr>
            </w:pPr>
            <w:r w:rsidRPr="00392D14">
              <w:rPr>
                <w:rFonts w:ascii="Calibri" w:hAnsi="Calibri" w:cs="Calibri"/>
                <w:color w:val="000000"/>
              </w:rPr>
              <w:t>3.4e-01</w:t>
            </w:r>
          </w:p>
        </w:tc>
        <w:tc>
          <w:tcPr>
            <w:tcW w:w="105" w:type="dxa"/>
            <w:tcBorders>
              <w:top w:val="nil"/>
              <w:left w:val="nil"/>
              <w:bottom w:val="nil"/>
              <w:right w:val="nil"/>
            </w:tcBorders>
            <w:shd w:val="clear" w:color="auto" w:fill="auto"/>
            <w:noWrap/>
            <w:vAlign w:val="bottom"/>
            <w:hideMark/>
          </w:tcPr>
          <w:p w14:paraId="78CBFE6C" w14:textId="77777777" w:rsidR="00BE4F08" w:rsidRPr="00392D14" w:rsidRDefault="00BE4F08" w:rsidP="00BE4F08">
            <w:pPr>
              <w:jc w:val="center"/>
              <w:rPr>
                <w:rFonts w:ascii="Calibri" w:hAnsi="Calibri" w:cs="Calibri"/>
                <w:color w:val="000000"/>
              </w:rPr>
            </w:pPr>
          </w:p>
        </w:tc>
        <w:tc>
          <w:tcPr>
            <w:tcW w:w="1697" w:type="dxa"/>
            <w:tcBorders>
              <w:top w:val="nil"/>
              <w:left w:val="nil"/>
              <w:bottom w:val="nil"/>
              <w:right w:val="nil"/>
            </w:tcBorders>
            <w:shd w:val="clear" w:color="auto" w:fill="auto"/>
            <w:noWrap/>
            <w:vAlign w:val="bottom"/>
            <w:hideMark/>
          </w:tcPr>
          <w:p w14:paraId="44EC6A92" w14:textId="77777777" w:rsidR="00BE4F08" w:rsidRPr="00392D14" w:rsidRDefault="00BE4F08" w:rsidP="00BE4F08">
            <w:pPr>
              <w:jc w:val="center"/>
              <w:rPr>
                <w:rFonts w:ascii="Calibri" w:hAnsi="Calibri" w:cs="Calibri"/>
                <w:color w:val="000000"/>
              </w:rPr>
            </w:pPr>
            <w:r w:rsidRPr="00392D14">
              <w:rPr>
                <w:rFonts w:ascii="Calibri" w:hAnsi="Calibri" w:cs="Calibri"/>
                <w:color w:val="000000"/>
              </w:rPr>
              <w:t>1.7e-02</w:t>
            </w:r>
          </w:p>
        </w:tc>
        <w:tc>
          <w:tcPr>
            <w:tcW w:w="865" w:type="dxa"/>
            <w:tcBorders>
              <w:top w:val="nil"/>
              <w:left w:val="nil"/>
              <w:bottom w:val="nil"/>
              <w:right w:val="nil"/>
            </w:tcBorders>
            <w:shd w:val="clear" w:color="auto" w:fill="auto"/>
            <w:noWrap/>
            <w:vAlign w:val="bottom"/>
            <w:hideMark/>
          </w:tcPr>
          <w:p w14:paraId="3CC14E43" w14:textId="77777777" w:rsidR="00BE4F08" w:rsidRPr="00392D14" w:rsidRDefault="00BE4F08" w:rsidP="00BE4F08">
            <w:pPr>
              <w:jc w:val="center"/>
              <w:rPr>
                <w:rFonts w:ascii="Calibri" w:hAnsi="Calibri" w:cs="Calibri"/>
                <w:color w:val="000000"/>
              </w:rPr>
            </w:pPr>
            <w:r w:rsidRPr="00392D14">
              <w:rPr>
                <w:rFonts w:ascii="Calibri" w:hAnsi="Calibri" w:cs="Calibri"/>
                <w:color w:val="000000"/>
              </w:rPr>
              <w:t>1.00</w:t>
            </w:r>
          </w:p>
        </w:tc>
        <w:tc>
          <w:tcPr>
            <w:tcW w:w="111" w:type="dxa"/>
            <w:tcBorders>
              <w:top w:val="nil"/>
              <w:left w:val="nil"/>
              <w:bottom w:val="nil"/>
              <w:right w:val="nil"/>
            </w:tcBorders>
            <w:shd w:val="clear" w:color="auto" w:fill="auto"/>
            <w:noWrap/>
            <w:vAlign w:val="bottom"/>
            <w:hideMark/>
          </w:tcPr>
          <w:p w14:paraId="5EE43768" w14:textId="77777777" w:rsidR="00BE4F08" w:rsidRPr="00392D14" w:rsidRDefault="00BE4F08" w:rsidP="00BE4F08">
            <w:pPr>
              <w:jc w:val="center"/>
              <w:rPr>
                <w:rFonts w:ascii="Calibri" w:hAnsi="Calibri" w:cs="Calibri"/>
                <w:color w:val="000000"/>
              </w:rPr>
            </w:pPr>
          </w:p>
        </w:tc>
        <w:tc>
          <w:tcPr>
            <w:tcW w:w="1696" w:type="dxa"/>
            <w:tcBorders>
              <w:top w:val="nil"/>
              <w:left w:val="nil"/>
              <w:bottom w:val="nil"/>
              <w:right w:val="nil"/>
            </w:tcBorders>
            <w:shd w:val="clear" w:color="auto" w:fill="auto"/>
            <w:noWrap/>
            <w:vAlign w:val="bottom"/>
            <w:hideMark/>
          </w:tcPr>
          <w:p w14:paraId="742E6D2A" w14:textId="77777777" w:rsidR="00BE4F08" w:rsidRPr="00392D14" w:rsidRDefault="00BE4F08" w:rsidP="00BE4F08">
            <w:pPr>
              <w:jc w:val="center"/>
              <w:rPr>
                <w:rFonts w:ascii="Calibri" w:hAnsi="Calibri" w:cs="Calibri"/>
                <w:color w:val="000000"/>
              </w:rPr>
            </w:pPr>
            <w:r w:rsidRPr="00392D14">
              <w:rPr>
                <w:rFonts w:ascii="Calibri" w:hAnsi="Calibri" w:cs="Calibri"/>
                <w:color w:val="000000"/>
              </w:rPr>
              <w:t>4.3e-03</w:t>
            </w:r>
          </w:p>
        </w:tc>
        <w:tc>
          <w:tcPr>
            <w:tcW w:w="865" w:type="dxa"/>
            <w:tcBorders>
              <w:top w:val="nil"/>
              <w:left w:val="nil"/>
              <w:bottom w:val="nil"/>
              <w:right w:val="nil"/>
            </w:tcBorders>
            <w:shd w:val="clear" w:color="auto" w:fill="auto"/>
            <w:noWrap/>
            <w:vAlign w:val="bottom"/>
            <w:hideMark/>
          </w:tcPr>
          <w:p w14:paraId="341EE30A" w14:textId="77777777" w:rsidR="00BE4F08" w:rsidRPr="00392D14" w:rsidRDefault="00BE4F08" w:rsidP="00BE4F08">
            <w:pPr>
              <w:jc w:val="center"/>
              <w:rPr>
                <w:rFonts w:ascii="Calibri" w:hAnsi="Calibri" w:cs="Calibri"/>
                <w:color w:val="000000"/>
              </w:rPr>
            </w:pPr>
            <w:r w:rsidRPr="00392D14">
              <w:rPr>
                <w:rFonts w:ascii="Calibri" w:hAnsi="Calibri" w:cs="Calibri"/>
                <w:color w:val="000000"/>
              </w:rPr>
              <w:t>0.96</w:t>
            </w:r>
          </w:p>
        </w:tc>
        <w:tc>
          <w:tcPr>
            <w:tcW w:w="105" w:type="dxa"/>
            <w:tcBorders>
              <w:top w:val="nil"/>
              <w:left w:val="nil"/>
              <w:bottom w:val="nil"/>
              <w:right w:val="nil"/>
            </w:tcBorders>
            <w:shd w:val="clear" w:color="auto" w:fill="auto"/>
            <w:noWrap/>
            <w:vAlign w:val="bottom"/>
            <w:hideMark/>
          </w:tcPr>
          <w:p w14:paraId="1FF8B700" w14:textId="77777777" w:rsidR="00BE4F08" w:rsidRPr="00392D14" w:rsidRDefault="00BE4F08" w:rsidP="00BE4F08">
            <w:pPr>
              <w:jc w:val="center"/>
              <w:rPr>
                <w:rFonts w:ascii="Calibri" w:hAnsi="Calibri" w:cs="Calibri"/>
                <w:color w:val="000000"/>
              </w:rPr>
            </w:pPr>
          </w:p>
        </w:tc>
        <w:tc>
          <w:tcPr>
            <w:tcW w:w="1276" w:type="dxa"/>
            <w:tcBorders>
              <w:top w:val="nil"/>
              <w:left w:val="nil"/>
              <w:bottom w:val="nil"/>
              <w:right w:val="nil"/>
            </w:tcBorders>
            <w:shd w:val="clear" w:color="auto" w:fill="auto"/>
            <w:noWrap/>
            <w:vAlign w:val="bottom"/>
            <w:hideMark/>
          </w:tcPr>
          <w:p w14:paraId="23912F9A" w14:textId="77777777" w:rsidR="00BE4F08" w:rsidRPr="00392D14" w:rsidRDefault="00BE4F08" w:rsidP="00BE4F08">
            <w:pPr>
              <w:jc w:val="center"/>
              <w:rPr>
                <w:rFonts w:ascii="Calibri" w:hAnsi="Calibri" w:cs="Calibri"/>
                <w:color w:val="000000"/>
              </w:rPr>
            </w:pPr>
            <w:r w:rsidRPr="00392D14">
              <w:rPr>
                <w:rFonts w:ascii="Calibri" w:hAnsi="Calibri" w:cs="Calibri"/>
                <w:color w:val="000000"/>
              </w:rPr>
              <w:t>-0.001</w:t>
            </w:r>
          </w:p>
        </w:tc>
        <w:tc>
          <w:tcPr>
            <w:tcW w:w="955" w:type="dxa"/>
            <w:tcBorders>
              <w:top w:val="nil"/>
              <w:left w:val="nil"/>
              <w:bottom w:val="nil"/>
              <w:right w:val="nil"/>
            </w:tcBorders>
            <w:shd w:val="clear" w:color="auto" w:fill="auto"/>
            <w:noWrap/>
            <w:vAlign w:val="bottom"/>
            <w:hideMark/>
          </w:tcPr>
          <w:p w14:paraId="13DBEE0E" w14:textId="77777777" w:rsidR="00BE4F08" w:rsidRPr="00392D14" w:rsidRDefault="00BE4F08" w:rsidP="00BE4F08">
            <w:pPr>
              <w:jc w:val="center"/>
              <w:rPr>
                <w:rFonts w:ascii="Calibri" w:hAnsi="Calibri" w:cs="Calibri"/>
                <w:color w:val="000000"/>
              </w:rPr>
            </w:pPr>
            <w:r w:rsidRPr="00392D14">
              <w:rPr>
                <w:rFonts w:ascii="Calibri" w:hAnsi="Calibri" w:cs="Calibri"/>
                <w:color w:val="000000"/>
              </w:rPr>
              <w:t>0.820</w:t>
            </w:r>
          </w:p>
        </w:tc>
      </w:tr>
      <w:tr w:rsidR="00BE4F08" w:rsidRPr="00392D14" w14:paraId="000543C5" w14:textId="77777777" w:rsidTr="00BE4F08">
        <w:trPr>
          <w:trHeight w:val="340"/>
        </w:trPr>
        <w:tc>
          <w:tcPr>
            <w:tcW w:w="1614" w:type="dxa"/>
            <w:tcBorders>
              <w:top w:val="nil"/>
              <w:left w:val="nil"/>
              <w:bottom w:val="nil"/>
              <w:right w:val="nil"/>
            </w:tcBorders>
            <w:shd w:val="clear" w:color="auto" w:fill="auto"/>
            <w:noWrap/>
            <w:vAlign w:val="bottom"/>
            <w:hideMark/>
          </w:tcPr>
          <w:p w14:paraId="2C592707" w14:textId="77777777" w:rsidR="00BE4F08" w:rsidRPr="00392D14" w:rsidRDefault="00BE4F08" w:rsidP="00BE4F08">
            <w:pPr>
              <w:rPr>
                <w:rFonts w:ascii="Calibri" w:hAnsi="Calibri" w:cs="Calibri"/>
                <w:color w:val="000000"/>
              </w:rPr>
            </w:pPr>
            <w:r w:rsidRPr="00392D14">
              <w:rPr>
                <w:rFonts w:ascii="Calibri" w:hAnsi="Calibri" w:cs="Calibri"/>
                <w:color w:val="000000"/>
              </w:rPr>
              <w:t>rs17216707</w:t>
            </w:r>
          </w:p>
        </w:tc>
        <w:tc>
          <w:tcPr>
            <w:tcW w:w="1400" w:type="dxa"/>
            <w:tcBorders>
              <w:top w:val="nil"/>
              <w:left w:val="nil"/>
              <w:bottom w:val="nil"/>
              <w:right w:val="nil"/>
            </w:tcBorders>
            <w:shd w:val="clear" w:color="auto" w:fill="auto"/>
            <w:noWrap/>
            <w:vAlign w:val="bottom"/>
            <w:hideMark/>
          </w:tcPr>
          <w:p w14:paraId="733AF4E8" w14:textId="77777777" w:rsidR="00BE4F08" w:rsidRPr="00392D14" w:rsidRDefault="00BE4F08" w:rsidP="00BE4F08">
            <w:pPr>
              <w:jc w:val="center"/>
              <w:rPr>
                <w:rFonts w:ascii="Calibri" w:hAnsi="Calibri" w:cs="Calibri"/>
                <w:color w:val="000000"/>
              </w:rPr>
            </w:pPr>
            <w:r w:rsidRPr="00392D14">
              <w:rPr>
                <w:rFonts w:ascii="Calibri" w:hAnsi="Calibri" w:cs="Calibri"/>
                <w:color w:val="000000"/>
              </w:rPr>
              <w:t>0.79</w:t>
            </w:r>
          </w:p>
        </w:tc>
        <w:tc>
          <w:tcPr>
            <w:tcW w:w="1146" w:type="dxa"/>
            <w:tcBorders>
              <w:top w:val="nil"/>
              <w:left w:val="nil"/>
              <w:bottom w:val="nil"/>
              <w:right w:val="nil"/>
            </w:tcBorders>
            <w:shd w:val="clear" w:color="auto" w:fill="auto"/>
            <w:noWrap/>
            <w:vAlign w:val="bottom"/>
            <w:hideMark/>
          </w:tcPr>
          <w:p w14:paraId="37D25F6B" w14:textId="77777777" w:rsidR="00BE4F08" w:rsidRPr="00392D14" w:rsidRDefault="00BE4F08" w:rsidP="00BE4F08">
            <w:pPr>
              <w:jc w:val="center"/>
              <w:rPr>
                <w:rFonts w:ascii="Calibri" w:hAnsi="Calibri" w:cs="Calibri"/>
                <w:color w:val="000000"/>
              </w:rPr>
            </w:pPr>
            <w:r w:rsidRPr="00392D14">
              <w:rPr>
                <w:rFonts w:ascii="Calibri" w:hAnsi="Calibri" w:cs="Calibri"/>
                <w:color w:val="000000"/>
              </w:rPr>
              <w:t xml:space="preserve"> 0.026</w:t>
            </w:r>
          </w:p>
        </w:tc>
        <w:tc>
          <w:tcPr>
            <w:tcW w:w="1348" w:type="dxa"/>
            <w:tcBorders>
              <w:top w:val="nil"/>
              <w:left w:val="nil"/>
              <w:bottom w:val="nil"/>
              <w:right w:val="nil"/>
            </w:tcBorders>
            <w:shd w:val="clear" w:color="auto" w:fill="auto"/>
            <w:noWrap/>
            <w:vAlign w:val="bottom"/>
            <w:hideMark/>
          </w:tcPr>
          <w:p w14:paraId="1CA35E85" w14:textId="77777777" w:rsidR="00BE4F08" w:rsidRPr="00392D14" w:rsidRDefault="00BE4F08" w:rsidP="00BE4F08">
            <w:pPr>
              <w:jc w:val="center"/>
              <w:rPr>
                <w:rFonts w:ascii="Calibri" w:hAnsi="Calibri" w:cs="Calibri"/>
                <w:color w:val="000000"/>
              </w:rPr>
            </w:pPr>
            <w:r w:rsidRPr="00392D14">
              <w:rPr>
                <w:rFonts w:ascii="Calibri" w:hAnsi="Calibri" w:cs="Calibri"/>
                <w:color w:val="000000"/>
              </w:rPr>
              <w:t>1.2e-01</w:t>
            </w:r>
          </w:p>
        </w:tc>
        <w:tc>
          <w:tcPr>
            <w:tcW w:w="105" w:type="dxa"/>
            <w:tcBorders>
              <w:top w:val="nil"/>
              <w:left w:val="nil"/>
              <w:bottom w:val="nil"/>
              <w:right w:val="nil"/>
            </w:tcBorders>
            <w:shd w:val="clear" w:color="auto" w:fill="auto"/>
            <w:noWrap/>
            <w:vAlign w:val="bottom"/>
            <w:hideMark/>
          </w:tcPr>
          <w:p w14:paraId="426DD534" w14:textId="77777777" w:rsidR="00BE4F08" w:rsidRPr="00392D14" w:rsidRDefault="00BE4F08" w:rsidP="00BE4F08">
            <w:pPr>
              <w:jc w:val="center"/>
              <w:rPr>
                <w:rFonts w:ascii="Calibri" w:hAnsi="Calibri" w:cs="Calibri"/>
                <w:color w:val="000000"/>
              </w:rPr>
            </w:pPr>
          </w:p>
        </w:tc>
        <w:tc>
          <w:tcPr>
            <w:tcW w:w="1697" w:type="dxa"/>
            <w:tcBorders>
              <w:top w:val="nil"/>
              <w:left w:val="nil"/>
              <w:bottom w:val="nil"/>
              <w:right w:val="nil"/>
            </w:tcBorders>
            <w:shd w:val="clear" w:color="auto" w:fill="auto"/>
            <w:noWrap/>
            <w:vAlign w:val="bottom"/>
            <w:hideMark/>
          </w:tcPr>
          <w:p w14:paraId="0A991146" w14:textId="77777777" w:rsidR="00BE4F08" w:rsidRPr="00392D14" w:rsidRDefault="00BE4F08" w:rsidP="00BE4F08">
            <w:pPr>
              <w:jc w:val="center"/>
              <w:rPr>
                <w:rFonts w:ascii="Calibri" w:hAnsi="Calibri" w:cs="Calibri"/>
                <w:color w:val="000000"/>
              </w:rPr>
            </w:pPr>
            <w:r w:rsidRPr="00392D14">
              <w:rPr>
                <w:rFonts w:ascii="Calibri" w:hAnsi="Calibri" w:cs="Calibri"/>
                <w:color w:val="000000"/>
              </w:rPr>
              <w:t>6.0e-03</w:t>
            </w:r>
          </w:p>
        </w:tc>
        <w:tc>
          <w:tcPr>
            <w:tcW w:w="865" w:type="dxa"/>
            <w:tcBorders>
              <w:top w:val="nil"/>
              <w:left w:val="nil"/>
              <w:bottom w:val="nil"/>
              <w:right w:val="nil"/>
            </w:tcBorders>
            <w:shd w:val="clear" w:color="auto" w:fill="auto"/>
            <w:noWrap/>
            <w:vAlign w:val="bottom"/>
            <w:hideMark/>
          </w:tcPr>
          <w:p w14:paraId="2D3854B1" w14:textId="77777777" w:rsidR="00BE4F08" w:rsidRPr="00392D14" w:rsidRDefault="00BE4F08" w:rsidP="00BE4F08">
            <w:pPr>
              <w:jc w:val="center"/>
              <w:rPr>
                <w:rFonts w:ascii="Calibri" w:hAnsi="Calibri" w:cs="Calibri"/>
                <w:color w:val="000000"/>
              </w:rPr>
            </w:pPr>
            <w:r w:rsidRPr="00392D14">
              <w:rPr>
                <w:rFonts w:ascii="Calibri" w:hAnsi="Calibri" w:cs="Calibri"/>
                <w:color w:val="000000"/>
              </w:rPr>
              <w:t>0.99</w:t>
            </w:r>
          </w:p>
        </w:tc>
        <w:tc>
          <w:tcPr>
            <w:tcW w:w="111" w:type="dxa"/>
            <w:tcBorders>
              <w:top w:val="nil"/>
              <w:left w:val="nil"/>
              <w:bottom w:val="nil"/>
              <w:right w:val="nil"/>
            </w:tcBorders>
            <w:shd w:val="clear" w:color="auto" w:fill="auto"/>
            <w:noWrap/>
            <w:vAlign w:val="bottom"/>
            <w:hideMark/>
          </w:tcPr>
          <w:p w14:paraId="6515CEDC" w14:textId="77777777" w:rsidR="00BE4F08" w:rsidRPr="00392D14" w:rsidRDefault="00BE4F08" w:rsidP="00BE4F08">
            <w:pPr>
              <w:jc w:val="center"/>
              <w:rPr>
                <w:rFonts w:ascii="Calibri" w:hAnsi="Calibri" w:cs="Calibri"/>
                <w:color w:val="000000"/>
              </w:rPr>
            </w:pPr>
          </w:p>
        </w:tc>
        <w:tc>
          <w:tcPr>
            <w:tcW w:w="1696" w:type="dxa"/>
            <w:tcBorders>
              <w:top w:val="nil"/>
              <w:left w:val="nil"/>
              <w:bottom w:val="nil"/>
              <w:right w:val="nil"/>
            </w:tcBorders>
            <w:shd w:val="clear" w:color="auto" w:fill="auto"/>
            <w:noWrap/>
            <w:vAlign w:val="bottom"/>
            <w:hideMark/>
          </w:tcPr>
          <w:p w14:paraId="10ADAF7B" w14:textId="77777777" w:rsidR="00BE4F08" w:rsidRPr="00392D14" w:rsidRDefault="00BE4F08" w:rsidP="00BE4F08">
            <w:pPr>
              <w:jc w:val="center"/>
              <w:rPr>
                <w:rFonts w:ascii="Calibri" w:hAnsi="Calibri" w:cs="Calibri"/>
                <w:color w:val="000000"/>
              </w:rPr>
            </w:pPr>
            <w:r w:rsidRPr="00392D14">
              <w:rPr>
                <w:rFonts w:ascii="Calibri" w:hAnsi="Calibri" w:cs="Calibri"/>
                <w:color w:val="000000"/>
              </w:rPr>
              <w:t>1.5e-03</w:t>
            </w:r>
          </w:p>
        </w:tc>
        <w:tc>
          <w:tcPr>
            <w:tcW w:w="865" w:type="dxa"/>
            <w:tcBorders>
              <w:top w:val="nil"/>
              <w:left w:val="nil"/>
              <w:bottom w:val="nil"/>
              <w:right w:val="nil"/>
            </w:tcBorders>
            <w:shd w:val="clear" w:color="auto" w:fill="auto"/>
            <w:noWrap/>
            <w:vAlign w:val="bottom"/>
            <w:hideMark/>
          </w:tcPr>
          <w:p w14:paraId="7231C830" w14:textId="77777777" w:rsidR="00BE4F08" w:rsidRPr="00392D14" w:rsidRDefault="00BE4F08" w:rsidP="00BE4F08">
            <w:pPr>
              <w:jc w:val="center"/>
              <w:rPr>
                <w:rFonts w:ascii="Calibri" w:hAnsi="Calibri" w:cs="Calibri"/>
                <w:color w:val="000000"/>
              </w:rPr>
            </w:pPr>
            <w:r w:rsidRPr="00392D14">
              <w:rPr>
                <w:rFonts w:ascii="Calibri" w:hAnsi="Calibri" w:cs="Calibri"/>
                <w:color w:val="000000"/>
              </w:rPr>
              <w:t>0.60</w:t>
            </w:r>
          </w:p>
        </w:tc>
        <w:tc>
          <w:tcPr>
            <w:tcW w:w="105" w:type="dxa"/>
            <w:tcBorders>
              <w:top w:val="nil"/>
              <w:left w:val="nil"/>
              <w:bottom w:val="nil"/>
              <w:right w:val="nil"/>
            </w:tcBorders>
            <w:shd w:val="clear" w:color="auto" w:fill="auto"/>
            <w:noWrap/>
            <w:vAlign w:val="bottom"/>
            <w:hideMark/>
          </w:tcPr>
          <w:p w14:paraId="7AD9D6B7" w14:textId="77777777" w:rsidR="00BE4F08" w:rsidRPr="00392D14" w:rsidRDefault="00BE4F08" w:rsidP="00BE4F08">
            <w:pPr>
              <w:jc w:val="center"/>
              <w:rPr>
                <w:rFonts w:ascii="Calibri" w:hAnsi="Calibri" w:cs="Calibri"/>
                <w:color w:val="000000"/>
              </w:rPr>
            </w:pPr>
          </w:p>
        </w:tc>
        <w:tc>
          <w:tcPr>
            <w:tcW w:w="1276" w:type="dxa"/>
            <w:tcBorders>
              <w:top w:val="nil"/>
              <w:left w:val="nil"/>
              <w:bottom w:val="nil"/>
              <w:right w:val="nil"/>
            </w:tcBorders>
            <w:shd w:val="clear" w:color="auto" w:fill="auto"/>
            <w:noWrap/>
            <w:vAlign w:val="bottom"/>
            <w:hideMark/>
          </w:tcPr>
          <w:p w14:paraId="120F1F4C" w14:textId="77777777" w:rsidR="00BE4F08" w:rsidRPr="00392D14" w:rsidRDefault="00BE4F08" w:rsidP="00BE4F08">
            <w:pPr>
              <w:jc w:val="center"/>
              <w:rPr>
                <w:rFonts w:ascii="Calibri" w:hAnsi="Calibri" w:cs="Calibri"/>
                <w:color w:val="000000"/>
              </w:rPr>
            </w:pPr>
            <w:r w:rsidRPr="00392D14">
              <w:rPr>
                <w:rFonts w:ascii="Calibri" w:hAnsi="Calibri" w:cs="Calibri"/>
                <w:color w:val="000000"/>
              </w:rPr>
              <w:t xml:space="preserve"> 0.003</w:t>
            </w:r>
          </w:p>
        </w:tc>
        <w:tc>
          <w:tcPr>
            <w:tcW w:w="955" w:type="dxa"/>
            <w:tcBorders>
              <w:top w:val="nil"/>
              <w:left w:val="nil"/>
              <w:bottom w:val="nil"/>
              <w:right w:val="nil"/>
            </w:tcBorders>
            <w:shd w:val="clear" w:color="auto" w:fill="auto"/>
            <w:noWrap/>
            <w:vAlign w:val="bottom"/>
            <w:hideMark/>
          </w:tcPr>
          <w:p w14:paraId="693060FA" w14:textId="77777777" w:rsidR="00BE4F08" w:rsidRPr="00392D14" w:rsidRDefault="00BE4F08" w:rsidP="00BE4F08">
            <w:pPr>
              <w:jc w:val="center"/>
              <w:rPr>
                <w:rFonts w:ascii="Calibri" w:hAnsi="Calibri" w:cs="Calibri"/>
                <w:color w:val="000000"/>
              </w:rPr>
            </w:pPr>
            <w:r w:rsidRPr="00392D14">
              <w:rPr>
                <w:rFonts w:ascii="Calibri" w:hAnsi="Calibri" w:cs="Calibri"/>
                <w:color w:val="000000"/>
              </w:rPr>
              <w:t>0.616</w:t>
            </w:r>
          </w:p>
        </w:tc>
      </w:tr>
      <w:tr w:rsidR="00BE4F08" w:rsidRPr="00392D14" w14:paraId="5DF20ED2" w14:textId="77777777" w:rsidTr="00BE4F08">
        <w:trPr>
          <w:trHeight w:val="340"/>
        </w:trPr>
        <w:tc>
          <w:tcPr>
            <w:tcW w:w="1614" w:type="dxa"/>
            <w:tcBorders>
              <w:top w:val="nil"/>
              <w:left w:val="nil"/>
              <w:bottom w:val="nil"/>
              <w:right w:val="nil"/>
            </w:tcBorders>
            <w:shd w:val="clear" w:color="auto" w:fill="auto"/>
            <w:noWrap/>
            <w:vAlign w:val="bottom"/>
            <w:hideMark/>
          </w:tcPr>
          <w:p w14:paraId="65059416" w14:textId="77777777" w:rsidR="00BE4F08" w:rsidRPr="00392D14" w:rsidRDefault="00BE4F08" w:rsidP="00BE4F08">
            <w:pPr>
              <w:rPr>
                <w:rFonts w:ascii="Calibri" w:hAnsi="Calibri" w:cs="Calibri"/>
                <w:color w:val="000000"/>
              </w:rPr>
            </w:pPr>
            <w:r w:rsidRPr="00392D14">
              <w:rPr>
                <w:rFonts w:ascii="Calibri" w:hAnsi="Calibri" w:cs="Calibri"/>
                <w:color w:val="000000"/>
              </w:rPr>
              <w:t>rs3755967</w:t>
            </w:r>
          </w:p>
        </w:tc>
        <w:tc>
          <w:tcPr>
            <w:tcW w:w="1400" w:type="dxa"/>
            <w:tcBorders>
              <w:top w:val="nil"/>
              <w:left w:val="nil"/>
              <w:bottom w:val="nil"/>
              <w:right w:val="nil"/>
            </w:tcBorders>
            <w:shd w:val="clear" w:color="auto" w:fill="auto"/>
            <w:noWrap/>
            <w:vAlign w:val="bottom"/>
            <w:hideMark/>
          </w:tcPr>
          <w:p w14:paraId="220F00B0" w14:textId="77777777" w:rsidR="00BE4F08" w:rsidRPr="00392D14" w:rsidRDefault="00BE4F08" w:rsidP="00BE4F08">
            <w:pPr>
              <w:jc w:val="center"/>
              <w:rPr>
                <w:rFonts w:ascii="Calibri" w:hAnsi="Calibri" w:cs="Calibri"/>
                <w:color w:val="000000"/>
              </w:rPr>
            </w:pPr>
            <w:r w:rsidRPr="00392D14">
              <w:rPr>
                <w:rFonts w:ascii="Calibri" w:hAnsi="Calibri" w:cs="Calibri"/>
                <w:color w:val="000000"/>
              </w:rPr>
              <w:t>0.28</w:t>
            </w:r>
          </w:p>
        </w:tc>
        <w:tc>
          <w:tcPr>
            <w:tcW w:w="1146" w:type="dxa"/>
            <w:tcBorders>
              <w:top w:val="nil"/>
              <w:left w:val="nil"/>
              <w:bottom w:val="nil"/>
              <w:right w:val="nil"/>
            </w:tcBorders>
            <w:shd w:val="clear" w:color="auto" w:fill="auto"/>
            <w:noWrap/>
            <w:vAlign w:val="bottom"/>
            <w:hideMark/>
          </w:tcPr>
          <w:p w14:paraId="349A2878" w14:textId="77777777" w:rsidR="00BE4F08" w:rsidRPr="00392D14" w:rsidRDefault="00BE4F08" w:rsidP="00BE4F08">
            <w:pPr>
              <w:jc w:val="center"/>
              <w:rPr>
                <w:rFonts w:ascii="Calibri" w:hAnsi="Calibri" w:cs="Calibri"/>
                <w:color w:val="000000"/>
              </w:rPr>
            </w:pPr>
            <w:r w:rsidRPr="00392D14">
              <w:rPr>
                <w:rFonts w:ascii="Calibri" w:hAnsi="Calibri" w:cs="Calibri"/>
                <w:color w:val="000000"/>
              </w:rPr>
              <w:t>-0.089</w:t>
            </w:r>
          </w:p>
        </w:tc>
        <w:tc>
          <w:tcPr>
            <w:tcW w:w="1348" w:type="dxa"/>
            <w:tcBorders>
              <w:top w:val="nil"/>
              <w:left w:val="nil"/>
              <w:bottom w:val="nil"/>
              <w:right w:val="nil"/>
            </w:tcBorders>
            <w:shd w:val="clear" w:color="auto" w:fill="auto"/>
            <w:noWrap/>
            <w:vAlign w:val="bottom"/>
            <w:hideMark/>
          </w:tcPr>
          <w:p w14:paraId="190F56D7" w14:textId="77777777" w:rsidR="00BE4F08" w:rsidRPr="00392D14" w:rsidRDefault="00BE4F08" w:rsidP="00BE4F08">
            <w:pPr>
              <w:jc w:val="center"/>
              <w:rPr>
                <w:rFonts w:ascii="Calibri" w:hAnsi="Calibri" w:cs="Calibri"/>
                <w:color w:val="000000"/>
              </w:rPr>
            </w:pPr>
            <w:r w:rsidRPr="00392D14">
              <w:rPr>
                <w:rFonts w:ascii="Calibri" w:hAnsi="Calibri" w:cs="Calibri"/>
                <w:color w:val="000000"/>
              </w:rPr>
              <w:t>1.9e+00</w:t>
            </w:r>
          </w:p>
        </w:tc>
        <w:tc>
          <w:tcPr>
            <w:tcW w:w="105" w:type="dxa"/>
            <w:tcBorders>
              <w:top w:val="nil"/>
              <w:left w:val="nil"/>
              <w:bottom w:val="nil"/>
              <w:right w:val="nil"/>
            </w:tcBorders>
            <w:shd w:val="clear" w:color="auto" w:fill="auto"/>
            <w:noWrap/>
            <w:vAlign w:val="bottom"/>
            <w:hideMark/>
          </w:tcPr>
          <w:p w14:paraId="7C834860" w14:textId="77777777" w:rsidR="00BE4F08" w:rsidRPr="00392D14" w:rsidRDefault="00BE4F08" w:rsidP="00BE4F08">
            <w:pPr>
              <w:jc w:val="center"/>
              <w:rPr>
                <w:rFonts w:ascii="Calibri" w:hAnsi="Calibri" w:cs="Calibri"/>
                <w:color w:val="000000"/>
              </w:rPr>
            </w:pPr>
          </w:p>
        </w:tc>
        <w:tc>
          <w:tcPr>
            <w:tcW w:w="1697" w:type="dxa"/>
            <w:tcBorders>
              <w:top w:val="nil"/>
              <w:left w:val="nil"/>
              <w:bottom w:val="nil"/>
              <w:right w:val="nil"/>
            </w:tcBorders>
            <w:shd w:val="clear" w:color="auto" w:fill="auto"/>
            <w:noWrap/>
            <w:vAlign w:val="bottom"/>
            <w:hideMark/>
          </w:tcPr>
          <w:p w14:paraId="537C75A6" w14:textId="77777777" w:rsidR="00BE4F08" w:rsidRPr="00392D14" w:rsidRDefault="00BE4F08" w:rsidP="00BE4F08">
            <w:pPr>
              <w:jc w:val="center"/>
              <w:rPr>
                <w:rFonts w:ascii="Calibri" w:hAnsi="Calibri" w:cs="Calibri"/>
                <w:color w:val="000000"/>
              </w:rPr>
            </w:pPr>
            <w:r w:rsidRPr="00392D14">
              <w:rPr>
                <w:rFonts w:ascii="Calibri" w:hAnsi="Calibri" w:cs="Calibri"/>
                <w:color w:val="000000"/>
              </w:rPr>
              <w:t>9.5e-02</w:t>
            </w:r>
          </w:p>
        </w:tc>
        <w:tc>
          <w:tcPr>
            <w:tcW w:w="865" w:type="dxa"/>
            <w:tcBorders>
              <w:top w:val="nil"/>
              <w:left w:val="nil"/>
              <w:bottom w:val="nil"/>
              <w:right w:val="nil"/>
            </w:tcBorders>
            <w:shd w:val="clear" w:color="auto" w:fill="auto"/>
            <w:noWrap/>
            <w:vAlign w:val="bottom"/>
            <w:hideMark/>
          </w:tcPr>
          <w:p w14:paraId="68BA34FF" w14:textId="77777777" w:rsidR="00BE4F08" w:rsidRPr="00392D14" w:rsidRDefault="00BE4F08" w:rsidP="00BE4F08">
            <w:pPr>
              <w:jc w:val="center"/>
              <w:rPr>
                <w:rFonts w:ascii="Calibri" w:hAnsi="Calibri" w:cs="Calibri"/>
                <w:color w:val="000000"/>
              </w:rPr>
            </w:pPr>
            <w:r w:rsidRPr="00392D14">
              <w:rPr>
                <w:rFonts w:ascii="Calibri" w:hAnsi="Calibri" w:cs="Calibri"/>
                <w:color w:val="000000"/>
              </w:rPr>
              <w:t>1.00</w:t>
            </w:r>
          </w:p>
        </w:tc>
        <w:tc>
          <w:tcPr>
            <w:tcW w:w="111" w:type="dxa"/>
            <w:tcBorders>
              <w:top w:val="nil"/>
              <w:left w:val="nil"/>
              <w:bottom w:val="nil"/>
              <w:right w:val="nil"/>
            </w:tcBorders>
            <w:shd w:val="clear" w:color="auto" w:fill="auto"/>
            <w:noWrap/>
            <w:vAlign w:val="bottom"/>
            <w:hideMark/>
          </w:tcPr>
          <w:p w14:paraId="4A9016B8" w14:textId="77777777" w:rsidR="00BE4F08" w:rsidRPr="00392D14" w:rsidRDefault="00BE4F08" w:rsidP="00BE4F08">
            <w:pPr>
              <w:jc w:val="center"/>
              <w:rPr>
                <w:rFonts w:ascii="Calibri" w:hAnsi="Calibri" w:cs="Calibri"/>
                <w:color w:val="000000"/>
              </w:rPr>
            </w:pPr>
          </w:p>
        </w:tc>
        <w:tc>
          <w:tcPr>
            <w:tcW w:w="1696" w:type="dxa"/>
            <w:tcBorders>
              <w:top w:val="nil"/>
              <w:left w:val="nil"/>
              <w:bottom w:val="nil"/>
              <w:right w:val="nil"/>
            </w:tcBorders>
            <w:shd w:val="clear" w:color="auto" w:fill="auto"/>
            <w:noWrap/>
            <w:vAlign w:val="bottom"/>
            <w:hideMark/>
          </w:tcPr>
          <w:p w14:paraId="14C462E5" w14:textId="77777777" w:rsidR="00BE4F08" w:rsidRPr="00392D14" w:rsidRDefault="00BE4F08" w:rsidP="00BE4F08">
            <w:pPr>
              <w:jc w:val="center"/>
              <w:rPr>
                <w:rFonts w:ascii="Calibri" w:hAnsi="Calibri" w:cs="Calibri"/>
                <w:color w:val="000000"/>
              </w:rPr>
            </w:pPr>
            <w:r w:rsidRPr="00392D14">
              <w:rPr>
                <w:rFonts w:ascii="Calibri" w:hAnsi="Calibri" w:cs="Calibri"/>
                <w:color w:val="000000"/>
              </w:rPr>
              <w:t>2.4e-02</w:t>
            </w:r>
          </w:p>
        </w:tc>
        <w:tc>
          <w:tcPr>
            <w:tcW w:w="865" w:type="dxa"/>
            <w:tcBorders>
              <w:top w:val="nil"/>
              <w:left w:val="nil"/>
              <w:bottom w:val="nil"/>
              <w:right w:val="nil"/>
            </w:tcBorders>
            <w:shd w:val="clear" w:color="auto" w:fill="auto"/>
            <w:noWrap/>
            <w:vAlign w:val="bottom"/>
            <w:hideMark/>
          </w:tcPr>
          <w:p w14:paraId="4D129AB2" w14:textId="77777777" w:rsidR="00BE4F08" w:rsidRPr="00392D14" w:rsidRDefault="00BE4F08" w:rsidP="00BE4F08">
            <w:pPr>
              <w:jc w:val="center"/>
              <w:rPr>
                <w:rFonts w:ascii="Calibri" w:hAnsi="Calibri" w:cs="Calibri"/>
                <w:color w:val="000000"/>
              </w:rPr>
            </w:pPr>
            <w:r w:rsidRPr="00392D14">
              <w:rPr>
                <w:rFonts w:ascii="Calibri" w:hAnsi="Calibri" w:cs="Calibri"/>
                <w:color w:val="000000"/>
              </w:rPr>
              <w:t>1.00</w:t>
            </w:r>
          </w:p>
        </w:tc>
        <w:tc>
          <w:tcPr>
            <w:tcW w:w="105" w:type="dxa"/>
            <w:tcBorders>
              <w:top w:val="nil"/>
              <w:left w:val="nil"/>
              <w:bottom w:val="nil"/>
              <w:right w:val="nil"/>
            </w:tcBorders>
            <w:shd w:val="clear" w:color="auto" w:fill="auto"/>
            <w:noWrap/>
            <w:vAlign w:val="bottom"/>
            <w:hideMark/>
          </w:tcPr>
          <w:p w14:paraId="5DC57EA5" w14:textId="77777777" w:rsidR="00BE4F08" w:rsidRPr="00392D14" w:rsidRDefault="00BE4F08" w:rsidP="00BE4F08">
            <w:pPr>
              <w:jc w:val="center"/>
              <w:rPr>
                <w:rFonts w:ascii="Calibri" w:hAnsi="Calibri" w:cs="Calibri"/>
                <w:color w:val="000000"/>
              </w:rPr>
            </w:pPr>
          </w:p>
        </w:tc>
        <w:tc>
          <w:tcPr>
            <w:tcW w:w="1276" w:type="dxa"/>
            <w:tcBorders>
              <w:top w:val="nil"/>
              <w:left w:val="nil"/>
              <w:bottom w:val="nil"/>
              <w:right w:val="nil"/>
            </w:tcBorders>
            <w:shd w:val="clear" w:color="auto" w:fill="auto"/>
            <w:noWrap/>
            <w:vAlign w:val="bottom"/>
            <w:hideMark/>
          </w:tcPr>
          <w:p w14:paraId="7C9873ED" w14:textId="77777777" w:rsidR="00BE4F08" w:rsidRPr="00392D14" w:rsidRDefault="00BE4F08" w:rsidP="00BE4F08">
            <w:pPr>
              <w:jc w:val="center"/>
              <w:rPr>
                <w:rFonts w:ascii="Calibri" w:hAnsi="Calibri" w:cs="Calibri"/>
                <w:color w:val="000000"/>
              </w:rPr>
            </w:pPr>
            <w:r w:rsidRPr="00392D14">
              <w:rPr>
                <w:rFonts w:ascii="Calibri" w:hAnsi="Calibri" w:cs="Calibri"/>
                <w:color w:val="000000"/>
              </w:rPr>
              <w:t xml:space="preserve"> 0.002</w:t>
            </w:r>
          </w:p>
        </w:tc>
        <w:tc>
          <w:tcPr>
            <w:tcW w:w="955" w:type="dxa"/>
            <w:tcBorders>
              <w:top w:val="nil"/>
              <w:left w:val="nil"/>
              <w:bottom w:val="nil"/>
              <w:right w:val="nil"/>
            </w:tcBorders>
            <w:shd w:val="clear" w:color="auto" w:fill="auto"/>
            <w:noWrap/>
            <w:vAlign w:val="bottom"/>
            <w:hideMark/>
          </w:tcPr>
          <w:p w14:paraId="7FA45231" w14:textId="77777777" w:rsidR="00BE4F08" w:rsidRPr="00392D14" w:rsidRDefault="00BE4F08" w:rsidP="00BE4F08">
            <w:pPr>
              <w:jc w:val="center"/>
              <w:rPr>
                <w:rFonts w:ascii="Calibri" w:hAnsi="Calibri" w:cs="Calibri"/>
                <w:color w:val="000000"/>
              </w:rPr>
            </w:pPr>
            <w:r w:rsidRPr="00392D14">
              <w:rPr>
                <w:rFonts w:ascii="Calibri" w:hAnsi="Calibri" w:cs="Calibri"/>
                <w:color w:val="000000"/>
              </w:rPr>
              <w:t>0.705</w:t>
            </w:r>
          </w:p>
        </w:tc>
      </w:tr>
      <w:tr w:rsidR="00BE4F08" w:rsidRPr="00392D14" w14:paraId="087426BC" w14:textId="77777777" w:rsidTr="00BE4F08">
        <w:trPr>
          <w:trHeight w:val="340"/>
        </w:trPr>
        <w:tc>
          <w:tcPr>
            <w:tcW w:w="1614" w:type="dxa"/>
            <w:tcBorders>
              <w:top w:val="nil"/>
              <w:left w:val="nil"/>
              <w:bottom w:val="nil"/>
              <w:right w:val="nil"/>
            </w:tcBorders>
            <w:shd w:val="clear" w:color="auto" w:fill="auto"/>
            <w:noWrap/>
            <w:vAlign w:val="bottom"/>
            <w:hideMark/>
          </w:tcPr>
          <w:p w14:paraId="2A2F7338" w14:textId="77777777" w:rsidR="00BE4F08" w:rsidRPr="00392D14" w:rsidRDefault="00BE4F08" w:rsidP="00BE4F08">
            <w:pPr>
              <w:rPr>
                <w:rFonts w:ascii="Calibri" w:hAnsi="Calibri" w:cs="Calibri"/>
                <w:color w:val="000000"/>
              </w:rPr>
            </w:pPr>
            <w:r w:rsidRPr="00392D14">
              <w:rPr>
                <w:rFonts w:ascii="Calibri" w:hAnsi="Calibri" w:cs="Calibri"/>
                <w:color w:val="000000"/>
              </w:rPr>
              <w:t>rs8018720</w:t>
            </w:r>
          </w:p>
        </w:tc>
        <w:tc>
          <w:tcPr>
            <w:tcW w:w="1400" w:type="dxa"/>
            <w:tcBorders>
              <w:top w:val="nil"/>
              <w:left w:val="nil"/>
              <w:bottom w:val="nil"/>
              <w:right w:val="nil"/>
            </w:tcBorders>
            <w:shd w:val="clear" w:color="auto" w:fill="auto"/>
            <w:noWrap/>
            <w:vAlign w:val="bottom"/>
            <w:hideMark/>
          </w:tcPr>
          <w:p w14:paraId="7963F884" w14:textId="77777777" w:rsidR="00BE4F08" w:rsidRPr="00392D14" w:rsidRDefault="00BE4F08" w:rsidP="00BE4F08">
            <w:pPr>
              <w:jc w:val="center"/>
              <w:rPr>
                <w:rFonts w:ascii="Calibri" w:hAnsi="Calibri" w:cs="Calibri"/>
                <w:color w:val="000000"/>
              </w:rPr>
            </w:pPr>
            <w:r w:rsidRPr="00392D14">
              <w:rPr>
                <w:rFonts w:ascii="Calibri" w:hAnsi="Calibri" w:cs="Calibri"/>
                <w:color w:val="000000"/>
              </w:rPr>
              <w:t>0.82</w:t>
            </w:r>
          </w:p>
        </w:tc>
        <w:tc>
          <w:tcPr>
            <w:tcW w:w="1146" w:type="dxa"/>
            <w:tcBorders>
              <w:top w:val="nil"/>
              <w:left w:val="nil"/>
              <w:bottom w:val="nil"/>
              <w:right w:val="nil"/>
            </w:tcBorders>
            <w:shd w:val="clear" w:color="auto" w:fill="auto"/>
            <w:noWrap/>
            <w:vAlign w:val="bottom"/>
            <w:hideMark/>
          </w:tcPr>
          <w:p w14:paraId="0B41E39B" w14:textId="77777777" w:rsidR="00BE4F08" w:rsidRPr="00392D14" w:rsidRDefault="00BE4F08" w:rsidP="00BE4F08">
            <w:pPr>
              <w:jc w:val="center"/>
              <w:rPr>
                <w:rFonts w:ascii="Calibri" w:hAnsi="Calibri" w:cs="Calibri"/>
                <w:color w:val="000000"/>
              </w:rPr>
            </w:pPr>
            <w:r w:rsidRPr="00392D14">
              <w:rPr>
                <w:rFonts w:ascii="Calibri" w:hAnsi="Calibri" w:cs="Calibri"/>
                <w:color w:val="000000"/>
              </w:rPr>
              <w:t>-0.017</w:t>
            </w:r>
          </w:p>
        </w:tc>
        <w:tc>
          <w:tcPr>
            <w:tcW w:w="1348" w:type="dxa"/>
            <w:tcBorders>
              <w:top w:val="nil"/>
              <w:left w:val="nil"/>
              <w:bottom w:val="nil"/>
              <w:right w:val="nil"/>
            </w:tcBorders>
            <w:shd w:val="clear" w:color="auto" w:fill="auto"/>
            <w:noWrap/>
            <w:vAlign w:val="bottom"/>
            <w:hideMark/>
          </w:tcPr>
          <w:p w14:paraId="79C56A53" w14:textId="77777777" w:rsidR="00BE4F08" w:rsidRPr="00392D14" w:rsidRDefault="00BE4F08" w:rsidP="00BE4F08">
            <w:pPr>
              <w:jc w:val="center"/>
              <w:rPr>
                <w:rFonts w:ascii="Calibri" w:hAnsi="Calibri" w:cs="Calibri"/>
                <w:color w:val="000000"/>
              </w:rPr>
            </w:pPr>
            <w:r w:rsidRPr="00392D14">
              <w:rPr>
                <w:rFonts w:ascii="Calibri" w:hAnsi="Calibri" w:cs="Calibri"/>
                <w:color w:val="000000"/>
              </w:rPr>
              <w:t>4.2e-02</w:t>
            </w:r>
          </w:p>
        </w:tc>
        <w:tc>
          <w:tcPr>
            <w:tcW w:w="105" w:type="dxa"/>
            <w:tcBorders>
              <w:top w:val="nil"/>
              <w:left w:val="nil"/>
              <w:bottom w:val="nil"/>
              <w:right w:val="nil"/>
            </w:tcBorders>
            <w:shd w:val="clear" w:color="auto" w:fill="auto"/>
            <w:noWrap/>
            <w:vAlign w:val="bottom"/>
            <w:hideMark/>
          </w:tcPr>
          <w:p w14:paraId="258CFB20" w14:textId="77777777" w:rsidR="00BE4F08" w:rsidRPr="00392D14" w:rsidRDefault="00BE4F08" w:rsidP="00BE4F08">
            <w:pPr>
              <w:jc w:val="center"/>
              <w:rPr>
                <w:rFonts w:ascii="Calibri" w:hAnsi="Calibri" w:cs="Calibri"/>
                <w:color w:val="000000"/>
              </w:rPr>
            </w:pPr>
          </w:p>
        </w:tc>
        <w:tc>
          <w:tcPr>
            <w:tcW w:w="1697" w:type="dxa"/>
            <w:tcBorders>
              <w:top w:val="nil"/>
              <w:left w:val="nil"/>
              <w:bottom w:val="nil"/>
              <w:right w:val="nil"/>
            </w:tcBorders>
            <w:shd w:val="clear" w:color="auto" w:fill="auto"/>
            <w:noWrap/>
            <w:vAlign w:val="bottom"/>
            <w:hideMark/>
          </w:tcPr>
          <w:p w14:paraId="2C8AAF9A" w14:textId="77777777" w:rsidR="00BE4F08" w:rsidRPr="00392D14" w:rsidRDefault="00BE4F08" w:rsidP="00BE4F08">
            <w:pPr>
              <w:jc w:val="center"/>
              <w:rPr>
                <w:rFonts w:ascii="Calibri" w:hAnsi="Calibri" w:cs="Calibri"/>
                <w:color w:val="000000"/>
              </w:rPr>
            </w:pPr>
            <w:r w:rsidRPr="00392D14">
              <w:rPr>
                <w:rFonts w:ascii="Calibri" w:hAnsi="Calibri" w:cs="Calibri"/>
                <w:color w:val="000000"/>
              </w:rPr>
              <w:t>2.1e-03</w:t>
            </w:r>
          </w:p>
        </w:tc>
        <w:tc>
          <w:tcPr>
            <w:tcW w:w="865" w:type="dxa"/>
            <w:tcBorders>
              <w:top w:val="nil"/>
              <w:left w:val="nil"/>
              <w:bottom w:val="nil"/>
              <w:right w:val="nil"/>
            </w:tcBorders>
            <w:shd w:val="clear" w:color="auto" w:fill="auto"/>
            <w:noWrap/>
            <w:vAlign w:val="bottom"/>
            <w:hideMark/>
          </w:tcPr>
          <w:p w14:paraId="5F7F6A87" w14:textId="77777777" w:rsidR="00BE4F08" w:rsidRPr="00392D14" w:rsidRDefault="00BE4F08" w:rsidP="00BE4F08">
            <w:pPr>
              <w:jc w:val="center"/>
              <w:rPr>
                <w:rFonts w:ascii="Calibri" w:hAnsi="Calibri" w:cs="Calibri"/>
                <w:color w:val="000000"/>
              </w:rPr>
            </w:pPr>
            <w:r w:rsidRPr="00392D14">
              <w:rPr>
                <w:rFonts w:ascii="Calibri" w:hAnsi="Calibri" w:cs="Calibri"/>
                <w:color w:val="000000"/>
              </w:rPr>
              <w:t>0.74</w:t>
            </w:r>
          </w:p>
        </w:tc>
        <w:tc>
          <w:tcPr>
            <w:tcW w:w="111" w:type="dxa"/>
            <w:tcBorders>
              <w:top w:val="nil"/>
              <w:left w:val="nil"/>
              <w:bottom w:val="nil"/>
              <w:right w:val="nil"/>
            </w:tcBorders>
            <w:shd w:val="clear" w:color="auto" w:fill="auto"/>
            <w:noWrap/>
            <w:vAlign w:val="bottom"/>
            <w:hideMark/>
          </w:tcPr>
          <w:p w14:paraId="3626B71A" w14:textId="77777777" w:rsidR="00BE4F08" w:rsidRPr="00392D14" w:rsidRDefault="00BE4F08" w:rsidP="00BE4F08">
            <w:pPr>
              <w:jc w:val="center"/>
              <w:rPr>
                <w:rFonts w:ascii="Calibri" w:hAnsi="Calibri" w:cs="Calibri"/>
                <w:color w:val="000000"/>
              </w:rPr>
            </w:pPr>
          </w:p>
        </w:tc>
        <w:tc>
          <w:tcPr>
            <w:tcW w:w="1696" w:type="dxa"/>
            <w:tcBorders>
              <w:top w:val="nil"/>
              <w:left w:val="nil"/>
              <w:bottom w:val="nil"/>
              <w:right w:val="nil"/>
            </w:tcBorders>
            <w:shd w:val="clear" w:color="auto" w:fill="auto"/>
            <w:noWrap/>
            <w:vAlign w:val="bottom"/>
            <w:hideMark/>
          </w:tcPr>
          <w:p w14:paraId="064B362B" w14:textId="77777777" w:rsidR="00BE4F08" w:rsidRPr="00392D14" w:rsidRDefault="00BE4F08" w:rsidP="00BE4F08">
            <w:pPr>
              <w:jc w:val="center"/>
              <w:rPr>
                <w:rFonts w:ascii="Calibri" w:hAnsi="Calibri" w:cs="Calibri"/>
                <w:color w:val="000000"/>
              </w:rPr>
            </w:pPr>
            <w:r w:rsidRPr="00392D14">
              <w:rPr>
                <w:rFonts w:ascii="Calibri" w:hAnsi="Calibri" w:cs="Calibri"/>
                <w:color w:val="000000"/>
              </w:rPr>
              <w:t>5.3e-04</w:t>
            </w:r>
          </w:p>
        </w:tc>
        <w:tc>
          <w:tcPr>
            <w:tcW w:w="865" w:type="dxa"/>
            <w:tcBorders>
              <w:top w:val="nil"/>
              <w:left w:val="nil"/>
              <w:bottom w:val="nil"/>
              <w:right w:val="nil"/>
            </w:tcBorders>
            <w:shd w:val="clear" w:color="auto" w:fill="auto"/>
            <w:noWrap/>
            <w:vAlign w:val="bottom"/>
            <w:hideMark/>
          </w:tcPr>
          <w:p w14:paraId="0E69BB4F" w14:textId="77777777" w:rsidR="00BE4F08" w:rsidRPr="00392D14" w:rsidRDefault="00BE4F08" w:rsidP="00BE4F08">
            <w:pPr>
              <w:jc w:val="center"/>
              <w:rPr>
                <w:rFonts w:ascii="Calibri" w:hAnsi="Calibri" w:cs="Calibri"/>
                <w:color w:val="000000"/>
              </w:rPr>
            </w:pPr>
            <w:r w:rsidRPr="00392D14">
              <w:rPr>
                <w:rFonts w:ascii="Calibri" w:hAnsi="Calibri" w:cs="Calibri"/>
                <w:color w:val="000000"/>
              </w:rPr>
              <w:t>0.26</w:t>
            </w:r>
          </w:p>
        </w:tc>
        <w:tc>
          <w:tcPr>
            <w:tcW w:w="105" w:type="dxa"/>
            <w:tcBorders>
              <w:top w:val="nil"/>
              <w:left w:val="nil"/>
              <w:bottom w:val="nil"/>
              <w:right w:val="nil"/>
            </w:tcBorders>
            <w:shd w:val="clear" w:color="auto" w:fill="auto"/>
            <w:noWrap/>
            <w:vAlign w:val="bottom"/>
            <w:hideMark/>
          </w:tcPr>
          <w:p w14:paraId="09437535" w14:textId="77777777" w:rsidR="00BE4F08" w:rsidRPr="00392D14" w:rsidRDefault="00BE4F08" w:rsidP="00BE4F08">
            <w:pPr>
              <w:jc w:val="center"/>
              <w:rPr>
                <w:rFonts w:ascii="Calibri" w:hAnsi="Calibri" w:cs="Calibri"/>
                <w:color w:val="000000"/>
              </w:rPr>
            </w:pPr>
          </w:p>
        </w:tc>
        <w:tc>
          <w:tcPr>
            <w:tcW w:w="1276" w:type="dxa"/>
            <w:tcBorders>
              <w:top w:val="nil"/>
              <w:left w:val="nil"/>
              <w:bottom w:val="nil"/>
              <w:right w:val="nil"/>
            </w:tcBorders>
            <w:shd w:val="clear" w:color="auto" w:fill="auto"/>
            <w:noWrap/>
            <w:vAlign w:val="bottom"/>
            <w:hideMark/>
          </w:tcPr>
          <w:p w14:paraId="7BF42BDF" w14:textId="77777777" w:rsidR="00BE4F08" w:rsidRPr="00392D14" w:rsidRDefault="00BE4F08" w:rsidP="00BE4F08">
            <w:pPr>
              <w:jc w:val="center"/>
              <w:rPr>
                <w:rFonts w:ascii="Calibri" w:hAnsi="Calibri" w:cs="Calibri"/>
                <w:color w:val="000000"/>
              </w:rPr>
            </w:pPr>
            <w:r w:rsidRPr="00392D14">
              <w:rPr>
                <w:rFonts w:ascii="Calibri" w:hAnsi="Calibri" w:cs="Calibri"/>
                <w:color w:val="000000"/>
              </w:rPr>
              <w:t>-0.002</w:t>
            </w:r>
          </w:p>
        </w:tc>
        <w:tc>
          <w:tcPr>
            <w:tcW w:w="955" w:type="dxa"/>
            <w:tcBorders>
              <w:top w:val="nil"/>
              <w:left w:val="nil"/>
              <w:bottom w:val="nil"/>
              <w:right w:val="nil"/>
            </w:tcBorders>
            <w:shd w:val="clear" w:color="auto" w:fill="auto"/>
            <w:noWrap/>
            <w:vAlign w:val="bottom"/>
            <w:hideMark/>
          </w:tcPr>
          <w:p w14:paraId="6143FE00" w14:textId="77777777" w:rsidR="00BE4F08" w:rsidRPr="00392D14" w:rsidRDefault="00BE4F08" w:rsidP="00BE4F08">
            <w:pPr>
              <w:jc w:val="center"/>
              <w:rPr>
                <w:rFonts w:ascii="Calibri" w:hAnsi="Calibri" w:cs="Calibri"/>
                <w:color w:val="000000"/>
              </w:rPr>
            </w:pPr>
            <w:r w:rsidRPr="00392D14">
              <w:rPr>
                <w:rFonts w:ascii="Calibri" w:hAnsi="Calibri" w:cs="Calibri"/>
                <w:color w:val="000000"/>
              </w:rPr>
              <w:t>0.724</w:t>
            </w:r>
          </w:p>
        </w:tc>
      </w:tr>
      <w:tr w:rsidR="00BE4F08" w:rsidRPr="00392D14" w14:paraId="4A3A55A0" w14:textId="77777777" w:rsidTr="00BE4F08">
        <w:trPr>
          <w:trHeight w:val="340"/>
        </w:trPr>
        <w:tc>
          <w:tcPr>
            <w:tcW w:w="13183" w:type="dxa"/>
            <w:gridSpan w:val="13"/>
            <w:tcBorders>
              <w:top w:val="single" w:sz="4" w:space="0" w:color="auto"/>
              <w:left w:val="nil"/>
              <w:bottom w:val="single" w:sz="4" w:space="0" w:color="auto"/>
              <w:right w:val="nil"/>
            </w:tcBorders>
            <w:shd w:val="clear" w:color="auto" w:fill="auto"/>
            <w:noWrap/>
            <w:vAlign w:val="bottom"/>
            <w:hideMark/>
          </w:tcPr>
          <w:p w14:paraId="6AFEC0E1" w14:textId="77777777" w:rsidR="00BE4F08" w:rsidRPr="00392D14" w:rsidRDefault="00BE4F08" w:rsidP="00BE4F08">
            <w:pPr>
              <w:rPr>
                <w:rFonts w:ascii="Calibri" w:hAnsi="Calibri" w:cs="Calibri"/>
                <w:color w:val="000000"/>
              </w:rPr>
            </w:pPr>
            <w:r w:rsidRPr="00392D14">
              <w:rPr>
                <w:rFonts w:ascii="Calibri" w:hAnsi="Calibri" w:cs="Calibri"/>
                <w:color w:val="000000"/>
              </w:rPr>
              <w:t xml:space="preserve">Exposure tested N3-PUFAs </w:t>
            </w:r>
          </w:p>
        </w:tc>
      </w:tr>
      <w:tr w:rsidR="00BE4F08" w:rsidRPr="00392D14" w14:paraId="1C1E46DB" w14:textId="77777777" w:rsidTr="00BE4F08">
        <w:trPr>
          <w:trHeight w:val="340"/>
        </w:trPr>
        <w:tc>
          <w:tcPr>
            <w:tcW w:w="1614" w:type="dxa"/>
            <w:tcBorders>
              <w:top w:val="nil"/>
              <w:left w:val="nil"/>
              <w:bottom w:val="nil"/>
              <w:right w:val="nil"/>
            </w:tcBorders>
            <w:shd w:val="clear" w:color="auto" w:fill="auto"/>
            <w:noWrap/>
            <w:vAlign w:val="bottom"/>
            <w:hideMark/>
          </w:tcPr>
          <w:p w14:paraId="3AF3A588" w14:textId="77777777" w:rsidR="00BE4F08" w:rsidRPr="00392D14" w:rsidRDefault="00BE4F08" w:rsidP="00BE4F08">
            <w:pPr>
              <w:rPr>
                <w:rFonts w:ascii="Calibri" w:hAnsi="Calibri" w:cs="Calibri"/>
                <w:color w:val="000000"/>
              </w:rPr>
            </w:pPr>
            <w:r w:rsidRPr="00392D14">
              <w:rPr>
                <w:rFonts w:ascii="Calibri" w:hAnsi="Calibri" w:cs="Calibri"/>
                <w:color w:val="000000"/>
              </w:rPr>
              <w:t>rs1077835</w:t>
            </w:r>
          </w:p>
        </w:tc>
        <w:tc>
          <w:tcPr>
            <w:tcW w:w="1400" w:type="dxa"/>
            <w:tcBorders>
              <w:top w:val="nil"/>
              <w:left w:val="nil"/>
              <w:bottom w:val="nil"/>
              <w:right w:val="nil"/>
            </w:tcBorders>
            <w:shd w:val="clear" w:color="auto" w:fill="auto"/>
            <w:noWrap/>
            <w:vAlign w:val="bottom"/>
            <w:hideMark/>
          </w:tcPr>
          <w:p w14:paraId="3022140B" w14:textId="77777777" w:rsidR="00BE4F08" w:rsidRPr="00392D14" w:rsidRDefault="00BE4F08" w:rsidP="00BE4F08">
            <w:pPr>
              <w:jc w:val="center"/>
              <w:rPr>
                <w:rFonts w:ascii="Calibri" w:hAnsi="Calibri" w:cs="Calibri"/>
                <w:color w:val="000000"/>
              </w:rPr>
            </w:pPr>
            <w:r w:rsidRPr="00392D14">
              <w:rPr>
                <w:rFonts w:ascii="Calibri" w:hAnsi="Calibri" w:cs="Calibri"/>
                <w:color w:val="000000"/>
              </w:rPr>
              <w:t>0.25</w:t>
            </w:r>
          </w:p>
        </w:tc>
        <w:tc>
          <w:tcPr>
            <w:tcW w:w="1146" w:type="dxa"/>
            <w:tcBorders>
              <w:top w:val="nil"/>
              <w:left w:val="nil"/>
              <w:bottom w:val="nil"/>
              <w:right w:val="nil"/>
            </w:tcBorders>
            <w:shd w:val="clear" w:color="auto" w:fill="auto"/>
            <w:noWrap/>
            <w:vAlign w:val="bottom"/>
            <w:hideMark/>
          </w:tcPr>
          <w:p w14:paraId="2667C855" w14:textId="77777777" w:rsidR="00BE4F08" w:rsidRPr="00392D14" w:rsidRDefault="00BE4F08" w:rsidP="00BE4F08">
            <w:pPr>
              <w:jc w:val="center"/>
              <w:rPr>
                <w:rFonts w:ascii="Calibri" w:hAnsi="Calibri" w:cs="Calibri"/>
                <w:color w:val="000000"/>
              </w:rPr>
            </w:pPr>
            <w:r w:rsidRPr="00392D14">
              <w:rPr>
                <w:rFonts w:ascii="Calibri" w:hAnsi="Calibri" w:cs="Calibri"/>
                <w:color w:val="000000"/>
              </w:rPr>
              <w:t xml:space="preserve"> 0.089</w:t>
            </w:r>
          </w:p>
        </w:tc>
        <w:tc>
          <w:tcPr>
            <w:tcW w:w="1348" w:type="dxa"/>
            <w:tcBorders>
              <w:top w:val="nil"/>
              <w:left w:val="nil"/>
              <w:bottom w:val="nil"/>
              <w:right w:val="nil"/>
            </w:tcBorders>
            <w:shd w:val="clear" w:color="auto" w:fill="auto"/>
            <w:noWrap/>
            <w:vAlign w:val="bottom"/>
            <w:hideMark/>
          </w:tcPr>
          <w:p w14:paraId="767D32A7" w14:textId="77777777" w:rsidR="00BE4F08" w:rsidRPr="00392D14" w:rsidRDefault="00BE4F08" w:rsidP="00BE4F08">
            <w:pPr>
              <w:jc w:val="center"/>
              <w:rPr>
                <w:rFonts w:ascii="Calibri" w:hAnsi="Calibri" w:cs="Calibri"/>
                <w:color w:val="000000"/>
              </w:rPr>
            </w:pPr>
            <w:r w:rsidRPr="00392D14">
              <w:rPr>
                <w:rFonts w:ascii="Calibri" w:hAnsi="Calibri" w:cs="Calibri"/>
                <w:color w:val="000000"/>
              </w:rPr>
              <w:t>4.8e-02</w:t>
            </w:r>
          </w:p>
        </w:tc>
        <w:tc>
          <w:tcPr>
            <w:tcW w:w="105" w:type="dxa"/>
            <w:tcBorders>
              <w:top w:val="nil"/>
              <w:left w:val="nil"/>
              <w:bottom w:val="nil"/>
              <w:right w:val="nil"/>
            </w:tcBorders>
            <w:shd w:val="clear" w:color="auto" w:fill="auto"/>
            <w:noWrap/>
            <w:vAlign w:val="bottom"/>
            <w:hideMark/>
          </w:tcPr>
          <w:p w14:paraId="3C0D1F56" w14:textId="77777777" w:rsidR="00BE4F08" w:rsidRPr="00392D14" w:rsidRDefault="00BE4F08" w:rsidP="00BE4F08">
            <w:pPr>
              <w:jc w:val="center"/>
              <w:rPr>
                <w:rFonts w:ascii="Calibri" w:hAnsi="Calibri" w:cs="Calibri"/>
                <w:color w:val="000000"/>
              </w:rPr>
            </w:pPr>
          </w:p>
        </w:tc>
        <w:tc>
          <w:tcPr>
            <w:tcW w:w="1697" w:type="dxa"/>
            <w:tcBorders>
              <w:top w:val="nil"/>
              <w:left w:val="nil"/>
              <w:bottom w:val="nil"/>
              <w:right w:val="nil"/>
            </w:tcBorders>
            <w:shd w:val="clear" w:color="auto" w:fill="auto"/>
            <w:noWrap/>
            <w:vAlign w:val="bottom"/>
            <w:hideMark/>
          </w:tcPr>
          <w:p w14:paraId="5E780B05" w14:textId="77777777" w:rsidR="00BE4F08" w:rsidRPr="00392D14" w:rsidRDefault="00BE4F08" w:rsidP="00BE4F08">
            <w:pPr>
              <w:jc w:val="center"/>
              <w:rPr>
                <w:rFonts w:ascii="Calibri" w:hAnsi="Calibri" w:cs="Calibri"/>
                <w:color w:val="000000"/>
              </w:rPr>
            </w:pPr>
            <w:r w:rsidRPr="00392D14">
              <w:rPr>
                <w:rFonts w:ascii="Calibri" w:hAnsi="Calibri" w:cs="Calibri"/>
                <w:color w:val="000000"/>
              </w:rPr>
              <w:t>1.9e-03</w:t>
            </w:r>
          </w:p>
        </w:tc>
        <w:tc>
          <w:tcPr>
            <w:tcW w:w="865" w:type="dxa"/>
            <w:tcBorders>
              <w:top w:val="nil"/>
              <w:left w:val="nil"/>
              <w:bottom w:val="nil"/>
              <w:right w:val="nil"/>
            </w:tcBorders>
            <w:shd w:val="clear" w:color="auto" w:fill="auto"/>
            <w:noWrap/>
            <w:vAlign w:val="bottom"/>
            <w:hideMark/>
          </w:tcPr>
          <w:p w14:paraId="3E4BA46B" w14:textId="77777777" w:rsidR="00BE4F08" w:rsidRPr="00392D14" w:rsidRDefault="00BE4F08" w:rsidP="00BE4F08">
            <w:pPr>
              <w:jc w:val="center"/>
              <w:rPr>
                <w:rFonts w:ascii="Calibri" w:hAnsi="Calibri" w:cs="Calibri"/>
                <w:color w:val="000000"/>
              </w:rPr>
            </w:pPr>
            <w:r w:rsidRPr="00392D14">
              <w:rPr>
                <w:rFonts w:ascii="Calibri" w:hAnsi="Calibri" w:cs="Calibri"/>
                <w:color w:val="000000"/>
              </w:rPr>
              <w:t>0.70</w:t>
            </w:r>
          </w:p>
        </w:tc>
        <w:tc>
          <w:tcPr>
            <w:tcW w:w="111" w:type="dxa"/>
            <w:tcBorders>
              <w:top w:val="nil"/>
              <w:left w:val="nil"/>
              <w:bottom w:val="nil"/>
              <w:right w:val="nil"/>
            </w:tcBorders>
            <w:shd w:val="clear" w:color="auto" w:fill="auto"/>
            <w:noWrap/>
            <w:vAlign w:val="bottom"/>
            <w:hideMark/>
          </w:tcPr>
          <w:p w14:paraId="76EF8265" w14:textId="77777777" w:rsidR="00BE4F08" w:rsidRPr="00392D14" w:rsidRDefault="00BE4F08" w:rsidP="00BE4F08">
            <w:pPr>
              <w:jc w:val="center"/>
              <w:rPr>
                <w:rFonts w:ascii="Calibri" w:hAnsi="Calibri" w:cs="Calibri"/>
                <w:color w:val="000000"/>
              </w:rPr>
            </w:pPr>
          </w:p>
        </w:tc>
        <w:tc>
          <w:tcPr>
            <w:tcW w:w="1696" w:type="dxa"/>
            <w:tcBorders>
              <w:top w:val="nil"/>
              <w:left w:val="nil"/>
              <w:bottom w:val="nil"/>
              <w:right w:val="nil"/>
            </w:tcBorders>
            <w:shd w:val="clear" w:color="auto" w:fill="auto"/>
            <w:noWrap/>
            <w:vAlign w:val="bottom"/>
            <w:hideMark/>
          </w:tcPr>
          <w:p w14:paraId="5D6A619D" w14:textId="77777777" w:rsidR="00BE4F08" w:rsidRPr="00392D14" w:rsidRDefault="00BE4F08" w:rsidP="00BE4F08">
            <w:pPr>
              <w:jc w:val="center"/>
              <w:rPr>
                <w:rFonts w:ascii="Calibri" w:hAnsi="Calibri" w:cs="Calibri"/>
                <w:color w:val="000000"/>
              </w:rPr>
            </w:pPr>
            <w:r w:rsidRPr="00392D14">
              <w:rPr>
                <w:rFonts w:ascii="Calibri" w:hAnsi="Calibri" w:cs="Calibri"/>
                <w:color w:val="000000"/>
              </w:rPr>
              <w:t>4.8e-04</w:t>
            </w:r>
          </w:p>
        </w:tc>
        <w:tc>
          <w:tcPr>
            <w:tcW w:w="865" w:type="dxa"/>
            <w:tcBorders>
              <w:top w:val="nil"/>
              <w:left w:val="nil"/>
              <w:bottom w:val="nil"/>
              <w:right w:val="nil"/>
            </w:tcBorders>
            <w:shd w:val="clear" w:color="auto" w:fill="auto"/>
            <w:noWrap/>
            <w:vAlign w:val="bottom"/>
            <w:hideMark/>
          </w:tcPr>
          <w:p w14:paraId="552FA6DD" w14:textId="77777777" w:rsidR="00BE4F08" w:rsidRPr="00392D14" w:rsidRDefault="00BE4F08" w:rsidP="00BE4F08">
            <w:pPr>
              <w:jc w:val="center"/>
              <w:rPr>
                <w:rFonts w:ascii="Calibri" w:hAnsi="Calibri" w:cs="Calibri"/>
                <w:color w:val="000000"/>
              </w:rPr>
            </w:pPr>
            <w:r w:rsidRPr="00392D14">
              <w:rPr>
                <w:rFonts w:ascii="Calibri" w:hAnsi="Calibri" w:cs="Calibri"/>
                <w:color w:val="000000"/>
              </w:rPr>
              <w:t>0.24</w:t>
            </w:r>
          </w:p>
        </w:tc>
        <w:tc>
          <w:tcPr>
            <w:tcW w:w="105" w:type="dxa"/>
            <w:tcBorders>
              <w:top w:val="nil"/>
              <w:left w:val="nil"/>
              <w:bottom w:val="nil"/>
              <w:right w:val="nil"/>
            </w:tcBorders>
            <w:shd w:val="clear" w:color="auto" w:fill="auto"/>
            <w:noWrap/>
            <w:vAlign w:val="bottom"/>
            <w:hideMark/>
          </w:tcPr>
          <w:p w14:paraId="20215C88" w14:textId="77777777" w:rsidR="00BE4F08" w:rsidRPr="00392D14" w:rsidRDefault="00BE4F08" w:rsidP="00BE4F08">
            <w:pPr>
              <w:jc w:val="center"/>
              <w:rPr>
                <w:rFonts w:ascii="Calibri" w:hAnsi="Calibri" w:cs="Calibri"/>
                <w:color w:val="000000"/>
              </w:rPr>
            </w:pPr>
          </w:p>
        </w:tc>
        <w:tc>
          <w:tcPr>
            <w:tcW w:w="1276" w:type="dxa"/>
            <w:tcBorders>
              <w:top w:val="nil"/>
              <w:left w:val="nil"/>
              <w:bottom w:val="nil"/>
              <w:right w:val="nil"/>
            </w:tcBorders>
            <w:shd w:val="clear" w:color="auto" w:fill="auto"/>
            <w:noWrap/>
            <w:vAlign w:val="bottom"/>
            <w:hideMark/>
          </w:tcPr>
          <w:p w14:paraId="3AE784A1" w14:textId="77777777" w:rsidR="00BE4F08" w:rsidRPr="00392D14" w:rsidRDefault="00BE4F08" w:rsidP="00BE4F08">
            <w:pPr>
              <w:jc w:val="center"/>
              <w:rPr>
                <w:rFonts w:ascii="Calibri" w:hAnsi="Calibri" w:cs="Calibri"/>
                <w:color w:val="000000"/>
              </w:rPr>
            </w:pPr>
            <w:r w:rsidRPr="00392D14">
              <w:rPr>
                <w:rFonts w:ascii="Calibri" w:hAnsi="Calibri" w:cs="Calibri"/>
                <w:color w:val="000000"/>
              </w:rPr>
              <w:t>-0.002</w:t>
            </w:r>
          </w:p>
        </w:tc>
        <w:tc>
          <w:tcPr>
            <w:tcW w:w="955" w:type="dxa"/>
            <w:tcBorders>
              <w:top w:val="nil"/>
              <w:left w:val="nil"/>
              <w:bottom w:val="nil"/>
              <w:right w:val="nil"/>
            </w:tcBorders>
            <w:shd w:val="clear" w:color="auto" w:fill="auto"/>
            <w:noWrap/>
            <w:vAlign w:val="bottom"/>
            <w:hideMark/>
          </w:tcPr>
          <w:p w14:paraId="5ED7E94E" w14:textId="77777777" w:rsidR="00BE4F08" w:rsidRPr="00392D14" w:rsidRDefault="00BE4F08" w:rsidP="00BE4F08">
            <w:pPr>
              <w:jc w:val="center"/>
              <w:rPr>
                <w:rFonts w:ascii="Calibri" w:hAnsi="Calibri" w:cs="Calibri"/>
                <w:color w:val="000000"/>
              </w:rPr>
            </w:pPr>
            <w:r w:rsidRPr="00392D14">
              <w:rPr>
                <w:rFonts w:ascii="Calibri" w:hAnsi="Calibri" w:cs="Calibri"/>
                <w:color w:val="000000"/>
              </w:rPr>
              <w:t>0.763</w:t>
            </w:r>
          </w:p>
        </w:tc>
      </w:tr>
      <w:tr w:rsidR="00BE4F08" w:rsidRPr="00392D14" w14:paraId="56300D83" w14:textId="77777777" w:rsidTr="00BE4F08">
        <w:trPr>
          <w:trHeight w:val="340"/>
        </w:trPr>
        <w:tc>
          <w:tcPr>
            <w:tcW w:w="1614" w:type="dxa"/>
            <w:tcBorders>
              <w:top w:val="nil"/>
              <w:left w:val="nil"/>
              <w:bottom w:val="nil"/>
              <w:right w:val="nil"/>
            </w:tcBorders>
            <w:shd w:val="clear" w:color="auto" w:fill="auto"/>
            <w:noWrap/>
            <w:vAlign w:val="bottom"/>
            <w:hideMark/>
          </w:tcPr>
          <w:p w14:paraId="5090FA27" w14:textId="77777777" w:rsidR="00BE4F08" w:rsidRPr="00392D14" w:rsidRDefault="00BE4F08" w:rsidP="00BE4F08">
            <w:pPr>
              <w:rPr>
                <w:rFonts w:ascii="Calibri" w:hAnsi="Calibri" w:cs="Calibri"/>
                <w:color w:val="000000"/>
              </w:rPr>
            </w:pPr>
            <w:r w:rsidRPr="00392D14">
              <w:rPr>
                <w:rFonts w:ascii="Calibri" w:hAnsi="Calibri" w:cs="Calibri"/>
                <w:color w:val="000000"/>
              </w:rPr>
              <w:t>rs11604424</w:t>
            </w:r>
          </w:p>
        </w:tc>
        <w:tc>
          <w:tcPr>
            <w:tcW w:w="1400" w:type="dxa"/>
            <w:tcBorders>
              <w:top w:val="nil"/>
              <w:left w:val="nil"/>
              <w:bottom w:val="nil"/>
              <w:right w:val="nil"/>
            </w:tcBorders>
            <w:shd w:val="clear" w:color="auto" w:fill="auto"/>
            <w:noWrap/>
            <w:vAlign w:val="bottom"/>
            <w:hideMark/>
          </w:tcPr>
          <w:p w14:paraId="64D985A7" w14:textId="77777777" w:rsidR="00BE4F08" w:rsidRPr="00392D14" w:rsidRDefault="00BE4F08" w:rsidP="00BE4F08">
            <w:pPr>
              <w:jc w:val="center"/>
              <w:rPr>
                <w:rFonts w:ascii="Calibri" w:hAnsi="Calibri" w:cs="Calibri"/>
                <w:color w:val="000000"/>
              </w:rPr>
            </w:pPr>
            <w:r w:rsidRPr="00392D14">
              <w:rPr>
                <w:rFonts w:ascii="Calibri" w:hAnsi="Calibri" w:cs="Calibri"/>
                <w:color w:val="000000"/>
              </w:rPr>
              <w:t>0.76</w:t>
            </w:r>
          </w:p>
        </w:tc>
        <w:tc>
          <w:tcPr>
            <w:tcW w:w="1146" w:type="dxa"/>
            <w:tcBorders>
              <w:top w:val="nil"/>
              <w:left w:val="nil"/>
              <w:bottom w:val="nil"/>
              <w:right w:val="nil"/>
            </w:tcBorders>
            <w:shd w:val="clear" w:color="auto" w:fill="auto"/>
            <w:noWrap/>
            <w:vAlign w:val="bottom"/>
            <w:hideMark/>
          </w:tcPr>
          <w:p w14:paraId="07E94F8F" w14:textId="77777777" w:rsidR="00BE4F08" w:rsidRPr="00392D14" w:rsidRDefault="00BE4F08" w:rsidP="00BE4F08">
            <w:pPr>
              <w:jc w:val="center"/>
              <w:rPr>
                <w:rFonts w:ascii="Calibri" w:hAnsi="Calibri" w:cs="Calibri"/>
                <w:color w:val="000000"/>
              </w:rPr>
            </w:pPr>
            <w:r w:rsidRPr="00392D14">
              <w:rPr>
                <w:rFonts w:ascii="Calibri" w:hAnsi="Calibri" w:cs="Calibri"/>
                <w:color w:val="000000"/>
              </w:rPr>
              <w:t>-0.090</w:t>
            </w:r>
          </w:p>
        </w:tc>
        <w:tc>
          <w:tcPr>
            <w:tcW w:w="1348" w:type="dxa"/>
            <w:tcBorders>
              <w:top w:val="nil"/>
              <w:left w:val="nil"/>
              <w:bottom w:val="nil"/>
              <w:right w:val="nil"/>
            </w:tcBorders>
            <w:shd w:val="clear" w:color="auto" w:fill="auto"/>
            <w:noWrap/>
            <w:vAlign w:val="bottom"/>
            <w:hideMark/>
          </w:tcPr>
          <w:p w14:paraId="1C9DC60B" w14:textId="77777777" w:rsidR="00BE4F08" w:rsidRPr="00392D14" w:rsidRDefault="00BE4F08" w:rsidP="00BE4F08">
            <w:pPr>
              <w:jc w:val="center"/>
              <w:rPr>
                <w:rFonts w:ascii="Calibri" w:hAnsi="Calibri" w:cs="Calibri"/>
                <w:color w:val="000000"/>
              </w:rPr>
            </w:pPr>
            <w:r w:rsidRPr="00392D14">
              <w:rPr>
                <w:rFonts w:ascii="Calibri" w:hAnsi="Calibri" w:cs="Calibri"/>
                <w:color w:val="000000"/>
              </w:rPr>
              <w:t>5.0e-02</w:t>
            </w:r>
          </w:p>
        </w:tc>
        <w:tc>
          <w:tcPr>
            <w:tcW w:w="105" w:type="dxa"/>
            <w:tcBorders>
              <w:top w:val="nil"/>
              <w:left w:val="nil"/>
              <w:bottom w:val="nil"/>
              <w:right w:val="nil"/>
            </w:tcBorders>
            <w:shd w:val="clear" w:color="auto" w:fill="auto"/>
            <w:noWrap/>
            <w:vAlign w:val="bottom"/>
            <w:hideMark/>
          </w:tcPr>
          <w:p w14:paraId="6BC34419" w14:textId="77777777" w:rsidR="00BE4F08" w:rsidRPr="00392D14" w:rsidRDefault="00BE4F08" w:rsidP="00BE4F08">
            <w:pPr>
              <w:jc w:val="center"/>
              <w:rPr>
                <w:rFonts w:ascii="Calibri" w:hAnsi="Calibri" w:cs="Calibri"/>
                <w:color w:val="000000"/>
              </w:rPr>
            </w:pPr>
          </w:p>
        </w:tc>
        <w:tc>
          <w:tcPr>
            <w:tcW w:w="1697" w:type="dxa"/>
            <w:tcBorders>
              <w:top w:val="nil"/>
              <w:left w:val="nil"/>
              <w:bottom w:val="nil"/>
              <w:right w:val="nil"/>
            </w:tcBorders>
            <w:shd w:val="clear" w:color="auto" w:fill="auto"/>
            <w:noWrap/>
            <w:vAlign w:val="bottom"/>
            <w:hideMark/>
          </w:tcPr>
          <w:p w14:paraId="3D186473" w14:textId="77777777" w:rsidR="00BE4F08" w:rsidRPr="00392D14" w:rsidRDefault="00BE4F08" w:rsidP="00BE4F08">
            <w:pPr>
              <w:jc w:val="center"/>
              <w:rPr>
                <w:rFonts w:ascii="Calibri" w:hAnsi="Calibri" w:cs="Calibri"/>
                <w:color w:val="000000"/>
              </w:rPr>
            </w:pPr>
            <w:r w:rsidRPr="00392D14">
              <w:rPr>
                <w:rFonts w:ascii="Calibri" w:hAnsi="Calibri" w:cs="Calibri"/>
                <w:color w:val="000000"/>
              </w:rPr>
              <w:t>2.0e-03</w:t>
            </w:r>
          </w:p>
        </w:tc>
        <w:tc>
          <w:tcPr>
            <w:tcW w:w="865" w:type="dxa"/>
            <w:tcBorders>
              <w:top w:val="nil"/>
              <w:left w:val="nil"/>
              <w:bottom w:val="nil"/>
              <w:right w:val="nil"/>
            </w:tcBorders>
            <w:shd w:val="clear" w:color="auto" w:fill="auto"/>
            <w:noWrap/>
            <w:vAlign w:val="bottom"/>
            <w:hideMark/>
          </w:tcPr>
          <w:p w14:paraId="6BD262DF" w14:textId="77777777" w:rsidR="00BE4F08" w:rsidRPr="00392D14" w:rsidRDefault="00BE4F08" w:rsidP="00BE4F08">
            <w:pPr>
              <w:jc w:val="center"/>
              <w:rPr>
                <w:rFonts w:ascii="Calibri" w:hAnsi="Calibri" w:cs="Calibri"/>
                <w:color w:val="000000"/>
              </w:rPr>
            </w:pPr>
            <w:r w:rsidRPr="00392D14">
              <w:rPr>
                <w:rFonts w:ascii="Calibri" w:hAnsi="Calibri" w:cs="Calibri"/>
                <w:color w:val="000000"/>
              </w:rPr>
              <w:t>0.73</w:t>
            </w:r>
          </w:p>
        </w:tc>
        <w:tc>
          <w:tcPr>
            <w:tcW w:w="111" w:type="dxa"/>
            <w:tcBorders>
              <w:top w:val="nil"/>
              <w:left w:val="nil"/>
              <w:bottom w:val="nil"/>
              <w:right w:val="nil"/>
            </w:tcBorders>
            <w:shd w:val="clear" w:color="auto" w:fill="auto"/>
            <w:noWrap/>
            <w:vAlign w:val="bottom"/>
            <w:hideMark/>
          </w:tcPr>
          <w:p w14:paraId="0127EFB7" w14:textId="77777777" w:rsidR="00BE4F08" w:rsidRPr="00392D14" w:rsidRDefault="00BE4F08" w:rsidP="00BE4F08">
            <w:pPr>
              <w:jc w:val="center"/>
              <w:rPr>
                <w:rFonts w:ascii="Calibri" w:hAnsi="Calibri" w:cs="Calibri"/>
                <w:color w:val="000000"/>
              </w:rPr>
            </w:pPr>
          </w:p>
        </w:tc>
        <w:tc>
          <w:tcPr>
            <w:tcW w:w="1696" w:type="dxa"/>
            <w:tcBorders>
              <w:top w:val="nil"/>
              <w:left w:val="nil"/>
              <w:bottom w:val="nil"/>
              <w:right w:val="nil"/>
            </w:tcBorders>
            <w:shd w:val="clear" w:color="auto" w:fill="auto"/>
            <w:noWrap/>
            <w:vAlign w:val="bottom"/>
            <w:hideMark/>
          </w:tcPr>
          <w:p w14:paraId="7423E5C4" w14:textId="77777777" w:rsidR="00BE4F08" w:rsidRPr="00392D14" w:rsidRDefault="00BE4F08" w:rsidP="00BE4F08">
            <w:pPr>
              <w:jc w:val="center"/>
              <w:rPr>
                <w:rFonts w:ascii="Calibri" w:hAnsi="Calibri" w:cs="Calibri"/>
                <w:color w:val="000000"/>
              </w:rPr>
            </w:pPr>
            <w:r w:rsidRPr="00392D14">
              <w:rPr>
                <w:rFonts w:ascii="Calibri" w:hAnsi="Calibri" w:cs="Calibri"/>
                <w:color w:val="000000"/>
              </w:rPr>
              <w:t>5.0e-04</w:t>
            </w:r>
          </w:p>
        </w:tc>
        <w:tc>
          <w:tcPr>
            <w:tcW w:w="865" w:type="dxa"/>
            <w:tcBorders>
              <w:top w:val="nil"/>
              <w:left w:val="nil"/>
              <w:bottom w:val="nil"/>
              <w:right w:val="nil"/>
            </w:tcBorders>
            <w:shd w:val="clear" w:color="auto" w:fill="auto"/>
            <w:noWrap/>
            <w:vAlign w:val="bottom"/>
            <w:hideMark/>
          </w:tcPr>
          <w:p w14:paraId="20328971" w14:textId="77777777" w:rsidR="00BE4F08" w:rsidRPr="00392D14" w:rsidRDefault="00BE4F08" w:rsidP="00BE4F08">
            <w:pPr>
              <w:jc w:val="center"/>
              <w:rPr>
                <w:rFonts w:ascii="Calibri" w:hAnsi="Calibri" w:cs="Calibri"/>
                <w:color w:val="000000"/>
              </w:rPr>
            </w:pPr>
            <w:r w:rsidRPr="00392D14">
              <w:rPr>
                <w:rFonts w:ascii="Calibri" w:hAnsi="Calibri" w:cs="Calibri"/>
                <w:color w:val="000000"/>
              </w:rPr>
              <w:t>0.25</w:t>
            </w:r>
          </w:p>
        </w:tc>
        <w:tc>
          <w:tcPr>
            <w:tcW w:w="105" w:type="dxa"/>
            <w:tcBorders>
              <w:top w:val="nil"/>
              <w:left w:val="nil"/>
              <w:bottom w:val="nil"/>
              <w:right w:val="nil"/>
            </w:tcBorders>
            <w:shd w:val="clear" w:color="auto" w:fill="auto"/>
            <w:noWrap/>
            <w:vAlign w:val="bottom"/>
            <w:hideMark/>
          </w:tcPr>
          <w:p w14:paraId="4DCF6F05" w14:textId="77777777" w:rsidR="00BE4F08" w:rsidRPr="00392D14" w:rsidRDefault="00BE4F08" w:rsidP="00BE4F08">
            <w:pPr>
              <w:jc w:val="center"/>
              <w:rPr>
                <w:rFonts w:ascii="Calibri" w:hAnsi="Calibri" w:cs="Calibri"/>
                <w:color w:val="000000"/>
              </w:rPr>
            </w:pPr>
          </w:p>
        </w:tc>
        <w:tc>
          <w:tcPr>
            <w:tcW w:w="1276" w:type="dxa"/>
            <w:tcBorders>
              <w:top w:val="nil"/>
              <w:left w:val="nil"/>
              <w:bottom w:val="nil"/>
              <w:right w:val="nil"/>
            </w:tcBorders>
            <w:shd w:val="clear" w:color="auto" w:fill="auto"/>
            <w:noWrap/>
            <w:vAlign w:val="bottom"/>
            <w:hideMark/>
          </w:tcPr>
          <w:p w14:paraId="29E2EAC9" w14:textId="77777777" w:rsidR="00BE4F08" w:rsidRPr="00392D14" w:rsidRDefault="00BE4F08" w:rsidP="00BE4F08">
            <w:pPr>
              <w:jc w:val="center"/>
              <w:rPr>
                <w:rFonts w:ascii="Calibri" w:hAnsi="Calibri" w:cs="Calibri"/>
                <w:color w:val="000000"/>
              </w:rPr>
            </w:pPr>
            <w:r w:rsidRPr="00392D14">
              <w:rPr>
                <w:rFonts w:ascii="Calibri" w:hAnsi="Calibri" w:cs="Calibri"/>
                <w:color w:val="000000"/>
              </w:rPr>
              <w:t xml:space="preserve"> 0.003</w:t>
            </w:r>
          </w:p>
        </w:tc>
        <w:tc>
          <w:tcPr>
            <w:tcW w:w="955" w:type="dxa"/>
            <w:tcBorders>
              <w:top w:val="nil"/>
              <w:left w:val="nil"/>
              <w:bottom w:val="nil"/>
              <w:right w:val="nil"/>
            </w:tcBorders>
            <w:shd w:val="clear" w:color="auto" w:fill="auto"/>
            <w:noWrap/>
            <w:vAlign w:val="bottom"/>
            <w:hideMark/>
          </w:tcPr>
          <w:p w14:paraId="0155DDF1" w14:textId="77777777" w:rsidR="00BE4F08" w:rsidRPr="00392D14" w:rsidRDefault="00BE4F08" w:rsidP="00BE4F08">
            <w:pPr>
              <w:jc w:val="center"/>
              <w:rPr>
                <w:rFonts w:ascii="Calibri" w:hAnsi="Calibri" w:cs="Calibri"/>
                <w:color w:val="000000"/>
              </w:rPr>
            </w:pPr>
            <w:r w:rsidRPr="00392D14">
              <w:rPr>
                <w:rFonts w:ascii="Calibri" w:hAnsi="Calibri" w:cs="Calibri"/>
                <w:color w:val="000000"/>
              </w:rPr>
              <w:t>0.600</w:t>
            </w:r>
          </w:p>
        </w:tc>
      </w:tr>
      <w:tr w:rsidR="00BE4F08" w:rsidRPr="00392D14" w14:paraId="5E0E1E5E" w14:textId="77777777" w:rsidTr="00BE4F08">
        <w:trPr>
          <w:trHeight w:val="340"/>
        </w:trPr>
        <w:tc>
          <w:tcPr>
            <w:tcW w:w="1614" w:type="dxa"/>
            <w:tcBorders>
              <w:top w:val="nil"/>
              <w:left w:val="nil"/>
              <w:bottom w:val="nil"/>
              <w:right w:val="nil"/>
            </w:tcBorders>
            <w:shd w:val="clear" w:color="auto" w:fill="auto"/>
            <w:noWrap/>
            <w:vAlign w:val="bottom"/>
            <w:hideMark/>
          </w:tcPr>
          <w:p w14:paraId="0C8345D1" w14:textId="77777777" w:rsidR="00BE4F08" w:rsidRPr="00392D14" w:rsidRDefault="00BE4F08" w:rsidP="00BE4F08">
            <w:pPr>
              <w:rPr>
                <w:rFonts w:ascii="Calibri" w:hAnsi="Calibri" w:cs="Calibri"/>
                <w:color w:val="000000"/>
              </w:rPr>
            </w:pPr>
            <w:r w:rsidRPr="00392D14">
              <w:rPr>
                <w:rFonts w:ascii="Calibri" w:hAnsi="Calibri" w:cs="Calibri"/>
                <w:color w:val="000000"/>
              </w:rPr>
              <w:t>rs1260326</w:t>
            </w:r>
          </w:p>
        </w:tc>
        <w:tc>
          <w:tcPr>
            <w:tcW w:w="1400" w:type="dxa"/>
            <w:tcBorders>
              <w:top w:val="nil"/>
              <w:left w:val="nil"/>
              <w:bottom w:val="nil"/>
              <w:right w:val="nil"/>
            </w:tcBorders>
            <w:shd w:val="clear" w:color="auto" w:fill="auto"/>
            <w:noWrap/>
            <w:vAlign w:val="bottom"/>
            <w:hideMark/>
          </w:tcPr>
          <w:p w14:paraId="231A1F18" w14:textId="77777777" w:rsidR="00BE4F08" w:rsidRPr="00392D14" w:rsidRDefault="00BE4F08" w:rsidP="00BE4F08">
            <w:pPr>
              <w:jc w:val="center"/>
              <w:rPr>
                <w:rFonts w:ascii="Calibri" w:hAnsi="Calibri" w:cs="Calibri"/>
                <w:color w:val="000000"/>
              </w:rPr>
            </w:pPr>
            <w:r w:rsidRPr="00392D14">
              <w:rPr>
                <w:rFonts w:ascii="Calibri" w:hAnsi="Calibri" w:cs="Calibri"/>
                <w:color w:val="000000"/>
              </w:rPr>
              <w:t>0.64</w:t>
            </w:r>
          </w:p>
        </w:tc>
        <w:tc>
          <w:tcPr>
            <w:tcW w:w="1146" w:type="dxa"/>
            <w:tcBorders>
              <w:top w:val="nil"/>
              <w:left w:val="nil"/>
              <w:bottom w:val="nil"/>
              <w:right w:val="nil"/>
            </w:tcBorders>
            <w:shd w:val="clear" w:color="auto" w:fill="auto"/>
            <w:noWrap/>
            <w:vAlign w:val="bottom"/>
            <w:hideMark/>
          </w:tcPr>
          <w:p w14:paraId="3C27B017" w14:textId="77777777" w:rsidR="00BE4F08" w:rsidRPr="00392D14" w:rsidRDefault="00BE4F08" w:rsidP="00BE4F08">
            <w:pPr>
              <w:jc w:val="center"/>
              <w:rPr>
                <w:rFonts w:ascii="Calibri" w:hAnsi="Calibri" w:cs="Calibri"/>
                <w:color w:val="000000"/>
              </w:rPr>
            </w:pPr>
            <w:r w:rsidRPr="00392D14">
              <w:rPr>
                <w:rFonts w:ascii="Calibri" w:hAnsi="Calibri" w:cs="Calibri"/>
                <w:color w:val="000000"/>
              </w:rPr>
              <w:t>-0.097</w:t>
            </w:r>
          </w:p>
        </w:tc>
        <w:tc>
          <w:tcPr>
            <w:tcW w:w="1348" w:type="dxa"/>
            <w:tcBorders>
              <w:top w:val="nil"/>
              <w:left w:val="nil"/>
              <w:bottom w:val="nil"/>
              <w:right w:val="nil"/>
            </w:tcBorders>
            <w:shd w:val="clear" w:color="auto" w:fill="auto"/>
            <w:noWrap/>
            <w:vAlign w:val="bottom"/>
            <w:hideMark/>
          </w:tcPr>
          <w:p w14:paraId="599B2A10" w14:textId="77777777" w:rsidR="00BE4F08" w:rsidRPr="00392D14" w:rsidRDefault="00BE4F08" w:rsidP="00BE4F08">
            <w:pPr>
              <w:jc w:val="center"/>
              <w:rPr>
                <w:rFonts w:ascii="Calibri" w:hAnsi="Calibri" w:cs="Calibri"/>
                <w:color w:val="000000"/>
              </w:rPr>
            </w:pPr>
            <w:r w:rsidRPr="00392D14">
              <w:rPr>
                <w:rFonts w:ascii="Calibri" w:hAnsi="Calibri" w:cs="Calibri"/>
                <w:color w:val="000000"/>
              </w:rPr>
              <w:t>7.3e-02</w:t>
            </w:r>
          </w:p>
        </w:tc>
        <w:tc>
          <w:tcPr>
            <w:tcW w:w="105" w:type="dxa"/>
            <w:tcBorders>
              <w:top w:val="nil"/>
              <w:left w:val="nil"/>
              <w:bottom w:val="nil"/>
              <w:right w:val="nil"/>
            </w:tcBorders>
            <w:shd w:val="clear" w:color="auto" w:fill="auto"/>
            <w:noWrap/>
            <w:vAlign w:val="bottom"/>
            <w:hideMark/>
          </w:tcPr>
          <w:p w14:paraId="30A97B22" w14:textId="77777777" w:rsidR="00BE4F08" w:rsidRPr="00392D14" w:rsidRDefault="00BE4F08" w:rsidP="00BE4F08">
            <w:pPr>
              <w:jc w:val="center"/>
              <w:rPr>
                <w:rFonts w:ascii="Calibri" w:hAnsi="Calibri" w:cs="Calibri"/>
                <w:color w:val="000000"/>
              </w:rPr>
            </w:pPr>
          </w:p>
        </w:tc>
        <w:tc>
          <w:tcPr>
            <w:tcW w:w="1697" w:type="dxa"/>
            <w:tcBorders>
              <w:top w:val="nil"/>
              <w:left w:val="nil"/>
              <w:bottom w:val="nil"/>
              <w:right w:val="nil"/>
            </w:tcBorders>
            <w:shd w:val="clear" w:color="auto" w:fill="auto"/>
            <w:noWrap/>
            <w:vAlign w:val="bottom"/>
            <w:hideMark/>
          </w:tcPr>
          <w:p w14:paraId="70E5A097" w14:textId="77777777" w:rsidR="00BE4F08" w:rsidRPr="00392D14" w:rsidRDefault="00BE4F08" w:rsidP="00BE4F08">
            <w:pPr>
              <w:jc w:val="center"/>
              <w:rPr>
                <w:rFonts w:ascii="Calibri" w:hAnsi="Calibri" w:cs="Calibri"/>
                <w:color w:val="000000"/>
              </w:rPr>
            </w:pPr>
            <w:r w:rsidRPr="00392D14">
              <w:rPr>
                <w:rFonts w:ascii="Calibri" w:hAnsi="Calibri" w:cs="Calibri"/>
                <w:color w:val="000000"/>
              </w:rPr>
              <w:t>2.9e-03</w:t>
            </w:r>
          </w:p>
        </w:tc>
        <w:tc>
          <w:tcPr>
            <w:tcW w:w="865" w:type="dxa"/>
            <w:tcBorders>
              <w:top w:val="nil"/>
              <w:left w:val="nil"/>
              <w:bottom w:val="nil"/>
              <w:right w:val="nil"/>
            </w:tcBorders>
            <w:shd w:val="clear" w:color="auto" w:fill="auto"/>
            <w:noWrap/>
            <w:vAlign w:val="bottom"/>
            <w:hideMark/>
          </w:tcPr>
          <w:p w14:paraId="344EA782" w14:textId="77777777" w:rsidR="00BE4F08" w:rsidRPr="00392D14" w:rsidRDefault="00BE4F08" w:rsidP="00BE4F08">
            <w:pPr>
              <w:jc w:val="center"/>
              <w:rPr>
                <w:rFonts w:ascii="Calibri" w:hAnsi="Calibri" w:cs="Calibri"/>
                <w:color w:val="000000"/>
              </w:rPr>
            </w:pPr>
            <w:r w:rsidRPr="00392D14">
              <w:rPr>
                <w:rFonts w:ascii="Calibri" w:hAnsi="Calibri" w:cs="Calibri"/>
                <w:color w:val="000000"/>
              </w:rPr>
              <w:t>0.87</w:t>
            </w:r>
          </w:p>
        </w:tc>
        <w:tc>
          <w:tcPr>
            <w:tcW w:w="111" w:type="dxa"/>
            <w:tcBorders>
              <w:top w:val="nil"/>
              <w:left w:val="nil"/>
              <w:bottom w:val="nil"/>
              <w:right w:val="nil"/>
            </w:tcBorders>
            <w:shd w:val="clear" w:color="auto" w:fill="auto"/>
            <w:noWrap/>
            <w:vAlign w:val="bottom"/>
            <w:hideMark/>
          </w:tcPr>
          <w:p w14:paraId="487CFA5F" w14:textId="77777777" w:rsidR="00BE4F08" w:rsidRPr="00392D14" w:rsidRDefault="00BE4F08" w:rsidP="00BE4F08">
            <w:pPr>
              <w:jc w:val="center"/>
              <w:rPr>
                <w:rFonts w:ascii="Calibri" w:hAnsi="Calibri" w:cs="Calibri"/>
                <w:color w:val="000000"/>
              </w:rPr>
            </w:pPr>
          </w:p>
        </w:tc>
        <w:tc>
          <w:tcPr>
            <w:tcW w:w="1696" w:type="dxa"/>
            <w:tcBorders>
              <w:top w:val="nil"/>
              <w:left w:val="nil"/>
              <w:bottom w:val="nil"/>
              <w:right w:val="nil"/>
            </w:tcBorders>
            <w:shd w:val="clear" w:color="auto" w:fill="auto"/>
            <w:noWrap/>
            <w:vAlign w:val="bottom"/>
            <w:hideMark/>
          </w:tcPr>
          <w:p w14:paraId="7D9DE7AC" w14:textId="77777777" w:rsidR="00BE4F08" w:rsidRPr="00392D14" w:rsidRDefault="00BE4F08" w:rsidP="00BE4F08">
            <w:pPr>
              <w:jc w:val="center"/>
              <w:rPr>
                <w:rFonts w:ascii="Calibri" w:hAnsi="Calibri" w:cs="Calibri"/>
                <w:color w:val="000000"/>
              </w:rPr>
            </w:pPr>
            <w:r w:rsidRPr="00392D14">
              <w:rPr>
                <w:rFonts w:ascii="Calibri" w:hAnsi="Calibri" w:cs="Calibri"/>
                <w:color w:val="000000"/>
              </w:rPr>
              <w:t>7.3e-04</w:t>
            </w:r>
          </w:p>
        </w:tc>
        <w:tc>
          <w:tcPr>
            <w:tcW w:w="865" w:type="dxa"/>
            <w:tcBorders>
              <w:top w:val="nil"/>
              <w:left w:val="nil"/>
              <w:bottom w:val="nil"/>
              <w:right w:val="nil"/>
            </w:tcBorders>
            <w:shd w:val="clear" w:color="auto" w:fill="auto"/>
            <w:noWrap/>
            <w:vAlign w:val="bottom"/>
            <w:hideMark/>
          </w:tcPr>
          <w:p w14:paraId="2DCDB788" w14:textId="77777777" w:rsidR="00BE4F08" w:rsidRPr="00392D14" w:rsidRDefault="00BE4F08" w:rsidP="00BE4F08">
            <w:pPr>
              <w:jc w:val="center"/>
              <w:rPr>
                <w:rFonts w:ascii="Calibri" w:hAnsi="Calibri" w:cs="Calibri"/>
                <w:color w:val="000000"/>
              </w:rPr>
            </w:pPr>
            <w:r w:rsidRPr="00392D14">
              <w:rPr>
                <w:rFonts w:ascii="Calibri" w:hAnsi="Calibri" w:cs="Calibri"/>
                <w:color w:val="000000"/>
              </w:rPr>
              <w:t>0.34</w:t>
            </w:r>
          </w:p>
        </w:tc>
        <w:tc>
          <w:tcPr>
            <w:tcW w:w="105" w:type="dxa"/>
            <w:tcBorders>
              <w:top w:val="nil"/>
              <w:left w:val="nil"/>
              <w:bottom w:val="nil"/>
              <w:right w:val="nil"/>
            </w:tcBorders>
            <w:shd w:val="clear" w:color="auto" w:fill="auto"/>
            <w:noWrap/>
            <w:vAlign w:val="bottom"/>
            <w:hideMark/>
          </w:tcPr>
          <w:p w14:paraId="4806B499" w14:textId="77777777" w:rsidR="00BE4F08" w:rsidRPr="00392D14" w:rsidRDefault="00BE4F08" w:rsidP="00BE4F08">
            <w:pPr>
              <w:jc w:val="center"/>
              <w:rPr>
                <w:rFonts w:ascii="Calibri" w:hAnsi="Calibri" w:cs="Calibri"/>
                <w:color w:val="000000"/>
              </w:rPr>
            </w:pPr>
          </w:p>
        </w:tc>
        <w:tc>
          <w:tcPr>
            <w:tcW w:w="1276" w:type="dxa"/>
            <w:tcBorders>
              <w:top w:val="nil"/>
              <w:left w:val="nil"/>
              <w:bottom w:val="nil"/>
              <w:right w:val="nil"/>
            </w:tcBorders>
            <w:shd w:val="clear" w:color="auto" w:fill="auto"/>
            <w:noWrap/>
            <w:vAlign w:val="bottom"/>
            <w:hideMark/>
          </w:tcPr>
          <w:p w14:paraId="444B2367" w14:textId="77777777" w:rsidR="00BE4F08" w:rsidRPr="00392D14" w:rsidRDefault="00BE4F08" w:rsidP="00BE4F08">
            <w:pPr>
              <w:jc w:val="center"/>
              <w:rPr>
                <w:rFonts w:ascii="Calibri" w:hAnsi="Calibri" w:cs="Calibri"/>
                <w:color w:val="000000"/>
              </w:rPr>
            </w:pPr>
            <w:r w:rsidRPr="00392D14">
              <w:rPr>
                <w:rFonts w:ascii="Calibri" w:hAnsi="Calibri" w:cs="Calibri"/>
                <w:color w:val="000000"/>
              </w:rPr>
              <w:t xml:space="preserve"> 0.006</w:t>
            </w:r>
          </w:p>
        </w:tc>
        <w:tc>
          <w:tcPr>
            <w:tcW w:w="955" w:type="dxa"/>
            <w:tcBorders>
              <w:top w:val="nil"/>
              <w:left w:val="nil"/>
              <w:bottom w:val="nil"/>
              <w:right w:val="nil"/>
            </w:tcBorders>
            <w:shd w:val="clear" w:color="auto" w:fill="auto"/>
            <w:noWrap/>
            <w:vAlign w:val="bottom"/>
            <w:hideMark/>
          </w:tcPr>
          <w:p w14:paraId="119A0DBF" w14:textId="77777777" w:rsidR="00BE4F08" w:rsidRPr="00392D14" w:rsidRDefault="00BE4F08" w:rsidP="00BE4F08">
            <w:pPr>
              <w:jc w:val="center"/>
              <w:rPr>
                <w:rFonts w:ascii="Calibri" w:hAnsi="Calibri" w:cs="Calibri"/>
                <w:color w:val="000000"/>
              </w:rPr>
            </w:pPr>
            <w:r w:rsidRPr="00392D14">
              <w:rPr>
                <w:rFonts w:ascii="Calibri" w:hAnsi="Calibri" w:cs="Calibri"/>
                <w:color w:val="000000"/>
              </w:rPr>
              <w:t>0.230</w:t>
            </w:r>
          </w:p>
        </w:tc>
      </w:tr>
      <w:tr w:rsidR="00BE4F08" w:rsidRPr="00392D14" w14:paraId="2CD0F020" w14:textId="77777777" w:rsidTr="00BE4F08">
        <w:trPr>
          <w:trHeight w:val="340"/>
        </w:trPr>
        <w:tc>
          <w:tcPr>
            <w:tcW w:w="1614" w:type="dxa"/>
            <w:tcBorders>
              <w:top w:val="nil"/>
              <w:left w:val="nil"/>
              <w:bottom w:val="nil"/>
              <w:right w:val="nil"/>
            </w:tcBorders>
            <w:shd w:val="clear" w:color="auto" w:fill="auto"/>
            <w:noWrap/>
            <w:vAlign w:val="bottom"/>
            <w:hideMark/>
          </w:tcPr>
          <w:p w14:paraId="5EAFEF03" w14:textId="77777777" w:rsidR="00BE4F08" w:rsidRPr="00392D14" w:rsidRDefault="00BE4F08" w:rsidP="00BE4F08">
            <w:pPr>
              <w:rPr>
                <w:rFonts w:ascii="Calibri" w:hAnsi="Calibri" w:cs="Calibri"/>
                <w:color w:val="000000"/>
              </w:rPr>
            </w:pPr>
            <w:r w:rsidRPr="00392D14">
              <w:rPr>
                <w:rFonts w:ascii="Calibri" w:hAnsi="Calibri" w:cs="Calibri"/>
                <w:color w:val="000000"/>
              </w:rPr>
              <w:t>rs143988316</w:t>
            </w:r>
          </w:p>
        </w:tc>
        <w:tc>
          <w:tcPr>
            <w:tcW w:w="1400" w:type="dxa"/>
            <w:tcBorders>
              <w:top w:val="nil"/>
              <w:left w:val="nil"/>
              <w:bottom w:val="nil"/>
              <w:right w:val="nil"/>
            </w:tcBorders>
            <w:shd w:val="clear" w:color="auto" w:fill="auto"/>
            <w:noWrap/>
            <w:vAlign w:val="bottom"/>
            <w:hideMark/>
          </w:tcPr>
          <w:p w14:paraId="1E713164" w14:textId="77777777" w:rsidR="00BE4F08" w:rsidRPr="00392D14" w:rsidRDefault="00BE4F08" w:rsidP="00BE4F08">
            <w:pPr>
              <w:jc w:val="center"/>
              <w:rPr>
                <w:rFonts w:ascii="Calibri" w:hAnsi="Calibri" w:cs="Calibri"/>
                <w:color w:val="000000"/>
              </w:rPr>
            </w:pPr>
            <w:r w:rsidRPr="00392D14">
              <w:rPr>
                <w:rFonts w:ascii="Calibri" w:hAnsi="Calibri" w:cs="Calibri"/>
                <w:color w:val="000000"/>
              </w:rPr>
              <w:t>0.07</w:t>
            </w:r>
          </w:p>
        </w:tc>
        <w:tc>
          <w:tcPr>
            <w:tcW w:w="1146" w:type="dxa"/>
            <w:tcBorders>
              <w:top w:val="nil"/>
              <w:left w:val="nil"/>
              <w:bottom w:val="nil"/>
              <w:right w:val="nil"/>
            </w:tcBorders>
            <w:shd w:val="clear" w:color="auto" w:fill="auto"/>
            <w:noWrap/>
            <w:vAlign w:val="bottom"/>
            <w:hideMark/>
          </w:tcPr>
          <w:p w14:paraId="778080FF" w14:textId="77777777" w:rsidR="00BE4F08" w:rsidRPr="00392D14" w:rsidRDefault="00BE4F08" w:rsidP="00BE4F08">
            <w:pPr>
              <w:jc w:val="center"/>
              <w:rPr>
                <w:rFonts w:ascii="Calibri" w:hAnsi="Calibri" w:cs="Calibri"/>
                <w:color w:val="000000"/>
              </w:rPr>
            </w:pPr>
            <w:r w:rsidRPr="00392D14">
              <w:rPr>
                <w:rFonts w:ascii="Calibri" w:hAnsi="Calibri" w:cs="Calibri"/>
                <w:color w:val="000000"/>
              </w:rPr>
              <w:t>-0.171</w:t>
            </w:r>
          </w:p>
        </w:tc>
        <w:tc>
          <w:tcPr>
            <w:tcW w:w="1348" w:type="dxa"/>
            <w:tcBorders>
              <w:top w:val="nil"/>
              <w:left w:val="nil"/>
              <w:bottom w:val="nil"/>
              <w:right w:val="nil"/>
            </w:tcBorders>
            <w:shd w:val="clear" w:color="auto" w:fill="auto"/>
            <w:noWrap/>
            <w:vAlign w:val="bottom"/>
            <w:hideMark/>
          </w:tcPr>
          <w:p w14:paraId="17E1B545" w14:textId="77777777" w:rsidR="00BE4F08" w:rsidRPr="00392D14" w:rsidRDefault="00BE4F08" w:rsidP="00BE4F08">
            <w:pPr>
              <w:jc w:val="center"/>
              <w:rPr>
                <w:rFonts w:ascii="Calibri" w:hAnsi="Calibri" w:cs="Calibri"/>
                <w:color w:val="000000"/>
              </w:rPr>
            </w:pPr>
            <w:r w:rsidRPr="00392D14">
              <w:rPr>
                <w:rFonts w:ascii="Calibri" w:hAnsi="Calibri" w:cs="Calibri"/>
                <w:color w:val="000000"/>
              </w:rPr>
              <w:t>6.2e-02</w:t>
            </w:r>
          </w:p>
        </w:tc>
        <w:tc>
          <w:tcPr>
            <w:tcW w:w="105" w:type="dxa"/>
            <w:tcBorders>
              <w:top w:val="nil"/>
              <w:left w:val="nil"/>
              <w:bottom w:val="nil"/>
              <w:right w:val="nil"/>
            </w:tcBorders>
            <w:shd w:val="clear" w:color="auto" w:fill="auto"/>
            <w:noWrap/>
            <w:vAlign w:val="bottom"/>
            <w:hideMark/>
          </w:tcPr>
          <w:p w14:paraId="48F3CAA5" w14:textId="77777777" w:rsidR="00BE4F08" w:rsidRPr="00392D14" w:rsidRDefault="00BE4F08" w:rsidP="00BE4F08">
            <w:pPr>
              <w:jc w:val="center"/>
              <w:rPr>
                <w:rFonts w:ascii="Calibri" w:hAnsi="Calibri" w:cs="Calibri"/>
                <w:color w:val="000000"/>
              </w:rPr>
            </w:pPr>
          </w:p>
        </w:tc>
        <w:tc>
          <w:tcPr>
            <w:tcW w:w="1697" w:type="dxa"/>
            <w:tcBorders>
              <w:top w:val="nil"/>
              <w:left w:val="nil"/>
              <w:bottom w:val="nil"/>
              <w:right w:val="nil"/>
            </w:tcBorders>
            <w:shd w:val="clear" w:color="auto" w:fill="auto"/>
            <w:noWrap/>
            <w:vAlign w:val="bottom"/>
            <w:hideMark/>
          </w:tcPr>
          <w:p w14:paraId="4BB1E6B8" w14:textId="77777777" w:rsidR="00BE4F08" w:rsidRPr="00392D14" w:rsidRDefault="00BE4F08" w:rsidP="00BE4F08">
            <w:pPr>
              <w:jc w:val="center"/>
              <w:rPr>
                <w:rFonts w:ascii="Calibri" w:hAnsi="Calibri" w:cs="Calibri"/>
                <w:color w:val="000000"/>
              </w:rPr>
            </w:pPr>
            <w:r w:rsidRPr="00392D14">
              <w:rPr>
                <w:rFonts w:ascii="Calibri" w:hAnsi="Calibri" w:cs="Calibri"/>
                <w:color w:val="000000"/>
              </w:rPr>
              <w:t>2.5e-03</w:t>
            </w:r>
          </w:p>
        </w:tc>
        <w:tc>
          <w:tcPr>
            <w:tcW w:w="865" w:type="dxa"/>
            <w:tcBorders>
              <w:top w:val="nil"/>
              <w:left w:val="nil"/>
              <w:bottom w:val="nil"/>
              <w:right w:val="nil"/>
            </w:tcBorders>
            <w:shd w:val="clear" w:color="auto" w:fill="auto"/>
            <w:noWrap/>
            <w:vAlign w:val="bottom"/>
            <w:hideMark/>
          </w:tcPr>
          <w:p w14:paraId="02ED0554" w14:textId="77777777" w:rsidR="00BE4F08" w:rsidRPr="00392D14" w:rsidRDefault="00BE4F08" w:rsidP="00BE4F08">
            <w:pPr>
              <w:jc w:val="center"/>
              <w:rPr>
                <w:rFonts w:ascii="Calibri" w:hAnsi="Calibri" w:cs="Calibri"/>
                <w:color w:val="000000"/>
              </w:rPr>
            </w:pPr>
            <w:r w:rsidRPr="00392D14">
              <w:rPr>
                <w:rFonts w:ascii="Calibri" w:hAnsi="Calibri" w:cs="Calibri"/>
                <w:color w:val="000000"/>
              </w:rPr>
              <w:t>0.82</w:t>
            </w:r>
          </w:p>
        </w:tc>
        <w:tc>
          <w:tcPr>
            <w:tcW w:w="111" w:type="dxa"/>
            <w:tcBorders>
              <w:top w:val="nil"/>
              <w:left w:val="nil"/>
              <w:bottom w:val="nil"/>
              <w:right w:val="nil"/>
            </w:tcBorders>
            <w:shd w:val="clear" w:color="auto" w:fill="auto"/>
            <w:noWrap/>
            <w:vAlign w:val="bottom"/>
            <w:hideMark/>
          </w:tcPr>
          <w:p w14:paraId="59F20AE1" w14:textId="77777777" w:rsidR="00BE4F08" w:rsidRPr="00392D14" w:rsidRDefault="00BE4F08" w:rsidP="00BE4F08">
            <w:pPr>
              <w:jc w:val="center"/>
              <w:rPr>
                <w:rFonts w:ascii="Calibri" w:hAnsi="Calibri" w:cs="Calibri"/>
                <w:color w:val="000000"/>
              </w:rPr>
            </w:pPr>
          </w:p>
        </w:tc>
        <w:tc>
          <w:tcPr>
            <w:tcW w:w="1696" w:type="dxa"/>
            <w:tcBorders>
              <w:top w:val="nil"/>
              <w:left w:val="nil"/>
              <w:bottom w:val="nil"/>
              <w:right w:val="nil"/>
            </w:tcBorders>
            <w:shd w:val="clear" w:color="auto" w:fill="auto"/>
            <w:noWrap/>
            <w:vAlign w:val="bottom"/>
            <w:hideMark/>
          </w:tcPr>
          <w:p w14:paraId="35984FC1" w14:textId="77777777" w:rsidR="00BE4F08" w:rsidRPr="00392D14" w:rsidRDefault="00BE4F08" w:rsidP="00BE4F08">
            <w:pPr>
              <w:jc w:val="center"/>
              <w:rPr>
                <w:rFonts w:ascii="Calibri" w:hAnsi="Calibri" w:cs="Calibri"/>
                <w:color w:val="000000"/>
              </w:rPr>
            </w:pPr>
            <w:r w:rsidRPr="00392D14">
              <w:rPr>
                <w:rFonts w:ascii="Calibri" w:hAnsi="Calibri" w:cs="Calibri"/>
                <w:color w:val="000000"/>
              </w:rPr>
              <w:t>6.2e-04</w:t>
            </w:r>
          </w:p>
        </w:tc>
        <w:tc>
          <w:tcPr>
            <w:tcW w:w="865" w:type="dxa"/>
            <w:tcBorders>
              <w:top w:val="nil"/>
              <w:left w:val="nil"/>
              <w:bottom w:val="nil"/>
              <w:right w:val="nil"/>
            </w:tcBorders>
            <w:shd w:val="clear" w:color="auto" w:fill="auto"/>
            <w:noWrap/>
            <w:vAlign w:val="bottom"/>
            <w:hideMark/>
          </w:tcPr>
          <w:p w14:paraId="2F386CD1" w14:textId="77777777" w:rsidR="00BE4F08" w:rsidRPr="00392D14" w:rsidRDefault="00BE4F08" w:rsidP="00BE4F08">
            <w:pPr>
              <w:jc w:val="center"/>
              <w:rPr>
                <w:rFonts w:ascii="Calibri" w:hAnsi="Calibri" w:cs="Calibri"/>
                <w:color w:val="000000"/>
              </w:rPr>
            </w:pPr>
            <w:r w:rsidRPr="00392D14">
              <w:rPr>
                <w:rFonts w:ascii="Calibri" w:hAnsi="Calibri" w:cs="Calibri"/>
                <w:color w:val="000000"/>
              </w:rPr>
              <w:t>0.30</w:t>
            </w:r>
          </w:p>
        </w:tc>
        <w:tc>
          <w:tcPr>
            <w:tcW w:w="105" w:type="dxa"/>
            <w:tcBorders>
              <w:top w:val="nil"/>
              <w:left w:val="nil"/>
              <w:bottom w:val="nil"/>
              <w:right w:val="nil"/>
            </w:tcBorders>
            <w:shd w:val="clear" w:color="auto" w:fill="auto"/>
            <w:noWrap/>
            <w:vAlign w:val="bottom"/>
            <w:hideMark/>
          </w:tcPr>
          <w:p w14:paraId="22B34F44" w14:textId="77777777" w:rsidR="00BE4F08" w:rsidRPr="00392D14" w:rsidRDefault="00BE4F08" w:rsidP="00BE4F08">
            <w:pPr>
              <w:jc w:val="center"/>
              <w:rPr>
                <w:rFonts w:ascii="Calibri" w:hAnsi="Calibri" w:cs="Calibri"/>
                <w:color w:val="000000"/>
              </w:rPr>
            </w:pPr>
          </w:p>
        </w:tc>
        <w:tc>
          <w:tcPr>
            <w:tcW w:w="1276" w:type="dxa"/>
            <w:tcBorders>
              <w:top w:val="nil"/>
              <w:left w:val="nil"/>
              <w:bottom w:val="nil"/>
              <w:right w:val="nil"/>
            </w:tcBorders>
            <w:shd w:val="clear" w:color="auto" w:fill="auto"/>
            <w:noWrap/>
            <w:vAlign w:val="bottom"/>
            <w:hideMark/>
          </w:tcPr>
          <w:p w14:paraId="53F4A62A" w14:textId="77777777" w:rsidR="00BE4F08" w:rsidRPr="00392D14" w:rsidRDefault="00BE4F08" w:rsidP="00BE4F08">
            <w:pPr>
              <w:jc w:val="center"/>
              <w:rPr>
                <w:rFonts w:ascii="Calibri" w:hAnsi="Calibri" w:cs="Calibri"/>
                <w:color w:val="000000"/>
              </w:rPr>
            </w:pPr>
            <w:r w:rsidRPr="00392D14">
              <w:rPr>
                <w:rFonts w:ascii="Calibri" w:hAnsi="Calibri" w:cs="Calibri"/>
                <w:color w:val="000000"/>
              </w:rPr>
              <w:t>-0.010</w:t>
            </w:r>
          </w:p>
        </w:tc>
        <w:tc>
          <w:tcPr>
            <w:tcW w:w="955" w:type="dxa"/>
            <w:tcBorders>
              <w:top w:val="nil"/>
              <w:left w:val="nil"/>
              <w:bottom w:val="nil"/>
              <w:right w:val="nil"/>
            </w:tcBorders>
            <w:shd w:val="clear" w:color="auto" w:fill="auto"/>
            <w:noWrap/>
            <w:vAlign w:val="bottom"/>
            <w:hideMark/>
          </w:tcPr>
          <w:p w14:paraId="6B977784" w14:textId="77777777" w:rsidR="00BE4F08" w:rsidRPr="00392D14" w:rsidRDefault="00BE4F08" w:rsidP="00BE4F08">
            <w:pPr>
              <w:jc w:val="center"/>
              <w:rPr>
                <w:rFonts w:ascii="Calibri" w:hAnsi="Calibri" w:cs="Calibri"/>
                <w:color w:val="000000"/>
              </w:rPr>
            </w:pPr>
            <w:r w:rsidRPr="00392D14">
              <w:rPr>
                <w:rFonts w:ascii="Calibri" w:hAnsi="Calibri" w:cs="Calibri"/>
                <w:color w:val="000000"/>
              </w:rPr>
              <w:t>0.242</w:t>
            </w:r>
          </w:p>
        </w:tc>
      </w:tr>
      <w:tr w:rsidR="00BE4F08" w:rsidRPr="00392D14" w14:paraId="712D70E6" w14:textId="77777777" w:rsidTr="00BE4F08">
        <w:trPr>
          <w:trHeight w:val="340"/>
        </w:trPr>
        <w:tc>
          <w:tcPr>
            <w:tcW w:w="1614" w:type="dxa"/>
            <w:tcBorders>
              <w:top w:val="nil"/>
              <w:left w:val="nil"/>
              <w:bottom w:val="nil"/>
              <w:right w:val="nil"/>
            </w:tcBorders>
            <w:shd w:val="clear" w:color="auto" w:fill="auto"/>
            <w:noWrap/>
            <w:vAlign w:val="bottom"/>
            <w:hideMark/>
          </w:tcPr>
          <w:p w14:paraId="6698C820" w14:textId="77777777" w:rsidR="00BE4F08" w:rsidRPr="00392D14" w:rsidRDefault="00BE4F08" w:rsidP="00BE4F08">
            <w:pPr>
              <w:rPr>
                <w:rFonts w:ascii="Calibri" w:hAnsi="Calibri" w:cs="Calibri"/>
                <w:color w:val="000000"/>
              </w:rPr>
            </w:pPr>
            <w:r w:rsidRPr="00392D14">
              <w:rPr>
                <w:rFonts w:ascii="Calibri" w:hAnsi="Calibri" w:cs="Calibri"/>
                <w:color w:val="000000"/>
              </w:rPr>
              <w:t>rs150617279</w:t>
            </w:r>
          </w:p>
        </w:tc>
        <w:tc>
          <w:tcPr>
            <w:tcW w:w="1400" w:type="dxa"/>
            <w:tcBorders>
              <w:top w:val="nil"/>
              <w:left w:val="nil"/>
              <w:bottom w:val="nil"/>
              <w:right w:val="nil"/>
            </w:tcBorders>
            <w:shd w:val="clear" w:color="auto" w:fill="auto"/>
            <w:noWrap/>
            <w:vAlign w:val="bottom"/>
            <w:hideMark/>
          </w:tcPr>
          <w:p w14:paraId="0E425EED" w14:textId="77777777" w:rsidR="00BE4F08" w:rsidRPr="00392D14" w:rsidRDefault="00BE4F08" w:rsidP="00BE4F08">
            <w:pPr>
              <w:jc w:val="center"/>
              <w:rPr>
                <w:rFonts w:ascii="Calibri" w:hAnsi="Calibri" w:cs="Calibri"/>
                <w:color w:val="000000"/>
              </w:rPr>
            </w:pPr>
            <w:r w:rsidRPr="00392D14">
              <w:rPr>
                <w:rFonts w:ascii="Calibri" w:hAnsi="Calibri" w:cs="Calibri"/>
                <w:color w:val="000000"/>
              </w:rPr>
              <w:t>0.11</w:t>
            </w:r>
          </w:p>
        </w:tc>
        <w:tc>
          <w:tcPr>
            <w:tcW w:w="1146" w:type="dxa"/>
            <w:tcBorders>
              <w:top w:val="nil"/>
              <w:left w:val="nil"/>
              <w:bottom w:val="nil"/>
              <w:right w:val="nil"/>
            </w:tcBorders>
            <w:shd w:val="clear" w:color="auto" w:fill="auto"/>
            <w:noWrap/>
            <w:vAlign w:val="bottom"/>
            <w:hideMark/>
          </w:tcPr>
          <w:p w14:paraId="234061C5" w14:textId="77777777" w:rsidR="00BE4F08" w:rsidRPr="00392D14" w:rsidRDefault="00BE4F08" w:rsidP="00BE4F08">
            <w:pPr>
              <w:jc w:val="center"/>
              <w:rPr>
                <w:rFonts w:ascii="Calibri" w:hAnsi="Calibri" w:cs="Calibri"/>
                <w:color w:val="000000"/>
              </w:rPr>
            </w:pPr>
            <w:r w:rsidRPr="00392D14">
              <w:rPr>
                <w:rFonts w:ascii="Calibri" w:hAnsi="Calibri" w:cs="Calibri"/>
                <w:color w:val="000000"/>
              </w:rPr>
              <w:t>-0.121</w:t>
            </w:r>
          </w:p>
        </w:tc>
        <w:tc>
          <w:tcPr>
            <w:tcW w:w="1348" w:type="dxa"/>
            <w:tcBorders>
              <w:top w:val="nil"/>
              <w:left w:val="nil"/>
              <w:bottom w:val="nil"/>
              <w:right w:val="nil"/>
            </w:tcBorders>
            <w:shd w:val="clear" w:color="auto" w:fill="auto"/>
            <w:noWrap/>
            <w:vAlign w:val="bottom"/>
            <w:hideMark/>
          </w:tcPr>
          <w:p w14:paraId="77F39AD4" w14:textId="77777777" w:rsidR="00BE4F08" w:rsidRPr="00392D14" w:rsidRDefault="00BE4F08" w:rsidP="00BE4F08">
            <w:pPr>
              <w:jc w:val="center"/>
              <w:rPr>
                <w:rFonts w:ascii="Calibri" w:hAnsi="Calibri" w:cs="Calibri"/>
                <w:color w:val="000000"/>
              </w:rPr>
            </w:pPr>
            <w:r w:rsidRPr="00392D14">
              <w:rPr>
                <w:rFonts w:ascii="Calibri" w:hAnsi="Calibri" w:cs="Calibri"/>
                <w:color w:val="000000"/>
              </w:rPr>
              <w:t>4.3e-02</w:t>
            </w:r>
          </w:p>
        </w:tc>
        <w:tc>
          <w:tcPr>
            <w:tcW w:w="105" w:type="dxa"/>
            <w:tcBorders>
              <w:top w:val="nil"/>
              <w:left w:val="nil"/>
              <w:bottom w:val="nil"/>
              <w:right w:val="nil"/>
            </w:tcBorders>
            <w:shd w:val="clear" w:color="auto" w:fill="auto"/>
            <w:noWrap/>
            <w:vAlign w:val="bottom"/>
            <w:hideMark/>
          </w:tcPr>
          <w:p w14:paraId="5787B62B" w14:textId="77777777" w:rsidR="00BE4F08" w:rsidRPr="00392D14" w:rsidRDefault="00BE4F08" w:rsidP="00BE4F08">
            <w:pPr>
              <w:jc w:val="center"/>
              <w:rPr>
                <w:rFonts w:ascii="Calibri" w:hAnsi="Calibri" w:cs="Calibri"/>
                <w:color w:val="000000"/>
              </w:rPr>
            </w:pPr>
          </w:p>
        </w:tc>
        <w:tc>
          <w:tcPr>
            <w:tcW w:w="1697" w:type="dxa"/>
            <w:tcBorders>
              <w:top w:val="nil"/>
              <w:left w:val="nil"/>
              <w:bottom w:val="nil"/>
              <w:right w:val="nil"/>
            </w:tcBorders>
            <w:shd w:val="clear" w:color="auto" w:fill="auto"/>
            <w:noWrap/>
            <w:vAlign w:val="bottom"/>
            <w:hideMark/>
          </w:tcPr>
          <w:p w14:paraId="0C6472E8" w14:textId="77777777" w:rsidR="00BE4F08" w:rsidRPr="00392D14" w:rsidRDefault="00BE4F08" w:rsidP="00BE4F08">
            <w:pPr>
              <w:jc w:val="center"/>
              <w:rPr>
                <w:rFonts w:ascii="Calibri" w:hAnsi="Calibri" w:cs="Calibri"/>
                <w:color w:val="000000"/>
              </w:rPr>
            </w:pPr>
            <w:r w:rsidRPr="00392D14">
              <w:rPr>
                <w:rFonts w:ascii="Calibri" w:hAnsi="Calibri" w:cs="Calibri"/>
                <w:color w:val="000000"/>
              </w:rPr>
              <w:t>1.7e-03</w:t>
            </w:r>
          </w:p>
        </w:tc>
        <w:tc>
          <w:tcPr>
            <w:tcW w:w="865" w:type="dxa"/>
            <w:tcBorders>
              <w:top w:val="nil"/>
              <w:left w:val="nil"/>
              <w:bottom w:val="nil"/>
              <w:right w:val="nil"/>
            </w:tcBorders>
            <w:shd w:val="clear" w:color="auto" w:fill="auto"/>
            <w:noWrap/>
            <w:vAlign w:val="bottom"/>
            <w:hideMark/>
          </w:tcPr>
          <w:p w14:paraId="0498D53F" w14:textId="77777777" w:rsidR="00BE4F08" w:rsidRPr="00392D14" w:rsidRDefault="00BE4F08" w:rsidP="00BE4F08">
            <w:pPr>
              <w:jc w:val="center"/>
              <w:rPr>
                <w:rFonts w:ascii="Calibri" w:hAnsi="Calibri" w:cs="Calibri"/>
                <w:color w:val="000000"/>
              </w:rPr>
            </w:pPr>
            <w:r w:rsidRPr="00392D14">
              <w:rPr>
                <w:rFonts w:ascii="Calibri" w:hAnsi="Calibri" w:cs="Calibri"/>
                <w:color w:val="000000"/>
              </w:rPr>
              <w:t>0.66</w:t>
            </w:r>
          </w:p>
        </w:tc>
        <w:tc>
          <w:tcPr>
            <w:tcW w:w="111" w:type="dxa"/>
            <w:tcBorders>
              <w:top w:val="nil"/>
              <w:left w:val="nil"/>
              <w:bottom w:val="nil"/>
              <w:right w:val="nil"/>
            </w:tcBorders>
            <w:shd w:val="clear" w:color="auto" w:fill="auto"/>
            <w:noWrap/>
            <w:vAlign w:val="bottom"/>
            <w:hideMark/>
          </w:tcPr>
          <w:p w14:paraId="763996BE" w14:textId="77777777" w:rsidR="00BE4F08" w:rsidRPr="00392D14" w:rsidRDefault="00BE4F08" w:rsidP="00BE4F08">
            <w:pPr>
              <w:jc w:val="center"/>
              <w:rPr>
                <w:rFonts w:ascii="Calibri" w:hAnsi="Calibri" w:cs="Calibri"/>
                <w:color w:val="000000"/>
              </w:rPr>
            </w:pPr>
          </w:p>
        </w:tc>
        <w:tc>
          <w:tcPr>
            <w:tcW w:w="1696" w:type="dxa"/>
            <w:tcBorders>
              <w:top w:val="nil"/>
              <w:left w:val="nil"/>
              <w:bottom w:val="nil"/>
              <w:right w:val="nil"/>
            </w:tcBorders>
            <w:shd w:val="clear" w:color="auto" w:fill="auto"/>
            <w:noWrap/>
            <w:vAlign w:val="bottom"/>
            <w:hideMark/>
          </w:tcPr>
          <w:p w14:paraId="1A58F475" w14:textId="77777777" w:rsidR="00BE4F08" w:rsidRPr="00392D14" w:rsidRDefault="00BE4F08" w:rsidP="00BE4F08">
            <w:pPr>
              <w:jc w:val="center"/>
              <w:rPr>
                <w:rFonts w:ascii="Calibri" w:hAnsi="Calibri" w:cs="Calibri"/>
                <w:color w:val="000000"/>
              </w:rPr>
            </w:pPr>
            <w:r w:rsidRPr="00392D14">
              <w:rPr>
                <w:rFonts w:ascii="Calibri" w:hAnsi="Calibri" w:cs="Calibri"/>
                <w:color w:val="000000"/>
              </w:rPr>
              <w:t>4.3e-04</w:t>
            </w:r>
          </w:p>
        </w:tc>
        <w:tc>
          <w:tcPr>
            <w:tcW w:w="865" w:type="dxa"/>
            <w:tcBorders>
              <w:top w:val="nil"/>
              <w:left w:val="nil"/>
              <w:bottom w:val="nil"/>
              <w:right w:val="nil"/>
            </w:tcBorders>
            <w:shd w:val="clear" w:color="auto" w:fill="auto"/>
            <w:noWrap/>
            <w:vAlign w:val="bottom"/>
            <w:hideMark/>
          </w:tcPr>
          <w:p w14:paraId="61A6E2AD" w14:textId="77777777" w:rsidR="00BE4F08" w:rsidRPr="00392D14" w:rsidRDefault="00BE4F08" w:rsidP="00BE4F08">
            <w:pPr>
              <w:jc w:val="center"/>
              <w:rPr>
                <w:rFonts w:ascii="Calibri" w:hAnsi="Calibri" w:cs="Calibri"/>
                <w:color w:val="000000"/>
              </w:rPr>
            </w:pPr>
            <w:r w:rsidRPr="00392D14">
              <w:rPr>
                <w:rFonts w:ascii="Calibri" w:hAnsi="Calibri" w:cs="Calibri"/>
                <w:color w:val="000000"/>
              </w:rPr>
              <w:t>0.22</w:t>
            </w:r>
          </w:p>
        </w:tc>
        <w:tc>
          <w:tcPr>
            <w:tcW w:w="105" w:type="dxa"/>
            <w:tcBorders>
              <w:top w:val="nil"/>
              <w:left w:val="nil"/>
              <w:bottom w:val="nil"/>
              <w:right w:val="nil"/>
            </w:tcBorders>
            <w:shd w:val="clear" w:color="auto" w:fill="auto"/>
            <w:noWrap/>
            <w:vAlign w:val="bottom"/>
            <w:hideMark/>
          </w:tcPr>
          <w:p w14:paraId="5A52ED33" w14:textId="77777777" w:rsidR="00BE4F08" w:rsidRPr="00392D14" w:rsidRDefault="00BE4F08" w:rsidP="00BE4F08">
            <w:pPr>
              <w:jc w:val="center"/>
              <w:rPr>
                <w:rFonts w:ascii="Calibri" w:hAnsi="Calibri" w:cs="Calibri"/>
                <w:color w:val="000000"/>
              </w:rPr>
            </w:pPr>
          </w:p>
        </w:tc>
        <w:tc>
          <w:tcPr>
            <w:tcW w:w="1276" w:type="dxa"/>
            <w:tcBorders>
              <w:top w:val="nil"/>
              <w:left w:val="nil"/>
              <w:bottom w:val="nil"/>
              <w:right w:val="nil"/>
            </w:tcBorders>
            <w:shd w:val="clear" w:color="auto" w:fill="auto"/>
            <w:noWrap/>
            <w:vAlign w:val="bottom"/>
            <w:hideMark/>
          </w:tcPr>
          <w:p w14:paraId="3A629C03" w14:textId="77777777" w:rsidR="00BE4F08" w:rsidRPr="00392D14" w:rsidRDefault="00BE4F08" w:rsidP="00BE4F08">
            <w:pPr>
              <w:jc w:val="center"/>
              <w:rPr>
                <w:rFonts w:ascii="Calibri" w:hAnsi="Calibri" w:cs="Calibri"/>
                <w:color w:val="000000"/>
              </w:rPr>
            </w:pPr>
            <w:r w:rsidRPr="00392D14">
              <w:rPr>
                <w:rFonts w:ascii="Calibri" w:hAnsi="Calibri" w:cs="Calibri"/>
                <w:color w:val="000000"/>
              </w:rPr>
              <w:t>-0.021</w:t>
            </w:r>
          </w:p>
        </w:tc>
        <w:tc>
          <w:tcPr>
            <w:tcW w:w="955" w:type="dxa"/>
            <w:tcBorders>
              <w:top w:val="nil"/>
              <w:left w:val="nil"/>
              <w:bottom w:val="nil"/>
              <w:right w:val="nil"/>
            </w:tcBorders>
            <w:shd w:val="clear" w:color="auto" w:fill="auto"/>
            <w:noWrap/>
            <w:vAlign w:val="bottom"/>
            <w:hideMark/>
          </w:tcPr>
          <w:p w14:paraId="7407FACD" w14:textId="77777777" w:rsidR="00BE4F08" w:rsidRPr="00392D14" w:rsidRDefault="00BE4F08" w:rsidP="00BE4F08">
            <w:pPr>
              <w:jc w:val="center"/>
              <w:rPr>
                <w:rFonts w:ascii="Calibri" w:hAnsi="Calibri" w:cs="Calibri"/>
                <w:color w:val="000000"/>
              </w:rPr>
            </w:pPr>
            <w:r w:rsidRPr="00392D14">
              <w:rPr>
                <w:rFonts w:ascii="Calibri" w:hAnsi="Calibri" w:cs="Calibri"/>
                <w:color w:val="000000"/>
              </w:rPr>
              <w:t>0.037</w:t>
            </w:r>
          </w:p>
        </w:tc>
      </w:tr>
      <w:tr w:rsidR="00BE4F08" w:rsidRPr="00392D14" w14:paraId="4B32E258" w14:textId="77777777" w:rsidTr="00BE4F08">
        <w:trPr>
          <w:trHeight w:val="340"/>
        </w:trPr>
        <w:tc>
          <w:tcPr>
            <w:tcW w:w="1614" w:type="dxa"/>
            <w:tcBorders>
              <w:top w:val="nil"/>
              <w:left w:val="nil"/>
              <w:bottom w:val="nil"/>
              <w:right w:val="nil"/>
            </w:tcBorders>
            <w:shd w:val="clear" w:color="auto" w:fill="auto"/>
            <w:noWrap/>
            <w:vAlign w:val="bottom"/>
            <w:hideMark/>
          </w:tcPr>
          <w:p w14:paraId="77510D14" w14:textId="77777777" w:rsidR="00BE4F08" w:rsidRPr="00392D14" w:rsidRDefault="00BE4F08" w:rsidP="00BE4F08">
            <w:pPr>
              <w:rPr>
                <w:rFonts w:ascii="Calibri" w:hAnsi="Calibri" w:cs="Calibri"/>
                <w:color w:val="BFBFBF"/>
              </w:rPr>
            </w:pPr>
            <w:r w:rsidRPr="00392D14">
              <w:rPr>
                <w:rFonts w:ascii="Calibri" w:hAnsi="Calibri" w:cs="Calibri"/>
                <w:color w:val="BFBFBF"/>
              </w:rPr>
              <w:t>rs174546</w:t>
            </w:r>
          </w:p>
        </w:tc>
        <w:tc>
          <w:tcPr>
            <w:tcW w:w="1400" w:type="dxa"/>
            <w:tcBorders>
              <w:top w:val="nil"/>
              <w:left w:val="nil"/>
              <w:bottom w:val="nil"/>
              <w:right w:val="nil"/>
            </w:tcBorders>
            <w:shd w:val="clear" w:color="auto" w:fill="auto"/>
            <w:noWrap/>
            <w:vAlign w:val="bottom"/>
            <w:hideMark/>
          </w:tcPr>
          <w:p w14:paraId="7B6FBD43" w14:textId="77777777" w:rsidR="00BE4F08" w:rsidRPr="00392D14" w:rsidRDefault="00BE4F08" w:rsidP="00BE4F08">
            <w:pPr>
              <w:jc w:val="center"/>
              <w:rPr>
                <w:rFonts w:ascii="Calibri" w:hAnsi="Calibri" w:cs="Calibri"/>
                <w:color w:val="BFBFBF"/>
              </w:rPr>
            </w:pPr>
            <w:r w:rsidRPr="00392D14">
              <w:rPr>
                <w:rFonts w:ascii="Calibri" w:hAnsi="Calibri" w:cs="Calibri"/>
                <w:color w:val="BFBFBF"/>
              </w:rPr>
              <w:t>0.40</w:t>
            </w:r>
          </w:p>
        </w:tc>
        <w:tc>
          <w:tcPr>
            <w:tcW w:w="1146" w:type="dxa"/>
            <w:tcBorders>
              <w:top w:val="nil"/>
              <w:left w:val="nil"/>
              <w:bottom w:val="nil"/>
              <w:right w:val="nil"/>
            </w:tcBorders>
            <w:shd w:val="clear" w:color="auto" w:fill="auto"/>
            <w:noWrap/>
            <w:vAlign w:val="bottom"/>
            <w:hideMark/>
          </w:tcPr>
          <w:p w14:paraId="08BC9D11" w14:textId="77777777" w:rsidR="00BE4F08" w:rsidRPr="00392D14" w:rsidRDefault="00BE4F08" w:rsidP="00BE4F08">
            <w:pPr>
              <w:jc w:val="center"/>
              <w:rPr>
                <w:rFonts w:ascii="Calibri" w:hAnsi="Calibri" w:cs="Calibri"/>
                <w:color w:val="BFBFBF"/>
              </w:rPr>
            </w:pPr>
            <w:r w:rsidRPr="00392D14">
              <w:rPr>
                <w:rFonts w:ascii="Calibri" w:hAnsi="Calibri" w:cs="Calibri"/>
                <w:color w:val="BFBFBF"/>
              </w:rPr>
              <w:t>-0.154</w:t>
            </w:r>
          </w:p>
        </w:tc>
        <w:tc>
          <w:tcPr>
            <w:tcW w:w="1348" w:type="dxa"/>
            <w:tcBorders>
              <w:top w:val="nil"/>
              <w:left w:val="nil"/>
              <w:bottom w:val="nil"/>
              <w:right w:val="nil"/>
            </w:tcBorders>
            <w:shd w:val="clear" w:color="auto" w:fill="auto"/>
            <w:noWrap/>
            <w:vAlign w:val="bottom"/>
            <w:hideMark/>
          </w:tcPr>
          <w:p w14:paraId="46E2540A" w14:textId="77777777" w:rsidR="00BE4F08" w:rsidRPr="00392D14" w:rsidRDefault="00BE4F08" w:rsidP="00BE4F08">
            <w:pPr>
              <w:jc w:val="center"/>
              <w:rPr>
                <w:rFonts w:ascii="Calibri" w:hAnsi="Calibri" w:cs="Calibri"/>
                <w:color w:val="BFBFBF"/>
              </w:rPr>
            </w:pPr>
            <w:r w:rsidRPr="00392D14">
              <w:rPr>
                <w:rFonts w:ascii="Calibri" w:hAnsi="Calibri" w:cs="Calibri"/>
                <w:color w:val="BFBFBF"/>
              </w:rPr>
              <w:t>1.9e-01</w:t>
            </w:r>
          </w:p>
        </w:tc>
        <w:tc>
          <w:tcPr>
            <w:tcW w:w="105" w:type="dxa"/>
            <w:tcBorders>
              <w:top w:val="nil"/>
              <w:left w:val="nil"/>
              <w:bottom w:val="nil"/>
              <w:right w:val="nil"/>
            </w:tcBorders>
            <w:shd w:val="clear" w:color="auto" w:fill="auto"/>
            <w:noWrap/>
            <w:vAlign w:val="bottom"/>
            <w:hideMark/>
          </w:tcPr>
          <w:p w14:paraId="73BEECAE" w14:textId="77777777" w:rsidR="00BE4F08" w:rsidRPr="00392D14" w:rsidRDefault="00BE4F08" w:rsidP="00BE4F08">
            <w:pPr>
              <w:jc w:val="center"/>
              <w:rPr>
                <w:rFonts w:ascii="Calibri" w:hAnsi="Calibri" w:cs="Calibri"/>
                <w:color w:val="BFBFBF"/>
              </w:rPr>
            </w:pPr>
          </w:p>
        </w:tc>
        <w:tc>
          <w:tcPr>
            <w:tcW w:w="1697" w:type="dxa"/>
            <w:tcBorders>
              <w:top w:val="nil"/>
              <w:left w:val="nil"/>
              <w:bottom w:val="nil"/>
              <w:right w:val="nil"/>
            </w:tcBorders>
            <w:shd w:val="clear" w:color="auto" w:fill="auto"/>
            <w:noWrap/>
            <w:vAlign w:val="bottom"/>
            <w:hideMark/>
          </w:tcPr>
          <w:p w14:paraId="7E8AC25F" w14:textId="77777777" w:rsidR="00BE4F08" w:rsidRPr="00392D14" w:rsidRDefault="00BE4F08" w:rsidP="00BE4F08">
            <w:pPr>
              <w:jc w:val="center"/>
              <w:rPr>
                <w:rFonts w:ascii="Calibri" w:hAnsi="Calibri" w:cs="Calibri"/>
                <w:color w:val="BFBFBF"/>
              </w:rPr>
            </w:pPr>
            <w:r w:rsidRPr="00392D14">
              <w:rPr>
                <w:rFonts w:ascii="Calibri" w:hAnsi="Calibri" w:cs="Calibri"/>
                <w:color w:val="BFBFBF"/>
              </w:rPr>
              <w:t>7.7e-03</w:t>
            </w:r>
          </w:p>
        </w:tc>
        <w:tc>
          <w:tcPr>
            <w:tcW w:w="865" w:type="dxa"/>
            <w:tcBorders>
              <w:top w:val="nil"/>
              <w:left w:val="nil"/>
              <w:bottom w:val="nil"/>
              <w:right w:val="nil"/>
            </w:tcBorders>
            <w:shd w:val="clear" w:color="auto" w:fill="auto"/>
            <w:noWrap/>
            <w:vAlign w:val="bottom"/>
            <w:hideMark/>
          </w:tcPr>
          <w:p w14:paraId="2C4FBDC2" w14:textId="77777777" w:rsidR="00BE4F08" w:rsidRPr="00392D14" w:rsidRDefault="00BE4F08" w:rsidP="00BE4F08">
            <w:pPr>
              <w:jc w:val="center"/>
              <w:rPr>
                <w:rFonts w:ascii="Calibri" w:hAnsi="Calibri" w:cs="Calibri"/>
                <w:color w:val="BFBFBF"/>
              </w:rPr>
            </w:pPr>
            <w:r w:rsidRPr="00392D14">
              <w:rPr>
                <w:rFonts w:ascii="Calibri" w:hAnsi="Calibri" w:cs="Calibri"/>
                <w:color w:val="BFBFBF"/>
              </w:rPr>
              <w:t>1.00</w:t>
            </w:r>
          </w:p>
        </w:tc>
        <w:tc>
          <w:tcPr>
            <w:tcW w:w="111" w:type="dxa"/>
            <w:tcBorders>
              <w:top w:val="nil"/>
              <w:left w:val="nil"/>
              <w:bottom w:val="nil"/>
              <w:right w:val="nil"/>
            </w:tcBorders>
            <w:shd w:val="clear" w:color="auto" w:fill="auto"/>
            <w:noWrap/>
            <w:vAlign w:val="bottom"/>
            <w:hideMark/>
          </w:tcPr>
          <w:p w14:paraId="0A2F9013" w14:textId="77777777" w:rsidR="00BE4F08" w:rsidRPr="00392D14" w:rsidRDefault="00BE4F08" w:rsidP="00BE4F08">
            <w:pPr>
              <w:jc w:val="center"/>
              <w:rPr>
                <w:rFonts w:ascii="Calibri" w:hAnsi="Calibri" w:cs="Calibri"/>
                <w:color w:val="BFBFBF"/>
              </w:rPr>
            </w:pPr>
          </w:p>
        </w:tc>
        <w:tc>
          <w:tcPr>
            <w:tcW w:w="1696" w:type="dxa"/>
            <w:tcBorders>
              <w:top w:val="nil"/>
              <w:left w:val="nil"/>
              <w:bottom w:val="nil"/>
              <w:right w:val="nil"/>
            </w:tcBorders>
            <w:shd w:val="clear" w:color="auto" w:fill="auto"/>
            <w:noWrap/>
            <w:vAlign w:val="bottom"/>
            <w:hideMark/>
          </w:tcPr>
          <w:p w14:paraId="5DB6DF26" w14:textId="77777777" w:rsidR="00BE4F08" w:rsidRPr="00392D14" w:rsidRDefault="00BE4F08" w:rsidP="00BE4F08">
            <w:pPr>
              <w:jc w:val="center"/>
              <w:rPr>
                <w:rFonts w:ascii="Calibri" w:hAnsi="Calibri" w:cs="Calibri"/>
                <w:color w:val="BFBFBF"/>
              </w:rPr>
            </w:pPr>
            <w:r w:rsidRPr="00392D14">
              <w:rPr>
                <w:rFonts w:ascii="Calibri" w:hAnsi="Calibri" w:cs="Calibri"/>
                <w:color w:val="BFBFBF"/>
              </w:rPr>
              <w:t>1.9e-03</w:t>
            </w:r>
          </w:p>
        </w:tc>
        <w:tc>
          <w:tcPr>
            <w:tcW w:w="865" w:type="dxa"/>
            <w:tcBorders>
              <w:top w:val="nil"/>
              <w:left w:val="nil"/>
              <w:bottom w:val="nil"/>
              <w:right w:val="nil"/>
            </w:tcBorders>
            <w:shd w:val="clear" w:color="auto" w:fill="auto"/>
            <w:noWrap/>
            <w:vAlign w:val="bottom"/>
            <w:hideMark/>
          </w:tcPr>
          <w:p w14:paraId="4B9BA220" w14:textId="77777777" w:rsidR="00BE4F08" w:rsidRPr="00392D14" w:rsidRDefault="00BE4F08" w:rsidP="00BE4F08">
            <w:pPr>
              <w:jc w:val="center"/>
              <w:rPr>
                <w:rFonts w:ascii="Calibri" w:hAnsi="Calibri" w:cs="Calibri"/>
                <w:color w:val="BFBFBF"/>
              </w:rPr>
            </w:pPr>
            <w:r w:rsidRPr="00392D14">
              <w:rPr>
                <w:rFonts w:ascii="Calibri" w:hAnsi="Calibri" w:cs="Calibri"/>
                <w:color w:val="BFBFBF"/>
              </w:rPr>
              <w:t>0.71</w:t>
            </w:r>
          </w:p>
        </w:tc>
        <w:tc>
          <w:tcPr>
            <w:tcW w:w="105" w:type="dxa"/>
            <w:tcBorders>
              <w:top w:val="nil"/>
              <w:left w:val="nil"/>
              <w:bottom w:val="nil"/>
              <w:right w:val="nil"/>
            </w:tcBorders>
            <w:shd w:val="clear" w:color="auto" w:fill="auto"/>
            <w:noWrap/>
            <w:vAlign w:val="bottom"/>
            <w:hideMark/>
          </w:tcPr>
          <w:p w14:paraId="2CA77FFD" w14:textId="77777777" w:rsidR="00BE4F08" w:rsidRPr="00392D14" w:rsidRDefault="00BE4F08" w:rsidP="00BE4F08">
            <w:pPr>
              <w:jc w:val="center"/>
              <w:rPr>
                <w:rFonts w:ascii="Calibri" w:hAnsi="Calibri" w:cs="Calibri"/>
                <w:color w:val="BFBFBF"/>
              </w:rPr>
            </w:pPr>
          </w:p>
        </w:tc>
        <w:tc>
          <w:tcPr>
            <w:tcW w:w="1276" w:type="dxa"/>
            <w:tcBorders>
              <w:top w:val="nil"/>
              <w:left w:val="nil"/>
              <w:bottom w:val="nil"/>
              <w:right w:val="nil"/>
            </w:tcBorders>
            <w:shd w:val="clear" w:color="auto" w:fill="auto"/>
            <w:noWrap/>
            <w:vAlign w:val="bottom"/>
            <w:hideMark/>
          </w:tcPr>
          <w:p w14:paraId="30E5E900" w14:textId="77777777" w:rsidR="00BE4F08" w:rsidRPr="00392D14" w:rsidRDefault="00BE4F08" w:rsidP="00BE4F08">
            <w:pPr>
              <w:jc w:val="center"/>
              <w:rPr>
                <w:rFonts w:ascii="Calibri" w:hAnsi="Calibri" w:cs="Calibri"/>
                <w:color w:val="BFBFBF"/>
              </w:rPr>
            </w:pPr>
            <w:r w:rsidRPr="00392D14">
              <w:rPr>
                <w:rFonts w:ascii="Calibri" w:hAnsi="Calibri" w:cs="Calibri"/>
                <w:color w:val="BFBFBF"/>
              </w:rPr>
              <w:t xml:space="preserve"> 0.023</w:t>
            </w:r>
          </w:p>
        </w:tc>
        <w:tc>
          <w:tcPr>
            <w:tcW w:w="955" w:type="dxa"/>
            <w:tcBorders>
              <w:top w:val="nil"/>
              <w:left w:val="nil"/>
              <w:bottom w:val="nil"/>
              <w:right w:val="nil"/>
            </w:tcBorders>
            <w:shd w:val="clear" w:color="auto" w:fill="auto"/>
            <w:noWrap/>
            <w:vAlign w:val="bottom"/>
            <w:hideMark/>
          </w:tcPr>
          <w:p w14:paraId="7F28618A" w14:textId="77777777" w:rsidR="00BE4F08" w:rsidRPr="00392D14" w:rsidRDefault="00BE4F08" w:rsidP="00BE4F08">
            <w:pPr>
              <w:jc w:val="center"/>
              <w:rPr>
                <w:rFonts w:ascii="Calibri" w:hAnsi="Calibri" w:cs="Calibri"/>
                <w:color w:val="BFBFBF"/>
              </w:rPr>
            </w:pPr>
            <w:r w:rsidRPr="00392D14">
              <w:rPr>
                <w:rFonts w:ascii="Calibri" w:hAnsi="Calibri" w:cs="Calibri"/>
                <w:color w:val="BFBFBF"/>
              </w:rPr>
              <w:t>7.3e-6</w:t>
            </w:r>
          </w:p>
        </w:tc>
      </w:tr>
      <w:tr w:rsidR="00BE4F08" w:rsidRPr="00392D14" w14:paraId="63FC099A" w14:textId="77777777" w:rsidTr="00BE4F08">
        <w:trPr>
          <w:trHeight w:val="340"/>
        </w:trPr>
        <w:tc>
          <w:tcPr>
            <w:tcW w:w="1614" w:type="dxa"/>
            <w:tcBorders>
              <w:top w:val="nil"/>
              <w:left w:val="nil"/>
              <w:bottom w:val="single" w:sz="4" w:space="0" w:color="auto"/>
              <w:right w:val="nil"/>
            </w:tcBorders>
            <w:shd w:val="clear" w:color="auto" w:fill="auto"/>
            <w:noWrap/>
            <w:vAlign w:val="bottom"/>
            <w:hideMark/>
          </w:tcPr>
          <w:p w14:paraId="7A222381" w14:textId="77777777" w:rsidR="00BE4F08" w:rsidRPr="00392D14" w:rsidRDefault="00BE4F08" w:rsidP="00BE4F08">
            <w:pPr>
              <w:rPr>
                <w:rFonts w:ascii="Calibri" w:hAnsi="Calibri" w:cs="Calibri"/>
                <w:color w:val="000000"/>
              </w:rPr>
            </w:pPr>
            <w:r w:rsidRPr="00392D14">
              <w:rPr>
                <w:rFonts w:ascii="Calibri" w:hAnsi="Calibri" w:cs="Calibri"/>
                <w:color w:val="000000"/>
              </w:rPr>
              <w:t>rs183688424</w:t>
            </w:r>
          </w:p>
        </w:tc>
        <w:tc>
          <w:tcPr>
            <w:tcW w:w="1400" w:type="dxa"/>
            <w:tcBorders>
              <w:top w:val="nil"/>
              <w:left w:val="nil"/>
              <w:bottom w:val="single" w:sz="4" w:space="0" w:color="auto"/>
              <w:right w:val="nil"/>
            </w:tcBorders>
            <w:shd w:val="clear" w:color="auto" w:fill="auto"/>
            <w:noWrap/>
            <w:vAlign w:val="bottom"/>
            <w:hideMark/>
          </w:tcPr>
          <w:p w14:paraId="0AB90E64" w14:textId="77777777" w:rsidR="00BE4F08" w:rsidRPr="00392D14" w:rsidRDefault="00BE4F08" w:rsidP="00BE4F08">
            <w:pPr>
              <w:jc w:val="center"/>
              <w:rPr>
                <w:rFonts w:ascii="Calibri" w:hAnsi="Calibri" w:cs="Calibri"/>
                <w:color w:val="000000"/>
              </w:rPr>
            </w:pPr>
            <w:r w:rsidRPr="00392D14">
              <w:rPr>
                <w:rFonts w:ascii="Calibri" w:hAnsi="Calibri" w:cs="Calibri"/>
                <w:color w:val="000000"/>
              </w:rPr>
              <w:t>0.03</w:t>
            </w:r>
          </w:p>
        </w:tc>
        <w:tc>
          <w:tcPr>
            <w:tcW w:w="1146" w:type="dxa"/>
            <w:tcBorders>
              <w:top w:val="nil"/>
              <w:left w:val="nil"/>
              <w:bottom w:val="single" w:sz="4" w:space="0" w:color="auto"/>
              <w:right w:val="nil"/>
            </w:tcBorders>
            <w:shd w:val="clear" w:color="auto" w:fill="auto"/>
            <w:noWrap/>
            <w:vAlign w:val="bottom"/>
            <w:hideMark/>
          </w:tcPr>
          <w:p w14:paraId="7869D5FC" w14:textId="77777777" w:rsidR="00BE4F08" w:rsidRPr="00392D14" w:rsidRDefault="00BE4F08" w:rsidP="00BE4F08">
            <w:pPr>
              <w:jc w:val="center"/>
              <w:rPr>
                <w:rFonts w:ascii="Calibri" w:hAnsi="Calibri" w:cs="Calibri"/>
                <w:color w:val="000000"/>
              </w:rPr>
            </w:pPr>
            <w:r w:rsidRPr="00392D14">
              <w:rPr>
                <w:rFonts w:ascii="Calibri" w:hAnsi="Calibri" w:cs="Calibri"/>
                <w:color w:val="000000"/>
              </w:rPr>
              <w:t>-0.159</w:t>
            </w:r>
          </w:p>
        </w:tc>
        <w:tc>
          <w:tcPr>
            <w:tcW w:w="1348" w:type="dxa"/>
            <w:tcBorders>
              <w:top w:val="nil"/>
              <w:left w:val="nil"/>
              <w:bottom w:val="single" w:sz="4" w:space="0" w:color="auto"/>
              <w:right w:val="nil"/>
            </w:tcBorders>
            <w:shd w:val="clear" w:color="auto" w:fill="auto"/>
            <w:noWrap/>
            <w:vAlign w:val="bottom"/>
            <w:hideMark/>
          </w:tcPr>
          <w:p w14:paraId="0F432594" w14:textId="77777777" w:rsidR="00BE4F08" w:rsidRPr="00392D14" w:rsidRDefault="00BE4F08" w:rsidP="00BE4F08">
            <w:pPr>
              <w:jc w:val="center"/>
              <w:rPr>
                <w:rFonts w:ascii="Calibri" w:hAnsi="Calibri" w:cs="Calibri"/>
                <w:color w:val="000000"/>
              </w:rPr>
            </w:pPr>
            <w:r w:rsidRPr="00392D14">
              <w:rPr>
                <w:rFonts w:ascii="Calibri" w:hAnsi="Calibri" w:cs="Calibri"/>
                <w:color w:val="000000"/>
              </w:rPr>
              <w:t>2.2e-02</w:t>
            </w:r>
          </w:p>
        </w:tc>
        <w:tc>
          <w:tcPr>
            <w:tcW w:w="105" w:type="dxa"/>
            <w:tcBorders>
              <w:top w:val="nil"/>
              <w:left w:val="nil"/>
              <w:bottom w:val="single" w:sz="4" w:space="0" w:color="auto"/>
              <w:right w:val="nil"/>
            </w:tcBorders>
            <w:shd w:val="clear" w:color="auto" w:fill="auto"/>
            <w:noWrap/>
            <w:vAlign w:val="bottom"/>
            <w:hideMark/>
          </w:tcPr>
          <w:p w14:paraId="1E054A27" w14:textId="77777777" w:rsidR="00BE4F08" w:rsidRPr="00392D14" w:rsidRDefault="00BE4F08" w:rsidP="00BE4F08">
            <w:pPr>
              <w:jc w:val="center"/>
              <w:rPr>
                <w:rFonts w:ascii="Calibri" w:hAnsi="Calibri" w:cs="Calibri"/>
                <w:color w:val="000000"/>
              </w:rPr>
            </w:pPr>
            <w:r w:rsidRPr="00392D14">
              <w:rPr>
                <w:rFonts w:ascii="Calibri" w:hAnsi="Calibri" w:cs="Calibri"/>
                <w:color w:val="000000"/>
              </w:rPr>
              <w:t> </w:t>
            </w:r>
          </w:p>
        </w:tc>
        <w:tc>
          <w:tcPr>
            <w:tcW w:w="1697" w:type="dxa"/>
            <w:tcBorders>
              <w:top w:val="nil"/>
              <w:left w:val="nil"/>
              <w:bottom w:val="single" w:sz="4" w:space="0" w:color="auto"/>
              <w:right w:val="nil"/>
            </w:tcBorders>
            <w:shd w:val="clear" w:color="auto" w:fill="auto"/>
            <w:noWrap/>
            <w:vAlign w:val="bottom"/>
            <w:hideMark/>
          </w:tcPr>
          <w:p w14:paraId="4BFA7429" w14:textId="77777777" w:rsidR="00BE4F08" w:rsidRPr="00392D14" w:rsidRDefault="00BE4F08" w:rsidP="00BE4F08">
            <w:pPr>
              <w:jc w:val="center"/>
              <w:rPr>
                <w:rFonts w:ascii="Calibri" w:hAnsi="Calibri" w:cs="Calibri"/>
                <w:color w:val="000000"/>
              </w:rPr>
            </w:pPr>
            <w:r w:rsidRPr="00392D14">
              <w:rPr>
                <w:rFonts w:ascii="Calibri" w:hAnsi="Calibri" w:cs="Calibri"/>
                <w:color w:val="000000"/>
              </w:rPr>
              <w:t>8.9e-04</w:t>
            </w:r>
          </w:p>
        </w:tc>
        <w:tc>
          <w:tcPr>
            <w:tcW w:w="865" w:type="dxa"/>
            <w:tcBorders>
              <w:top w:val="nil"/>
              <w:left w:val="nil"/>
              <w:bottom w:val="single" w:sz="4" w:space="0" w:color="auto"/>
              <w:right w:val="nil"/>
            </w:tcBorders>
            <w:shd w:val="clear" w:color="auto" w:fill="auto"/>
            <w:noWrap/>
            <w:vAlign w:val="bottom"/>
            <w:hideMark/>
          </w:tcPr>
          <w:p w14:paraId="6247395C" w14:textId="77777777" w:rsidR="00BE4F08" w:rsidRPr="00392D14" w:rsidRDefault="00BE4F08" w:rsidP="00BE4F08">
            <w:pPr>
              <w:jc w:val="center"/>
              <w:rPr>
                <w:rFonts w:ascii="Calibri" w:hAnsi="Calibri" w:cs="Calibri"/>
                <w:color w:val="000000"/>
              </w:rPr>
            </w:pPr>
            <w:r w:rsidRPr="00392D14">
              <w:rPr>
                <w:rFonts w:ascii="Calibri" w:hAnsi="Calibri" w:cs="Calibri"/>
                <w:color w:val="000000"/>
              </w:rPr>
              <w:t>0.40</w:t>
            </w:r>
          </w:p>
        </w:tc>
        <w:tc>
          <w:tcPr>
            <w:tcW w:w="111" w:type="dxa"/>
            <w:tcBorders>
              <w:top w:val="nil"/>
              <w:left w:val="nil"/>
              <w:bottom w:val="single" w:sz="4" w:space="0" w:color="auto"/>
              <w:right w:val="nil"/>
            </w:tcBorders>
            <w:shd w:val="clear" w:color="auto" w:fill="auto"/>
            <w:noWrap/>
            <w:vAlign w:val="bottom"/>
            <w:hideMark/>
          </w:tcPr>
          <w:p w14:paraId="617070E9" w14:textId="77777777" w:rsidR="00BE4F08" w:rsidRPr="00392D14" w:rsidRDefault="00BE4F08" w:rsidP="00BE4F08">
            <w:pPr>
              <w:jc w:val="center"/>
              <w:rPr>
                <w:rFonts w:ascii="Calibri" w:hAnsi="Calibri" w:cs="Calibri"/>
                <w:color w:val="000000"/>
              </w:rPr>
            </w:pPr>
            <w:r w:rsidRPr="00392D14">
              <w:rPr>
                <w:rFonts w:ascii="Calibri" w:hAnsi="Calibri" w:cs="Calibri"/>
                <w:color w:val="000000"/>
              </w:rPr>
              <w:t> </w:t>
            </w:r>
          </w:p>
        </w:tc>
        <w:tc>
          <w:tcPr>
            <w:tcW w:w="1696" w:type="dxa"/>
            <w:tcBorders>
              <w:top w:val="nil"/>
              <w:left w:val="nil"/>
              <w:bottom w:val="single" w:sz="4" w:space="0" w:color="auto"/>
              <w:right w:val="nil"/>
            </w:tcBorders>
            <w:shd w:val="clear" w:color="auto" w:fill="auto"/>
            <w:noWrap/>
            <w:vAlign w:val="bottom"/>
            <w:hideMark/>
          </w:tcPr>
          <w:p w14:paraId="31A88977" w14:textId="77777777" w:rsidR="00BE4F08" w:rsidRPr="00392D14" w:rsidRDefault="00BE4F08" w:rsidP="00BE4F08">
            <w:pPr>
              <w:jc w:val="center"/>
              <w:rPr>
                <w:rFonts w:ascii="Calibri" w:hAnsi="Calibri" w:cs="Calibri"/>
                <w:color w:val="000000"/>
              </w:rPr>
            </w:pPr>
            <w:r w:rsidRPr="00392D14">
              <w:rPr>
                <w:rFonts w:ascii="Calibri" w:hAnsi="Calibri" w:cs="Calibri"/>
                <w:color w:val="000000"/>
              </w:rPr>
              <w:t>2.2e-04</w:t>
            </w:r>
          </w:p>
        </w:tc>
        <w:tc>
          <w:tcPr>
            <w:tcW w:w="865" w:type="dxa"/>
            <w:tcBorders>
              <w:top w:val="nil"/>
              <w:left w:val="nil"/>
              <w:bottom w:val="single" w:sz="4" w:space="0" w:color="auto"/>
              <w:right w:val="nil"/>
            </w:tcBorders>
            <w:shd w:val="clear" w:color="auto" w:fill="auto"/>
            <w:noWrap/>
            <w:vAlign w:val="bottom"/>
            <w:hideMark/>
          </w:tcPr>
          <w:p w14:paraId="29AE6682" w14:textId="77777777" w:rsidR="00BE4F08" w:rsidRPr="00392D14" w:rsidRDefault="00BE4F08" w:rsidP="00BE4F08">
            <w:pPr>
              <w:jc w:val="center"/>
              <w:rPr>
                <w:rFonts w:ascii="Calibri" w:hAnsi="Calibri" w:cs="Calibri"/>
                <w:color w:val="000000"/>
              </w:rPr>
            </w:pPr>
            <w:r w:rsidRPr="00392D14">
              <w:rPr>
                <w:rFonts w:ascii="Calibri" w:hAnsi="Calibri" w:cs="Calibri"/>
                <w:color w:val="000000"/>
              </w:rPr>
              <w:t>0.13</w:t>
            </w:r>
          </w:p>
        </w:tc>
        <w:tc>
          <w:tcPr>
            <w:tcW w:w="105" w:type="dxa"/>
            <w:tcBorders>
              <w:top w:val="nil"/>
              <w:left w:val="nil"/>
              <w:bottom w:val="single" w:sz="4" w:space="0" w:color="auto"/>
              <w:right w:val="nil"/>
            </w:tcBorders>
            <w:shd w:val="clear" w:color="auto" w:fill="auto"/>
            <w:noWrap/>
            <w:vAlign w:val="bottom"/>
            <w:hideMark/>
          </w:tcPr>
          <w:p w14:paraId="229F5F9F" w14:textId="77777777" w:rsidR="00BE4F08" w:rsidRPr="00392D14" w:rsidRDefault="00BE4F08" w:rsidP="00BE4F08">
            <w:pPr>
              <w:jc w:val="center"/>
              <w:rPr>
                <w:rFonts w:ascii="Calibri" w:hAnsi="Calibri" w:cs="Calibri"/>
                <w:color w:val="000000"/>
              </w:rPr>
            </w:pPr>
            <w:r w:rsidRPr="00392D14">
              <w:rPr>
                <w:rFonts w:ascii="Calibri" w:hAnsi="Calibri" w:cs="Calibri"/>
                <w:color w:val="000000"/>
              </w:rPr>
              <w:t> </w:t>
            </w:r>
          </w:p>
        </w:tc>
        <w:tc>
          <w:tcPr>
            <w:tcW w:w="1276" w:type="dxa"/>
            <w:tcBorders>
              <w:top w:val="nil"/>
              <w:left w:val="nil"/>
              <w:bottom w:val="single" w:sz="4" w:space="0" w:color="auto"/>
              <w:right w:val="nil"/>
            </w:tcBorders>
            <w:shd w:val="clear" w:color="auto" w:fill="auto"/>
            <w:noWrap/>
            <w:vAlign w:val="bottom"/>
            <w:hideMark/>
          </w:tcPr>
          <w:p w14:paraId="57241ACC" w14:textId="77777777" w:rsidR="00BE4F08" w:rsidRPr="00392D14" w:rsidRDefault="00BE4F08" w:rsidP="00BE4F08">
            <w:pPr>
              <w:jc w:val="center"/>
              <w:rPr>
                <w:rFonts w:ascii="Calibri" w:hAnsi="Calibri" w:cs="Calibri"/>
                <w:color w:val="000000"/>
              </w:rPr>
            </w:pPr>
            <w:r w:rsidRPr="00392D14">
              <w:rPr>
                <w:rFonts w:ascii="Calibri" w:hAnsi="Calibri" w:cs="Calibri"/>
                <w:color w:val="000000"/>
              </w:rPr>
              <w:t xml:space="preserve"> 0.036</w:t>
            </w:r>
          </w:p>
        </w:tc>
        <w:tc>
          <w:tcPr>
            <w:tcW w:w="955" w:type="dxa"/>
            <w:tcBorders>
              <w:top w:val="nil"/>
              <w:left w:val="nil"/>
              <w:bottom w:val="single" w:sz="4" w:space="0" w:color="auto"/>
              <w:right w:val="nil"/>
            </w:tcBorders>
            <w:shd w:val="clear" w:color="auto" w:fill="auto"/>
            <w:noWrap/>
            <w:vAlign w:val="bottom"/>
            <w:hideMark/>
          </w:tcPr>
          <w:p w14:paraId="1F24DB41" w14:textId="77777777" w:rsidR="00BE4F08" w:rsidRPr="00392D14" w:rsidRDefault="00BE4F08" w:rsidP="00BE4F08">
            <w:pPr>
              <w:jc w:val="center"/>
              <w:rPr>
                <w:rFonts w:ascii="Calibri" w:hAnsi="Calibri" w:cs="Calibri"/>
                <w:color w:val="000000"/>
              </w:rPr>
            </w:pPr>
            <w:r w:rsidRPr="00392D14">
              <w:rPr>
                <w:rFonts w:ascii="Calibri" w:hAnsi="Calibri" w:cs="Calibri"/>
                <w:color w:val="000000"/>
              </w:rPr>
              <w:t>0.274</w:t>
            </w:r>
          </w:p>
        </w:tc>
      </w:tr>
    </w:tbl>
    <w:p w14:paraId="5CD6A45F" w14:textId="77777777" w:rsidR="00BE4F08" w:rsidRDefault="00BE4F08" w:rsidP="002B17AB">
      <w:pPr>
        <w:spacing w:line="480" w:lineRule="auto"/>
      </w:pPr>
    </w:p>
    <w:p w14:paraId="44D41E5D" w14:textId="77777777" w:rsidR="002B17AB" w:rsidRPr="00575BC0" w:rsidRDefault="002B17AB" w:rsidP="002B17AB">
      <w:pPr>
        <w:rPr>
          <w:rFonts w:ascii="Calibri" w:hAnsi="Calibri" w:cs="Calibri"/>
          <w:sz w:val="22"/>
          <w:szCs w:val="22"/>
        </w:rPr>
      </w:pPr>
    </w:p>
    <w:p w14:paraId="06857E58" w14:textId="77777777" w:rsidR="008B15B4" w:rsidRPr="003F6561" w:rsidRDefault="008B15B4" w:rsidP="003F6561">
      <w:pPr>
        <w:pStyle w:val="Nessunaspaziatura1"/>
        <w:spacing w:line="480" w:lineRule="auto"/>
        <w:rPr>
          <w:rFonts w:ascii="Times New Roman" w:hAnsi="Times New Roman"/>
          <w:sz w:val="24"/>
          <w:szCs w:val="24"/>
          <w:lang w:val="en-US"/>
        </w:rPr>
      </w:pPr>
    </w:p>
    <w:p w14:paraId="606B271F" w14:textId="12F9D4A7" w:rsidR="003F6561" w:rsidRPr="003F6561" w:rsidRDefault="003F6561" w:rsidP="003F6561">
      <w:pPr>
        <w:pStyle w:val="Nessunaspaziatura1"/>
        <w:spacing w:line="480" w:lineRule="auto"/>
        <w:rPr>
          <w:rFonts w:ascii="Times New Roman" w:hAnsi="Times New Roman"/>
          <w:sz w:val="24"/>
          <w:szCs w:val="24"/>
          <w:lang w:val="en-US"/>
        </w:rPr>
        <w:sectPr w:rsidR="003F6561" w:rsidRPr="003F6561" w:rsidSect="00575BC0">
          <w:pgSz w:w="16838" w:h="11906" w:orient="landscape"/>
          <w:pgMar w:top="1440" w:right="1440" w:bottom="1440" w:left="1440" w:header="708" w:footer="708" w:gutter="0"/>
          <w:cols w:space="708"/>
          <w:docGrid w:linePitch="360"/>
        </w:sectPr>
      </w:pPr>
    </w:p>
    <w:p w14:paraId="045FA204" w14:textId="7AED997D" w:rsidR="00442334" w:rsidRDefault="00442334" w:rsidP="000D45B2">
      <w:pPr>
        <w:autoSpaceDE w:val="0"/>
        <w:autoSpaceDN w:val="0"/>
        <w:adjustRightInd w:val="0"/>
        <w:spacing w:line="480" w:lineRule="auto"/>
        <w:outlineLvl w:val="0"/>
        <w:rPr>
          <w:b/>
        </w:rPr>
      </w:pPr>
      <w:r>
        <w:rPr>
          <w:b/>
        </w:rPr>
        <w:lastRenderedPageBreak/>
        <w:t>Reference</w:t>
      </w:r>
      <w:r w:rsidR="006229AD">
        <w:rPr>
          <w:b/>
        </w:rPr>
        <w:t>s</w:t>
      </w:r>
    </w:p>
    <w:p w14:paraId="2062548A" w14:textId="4FD05348" w:rsidR="009A73FF" w:rsidRPr="009A73FF" w:rsidRDefault="007C08E3" w:rsidP="009A73FF">
      <w:pPr>
        <w:widowControl w:val="0"/>
        <w:autoSpaceDE w:val="0"/>
        <w:autoSpaceDN w:val="0"/>
        <w:adjustRightInd w:val="0"/>
        <w:spacing w:line="480" w:lineRule="auto"/>
        <w:ind w:left="640" w:hanging="640"/>
        <w:rPr>
          <w:noProof/>
        </w:rPr>
      </w:pPr>
      <w:r>
        <w:rPr>
          <w:b/>
        </w:rPr>
        <w:fldChar w:fldCharType="begin" w:fldLock="1"/>
      </w:r>
      <w:r w:rsidRPr="00701C94">
        <w:rPr>
          <w:b/>
          <w:lang w:val="nl-NL"/>
        </w:rPr>
        <w:instrText xml:space="preserve">ADDIN Mendeley Bibliography CSL_BIBLIOGRAPHY </w:instrText>
      </w:r>
      <w:r>
        <w:rPr>
          <w:b/>
        </w:rPr>
        <w:fldChar w:fldCharType="separate"/>
      </w:r>
      <w:r w:rsidR="009A73FF" w:rsidRPr="009A73FF">
        <w:rPr>
          <w:noProof/>
        </w:rPr>
        <w:t xml:space="preserve">1. </w:t>
      </w:r>
      <w:r w:rsidR="009A73FF" w:rsidRPr="009A73FF">
        <w:rPr>
          <w:noProof/>
        </w:rPr>
        <w:tab/>
        <w:t xml:space="preserve">Mbarek H, Milaneschi Y, Hottenga JJ, et al. Genome-Wide Significance for PCLO as a Gene for Major Depressive Disorder. </w:t>
      </w:r>
      <w:r w:rsidR="009A73FF" w:rsidRPr="009A73FF">
        <w:rPr>
          <w:i/>
          <w:iCs/>
          <w:noProof/>
        </w:rPr>
        <w:t>Twin Res Hum Genet</w:t>
      </w:r>
      <w:r w:rsidR="009A73FF" w:rsidRPr="009A73FF">
        <w:rPr>
          <w:noProof/>
        </w:rPr>
        <w:t>. 2017;20(4):267-270. doi:10.1017/thg.2017.30.</w:t>
      </w:r>
    </w:p>
    <w:p w14:paraId="7751EA2D" w14:textId="77777777" w:rsidR="009A73FF" w:rsidRPr="009A73FF" w:rsidRDefault="009A73FF" w:rsidP="009A73FF">
      <w:pPr>
        <w:widowControl w:val="0"/>
        <w:autoSpaceDE w:val="0"/>
        <w:autoSpaceDN w:val="0"/>
        <w:adjustRightInd w:val="0"/>
        <w:spacing w:line="480" w:lineRule="auto"/>
        <w:ind w:left="640" w:hanging="640"/>
        <w:rPr>
          <w:noProof/>
        </w:rPr>
      </w:pPr>
      <w:r w:rsidRPr="009A73FF">
        <w:rPr>
          <w:noProof/>
        </w:rPr>
        <w:t xml:space="preserve">2. </w:t>
      </w:r>
      <w:r w:rsidRPr="009A73FF">
        <w:rPr>
          <w:noProof/>
        </w:rPr>
        <w:tab/>
        <w:t xml:space="preserve">Francioli LC, Menelaou A, Pulit SL, et al. Whole-genome sequence variation, population structure and demographic history of the Dutch population. </w:t>
      </w:r>
      <w:r w:rsidRPr="009A73FF">
        <w:rPr>
          <w:i/>
          <w:iCs/>
          <w:noProof/>
        </w:rPr>
        <w:t>Nat Genet</w:t>
      </w:r>
      <w:r w:rsidRPr="009A73FF">
        <w:rPr>
          <w:noProof/>
        </w:rPr>
        <w:t>. 2014;46(8):818-825. doi:10.1038/ng.3021.</w:t>
      </w:r>
    </w:p>
    <w:p w14:paraId="1C91BB75" w14:textId="77777777" w:rsidR="009A73FF" w:rsidRPr="009A73FF" w:rsidRDefault="009A73FF" w:rsidP="009A73FF">
      <w:pPr>
        <w:widowControl w:val="0"/>
        <w:autoSpaceDE w:val="0"/>
        <w:autoSpaceDN w:val="0"/>
        <w:adjustRightInd w:val="0"/>
        <w:spacing w:line="480" w:lineRule="auto"/>
        <w:ind w:left="640" w:hanging="640"/>
        <w:rPr>
          <w:noProof/>
        </w:rPr>
      </w:pPr>
      <w:r w:rsidRPr="009A73FF">
        <w:rPr>
          <w:noProof/>
        </w:rPr>
        <w:t xml:space="preserve">3. </w:t>
      </w:r>
      <w:r w:rsidRPr="009A73FF">
        <w:rPr>
          <w:noProof/>
        </w:rPr>
        <w:tab/>
        <w:t xml:space="preserve">Das S, Forer L, Schönherr S, et al. Next-generation genotype imputation service and methods. </w:t>
      </w:r>
      <w:r w:rsidRPr="009A73FF">
        <w:rPr>
          <w:i/>
          <w:iCs/>
          <w:noProof/>
        </w:rPr>
        <w:t>Nat Genet</w:t>
      </w:r>
      <w:r w:rsidRPr="009A73FF">
        <w:rPr>
          <w:noProof/>
        </w:rPr>
        <w:t>. 2016;48(10):1284-1287. doi:10.1038/ng.3656.</w:t>
      </w:r>
    </w:p>
    <w:p w14:paraId="1DD13BC4" w14:textId="77777777" w:rsidR="009A73FF" w:rsidRPr="009A73FF" w:rsidRDefault="009A73FF" w:rsidP="009A73FF">
      <w:pPr>
        <w:widowControl w:val="0"/>
        <w:autoSpaceDE w:val="0"/>
        <w:autoSpaceDN w:val="0"/>
        <w:adjustRightInd w:val="0"/>
        <w:spacing w:line="480" w:lineRule="auto"/>
        <w:ind w:left="640" w:hanging="640"/>
        <w:rPr>
          <w:noProof/>
        </w:rPr>
      </w:pPr>
      <w:r w:rsidRPr="009A73FF">
        <w:rPr>
          <w:noProof/>
        </w:rPr>
        <w:t xml:space="preserve">4. </w:t>
      </w:r>
      <w:r w:rsidRPr="009A73FF">
        <w:rPr>
          <w:noProof/>
        </w:rPr>
        <w:tab/>
        <w:t xml:space="preserve">Yang J, Lee SH, Goddard ME, Visscher PM. GCTA: A tool for genome-wide complex trait analysis. </w:t>
      </w:r>
      <w:r w:rsidRPr="009A73FF">
        <w:rPr>
          <w:i/>
          <w:iCs/>
          <w:noProof/>
        </w:rPr>
        <w:t>Am J Hum Genet</w:t>
      </w:r>
      <w:r w:rsidRPr="009A73FF">
        <w:rPr>
          <w:noProof/>
        </w:rPr>
        <w:t>. 2011;88(1):76-82. doi:10.1016/j.ajhg.2010.11.011.</w:t>
      </w:r>
    </w:p>
    <w:p w14:paraId="7EEE93E2" w14:textId="77777777" w:rsidR="009A73FF" w:rsidRPr="009A73FF" w:rsidRDefault="009A73FF" w:rsidP="009A73FF">
      <w:pPr>
        <w:widowControl w:val="0"/>
        <w:autoSpaceDE w:val="0"/>
        <w:autoSpaceDN w:val="0"/>
        <w:adjustRightInd w:val="0"/>
        <w:spacing w:line="480" w:lineRule="auto"/>
        <w:ind w:left="640" w:hanging="640"/>
        <w:rPr>
          <w:noProof/>
        </w:rPr>
      </w:pPr>
      <w:r w:rsidRPr="009A73FF">
        <w:rPr>
          <w:noProof/>
        </w:rPr>
        <w:t xml:space="preserve">5. </w:t>
      </w:r>
      <w:r w:rsidRPr="009A73FF">
        <w:rPr>
          <w:noProof/>
        </w:rPr>
        <w:tab/>
        <w:t xml:space="preserve">Kettunen J, Demirkan A, Würtz P, et al. Genome-wide study for circulating metabolites identifies 62 loci and reveals novel systemic effects of LPA. </w:t>
      </w:r>
      <w:r w:rsidRPr="009A73FF">
        <w:rPr>
          <w:i/>
          <w:iCs/>
          <w:noProof/>
        </w:rPr>
        <w:t>Nat Commun</w:t>
      </w:r>
      <w:r w:rsidRPr="009A73FF">
        <w:rPr>
          <w:noProof/>
        </w:rPr>
        <w:t>. 2016;7:11122. doi:10.1038/ncomms11122.</w:t>
      </w:r>
    </w:p>
    <w:p w14:paraId="21AC4275" w14:textId="77777777" w:rsidR="009A73FF" w:rsidRPr="009A73FF" w:rsidRDefault="009A73FF" w:rsidP="009A73FF">
      <w:pPr>
        <w:widowControl w:val="0"/>
        <w:autoSpaceDE w:val="0"/>
        <w:autoSpaceDN w:val="0"/>
        <w:adjustRightInd w:val="0"/>
        <w:spacing w:line="480" w:lineRule="auto"/>
        <w:ind w:left="640" w:hanging="640"/>
        <w:rPr>
          <w:noProof/>
        </w:rPr>
      </w:pPr>
      <w:r w:rsidRPr="009A73FF">
        <w:rPr>
          <w:noProof/>
        </w:rPr>
        <w:t xml:space="preserve">6. </w:t>
      </w:r>
      <w:r w:rsidRPr="009A73FF">
        <w:rPr>
          <w:noProof/>
        </w:rPr>
        <w:tab/>
        <w:t xml:space="preserve">Watanabe K, Taskesen E, Bochoven A van, Posthuma D. FUMA: Functional mapping and annotation of genetic associations. </w:t>
      </w:r>
      <w:r w:rsidRPr="009A73FF">
        <w:rPr>
          <w:i/>
          <w:iCs/>
          <w:noProof/>
        </w:rPr>
        <w:t>Nat Commun</w:t>
      </w:r>
      <w:r w:rsidRPr="009A73FF">
        <w:rPr>
          <w:noProof/>
        </w:rPr>
        <w:t>. 2017;8:1826. doi:10.1101/110023.</w:t>
      </w:r>
    </w:p>
    <w:p w14:paraId="687E57FF" w14:textId="77777777" w:rsidR="009A73FF" w:rsidRPr="009A73FF" w:rsidRDefault="009A73FF" w:rsidP="009A73FF">
      <w:pPr>
        <w:widowControl w:val="0"/>
        <w:autoSpaceDE w:val="0"/>
        <w:autoSpaceDN w:val="0"/>
        <w:adjustRightInd w:val="0"/>
        <w:spacing w:line="480" w:lineRule="auto"/>
        <w:ind w:left="640" w:hanging="640"/>
        <w:rPr>
          <w:noProof/>
        </w:rPr>
      </w:pPr>
      <w:r w:rsidRPr="009A73FF">
        <w:rPr>
          <w:noProof/>
        </w:rPr>
        <w:t xml:space="preserve">7. </w:t>
      </w:r>
      <w:r w:rsidRPr="009A73FF">
        <w:rPr>
          <w:noProof/>
        </w:rPr>
        <w:tab/>
        <w:t xml:space="preserve">Purcell SM, Chang CC, Chow CC, Tellier LC, Lee JJ, Vattikuti S. Second-generation PLINK: rising to the challenge of larger and richer datasets. </w:t>
      </w:r>
      <w:r w:rsidRPr="009A73FF">
        <w:rPr>
          <w:i/>
          <w:iCs/>
          <w:noProof/>
        </w:rPr>
        <w:t>Gigascience</w:t>
      </w:r>
      <w:r w:rsidRPr="009A73FF">
        <w:rPr>
          <w:noProof/>
        </w:rPr>
        <w:t>. 2015;4(1):1-16. doi:10.1186/s13742-015-0047-8.</w:t>
      </w:r>
    </w:p>
    <w:p w14:paraId="5202B524" w14:textId="77777777" w:rsidR="009A73FF" w:rsidRPr="009A73FF" w:rsidRDefault="009A73FF" w:rsidP="009A73FF">
      <w:pPr>
        <w:widowControl w:val="0"/>
        <w:autoSpaceDE w:val="0"/>
        <w:autoSpaceDN w:val="0"/>
        <w:adjustRightInd w:val="0"/>
        <w:spacing w:line="480" w:lineRule="auto"/>
        <w:ind w:left="640" w:hanging="640"/>
        <w:rPr>
          <w:noProof/>
        </w:rPr>
      </w:pPr>
      <w:r w:rsidRPr="009A73FF">
        <w:rPr>
          <w:noProof/>
        </w:rPr>
        <w:t xml:space="preserve">8. </w:t>
      </w:r>
      <w:r w:rsidRPr="009A73FF">
        <w:rPr>
          <w:noProof/>
        </w:rPr>
        <w:tab/>
        <w:t xml:space="preserve">Jiang X, O’Reilly PF, Aschard H, et al. Genome-wide association study in 79,366 European-ancestry individuals informs the genetic architecture of 25-hydroxyvitamin D levels. </w:t>
      </w:r>
      <w:r w:rsidRPr="009A73FF">
        <w:rPr>
          <w:i/>
          <w:iCs/>
          <w:noProof/>
        </w:rPr>
        <w:t>Nat Commun</w:t>
      </w:r>
      <w:r w:rsidRPr="009A73FF">
        <w:rPr>
          <w:noProof/>
        </w:rPr>
        <w:t>. 2018;9(1):260. doi:10.1038/s41467-017-02662-2.</w:t>
      </w:r>
    </w:p>
    <w:p w14:paraId="4CEC084F" w14:textId="77777777" w:rsidR="009A73FF" w:rsidRPr="009A73FF" w:rsidRDefault="009A73FF" w:rsidP="009A73FF">
      <w:pPr>
        <w:widowControl w:val="0"/>
        <w:autoSpaceDE w:val="0"/>
        <w:autoSpaceDN w:val="0"/>
        <w:adjustRightInd w:val="0"/>
        <w:spacing w:line="480" w:lineRule="auto"/>
        <w:ind w:left="640" w:hanging="640"/>
        <w:rPr>
          <w:noProof/>
        </w:rPr>
      </w:pPr>
      <w:r w:rsidRPr="009A73FF">
        <w:rPr>
          <w:noProof/>
        </w:rPr>
        <w:t xml:space="preserve">9. </w:t>
      </w:r>
      <w:r w:rsidRPr="009A73FF">
        <w:rPr>
          <w:noProof/>
        </w:rPr>
        <w:tab/>
        <w:t xml:space="preserve">Major Depressive Disorder Working Group of the Psychiatric Genomics Consortium. Genome-wide association analyses identify 44 risk variants and refine the genetic </w:t>
      </w:r>
      <w:r w:rsidRPr="009A73FF">
        <w:rPr>
          <w:noProof/>
        </w:rPr>
        <w:lastRenderedPageBreak/>
        <w:t xml:space="preserve">architecture of major depressive disorder. </w:t>
      </w:r>
      <w:r w:rsidRPr="009A73FF">
        <w:rPr>
          <w:i/>
          <w:iCs/>
          <w:noProof/>
        </w:rPr>
        <w:t>Nat Genet</w:t>
      </w:r>
      <w:r w:rsidRPr="009A73FF">
        <w:rPr>
          <w:noProof/>
        </w:rPr>
        <w:t>. 2018. doi:https://doi.org/10.1101/167577.</w:t>
      </w:r>
    </w:p>
    <w:p w14:paraId="16079D90" w14:textId="77777777" w:rsidR="009A73FF" w:rsidRPr="009A73FF" w:rsidRDefault="009A73FF" w:rsidP="009A73FF">
      <w:pPr>
        <w:widowControl w:val="0"/>
        <w:autoSpaceDE w:val="0"/>
        <w:autoSpaceDN w:val="0"/>
        <w:adjustRightInd w:val="0"/>
        <w:spacing w:line="480" w:lineRule="auto"/>
        <w:ind w:left="640" w:hanging="640"/>
        <w:rPr>
          <w:noProof/>
        </w:rPr>
      </w:pPr>
      <w:r w:rsidRPr="009A73FF">
        <w:rPr>
          <w:noProof/>
        </w:rPr>
        <w:t xml:space="preserve">10. </w:t>
      </w:r>
      <w:r w:rsidRPr="009A73FF">
        <w:rPr>
          <w:noProof/>
        </w:rPr>
        <w:tab/>
        <w:t xml:space="preserve">Vilhjálmsson BJ, Yang J, Finucane HK, et al. Modeling Linkage Disequilibrium Increases Accuracy of Polygenic Risk Scores. </w:t>
      </w:r>
      <w:r w:rsidRPr="009A73FF">
        <w:rPr>
          <w:i/>
          <w:iCs/>
          <w:noProof/>
        </w:rPr>
        <w:t>Am J Hum Genet</w:t>
      </w:r>
      <w:r w:rsidRPr="009A73FF">
        <w:rPr>
          <w:noProof/>
        </w:rPr>
        <w:t>. 2015;97(4):576-592. doi:10.1016/j.ajhg.2015.09.001.</w:t>
      </w:r>
    </w:p>
    <w:p w14:paraId="3D344F24" w14:textId="77777777" w:rsidR="009A73FF" w:rsidRPr="009A73FF" w:rsidRDefault="009A73FF" w:rsidP="009A73FF">
      <w:pPr>
        <w:widowControl w:val="0"/>
        <w:autoSpaceDE w:val="0"/>
        <w:autoSpaceDN w:val="0"/>
        <w:adjustRightInd w:val="0"/>
        <w:spacing w:line="480" w:lineRule="auto"/>
        <w:ind w:left="640" w:hanging="640"/>
        <w:rPr>
          <w:noProof/>
        </w:rPr>
      </w:pPr>
      <w:r w:rsidRPr="009A73FF">
        <w:rPr>
          <w:noProof/>
        </w:rPr>
        <w:t xml:space="preserve">11. </w:t>
      </w:r>
      <w:r w:rsidRPr="009A73FF">
        <w:rPr>
          <w:noProof/>
        </w:rPr>
        <w:tab/>
        <w:t xml:space="preserve">Milaneschi Y, Lamers F, Peyrot WJ, et al. Genetic Association of Major Depression With Atypical Features and Obesity-Related Immunometabolic Dysregulations. </w:t>
      </w:r>
      <w:r w:rsidRPr="009A73FF">
        <w:rPr>
          <w:i/>
          <w:iCs/>
          <w:noProof/>
        </w:rPr>
        <w:t>JAMA psychiatry</w:t>
      </w:r>
      <w:r w:rsidRPr="009A73FF">
        <w:rPr>
          <w:noProof/>
        </w:rPr>
        <w:t>. 2017. doi:10.1001/jamapsychiatry.2017.3016.</w:t>
      </w:r>
    </w:p>
    <w:p w14:paraId="1ACCE9E7" w14:textId="77777777" w:rsidR="009A73FF" w:rsidRPr="009A73FF" w:rsidRDefault="009A73FF" w:rsidP="009A73FF">
      <w:pPr>
        <w:widowControl w:val="0"/>
        <w:autoSpaceDE w:val="0"/>
        <w:autoSpaceDN w:val="0"/>
        <w:adjustRightInd w:val="0"/>
        <w:spacing w:line="480" w:lineRule="auto"/>
        <w:ind w:left="640" w:hanging="640"/>
        <w:rPr>
          <w:noProof/>
        </w:rPr>
      </w:pPr>
      <w:r w:rsidRPr="009A73FF">
        <w:rPr>
          <w:noProof/>
        </w:rPr>
        <w:t xml:space="preserve">12. </w:t>
      </w:r>
      <w:r w:rsidRPr="009A73FF">
        <w:rPr>
          <w:noProof/>
        </w:rPr>
        <w:tab/>
        <w:t xml:space="preserve">Lee SH, Goddard ME, Wray NR, Visscher PM. A Better Coefficient of Determination for Genetic Profile Analysis. </w:t>
      </w:r>
      <w:r w:rsidRPr="009A73FF">
        <w:rPr>
          <w:i/>
          <w:iCs/>
          <w:noProof/>
        </w:rPr>
        <w:t>Genet Epidemiol</w:t>
      </w:r>
      <w:r w:rsidRPr="009A73FF">
        <w:rPr>
          <w:noProof/>
        </w:rPr>
        <w:t>. 2012;36(3):214-224. doi:10.1002/gepi.21614.</w:t>
      </w:r>
    </w:p>
    <w:p w14:paraId="423603E2" w14:textId="77777777" w:rsidR="009A73FF" w:rsidRPr="009A73FF" w:rsidRDefault="009A73FF" w:rsidP="009A73FF">
      <w:pPr>
        <w:widowControl w:val="0"/>
        <w:autoSpaceDE w:val="0"/>
        <w:autoSpaceDN w:val="0"/>
        <w:adjustRightInd w:val="0"/>
        <w:spacing w:line="480" w:lineRule="auto"/>
        <w:ind w:left="640" w:hanging="640"/>
        <w:rPr>
          <w:noProof/>
        </w:rPr>
      </w:pPr>
      <w:r w:rsidRPr="009A73FF">
        <w:rPr>
          <w:noProof/>
        </w:rPr>
        <w:t xml:space="preserve">13. </w:t>
      </w:r>
      <w:r w:rsidRPr="009A73FF">
        <w:rPr>
          <w:noProof/>
        </w:rPr>
        <w:tab/>
        <w:t xml:space="preserve">Hemani G, Zheng J, Elsworth B, et al. The MR-Base platform supports systematic causal inference across the human phenome. </w:t>
      </w:r>
      <w:r w:rsidRPr="009A73FF">
        <w:rPr>
          <w:i/>
          <w:iCs/>
          <w:noProof/>
        </w:rPr>
        <w:t>Elife</w:t>
      </w:r>
      <w:r w:rsidRPr="009A73FF">
        <w:rPr>
          <w:noProof/>
        </w:rPr>
        <w:t>. 2018;7:e34408. doi:10.7554/eLife.34408.</w:t>
      </w:r>
    </w:p>
    <w:p w14:paraId="2D3FBB16" w14:textId="77777777" w:rsidR="009A73FF" w:rsidRPr="009A73FF" w:rsidRDefault="009A73FF" w:rsidP="009A73FF">
      <w:pPr>
        <w:widowControl w:val="0"/>
        <w:autoSpaceDE w:val="0"/>
        <w:autoSpaceDN w:val="0"/>
        <w:adjustRightInd w:val="0"/>
        <w:spacing w:line="480" w:lineRule="auto"/>
        <w:ind w:left="640" w:hanging="640"/>
        <w:rPr>
          <w:noProof/>
        </w:rPr>
      </w:pPr>
      <w:r w:rsidRPr="009A73FF">
        <w:rPr>
          <w:noProof/>
        </w:rPr>
        <w:t xml:space="preserve">14. </w:t>
      </w:r>
      <w:r w:rsidRPr="009A73FF">
        <w:rPr>
          <w:noProof/>
        </w:rPr>
        <w:tab/>
        <w:t xml:space="preserve">Watanabe K, Stringer S, Frei O, et al. A global overview of pleiotropy and genetic architecture in complex traits. </w:t>
      </w:r>
      <w:r w:rsidRPr="009A73FF">
        <w:rPr>
          <w:i/>
          <w:iCs/>
          <w:noProof/>
        </w:rPr>
        <w:t>bioRxiv</w:t>
      </w:r>
      <w:r w:rsidRPr="009A73FF">
        <w:rPr>
          <w:noProof/>
        </w:rPr>
        <w:t>. 2018. doi:10.1101/500090.</w:t>
      </w:r>
    </w:p>
    <w:p w14:paraId="00F90780" w14:textId="77777777" w:rsidR="009A73FF" w:rsidRPr="009A73FF" w:rsidRDefault="009A73FF" w:rsidP="009A73FF">
      <w:pPr>
        <w:widowControl w:val="0"/>
        <w:autoSpaceDE w:val="0"/>
        <w:autoSpaceDN w:val="0"/>
        <w:adjustRightInd w:val="0"/>
        <w:spacing w:line="480" w:lineRule="auto"/>
        <w:ind w:left="640" w:hanging="640"/>
        <w:rPr>
          <w:noProof/>
        </w:rPr>
      </w:pPr>
      <w:r w:rsidRPr="009A73FF">
        <w:rPr>
          <w:noProof/>
        </w:rPr>
        <w:t xml:space="preserve">15. </w:t>
      </w:r>
      <w:r w:rsidRPr="009A73FF">
        <w:rPr>
          <w:noProof/>
        </w:rPr>
        <w:tab/>
        <w:t xml:space="preserve">Bowden J, Smith GD, Burgess S. Mendelian randomization with invalid instruments: Effect estimation and bias detection through Egger regression. </w:t>
      </w:r>
      <w:r w:rsidRPr="009A73FF">
        <w:rPr>
          <w:i/>
          <w:iCs/>
          <w:noProof/>
        </w:rPr>
        <w:t>Int J Epidemiol</w:t>
      </w:r>
      <w:r w:rsidRPr="009A73FF">
        <w:rPr>
          <w:noProof/>
        </w:rPr>
        <w:t>. 2015;44(2):512-525. doi:10.1093/ije/dyv080.</w:t>
      </w:r>
    </w:p>
    <w:p w14:paraId="6CA15811" w14:textId="77777777" w:rsidR="009A73FF" w:rsidRPr="009A73FF" w:rsidRDefault="009A73FF" w:rsidP="009A73FF">
      <w:pPr>
        <w:widowControl w:val="0"/>
        <w:autoSpaceDE w:val="0"/>
        <w:autoSpaceDN w:val="0"/>
        <w:adjustRightInd w:val="0"/>
        <w:spacing w:line="480" w:lineRule="auto"/>
        <w:ind w:left="640" w:hanging="640"/>
        <w:rPr>
          <w:noProof/>
        </w:rPr>
      </w:pPr>
      <w:r w:rsidRPr="009A73FF">
        <w:rPr>
          <w:noProof/>
        </w:rPr>
        <w:t xml:space="preserve">16. </w:t>
      </w:r>
      <w:r w:rsidRPr="009A73FF">
        <w:rPr>
          <w:noProof/>
        </w:rPr>
        <w:tab/>
        <w:t xml:space="preserve">Okbay A, Baselmans BML, De Neve J-E, et al. Genetic variants associated with subjective well-being, depressive symptoms, and neuroticism identified through genome-wide analyses. </w:t>
      </w:r>
      <w:r w:rsidRPr="009A73FF">
        <w:rPr>
          <w:i/>
          <w:iCs/>
          <w:noProof/>
        </w:rPr>
        <w:t>Nat Genet</w:t>
      </w:r>
      <w:r w:rsidRPr="009A73FF">
        <w:rPr>
          <w:noProof/>
        </w:rPr>
        <w:t>. 2016;48(6):1-13. doi:10.1038/ng.3552.</w:t>
      </w:r>
    </w:p>
    <w:p w14:paraId="04BC8894" w14:textId="77777777" w:rsidR="009A73FF" w:rsidRPr="009A73FF" w:rsidRDefault="009A73FF" w:rsidP="009A73FF">
      <w:pPr>
        <w:widowControl w:val="0"/>
        <w:autoSpaceDE w:val="0"/>
        <w:autoSpaceDN w:val="0"/>
        <w:adjustRightInd w:val="0"/>
        <w:spacing w:line="480" w:lineRule="auto"/>
        <w:ind w:left="640" w:hanging="640"/>
        <w:rPr>
          <w:noProof/>
        </w:rPr>
      </w:pPr>
      <w:r w:rsidRPr="009A73FF">
        <w:rPr>
          <w:noProof/>
        </w:rPr>
        <w:t xml:space="preserve">17. </w:t>
      </w:r>
      <w:r w:rsidRPr="009A73FF">
        <w:rPr>
          <w:noProof/>
        </w:rPr>
        <w:tab/>
        <w:t xml:space="preserve">Peyrot WJ, Boomsma DI, Penninx BWJH, Wray NR. Disease and Polygenic Architecture: Avoid Trio Design and Appropriately Account for Unscreened Control Subjects for Common Disease. </w:t>
      </w:r>
      <w:r w:rsidRPr="009A73FF">
        <w:rPr>
          <w:i/>
          <w:iCs/>
          <w:noProof/>
        </w:rPr>
        <w:t>Am J Hum Genet</w:t>
      </w:r>
      <w:r w:rsidRPr="009A73FF">
        <w:rPr>
          <w:noProof/>
        </w:rPr>
        <w:t xml:space="preserve">. 2016;98(2):382-391. </w:t>
      </w:r>
      <w:r w:rsidRPr="009A73FF">
        <w:rPr>
          <w:noProof/>
        </w:rPr>
        <w:lastRenderedPageBreak/>
        <w:t>doi:10.1016/j.ajhg.2015.12.017.</w:t>
      </w:r>
    </w:p>
    <w:p w14:paraId="315D6E93" w14:textId="7A5C7B09" w:rsidR="00442334" w:rsidRDefault="007C08E3" w:rsidP="009A73FF">
      <w:pPr>
        <w:widowControl w:val="0"/>
        <w:autoSpaceDE w:val="0"/>
        <w:autoSpaceDN w:val="0"/>
        <w:adjustRightInd w:val="0"/>
        <w:spacing w:line="480" w:lineRule="auto"/>
        <w:ind w:left="640" w:hanging="640"/>
        <w:rPr>
          <w:b/>
        </w:rPr>
      </w:pPr>
      <w:r>
        <w:rPr>
          <w:b/>
        </w:rPr>
        <w:fldChar w:fldCharType="end"/>
      </w:r>
    </w:p>
    <w:p w14:paraId="11B27772" w14:textId="77777777" w:rsidR="00AC4D10" w:rsidRDefault="00AC4D10" w:rsidP="000D45B2">
      <w:pPr>
        <w:autoSpaceDE w:val="0"/>
        <w:autoSpaceDN w:val="0"/>
        <w:adjustRightInd w:val="0"/>
        <w:spacing w:line="480" w:lineRule="auto"/>
        <w:outlineLvl w:val="0"/>
        <w:rPr>
          <w:b/>
        </w:rPr>
        <w:sectPr w:rsidR="00AC4D10" w:rsidSect="00045583">
          <w:pgSz w:w="11906" w:h="16838"/>
          <w:pgMar w:top="1440" w:right="1440" w:bottom="1440" w:left="1440" w:header="708" w:footer="708" w:gutter="0"/>
          <w:cols w:space="708"/>
          <w:docGrid w:linePitch="360"/>
        </w:sectPr>
      </w:pPr>
    </w:p>
    <w:p w14:paraId="2D38E54F" w14:textId="6FCABDD1" w:rsidR="00E5628B" w:rsidRDefault="00B152F0" w:rsidP="000D45B2">
      <w:pPr>
        <w:autoSpaceDE w:val="0"/>
        <w:autoSpaceDN w:val="0"/>
        <w:adjustRightInd w:val="0"/>
        <w:spacing w:line="480" w:lineRule="auto"/>
        <w:outlineLvl w:val="0"/>
        <w:rPr>
          <w:b/>
        </w:rPr>
      </w:pPr>
      <w:r>
        <w:rPr>
          <w:b/>
        </w:rPr>
        <w:lastRenderedPageBreak/>
        <w:t xml:space="preserve">Data and software availability </w:t>
      </w:r>
    </w:p>
    <w:p w14:paraId="0878A00B" w14:textId="31E2C0C8" w:rsidR="00B152F0" w:rsidRDefault="00B152F0" w:rsidP="00B152F0">
      <w:pPr>
        <w:autoSpaceDE w:val="0"/>
        <w:autoSpaceDN w:val="0"/>
        <w:adjustRightInd w:val="0"/>
        <w:spacing w:line="480" w:lineRule="auto"/>
        <w:outlineLvl w:val="0"/>
      </w:pPr>
      <w:r>
        <w:t>GWAS summary statistics used in the present analyses have been retrieved at the following URLs:</w:t>
      </w:r>
    </w:p>
    <w:p w14:paraId="16A08B9B" w14:textId="77777777" w:rsidR="00B152F0" w:rsidRDefault="00B152F0" w:rsidP="00B152F0">
      <w:pPr>
        <w:autoSpaceDE w:val="0"/>
        <w:autoSpaceDN w:val="0"/>
        <w:adjustRightInd w:val="0"/>
        <w:spacing w:line="480" w:lineRule="auto"/>
        <w:outlineLvl w:val="0"/>
      </w:pPr>
      <w:r>
        <w:t xml:space="preserve">25-OH-D: </w:t>
      </w:r>
      <w:hyperlink r:id="rId15" w:history="1">
        <w:r w:rsidRPr="00796CA9">
          <w:rPr>
            <w:rStyle w:val="Hyperlink"/>
          </w:rPr>
          <w:t>https://drive.google.com/drive/folders/0BzYDtCo_doHJRFRKR0ltZHZWZjQ</w:t>
        </w:r>
      </w:hyperlink>
      <w:r>
        <w:t xml:space="preserve"> ; n3-PUFA: </w:t>
      </w:r>
      <w:hyperlink r:id="rId16" w:anchor="NMR_GWAS" w:history="1">
        <w:r w:rsidRPr="00563CDE">
          <w:rPr>
            <w:rStyle w:val="Hyperlink"/>
          </w:rPr>
          <w:t>http://www.computationalmedicine.fi/data#NMR_GWAS</w:t>
        </w:r>
      </w:hyperlink>
      <w:r>
        <w:t xml:space="preserve"> ;</w:t>
      </w:r>
    </w:p>
    <w:p w14:paraId="28188955" w14:textId="77777777" w:rsidR="00B152F0" w:rsidRDefault="00B152F0" w:rsidP="00B152F0">
      <w:pPr>
        <w:autoSpaceDE w:val="0"/>
        <w:autoSpaceDN w:val="0"/>
        <w:adjustRightInd w:val="0"/>
        <w:spacing w:line="480" w:lineRule="auto"/>
        <w:outlineLvl w:val="0"/>
      </w:pPr>
      <w:r>
        <w:t xml:space="preserve">MDD: </w:t>
      </w:r>
      <w:hyperlink r:id="rId17" w:history="1">
        <w:r w:rsidRPr="00796CA9">
          <w:rPr>
            <w:rStyle w:val="Hyperlink"/>
          </w:rPr>
          <w:t>https://www.med.unc.edu/pgc/results-and-downloads</w:t>
        </w:r>
      </w:hyperlink>
      <w:r>
        <w:t xml:space="preserve"> (the statistics publicly available are based on a GWAS not including 23andMe data, </w:t>
      </w:r>
      <w:r w:rsidRPr="001A496B">
        <w:t>access to which is restricted by a Data Transfer Agreement</w:t>
      </w:r>
      <w:r>
        <w:t>).</w:t>
      </w:r>
    </w:p>
    <w:p w14:paraId="0F14F409" w14:textId="3DB8D985" w:rsidR="00B152F0" w:rsidRDefault="00B152F0" w:rsidP="00B152F0">
      <w:pPr>
        <w:autoSpaceDE w:val="0"/>
        <w:autoSpaceDN w:val="0"/>
        <w:adjustRightInd w:val="0"/>
        <w:spacing w:line="480" w:lineRule="auto"/>
        <w:outlineLvl w:val="0"/>
      </w:pPr>
      <w:r>
        <w:t xml:space="preserve">NESDA data could be requested at </w:t>
      </w:r>
      <w:hyperlink r:id="rId18" w:history="1">
        <w:r w:rsidRPr="00563CDE">
          <w:rPr>
            <w:rStyle w:val="Hyperlink"/>
          </w:rPr>
          <w:t>https://www.nesda.nl/nesda-english/</w:t>
        </w:r>
      </w:hyperlink>
      <w:r>
        <w:t xml:space="preserve"> </w:t>
      </w:r>
      <w:r w:rsidRPr="00B152F0">
        <w:t>;</w:t>
      </w:r>
      <w:r>
        <w:t xml:space="preserve">NESDA genotype data </w:t>
      </w:r>
      <w:r w:rsidRPr="00E5715A">
        <w:t xml:space="preserve">were </w:t>
      </w:r>
      <w:r>
        <w:t xml:space="preserve">also </w:t>
      </w:r>
      <w:r w:rsidRPr="00E5715A">
        <w:t xml:space="preserve">previously included in the larger GAIN-MDD </w:t>
      </w:r>
      <w:r>
        <w:t xml:space="preserve">GWAS </w:t>
      </w:r>
      <w:r w:rsidRPr="00E5715A">
        <w:t xml:space="preserve">dataset </w:t>
      </w:r>
      <w:r>
        <w:t xml:space="preserve">already available at </w:t>
      </w:r>
      <w:proofErr w:type="spellStart"/>
      <w:r w:rsidRPr="00E5715A">
        <w:t>dbGaP</w:t>
      </w:r>
      <w:proofErr w:type="spellEnd"/>
      <w:r w:rsidRPr="00E5715A">
        <w:t xml:space="preserve"> </w:t>
      </w:r>
      <w:r>
        <w:t>(</w:t>
      </w:r>
      <w:r w:rsidRPr="00E5715A">
        <w:t>Study Accession: phs000020.v2.p1).</w:t>
      </w:r>
    </w:p>
    <w:p w14:paraId="5AAD41E7" w14:textId="77777777" w:rsidR="00545771" w:rsidRPr="00701C94" w:rsidRDefault="00545771" w:rsidP="00545771">
      <w:pPr>
        <w:autoSpaceDE w:val="0"/>
        <w:autoSpaceDN w:val="0"/>
        <w:adjustRightInd w:val="0"/>
        <w:spacing w:line="480" w:lineRule="auto"/>
        <w:outlineLvl w:val="0"/>
        <w:rPr>
          <w:lang w:val="nl-NL"/>
        </w:rPr>
      </w:pPr>
      <w:r w:rsidRPr="00701C94">
        <w:rPr>
          <w:lang w:val="nl-NL"/>
        </w:rPr>
        <w:t xml:space="preserve">PLINK  </w:t>
      </w:r>
      <w:hyperlink r:id="rId19" w:history="1">
        <w:r w:rsidRPr="00701C94">
          <w:rPr>
            <w:rStyle w:val="Hyperlink"/>
            <w:lang w:val="nl-NL"/>
          </w:rPr>
          <w:t>https://www.cog-genomics.org/plink/1.9/</w:t>
        </w:r>
      </w:hyperlink>
    </w:p>
    <w:p w14:paraId="43C61A3A" w14:textId="77777777" w:rsidR="00545771" w:rsidRDefault="00545771" w:rsidP="00545771">
      <w:pPr>
        <w:autoSpaceDE w:val="0"/>
        <w:autoSpaceDN w:val="0"/>
        <w:adjustRightInd w:val="0"/>
        <w:spacing w:line="480" w:lineRule="auto"/>
        <w:outlineLvl w:val="0"/>
      </w:pPr>
      <w:proofErr w:type="spellStart"/>
      <w:r>
        <w:t>LDp</w:t>
      </w:r>
      <w:r w:rsidRPr="00010AF3">
        <w:t>red</w:t>
      </w:r>
      <w:proofErr w:type="spellEnd"/>
      <w:r>
        <w:rPr>
          <w:b/>
        </w:rPr>
        <w:t xml:space="preserve"> </w:t>
      </w:r>
      <w:hyperlink r:id="rId20" w:history="1">
        <w:r w:rsidRPr="00D50EFD">
          <w:rPr>
            <w:rStyle w:val="Hyperlink"/>
          </w:rPr>
          <w:t>https://github.com/bvilhjal/ldpred</w:t>
        </w:r>
      </w:hyperlink>
    </w:p>
    <w:p w14:paraId="62E9A555" w14:textId="1AE64CF4" w:rsidR="00545771" w:rsidRDefault="00C94D1B" w:rsidP="000D45B2">
      <w:pPr>
        <w:autoSpaceDE w:val="0"/>
        <w:autoSpaceDN w:val="0"/>
        <w:adjustRightInd w:val="0"/>
        <w:spacing w:line="480" w:lineRule="auto"/>
        <w:outlineLvl w:val="0"/>
      </w:pPr>
      <w:r>
        <w:t xml:space="preserve">MR-Base for two-samples MR </w:t>
      </w:r>
      <w:hyperlink r:id="rId21" w:history="1">
        <w:r w:rsidRPr="00796CA9">
          <w:rPr>
            <w:rStyle w:val="Hyperlink"/>
          </w:rPr>
          <w:t>https://mrcieu.github.io/TwoSampleMR/</w:t>
        </w:r>
      </w:hyperlink>
    </w:p>
    <w:p w14:paraId="73AE925C" w14:textId="70833908" w:rsidR="00733C81" w:rsidRDefault="00312548" w:rsidP="00E327DE">
      <w:pPr>
        <w:pStyle w:val="NoSpacing2"/>
        <w:rPr>
          <w:rStyle w:val="Hyperlink"/>
          <w:rFonts w:eastAsia="Times New Roman"/>
          <w:bdr w:val="none" w:sz="0" w:space="0" w:color="auto" w:frame="1"/>
        </w:rPr>
      </w:pPr>
      <w:proofErr w:type="spellStart"/>
      <w:r>
        <w:rPr>
          <w:rStyle w:val="mjxassistivemathml"/>
          <w:rFonts w:eastAsia="Times New Roman"/>
          <w:bdr w:val="none" w:sz="0" w:space="0" w:color="auto" w:frame="1"/>
        </w:rPr>
        <w:t>mRnd</w:t>
      </w:r>
      <w:proofErr w:type="spellEnd"/>
      <w:r>
        <w:rPr>
          <w:rStyle w:val="mjxassistivemathml"/>
          <w:rFonts w:eastAsia="Times New Roman"/>
          <w:bdr w:val="none" w:sz="0" w:space="0" w:color="auto" w:frame="1"/>
        </w:rPr>
        <w:t xml:space="preserve">, power calculator for MR </w:t>
      </w:r>
      <w:hyperlink r:id="rId22" w:history="1">
        <w:r w:rsidRPr="00796CA9">
          <w:rPr>
            <w:rStyle w:val="Hyperlink"/>
            <w:rFonts w:eastAsia="Times New Roman"/>
            <w:bdr w:val="none" w:sz="0" w:space="0" w:color="auto" w:frame="1"/>
          </w:rPr>
          <w:t>http://cnsgenomics.com/shiny/mRnd/</w:t>
        </w:r>
      </w:hyperlink>
    </w:p>
    <w:p w14:paraId="2779CC0A" w14:textId="5EAAC633" w:rsidR="00D225FC" w:rsidRDefault="00D225FC" w:rsidP="00E327DE">
      <w:pPr>
        <w:pStyle w:val="NoSpacing2"/>
        <w:rPr>
          <w:rStyle w:val="mjxassistivemathml"/>
          <w:rFonts w:eastAsia="Times New Roman"/>
          <w:bdr w:val="none" w:sz="0" w:space="0" w:color="auto" w:frame="1"/>
        </w:rPr>
      </w:pPr>
      <w:r>
        <w:rPr>
          <w:rStyle w:val="mjxassistivemathml"/>
          <w:rFonts w:eastAsia="Times New Roman"/>
          <w:bdr w:val="none" w:sz="0" w:space="0" w:color="auto" w:frame="1"/>
        </w:rPr>
        <w:t xml:space="preserve">FUMA </w:t>
      </w:r>
      <w:hyperlink r:id="rId23" w:history="1">
        <w:r w:rsidRPr="00D50689">
          <w:rPr>
            <w:rStyle w:val="Hyperlink"/>
            <w:rFonts w:eastAsia="Times New Roman"/>
            <w:bdr w:val="none" w:sz="0" w:space="0" w:color="auto" w:frame="1"/>
          </w:rPr>
          <w:t>http://fuma.ctglab.nl/</w:t>
        </w:r>
      </w:hyperlink>
    </w:p>
    <w:p w14:paraId="3FACB1C3" w14:textId="7FBCB853" w:rsidR="00D225FC" w:rsidRDefault="00D225FC" w:rsidP="00E327DE">
      <w:pPr>
        <w:pStyle w:val="NoSpacing2"/>
        <w:rPr>
          <w:rStyle w:val="mjxassistivemathml"/>
          <w:rFonts w:eastAsia="Times New Roman"/>
          <w:bdr w:val="none" w:sz="0" w:space="0" w:color="auto" w:frame="1"/>
        </w:rPr>
      </w:pPr>
      <w:proofErr w:type="spellStart"/>
      <w:r>
        <w:rPr>
          <w:rStyle w:val="mjxassistivemathml"/>
          <w:rFonts w:eastAsia="Times New Roman"/>
          <w:bdr w:val="none" w:sz="0" w:space="0" w:color="auto" w:frame="1"/>
        </w:rPr>
        <w:t>LDLink</w:t>
      </w:r>
      <w:proofErr w:type="spellEnd"/>
      <w:r>
        <w:rPr>
          <w:rStyle w:val="mjxassistivemathml"/>
          <w:rFonts w:eastAsia="Times New Roman"/>
          <w:bdr w:val="none" w:sz="0" w:space="0" w:color="auto" w:frame="1"/>
        </w:rPr>
        <w:t xml:space="preserve"> </w:t>
      </w:r>
      <w:hyperlink r:id="rId24" w:history="1">
        <w:r w:rsidRPr="00D50689">
          <w:rPr>
            <w:rStyle w:val="Hyperlink"/>
            <w:rFonts w:eastAsia="Times New Roman"/>
            <w:bdr w:val="none" w:sz="0" w:space="0" w:color="auto" w:frame="1"/>
          </w:rPr>
          <w:t>https://ldlink.nci.nih.gov/</w:t>
        </w:r>
      </w:hyperlink>
    </w:p>
    <w:p w14:paraId="57D11C32" w14:textId="3A76C59D" w:rsidR="00D225FC" w:rsidRDefault="00D225FC" w:rsidP="00E327DE">
      <w:pPr>
        <w:pStyle w:val="NoSpacing2"/>
        <w:rPr>
          <w:rStyle w:val="Hyperlink"/>
          <w:rFonts w:eastAsia="Times New Roman"/>
          <w:bdr w:val="none" w:sz="0" w:space="0" w:color="auto" w:frame="1"/>
        </w:rPr>
      </w:pPr>
      <w:r>
        <w:rPr>
          <w:rStyle w:val="mjxassistivemathml"/>
          <w:rFonts w:eastAsia="Times New Roman"/>
          <w:bdr w:val="none" w:sz="0" w:space="0" w:color="auto" w:frame="1"/>
        </w:rPr>
        <w:t xml:space="preserve">ATLAS GWAS </w:t>
      </w:r>
      <w:hyperlink r:id="rId25" w:history="1">
        <w:r w:rsidRPr="00D50689">
          <w:rPr>
            <w:rStyle w:val="Hyperlink"/>
            <w:rFonts w:eastAsia="Times New Roman"/>
            <w:bdr w:val="none" w:sz="0" w:space="0" w:color="auto" w:frame="1"/>
          </w:rPr>
          <w:t>http://atlas.ctglab.nl/</w:t>
        </w:r>
      </w:hyperlink>
    </w:p>
    <w:p w14:paraId="7987FCBC" w14:textId="656CBF5C" w:rsidR="00D64F8B" w:rsidRDefault="00D64F8B" w:rsidP="00E327DE">
      <w:pPr>
        <w:pStyle w:val="NoSpacing2"/>
        <w:rPr>
          <w:rStyle w:val="mjxassistivemathml"/>
          <w:rFonts w:eastAsia="Times New Roman"/>
          <w:bdr w:val="none" w:sz="0" w:space="0" w:color="auto" w:frame="1"/>
        </w:rPr>
      </w:pPr>
      <w:r>
        <w:rPr>
          <w:rStyle w:val="mjxassistivemathml"/>
          <w:rFonts w:eastAsia="Times New Roman"/>
          <w:bdr w:val="none" w:sz="0" w:space="0" w:color="auto" w:frame="1"/>
        </w:rPr>
        <w:t xml:space="preserve">CGTA </w:t>
      </w:r>
      <w:hyperlink r:id="rId26" w:anchor="Overview" w:history="1">
        <w:r w:rsidRPr="002A5966">
          <w:rPr>
            <w:rStyle w:val="Hyperlink"/>
            <w:rFonts w:eastAsia="Times New Roman"/>
            <w:bdr w:val="none" w:sz="0" w:space="0" w:color="auto" w:frame="1"/>
          </w:rPr>
          <w:t>https://cnsgenomics.com/software/gcta/#Overview</w:t>
        </w:r>
      </w:hyperlink>
    </w:p>
    <w:p w14:paraId="12E02CAF" w14:textId="77777777" w:rsidR="00D64F8B" w:rsidRDefault="00D64F8B" w:rsidP="00E327DE">
      <w:pPr>
        <w:pStyle w:val="NoSpacing2"/>
        <w:rPr>
          <w:rStyle w:val="mjxassistivemathml"/>
          <w:rFonts w:eastAsia="Times New Roman"/>
          <w:bdr w:val="none" w:sz="0" w:space="0" w:color="auto" w:frame="1"/>
        </w:rPr>
      </w:pPr>
    </w:p>
    <w:p w14:paraId="752FDDEA" w14:textId="0F51FFDB" w:rsidR="00D225FC" w:rsidRDefault="00D225FC" w:rsidP="00E327DE">
      <w:pPr>
        <w:pStyle w:val="NoSpacing2"/>
        <w:rPr>
          <w:rStyle w:val="mjxassistivemathml"/>
          <w:rFonts w:eastAsia="Times New Roman"/>
          <w:bdr w:val="none" w:sz="0" w:space="0" w:color="auto" w:frame="1"/>
        </w:rPr>
      </w:pPr>
      <w:r>
        <w:rPr>
          <w:rStyle w:val="mjxassistivemathml"/>
          <w:rFonts w:eastAsia="Times New Roman"/>
          <w:bdr w:val="none" w:sz="0" w:space="0" w:color="auto" w:frame="1"/>
        </w:rPr>
        <w:t xml:space="preserve"> </w:t>
      </w:r>
    </w:p>
    <w:p w14:paraId="50138D49" w14:textId="77777777" w:rsidR="00312548" w:rsidRPr="00E327DE" w:rsidRDefault="00312548" w:rsidP="00E327DE">
      <w:pPr>
        <w:pStyle w:val="NoSpacing2"/>
      </w:pPr>
    </w:p>
    <w:sectPr w:rsidR="00312548" w:rsidRPr="00E327DE" w:rsidSect="00EB4138">
      <w:footerReference w:type="even" r:id="rId27"/>
      <w:footerReference w:type="default" r:id="rId28"/>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42D69F" w14:textId="77777777" w:rsidR="00857E34" w:rsidRDefault="00857E34" w:rsidP="009A7929">
      <w:r>
        <w:separator/>
      </w:r>
    </w:p>
  </w:endnote>
  <w:endnote w:type="continuationSeparator" w:id="0">
    <w:p w14:paraId="38B191C1" w14:textId="77777777" w:rsidR="00857E34" w:rsidRDefault="00857E34" w:rsidP="009A79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Consolas">
    <w:panose1 w:val="020B0609020204030204"/>
    <w:charset w:val="00"/>
    <w:family w:val="modern"/>
    <w:pitch w:val="fixed"/>
    <w:sig w:usb0="E10002FF" w:usb1="4000FCFF" w:usb2="00000009" w:usb3="00000000" w:csb0="0000019F" w:csb1="00000000"/>
  </w:font>
  <w:font w:name="Cambria Math">
    <w:panose1 w:val="02040503050406030204"/>
    <w:charset w:val="00"/>
    <w:family w:val="roman"/>
    <w:pitch w:val="variable"/>
    <w:sig w:usb0="E00002FF" w:usb1="420024FF" w:usb2="00000000" w:usb3="00000000" w:csb0="0000019F" w:csb1="00000000"/>
  </w:font>
  <w:font w:name="Calibri (Body)">
    <w:altName w:val="Calibri"/>
    <w:panose1 w:val="020B0604020202020204"/>
    <w:charset w:val="00"/>
    <w:family w:val="auto"/>
    <w:pitch w:val="variable"/>
    <w:sig w:usb0="E00002FF" w:usb1="4000A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74399E" w14:textId="77777777" w:rsidR="00653F41" w:rsidRDefault="00653F41" w:rsidP="00CD5ED8">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5C6ECB8" w14:textId="77777777" w:rsidR="00653F41" w:rsidRDefault="00653F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D68CD8" w14:textId="77777777" w:rsidR="00653F41" w:rsidRDefault="00653F41" w:rsidP="00CD5ED8">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16</w:t>
    </w:r>
    <w:r>
      <w:rPr>
        <w:rStyle w:val="PageNumber"/>
      </w:rPr>
      <w:fldChar w:fldCharType="end"/>
    </w:r>
  </w:p>
  <w:p w14:paraId="75CC2C90" w14:textId="77777777" w:rsidR="00653F41" w:rsidRDefault="00653F4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A82DDB" w14:textId="77777777" w:rsidR="00653F41" w:rsidRDefault="00653F41" w:rsidP="002E37AE">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9745331" w14:textId="77777777" w:rsidR="00653F41" w:rsidRDefault="00653F41" w:rsidP="009A7929">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AC3306" w14:textId="77777777" w:rsidR="00653F41" w:rsidRDefault="00653F41" w:rsidP="002E37AE">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17</w:t>
    </w:r>
    <w:r>
      <w:rPr>
        <w:rStyle w:val="PageNumber"/>
      </w:rPr>
      <w:fldChar w:fldCharType="end"/>
    </w:r>
  </w:p>
  <w:p w14:paraId="40C10A12" w14:textId="77777777" w:rsidR="00653F41" w:rsidRDefault="00653F41" w:rsidP="009A792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FF22FB" w14:textId="77777777" w:rsidR="00857E34" w:rsidRDefault="00857E34" w:rsidP="009A7929">
      <w:r>
        <w:separator/>
      </w:r>
    </w:p>
  </w:footnote>
  <w:footnote w:type="continuationSeparator" w:id="0">
    <w:p w14:paraId="02AF16E3" w14:textId="77777777" w:rsidR="00857E34" w:rsidRDefault="00857E34" w:rsidP="009A79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94063"/>
    <w:multiLevelType w:val="hybridMultilevel"/>
    <w:tmpl w:val="F6604D0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AB0129"/>
    <w:multiLevelType w:val="hybridMultilevel"/>
    <w:tmpl w:val="EEEC8F8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A243F4"/>
    <w:multiLevelType w:val="hybridMultilevel"/>
    <w:tmpl w:val="D2BE6AE8"/>
    <w:lvl w:ilvl="0" w:tplc="9C2846D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8C346AC"/>
    <w:multiLevelType w:val="hybridMultilevel"/>
    <w:tmpl w:val="D842D74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4AB25F0"/>
    <w:multiLevelType w:val="hybridMultilevel"/>
    <w:tmpl w:val="F6604D0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8A9449C"/>
    <w:multiLevelType w:val="hybridMultilevel"/>
    <w:tmpl w:val="565A20A6"/>
    <w:lvl w:ilvl="0" w:tplc="5614A52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4"/>
  </w:num>
  <w:num w:numId="4">
    <w:abstractNumId w:val="1"/>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230"/>
  <w:proofState w:spelling="clean"/>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2938"/>
    <w:rsid w:val="00001277"/>
    <w:rsid w:val="000017C2"/>
    <w:rsid w:val="00010AF3"/>
    <w:rsid w:val="000147BC"/>
    <w:rsid w:val="0002008A"/>
    <w:rsid w:val="00021D07"/>
    <w:rsid w:val="00023BFD"/>
    <w:rsid w:val="00024F61"/>
    <w:rsid w:val="00025145"/>
    <w:rsid w:val="000252F3"/>
    <w:rsid w:val="00027213"/>
    <w:rsid w:val="00030181"/>
    <w:rsid w:val="0003072D"/>
    <w:rsid w:val="00031DB4"/>
    <w:rsid w:val="00036459"/>
    <w:rsid w:val="00037BA4"/>
    <w:rsid w:val="00040E8F"/>
    <w:rsid w:val="00040EBA"/>
    <w:rsid w:val="000416A5"/>
    <w:rsid w:val="00044D07"/>
    <w:rsid w:val="00045583"/>
    <w:rsid w:val="00045B1E"/>
    <w:rsid w:val="0004742E"/>
    <w:rsid w:val="0005068D"/>
    <w:rsid w:val="00050782"/>
    <w:rsid w:val="0005114B"/>
    <w:rsid w:val="00052007"/>
    <w:rsid w:val="00053FF0"/>
    <w:rsid w:val="00054963"/>
    <w:rsid w:val="000559B5"/>
    <w:rsid w:val="00055B3B"/>
    <w:rsid w:val="00057B5B"/>
    <w:rsid w:val="00061E0E"/>
    <w:rsid w:val="000629DC"/>
    <w:rsid w:val="00063614"/>
    <w:rsid w:val="00064FF7"/>
    <w:rsid w:val="00066459"/>
    <w:rsid w:val="00066833"/>
    <w:rsid w:val="00066FB5"/>
    <w:rsid w:val="00071D78"/>
    <w:rsid w:val="0007223C"/>
    <w:rsid w:val="00074B3A"/>
    <w:rsid w:val="00075015"/>
    <w:rsid w:val="00076994"/>
    <w:rsid w:val="000769A2"/>
    <w:rsid w:val="00076BB2"/>
    <w:rsid w:val="00076E31"/>
    <w:rsid w:val="00077519"/>
    <w:rsid w:val="00077B98"/>
    <w:rsid w:val="00082384"/>
    <w:rsid w:val="00083125"/>
    <w:rsid w:val="000848AD"/>
    <w:rsid w:val="000848F9"/>
    <w:rsid w:val="00087E08"/>
    <w:rsid w:val="0009199E"/>
    <w:rsid w:val="00092752"/>
    <w:rsid w:val="00092DE3"/>
    <w:rsid w:val="00092EDB"/>
    <w:rsid w:val="00094724"/>
    <w:rsid w:val="000949CB"/>
    <w:rsid w:val="0009718F"/>
    <w:rsid w:val="000A03B5"/>
    <w:rsid w:val="000A0EC1"/>
    <w:rsid w:val="000A4F81"/>
    <w:rsid w:val="000A7106"/>
    <w:rsid w:val="000A7620"/>
    <w:rsid w:val="000B03EB"/>
    <w:rsid w:val="000B39C6"/>
    <w:rsid w:val="000B45FC"/>
    <w:rsid w:val="000B4A08"/>
    <w:rsid w:val="000B6195"/>
    <w:rsid w:val="000B6B5B"/>
    <w:rsid w:val="000B7A95"/>
    <w:rsid w:val="000C389E"/>
    <w:rsid w:val="000C3A61"/>
    <w:rsid w:val="000D0668"/>
    <w:rsid w:val="000D3C94"/>
    <w:rsid w:val="000D45B2"/>
    <w:rsid w:val="000D585E"/>
    <w:rsid w:val="000D6610"/>
    <w:rsid w:val="000D6FB2"/>
    <w:rsid w:val="000D797C"/>
    <w:rsid w:val="000E027C"/>
    <w:rsid w:val="000E3571"/>
    <w:rsid w:val="000E497A"/>
    <w:rsid w:val="000E4BFA"/>
    <w:rsid w:val="000E5B6F"/>
    <w:rsid w:val="000E7C6E"/>
    <w:rsid w:val="000E7E26"/>
    <w:rsid w:val="000F17CE"/>
    <w:rsid w:val="000F2CE5"/>
    <w:rsid w:val="000F30C2"/>
    <w:rsid w:val="001059DC"/>
    <w:rsid w:val="00110AA9"/>
    <w:rsid w:val="00111A3A"/>
    <w:rsid w:val="001141CF"/>
    <w:rsid w:val="001164A1"/>
    <w:rsid w:val="00116D4E"/>
    <w:rsid w:val="00117856"/>
    <w:rsid w:val="00120570"/>
    <w:rsid w:val="00122D44"/>
    <w:rsid w:val="001234CD"/>
    <w:rsid w:val="001254E0"/>
    <w:rsid w:val="00125D69"/>
    <w:rsid w:val="001273C1"/>
    <w:rsid w:val="00127E27"/>
    <w:rsid w:val="00133A27"/>
    <w:rsid w:val="00134BE7"/>
    <w:rsid w:val="00135743"/>
    <w:rsid w:val="00135AEA"/>
    <w:rsid w:val="00137DB3"/>
    <w:rsid w:val="00140594"/>
    <w:rsid w:val="0014193F"/>
    <w:rsid w:val="001419D8"/>
    <w:rsid w:val="00143D10"/>
    <w:rsid w:val="0014630F"/>
    <w:rsid w:val="00150451"/>
    <w:rsid w:val="0016078F"/>
    <w:rsid w:val="00161CAB"/>
    <w:rsid w:val="00162C88"/>
    <w:rsid w:val="00167AD6"/>
    <w:rsid w:val="00167C61"/>
    <w:rsid w:val="001706C8"/>
    <w:rsid w:val="00171B2E"/>
    <w:rsid w:val="001725BA"/>
    <w:rsid w:val="00174280"/>
    <w:rsid w:val="00175247"/>
    <w:rsid w:val="00175582"/>
    <w:rsid w:val="00181DE7"/>
    <w:rsid w:val="0018574D"/>
    <w:rsid w:val="00185F47"/>
    <w:rsid w:val="00186C9E"/>
    <w:rsid w:val="00187A3C"/>
    <w:rsid w:val="00190B9F"/>
    <w:rsid w:val="0019177E"/>
    <w:rsid w:val="00191982"/>
    <w:rsid w:val="001919E5"/>
    <w:rsid w:val="001927E5"/>
    <w:rsid w:val="00194B3C"/>
    <w:rsid w:val="001A1151"/>
    <w:rsid w:val="001A496B"/>
    <w:rsid w:val="001A768D"/>
    <w:rsid w:val="001A78CE"/>
    <w:rsid w:val="001B1D00"/>
    <w:rsid w:val="001B2814"/>
    <w:rsid w:val="001B45EC"/>
    <w:rsid w:val="001B5289"/>
    <w:rsid w:val="001C003E"/>
    <w:rsid w:val="001C2F4D"/>
    <w:rsid w:val="001D2903"/>
    <w:rsid w:val="001D2F2A"/>
    <w:rsid w:val="001D3174"/>
    <w:rsid w:val="001D47E3"/>
    <w:rsid w:val="001D5789"/>
    <w:rsid w:val="001D63BD"/>
    <w:rsid w:val="001E0441"/>
    <w:rsid w:val="001E384E"/>
    <w:rsid w:val="001F00E2"/>
    <w:rsid w:val="001F107A"/>
    <w:rsid w:val="001F15A6"/>
    <w:rsid w:val="001F1DC0"/>
    <w:rsid w:val="001F53A7"/>
    <w:rsid w:val="001F6DE2"/>
    <w:rsid w:val="001F75C6"/>
    <w:rsid w:val="002054BF"/>
    <w:rsid w:val="002063FB"/>
    <w:rsid w:val="00206B4F"/>
    <w:rsid w:val="002119D0"/>
    <w:rsid w:val="00220670"/>
    <w:rsid w:val="00220907"/>
    <w:rsid w:val="00220AD6"/>
    <w:rsid w:val="00220DA0"/>
    <w:rsid w:val="002256D2"/>
    <w:rsid w:val="00230C81"/>
    <w:rsid w:val="002316E9"/>
    <w:rsid w:val="00236356"/>
    <w:rsid w:val="00236EC6"/>
    <w:rsid w:val="0023771F"/>
    <w:rsid w:val="00237DEF"/>
    <w:rsid w:val="00237F7B"/>
    <w:rsid w:val="00242BB5"/>
    <w:rsid w:val="00243B21"/>
    <w:rsid w:val="0024438A"/>
    <w:rsid w:val="0024515C"/>
    <w:rsid w:val="0024535B"/>
    <w:rsid w:val="002463A7"/>
    <w:rsid w:val="002509C9"/>
    <w:rsid w:val="00250F2B"/>
    <w:rsid w:val="0025179E"/>
    <w:rsid w:val="0025408D"/>
    <w:rsid w:val="002547A4"/>
    <w:rsid w:val="00261FAF"/>
    <w:rsid w:val="0026277B"/>
    <w:rsid w:val="00262E2D"/>
    <w:rsid w:val="00262E7B"/>
    <w:rsid w:val="0026321B"/>
    <w:rsid w:val="002639C3"/>
    <w:rsid w:val="00267255"/>
    <w:rsid w:val="00267B28"/>
    <w:rsid w:val="0027505D"/>
    <w:rsid w:val="0027581D"/>
    <w:rsid w:val="00275DD6"/>
    <w:rsid w:val="002761B1"/>
    <w:rsid w:val="002779C8"/>
    <w:rsid w:val="00277F1B"/>
    <w:rsid w:val="002848CB"/>
    <w:rsid w:val="00287CC6"/>
    <w:rsid w:val="00291F6D"/>
    <w:rsid w:val="002941DE"/>
    <w:rsid w:val="0029451B"/>
    <w:rsid w:val="00294C23"/>
    <w:rsid w:val="00294E66"/>
    <w:rsid w:val="00295603"/>
    <w:rsid w:val="00295FB9"/>
    <w:rsid w:val="00297CC1"/>
    <w:rsid w:val="002A11D8"/>
    <w:rsid w:val="002A6517"/>
    <w:rsid w:val="002A68B9"/>
    <w:rsid w:val="002B0A54"/>
    <w:rsid w:val="002B17AB"/>
    <w:rsid w:val="002B2AA9"/>
    <w:rsid w:val="002B44F9"/>
    <w:rsid w:val="002B49E3"/>
    <w:rsid w:val="002B6232"/>
    <w:rsid w:val="002B67F2"/>
    <w:rsid w:val="002C2385"/>
    <w:rsid w:val="002C6164"/>
    <w:rsid w:val="002C7675"/>
    <w:rsid w:val="002C7812"/>
    <w:rsid w:val="002C79AF"/>
    <w:rsid w:val="002C7CF1"/>
    <w:rsid w:val="002D1CEB"/>
    <w:rsid w:val="002D1D52"/>
    <w:rsid w:val="002D2755"/>
    <w:rsid w:val="002D28C7"/>
    <w:rsid w:val="002D2FB2"/>
    <w:rsid w:val="002D55A4"/>
    <w:rsid w:val="002D7279"/>
    <w:rsid w:val="002E11B3"/>
    <w:rsid w:val="002E37AE"/>
    <w:rsid w:val="002E40EC"/>
    <w:rsid w:val="002E624D"/>
    <w:rsid w:val="002F2572"/>
    <w:rsid w:val="002F2AC0"/>
    <w:rsid w:val="002F2C06"/>
    <w:rsid w:val="002F5A1C"/>
    <w:rsid w:val="00300460"/>
    <w:rsid w:val="00301BFD"/>
    <w:rsid w:val="00301C60"/>
    <w:rsid w:val="00302C6D"/>
    <w:rsid w:val="00302DD2"/>
    <w:rsid w:val="003052AA"/>
    <w:rsid w:val="00306064"/>
    <w:rsid w:val="00307335"/>
    <w:rsid w:val="00312548"/>
    <w:rsid w:val="00313EC9"/>
    <w:rsid w:val="003154F4"/>
    <w:rsid w:val="00321A42"/>
    <w:rsid w:val="0032349A"/>
    <w:rsid w:val="0032399A"/>
    <w:rsid w:val="00323B3E"/>
    <w:rsid w:val="00323C7D"/>
    <w:rsid w:val="0032622B"/>
    <w:rsid w:val="0033474F"/>
    <w:rsid w:val="003364B2"/>
    <w:rsid w:val="00340E47"/>
    <w:rsid w:val="003435A1"/>
    <w:rsid w:val="00350DD5"/>
    <w:rsid w:val="00362D60"/>
    <w:rsid w:val="00363A56"/>
    <w:rsid w:val="00367048"/>
    <w:rsid w:val="003677F2"/>
    <w:rsid w:val="003714DF"/>
    <w:rsid w:val="00371C78"/>
    <w:rsid w:val="0037208C"/>
    <w:rsid w:val="0037544C"/>
    <w:rsid w:val="00375E3D"/>
    <w:rsid w:val="00380E4A"/>
    <w:rsid w:val="00383168"/>
    <w:rsid w:val="00384715"/>
    <w:rsid w:val="00387E84"/>
    <w:rsid w:val="00393826"/>
    <w:rsid w:val="00395647"/>
    <w:rsid w:val="003A188F"/>
    <w:rsid w:val="003A2EFC"/>
    <w:rsid w:val="003A45C7"/>
    <w:rsid w:val="003A4698"/>
    <w:rsid w:val="003A5895"/>
    <w:rsid w:val="003A63AC"/>
    <w:rsid w:val="003A63B0"/>
    <w:rsid w:val="003A73FE"/>
    <w:rsid w:val="003B2B44"/>
    <w:rsid w:val="003B4902"/>
    <w:rsid w:val="003B50CC"/>
    <w:rsid w:val="003C0AE5"/>
    <w:rsid w:val="003C3E45"/>
    <w:rsid w:val="003C51EC"/>
    <w:rsid w:val="003C6783"/>
    <w:rsid w:val="003D002C"/>
    <w:rsid w:val="003D067B"/>
    <w:rsid w:val="003D0786"/>
    <w:rsid w:val="003D4B0C"/>
    <w:rsid w:val="003D50B7"/>
    <w:rsid w:val="003D631F"/>
    <w:rsid w:val="003D7F9D"/>
    <w:rsid w:val="003E5B1A"/>
    <w:rsid w:val="003E5C1B"/>
    <w:rsid w:val="003F09C0"/>
    <w:rsid w:val="003F0B65"/>
    <w:rsid w:val="003F1871"/>
    <w:rsid w:val="003F2E58"/>
    <w:rsid w:val="003F3428"/>
    <w:rsid w:val="003F3CBE"/>
    <w:rsid w:val="003F3D65"/>
    <w:rsid w:val="003F52CE"/>
    <w:rsid w:val="003F58D0"/>
    <w:rsid w:val="003F6561"/>
    <w:rsid w:val="004007F8"/>
    <w:rsid w:val="0040366C"/>
    <w:rsid w:val="00404EF4"/>
    <w:rsid w:val="00405E76"/>
    <w:rsid w:val="004106DB"/>
    <w:rsid w:val="00412DDC"/>
    <w:rsid w:val="004151CE"/>
    <w:rsid w:val="0041529B"/>
    <w:rsid w:val="00416186"/>
    <w:rsid w:val="00417BE4"/>
    <w:rsid w:val="00420776"/>
    <w:rsid w:val="004210D2"/>
    <w:rsid w:val="00423CAB"/>
    <w:rsid w:val="004278DC"/>
    <w:rsid w:val="00427ADB"/>
    <w:rsid w:val="0043335F"/>
    <w:rsid w:val="00433C83"/>
    <w:rsid w:val="00434067"/>
    <w:rsid w:val="00435888"/>
    <w:rsid w:val="00440B70"/>
    <w:rsid w:val="00441430"/>
    <w:rsid w:val="00442334"/>
    <w:rsid w:val="004425E9"/>
    <w:rsid w:val="00442A07"/>
    <w:rsid w:val="00444F15"/>
    <w:rsid w:val="00446050"/>
    <w:rsid w:val="004462A6"/>
    <w:rsid w:val="00446EE3"/>
    <w:rsid w:val="0045023F"/>
    <w:rsid w:val="00453752"/>
    <w:rsid w:val="00453DC1"/>
    <w:rsid w:val="00455F9B"/>
    <w:rsid w:val="0045753E"/>
    <w:rsid w:val="00457AFF"/>
    <w:rsid w:val="004651F5"/>
    <w:rsid w:val="00465841"/>
    <w:rsid w:val="00466705"/>
    <w:rsid w:val="00470E6F"/>
    <w:rsid w:val="004715D7"/>
    <w:rsid w:val="00472D04"/>
    <w:rsid w:val="00475B91"/>
    <w:rsid w:val="00476E3F"/>
    <w:rsid w:val="00482421"/>
    <w:rsid w:val="00484D58"/>
    <w:rsid w:val="00484FD5"/>
    <w:rsid w:val="00485DE9"/>
    <w:rsid w:val="0048645A"/>
    <w:rsid w:val="00492075"/>
    <w:rsid w:val="00493948"/>
    <w:rsid w:val="0049487A"/>
    <w:rsid w:val="00494DD2"/>
    <w:rsid w:val="004A13C2"/>
    <w:rsid w:val="004A164F"/>
    <w:rsid w:val="004A1988"/>
    <w:rsid w:val="004A217D"/>
    <w:rsid w:val="004A30E5"/>
    <w:rsid w:val="004A3281"/>
    <w:rsid w:val="004A5560"/>
    <w:rsid w:val="004A6846"/>
    <w:rsid w:val="004A790A"/>
    <w:rsid w:val="004B014D"/>
    <w:rsid w:val="004B436D"/>
    <w:rsid w:val="004B6AA0"/>
    <w:rsid w:val="004C136F"/>
    <w:rsid w:val="004C4445"/>
    <w:rsid w:val="004C5232"/>
    <w:rsid w:val="004C5330"/>
    <w:rsid w:val="004D0B20"/>
    <w:rsid w:val="004D1433"/>
    <w:rsid w:val="004D184F"/>
    <w:rsid w:val="004D332C"/>
    <w:rsid w:val="004D3878"/>
    <w:rsid w:val="004D48C2"/>
    <w:rsid w:val="004E2157"/>
    <w:rsid w:val="004E305B"/>
    <w:rsid w:val="004E359D"/>
    <w:rsid w:val="004E3FAD"/>
    <w:rsid w:val="004E5DD3"/>
    <w:rsid w:val="004F59D7"/>
    <w:rsid w:val="004F7856"/>
    <w:rsid w:val="00501133"/>
    <w:rsid w:val="00501330"/>
    <w:rsid w:val="00502E56"/>
    <w:rsid w:val="0050312B"/>
    <w:rsid w:val="00504A7D"/>
    <w:rsid w:val="00505F13"/>
    <w:rsid w:val="0051035D"/>
    <w:rsid w:val="00511F00"/>
    <w:rsid w:val="00513231"/>
    <w:rsid w:val="00515D06"/>
    <w:rsid w:val="00517F50"/>
    <w:rsid w:val="00522425"/>
    <w:rsid w:val="00522B36"/>
    <w:rsid w:val="00523C1B"/>
    <w:rsid w:val="00527E94"/>
    <w:rsid w:val="00533C70"/>
    <w:rsid w:val="00534498"/>
    <w:rsid w:val="00536CF4"/>
    <w:rsid w:val="00542095"/>
    <w:rsid w:val="0054228F"/>
    <w:rsid w:val="00543877"/>
    <w:rsid w:val="00544C0E"/>
    <w:rsid w:val="00545771"/>
    <w:rsid w:val="00545CD9"/>
    <w:rsid w:val="00547D52"/>
    <w:rsid w:val="00553764"/>
    <w:rsid w:val="00553969"/>
    <w:rsid w:val="00554401"/>
    <w:rsid w:val="0055627A"/>
    <w:rsid w:val="005607BD"/>
    <w:rsid w:val="0056089A"/>
    <w:rsid w:val="00561D81"/>
    <w:rsid w:val="00564D62"/>
    <w:rsid w:val="005656BA"/>
    <w:rsid w:val="00566A51"/>
    <w:rsid w:val="00566F5B"/>
    <w:rsid w:val="00571AA7"/>
    <w:rsid w:val="00575BC0"/>
    <w:rsid w:val="00577D33"/>
    <w:rsid w:val="00585E9D"/>
    <w:rsid w:val="005869C3"/>
    <w:rsid w:val="005872DE"/>
    <w:rsid w:val="00590B04"/>
    <w:rsid w:val="00595A93"/>
    <w:rsid w:val="00596270"/>
    <w:rsid w:val="005A33D6"/>
    <w:rsid w:val="005A3C03"/>
    <w:rsid w:val="005A5047"/>
    <w:rsid w:val="005A7CE3"/>
    <w:rsid w:val="005B1D8A"/>
    <w:rsid w:val="005B4DA6"/>
    <w:rsid w:val="005B5B72"/>
    <w:rsid w:val="005B5D72"/>
    <w:rsid w:val="005B7410"/>
    <w:rsid w:val="005C07ED"/>
    <w:rsid w:val="005C2A31"/>
    <w:rsid w:val="005D2814"/>
    <w:rsid w:val="005D34F6"/>
    <w:rsid w:val="005D6F0E"/>
    <w:rsid w:val="005E1932"/>
    <w:rsid w:val="005E59C0"/>
    <w:rsid w:val="005E7933"/>
    <w:rsid w:val="005F51B0"/>
    <w:rsid w:val="006001F3"/>
    <w:rsid w:val="0060421D"/>
    <w:rsid w:val="00604454"/>
    <w:rsid w:val="00604EE2"/>
    <w:rsid w:val="00611998"/>
    <w:rsid w:val="006121B8"/>
    <w:rsid w:val="00613280"/>
    <w:rsid w:val="0061555E"/>
    <w:rsid w:val="00616C05"/>
    <w:rsid w:val="00620697"/>
    <w:rsid w:val="00621898"/>
    <w:rsid w:val="006229AD"/>
    <w:rsid w:val="00622BBB"/>
    <w:rsid w:val="00624499"/>
    <w:rsid w:val="00627611"/>
    <w:rsid w:val="00630923"/>
    <w:rsid w:val="006313AB"/>
    <w:rsid w:val="00631A15"/>
    <w:rsid w:val="006329F9"/>
    <w:rsid w:val="00636B30"/>
    <w:rsid w:val="0064184E"/>
    <w:rsid w:val="0064187F"/>
    <w:rsid w:val="006430E7"/>
    <w:rsid w:val="006447CE"/>
    <w:rsid w:val="006453A7"/>
    <w:rsid w:val="00647CF1"/>
    <w:rsid w:val="00651C28"/>
    <w:rsid w:val="006528EA"/>
    <w:rsid w:val="00653C48"/>
    <w:rsid w:val="00653F41"/>
    <w:rsid w:val="00654F7E"/>
    <w:rsid w:val="00655601"/>
    <w:rsid w:val="00656BC5"/>
    <w:rsid w:val="00657013"/>
    <w:rsid w:val="00657D34"/>
    <w:rsid w:val="00660CEF"/>
    <w:rsid w:val="006621ED"/>
    <w:rsid w:val="00662533"/>
    <w:rsid w:val="006625CA"/>
    <w:rsid w:val="006645C9"/>
    <w:rsid w:val="00665821"/>
    <w:rsid w:val="00665824"/>
    <w:rsid w:val="006659A3"/>
    <w:rsid w:val="00666157"/>
    <w:rsid w:val="006701F1"/>
    <w:rsid w:val="006714CD"/>
    <w:rsid w:val="006726F8"/>
    <w:rsid w:val="00672BFD"/>
    <w:rsid w:val="00673104"/>
    <w:rsid w:val="00673D20"/>
    <w:rsid w:val="006750CB"/>
    <w:rsid w:val="00676848"/>
    <w:rsid w:val="00683407"/>
    <w:rsid w:val="00683A7B"/>
    <w:rsid w:val="006848E2"/>
    <w:rsid w:val="006855FC"/>
    <w:rsid w:val="00685AE5"/>
    <w:rsid w:val="00686162"/>
    <w:rsid w:val="00691674"/>
    <w:rsid w:val="006926AF"/>
    <w:rsid w:val="006927DD"/>
    <w:rsid w:val="00693AE8"/>
    <w:rsid w:val="0069580A"/>
    <w:rsid w:val="00695C81"/>
    <w:rsid w:val="00696B26"/>
    <w:rsid w:val="006A0794"/>
    <w:rsid w:val="006A1082"/>
    <w:rsid w:val="006A1094"/>
    <w:rsid w:val="006A3201"/>
    <w:rsid w:val="006A33F8"/>
    <w:rsid w:val="006A3C59"/>
    <w:rsid w:val="006A5B52"/>
    <w:rsid w:val="006B1769"/>
    <w:rsid w:val="006B3771"/>
    <w:rsid w:val="006B3DD3"/>
    <w:rsid w:val="006B4349"/>
    <w:rsid w:val="006B63E2"/>
    <w:rsid w:val="006B680B"/>
    <w:rsid w:val="006B731D"/>
    <w:rsid w:val="006B791D"/>
    <w:rsid w:val="006C05D2"/>
    <w:rsid w:val="006C1C46"/>
    <w:rsid w:val="006C3892"/>
    <w:rsid w:val="006C3A7C"/>
    <w:rsid w:val="006C572F"/>
    <w:rsid w:val="006C58E8"/>
    <w:rsid w:val="006C79F0"/>
    <w:rsid w:val="006D0033"/>
    <w:rsid w:val="006D1C31"/>
    <w:rsid w:val="006D267C"/>
    <w:rsid w:val="006D38F6"/>
    <w:rsid w:val="006D42C8"/>
    <w:rsid w:val="006D4423"/>
    <w:rsid w:val="006E01E8"/>
    <w:rsid w:val="006E0A4F"/>
    <w:rsid w:val="006E16CB"/>
    <w:rsid w:val="006E2485"/>
    <w:rsid w:val="006E382F"/>
    <w:rsid w:val="006E3D4F"/>
    <w:rsid w:val="006E5943"/>
    <w:rsid w:val="006E7ED2"/>
    <w:rsid w:val="006F39A2"/>
    <w:rsid w:val="006F40E0"/>
    <w:rsid w:val="006F6209"/>
    <w:rsid w:val="006F69B2"/>
    <w:rsid w:val="00700615"/>
    <w:rsid w:val="00701213"/>
    <w:rsid w:val="00701C94"/>
    <w:rsid w:val="0070290E"/>
    <w:rsid w:val="00703CD9"/>
    <w:rsid w:val="00704583"/>
    <w:rsid w:val="007157DD"/>
    <w:rsid w:val="00722DD6"/>
    <w:rsid w:val="00724355"/>
    <w:rsid w:val="00725349"/>
    <w:rsid w:val="007267F9"/>
    <w:rsid w:val="00730F50"/>
    <w:rsid w:val="00733C81"/>
    <w:rsid w:val="007352D8"/>
    <w:rsid w:val="00735878"/>
    <w:rsid w:val="00735BBD"/>
    <w:rsid w:val="00736FA0"/>
    <w:rsid w:val="00740F57"/>
    <w:rsid w:val="007445DF"/>
    <w:rsid w:val="00745510"/>
    <w:rsid w:val="00747BCE"/>
    <w:rsid w:val="0075075E"/>
    <w:rsid w:val="00754AB5"/>
    <w:rsid w:val="00755B67"/>
    <w:rsid w:val="00757EA9"/>
    <w:rsid w:val="007624F1"/>
    <w:rsid w:val="007628FF"/>
    <w:rsid w:val="00764E04"/>
    <w:rsid w:val="00765AE6"/>
    <w:rsid w:val="00765B35"/>
    <w:rsid w:val="00770D50"/>
    <w:rsid w:val="00775004"/>
    <w:rsid w:val="007766BF"/>
    <w:rsid w:val="00780008"/>
    <w:rsid w:val="00783B66"/>
    <w:rsid w:val="00785BA0"/>
    <w:rsid w:val="0079388F"/>
    <w:rsid w:val="00795C31"/>
    <w:rsid w:val="00795C79"/>
    <w:rsid w:val="00797D87"/>
    <w:rsid w:val="007A2293"/>
    <w:rsid w:val="007A3630"/>
    <w:rsid w:val="007A4B00"/>
    <w:rsid w:val="007A59C6"/>
    <w:rsid w:val="007A662C"/>
    <w:rsid w:val="007A6658"/>
    <w:rsid w:val="007B02C5"/>
    <w:rsid w:val="007C08E3"/>
    <w:rsid w:val="007C103D"/>
    <w:rsid w:val="007C2BDA"/>
    <w:rsid w:val="007D18D0"/>
    <w:rsid w:val="007D1C87"/>
    <w:rsid w:val="007D70E0"/>
    <w:rsid w:val="007E0917"/>
    <w:rsid w:val="007E34BD"/>
    <w:rsid w:val="007E5649"/>
    <w:rsid w:val="007E7F11"/>
    <w:rsid w:val="007F2DB9"/>
    <w:rsid w:val="007F308A"/>
    <w:rsid w:val="007F3284"/>
    <w:rsid w:val="007F4C67"/>
    <w:rsid w:val="00803BFB"/>
    <w:rsid w:val="00806296"/>
    <w:rsid w:val="00807F88"/>
    <w:rsid w:val="0081355D"/>
    <w:rsid w:val="008137E8"/>
    <w:rsid w:val="00814CEF"/>
    <w:rsid w:val="008177C1"/>
    <w:rsid w:val="00821B51"/>
    <w:rsid w:val="00824F7E"/>
    <w:rsid w:val="0082597B"/>
    <w:rsid w:val="00830236"/>
    <w:rsid w:val="008330CD"/>
    <w:rsid w:val="00840467"/>
    <w:rsid w:val="00840C39"/>
    <w:rsid w:val="00841604"/>
    <w:rsid w:val="008428AE"/>
    <w:rsid w:val="00847A20"/>
    <w:rsid w:val="00847B25"/>
    <w:rsid w:val="00851693"/>
    <w:rsid w:val="008526E4"/>
    <w:rsid w:val="00852EB2"/>
    <w:rsid w:val="0085455A"/>
    <w:rsid w:val="0085713B"/>
    <w:rsid w:val="0085770F"/>
    <w:rsid w:val="00857E34"/>
    <w:rsid w:val="00860851"/>
    <w:rsid w:val="00862828"/>
    <w:rsid w:val="008640E5"/>
    <w:rsid w:val="008654A3"/>
    <w:rsid w:val="0086620B"/>
    <w:rsid w:val="00867099"/>
    <w:rsid w:val="00873506"/>
    <w:rsid w:val="00873794"/>
    <w:rsid w:val="00875E4E"/>
    <w:rsid w:val="00882504"/>
    <w:rsid w:val="00883905"/>
    <w:rsid w:val="008851B4"/>
    <w:rsid w:val="00886576"/>
    <w:rsid w:val="008913BA"/>
    <w:rsid w:val="00892869"/>
    <w:rsid w:val="008940E0"/>
    <w:rsid w:val="00894C0D"/>
    <w:rsid w:val="00896B60"/>
    <w:rsid w:val="0089786D"/>
    <w:rsid w:val="008A1C1E"/>
    <w:rsid w:val="008A22FF"/>
    <w:rsid w:val="008A2A2D"/>
    <w:rsid w:val="008A736E"/>
    <w:rsid w:val="008A7BE5"/>
    <w:rsid w:val="008B0C4C"/>
    <w:rsid w:val="008B15B4"/>
    <w:rsid w:val="008B6C62"/>
    <w:rsid w:val="008B71FF"/>
    <w:rsid w:val="008C06DE"/>
    <w:rsid w:val="008C1EE0"/>
    <w:rsid w:val="008C43F1"/>
    <w:rsid w:val="008C448E"/>
    <w:rsid w:val="008C5429"/>
    <w:rsid w:val="008D10FD"/>
    <w:rsid w:val="008D3117"/>
    <w:rsid w:val="008D4902"/>
    <w:rsid w:val="008D513A"/>
    <w:rsid w:val="008D520D"/>
    <w:rsid w:val="008D6082"/>
    <w:rsid w:val="008D6430"/>
    <w:rsid w:val="008E1201"/>
    <w:rsid w:val="008E1EBA"/>
    <w:rsid w:val="008E3F59"/>
    <w:rsid w:val="008E7477"/>
    <w:rsid w:val="008E7C50"/>
    <w:rsid w:val="008F162D"/>
    <w:rsid w:val="008F1896"/>
    <w:rsid w:val="008F1988"/>
    <w:rsid w:val="008F29CC"/>
    <w:rsid w:val="008F514E"/>
    <w:rsid w:val="008F69E8"/>
    <w:rsid w:val="008F7531"/>
    <w:rsid w:val="008F7EB1"/>
    <w:rsid w:val="00901423"/>
    <w:rsid w:val="00903808"/>
    <w:rsid w:val="00903FEC"/>
    <w:rsid w:val="0090614D"/>
    <w:rsid w:val="00907BBE"/>
    <w:rsid w:val="0091174D"/>
    <w:rsid w:val="00911CDD"/>
    <w:rsid w:val="00915290"/>
    <w:rsid w:val="00920101"/>
    <w:rsid w:val="00920F5E"/>
    <w:rsid w:val="00921763"/>
    <w:rsid w:val="009243E1"/>
    <w:rsid w:val="00925D38"/>
    <w:rsid w:val="00926B26"/>
    <w:rsid w:val="00927936"/>
    <w:rsid w:val="0093090D"/>
    <w:rsid w:val="009322D3"/>
    <w:rsid w:val="00933AB2"/>
    <w:rsid w:val="00934DB3"/>
    <w:rsid w:val="009403D1"/>
    <w:rsid w:val="009405AB"/>
    <w:rsid w:val="00944A12"/>
    <w:rsid w:val="00945569"/>
    <w:rsid w:val="009456B4"/>
    <w:rsid w:val="00945BC1"/>
    <w:rsid w:val="00946790"/>
    <w:rsid w:val="00950EE0"/>
    <w:rsid w:val="009525FB"/>
    <w:rsid w:val="00952E65"/>
    <w:rsid w:val="00953749"/>
    <w:rsid w:val="009539FD"/>
    <w:rsid w:val="00956BDC"/>
    <w:rsid w:val="00956EB8"/>
    <w:rsid w:val="00960FA6"/>
    <w:rsid w:val="00964CA0"/>
    <w:rsid w:val="009674A1"/>
    <w:rsid w:val="00973FAE"/>
    <w:rsid w:val="00974120"/>
    <w:rsid w:val="00981AF4"/>
    <w:rsid w:val="009844AA"/>
    <w:rsid w:val="009929B4"/>
    <w:rsid w:val="00994A18"/>
    <w:rsid w:val="0099519F"/>
    <w:rsid w:val="00996EEC"/>
    <w:rsid w:val="00997D29"/>
    <w:rsid w:val="009A1F0B"/>
    <w:rsid w:val="009A2857"/>
    <w:rsid w:val="009A391F"/>
    <w:rsid w:val="009A3BD2"/>
    <w:rsid w:val="009A4233"/>
    <w:rsid w:val="009A5070"/>
    <w:rsid w:val="009A61E1"/>
    <w:rsid w:val="009A6C26"/>
    <w:rsid w:val="009A73FF"/>
    <w:rsid w:val="009A7929"/>
    <w:rsid w:val="009B00C4"/>
    <w:rsid w:val="009B11BC"/>
    <w:rsid w:val="009B55D9"/>
    <w:rsid w:val="009C16A9"/>
    <w:rsid w:val="009C2BB0"/>
    <w:rsid w:val="009C7606"/>
    <w:rsid w:val="009D17D3"/>
    <w:rsid w:val="009D40D2"/>
    <w:rsid w:val="009D4B1B"/>
    <w:rsid w:val="009D6455"/>
    <w:rsid w:val="009D7AF6"/>
    <w:rsid w:val="009E0B61"/>
    <w:rsid w:val="009E0E2D"/>
    <w:rsid w:val="009E37EA"/>
    <w:rsid w:val="009E3F5B"/>
    <w:rsid w:val="009E62DC"/>
    <w:rsid w:val="009E6AD9"/>
    <w:rsid w:val="009E70EB"/>
    <w:rsid w:val="009E7A01"/>
    <w:rsid w:val="009F1472"/>
    <w:rsid w:val="009F4FC2"/>
    <w:rsid w:val="009F6307"/>
    <w:rsid w:val="009F77BD"/>
    <w:rsid w:val="00A00AB4"/>
    <w:rsid w:val="00A011A9"/>
    <w:rsid w:val="00A0148F"/>
    <w:rsid w:val="00A01DEE"/>
    <w:rsid w:val="00A025D3"/>
    <w:rsid w:val="00A031FC"/>
    <w:rsid w:val="00A0509D"/>
    <w:rsid w:val="00A051DD"/>
    <w:rsid w:val="00A060CB"/>
    <w:rsid w:val="00A110E3"/>
    <w:rsid w:val="00A11C60"/>
    <w:rsid w:val="00A13BD2"/>
    <w:rsid w:val="00A13CCB"/>
    <w:rsid w:val="00A13EA0"/>
    <w:rsid w:val="00A14DC4"/>
    <w:rsid w:val="00A17738"/>
    <w:rsid w:val="00A178D6"/>
    <w:rsid w:val="00A17A1F"/>
    <w:rsid w:val="00A209F3"/>
    <w:rsid w:val="00A20D7F"/>
    <w:rsid w:val="00A2211E"/>
    <w:rsid w:val="00A226B4"/>
    <w:rsid w:val="00A241DA"/>
    <w:rsid w:val="00A25146"/>
    <w:rsid w:val="00A25AE2"/>
    <w:rsid w:val="00A32FE1"/>
    <w:rsid w:val="00A3693F"/>
    <w:rsid w:val="00A37926"/>
    <w:rsid w:val="00A41FEC"/>
    <w:rsid w:val="00A42C37"/>
    <w:rsid w:val="00A4690A"/>
    <w:rsid w:val="00A50524"/>
    <w:rsid w:val="00A52109"/>
    <w:rsid w:val="00A55813"/>
    <w:rsid w:val="00A55E79"/>
    <w:rsid w:val="00A578D8"/>
    <w:rsid w:val="00A60CEB"/>
    <w:rsid w:val="00A61D92"/>
    <w:rsid w:val="00A624EB"/>
    <w:rsid w:val="00A62588"/>
    <w:rsid w:val="00A62633"/>
    <w:rsid w:val="00A62AB0"/>
    <w:rsid w:val="00A63C85"/>
    <w:rsid w:val="00A63F3B"/>
    <w:rsid w:val="00A63FDC"/>
    <w:rsid w:val="00A65827"/>
    <w:rsid w:val="00A671C9"/>
    <w:rsid w:val="00A7040F"/>
    <w:rsid w:val="00A704D6"/>
    <w:rsid w:val="00A72EF7"/>
    <w:rsid w:val="00A73F05"/>
    <w:rsid w:val="00A75F23"/>
    <w:rsid w:val="00A76242"/>
    <w:rsid w:val="00A77F25"/>
    <w:rsid w:val="00A802D2"/>
    <w:rsid w:val="00A82E31"/>
    <w:rsid w:val="00A836C6"/>
    <w:rsid w:val="00A8485F"/>
    <w:rsid w:val="00A85875"/>
    <w:rsid w:val="00A861D4"/>
    <w:rsid w:val="00A864D5"/>
    <w:rsid w:val="00A86D90"/>
    <w:rsid w:val="00A91CC1"/>
    <w:rsid w:val="00A91D05"/>
    <w:rsid w:val="00A93140"/>
    <w:rsid w:val="00A950CF"/>
    <w:rsid w:val="00A962F6"/>
    <w:rsid w:val="00A97829"/>
    <w:rsid w:val="00AA14B9"/>
    <w:rsid w:val="00AA43ED"/>
    <w:rsid w:val="00AA4E53"/>
    <w:rsid w:val="00AB0C64"/>
    <w:rsid w:val="00AB18B8"/>
    <w:rsid w:val="00AB35DB"/>
    <w:rsid w:val="00AB7F1B"/>
    <w:rsid w:val="00AC1AFD"/>
    <w:rsid w:val="00AC33B9"/>
    <w:rsid w:val="00AC4D10"/>
    <w:rsid w:val="00AC5C22"/>
    <w:rsid w:val="00AC7B09"/>
    <w:rsid w:val="00AD5AEC"/>
    <w:rsid w:val="00AD6167"/>
    <w:rsid w:val="00AE0A97"/>
    <w:rsid w:val="00AE1867"/>
    <w:rsid w:val="00AE219B"/>
    <w:rsid w:val="00AE3E08"/>
    <w:rsid w:val="00AF1511"/>
    <w:rsid w:val="00B00F46"/>
    <w:rsid w:val="00B02370"/>
    <w:rsid w:val="00B0651C"/>
    <w:rsid w:val="00B070FD"/>
    <w:rsid w:val="00B11A90"/>
    <w:rsid w:val="00B14B14"/>
    <w:rsid w:val="00B152F0"/>
    <w:rsid w:val="00B173FA"/>
    <w:rsid w:val="00B17446"/>
    <w:rsid w:val="00B205AF"/>
    <w:rsid w:val="00B20A91"/>
    <w:rsid w:val="00B20C69"/>
    <w:rsid w:val="00B21DD8"/>
    <w:rsid w:val="00B21FAD"/>
    <w:rsid w:val="00B22312"/>
    <w:rsid w:val="00B225A2"/>
    <w:rsid w:val="00B23227"/>
    <w:rsid w:val="00B23590"/>
    <w:rsid w:val="00B26942"/>
    <w:rsid w:val="00B2784F"/>
    <w:rsid w:val="00B27C98"/>
    <w:rsid w:val="00B3314B"/>
    <w:rsid w:val="00B439C9"/>
    <w:rsid w:val="00B5042D"/>
    <w:rsid w:val="00B50E9C"/>
    <w:rsid w:val="00B55ABB"/>
    <w:rsid w:val="00B57277"/>
    <w:rsid w:val="00B57C7E"/>
    <w:rsid w:val="00B61123"/>
    <w:rsid w:val="00B634DA"/>
    <w:rsid w:val="00B67634"/>
    <w:rsid w:val="00B70A59"/>
    <w:rsid w:val="00B80BEA"/>
    <w:rsid w:val="00B87A39"/>
    <w:rsid w:val="00B93617"/>
    <w:rsid w:val="00B958D7"/>
    <w:rsid w:val="00B959E9"/>
    <w:rsid w:val="00B966EA"/>
    <w:rsid w:val="00BA179C"/>
    <w:rsid w:val="00BA2302"/>
    <w:rsid w:val="00BA3266"/>
    <w:rsid w:val="00BA43F4"/>
    <w:rsid w:val="00BA49EE"/>
    <w:rsid w:val="00BA510D"/>
    <w:rsid w:val="00BA54E0"/>
    <w:rsid w:val="00BB040F"/>
    <w:rsid w:val="00BB05B8"/>
    <w:rsid w:val="00BB196E"/>
    <w:rsid w:val="00BB2CD2"/>
    <w:rsid w:val="00BB36BF"/>
    <w:rsid w:val="00BB4F62"/>
    <w:rsid w:val="00BB5E06"/>
    <w:rsid w:val="00BB655E"/>
    <w:rsid w:val="00BB68DF"/>
    <w:rsid w:val="00BB698F"/>
    <w:rsid w:val="00BB7DF4"/>
    <w:rsid w:val="00BC0769"/>
    <w:rsid w:val="00BC0CFC"/>
    <w:rsid w:val="00BC21F1"/>
    <w:rsid w:val="00BC2896"/>
    <w:rsid w:val="00BD1043"/>
    <w:rsid w:val="00BD5ECD"/>
    <w:rsid w:val="00BD669D"/>
    <w:rsid w:val="00BD7E47"/>
    <w:rsid w:val="00BE2893"/>
    <w:rsid w:val="00BE2CED"/>
    <w:rsid w:val="00BE3E3B"/>
    <w:rsid w:val="00BE4F08"/>
    <w:rsid w:val="00BE626E"/>
    <w:rsid w:val="00BF15E7"/>
    <w:rsid w:val="00BF1AF2"/>
    <w:rsid w:val="00BF3E1B"/>
    <w:rsid w:val="00BF62F1"/>
    <w:rsid w:val="00C0249D"/>
    <w:rsid w:val="00C04212"/>
    <w:rsid w:val="00C0748A"/>
    <w:rsid w:val="00C078E5"/>
    <w:rsid w:val="00C10139"/>
    <w:rsid w:val="00C10287"/>
    <w:rsid w:val="00C16909"/>
    <w:rsid w:val="00C17852"/>
    <w:rsid w:val="00C217A5"/>
    <w:rsid w:val="00C23D6A"/>
    <w:rsid w:val="00C245AA"/>
    <w:rsid w:val="00C31164"/>
    <w:rsid w:val="00C31206"/>
    <w:rsid w:val="00C346A2"/>
    <w:rsid w:val="00C34C16"/>
    <w:rsid w:val="00C35B75"/>
    <w:rsid w:val="00C408A5"/>
    <w:rsid w:val="00C41E83"/>
    <w:rsid w:val="00C4305B"/>
    <w:rsid w:val="00C442B1"/>
    <w:rsid w:val="00C44BE4"/>
    <w:rsid w:val="00C5509C"/>
    <w:rsid w:val="00C55643"/>
    <w:rsid w:val="00C60A6D"/>
    <w:rsid w:val="00C62B25"/>
    <w:rsid w:val="00C62CB8"/>
    <w:rsid w:val="00C62DE3"/>
    <w:rsid w:val="00C66E2F"/>
    <w:rsid w:val="00C70024"/>
    <w:rsid w:val="00C70438"/>
    <w:rsid w:val="00C719B7"/>
    <w:rsid w:val="00C71AE2"/>
    <w:rsid w:val="00C71BD7"/>
    <w:rsid w:val="00C72772"/>
    <w:rsid w:val="00C733E0"/>
    <w:rsid w:val="00C7519E"/>
    <w:rsid w:val="00C818C2"/>
    <w:rsid w:val="00C819EF"/>
    <w:rsid w:val="00C867FC"/>
    <w:rsid w:val="00C90BCD"/>
    <w:rsid w:val="00C91081"/>
    <w:rsid w:val="00C915A8"/>
    <w:rsid w:val="00C94D1B"/>
    <w:rsid w:val="00C953EE"/>
    <w:rsid w:val="00C96152"/>
    <w:rsid w:val="00CA1C0D"/>
    <w:rsid w:val="00CA3D55"/>
    <w:rsid w:val="00CA3F27"/>
    <w:rsid w:val="00CA530C"/>
    <w:rsid w:val="00CA76EA"/>
    <w:rsid w:val="00CB0685"/>
    <w:rsid w:val="00CB3550"/>
    <w:rsid w:val="00CC16E1"/>
    <w:rsid w:val="00CC3F0B"/>
    <w:rsid w:val="00CC617E"/>
    <w:rsid w:val="00CC6F16"/>
    <w:rsid w:val="00CD1D10"/>
    <w:rsid w:val="00CD5ED8"/>
    <w:rsid w:val="00CD669D"/>
    <w:rsid w:val="00CE10EB"/>
    <w:rsid w:val="00CE1F2C"/>
    <w:rsid w:val="00CE2F9A"/>
    <w:rsid w:val="00CE6FE8"/>
    <w:rsid w:val="00CF0DE5"/>
    <w:rsid w:val="00CF1A61"/>
    <w:rsid w:val="00CF4940"/>
    <w:rsid w:val="00CF5684"/>
    <w:rsid w:val="00CF68F4"/>
    <w:rsid w:val="00D00B00"/>
    <w:rsid w:val="00D0273A"/>
    <w:rsid w:val="00D027E2"/>
    <w:rsid w:val="00D03623"/>
    <w:rsid w:val="00D03639"/>
    <w:rsid w:val="00D039A6"/>
    <w:rsid w:val="00D0488C"/>
    <w:rsid w:val="00D05989"/>
    <w:rsid w:val="00D06CD9"/>
    <w:rsid w:val="00D10D38"/>
    <w:rsid w:val="00D1296E"/>
    <w:rsid w:val="00D12990"/>
    <w:rsid w:val="00D16938"/>
    <w:rsid w:val="00D225FC"/>
    <w:rsid w:val="00D22849"/>
    <w:rsid w:val="00D2298E"/>
    <w:rsid w:val="00D25297"/>
    <w:rsid w:val="00D259EF"/>
    <w:rsid w:val="00D2608F"/>
    <w:rsid w:val="00D27666"/>
    <w:rsid w:val="00D27EE4"/>
    <w:rsid w:val="00D32938"/>
    <w:rsid w:val="00D33731"/>
    <w:rsid w:val="00D36456"/>
    <w:rsid w:val="00D412D5"/>
    <w:rsid w:val="00D43FD3"/>
    <w:rsid w:val="00D442A8"/>
    <w:rsid w:val="00D44CF0"/>
    <w:rsid w:val="00D5264F"/>
    <w:rsid w:val="00D55334"/>
    <w:rsid w:val="00D5553A"/>
    <w:rsid w:val="00D628E2"/>
    <w:rsid w:val="00D62D05"/>
    <w:rsid w:val="00D62F0B"/>
    <w:rsid w:val="00D63468"/>
    <w:rsid w:val="00D647C6"/>
    <w:rsid w:val="00D64F8B"/>
    <w:rsid w:val="00D65E75"/>
    <w:rsid w:val="00D71754"/>
    <w:rsid w:val="00D72764"/>
    <w:rsid w:val="00D74DF6"/>
    <w:rsid w:val="00D76436"/>
    <w:rsid w:val="00D773F3"/>
    <w:rsid w:val="00D77CEF"/>
    <w:rsid w:val="00D8168E"/>
    <w:rsid w:val="00D83844"/>
    <w:rsid w:val="00D878C1"/>
    <w:rsid w:val="00D90C48"/>
    <w:rsid w:val="00D91E13"/>
    <w:rsid w:val="00D93C1B"/>
    <w:rsid w:val="00D947AD"/>
    <w:rsid w:val="00D96C64"/>
    <w:rsid w:val="00DA25B7"/>
    <w:rsid w:val="00DA64F6"/>
    <w:rsid w:val="00DA6987"/>
    <w:rsid w:val="00DB1FB0"/>
    <w:rsid w:val="00DB27CB"/>
    <w:rsid w:val="00DB3635"/>
    <w:rsid w:val="00DB3E28"/>
    <w:rsid w:val="00DB517C"/>
    <w:rsid w:val="00DB5E28"/>
    <w:rsid w:val="00DC2111"/>
    <w:rsid w:val="00DC34CD"/>
    <w:rsid w:val="00DC3A1B"/>
    <w:rsid w:val="00DC44E2"/>
    <w:rsid w:val="00DC5D3F"/>
    <w:rsid w:val="00DC7949"/>
    <w:rsid w:val="00DD143E"/>
    <w:rsid w:val="00DD14A0"/>
    <w:rsid w:val="00DD43D6"/>
    <w:rsid w:val="00DD61D1"/>
    <w:rsid w:val="00DD7211"/>
    <w:rsid w:val="00DE102E"/>
    <w:rsid w:val="00DE285E"/>
    <w:rsid w:val="00DE2915"/>
    <w:rsid w:val="00DE396F"/>
    <w:rsid w:val="00DE4771"/>
    <w:rsid w:val="00DE58D8"/>
    <w:rsid w:val="00DE5900"/>
    <w:rsid w:val="00DF40DE"/>
    <w:rsid w:val="00DF5C72"/>
    <w:rsid w:val="00E00BC3"/>
    <w:rsid w:val="00E01224"/>
    <w:rsid w:val="00E028E5"/>
    <w:rsid w:val="00E039C7"/>
    <w:rsid w:val="00E04690"/>
    <w:rsid w:val="00E0757C"/>
    <w:rsid w:val="00E1251A"/>
    <w:rsid w:val="00E14238"/>
    <w:rsid w:val="00E14ADE"/>
    <w:rsid w:val="00E26097"/>
    <w:rsid w:val="00E327DE"/>
    <w:rsid w:val="00E334AD"/>
    <w:rsid w:val="00E4129D"/>
    <w:rsid w:val="00E43A07"/>
    <w:rsid w:val="00E43C8E"/>
    <w:rsid w:val="00E43CD6"/>
    <w:rsid w:val="00E454F0"/>
    <w:rsid w:val="00E47930"/>
    <w:rsid w:val="00E47A5C"/>
    <w:rsid w:val="00E47EB1"/>
    <w:rsid w:val="00E47FB1"/>
    <w:rsid w:val="00E50483"/>
    <w:rsid w:val="00E506B2"/>
    <w:rsid w:val="00E512F8"/>
    <w:rsid w:val="00E51311"/>
    <w:rsid w:val="00E52CEF"/>
    <w:rsid w:val="00E545A9"/>
    <w:rsid w:val="00E5473E"/>
    <w:rsid w:val="00E5628B"/>
    <w:rsid w:val="00E564E0"/>
    <w:rsid w:val="00E60CAA"/>
    <w:rsid w:val="00E6175D"/>
    <w:rsid w:val="00E621BF"/>
    <w:rsid w:val="00E623E6"/>
    <w:rsid w:val="00E66380"/>
    <w:rsid w:val="00E66694"/>
    <w:rsid w:val="00E66E39"/>
    <w:rsid w:val="00E66FAC"/>
    <w:rsid w:val="00E71E35"/>
    <w:rsid w:val="00E71F9D"/>
    <w:rsid w:val="00E732DD"/>
    <w:rsid w:val="00E7563C"/>
    <w:rsid w:val="00E760D6"/>
    <w:rsid w:val="00E76A83"/>
    <w:rsid w:val="00E77A28"/>
    <w:rsid w:val="00E77A4D"/>
    <w:rsid w:val="00E81162"/>
    <w:rsid w:val="00E81803"/>
    <w:rsid w:val="00E8319E"/>
    <w:rsid w:val="00E9114F"/>
    <w:rsid w:val="00E928E3"/>
    <w:rsid w:val="00E93D48"/>
    <w:rsid w:val="00E9503E"/>
    <w:rsid w:val="00E96E75"/>
    <w:rsid w:val="00E96F61"/>
    <w:rsid w:val="00EA0ED8"/>
    <w:rsid w:val="00EA13A5"/>
    <w:rsid w:val="00EA2A2E"/>
    <w:rsid w:val="00EA64FD"/>
    <w:rsid w:val="00EB2CF8"/>
    <w:rsid w:val="00EB30F7"/>
    <w:rsid w:val="00EB355D"/>
    <w:rsid w:val="00EB4138"/>
    <w:rsid w:val="00EC1510"/>
    <w:rsid w:val="00EC2093"/>
    <w:rsid w:val="00EC34BF"/>
    <w:rsid w:val="00ED14C1"/>
    <w:rsid w:val="00ED546A"/>
    <w:rsid w:val="00ED595D"/>
    <w:rsid w:val="00ED7031"/>
    <w:rsid w:val="00ED70A0"/>
    <w:rsid w:val="00ED71BB"/>
    <w:rsid w:val="00EE3E04"/>
    <w:rsid w:val="00EE4D50"/>
    <w:rsid w:val="00EE5088"/>
    <w:rsid w:val="00EE57FD"/>
    <w:rsid w:val="00EE5EB3"/>
    <w:rsid w:val="00EE7118"/>
    <w:rsid w:val="00EE7575"/>
    <w:rsid w:val="00EF3387"/>
    <w:rsid w:val="00EF3CC2"/>
    <w:rsid w:val="00EF3EA0"/>
    <w:rsid w:val="00EF5D46"/>
    <w:rsid w:val="00EF702D"/>
    <w:rsid w:val="00EF745B"/>
    <w:rsid w:val="00F00BA7"/>
    <w:rsid w:val="00F04D1A"/>
    <w:rsid w:val="00F12C8A"/>
    <w:rsid w:val="00F140B5"/>
    <w:rsid w:val="00F142D2"/>
    <w:rsid w:val="00F15F30"/>
    <w:rsid w:val="00F22180"/>
    <w:rsid w:val="00F24D79"/>
    <w:rsid w:val="00F253E2"/>
    <w:rsid w:val="00F309BB"/>
    <w:rsid w:val="00F3229A"/>
    <w:rsid w:val="00F327FC"/>
    <w:rsid w:val="00F3596C"/>
    <w:rsid w:val="00F402CA"/>
    <w:rsid w:val="00F40581"/>
    <w:rsid w:val="00F423B1"/>
    <w:rsid w:val="00F43B13"/>
    <w:rsid w:val="00F45C39"/>
    <w:rsid w:val="00F46EE7"/>
    <w:rsid w:val="00F5061B"/>
    <w:rsid w:val="00F50813"/>
    <w:rsid w:val="00F5356E"/>
    <w:rsid w:val="00F56D03"/>
    <w:rsid w:val="00F578B5"/>
    <w:rsid w:val="00F6235A"/>
    <w:rsid w:val="00F63250"/>
    <w:rsid w:val="00F654D2"/>
    <w:rsid w:val="00F657EB"/>
    <w:rsid w:val="00F65E73"/>
    <w:rsid w:val="00F672F2"/>
    <w:rsid w:val="00F7132B"/>
    <w:rsid w:val="00F71FCB"/>
    <w:rsid w:val="00F746BF"/>
    <w:rsid w:val="00F74B9B"/>
    <w:rsid w:val="00F754A8"/>
    <w:rsid w:val="00F7607E"/>
    <w:rsid w:val="00F76A5F"/>
    <w:rsid w:val="00F7762F"/>
    <w:rsid w:val="00F77B76"/>
    <w:rsid w:val="00F77F4B"/>
    <w:rsid w:val="00F801E9"/>
    <w:rsid w:val="00F82033"/>
    <w:rsid w:val="00F820B9"/>
    <w:rsid w:val="00F8726D"/>
    <w:rsid w:val="00F91FF9"/>
    <w:rsid w:val="00F930BA"/>
    <w:rsid w:val="00F95030"/>
    <w:rsid w:val="00FA06D1"/>
    <w:rsid w:val="00FA33A3"/>
    <w:rsid w:val="00FA3D07"/>
    <w:rsid w:val="00FA4F7B"/>
    <w:rsid w:val="00FA6709"/>
    <w:rsid w:val="00FA75AC"/>
    <w:rsid w:val="00FB176E"/>
    <w:rsid w:val="00FB2CA4"/>
    <w:rsid w:val="00FB40FF"/>
    <w:rsid w:val="00FB4CEE"/>
    <w:rsid w:val="00FB6493"/>
    <w:rsid w:val="00FC34E1"/>
    <w:rsid w:val="00FC3C95"/>
    <w:rsid w:val="00FC68C0"/>
    <w:rsid w:val="00FC7532"/>
    <w:rsid w:val="00FD2E69"/>
    <w:rsid w:val="00FD5904"/>
    <w:rsid w:val="00FE12C7"/>
    <w:rsid w:val="00FE1995"/>
    <w:rsid w:val="00FE1B41"/>
    <w:rsid w:val="00FE282F"/>
    <w:rsid w:val="00FE5810"/>
    <w:rsid w:val="00FF40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018D21"/>
  <w14:defaultImageDpi w14:val="3276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533C70"/>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F45C39"/>
    <w:rPr>
      <w:rFonts w:ascii="Calibri" w:eastAsia="Calibri" w:hAnsi="Calibri" w:cs="Times New Roman"/>
      <w:sz w:val="22"/>
      <w:szCs w:val="22"/>
    </w:rPr>
  </w:style>
  <w:style w:type="character" w:customStyle="1" w:styleId="NoSpacingChar">
    <w:name w:val="No Spacing Char"/>
    <w:basedOn w:val="DefaultParagraphFont"/>
    <w:link w:val="NoSpacing"/>
    <w:rsid w:val="00F45C39"/>
    <w:rPr>
      <w:rFonts w:ascii="Calibri" w:eastAsia="Calibri" w:hAnsi="Calibri" w:cs="Times New Roman"/>
      <w:sz w:val="22"/>
      <w:szCs w:val="22"/>
    </w:rPr>
  </w:style>
  <w:style w:type="paragraph" w:customStyle="1" w:styleId="NoSpacing2">
    <w:name w:val="No Spacing2"/>
    <w:qFormat/>
    <w:rsid w:val="00F45C39"/>
    <w:pPr>
      <w:spacing w:line="480" w:lineRule="auto"/>
    </w:pPr>
    <w:rPr>
      <w:rFonts w:ascii="Times New Roman" w:eastAsia="Calibri" w:hAnsi="Times New Roman" w:cs="Times New Roman"/>
    </w:rPr>
  </w:style>
  <w:style w:type="character" w:styleId="CommentReference">
    <w:name w:val="annotation reference"/>
    <w:basedOn w:val="DefaultParagraphFont"/>
    <w:uiPriority w:val="99"/>
    <w:semiHidden/>
    <w:rsid w:val="0085455A"/>
    <w:rPr>
      <w:sz w:val="16"/>
      <w:szCs w:val="16"/>
    </w:rPr>
  </w:style>
  <w:style w:type="paragraph" w:styleId="CommentText">
    <w:name w:val="annotation text"/>
    <w:basedOn w:val="Normal"/>
    <w:link w:val="CommentTextChar"/>
    <w:uiPriority w:val="99"/>
    <w:semiHidden/>
    <w:rsid w:val="0085455A"/>
    <w:pPr>
      <w:spacing w:before="240" w:line="360" w:lineRule="auto"/>
      <w:jc w:val="both"/>
    </w:pPr>
    <w:rPr>
      <w:rFonts w:ascii="Calibri" w:eastAsia="Times" w:hAnsi="Calibri"/>
      <w:sz w:val="20"/>
      <w:szCs w:val="20"/>
    </w:rPr>
  </w:style>
  <w:style w:type="character" w:customStyle="1" w:styleId="CommentTextChar">
    <w:name w:val="Comment Text Char"/>
    <w:basedOn w:val="DefaultParagraphFont"/>
    <w:link w:val="CommentText"/>
    <w:uiPriority w:val="99"/>
    <w:semiHidden/>
    <w:rsid w:val="0085455A"/>
    <w:rPr>
      <w:rFonts w:ascii="Calibri" w:eastAsia="Times" w:hAnsi="Calibri" w:cs="Times New Roman"/>
      <w:sz w:val="20"/>
      <w:szCs w:val="20"/>
    </w:rPr>
  </w:style>
  <w:style w:type="paragraph" w:styleId="BalloonText">
    <w:name w:val="Balloon Text"/>
    <w:basedOn w:val="Normal"/>
    <w:link w:val="BalloonTextChar"/>
    <w:uiPriority w:val="99"/>
    <w:semiHidden/>
    <w:unhideWhenUsed/>
    <w:rsid w:val="0085455A"/>
    <w:rPr>
      <w:sz w:val="18"/>
      <w:szCs w:val="18"/>
    </w:rPr>
  </w:style>
  <w:style w:type="character" w:customStyle="1" w:styleId="BalloonTextChar">
    <w:name w:val="Balloon Text Char"/>
    <w:basedOn w:val="DefaultParagraphFont"/>
    <w:link w:val="BalloonText"/>
    <w:uiPriority w:val="99"/>
    <w:semiHidden/>
    <w:rsid w:val="0085455A"/>
    <w:rPr>
      <w:rFonts w:ascii="Times New Roman" w:eastAsia="Times New Roman" w:hAnsi="Times New Roman" w:cs="Times New Roman"/>
      <w:sz w:val="18"/>
      <w:szCs w:val="18"/>
    </w:rPr>
  </w:style>
  <w:style w:type="paragraph" w:styleId="ListParagraph">
    <w:name w:val="List Paragraph"/>
    <w:basedOn w:val="Normal"/>
    <w:uiPriority w:val="34"/>
    <w:qFormat/>
    <w:rsid w:val="00023BFD"/>
    <w:pPr>
      <w:ind w:left="720"/>
      <w:contextualSpacing/>
    </w:pPr>
  </w:style>
  <w:style w:type="character" w:styleId="Hyperlink">
    <w:name w:val="Hyperlink"/>
    <w:basedOn w:val="DefaultParagraphFont"/>
    <w:uiPriority w:val="99"/>
    <w:unhideWhenUsed/>
    <w:rsid w:val="00B21FAD"/>
    <w:rPr>
      <w:color w:val="0563C1" w:themeColor="hyperlink"/>
      <w:u w:val="single"/>
    </w:rPr>
  </w:style>
  <w:style w:type="paragraph" w:styleId="PlainText">
    <w:name w:val="Plain Text"/>
    <w:basedOn w:val="Normal"/>
    <w:link w:val="PlainTextChar"/>
    <w:uiPriority w:val="99"/>
    <w:unhideWhenUsed/>
    <w:rsid w:val="00E327DE"/>
    <w:rPr>
      <w:rFonts w:ascii="Consolas" w:hAnsi="Consolas" w:cstheme="minorBidi"/>
      <w:sz w:val="21"/>
      <w:szCs w:val="21"/>
      <w:lang w:val="en-GB"/>
    </w:rPr>
  </w:style>
  <w:style w:type="character" w:customStyle="1" w:styleId="PlainTextChar">
    <w:name w:val="Plain Text Char"/>
    <w:basedOn w:val="DefaultParagraphFont"/>
    <w:link w:val="PlainText"/>
    <w:uiPriority w:val="99"/>
    <w:rsid w:val="00E327DE"/>
    <w:rPr>
      <w:rFonts w:ascii="Consolas" w:hAnsi="Consolas"/>
      <w:sz w:val="21"/>
      <w:szCs w:val="21"/>
      <w:lang w:val="en-GB"/>
    </w:rPr>
  </w:style>
  <w:style w:type="paragraph" w:styleId="Footer">
    <w:name w:val="footer"/>
    <w:basedOn w:val="Normal"/>
    <w:link w:val="FooterChar"/>
    <w:uiPriority w:val="99"/>
    <w:unhideWhenUsed/>
    <w:rsid w:val="009A7929"/>
    <w:pPr>
      <w:tabs>
        <w:tab w:val="center" w:pos="4680"/>
        <w:tab w:val="right" w:pos="9360"/>
      </w:tabs>
    </w:pPr>
  </w:style>
  <w:style w:type="character" w:customStyle="1" w:styleId="FooterChar">
    <w:name w:val="Footer Char"/>
    <w:basedOn w:val="DefaultParagraphFont"/>
    <w:link w:val="Footer"/>
    <w:uiPriority w:val="99"/>
    <w:rsid w:val="009A7929"/>
    <w:rPr>
      <w:rFonts w:ascii="Times New Roman" w:hAnsi="Times New Roman" w:cs="Times New Roman"/>
    </w:rPr>
  </w:style>
  <w:style w:type="character" w:styleId="PageNumber">
    <w:name w:val="page number"/>
    <w:basedOn w:val="DefaultParagraphFont"/>
    <w:uiPriority w:val="99"/>
    <w:semiHidden/>
    <w:unhideWhenUsed/>
    <w:rsid w:val="009A7929"/>
  </w:style>
  <w:style w:type="paragraph" w:styleId="Header">
    <w:name w:val="header"/>
    <w:basedOn w:val="Normal"/>
    <w:link w:val="HeaderChar"/>
    <w:uiPriority w:val="99"/>
    <w:unhideWhenUsed/>
    <w:rsid w:val="00171B2E"/>
    <w:pPr>
      <w:tabs>
        <w:tab w:val="center" w:pos="4536"/>
        <w:tab w:val="right" w:pos="9072"/>
      </w:tabs>
    </w:pPr>
  </w:style>
  <w:style w:type="character" w:customStyle="1" w:styleId="HeaderChar">
    <w:name w:val="Header Char"/>
    <w:basedOn w:val="DefaultParagraphFont"/>
    <w:link w:val="Header"/>
    <w:uiPriority w:val="99"/>
    <w:rsid w:val="00171B2E"/>
    <w:rPr>
      <w:rFonts w:ascii="Times New Roman" w:hAnsi="Times New Roman" w:cs="Times New Roman"/>
    </w:rPr>
  </w:style>
  <w:style w:type="paragraph" w:customStyle="1" w:styleId="Nessunaspaziatura1">
    <w:name w:val="Nessuna spaziatura1"/>
    <w:qFormat/>
    <w:rsid w:val="003052AA"/>
    <w:rPr>
      <w:rFonts w:ascii="Calibri" w:eastAsia="Times New Roman" w:hAnsi="Calibri" w:cs="Times New Roman"/>
      <w:sz w:val="22"/>
      <w:szCs w:val="22"/>
      <w:lang w:val="it-IT"/>
    </w:rPr>
  </w:style>
  <w:style w:type="character" w:customStyle="1" w:styleId="mi">
    <w:name w:val="mi"/>
    <w:basedOn w:val="DefaultParagraphFont"/>
    <w:rsid w:val="00CB0685"/>
  </w:style>
  <w:style w:type="character" w:customStyle="1" w:styleId="mjxassistivemathml">
    <w:name w:val="mjx_assistive_mathml"/>
    <w:basedOn w:val="DefaultParagraphFont"/>
    <w:rsid w:val="00CB0685"/>
  </w:style>
  <w:style w:type="character" w:styleId="FollowedHyperlink">
    <w:name w:val="FollowedHyperlink"/>
    <w:basedOn w:val="DefaultParagraphFont"/>
    <w:uiPriority w:val="99"/>
    <w:semiHidden/>
    <w:unhideWhenUsed/>
    <w:rsid w:val="00545771"/>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8E7477"/>
    <w:pPr>
      <w:spacing w:before="0" w:line="240" w:lineRule="auto"/>
      <w:jc w:val="left"/>
    </w:pPr>
    <w:rPr>
      <w:rFonts w:ascii="Times New Roman" w:eastAsiaTheme="minorHAnsi" w:hAnsi="Times New Roman"/>
      <w:b/>
      <w:bCs/>
    </w:rPr>
  </w:style>
  <w:style w:type="character" w:customStyle="1" w:styleId="CommentSubjectChar">
    <w:name w:val="Comment Subject Char"/>
    <w:basedOn w:val="CommentTextChar"/>
    <w:link w:val="CommentSubject"/>
    <w:uiPriority w:val="99"/>
    <w:semiHidden/>
    <w:rsid w:val="008E7477"/>
    <w:rPr>
      <w:rFonts w:ascii="Times New Roman" w:eastAsia="Times" w:hAnsi="Times New Roman" w:cs="Times New Roman"/>
      <w:b/>
      <w:bCs/>
      <w:sz w:val="20"/>
      <w:szCs w:val="20"/>
    </w:rPr>
  </w:style>
  <w:style w:type="character" w:customStyle="1" w:styleId="UnresolvedMention1">
    <w:name w:val="Unresolved Mention1"/>
    <w:basedOn w:val="DefaultParagraphFont"/>
    <w:uiPriority w:val="99"/>
    <w:rsid w:val="00BA3266"/>
    <w:rPr>
      <w:color w:val="605E5C"/>
      <w:shd w:val="clear" w:color="auto" w:fill="E1DFDD"/>
    </w:rPr>
  </w:style>
  <w:style w:type="character" w:styleId="UnresolvedMention">
    <w:name w:val="Unresolved Mention"/>
    <w:basedOn w:val="DefaultParagraphFont"/>
    <w:uiPriority w:val="99"/>
    <w:rsid w:val="00D225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628190">
      <w:bodyDiv w:val="1"/>
      <w:marLeft w:val="0"/>
      <w:marRight w:val="0"/>
      <w:marTop w:val="0"/>
      <w:marBottom w:val="0"/>
      <w:divBdr>
        <w:top w:val="none" w:sz="0" w:space="0" w:color="auto"/>
        <w:left w:val="none" w:sz="0" w:space="0" w:color="auto"/>
        <w:bottom w:val="none" w:sz="0" w:space="0" w:color="auto"/>
        <w:right w:val="none" w:sz="0" w:space="0" w:color="auto"/>
      </w:divBdr>
    </w:div>
    <w:div w:id="104815784">
      <w:bodyDiv w:val="1"/>
      <w:marLeft w:val="0"/>
      <w:marRight w:val="0"/>
      <w:marTop w:val="0"/>
      <w:marBottom w:val="0"/>
      <w:divBdr>
        <w:top w:val="none" w:sz="0" w:space="0" w:color="auto"/>
        <w:left w:val="none" w:sz="0" w:space="0" w:color="auto"/>
        <w:bottom w:val="none" w:sz="0" w:space="0" w:color="auto"/>
        <w:right w:val="none" w:sz="0" w:space="0" w:color="auto"/>
      </w:divBdr>
    </w:div>
    <w:div w:id="127168629">
      <w:bodyDiv w:val="1"/>
      <w:marLeft w:val="0"/>
      <w:marRight w:val="0"/>
      <w:marTop w:val="0"/>
      <w:marBottom w:val="0"/>
      <w:divBdr>
        <w:top w:val="none" w:sz="0" w:space="0" w:color="auto"/>
        <w:left w:val="none" w:sz="0" w:space="0" w:color="auto"/>
        <w:bottom w:val="none" w:sz="0" w:space="0" w:color="auto"/>
        <w:right w:val="none" w:sz="0" w:space="0" w:color="auto"/>
      </w:divBdr>
    </w:div>
    <w:div w:id="145053420">
      <w:bodyDiv w:val="1"/>
      <w:marLeft w:val="0"/>
      <w:marRight w:val="0"/>
      <w:marTop w:val="0"/>
      <w:marBottom w:val="0"/>
      <w:divBdr>
        <w:top w:val="none" w:sz="0" w:space="0" w:color="auto"/>
        <w:left w:val="none" w:sz="0" w:space="0" w:color="auto"/>
        <w:bottom w:val="none" w:sz="0" w:space="0" w:color="auto"/>
        <w:right w:val="none" w:sz="0" w:space="0" w:color="auto"/>
      </w:divBdr>
    </w:div>
    <w:div w:id="160126092">
      <w:bodyDiv w:val="1"/>
      <w:marLeft w:val="0"/>
      <w:marRight w:val="0"/>
      <w:marTop w:val="0"/>
      <w:marBottom w:val="0"/>
      <w:divBdr>
        <w:top w:val="none" w:sz="0" w:space="0" w:color="auto"/>
        <w:left w:val="none" w:sz="0" w:space="0" w:color="auto"/>
        <w:bottom w:val="none" w:sz="0" w:space="0" w:color="auto"/>
        <w:right w:val="none" w:sz="0" w:space="0" w:color="auto"/>
      </w:divBdr>
    </w:div>
    <w:div w:id="188762809">
      <w:bodyDiv w:val="1"/>
      <w:marLeft w:val="0"/>
      <w:marRight w:val="0"/>
      <w:marTop w:val="0"/>
      <w:marBottom w:val="0"/>
      <w:divBdr>
        <w:top w:val="none" w:sz="0" w:space="0" w:color="auto"/>
        <w:left w:val="none" w:sz="0" w:space="0" w:color="auto"/>
        <w:bottom w:val="none" w:sz="0" w:space="0" w:color="auto"/>
        <w:right w:val="none" w:sz="0" w:space="0" w:color="auto"/>
      </w:divBdr>
    </w:div>
    <w:div w:id="360133507">
      <w:bodyDiv w:val="1"/>
      <w:marLeft w:val="0"/>
      <w:marRight w:val="0"/>
      <w:marTop w:val="0"/>
      <w:marBottom w:val="0"/>
      <w:divBdr>
        <w:top w:val="none" w:sz="0" w:space="0" w:color="auto"/>
        <w:left w:val="none" w:sz="0" w:space="0" w:color="auto"/>
        <w:bottom w:val="none" w:sz="0" w:space="0" w:color="auto"/>
        <w:right w:val="none" w:sz="0" w:space="0" w:color="auto"/>
      </w:divBdr>
    </w:div>
    <w:div w:id="367029160">
      <w:bodyDiv w:val="1"/>
      <w:marLeft w:val="0"/>
      <w:marRight w:val="0"/>
      <w:marTop w:val="0"/>
      <w:marBottom w:val="0"/>
      <w:divBdr>
        <w:top w:val="none" w:sz="0" w:space="0" w:color="auto"/>
        <w:left w:val="none" w:sz="0" w:space="0" w:color="auto"/>
        <w:bottom w:val="none" w:sz="0" w:space="0" w:color="auto"/>
        <w:right w:val="none" w:sz="0" w:space="0" w:color="auto"/>
      </w:divBdr>
    </w:div>
    <w:div w:id="427577685">
      <w:bodyDiv w:val="1"/>
      <w:marLeft w:val="0"/>
      <w:marRight w:val="0"/>
      <w:marTop w:val="0"/>
      <w:marBottom w:val="0"/>
      <w:divBdr>
        <w:top w:val="none" w:sz="0" w:space="0" w:color="auto"/>
        <w:left w:val="none" w:sz="0" w:space="0" w:color="auto"/>
        <w:bottom w:val="none" w:sz="0" w:space="0" w:color="auto"/>
        <w:right w:val="none" w:sz="0" w:space="0" w:color="auto"/>
      </w:divBdr>
    </w:div>
    <w:div w:id="646400295">
      <w:bodyDiv w:val="1"/>
      <w:marLeft w:val="0"/>
      <w:marRight w:val="0"/>
      <w:marTop w:val="0"/>
      <w:marBottom w:val="0"/>
      <w:divBdr>
        <w:top w:val="none" w:sz="0" w:space="0" w:color="auto"/>
        <w:left w:val="none" w:sz="0" w:space="0" w:color="auto"/>
        <w:bottom w:val="none" w:sz="0" w:space="0" w:color="auto"/>
        <w:right w:val="none" w:sz="0" w:space="0" w:color="auto"/>
      </w:divBdr>
    </w:div>
    <w:div w:id="663434664">
      <w:bodyDiv w:val="1"/>
      <w:marLeft w:val="0"/>
      <w:marRight w:val="0"/>
      <w:marTop w:val="0"/>
      <w:marBottom w:val="0"/>
      <w:divBdr>
        <w:top w:val="none" w:sz="0" w:space="0" w:color="auto"/>
        <w:left w:val="none" w:sz="0" w:space="0" w:color="auto"/>
        <w:bottom w:val="none" w:sz="0" w:space="0" w:color="auto"/>
        <w:right w:val="none" w:sz="0" w:space="0" w:color="auto"/>
      </w:divBdr>
    </w:div>
    <w:div w:id="812335915">
      <w:bodyDiv w:val="1"/>
      <w:marLeft w:val="0"/>
      <w:marRight w:val="0"/>
      <w:marTop w:val="0"/>
      <w:marBottom w:val="0"/>
      <w:divBdr>
        <w:top w:val="none" w:sz="0" w:space="0" w:color="auto"/>
        <w:left w:val="none" w:sz="0" w:space="0" w:color="auto"/>
        <w:bottom w:val="none" w:sz="0" w:space="0" w:color="auto"/>
        <w:right w:val="none" w:sz="0" w:space="0" w:color="auto"/>
      </w:divBdr>
    </w:div>
    <w:div w:id="864051244">
      <w:bodyDiv w:val="1"/>
      <w:marLeft w:val="0"/>
      <w:marRight w:val="0"/>
      <w:marTop w:val="0"/>
      <w:marBottom w:val="0"/>
      <w:divBdr>
        <w:top w:val="none" w:sz="0" w:space="0" w:color="auto"/>
        <w:left w:val="none" w:sz="0" w:space="0" w:color="auto"/>
        <w:bottom w:val="none" w:sz="0" w:space="0" w:color="auto"/>
        <w:right w:val="none" w:sz="0" w:space="0" w:color="auto"/>
      </w:divBdr>
    </w:div>
    <w:div w:id="982588366">
      <w:bodyDiv w:val="1"/>
      <w:marLeft w:val="0"/>
      <w:marRight w:val="0"/>
      <w:marTop w:val="0"/>
      <w:marBottom w:val="0"/>
      <w:divBdr>
        <w:top w:val="none" w:sz="0" w:space="0" w:color="auto"/>
        <w:left w:val="none" w:sz="0" w:space="0" w:color="auto"/>
        <w:bottom w:val="none" w:sz="0" w:space="0" w:color="auto"/>
        <w:right w:val="none" w:sz="0" w:space="0" w:color="auto"/>
      </w:divBdr>
    </w:div>
    <w:div w:id="1003052723">
      <w:bodyDiv w:val="1"/>
      <w:marLeft w:val="0"/>
      <w:marRight w:val="0"/>
      <w:marTop w:val="0"/>
      <w:marBottom w:val="0"/>
      <w:divBdr>
        <w:top w:val="none" w:sz="0" w:space="0" w:color="auto"/>
        <w:left w:val="none" w:sz="0" w:space="0" w:color="auto"/>
        <w:bottom w:val="none" w:sz="0" w:space="0" w:color="auto"/>
        <w:right w:val="none" w:sz="0" w:space="0" w:color="auto"/>
      </w:divBdr>
    </w:div>
    <w:div w:id="1045788319">
      <w:bodyDiv w:val="1"/>
      <w:marLeft w:val="0"/>
      <w:marRight w:val="0"/>
      <w:marTop w:val="0"/>
      <w:marBottom w:val="0"/>
      <w:divBdr>
        <w:top w:val="none" w:sz="0" w:space="0" w:color="auto"/>
        <w:left w:val="none" w:sz="0" w:space="0" w:color="auto"/>
        <w:bottom w:val="none" w:sz="0" w:space="0" w:color="auto"/>
        <w:right w:val="none" w:sz="0" w:space="0" w:color="auto"/>
      </w:divBdr>
    </w:div>
    <w:div w:id="1136996871">
      <w:bodyDiv w:val="1"/>
      <w:marLeft w:val="0"/>
      <w:marRight w:val="0"/>
      <w:marTop w:val="0"/>
      <w:marBottom w:val="0"/>
      <w:divBdr>
        <w:top w:val="none" w:sz="0" w:space="0" w:color="auto"/>
        <w:left w:val="none" w:sz="0" w:space="0" w:color="auto"/>
        <w:bottom w:val="none" w:sz="0" w:space="0" w:color="auto"/>
        <w:right w:val="none" w:sz="0" w:space="0" w:color="auto"/>
      </w:divBdr>
    </w:div>
    <w:div w:id="1186600016">
      <w:bodyDiv w:val="1"/>
      <w:marLeft w:val="0"/>
      <w:marRight w:val="0"/>
      <w:marTop w:val="0"/>
      <w:marBottom w:val="0"/>
      <w:divBdr>
        <w:top w:val="none" w:sz="0" w:space="0" w:color="auto"/>
        <w:left w:val="none" w:sz="0" w:space="0" w:color="auto"/>
        <w:bottom w:val="none" w:sz="0" w:space="0" w:color="auto"/>
        <w:right w:val="none" w:sz="0" w:space="0" w:color="auto"/>
      </w:divBdr>
    </w:div>
    <w:div w:id="1317539118">
      <w:bodyDiv w:val="1"/>
      <w:marLeft w:val="0"/>
      <w:marRight w:val="0"/>
      <w:marTop w:val="0"/>
      <w:marBottom w:val="0"/>
      <w:divBdr>
        <w:top w:val="none" w:sz="0" w:space="0" w:color="auto"/>
        <w:left w:val="none" w:sz="0" w:space="0" w:color="auto"/>
        <w:bottom w:val="none" w:sz="0" w:space="0" w:color="auto"/>
        <w:right w:val="none" w:sz="0" w:space="0" w:color="auto"/>
      </w:divBdr>
    </w:div>
    <w:div w:id="1349335693">
      <w:bodyDiv w:val="1"/>
      <w:marLeft w:val="0"/>
      <w:marRight w:val="0"/>
      <w:marTop w:val="0"/>
      <w:marBottom w:val="0"/>
      <w:divBdr>
        <w:top w:val="none" w:sz="0" w:space="0" w:color="auto"/>
        <w:left w:val="none" w:sz="0" w:space="0" w:color="auto"/>
        <w:bottom w:val="none" w:sz="0" w:space="0" w:color="auto"/>
        <w:right w:val="none" w:sz="0" w:space="0" w:color="auto"/>
      </w:divBdr>
    </w:div>
    <w:div w:id="1376660131">
      <w:bodyDiv w:val="1"/>
      <w:marLeft w:val="0"/>
      <w:marRight w:val="0"/>
      <w:marTop w:val="0"/>
      <w:marBottom w:val="0"/>
      <w:divBdr>
        <w:top w:val="none" w:sz="0" w:space="0" w:color="auto"/>
        <w:left w:val="none" w:sz="0" w:space="0" w:color="auto"/>
        <w:bottom w:val="none" w:sz="0" w:space="0" w:color="auto"/>
        <w:right w:val="none" w:sz="0" w:space="0" w:color="auto"/>
      </w:divBdr>
    </w:div>
    <w:div w:id="1419014475">
      <w:bodyDiv w:val="1"/>
      <w:marLeft w:val="0"/>
      <w:marRight w:val="0"/>
      <w:marTop w:val="0"/>
      <w:marBottom w:val="0"/>
      <w:divBdr>
        <w:top w:val="none" w:sz="0" w:space="0" w:color="auto"/>
        <w:left w:val="none" w:sz="0" w:space="0" w:color="auto"/>
        <w:bottom w:val="none" w:sz="0" w:space="0" w:color="auto"/>
        <w:right w:val="none" w:sz="0" w:space="0" w:color="auto"/>
      </w:divBdr>
    </w:div>
    <w:div w:id="1450389918">
      <w:bodyDiv w:val="1"/>
      <w:marLeft w:val="0"/>
      <w:marRight w:val="0"/>
      <w:marTop w:val="0"/>
      <w:marBottom w:val="0"/>
      <w:divBdr>
        <w:top w:val="none" w:sz="0" w:space="0" w:color="auto"/>
        <w:left w:val="none" w:sz="0" w:space="0" w:color="auto"/>
        <w:bottom w:val="none" w:sz="0" w:space="0" w:color="auto"/>
        <w:right w:val="none" w:sz="0" w:space="0" w:color="auto"/>
      </w:divBdr>
    </w:div>
    <w:div w:id="1460761242">
      <w:bodyDiv w:val="1"/>
      <w:marLeft w:val="0"/>
      <w:marRight w:val="0"/>
      <w:marTop w:val="0"/>
      <w:marBottom w:val="0"/>
      <w:divBdr>
        <w:top w:val="none" w:sz="0" w:space="0" w:color="auto"/>
        <w:left w:val="none" w:sz="0" w:space="0" w:color="auto"/>
        <w:bottom w:val="none" w:sz="0" w:space="0" w:color="auto"/>
        <w:right w:val="none" w:sz="0" w:space="0" w:color="auto"/>
      </w:divBdr>
    </w:div>
    <w:div w:id="1504661525">
      <w:bodyDiv w:val="1"/>
      <w:marLeft w:val="0"/>
      <w:marRight w:val="0"/>
      <w:marTop w:val="0"/>
      <w:marBottom w:val="0"/>
      <w:divBdr>
        <w:top w:val="none" w:sz="0" w:space="0" w:color="auto"/>
        <w:left w:val="none" w:sz="0" w:space="0" w:color="auto"/>
        <w:bottom w:val="none" w:sz="0" w:space="0" w:color="auto"/>
        <w:right w:val="none" w:sz="0" w:space="0" w:color="auto"/>
      </w:divBdr>
    </w:div>
    <w:div w:id="1566143947">
      <w:bodyDiv w:val="1"/>
      <w:marLeft w:val="0"/>
      <w:marRight w:val="0"/>
      <w:marTop w:val="0"/>
      <w:marBottom w:val="0"/>
      <w:divBdr>
        <w:top w:val="none" w:sz="0" w:space="0" w:color="auto"/>
        <w:left w:val="none" w:sz="0" w:space="0" w:color="auto"/>
        <w:bottom w:val="none" w:sz="0" w:space="0" w:color="auto"/>
        <w:right w:val="none" w:sz="0" w:space="0" w:color="auto"/>
      </w:divBdr>
    </w:div>
    <w:div w:id="1650940814">
      <w:bodyDiv w:val="1"/>
      <w:marLeft w:val="0"/>
      <w:marRight w:val="0"/>
      <w:marTop w:val="0"/>
      <w:marBottom w:val="0"/>
      <w:divBdr>
        <w:top w:val="none" w:sz="0" w:space="0" w:color="auto"/>
        <w:left w:val="none" w:sz="0" w:space="0" w:color="auto"/>
        <w:bottom w:val="none" w:sz="0" w:space="0" w:color="auto"/>
        <w:right w:val="none" w:sz="0" w:space="0" w:color="auto"/>
      </w:divBdr>
    </w:div>
    <w:div w:id="1683240843">
      <w:bodyDiv w:val="1"/>
      <w:marLeft w:val="0"/>
      <w:marRight w:val="0"/>
      <w:marTop w:val="0"/>
      <w:marBottom w:val="0"/>
      <w:divBdr>
        <w:top w:val="none" w:sz="0" w:space="0" w:color="auto"/>
        <w:left w:val="none" w:sz="0" w:space="0" w:color="auto"/>
        <w:bottom w:val="none" w:sz="0" w:space="0" w:color="auto"/>
        <w:right w:val="none" w:sz="0" w:space="0" w:color="auto"/>
      </w:divBdr>
    </w:div>
    <w:div w:id="1808282891">
      <w:bodyDiv w:val="1"/>
      <w:marLeft w:val="0"/>
      <w:marRight w:val="0"/>
      <w:marTop w:val="0"/>
      <w:marBottom w:val="0"/>
      <w:divBdr>
        <w:top w:val="none" w:sz="0" w:space="0" w:color="auto"/>
        <w:left w:val="none" w:sz="0" w:space="0" w:color="auto"/>
        <w:bottom w:val="none" w:sz="0" w:space="0" w:color="auto"/>
        <w:right w:val="none" w:sz="0" w:space="0" w:color="auto"/>
      </w:divBdr>
    </w:div>
    <w:div w:id="1846242579">
      <w:bodyDiv w:val="1"/>
      <w:marLeft w:val="0"/>
      <w:marRight w:val="0"/>
      <w:marTop w:val="0"/>
      <w:marBottom w:val="0"/>
      <w:divBdr>
        <w:top w:val="none" w:sz="0" w:space="0" w:color="auto"/>
        <w:left w:val="none" w:sz="0" w:space="0" w:color="auto"/>
        <w:bottom w:val="none" w:sz="0" w:space="0" w:color="auto"/>
        <w:right w:val="none" w:sz="0" w:space="0" w:color="auto"/>
      </w:divBdr>
    </w:div>
    <w:div w:id="1848640830">
      <w:bodyDiv w:val="1"/>
      <w:marLeft w:val="0"/>
      <w:marRight w:val="0"/>
      <w:marTop w:val="0"/>
      <w:marBottom w:val="0"/>
      <w:divBdr>
        <w:top w:val="none" w:sz="0" w:space="0" w:color="auto"/>
        <w:left w:val="none" w:sz="0" w:space="0" w:color="auto"/>
        <w:bottom w:val="none" w:sz="0" w:space="0" w:color="auto"/>
        <w:right w:val="none" w:sz="0" w:space="0" w:color="auto"/>
      </w:divBdr>
    </w:div>
    <w:div w:id="1849439788">
      <w:bodyDiv w:val="1"/>
      <w:marLeft w:val="0"/>
      <w:marRight w:val="0"/>
      <w:marTop w:val="0"/>
      <w:marBottom w:val="0"/>
      <w:divBdr>
        <w:top w:val="none" w:sz="0" w:space="0" w:color="auto"/>
        <w:left w:val="none" w:sz="0" w:space="0" w:color="auto"/>
        <w:bottom w:val="none" w:sz="0" w:space="0" w:color="auto"/>
        <w:right w:val="none" w:sz="0" w:space="0" w:color="auto"/>
      </w:divBdr>
    </w:div>
    <w:div w:id="1854151765">
      <w:bodyDiv w:val="1"/>
      <w:marLeft w:val="0"/>
      <w:marRight w:val="0"/>
      <w:marTop w:val="0"/>
      <w:marBottom w:val="0"/>
      <w:divBdr>
        <w:top w:val="none" w:sz="0" w:space="0" w:color="auto"/>
        <w:left w:val="none" w:sz="0" w:space="0" w:color="auto"/>
        <w:bottom w:val="none" w:sz="0" w:space="0" w:color="auto"/>
        <w:right w:val="none" w:sz="0" w:space="0" w:color="auto"/>
      </w:divBdr>
    </w:div>
    <w:div w:id="1887721648">
      <w:bodyDiv w:val="1"/>
      <w:marLeft w:val="0"/>
      <w:marRight w:val="0"/>
      <w:marTop w:val="0"/>
      <w:marBottom w:val="0"/>
      <w:divBdr>
        <w:top w:val="none" w:sz="0" w:space="0" w:color="auto"/>
        <w:left w:val="none" w:sz="0" w:space="0" w:color="auto"/>
        <w:bottom w:val="none" w:sz="0" w:space="0" w:color="auto"/>
        <w:right w:val="none" w:sz="0" w:space="0" w:color="auto"/>
      </w:divBdr>
    </w:div>
    <w:div w:id="1895383090">
      <w:bodyDiv w:val="1"/>
      <w:marLeft w:val="0"/>
      <w:marRight w:val="0"/>
      <w:marTop w:val="0"/>
      <w:marBottom w:val="0"/>
      <w:divBdr>
        <w:top w:val="none" w:sz="0" w:space="0" w:color="auto"/>
        <w:left w:val="none" w:sz="0" w:space="0" w:color="auto"/>
        <w:bottom w:val="none" w:sz="0" w:space="0" w:color="auto"/>
        <w:right w:val="none" w:sz="0" w:space="0" w:color="auto"/>
      </w:divBdr>
    </w:div>
    <w:div w:id="2109963853">
      <w:bodyDiv w:val="1"/>
      <w:marLeft w:val="0"/>
      <w:marRight w:val="0"/>
      <w:marTop w:val="0"/>
      <w:marBottom w:val="0"/>
      <w:divBdr>
        <w:top w:val="none" w:sz="0" w:space="0" w:color="auto"/>
        <w:left w:val="none" w:sz="0" w:space="0" w:color="auto"/>
        <w:bottom w:val="none" w:sz="0" w:space="0" w:color="auto"/>
        <w:right w:val="none" w:sz="0" w:space="0" w:color="auto"/>
      </w:divBdr>
    </w:div>
    <w:div w:id="2126579054">
      <w:bodyDiv w:val="1"/>
      <w:marLeft w:val="0"/>
      <w:marRight w:val="0"/>
      <w:marTop w:val="0"/>
      <w:marBottom w:val="0"/>
      <w:divBdr>
        <w:top w:val="none" w:sz="0" w:space="0" w:color="auto"/>
        <w:left w:val="none" w:sz="0" w:space="0" w:color="auto"/>
        <w:bottom w:val="none" w:sz="0" w:space="0" w:color="auto"/>
        <w:right w:val="none" w:sz="0" w:space="0" w:color="auto"/>
      </w:divBdr>
    </w:div>
    <w:div w:id="213073273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emf"/><Relationship Id="rId18" Type="http://schemas.openxmlformats.org/officeDocument/2006/relationships/hyperlink" Target="https://www.nesda.nl/nesda-english/" TargetMode="External"/><Relationship Id="rId26" Type="http://schemas.openxmlformats.org/officeDocument/2006/relationships/hyperlink" Target="https://cnsgenomics.com/software/gcta/" TargetMode="External"/><Relationship Id="rId3" Type="http://schemas.openxmlformats.org/officeDocument/2006/relationships/styles" Target="styles.xml"/><Relationship Id="rId21" Type="http://schemas.openxmlformats.org/officeDocument/2006/relationships/hyperlink" Target="https://mrcieu.github.io/TwoSampleMR/" TargetMode="Externa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hyperlink" Target="https://www.med.unc.edu/pgc/results-and-downloads" TargetMode="External"/><Relationship Id="rId25" Type="http://schemas.openxmlformats.org/officeDocument/2006/relationships/hyperlink" Target="http://atlas.ctglab.nl/" TargetMode="External"/><Relationship Id="rId2" Type="http://schemas.openxmlformats.org/officeDocument/2006/relationships/numbering" Target="numbering.xml"/><Relationship Id="rId16" Type="http://schemas.openxmlformats.org/officeDocument/2006/relationships/hyperlink" Target="http://www.computationalmedicine.fi/data" TargetMode="External"/><Relationship Id="rId20" Type="http://schemas.openxmlformats.org/officeDocument/2006/relationships/hyperlink" Target="https://github.com/bvilhjal/ldpred"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24" Type="http://schemas.openxmlformats.org/officeDocument/2006/relationships/hyperlink" Target="https://ldlink.nci.nih.gov/" TargetMode="External"/><Relationship Id="rId5" Type="http://schemas.openxmlformats.org/officeDocument/2006/relationships/webSettings" Target="webSettings.xml"/><Relationship Id="rId15" Type="http://schemas.openxmlformats.org/officeDocument/2006/relationships/hyperlink" Target="https://drive.google.com/drive/folders/0BzYDtCo_doHJRFRKR0ltZHZWZjQ" TargetMode="External"/><Relationship Id="rId23" Type="http://schemas.openxmlformats.org/officeDocument/2006/relationships/hyperlink" Target="http://fuma.ctglab.nl/" TargetMode="External"/><Relationship Id="rId28" Type="http://schemas.openxmlformats.org/officeDocument/2006/relationships/footer" Target="footer4.xml"/><Relationship Id="rId10" Type="http://schemas.openxmlformats.org/officeDocument/2006/relationships/image" Target="media/image1.emf"/><Relationship Id="rId19" Type="http://schemas.openxmlformats.org/officeDocument/2006/relationships/hyperlink" Target="https://www.cog-genomics.org/plink/1.9/"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5.jpeg"/><Relationship Id="rId22" Type="http://schemas.openxmlformats.org/officeDocument/2006/relationships/hyperlink" Target="http://cnsgenomics.com/shiny/mRnd/" TargetMode="External"/><Relationship Id="rId27" Type="http://schemas.openxmlformats.org/officeDocument/2006/relationships/footer" Target="footer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26A3E7AA-B7C0-9E46-A45A-52F090E2D4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179</TotalTime>
  <Pages>21</Pages>
  <Words>28285</Words>
  <Characters>161229</Characters>
  <Application>Microsoft Office Word</Application>
  <DocSecurity>0</DocSecurity>
  <Lines>1343</Lines>
  <Paragraphs>378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GGZinGeest</Company>
  <LinksUpToDate>false</LinksUpToDate>
  <CharactersWithSpaces>189136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yuri milaneschi</dc:creator>
  <cp:keywords/>
  <dc:description/>
  <cp:lastModifiedBy>yuri milaneschi</cp:lastModifiedBy>
  <cp:revision>123</cp:revision>
  <dcterms:created xsi:type="dcterms:W3CDTF">2019-02-10T12:36:00Z</dcterms:created>
  <dcterms:modified xsi:type="dcterms:W3CDTF">2019-05-22T20:36:00Z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16th edition (author-date)</vt:lpwstr>
  </property>
  <property fmtid="{D5CDD505-2E9C-101B-9397-08002B2CF9AE}" pid="10" name="Mendeley Recent Style Id 4_1">
    <vt:lpwstr>http://www.zotero.org/styles/harvard1</vt:lpwstr>
  </property>
  <property fmtid="{D5CDD505-2E9C-101B-9397-08002B2CF9AE}" pid="11" name="Mendeley Recent Style Name 4_1">
    <vt:lpwstr>Harvard Reference format 1 (author-date)</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7th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72dd7985-27cc-3e09-90c9-a249b851f491</vt:lpwstr>
  </property>
  <property fmtid="{D5CDD505-2E9C-101B-9397-08002B2CF9AE}" pid="24" name="Mendeley Citation Style_1">
    <vt:lpwstr>http://www.zotero.org/styles/american-medical-association</vt:lpwstr>
  </property>
</Properties>
</file>