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1CE6B2" w14:textId="567A787E" w:rsidR="00533FB4" w:rsidRPr="00533FB4" w:rsidRDefault="00533FB4" w:rsidP="00533FB4">
      <w:pPr>
        <w:spacing w:after="0" w:line="312" w:lineRule="auto"/>
        <w:ind w:left="-90" w:right="-270"/>
        <w:contextualSpacing/>
        <w:jc w:val="both"/>
        <w:rPr>
          <w:rFonts w:ascii="Arial" w:hAnsi="Arial" w:cs="Arial"/>
          <w:b/>
          <w:bCs/>
          <w:color w:val="auto"/>
          <w:sz w:val="24"/>
          <w:szCs w:val="24"/>
        </w:rPr>
      </w:pPr>
      <w:r w:rsidRPr="00533FB4">
        <w:rPr>
          <w:rFonts w:ascii="Arial" w:hAnsi="Arial" w:cs="Arial"/>
          <w:b/>
          <w:bCs/>
          <w:color w:val="auto"/>
          <w:sz w:val="24"/>
          <w:szCs w:val="24"/>
        </w:rPr>
        <w:t>Supplemental information</w:t>
      </w:r>
    </w:p>
    <w:p w14:paraId="33CAA276" w14:textId="77777777" w:rsidR="00533FB4" w:rsidRDefault="00533FB4" w:rsidP="00533FB4">
      <w:pPr>
        <w:spacing w:after="0" w:line="312" w:lineRule="auto"/>
        <w:ind w:left="-90" w:right="-270"/>
        <w:contextualSpacing/>
        <w:jc w:val="both"/>
        <w:rPr>
          <w:rFonts w:ascii="Arial" w:hAnsi="Arial" w:cs="Arial"/>
          <w:color w:val="auto"/>
          <w:sz w:val="24"/>
          <w:szCs w:val="24"/>
        </w:rPr>
      </w:pPr>
    </w:p>
    <w:p w14:paraId="0E8D554A" w14:textId="1CCB06A5" w:rsidR="00533FB4" w:rsidRPr="00CA32A2" w:rsidRDefault="00533FB4" w:rsidP="00533FB4">
      <w:pPr>
        <w:spacing w:after="0" w:line="312" w:lineRule="auto"/>
        <w:ind w:left="-90" w:right="-270"/>
        <w:contextualSpacing/>
        <w:jc w:val="both"/>
        <w:rPr>
          <w:rFonts w:ascii="Arial" w:hAnsi="Arial" w:cs="Arial"/>
          <w:color w:val="auto"/>
          <w:sz w:val="24"/>
          <w:szCs w:val="24"/>
        </w:rPr>
      </w:pPr>
      <w:r w:rsidRPr="00CA32A2">
        <w:rPr>
          <w:rFonts w:ascii="Arial" w:hAnsi="Arial" w:cs="Arial"/>
          <w:color w:val="auto"/>
          <w:sz w:val="24"/>
          <w:szCs w:val="24"/>
        </w:rPr>
        <w:t xml:space="preserve">Suppl. Fig. 1 Bilateral </w:t>
      </w:r>
      <w:proofErr w:type="spellStart"/>
      <w:r w:rsidRPr="00CA32A2">
        <w:rPr>
          <w:rFonts w:ascii="Arial" w:hAnsi="Arial" w:cs="Arial"/>
          <w:color w:val="auto"/>
          <w:sz w:val="24"/>
          <w:szCs w:val="24"/>
        </w:rPr>
        <w:t>amygdalar</w:t>
      </w:r>
      <w:proofErr w:type="spellEnd"/>
      <w:r w:rsidRPr="00CA32A2">
        <w:rPr>
          <w:rFonts w:ascii="Arial" w:hAnsi="Arial" w:cs="Arial"/>
          <w:color w:val="auto"/>
          <w:sz w:val="24"/>
          <w:szCs w:val="24"/>
        </w:rPr>
        <w:t xml:space="preserve"> resections</w:t>
      </w:r>
    </w:p>
    <w:p w14:paraId="5F0DA61D" w14:textId="77777777" w:rsidR="00533FB4" w:rsidRPr="00CA32A2" w:rsidRDefault="00533FB4" w:rsidP="00533FB4">
      <w:pPr>
        <w:spacing w:after="0" w:line="312" w:lineRule="auto"/>
        <w:ind w:left="-90" w:right="-270"/>
        <w:contextualSpacing/>
        <w:jc w:val="both"/>
        <w:rPr>
          <w:rFonts w:ascii="Arial" w:hAnsi="Arial" w:cs="Arial"/>
          <w:color w:val="auto"/>
          <w:sz w:val="24"/>
          <w:szCs w:val="24"/>
        </w:rPr>
      </w:pPr>
      <w:bookmarkStart w:id="0" w:name="_GoBack"/>
    </w:p>
    <w:bookmarkEnd w:id="0"/>
    <w:p w14:paraId="29AA8326" w14:textId="77777777" w:rsidR="00533FB4" w:rsidRPr="00CA32A2" w:rsidRDefault="00533FB4" w:rsidP="00533FB4">
      <w:pPr>
        <w:spacing w:after="0" w:line="312" w:lineRule="auto"/>
        <w:ind w:left="-90" w:right="-270"/>
        <w:contextualSpacing/>
        <w:jc w:val="both"/>
        <w:rPr>
          <w:rFonts w:ascii="Arial" w:hAnsi="Arial" w:cs="Arial"/>
          <w:color w:val="auto"/>
          <w:sz w:val="24"/>
          <w:szCs w:val="24"/>
        </w:rPr>
      </w:pPr>
      <w:r w:rsidRPr="00CA32A2">
        <w:rPr>
          <w:rFonts w:ascii="Arial" w:hAnsi="Arial" w:cs="Arial"/>
          <w:color w:val="auto"/>
          <w:sz w:val="24"/>
          <w:szCs w:val="24"/>
        </w:rPr>
        <w:t>Suppl. Fig. 2 The PCA which indicates sample 5 is a clear outlier</w:t>
      </w:r>
    </w:p>
    <w:p w14:paraId="0D760FC4" w14:textId="77777777" w:rsidR="00533FB4" w:rsidRPr="00CA32A2" w:rsidRDefault="00533FB4" w:rsidP="00533FB4">
      <w:pPr>
        <w:spacing w:after="0" w:line="312" w:lineRule="auto"/>
        <w:ind w:left="-90" w:right="-270"/>
        <w:contextualSpacing/>
        <w:jc w:val="both"/>
        <w:rPr>
          <w:rFonts w:ascii="Arial" w:hAnsi="Arial" w:cs="Arial"/>
          <w:color w:val="auto"/>
          <w:sz w:val="24"/>
          <w:szCs w:val="24"/>
        </w:rPr>
      </w:pPr>
    </w:p>
    <w:p w14:paraId="05478635" w14:textId="77777777" w:rsidR="00533FB4" w:rsidRPr="00CA32A2" w:rsidRDefault="00533FB4" w:rsidP="00533FB4">
      <w:pPr>
        <w:spacing w:after="0" w:line="312" w:lineRule="auto"/>
        <w:ind w:left="-90" w:right="-270"/>
        <w:contextualSpacing/>
        <w:jc w:val="both"/>
        <w:rPr>
          <w:rFonts w:ascii="Arial" w:hAnsi="Arial" w:cs="Arial"/>
          <w:color w:val="auto"/>
          <w:sz w:val="24"/>
          <w:szCs w:val="24"/>
        </w:rPr>
      </w:pPr>
      <w:r w:rsidRPr="00CA32A2">
        <w:rPr>
          <w:rFonts w:ascii="Arial" w:hAnsi="Arial" w:cs="Arial"/>
          <w:color w:val="auto"/>
          <w:sz w:val="24"/>
          <w:szCs w:val="24"/>
        </w:rPr>
        <w:t xml:space="preserve">Suppl. Fig. 3: Principal component analysis of behavior metrics. </w:t>
      </w:r>
    </w:p>
    <w:p w14:paraId="23F454FB" w14:textId="77777777" w:rsidR="00533FB4" w:rsidRPr="00CA32A2" w:rsidRDefault="00533FB4" w:rsidP="00533FB4">
      <w:pPr>
        <w:spacing w:after="0" w:line="312" w:lineRule="auto"/>
        <w:ind w:left="-90" w:right="-270"/>
        <w:contextualSpacing/>
        <w:jc w:val="both"/>
        <w:rPr>
          <w:rFonts w:ascii="Arial" w:hAnsi="Arial" w:cs="Arial"/>
          <w:color w:val="auto"/>
          <w:sz w:val="24"/>
          <w:szCs w:val="24"/>
        </w:rPr>
      </w:pPr>
    </w:p>
    <w:p w14:paraId="6F6CDDB9" w14:textId="77777777" w:rsidR="00533FB4" w:rsidRPr="00CA32A2" w:rsidRDefault="00533FB4" w:rsidP="00533FB4">
      <w:pPr>
        <w:spacing w:after="0" w:line="312" w:lineRule="auto"/>
        <w:ind w:left="-90" w:right="-270"/>
        <w:contextualSpacing/>
        <w:jc w:val="both"/>
        <w:rPr>
          <w:rFonts w:ascii="Arial" w:hAnsi="Arial" w:cs="Arial"/>
          <w:color w:val="auto"/>
          <w:sz w:val="24"/>
          <w:szCs w:val="24"/>
        </w:rPr>
      </w:pPr>
      <w:r w:rsidRPr="00CA32A2">
        <w:rPr>
          <w:rFonts w:ascii="Arial" w:hAnsi="Arial" w:cs="Arial"/>
          <w:color w:val="auto"/>
          <w:sz w:val="24"/>
          <w:szCs w:val="24"/>
        </w:rPr>
        <w:t xml:space="preserve">Suppl. Fig. 4: The negative relationship between PC1 and </w:t>
      </w:r>
      <w:proofErr w:type="spellStart"/>
      <w:r w:rsidRPr="00CA32A2">
        <w:rPr>
          <w:rFonts w:ascii="Arial" w:hAnsi="Arial" w:cs="Arial"/>
          <w:color w:val="auto"/>
          <w:sz w:val="24"/>
          <w:szCs w:val="24"/>
        </w:rPr>
        <w:t>box:zone</w:t>
      </w:r>
      <w:proofErr w:type="spellEnd"/>
      <w:r w:rsidRPr="00CA32A2">
        <w:rPr>
          <w:rFonts w:ascii="Arial" w:hAnsi="Arial" w:cs="Arial"/>
          <w:color w:val="auto"/>
          <w:sz w:val="24"/>
          <w:szCs w:val="24"/>
        </w:rPr>
        <w:t xml:space="preserve"> ratios from the SIT test</w:t>
      </w:r>
    </w:p>
    <w:p w14:paraId="3E82F96B" w14:textId="77777777" w:rsidR="00533FB4" w:rsidRPr="00CA32A2" w:rsidRDefault="00533FB4" w:rsidP="00533FB4">
      <w:pPr>
        <w:spacing w:after="0" w:line="312" w:lineRule="auto"/>
        <w:ind w:left="-90" w:right="-270"/>
        <w:contextualSpacing/>
        <w:jc w:val="both"/>
        <w:rPr>
          <w:rFonts w:ascii="Arial" w:hAnsi="Arial" w:cs="Arial"/>
          <w:color w:val="auto"/>
          <w:sz w:val="24"/>
          <w:szCs w:val="24"/>
        </w:rPr>
      </w:pPr>
    </w:p>
    <w:p w14:paraId="41A75769" w14:textId="77777777" w:rsidR="00533FB4" w:rsidRPr="00CA32A2" w:rsidRDefault="00533FB4" w:rsidP="00533FB4">
      <w:pPr>
        <w:spacing w:after="0" w:line="312" w:lineRule="auto"/>
        <w:ind w:left="-90" w:right="-270"/>
        <w:contextualSpacing/>
        <w:jc w:val="both"/>
        <w:rPr>
          <w:rFonts w:ascii="Arial" w:hAnsi="Arial" w:cs="Arial"/>
          <w:color w:val="auto"/>
          <w:sz w:val="24"/>
          <w:szCs w:val="24"/>
        </w:rPr>
      </w:pPr>
      <w:r w:rsidRPr="00CA32A2">
        <w:rPr>
          <w:rFonts w:ascii="Arial" w:hAnsi="Arial" w:cs="Arial"/>
          <w:color w:val="auto"/>
          <w:sz w:val="24"/>
          <w:szCs w:val="24"/>
        </w:rPr>
        <w:t xml:space="preserve">Suppl. Fig. 5: </w:t>
      </w:r>
      <w:r w:rsidRPr="00CA32A2">
        <w:rPr>
          <w:rFonts w:ascii="Arial" w:hAnsi="Arial" w:cs="Arial"/>
          <w:bCs/>
          <w:color w:val="auto"/>
          <w:sz w:val="24"/>
          <w:szCs w:val="24"/>
        </w:rPr>
        <w:t>Multi-region brain expression profiles of ‘top hits’ from the IPA canonical pathway (Table S2).</w:t>
      </w:r>
      <w:r w:rsidRPr="00CA32A2">
        <w:rPr>
          <w:rFonts w:ascii="Arial" w:hAnsi="Arial" w:cs="Arial"/>
          <w:color w:val="auto"/>
          <w:sz w:val="24"/>
          <w:szCs w:val="24"/>
        </w:rPr>
        <w:t xml:space="preserve"> A) Normalized expression (NX) from RNA seq obtained from the Human Protein Atlas. “Top hits” from gene expression (GNAI2, EGR4, CLTB, RPS6KB2, POMC and CACNA1A) were input into the Human Protein Atlas to analyze expression in multiple regions of human and mouse brain. Human gene expression represents the consensus normalized expression (NX) by combining the data from two transcriptomics datasets (</w:t>
      </w:r>
      <w:proofErr w:type="spellStart"/>
      <w:r w:rsidRPr="00CA32A2">
        <w:rPr>
          <w:rFonts w:ascii="Arial" w:hAnsi="Arial" w:cs="Arial"/>
          <w:color w:val="auto"/>
          <w:sz w:val="24"/>
          <w:szCs w:val="24"/>
        </w:rPr>
        <w:t>GTEx</w:t>
      </w:r>
      <w:proofErr w:type="spellEnd"/>
      <w:r w:rsidRPr="00CA32A2">
        <w:rPr>
          <w:rFonts w:ascii="Arial" w:hAnsi="Arial" w:cs="Arial"/>
          <w:color w:val="auto"/>
          <w:sz w:val="24"/>
          <w:szCs w:val="24"/>
        </w:rPr>
        <w:t xml:space="preserve"> and FANTOM5). Mouse RNA seq. based on the HPA RNA seq. tissue data (Human Protein Atlas). B) The expression values of POMC based on in situ hybridization (ISH) available through the 2004 Allen Institute for Brain Science, Allen Mouse Brain Atlas). </w:t>
      </w:r>
    </w:p>
    <w:p w14:paraId="4BD1334E" w14:textId="77777777" w:rsidR="00533FB4" w:rsidRPr="00CA32A2" w:rsidRDefault="00533FB4" w:rsidP="00533FB4">
      <w:pPr>
        <w:spacing w:after="0" w:line="312" w:lineRule="auto"/>
        <w:ind w:left="-90" w:right="-270"/>
        <w:contextualSpacing/>
        <w:jc w:val="both"/>
        <w:rPr>
          <w:rFonts w:ascii="Arial" w:hAnsi="Arial" w:cs="Arial"/>
          <w:color w:val="auto"/>
          <w:sz w:val="24"/>
          <w:szCs w:val="24"/>
        </w:rPr>
      </w:pPr>
    </w:p>
    <w:p w14:paraId="33AA2136" w14:textId="77777777" w:rsidR="00533FB4" w:rsidRPr="00CA32A2" w:rsidRDefault="00533FB4" w:rsidP="00533FB4">
      <w:pPr>
        <w:spacing w:after="0" w:line="312" w:lineRule="auto"/>
        <w:ind w:left="-90" w:right="-270"/>
        <w:contextualSpacing/>
        <w:jc w:val="both"/>
        <w:rPr>
          <w:rFonts w:ascii="Arial" w:hAnsi="Arial" w:cs="Arial"/>
          <w:color w:val="auto"/>
          <w:sz w:val="24"/>
          <w:szCs w:val="24"/>
        </w:rPr>
      </w:pPr>
      <w:r w:rsidRPr="00CA32A2">
        <w:rPr>
          <w:rFonts w:ascii="Arial" w:hAnsi="Arial" w:cs="Arial"/>
          <w:color w:val="auto"/>
          <w:sz w:val="24"/>
          <w:szCs w:val="24"/>
        </w:rPr>
        <w:t xml:space="preserve">Table S1. Gene expression profiles and associated nomenclature for the top and bottom de-regulated genes in ‘anxious’ vs. ‘non-anxious’ C57/BL6. </w:t>
      </w:r>
    </w:p>
    <w:p w14:paraId="20C8E159" w14:textId="77777777" w:rsidR="00533FB4" w:rsidRPr="00CA32A2" w:rsidRDefault="00533FB4" w:rsidP="00533FB4">
      <w:pPr>
        <w:spacing w:after="0" w:line="312" w:lineRule="auto"/>
        <w:ind w:left="-90" w:right="-270"/>
        <w:contextualSpacing/>
        <w:jc w:val="both"/>
        <w:rPr>
          <w:rFonts w:ascii="Arial" w:hAnsi="Arial" w:cs="Arial"/>
          <w:color w:val="auto"/>
          <w:sz w:val="24"/>
          <w:szCs w:val="24"/>
        </w:rPr>
      </w:pPr>
    </w:p>
    <w:p w14:paraId="5579C6CF" w14:textId="77777777" w:rsidR="00533FB4" w:rsidRPr="00CA32A2" w:rsidRDefault="00533FB4" w:rsidP="00533FB4">
      <w:pPr>
        <w:spacing w:after="0" w:line="312" w:lineRule="auto"/>
        <w:ind w:left="-90" w:right="-270"/>
        <w:contextualSpacing/>
        <w:jc w:val="both"/>
        <w:rPr>
          <w:rFonts w:ascii="Arial" w:hAnsi="Arial" w:cs="Arial"/>
          <w:color w:val="auto"/>
          <w:sz w:val="24"/>
          <w:szCs w:val="24"/>
        </w:rPr>
      </w:pPr>
      <w:r w:rsidRPr="00CA32A2">
        <w:rPr>
          <w:rFonts w:ascii="Arial" w:hAnsi="Arial" w:cs="Arial"/>
          <w:color w:val="auto"/>
          <w:sz w:val="24"/>
          <w:szCs w:val="24"/>
        </w:rPr>
        <w:t>Table S2. The 202 ‘anxiety’ gene signature was analyzed using IPA core analysis. The genes were matched to proteins in the IPA canonical pathway database and p-values generated based on the degree of representation relative to the number of proteins in the canonical pathway. Only pathways with p&lt;0.05 are displayed with 4 or more genes identified in the pathway.</w:t>
      </w:r>
    </w:p>
    <w:p w14:paraId="3BCCC4DF" w14:textId="77777777" w:rsidR="00533FB4" w:rsidRPr="00CA32A2" w:rsidRDefault="00533FB4" w:rsidP="00533FB4">
      <w:pPr>
        <w:spacing w:after="0" w:line="312" w:lineRule="auto"/>
        <w:ind w:left="-90" w:right="-270"/>
        <w:contextualSpacing/>
        <w:jc w:val="both"/>
        <w:rPr>
          <w:rFonts w:ascii="Arial" w:hAnsi="Arial" w:cs="Arial"/>
          <w:color w:val="auto"/>
          <w:sz w:val="24"/>
          <w:szCs w:val="24"/>
        </w:rPr>
      </w:pPr>
    </w:p>
    <w:p w14:paraId="39A97867" w14:textId="77777777" w:rsidR="00533FB4" w:rsidRPr="00CA32A2" w:rsidRDefault="00533FB4" w:rsidP="00533FB4">
      <w:pPr>
        <w:spacing w:after="0" w:line="312" w:lineRule="auto"/>
        <w:ind w:left="-90" w:right="-270"/>
        <w:contextualSpacing/>
        <w:jc w:val="both"/>
        <w:rPr>
          <w:rFonts w:ascii="Arial" w:hAnsi="Arial" w:cs="Arial"/>
          <w:color w:val="auto"/>
          <w:sz w:val="24"/>
          <w:szCs w:val="24"/>
        </w:rPr>
      </w:pPr>
      <w:r w:rsidRPr="00CA32A2">
        <w:rPr>
          <w:rFonts w:ascii="Arial" w:hAnsi="Arial" w:cs="Arial"/>
          <w:color w:val="auto"/>
          <w:sz w:val="24"/>
          <w:szCs w:val="24"/>
        </w:rPr>
        <w:t xml:space="preserve">Table S3. The 202 ‘anxiety’ gene signature was compared to 1.3 million gene expression profiles in the </w:t>
      </w:r>
      <w:proofErr w:type="spellStart"/>
      <w:r w:rsidRPr="00CA32A2">
        <w:rPr>
          <w:rFonts w:ascii="Arial" w:hAnsi="Arial" w:cs="Arial"/>
          <w:color w:val="auto"/>
          <w:sz w:val="24"/>
          <w:szCs w:val="24"/>
        </w:rPr>
        <w:t>cMap</w:t>
      </w:r>
      <w:proofErr w:type="spellEnd"/>
      <w:r w:rsidRPr="00CA32A2">
        <w:rPr>
          <w:rFonts w:ascii="Arial" w:hAnsi="Arial" w:cs="Arial"/>
          <w:color w:val="auto"/>
          <w:sz w:val="24"/>
          <w:szCs w:val="24"/>
        </w:rPr>
        <w:t xml:space="preserve"> database. The top 15 most similar perturbagens were identified based on the number of matching signatures.</w:t>
      </w:r>
    </w:p>
    <w:p w14:paraId="608FE61E" w14:textId="77777777" w:rsidR="009557BD" w:rsidRDefault="009557BD"/>
    <w:sectPr w:rsidR="009557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FB4"/>
    <w:rsid w:val="00533FB4"/>
    <w:rsid w:val="00955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0B57E"/>
  <w15:chartTrackingRefBased/>
  <w15:docId w15:val="{5844D973-03E3-46BC-9045-FE6A3FDDE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33FB4"/>
    <w:rPr>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Goldman</dc:creator>
  <cp:keywords/>
  <dc:description/>
  <cp:lastModifiedBy>Aaron Goldman</cp:lastModifiedBy>
  <cp:revision>1</cp:revision>
  <dcterms:created xsi:type="dcterms:W3CDTF">2019-10-09T14:32:00Z</dcterms:created>
  <dcterms:modified xsi:type="dcterms:W3CDTF">2019-10-09T14:33:00Z</dcterms:modified>
</cp:coreProperties>
</file>