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4644C" w14:textId="0C286C70" w:rsidR="00595D46" w:rsidRPr="00595D46" w:rsidRDefault="00595D46" w:rsidP="00595D46">
      <w:pPr>
        <w:spacing w:line="480" w:lineRule="auto"/>
        <w:rPr>
          <w:rFonts w:asciiTheme="majorHAnsi" w:hAnsiTheme="majorHAnsi" w:cstheme="majorHAnsi"/>
          <w:b/>
          <w:sz w:val="22"/>
          <w:szCs w:val="22"/>
        </w:rPr>
      </w:pPr>
      <w:r w:rsidRPr="00595D46">
        <w:rPr>
          <w:rFonts w:asciiTheme="majorHAnsi" w:hAnsiTheme="majorHAnsi" w:cstheme="majorHAnsi"/>
          <w:b/>
          <w:sz w:val="22"/>
          <w:szCs w:val="22"/>
        </w:rPr>
        <w:t>Supplemental Methods</w:t>
      </w:r>
    </w:p>
    <w:p w14:paraId="0A37501D" w14:textId="76C81EB2" w:rsidR="0014416A" w:rsidRDefault="0014416A" w:rsidP="00595D46">
      <w:pPr>
        <w:spacing w:line="480" w:lineRule="auto"/>
        <w:rPr>
          <w:rFonts w:asciiTheme="majorHAnsi" w:hAnsiTheme="majorHAnsi" w:cstheme="majorHAnsi"/>
          <w:sz w:val="22"/>
          <w:szCs w:val="22"/>
        </w:rPr>
      </w:pPr>
    </w:p>
    <w:p w14:paraId="3EBB87F3" w14:textId="77777777" w:rsidR="00D26F2B" w:rsidRPr="00595D46" w:rsidRDefault="00D26F2B" w:rsidP="00D26F2B">
      <w:pPr>
        <w:spacing w:line="480" w:lineRule="auto"/>
        <w:jc w:val="both"/>
        <w:rPr>
          <w:rFonts w:asciiTheme="majorHAnsi" w:eastAsia="Arial" w:hAnsiTheme="majorHAnsi" w:cstheme="majorHAnsi"/>
          <w:b/>
          <w:sz w:val="22"/>
          <w:szCs w:val="22"/>
        </w:rPr>
      </w:pPr>
      <w:r w:rsidRPr="00595D46">
        <w:rPr>
          <w:rFonts w:asciiTheme="majorHAnsi" w:eastAsia="Arial" w:hAnsiTheme="majorHAnsi" w:cstheme="majorHAnsi"/>
          <w:b/>
          <w:sz w:val="22"/>
          <w:szCs w:val="22"/>
        </w:rPr>
        <w:t>Genotyping</w:t>
      </w:r>
    </w:p>
    <w:p w14:paraId="3B5B5BB4" w14:textId="38CF9023" w:rsidR="00D26F2B" w:rsidRPr="00EA7CFA" w:rsidRDefault="00656AD2" w:rsidP="00D26F2B">
      <w:pPr>
        <w:spacing w:line="480" w:lineRule="auto"/>
        <w:jc w:val="both"/>
        <w:rPr>
          <w:rFonts w:asciiTheme="majorHAnsi" w:eastAsia="Arial" w:hAnsiTheme="majorHAnsi" w:cstheme="majorHAnsi"/>
          <w:color w:val="000000" w:themeColor="text1"/>
          <w:sz w:val="22"/>
          <w:szCs w:val="22"/>
        </w:rPr>
      </w:pPr>
      <w:r w:rsidRPr="00656AD2">
        <w:rPr>
          <w:rFonts w:asciiTheme="majorHAnsi" w:eastAsia="Arial" w:hAnsiTheme="majorHAnsi" w:cstheme="majorHAnsi"/>
          <w:sz w:val="22"/>
          <w:szCs w:val="22"/>
        </w:rPr>
        <w:t xml:space="preserve">Our goal was to recruit 30 subjects; </w:t>
      </w:r>
      <w:r>
        <w:rPr>
          <w:rFonts w:asciiTheme="majorHAnsi" w:eastAsia="Arial" w:hAnsiTheme="majorHAnsi" w:cstheme="majorHAnsi"/>
          <w:sz w:val="22"/>
          <w:szCs w:val="22"/>
        </w:rPr>
        <w:t xml:space="preserve">at least </w:t>
      </w:r>
      <w:r w:rsidRPr="00656AD2">
        <w:rPr>
          <w:rFonts w:asciiTheme="majorHAnsi" w:eastAsia="Arial" w:hAnsiTheme="majorHAnsi" w:cstheme="majorHAnsi"/>
          <w:sz w:val="22"/>
          <w:szCs w:val="22"/>
        </w:rPr>
        <w:t>10 subje</w:t>
      </w:r>
      <w:r>
        <w:rPr>
          <w:rFonts w:asciiTheme="majorHAnsi" w:eastAsia="Arial" w:hAnsiTheme="majorHAnsi" w:cstheme="majorHAnsi"/>
          <w:sz w:val="22"/>
          <w:szCs w:val="22"/>
        </w:rPr>
        <w:t xml:space="preserve">cts who carried AA genotype and at least </w:t>
      </w:r>
      <w:r w:rsidRPr="00656AD2">
        <w:rPr>
          <w:rFonts w:asciiTheme="majorHAnsi" w:eastAsia="Arial" w:hAnsiTheme="majorHAnsi" w:cstheme="majorHAnsi"/>
          <w:sz w:val="22"/>
          <w:szCs w:val="22"/>
        </w:rPr>
        <w:t xml:space="preserve">10 who carried the GG genotype. </w:t>
      </w:r>
      <w:bookmarkStart w:id="0" w:name="_GoBack"/>
      <w:bookmarkEnd w:id="0"/>
      <w:r w:rsidR="00D26F2B" w:rsidRPr="00595D46">
        <w:rPr>
          <w:rFonts w:asciiTheme="majorHAnsi" w:eastAsia="Arial" w:hAnsiTheme="majorHAnsi" w:cstheme="majorHAnsi"/>
          <w:sz w:val="22"/>
          <w:szCs w:val="22"/>
        </w:rPr>
        <w:t xml:space="preserve">DNA was extracted by performing cell lysis on 10mL of whole blood using Qiagen RBC Lysis Solution and Cell Lysis Solution. Protein and DNA were precipitated from lysed cells using Protein Precipitation </w:t>
      </w:r>
      <w:r w:rsidR="00D26F2B" w:rsidRPr="00595D46">
        <w:rPr>
          <w:rFonts w:asciiTheme="majorHAnsi" w:eastAsia="Arial" w:hAnsiTheme="majorHAnsi" w:cstheme="majorHAnsi"/>
          <w:color w:val="000000" w:themeColor="text1"/>
          <w:sz w:val="22"/>
          <w:szCs w:val="22"/>
        </w:rPr>
        <w:t xml:space="preserve">solution and 2-propanol. Quality control of DNA concentrations was determined using Qubit dsDNA High Sensitivity Assay Kits.  The CACNA1C single nucleotide </w:t>
      </w:r>
      <w:r w:rsidR="00D26F2B" w:rsidRPr="00EA7CFA">
        <w:rPr>
          <w:rFonts w:asciiTheme="majorHAnsi" w:eastAsia="Arial" w:hAnsiTheme="majorHAnsi" w:cstheme="majorHAnsi"/>
          <w:color w:val="000000" w:themeColor="text1"/>
          <w:sz w:val="22"/>
          <w:szCs w:val="22"/>
        </w:rPr>
        <w:t xml:space="preserve">polymorphism rs1006737 was determined by standard allelic discrimination </w:t>
      </w:r>
      <w:proofErr w:type="spellStart"/>
      <w:r w:rsidR="00D26F2B" w:rsidRPr="00EA7CFA">
        <w:rPr>
          <w:rFonts w:asciiTheme="majorHAnsi" w:eastAsia="Arial" w:hAnsiTheme="majorHAnsi" w:cstheme="majorHAnsi"/>
          <w:color w:val="000000" w:themeColor="text1"/>
          <w:sz w:val="22"/>
          <w:szCs w:val="22"/>
        </w:rPr>
        <w:t>Taqman</w:t>
      </w:r>
      <w:proofErr w:type="spellEnd"/>
      <w:r w:rsidR="00D26F2B" w:rsidRPr="00EA7CFA">
        <w:rPr>
          <w:rFonts w:asciiTheme="majorHAnsi" w:eastAsia="Arial" w:hAnsiTheme="majorHAnsi" w:cstheme="majorHAnsi"/>
          <w:color w:val="000000" w:themeColor="text1"/>
          <w:sz w:val="22"/>
          <w:szCs w:val="22"/>
        </w:rPr>
        <w:t xml:space="preserve"> assay that uses the 5′ nuclease activity of </w:t>
      </w:r>
      <w:proofErr w:type="spellStart"/>
      <w:r w:rsidR="00D26F2B" w:rsidRPr="00EA7CFA">
        <w:rPr>
          <w:rFonts w:asciiTheme="majorHAnsi" w:eastAsia="Arial" w:hAnsiTheme="majorHAnsi" w:cstheme="majorHAnsi"/>
          <w:color w:val="000000" w:themeColor="text1"/>
          <w:sz w:val="22"/>
          <w:szCs w:val="22"/>
        </w:rPr>
        <w:t>Taq</w:t>
      </w:r>
      <w:proofErr w:type="spellEnd"/>
      <w:r w:rsidR="00D26F2B" w:rsidRPr="00EA7CFA">
        <w:rPr>
          <w:rFonts w:asciiTheme="majorHAnsi" w:eastAsia="Arial" w:hAnsiTheme="majorHAnsi" w:cstheme="majorHAnsi"/>
          <w:color w:val="000000" w:themeColor="text1"/>
          <w:sz w:val="22"/>
          <w:szCs w:val="22"/>
        </w:rPr>
        <w:t xml:space="preserve"> DNA polymerase to detect a fluorescent reporter signal generated after PCR amplification. The assay cocktail (Assays on Demand) for rs1006737 was obtained from Applied Biosystems (Foster City, CA). Genotype reproducibility was routinely assessed by re-genotyping all samples for the selected SNP and was 100%. </w:t>
      </w:r>
    </w:p>
    <w:p w14:paraId="764E8E71" w14:textId="77777777" w:rsidR="00D26F2B" w:rsidRPr="00595D46" w:rsidRDefault="00D26F2B" w:rsidP="00595D46">
      <w:pPr>
        <w:spacing w:line="480" w:lineRule="auto"/>
        <w:rPr>
          <w:rFonts w:asciiTheme="majorHAnsi" w:hAnsiTheme="majorHAnsi" w:cstheme="majorHAnsi"/>
          <w:sz w:val="22"/>
          <w:szCs w:val="22"/>
        </w:rPr>
      </w:pPr>
    </w:p>
    <w:p w14:paraId="5AE09A45" w14:textId="77777777" w:rsidR="00595D46" w:rsidRPr="00595D46" w:rsidRDefault="00595D46" w:rsidP="00595D46">
      <w:pPr>
        <w:spacing w:line="480" w:lineRule="auto"/>
        <w:jc w:val="both"/>
        <w:rPr>
          <w:rFonts w:asciiTheme="majorHAnsi" w:hAnsiTheme="majorHAnsi" w:cstheme="majorHAnsi"/>
          <w:b/>
          <w:sz w:val="22"/>
          <w:szCs w:val="22"/>
        </w:rPr>
      </w:pPr>
      <w:r w:rsidRPr="00595D46">
        <w:rPr>
          <w:rFonts w:asciiTheme="majorHAnsi" w:hAnsiTheme="majorHAnsi" w:cstheme="majorHAnsi"/>
          <w:b/>
          <w:sz w:val="22"/>
          <w:szCs w:val="22"/>
        </w:rPr>
        <w:t>Nimodipine assay</w:t>
      </w:r>
    </w:p>
    <w:p w14:paraId="1C1AC229" w14:textId="420B1901" w:rsidR="00E654DA" w:rsidRPr="00595D46" w:rsidRDefault="00595D46" w:rsidP="00595D46">
      <w:pPr>
        <w:spacing w:line="480" w:lineRule="auto"/>
        <w:jc w:val="both"/>
        <w:rPr>
          <w:rFonts w:asciiTheme="majorHAnsi" w:hAnsiTheme="majorHAnsi" w:cstheme="majorHAnsi"/>
          <w:sz w:val="22"/>
          <w:szCs w:val="22"/>
        </w:rPr>
      </w:pPr>
      <w:r>
        <w:rPr>
          <w:rFonts w:asciiTheme="majorHAnsi" w:hAnsiTheme="majorHAnsi" w:cstheme="majorHAnsi"/>
          <w:sz w:val="22"/>
          <w:szCs w:val="22"/>
        </w:rPr>
        <w:t>S</w:t>
      </w:r>
      <w:r w:rsidRPr="00595D46">
        <w:rPr>
          <w:rFonts w:asciiTheme="majorHAnsi" w:hAnsiTheme="majorHAnsi" w:cstheme="majorHAnsi"/>
          <w:sz w:val="22"/>
          <w:szCs w:val="22"/>
        </w:rPr>
        <w:t xml:space="preserve">amples were prepared for analysis via protein precipitation and evaporated to dryness, followed by reconstitution in a 1:1 ratio of 0.1% formic acid in water (mobile phase A) to 0.1% formic acid in acetonitrile (mobile phase B).  Chromatographic separation was achieved using a </w:t>
      </w:r>
      <w:proofErr w:type="spellStart"/>
      <w:r w:rsidRPr="00595D46">
        <w:rPr>
          <w:rFonts w:asciiTheme="majorHAnsi" w:hAnsiTheme="majorHAnsi" w:cstheme="majorHAnsi"/>
          <w:sz w:val="22"/>
          <w:szCs w:val="22"/>
        </w:rPr>
        <w:t>Kinetex</w:t>
      </w:r>
      <w:proofErr w:type="spellEnd"/>
      <w:r w:rsidRPr="00595D46">
        <w:rPr>
          <w:rFonts w:asciiTheme="majorHAnsi" w:hAnsiTheme="majorHAnsi" w:cstheme="majorHAnsi"/>
          <w:sz w:val="22"/>
          <w:szCs w:val="22"/>
        </w:rPr>
        <w:t xml:space="preserve"> C18 column, 2.6 µm 50 x 2.1 mm (Phenomenex, Torrance, CA) on an </w:t>
      </w:r>
      <w:proofErr w:type="spellStart"/>
      <w:r w:rsidRPr="00595D46">
        <w:rPr>
          <w:rFonts w:asciiTheme="majorHAnsi" w:hAnsiTheme="majorHAnsi" w:cstheme="majorHAnsi"/>
          <w:sz w:val="22"/>
          <w:szCs w:val="22"/>
        </w:rPr>
        <w:t>Acquity</w:t>
      </w:r>
      <w:proofErr w:type="spellEnd"/>
      <w:r w:rsidRPr="00595D46">
        <w:rPr>
          <w:rFonts w:asciiTheme="majorHAnsi" w:hAnsiTheme="majorHAnsi" w:cstheme="majorHAnsi"/>
          <w:sz w:val="22"/>
          <w:szCs w:val="22"/>
        </w:rPr>
        <w:t xml:space="preserve"> LC system (Waters Corporation, Milford, MA).  </w:t>
      </w:r>
      <w:proofErr w:type="spellStart"/>
      <w:r w:rsidRPr="00595D46">
        <w:rPr>
          <w:rFonts w:asciiTheme="majorHAnsi" w:hAnsiTheme="majorHAnsi" w:cstheme="majorHAnsi"/>
          <w:sz w:val="22"/>
          <w:szCs w:val="22"/>
        </w:rPr>
        <w:t>Nimodopine</w:t>
      </w:r>
      <w:proofErr w:type="spellEnd"/>
      <w:r w:rsidRPr="00595D46">
        <w:rPr>
          <w:rFonts w:asciiTheme="majorHAnsi" w:hAnsiTheme="majorHAnsi" w:cstheme="majorHAnsi"/>
          <w:sz w:val="22"/>
          <w:szCs w:val="22"/>
        </w:rPr>
        <w:t xml:space="preserve">, as well as the deuterated internal standard, nimodipine-d7, were monitored on a QTRAP 5500 mass spectrometer (SCIEX, Foster City, CA).  Nimodipine and nimodipine-d7 transitions used for quantification were </w:t>
      </w:r>
      <w:r w:rsidRPr="00595D46">
        <w:rPr>
          <w:rFonts w:asciiTheme="majorHAnsi" w:hAnsiTheme="majorHAnsi" w:cstheme="majorHAnsi"/>
          <w:i/>
          <w:sz w:val="22"/>
          <w:szCs w:val="22"/>
        </w:rPr>
        <w:t>m/z</w:t>
      </w:r>
      <w:r w:rsidRPr="00595D46">
        <w:rPr>
          <w:rFonts w:asciiTheme="majorHAnsi" w:hAnsiTheme="majorHAnsi" w:cstheme="majorHAnsi"/>
          <w:sz w:val="22"/>
          <w:szCs w:val="22"/>
        </w:rPr>
        <w:t xml:space="preserve"> 419.44→343.10 and </w:t>
      </w:r>
      <w:r w:rsidRPr="00595D46">
        <w:rPr>
          <w:rFonts w:asciiTheme="majorHAnsi" w:hAnsiTheme="majorHAnsi" w:cstheme="majorHAnsi"/>
          <w:i/>
          <w:sz w:val="22"/>
          <w:szCs w:val="22"/>
        </w:rPr>
        <w:t xml:space="preserve">m/z </w:t>
      </w:r>
      <w:r w:rsidRPr="00595D46">
        <w:rPr>
          <w:rFonts w:asciiTheme="majorHAnsi" w:hAnsiTheme="majorHAnsi" w:cstheme="majorHAnsi"/>
          <w:sz w:val="22"/>
          <w:szCs w:val="22"/>
        </w:rPr>
        <w:t>426.48→350.40, respectively.  Total analytical run time was 2.0 min, and the analytical measuring range of the assay for nimodipine quantification was 0.2 to 2000 ng/</w:t>
      </w:r>
      <w:proofErr w:type="spellStart"/>
      <w:r w:rsidRPr="00595D46">
        <w:rPr>
          <w:rFonts w:asciiTheme="majorHAnsi" w:hAnsiTheme="majorHAnsi" w:cstheme="majorHAnsi"/>
          <w:sz w:val="22"/>
          <w:szCs w:val="22"/>
        </w:rPr>
        <w:t>mL.</w:t>
      </w:r>
      <w:proofErr w:type="spellEnd"/>
      <w:r w:rsidRPr="00595D46">
        <w:rPr>
          <w:rFonts w:asciiTheme="majorHAnsi" w:hAnsiTheme="majorHAnsi" w:cstheme="majorHAnsi"/>
          <w:sz w:val="22"/>
          <w:szCs w:val="22"/>
        </w:rPr>
        <w:t xml:space="preserve">  The assay </w:t>
      </w:r>
      <w:r w:rsidRPr="00595D46">
        <w:rPr>
          <w:rFonts w:asciiTheme="majorHAnsi" w:hAnsiTheme="majorHAnsi" w:cstheme="majorHAnsi"/>
          <w:sz w:val="22"/>
          <w:szCs w:val="22"/>
        </w:rPr>
        <w:lastRenderedPageBreak/>
        <w:t>was validated in accordance with FDA Guidance for Industry: Bioanalytical Method Validation recommendations, and all results met acceptability criteria.  The inter- and intra-assay precision and accuracy values were within the ±20% acceptance criteria with precision values ≤13.1% and accuracy values ranging between -14.5% and 11.0% for the quality control levels, including the lower limit of quantification (LLOQ).</w:t>
      </w:r>
    </w:p>
    <w:p w14:paraId="22D08B2A" w14:textId="77777777" w:rsidR="00595D46" w:rsidRPr="00595D46" w:rsidRDefault="00595D46" w:rsidP="00595D46">
      <w:pPr>
        <w:spacing w:line="480" w:lineRule="auto"/>
        <w:jc w:val="both"/>
        <w:rPr>
          <w:rFonts w:asciiTheme="majorHAnsi" w:hAnsiTheme="majorHAnsi" w:cstheme="majorHAnsi"/>
          <w:sz w:val="22"/>
          <w:szCs w:val="22"/>
        </w:rPr>
      </w:pPr>
    </w:p>
    <w:p w14:paraId="75BF1F3D" w14:textId="77777777" w:rsidR="00EA7CFA" w:rsidRPr="00EA7CFA" w:rsidRDefault="00EA7CFA" w:rsidP="00595D46">
      <w:pPr>
        <w:spacing w:line="480" w:lineRule="auto"/>
        <w:jc w:val="both"/>
        <w:rPr>
          <w:rFonts w:asciiTheme="majorHAnsi" w:eastAsia="Arial" w:hAnsiTheme="majorHAnsi" w:cstheme="majorHAnsi"/>
          <w:color w:val="000000" w:themeColor="text1"/>
          <w:sz w:val="22"/>
          <w:szCs w:val="22"/>
        </w:rPr>
      </w:pPr>
    </w:p>
    <w:p w14:paraId="670BE827" w14:textId="77777777" w:rsidR="00EA7CFA" w:rsidRPr="00EA7CFA" w:rsidRDefault="00EA7CFA" w:rsidP="00EA7CFA">
      <w:pPr>
        <w:spacing w:line="480" w:lineRule="auto"/>
        <w:jc w:val="both"/>
        <w:rPr>
          <w:rFonts w:asciiTheme="majorHAnsi" w:hAnsiTheme="majorHAnsi" w:cstheme="majorHAnsi"/>
          <w:b/>
          <w:bCs/>
          <w:color w:val="000000" w:themeColor="text1"/>
          <w:sz w:val="22"/>
          <w:szCs w:val="22"/>
        </w:rPr>
      </w:pPr>
      <w:r w:rsidRPr="00EA7CFA">
        <w:rPr>
          <w:rFonts w:asciiTheme="majorHAnsi" w:hAnsiTheme="majorHAnsi" w:cstheme="majorHAnsi"/>
          <w:b/>
          <w:bCs/>
          <w:color w:val="000000" w:themeColor="text1"/>
          <w:sz w:val="22"/>
          <w:szCs w:val="22"/>
          <w:shd w:val="clear" w:color="auto" w:fill="FFFFFF"/>
        </w:rPr>
        <w:t>Psychological rating scale</w:t>
      </w:r>
    </w:p>
    <w:p w14:paraId="4ED602EC" w14:textId="77777777" w:rsidR="00EA7CFA" w:rsidRPr="00EA7CFA" w:rsidRDefault="00EA7CFA" w:rsidP="00EA7CFA">
      <w:pPr>
        <w:spacing w:line="480" w:lineRule="auto"/>
        <w:jc w:val="both"/>
        <w:rPr>
          <w:rFonts w:asciiTheme="majorHAnsi" w:hAnsiTheme="majorHAnsi" w:cstheme="majorHAnsi"/>
          <w:sz w:val="22"/>
          <w:szCs w:val="22"/>
        </w:rPr>
      </w:pPr>
      <w:r w:rsidRPr="00EA7CFA">
        <w:rPr>
          <w:rFonts w:asciiTheme="majorHAnsi" w:hAnsiTheme="majorHAnsi" w:cstheme="majorHAnsi"/>
          <w:color w:val="000000" w:themeColor="text1"/>
          <w:sz w:val="22"/>
          <w:szCs w:val="22"/>
          <w:shd w:val="clear" w:color="auto" w:fill="FFFFFF"/>
        </w:rPr>
        <w:t xml:space="preserve">The Profile of Mood States (POMS short form) was used to assess whether nimodipine altered subjects’ moods.  The self-report rating scale is used to capture transient and fluctuating feelings or moods and consists of 37 items that can be combined for a total mood disturbance score, and six mood clusters: </w:t>
      </w:r>
      <w:r w:rsidRPr="00EA7CFA">
        <w:rPr>
          <w:rFonts w:asciiTheme="majorHAnsi" w:hAnsiTheme="majorHAnsi" w:cstheme="majorHAnsi"/>
          <w:sz w:val="22"/>
          <w:szCs w:val="22"/>
        </w:rPr>
        <w:t>anger-hostility, confusion-bewilderment, depression-dejection, fatigue-inertia, tension-anxiety, and vigor-activity. Each mood is rated on a scale of 1 to 5 (1=not at all and 5=extremely). The POMS was administered before and 15, 90, and 240 minutes after drug/placebo administration.</w:t>
      </w:r>
    </w:p>
    <w:p w14:paraId="401E5767" w14:textId="77777777" w:rsidR="00EA7CFA" w:rsidRPr="00595D46" w:rsidRDefault="00EA7CFA" w:rsidP="00595D46">
      <w:pPr>
        <w:spacing w:line="480" w:lineRule="auto"/>
        <w:jc w:val="both"/>
        <w:rPr>
          <w:rFonts w:asciiTheme="majorHAnsi" w:eastAsia="Arial" w:hAnsiTheme="majorHAnsi" w:cstheme="majorHAnsi"/>
          <w:color w:val="000000" w:themeColor="text1"/>
          <w:sz w:val="22"/>
          <w:szCs w:val="22"/>
        </w:rPr>
      </w:pPr>
    </w:p>
    <w:p w14:paraId="3577969C" w14:textId="77777777" w:rsidR="00595D46" w:rsidRPr="00595D46" w:rsidRDefault="00595D46" w:rsidP="00595D46">
      <w:pPr>
        <w:spacing w:line="480" w:lineRule="auto"/>
        <w:jc w:val="both"/>
        <w:rPr>
          <w:rFonts w:asciiTheme="majorHAnsi" w:hAnsiTheme="majorHAnsi" w:cstheme="majorHAnsi"/>
          <w:sz w:val="22"/>
          <w:szCs w:val="22"/>
        </w:rPr>
      </w:pPr>
    </w:p>
    <w:p w14:paraId="2E354230" w14:textId="29679BC5" w:rsidR="74D672F9" w:rsidRPr="00852A16" w:rsidRDefault="74D672F9" w:rsidP="74D672F9">
      <w:pPr>
        <w:pStyle w:val="paragraph"/>
        <w:spacing w:before="0" w:beforeAutospacing="0" w:after="0" w:afterAutospacing="0" w:line="480" w:lineRule="auto"/>
        <w:rPr>
          <w:rStyle w:val="normaltextrun"/>
          <w:rFonts w:asciiTheme="majorHAnsi" w:hAnsiTheme="majorHAnsi" w:cstheme="majorHAnsi"/>
          <w:i/>
          <w:iCs/>
          <w:sz w:val="22"/>
          <w:szCs w:val="22"/>
        </w:rPr>
      </w:pPr>
    </w:p>
    <w:p w14:paraId="72A3D3EC" w14:textId="365B13F9" w:rsidR="008F0F4E" w:rsidRPr="00852A16" w:rsidRDefault="008F0F4E">
      <w:pPr>
        <w:rPr>
          <w:rFonts w:asciiTheme="majorHAnsi" w:eastAsia="Times New Roman" w:hAnsiTheme="majorHAnsi" w:cstheme="majorHAnsi"/>
          <w:sz w:val="22"/>
          <w:szCs w:val="22"/>
        </w:rPr>
      </w:pPr>
      <w:r w:rsidRPr="00852A16">
        <w:rPr>
          <w:rFonts w:asciiTheme="majorHAnsi" w:eastAsia="Times New Roman" w:hAnsiTheme="majorHAnsi" w:cstheme="majorHAnsi"/>
          <w:sz w:val="22"/>
          <w:szCs w:val="22"/>
        </w:rPr>
        <w:br w:type="page"/>
      </w:r>
    </w:p>
    <w:p w14:paraId="1BCE29F8" w14:textId="6981043A" w:rsidR="00595D46" w:rsidRDefault="00595D46" w:rsidP="00D26F2B">
      <w:pPr>
        <w:spacing w:line="480" w:lineRule="auto"/>
        <w:rPr>
          <w:rFonts w:asciiTheme="majorHAnsi" w:eastAsia="Arial" w:hAnsiTheme="majorHAnsi" w:cstheme="majorHAnsi"/>
          <w:b/>
          <w:sz w:val="22"/>
          <w:szCs w:val="22"/>
        </w:rPr>
      </w:pPr>
      <w:r w:rsidRPr="00595D46">
        <w:rPr>
          <w:rFonts w:asciiTheme="majorHAnsi" w:eastAsia="Arial" w:hAnsiTheme="majorHAnsi" w:cstheme="majorHAnsi"/>
          <w:b/>
          <w:sz w:val="22"/>
          <w:szCs w:val="22"/>
        </w:rPr>
        <w:lastRenderedPageBreak/>
        <w:t>Supplemental Results</w:t>
      </w:r>
    </w:p>
    <w:p w14:paraId="158C061B" w14:textId="5DC86165" w:rsidR="00D26F2B" w:rsidRDefault="00D26F2B" w:rsidP="00D26F2B">
      <w:pPr>
        <w:spacing w:line="480" w:lineRule="auto"/>
        <w:rPr>
          <w:rFonts w:asciiTheme="majorHAnsi" w:eastAsia="Arial" w:hAnsiTheme="majorHAnsi" w:cstheme="majorHAnsi"/>
          <w:b/>
          <w:sz w:val="22"/>
          <w:szCs w:val="22"/>
        </w:rPr>
      </w:pPr>
    </w:p>
    <w:p w14:paraId="25432035" w14:textId="38447103" w:rsidR="00D26F2B" w:rsidRDefault="00D26F2B" w:rsidP="00D26F2B">
      <w:pPr>
        <w:spacing w:line="480" w:lineRule="auto"/>
        <w:rPr>
          <w:rFonts w:asciiTheme="majorHAnsi" w:eastAsia="Times New Roman" w:hAnsiTheme="majorHAnsi" w:cstheme="majorHAnsi"/>
          <w:noProof/>
          <w:sz w:val="22"/>
          <w:szCs w:val="22"/>
        </w:rPr>
      </w:pPr>
      <w:r>
        <w:rPr>
          <w:rFonts w:asciiTheme="majorHAnsi" w:eastAsia="Times New Roman" w:hAnsiTheme="majorHAnsi" w:cstheme="majorHAnsi"/>
          <w:b/>
          <w:noProof/>
          <w:sz w:val="22"/>
          <w:szCs w:val="22"/>
        </w:rPr>
        <w:t>Supplmental F</w:t>
      </w:r>
      <w:r w:rsidRPr="005C4F9A">
        <w:rPr>
          <w:rFonts w:asciiTheme="majorHAnsi" w:eastAsia="Times New Roman" w:hAnsiTheme="majorHAnsi" w:cstheme="majorHAnsi"/>
          <w:b/>
          <w:noProof/>
          <w:sz w:val="22"/>
          <w:szCs w:val="22"/>
        </w:rPr>
        <w:t xml:space="preserve">igure </w:t>
      </w:r>
      <w:r>
        <w:rPr>
          <w:rFonts w:asciiTheme="majorHAnsi" w:eastAsia="Times New Roman" w:hAnsiTheme="majorHAnsi" w:cstheme="majorHAnsi"/>
          <w:b/>
          <w:noProof/>
          <w:sz w:val="22"/>
          <w:szCs w:val="22"/>
        </w:rPr>
        <w:t>1</w:t>
      </w:r>
      <w:r w:rsidRPr="005C4F9A">
        <w:rPr>
          <w:rFonts w:asciiTheme="majorHAnsi" w:eastAsia="Times New Roman" w:hAnsiTheme="majorHAnsi" w:cstheme="majorHAnsi"/>
          <w:b/>
          <w:noProof/>
          <w:sz w:val="22"/>
          <w:szCs w:val="22"/>
        </w:rPr>
        <w:t>.</w:t>
      </w:r>
      <w:r>
        <w:rPr>
          <w:rFonts w:asciiTheme="majorHAnsi" w:eastAsia="Times New Roman" w:hAnsiTheme="majorHAnsi" w:cstheme="majorHAnsi"/>
          <w:noProof/>
          <w:sz w:val="22"/>
          <w:szCs w:val="22"/>
        </w:rPr>
        <w:t xml:space="preserve">  Individual nimodipine concentration-time profiles after a single 60 mg dose of oral Nymalize® solution administered at time 0 hours.</w:t>
      </w:r>
      <w:r w:rsidRPr="00852A16">
        <w:rPr>
          <w:rFonts w:asciiTheme="majorHAnsi" w:eastAsia="Times New Roman" w:hAnsiTheme="majorHAnsi" w:cstheme="majorHAnsi"/>
          <w:noProof/>
          <w:sz w:val="22"/>
          <w:szCs w:val="22"/>
        </w:rPr>
        <w:drawing>
          <wp:inline distT="0" distB="0" distL="0" distR="0" wp14:anchorId="36BB58E9" wp14:editId="4C4EB7D6">
            <wp:extent cx="5486400" cy="3522345"/>
            <wp:effectExtent l="0" t="0" r="0" b="1905"/>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4" cstate="print">
                      <a:extLst>
                        <a:ext uri="{28A0092B-C50C-407E-A947-70E740481C1C}">
                          <a14:useLocalDpi xmlns:a14="http://schemas.microsoft.com/office/drawing/2010/main" val="0"/>
                        </a:ext>
                      </a:extLst>
                    </a:blip>
                    <a:srcRect b="5618"/>
                    <a:stretch/>
                  </pic:blipFill>
                  <pic:spPr>
                    <a:xfrm>
                      <a:off x="0" y="0"/>
                      <a:ext cx="5486400" cy="3522345"/>
                    </a:xfrm>
                    <a:prstGeom prst="rect">
                      <a:avLst/>
                    </a:prstGeom>
                  </pic:spPr>
                </pic:pic>
              </a:graphicData>
            </a:graphic>
          </wp:inline>
        </w:drawing>
      </w:r>
    </w:p>
    <w:p w14:paraId="1B37621B" w14:textId="77777777" w:rsidR="00D26F2B" w:rsidRDefault="00D26F2B" w:rsidP="00D26F2B">
      <w:pPr>
        <w:rPr>
          <w:rFonts w:asciiTheme="majorHAnsi" w:eastAsia="Times New Roman" w:hAnsiTheme="majorHAnsi" w:cstheme="majorHAnsi"/>
          <w:noProof/>
          <w:sz w:val="22"/>
          <w:szCs w:val="22"/>
        </w:rPr>
      </w:pPr>
      <w:r>
        <w:rPr>
          <w:rFonts w:asciiTheme="majorHAnsi" w:eastAsia="Times New Roman" w:hAnsiTheme="majorHAnsi" w:cstheme="majorHAnsi"/>
          <w:noProof/>
          <w:sz w:val="22"/>
          <w:szCs w:val="22"/>
        </w:rPr>
        <w:br w:type="page"/>
      </w:r>
    </w:p>
    <w:p w14:paraId="4F9A6CBD" w14:textId="27CBE47C" w:rsidR="008F0F4E" w:rsidRPr="00B900AA" w:rsidRDefault="74D672F9" w:rsidP="008F0F4E">
      <w:pPr>
        <w:spacing w:line="480" w:lineRule="auto"/>
        <w:rPr>
          <w:rFonts w:asciiTheme="majorHAnsi" w:eastAsia="Arial" w:hAnsiTheme="majorHAnsi" w:cstheme="majorHAnsi"/>
          <w:sz w:val="22"/>
          <w:szCs w:val="22"/>
        </w:rPr>
      </w:pPr>
      <w:r w:rsidRPr="005C4F9A">
        <w:rPr>
          <w:rFonts w:asciiTheme="majorHAnsi" w:eastAsia="Arial" w:hAnsiTheme="majorHAnsi" w:cstheme="majorHAnsi"/>
          <w:b/>
          <w:sz w:val="22"/>
          <w:szCs w:val="22"/>
        </w:rPr>
        <w:lastRenderedPageBreak/>
        <w:t xml:space="preserve">Supplemental Figure </w:t>
      </w:r>
      <w:r w:rsidR="00D26F2B">
        <w:rPr>
          <w:rFonts w:asciiTheme="majorHAnsi" w:eastAsia="Arial" w:hAnsiTheme="majorHAnsi" w:cstheme="majorHAnsi"/>
          <w:b/>
          <w:sz w:val="22"/>
          <w:szCs w:val="22"/>
        </w:rPr>
        <w:t>2</w:t>
      </w:r>
      <w:r w:rsidRPr="005C4F9A">
        <w:rPr>
          <w:rFonts w:asciiTheme="majorHAnsi" w:eastAsia="Arial" w:hAnsiTheme="majorHAnsi" w:cstheme="majorHAnsi"/>
          <w:b/>
          <w:sz w:val="22"/>
          <w:szCs w:val="22"/>
        </w:rPr>
        <w:t>.</w:t>
      </w:r>
      <w:r w:rsidRPr="00852A16">
        <w:rPr>
          <w:rFonts w:asciiTheme="majorHAnsi" w:eastAsia="Arial" w:hAnsiTheme="majorHAnsi" w:cstheme="majorHAnsi"/>
          <w:sz w:val="22"/>
          <w:szCs w:val="22"/>
        </w:rPr>
        <w:t xml:space="preserve"> </w:t>
      </w:r>
      <w:r w:rsidRPr="00B900AA">
        <w:rPr>
          <w:rFonts w:asciiTheme="majorHAnsi" w:eastAsia="Arial" w:hAnsiTheme="majorHAnsi" w:cstheme="majorHAnsi"/>
          <w:sz w:val="22"/>
          <w:szCs w:val="22"/>
        </w:rPr>
        <w:t>Nimodipine transiently reduced diastolic blood pressure approximately 30 minutes after administration</w:t>
      </w:r>
      <w:r w:rsidR="00633DFF">
        <w:rPr>
          <w:rFonts w:asciiTheme="majorHAnsi" w:eastAsia="Arial" w:hAnsiTheme="majorHAnsi" w:cstheme="majorHAnsi"/>
          <w:sz w:val="22"/>
          <w:szCs w:val="22"/>
        </w:rPr>
        <w:t xml:space="preserve"> </w:t>
      </w:r>
      <w:r w:rsidR="00B900AA" w:rsidRPr="00B900AA">
        <w:rPr>
          <w:rFonts w:asciiTheme="majorHAnsi" w:eastAsia="Arial" w:hAnsiTheme="majorHAnsi" w:cstheme="majorHAnsi"/>
          <w:sz w:val="22"/>
          <w:szCs w:val="22"/>
        </w:rPr>
        <w:t>(paired t-test: t=6.297, df=29, p=7.08e-07, SD= 8.901), but was not significantly different at other time points. Systolic blood pressure was not significantly different between treatments at any time point.</w:t>
      </w:r>
    </w:p>
    <w:p w14:paraId="6292640E" w14:textId="5FCF699C" w:rsidR="74D672F9" w:rsidRPr="00852A16" w:rsidRDefault="74D672F9" w:rsidP="74D672F9">
      <w:pPr>
        <w:spacing w:line="480" w:lineRule="auto"/>
        <w:rPr>
          <w:rFonts w:asciiTheme="majorHAnsi" w:eastAsia="Arial" w:hAnsiTheme="majorHAnsi" w:cstheme="majorHAnsi"/>
          <w:sz w:val="22"/>
          <w:szCs w:val="22"/>
        </w:rPr>
      </w:pPr>
    </w:p>
    <w:p w14:paraId="5F1A047B" w14:textId="76071825" w:rsidR="009E0429" w:rsidRPr="00852A16" w:rsidRDefault="008F0F4E" w:rsidP="2FBCF0D9">
      <w:pPr>
        <w:spacing w:line="480" w:lineRule="auto"/>
        <w:rPr>
          <w:rFonts w:asciiTheme="majorHAnsi" w:eastAsia="Times New Roman" w:hAnsiTheme="majorHAnsi" w:cstheme="majorHAnsi"/>
          <w:sz w:val="22"/>
          <w:szCs w:val="22"/>
        </w:rPr>
      </w:pPr>
      <w:r w:rsidRPr="00852A16">
        <w:rPr>
          <w:rFonts w:asciiTheme="majorHAnsi" w:eastAsia="Arial" w:hAnsiTheme="majorHAnsi" w:cstheme="majorHAnsi"/>
          <w:noProof/>
          <w:sz w:val="22"/>
          <w:szCs w:val="22"/>
        </w:rPr>
        <w:drawing>
          <wp:inline distT="0" distB="0" distL="0" distR="0" wp14:anchorId="6DD0B479" wp14:editId="7AA88675">
            <wp:extent cx="5210175" cy="3629025"/>
            <wp:effectExtent l="0" t="0" r="9525" b="9525"/>
            <wp:docPr id="1" name="Picture 1" descr="C:\Users\kbigos1\Dropbox\2018_research\Nimo_Nback_paper\figures\BP_alltimes_fig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bigos1\Dropbox\2018_research\Nimo_Nback_paper\figures\BP_alltimes_fig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10175" cy="3629025"/>
                    </a:xfrm>
                    <a:prstGeom prst="rect">
                      <a:avLst/>
                    </a:prstGeom>
                    <a:noFill/>
                    <a:ln>
                      <a:noFill/>
                    </a:ln>
                  </pic:spPr>
                </pic:pic>
              </a:graphicData>
            </a:graphic>
          </wp:inline>
        </w:drawing>
      </w:r>
    </w:p>
    <w:p w14:paraId="09362A66" w14:textId="77777777" w:rsidR="009E0429" w:rsidRPr="00852A16" w:rsidRDefault="009E0429">
      <w:pPr>
        <w:rPr>
          <w:rFonts w:asciiTheme="majorHAnsi" w:eastAsia="Times New Roman" w:hAnsiTheme="majorHAnsi" w:cstheme="majorHAnsi"/>
          <w:sz w:val="22"/>
          <w:szCs w:val="22"/>
        </w:rPr>
      </w:pPr>
      <w:r w:rsidRPr="00852A16">
        <w:rPr>
          <w:rFonts w:asciiTheme="majorHAnsi" w:eastAsia="Times New Roman" w:hAnsiTheme="majorHAnsi" w:cstheme="majorHAnsi"/>
          <w:sz w:val="22"/>
          <w:szCs w:val="22"/>
        </w:rPr>
        <w:br w:type="page"/>
      </w:r>
    </w:p>
    <w:p w14:paraId="62991298" w14:textId="6CB9C4A1" w:rsidR="009E0429" w:rsidRPr="00852A16" w:rsidRDefault="005C4F9A" w:rsidP="00D26F2B">
      <w:pPr>
        <w:spacing w:line="480" w:lineRule="auto"/>
        <w:jc w:val="both"/>
        <w:rPr>
          <w:rFonts w:asciiTheme="majorHAnsi" w:eastAsia="Arial" w:hAnsiTheme="majorHAnsi" w:cstheme="majorHAnsi"/>
          <w:sz w:val="22"/>
          <w:szCs w:val="22"/>
        </w:rPr>
      </w:pPr>
      <w:r>
        <w:rPr>
          <w:rFonts w:asciiTheme="majorHAnsi" w:eastAsia="Arial" w:hAnsiTheme="majorHAnsi" w:cstheme="majorHAnsi"/>
          <w:b/>
          <w:sz w:val="22"/>
          <w:szCs w:val="22"/>
        </w:rPr>
        <w:lastRenderedPageBreak/>
        <w:t>Supplemental F</w:t>
      </w:r>
      <w:r w:rsidR="362693EC" w:rsidRPr="005C4F9A">
        <w:rPr>
          <w:rFonts w:asciiTheme="majorHAnsi" w:eastAsia="Arial" w:hAnsiTheme="majorHAnsi" w:cstheme="majorHAnsi"/>
          <w:b/>
          <w:sz w:val="22"/>
          <w:szCs w:val="22"/>
        </w:rPr>
        <w:t xml:space="preserve">igure </w:t>
      </w:r>
      <w:r w:rsidR="00D26F2B">
        <w:rPr>
          <w:rFonts w:asciiTheme="majorHAnsi" w:eastAsia="Arial" w:hAnsiTheme="majorHAnsi" w:cstheme="majorHAnsi"/>
          <w:b/>
          <w:sz w:val="22"/>
          <w:szCs w:val="22"/>
        </w:rPr>
        <w:t>3</w:t>
      </w:r>
      <w:r w:rsidR="362693EC" w:rsidRPr="005C4F9A">
        <w:rPr>
          <w:rFonts w:asciiTheme="majorHAnsi" w:eastAsia="Arial" w:hAnsiTheme="majorHAnsi" w:cstheme="majorHAnsi"/>
          <w:b/>
          <w:sz w:val="22"/>
          <w:szCs w:val="22"/>
        </w:rPr>
        <w:t>.</w:t>
      </w:r>
      <w:r w:rsidR="362693EC" w:rsidRPr="00852A16">
        <w:rPr>
          <w:rFonts w:asciiTheme="majorHAnsi" w:eastAsia="Arial" w:hAnsiTheme="majorHAnsi" w:cstheme="majorHAnsi"/>
          <w:sz w:val="22"/>
          <w:szCs w:val="22"/>
        </w:rPr>
        <w:t xml:space="preserve"> Heart rate </w:t>
      </w:r>
      <w:r w:rsidR="00C57F4A">
        <w:rPr>
          <w:rFonts w:asciiTheme="majorHAnsi" w:eastAsia="Arial" w:hAnsiTheme="majorHAnsi" w:cstheme="majorHAnsi"/>
          <w:sz w:val="22"/>
          <w:szCs w:val="22"/>
        </w:rPr>
        <w:t xml:space="preserve">was significantly greater during nimodipine treatment than during placebo treatment </w:t>
      </w:r>
      <w:r w:rsidR="00EF5848">
        <w:rPr>
          <w:rFonts w:asciiTheme="majorHAnsi" w:eastAsia="Arial" w:hAnsiTheme="majorHAnsi" w:cstheme="majorHAnsi"/>
          <w:sz w:val="22"/>
          <w:szCs w:val="22"/>
        </w:rPr>
        <w:t>during the N-back task</w:t>
      </w:r>
      <w:r w:rsidR="00C57F4A">
        <w:rPr>
          <w:rFonts w:asciiTheme="majorHAnsi" w:eastAsia="Arial" w:hAnsiTheme="majorHAnsi" w:cstheme="majorHAnsi"/>
          <w:sz w:val="22"/>
          <w:szCs w:val="22"/>
        </w:rPr>
        <w:t xml:space="preserve"> (p&lt;0.</w:t>
      </w:r>
      <w:r w:rsidR="0026249C">
        <w:rPr>
          <w:rFonts w:asciiTheme="majorHAnsi" w:eastAsia="Arial" w:hAnsiTheme="majorHAnsi" w:cstheme="majorHAnsi"/>
          <w:sz w:val="22"/>
          <w:szCs w:val="22"/>
        </w:rPr>
        <w:t>019</w:t>
      </w:r>
      <w:r w:rsidR="003279C5">
        <w:rPr>
          <w:rFonts w:asciiTheme="majorHAnsi" w:eastAsia="Arial" w:hAnsiTheme="majorHAnsi" w:cstheme="majorHAnsi"/>
          <w:sz w:val="22"/>
          <w:szCs w:val="22"/>
        </w:rPr>
        <w:t xml:space="preserve"> for repeated measures ANOVA</w:t>
      </w:r>
      <w:r w:rsidR="00C57F4A">
        <w:rPr>
          <w:rFonts w:asciiTheme="majorHAnsi" w:eastAsia="Arial" w:hAnsiTheme="majorHAnsi" w:cstheme="majorHAnsi"/>
          <w:sz w:val="22"/>
          <w:szCs w:val="22"/>
        </w:rPr>
        <w:t>).</w:t>
      </w:r>
      <w:r w:rsidR="362693EC" w:rsidRPr="00852A16">
        <w:rPr>
          <w:rFonts w:asciiTheme="majorHAnsi" w:eastAsia="Arial" w:hAnsiTheme="majorHAnsi" w:cstheme="majorHAnsi"/>
          <w:sz w:val="22"/>
          <w:szCs w:val="22"/>
        </w:rPr>
        <w:t xml:space="preserve"> </w:t>
      </w:r>
      <w:r w:rsidR="00C57F4A">
        <w:rPr>
          <w:rFonts w:asciiTheme="majorHAnsi" w:eastAsia="Arial" w:hAnsiTheme="majorHAnsi" w:cstheme="majorHAnsi"/>
          <w:sz w:val="22"/>
          <w:szCs w:val="22"/>
        </w:rPr>
        <w:t xml:space="preserve">The first stimulus block (0-back) begins at time 0 sec and ends at the first error bar, followed by the second stimulus block (2-back) ending at the second error bar, and continue alternating </w:t>
      </w:r>
      <w:r w:rsidR="362693EC" w:rsidRPr="00852A16">
        <w:rPr>
          <w:rFonts w:asciiTheme="majorHAnsi" w:eastAsia="Arial" w:hAnsiTheme="majorHAnsi" w:cstheme="majorHAnsi"/>
          <w:sz w:val="22"/>
          <w:szCs w:val="22"/>
        </w:rPr>
        <w:t>between 0</w:t>
      </w:r>
      <w:r w:rsidR="00EF5848">
        <w:rPr>
          <w:rFonts w:asciiTheme="majorHAnsi" w:eastAsia="Arial" w:hAnsiTheme="majorHAnsi" w:cstheme="majorHAnsi"/>
          <w:sz w:val="22"/>
          <w:szCs w:val="22"/>
        </w:rPr>
        <w:t>-</w:t>
      </w:r>
      <w:r w:rsidR="362693EC" w:rsidRPr="00852A16">
        <w:rPr>
          <w:rFonts w:asciiTheme="majorHAnsi" w:eastAsia="Arial" w:hAnsiTheme="majorHAnsi" w:cstheme="majorHAnsi"/>
          <w:sz w:val="22"/>
          <w:szCs w:val="22"/>
        </w:rPr>
        <w:t>back and 2</w:t>
      </w:r>
      <w:r w:rsidR="00EF5848">
        <w:rPr>
          <w:rFonts w:asciiTheme="majorHAnsi" w:eastAsia="Arial" w:hAnsiTheme="majorHAnsi" w:cstheme="majorHAnsi"/>
          <w:sz w:val="22"/>
          <w:szCs w:val="22"/>
        </w:rPr>
        <w:t>-</w:t>
      </w:r>
      <w:r w:rsidR="362693EC" w:rsidRPr="00852A16">
        <w:rPr>
          <w:rFonts w:asciiTheme="majorHAnsi" w:eastAsia="Arial" w:hAnsiTheme="majorHAnsi" w:cstheme="majorHAnsi"/>
          <w:sz w:val="22"/>
          <w:szCs w:val="22"/>
        </w:rPr>
        <w:t>back blocks</w:t>
      </w:r>
      <w:r w:rsidR="00C57F4A">
        <w:rPr>
          <w:rFonts w:asciiTheme="majorHAnsi" w:eastAsia="Arial" w:hAnsiTheme="majorHAnsi" w:cstheme="majorHAnsi"/>
          <w:sz w:val="22"/>
          <w:szCs w:val="22"/>
        </w:rPr>
        <w:t xml:space="preserve">. </w:t>
      </w:r>
    </w:p>
    <w:p w14:paraId="06DBC834" w14:textId="343E98EC" w:rsidR="009E0429" w:rsidRPr="00852A16" w:rsidRDefault="362693EC" w:rsidP="362693EC">
      <w:pPr>
        <w:jc w:val="both"/>
        <w:rPr>
          <w:rFonts w:asciiTheme="majorHAnsi" w:eastAsia="Arial" w:hAnsiTheme="majorHAnsi" w:cstheme="majorHAnsi"/>
          <w:sz w:val="22"/>
          <w:szCs w:val="22"/>
        </w:rPr>
      </w:pPr>
      <w:r w:rsidRPr="00852A16">
        <w:rPr>
          <w:rFonts w:asciiTheme="majorHAnsi" w:eastAsia="Arial" w:hAnsiTheme="majorHAnsi" w:cstheme="majorHAnsi"/>
          <w:sz w:val="22"/>
          <w:szCs w:val="22"/>
        </w:rPr>
        <w:t xml:space="preserve"> </w:t>
      </w:r>
      <w:r w:rsidR="009E0429" w:rsidRPr="00852A16">
        <w:rPr>
          <w:rFonts w:asciiTheme="majorHAnsi" w:hAnsiTheme="majorHAnsi" w:cstheme="majorHAnsi"/>
          <w:noProof/>
          <w:sz w:val="22"/>
          <w:szCs w:val="22"/>
        </w:rPr>
        <w:drawing>
          <wp:inline distT="0" distB="0" distL="0" distR="0" wp14:anchorId="2E2A2A58" wp14:editId="30482DB1">
            <wp:extent cx="5094398" cy="3549178"/>
            <wp:effectExtent l="0" t="0" r="0" b="0"/>
            <wp:docPr id="17929320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
                      <a:extLst>
                        <a:ext uri="{28A0092B-C50C-407E-A947-70E740481C1C}">
                          <a14:useLocalDpi xmlns:a14="http://schemas.microsoft.com/office/drawing/2010/main" val="0"/>
                        </a:ext>
                      </a:extLst>
                    </a:blip>
                    <a:stretch>
                      <a:fillRect/>
                    </a:stretch>
                  </pic:blipFill>
                  <pic:spPr>
                    <a:xfrm>
                      <a:off x="0" y="0"/>
                      <a:ext cx="5094398" cy="3549178"/>
                    </a:xfrm>
                    <a:prstGeom prst="rect">
                      <a:avLst/>
                    </a:prstGeom>
                  </pic:spPr>
                </pic:pic>
              </a:graphicData>
            </a:graphic>
          </wp:inline>
        </w:drawing>
      </w:r>
      <w:r w:rsidRPr="00852A16">
        <w:rPr>
          <w:rFonts w:asciiTheme="majorHAnsi" w:eastAsia="Arial" w:hAnsiTheme="majorHAnsi" w:cstheme="majorHAnsi"/>
          <w:sz w:val="22"/>
          <w:szCs w:val="22"/>
        </w:rPr>
        <w:t xml:space="preserve"> </w:t>
      </w:r>
    </w:p>
    <w:p w14:paraId="389C2FF5" w14:textId="75BAE6FD" w:rsidR="009E0429" w:rsidRPr="00852A16" w:rsidRDefault="009E0429" w:rsidP="009E0429">
      <w:pPr>
        <w:jc w:val="both"/>
        <w:rPr>
          <w:rFonts w:asciiTheme="majorHAnsi" w:eastAsia="Arial" w:hAnsiTheme="majorHAnsi" w:cstheme="majorHAnsi"/>
          <w:sz w:val="22"/>
          <w:szCs w:val="22"/>
        </w:rPr>
      </w:pPr>
    </w:p>
    <w:p w14:paraId="285C3FC4" w14:textId="5C6F6AD2" w:rsidR="00A16C99" w:rsidRPr="00852A16" w:rsidRDefault="00A16C99">
      <w:pPr>
        <w:rPr>
          <w:rFonts w:asciiTheme="majorHAnsi" w:eastAsia="Times New Roman" w:hAnsiTheme="majorHAnsi" w:cstheme="majorHAnsi"/>
          <w:sz w:val="22"/>
          <w:szCs w:val="22"/>
        </w:rPr>
      </w:pPr>
    </w:p>
    <w:sectPr w:rsidR="00A16C99" w:rsidRPr="00852A16" w:rsidSect="00214E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davpv95we0sr8evef2pvepdxdxaxdsppp5d&quot;&gt;6102 Copy&lt;record-ids&gt;&lt;item&gt;4439&lt;/item&gt;&lt;item&gt;5298&lt;/item&gt;&lt;item&gt;5300&lt;/item&gt;&lt;item&gt;5326&lt;/item&gt;&lt;item&gt;5383&lt;/item&gt;&lt;item&gt;5722&lt;/item&gt;&lt;item&gt;5723&lt;/item&gt;&lt;item&gt;5732&lt;/item&gt;&lt;item&gt;5903&lt;/item&gt;&lt;item&gt;5963&lt;/item&gt;&lt;item&gt;6114&lt;/item&gt;&lt;item&gt;6115&lt;/item&gt;&lt;item&gt;6116&lt;/item&gt;&lt;item&gt;6117&lt;/item&gt;&lt;item&gt;6118&lt;/item&gt;&lt;/record-ids&gt;&lt;/item&gt;&lt;/Libraries&gt;"/>
  </w:docVars>
  <w:rsids>
    <w:rsidRoot w:val="0014416A"/>
    <w:rsid w:val="00042661"/>
    <w:rsid w:val="000447E2"/>
    <w:rsid w:val="00080649"/>
    <w:rsid w:val="000A5C95"/>
    <w:rsid w:val="000B6F03"/>
    <w:rsid w:val="000D2C14"/>
    <w:rsid w:val="0014416A"/>
    <w:rsid w:val="00214EE4"/>
    <w:rsid w:val="00243612"/>
    <w:rsid w:val="0026249C"/>
    <w:rsid w:val="00284A75"/>
    <w:rsid w:val="002C4F82"/>
    <w:rsid w:val="003279C5"/>
    <w:rsid w:val="003B1E2D"/>
    <w:rsid w:val="003C76B4"/>
    <w:rsid w:val="00406686"/>
    <w:rsid w:val="004542FA"/>
    <w:rsid w:val="00473750"/>
    <w:rsid w:val="00490C34"/>
    <w:rsid w:val="00504A46"/>
    <w:rsid w:val="00507200"/>
    <w:rsid w:val="00537979"/>
    <w:rsid w:val="00595D46"/>
    <w:rsid w:val="005C4F9A"/>
    <w:rsid w:val="00607845"/>
    <w:rsid w:val="00633DFF"/>
    <w:rsid w:val="00656AD2"/>
    <w:rsid w:val="00693FF5"/>
    <w:rsid w:val="006B3E24"/>
    <w:rsid w:val="006E6568"/>
    <w:rsid w:val="00784CE2"/>
    <w:rsid w:val="007C7D89"/>
    <w:rsid w:val="007E2FAF"/>
    <w:rsid w:val="00811EE2"/>
    <w:rsid w:val="008311AE"/>
    <w:rsid w:val="00852A16"/>
    <w:rsid w:val="008F0F4E"/>
    <w:rsid w:val="009402CF"/>
    <w:rsid w:val="009A0358"/>
    <w:rsid w:val="009E0429"/>
    <w:rsid w:val="009F21AC"/>
    <w:rsid w:val="00A0038A"/>
    <w:rsid w:val="00A16C99"/>
    <w:rsid w:val="00B74450"/>
    <w:rsid w:val="00B900AA"/>
    <w:rsid w:val="00C57F4A"/>
    <w:rsid w:val="00D26F2B"/>
    <w:rsid w:val="00D77205"/>
    <w:rsid w:val="00DF3D1A"/>
    <w:rsid w:val="00E25866"/>
    <w:rsid w:val="00E622FB"/>
    <w:rsid w:val="00E654DA"/>
    <w:rsid w:val="00E75BA6"/>
    <w:rsid w:val="00EA7CFA"/>
    <w:rsid w:val="00EF3B9A"/>
    <w:rsid w:val="00EF5848"/>
    <w:rsid w:val="2FBCF0D9"/>
    <w:rsid w:val="362693EC"/>
    <w:rsid w:val="74D67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9A103"/>
  <w14:defaultImageDpi w14:val="300"/>
  <w15:docId w15:val="{F251E50F-1ACA-4BEF-9D25-01D33AA1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14416A"/>
  </w:style>
  <w:style w:type="character" w:customStyle="1" w:styleId="eop">
    <w:name w:val="eop"/>
    <w:basedOn w:val="DefaultParagraphFont"/>
    <w:rsid w:val="0014416A"/>
  </w:style>
  <w:style w:type="paragraph" w:customStyle="1" w:styleId="paragraph">
    <w:name w:val="paragraph"/>
    <w:basedOn w:val="Normal"/>
    <w:rsid w:val="0014416A"/>
    <w:pPr>
      <w:spacing w:before="100" w:beforeAutospacing="1" w:after="100" w:afterAutospacing="1"/>
    </w:pPr>
    <w:rPr>
      <w:rFonts w:ascii="Times New Roman" w:hAnsi="Times New Roman" w:cs="Times New Roman"/>
      <w:sz w:val="20"/>
      <w:szCs w:val="20"/>
    </w:rPr>
  </w:style>
  <w:style w:type="character" w:customStyle="1" w:styleId="spellingerror">
    <w:name w:val="spellingerror"/>
    <w:basedOn w:val="DefaultParagraphFont"/>
    <w:rsid w:val="0014416A"/>
  </w:style>
  <w:style w:type="character" w:styleId="Strong">
    <w:name w:val="Strong"/>
    <w:basedOn w:val="DefaultParagraphFont"/>
    <w:uiPriority w:val="22"/>
    <w:qFormat/>
    <w:rsid w:val="0014416A"/>
    <w:rPr>
      <w:b/>
      <w:bCs/>
    </w:rPr>
  </w:style>
  <w:style w:type="character" w:styleId="Hyperlink">
    <w:name w:val="Hyperlink"/>
    <w:basedOn w:val="DefaultParagraphFont"/>
    <w:uiPriority w:val="99"/>
    <w:unhideWhenUsed/>
    <w:rsid w:val="00852A16"/>
    <w:rPr>
      <w:color w:val="0000FF"/>
      <w:u w:val="single"/>
    </w:rPr>
  </w:style>
  <w:style w:type="character" w:styleId="CommentReference">
    <w:name w:val="annotation reference"/>
    <w:basedOn w:val="DefaultParagraphFont"/>
    <w:uiPriority w:val="99"/>
    <w:semiHidden/>
    <w:unhideWhenUsed/>
    <w:rsid w:val="00811EE2"/>
    <w:rPr>
      <w:sz w:val="16"/>
      <w:szCs w:val="16"/>
    </w:rPr>
  </w:style>
  <w:style w:type="paragraph" w:styleId="CommentText">
    <w:name w:val="annotation text"/>
    <w:basedOn w:val="Normal"/>
    <w:link w:val="CommentTextChar"/>
    <w:uiPriority w:val="99"/>
    <w:semiHidden/>
    <w:unhideWhenUsed/>
    <w:rsid w:val="00811EE2"/>
    <w:rPr>
      <w:sz w:val="20"/>
      <w:szCs w:val="20"/>
    </w:rPr>
  </w:style>
  <w:style w:type="character" w:customStyle="1" w:styleId="CommentTextChar">
    <w:name w:val="Comment Text Char"/>
    <w:basedOn w:val="DefaultParagraphFont"/>
    <w:link w:val="CommentText"/>
    <w:uiPriority w:val="99"/>
    <w:semiHidden/>
    <w:rsid w:val="00811EE2"/>
    <w:rPr>
      <w:sz w:val="20"/>
      <w:szCs w:val="20"/>
    </w:rPr>
  </w:style>
  <w:style w:type="paragraph" w:styleId="CommentSubject">
    <w:name w:val="annotation subject"/>
    <w:basedOn w:val="CommentText"/>
    <w:next w:val="CommentText"/>
    <w:link w:val="CommentSubjectChar"/>
    <w:uiPriority w:val="99"/>
    <w:semiHidden/>
    <w:unhideWhenUsed/>
    <w:rsid w:val="00811EE2"/>
    <w:rPr>
      <w:b/>
      <w:bCs/>
    </w:rPr>
  </w:style>
  <w:style w:type="character" w:customStyle="1" w:styleId="CommentSubjectChar">
    <w:name w:val="Comment Subject Char"/>
    <w:basedOn w:val="CommentTextChar"/>
    <w:link w:val="CommentSubject"/>
    <w:uiPriority w:val="99"/>
    <w:semiHidden/>
    <w:rsid w:val="00811EE2"/>
    <w:rPr>
      <w:b/>
      <w:bCs/>
      <w:sz w:val="20"/>
      <w:szCs w:val="20"/>
    </w:rPr>
  </w:style>
  <w:style w:type="paragraph" w:styleId="BalloonText">
    <w:name w:val="Balloon Text"/>
    <w:basedOn w:val="Normal"/>
    <w:link w:val="BalloonTextChar"/>
    <w:uiPriority w:val="99"/>
    <w:semiHidden/>
    <w:unhideWhenUsed/>
    <w:rsid w:val="00811E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EE2"/>
    <w:rPr>
      <w:rFonts w:ascii="Segoe UI" w:hAnsi="Segoe UI" w:cs="Segoe UI"/>
      <w:sz w:val="18"/>
      <w:szCs w:val="18"/>
    </w:rPr>
  </w:style>
  <w:style w:type="paragraph" w:styleId="NormalWeb">
    <w:name w:val="Normal (Web)"/>
    <w:basedOn w:val="Normal"/>
    <w:uiPriority w:val="99"/>
    <w:semiHidden/>
    <w:unhideWhenUsed/>
    <w:rsid w:val="00473750"/>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3C76B4"/>
    <w:rPr>
      <w:color w:val="605E5C"/>
      <w:shd w:val="clear" w:color="auto" w:fill="E1DFDD"/>
    </w:rPr>
  </w:style>
  <w:style w:type="table" w:styleId="TableGrid">
    <w:name w:val="Table Grid"/>
    <w:basedOn w:val="TableNormal"/>
    <w:uiPriority w:val="39"/>
    <w:rsid w:val="00607845"/>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4224">
      <w:bodyDiv w:val="1"/>
      <w:marLeft w:val="0"/>
      <w:marRight w:val="0"/>
      <w:marTop w:val="0"/>
      <w:marBottom w:val="0"/>
      <w:divBdr>
        <w:top w:val="none" w:sz="0" w:space="0" w:color="auto"/>
        <w:left w:val="none" w:sz="0" w:space="0" w:color="auto"/>
        <w:bottom w:val="none" w:sz="0" w:space="0" w:color="auto"/>
        <w:right w:val="none" w:sz="0" w:space="0" w:color="auto"/>
      </w:divBdr>
    </w:div>
    <w:div w:id="568928628">
      <w:bodyDiv w:val="1"/>
      <w:marLeft w:val="0"/>
      <w:marRight w:val="0"/>
      <w:marTop w:val="0"/>
      <w:marBottom w:val="0"/>
      <w:divBdr>
        <w:top w:val="none" w:sz="0" w:space="0" w:color="auto"/>
        <w:left w:val="none" w:sz="0" w:space="0" w:color="auto"/>
        <w:bottom w:val="none" w:sz="0" w:space="0" w:color="auto"/>
        <w:right w:val="none" w:sz="0" w:space="0" w:color="auto"/>
      </w:divBdr>
      <w:divsChild>
        <w:div w:id="1773621311">
          <w:marLeft w:val="0"/>
          <w:marRight w:val="0"/>
          <w:marTop w:val="0"/>
          <w:marBottom w:val="0"/>
          <w:divBdr>
            <w:top w:val="none" w:sz="0" w:space="0" w:color="auto"/>
            <w:left w:val="none" w:sz="0" w:space="0" w:color="auto"/>
            <w:bottom w:val="none" w:sz="0" w:space="0" w:color="auto"/>
            <w:right w:val="none" w:sz="0" w:space="0" w:color="auto"/>
          </w:divBdr>
        </w:div>
        <w:div w:id="828791846">
          <w:marLeft w:val="0"/>
          <w:marRight w:val="0"/>
          <w:marTop w:val="0"/>
          <w:marBottom w:val="0"/>
          <w:divBdr>
            <w:top w:val="none" w:sz="0" w:space="0" w:color="auto"/>
            <w:left w:val="none" w:sz="0" w:space="0" w:color="auto"/>
            <w:bottom w:val="none" w:sz="0" w:space="0" w:color="auto"/>
            <w:right w:val="none" w:sz="0" w:space="0" w:color="auto"/>
          </w:divBdr>
        </w:div>
        <w:div w:id="910774117">
          <w:marLeft w:val="0"/>
          <w:marRight w:val="0"/>
          <w:marTop w:val="0"/>
          <w:marBottom w:val="0"/>
          <w:divBdr>
            <w:top w:val="none" w:sz="0" w:space="0" w:color="auto"/>
            <w:left w:val="none" w:sz="0" w:space="0" w:color="auto"/>
            <w:bottom w:val="none" w:sz="0" w:space="0" w:color="auto"/>
            <w:right w:val="none" w:sz="0" w:space="0" w:color="auto"/>
          </w:divBdr>
        </w:div>
        <w:div w:id="2046590748">
          <w:marLeft w:val="0"/>
          <w:marRight w:val="0"/>
          <w:marTop w:val="0"/>
          <w:marBottom w:val="0"/>
          <w:divBdr>
            <w:top w:val="none" w:sz="0" w:space="0" w:color="auto"/>
            <w:left w:val="none" w:sz="0" w:space="0" w:color="auto"/>
            <w:bottom w:val="none" w:sz="0" w:space="0" w:color="auto"/>
            <w:right w:val="none" w:sz="0" w:space="0" w:color="auto"/>
          </w:divBdr>
        </w:div>
        <w:div w:id="2092045452">
          <w:marLeft w:val="0"/>
          <w:marRight w:val="0"/>
          <w:marTop w:val="0"/>
          <w:marBottom w:val="0"/>
          <w:divBdr>
            <w:top w:val="none" w:sz="0" w:space="0" w:color="auto"/>
            <w:left w:val="none" w:sz="0" w:space="0" w:color="auto"/>
            <w:bottom w:val="none" w:sz="0" w:space="0" w:color="auto"/>
            <w:right w:val="none" w:sz="0" w:space="0" w:color="auto"/>
          </w:divBdr>
        </w:div>
        <w:div w:id="1246651855">
          <w:marLeft w:val="0"/>
          <w:marRight w:val="0"/>
          <w:marTop w:val="0"/>
          <w:marBottom w:val="0"/>
          <w:divBdr>
            <w:top w:val="none" w:sz="0" w:space="0" w:color="auto"/>
            <w:left w:val="none" w:sz="0" w:space="0" w:color="auto"/>
            <w:bottom w:val="none" w:sz="0" w:space="0" w:color="auto"/>
            <w:right w:val="none" w:sz="0" w:space="0" w:color="auto"/>
          </w:divBdr>
        </w:div>
        <w:div w:id="1637027462">
          <w:marLeft w:val="0"/>
          <w:marRight w:val="0"/>
          <w:marTop w:val="0"/>
          <w:marBottom w:val="0"/>
          <w:divBdr>
            <w:top w:val="none" w:sz="0" w:space="0" w:color="auto"/>
            <w:left w:val="none" w:sz="0" w:space="0" w:color="auto"/>
            <w:bottom w:val="none" w:sz="0" w:space="0" w:color="auto"/>
            <w:right w:val="none" w:sz="0" w:space="0" w:color="auto"/>
          </w:divBdr>
        </w:div>
        <w:div w:id="726299841">
          <w:marLeft w:val="0"/>
          <w:marRight w:val="0"/>
          <w:marTop w:val="0"/>
          <w:marBottom w:val="0"/>
          <w:divBdr>
            <w:top w:val="none" w:sz="0" w:space="0" w:color="auto"/>
            <w:left w:val="none" w:sz="0" w:space="0" w:color="auto"/>
            <w:bottom w:val="none" w:sz="0" w:space="0" w:color="auto"/>
            <w:right w:val="none" w:sz="0" w:space="0" w:color="auto"/>
          </w:divBdr>
        </w:div>
        <w:div w:id="1215506136">
          <w:marLeft w:val="0"/>
          <w:marRight w:val="0"/>
          <w:marTop w:val="0"/>
          <w:marBottom w:val="0"/>
          <w:divBdr>
            <w:top w:val="none" w:sz="0" w:space="0" w:color="auto"/>
            <w:left w:val="none" w:sz="0" w:space="0" w:color="auto"/>
            <w:bottom w:val="none" w:sz="0" w:space="0" w:color="auto"/>
            <w:right w:val="none" w:sz="0" w:space="0" w:color="auto"/>
          </w:divBdr>
        </w:div>
        <w:div w:id="1377462484">
          <w:marLeft w:val="0"/>
          <w:marRight w:val="0"/>
          <w:marTop w:val="0"/>
          <w:marBottom w:val="0"/>
          <w:divBdr>
            <w:top w:val="none" w:sz="0" w:space="0" w:color="auto"/>
            <w:left w:val="none" w:sz="0" w:space="0" w:color="auto"/>
            <w:bottom w:val="none" w:sz="0" w:space="0" w:color="auto"/>
            <w:right w:val="none" w:sz="0" w:space="0" w:color="auto"/>
          </w:divBdr>
        </w:div>
        <w:div w:id="609049765">
          <w:marLeft w:val="0"/>
          <w:marRight w:val="0"/>
          <w:marTop w:val="0"/>
          <w:marBottom w:val="0"/>
          <w:divBdr>
            <w:top w:val="none" w:sz="0" w:space="0" w:color="auto"/>
            <w:left w:val="none" w:sz="0" w:space="0" w:color="auto"/>
            <w:bottom w:val="none" w:sz="0" w:space="0" w:color="auto"/>
            <w:right w:val="none" w:sz="0" w:space="0" w:color="auto"/>
          </w:divBdr>
        </w:div>
        <w:div w:id="1086993512">
          <w:marLeft w:val="0"/>
          <w:marRight w:val="0"/>
          <w:marTop w:val="0"/>
          <w:marBottom w:val="0"/>
          <w:divBdr>
            <w:top w:val="none" w:sz="0" w:space="0" w:color="auto"/>
            <w:left w:val="none" w:sz="0" w:space="0" w:color="auto"/>
            <w:bottom w:val="none" w:sz="0" w:space="0" w:color="auto"/>
            <w:right w:val="none" w:sz="0" w:space="0" w:color="auto"/>
          </w:divBdr>
        </w:div>
      </w:divsChild>
    </w:div>
    <w:div w:id="1027951326">
      <w:bodyDiv w:val="1"/>
      <w:marLeft w:val="0"/>
      <w:marRight w:val="0"/>
      <w:marTop w:val="0"/>
      <w:marBottom w:val="0"/>
      <w:divBdr>
        <w:top w:val="none" w:sz="0" w:space="0" w:color="auto"/>
        <w:left w:val="none" w:sz="0" w:space="0" w:color="auto"/>
        <w:bottom w:val="none" w:sz="0" w:space="0" w:color="auto"/>
        <w:right w:val="none" w:sz="0" w:space="0" w:color="auto"/>
      </w:divBdr>
      <w:divsChild>
        <w:div w:id="1406411930">
          <w:marLeft w:val="0"/>
          <w:marRight w:val="0"/>
          <w:marTop w:val="0"/>
          <w:marBottom w:val="0"/>
          <w:divBdr>
            <w:top w:val="none" w:sz="0" w:space="0" w:color="auto"/>
            <w:left w:val="none" w:sz="0" w:space="0" w:color="auto"/>
            <w:bottom w:val="none" w:sz="0" w:space="0" w:color="auto"/>
            <w:right w:val="none" w:sz="0" w:space="0" w:color="auto"/>
          </w:divBdr>
        </w:div>
      </w:divsChild>
    </w:div>
    <w:div w:id="1473909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TotalTime>
  <Pages>5</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Carta</dc:creator>
  <cp:keywords/>
  <dc:description/>
  <cp:lastModifiedBy>Kristin Bigos</cp:lastModifiedBy>
  <cp:revision>45</cp:revision>
  <dcterms:created xsi:type="dcterms:W3CDTF">2018-02-15T19:18:00Z</dcterms:created>
  <dcterms:modified xsi:type="dcterms:W3CDTF">2020-06-17T01:04:00Z</dcterms:modified>
</cp:coreProperties>
</file>