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ED1" w:rsidRDefault="00C22ED1" w:rsidP="00C22ED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15B">
        <w:rPr>
          <w:rFonts w:ascii="Times New Roman" w:hAnsi="Times New Roman" w:cs="Times New Roman"/>
          <w:b/>
          <w:color w:val="000000"/>
          <w:sz w:val="24"/>
          <w:szCs w:val="24"/>
        </w:rPr>
        <w:t>Supplementary Methods</w:t>
      </w:r>
    </w:p>
    <w:p w:rsidR="00C22ED1" w:rsidRDefault="00C22ED1" w:rsidP="00C22ED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211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C22ED1" w:rsidRDefault="00C22ED1" w:rsidP="00C22ED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 w:hint="eastAsia"/>
          <w:b/>
          <w:color w:val="000000"/>
          <w:sz w:val="24"/>
          <w:szCs w:val="24"/>
        </w:rPr>
        <w:t xml:space="preserve">Power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calculation of the sample size</w:t>
      </w:r>
    </w:p>
    <w:p w:rsidR="00C22ED1" w:rsidRPr="0046381B" w:rsidRDefault="00C22ED1" w:rsidP="00C22ED1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6381B">
        <w:rPr>
          <w:rFonts w:ascii="Times New Roman" w:hAnsi="Times New Roman" w:cs="Times New Roman"/>
          <w:color w:val="000000"/>
          <w:sz w:val="24"/>
          <w:szCs w:val="24"/>
        </w:rPr>
        <w:t xml:space="preserve">Setting Test family as t tests, Statistical test as </w:t>
      </w:r>
      <w:r>
        <w:rPr>
          <w:rFonts w:ascii="Times New Roman" w:hAnsi="Times New Roman" w:cs="Times New Roman"/>
          <w:color w:val="000000"/>
          <w:sz w:val="24"/>
          <w:szCs w:val="24"/>
        </w:rPr>
        <w:t>Means</w:t>
      </w:r>
      <w:r w:rsidRPr="0046381B"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Difference between two independent means (two groups)</w:t>
      </w:r>
      <w:r w:rsidRPr="0046381B">
        <w:rPr>
          <w:rFonts w:ascii="Times New Roman" w:hAnsi="Times New Roman" w:cs="Times New Roman"/>
          <w:color w:val="000000"/>
          <w:sz w:val="24"/>
          <w:szCs w:val="24"/>
        </w:rPr>
        <w:t>, Type of power analysis: A priori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Compute required sample size - </w:t>
      </w:r>
      <w:r w:rsidRPr="0046381B">
        <w:rPr>
          <w:rFonts w:ascii="Times New Roman" w:hAnsi="Times New Roman" w:cs="Times New Roman"/>
          <w:color w:val="000000"/>
          <w:sz w:val="24"/>
          <w:szCs w:val="24"/>
        </w:rPr>
        <w:t>given α, po</w:t>
      </w:r>
      <w:r>
        <w:rPr>
          <w:rFonts w:ascii="Times New Roman" w:hAnsi="Times New Roman" w:cs="Times New Roman"/>
          <w:color w:val="000000"/>
          <w:sz w:val="24"/>
          <w:szCs w:val="24"/>
        </w:rPr>
        <w:t>wer, and effect size in G*Power</w:t>
      </w:r>
      <w:r w:rsidRPr="0046381B">
        <w:rPr>
          <w:rFonts w:ascii="Times New Roman" w:hAnsi="Times New Roman" w:cs="Times New Roman"/>
          <w:color w:val="000000"/>
          <w:sz w:val="24"/>
          <w:szCs w:val="24"/>
        </w:rPr>
        <w:t xml:space="preserve">, we estimated the required sample size </w:t>
      </w:r>
      <w:r>
        <w:rPr>
          <w:rFonts w:ascii="Times New Roman" w:hAnsi="Times New Roman" w:cs="Times New Roman"/>
          <w:color w:val="000000"/>
          <w:sz w:val="24"/>
          <w:szCs w:val="24"/>
        </w:rPr>
        <w:t>based on a previous bumetanide study</w:t>
      </w:r>
      <w:r>
        <w:rPr>
          <w:rFonts w:ascii="Times New Roman" w:hAnsi="Times New Roman" w:cs="Times New Roman"/>
          <w:color w:val="000000"/>
          <w:sz w:val="24"/>
          <w:szCs w:val="24"/>
        </w:rPr>
        <w:fldChar w:fldCharType="begin">
          <w:fldData xml:space="preserve">PEVuZE5vdGU+PENpdGU+PEF1dGhvcj5MZW1vbm5pZXI8L0F1dGhvcj48WWVhcj4yMDEyPC9ZZWFy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</w:fldData>
        </w:fldChar>
      </w:r>
      <w:r>
        <w:rPr>
          <w:rFonts w:ascii="Times New Roman" w:hAnsi="Times New Roman" w:cs="Times New Roman"/>
          <w:color w:val="000000"/>
          <w:sz w:val="24"/>
          <w:szCs w:val="24"/>
        </w:rPr>
        <w:instrText xml:space="preserve"> ADDIN EN.CITE </w:instrText>
      </w:r>
      <w:r>
        <w:rPr>
          <w:rFonts w:ascii="Times New Roman" w:hAnsi="Times New Roman" w:cs="Times New Roman"/>
          <w:color w:val="000000"/>
          <w:sz w:val="24"/>
          <w:szCs w:val="24"/>
        </w:rPr>
        <w:fldChar w:fldCharType="begin">
          <w:fldData xml:space="preserve">PEVuZE5vdGU+PENpdGU+PEF1dGhvcj5MZW1vbm5pZXI8L0F1dGhvcj48WWVhcj4yMDEyPC9ZZWFy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</w:fldData>
        </w:fldChar>
      </w:r>
      <w:r>
        <w:rPr>
          <w:rFonts w:ascii="Times New Roman" w:hAnsi="Times New Roman" w:cs="Times New Roman"/>
          <w:color w:val="000000"/>
          <w:sz w:val="24"/>
          <w:szCs w:val="24"/>
        </w:rPr>
        <w:instrText xml:space="preserve"> ADDIN EN.CITE.DATA </w:instrText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/>
          <w:sz w:val="24"/>
          <w:szCs w:val="24"/>
        </w:rPr>
      </w:r>
      <w:r>
        <w:rPr>
          <w:rFonts w:ascii="Times New Roman" w:hAnsi="Times New Roman" w:cs="Times New Roman"/>
          <w:color w:val="000000"/>
          <w:sz w:val="24"/>
          <w:szCs w:val="24"/>
        </w:rPr>
        <w:fldChar w:fldCharType="separate"/>
      </w:r>
      <w:r w:rsidRPr="00B465AD">
        <w:rPr>
          <w:rFonts w:ascii="Times New Roman" w:hAnsi="Times New Roman" w:cs="Times New Roman"/>
          <w:noProof/>
          <w:color w:val="000000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/>
          <w:sz w:val="24"/>
          <w:szCs w:val="24"/>
        </w:rPr>
        <w:t>, which showed the symptom improvement assessed by CARS total score was 5.6</w:t>
      </w:r>
      <w:r w:rsidRPr="00625F4C">
        <w:rPr>
          <w:rFonts w:ascii="Times New Roman" w:hAnsi="Times New Roman" w:cs="Times New Roman"/>
          <w:color w:val="000000"/>
          <w:sz w:val="24"/>
          <w:szCs w:val="24"/>
        </w:rPr>
        <w:t>±4 points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bumetanide group and </w:t>
      </w:r>
      <w:r w:rsidRPr="00625F4C">
        <w:rPr>
          <w:rFonts w:ascii="Times New Roman" w:hAnsi="Times New Roman" w:cs="Times New Roman"/>
          <w:color w:val="000000"/>
          <w:sz w:val="24"/>
          <w:szCs w:val="24"/>
        </w:rPr>
        <w:t>1.8±5.1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placebo group, after 3-month intervention. We estimated the minimum sample size as 78 (39 in each group) for 95% power, </w:t>
      </w:r>
      <w:r w:rsidRPr="0046381B">
        <w:rPr>
          <w:rFonts w:ascii="Times New Roman" w:hAnsi="Times New Roman" w:cs="Times New Roman"/>
          <w:color w:val="000000"/>
          <w:sz w:val="24"/>
          <w:szCs w:val="24"/>
        </w:rPr>
        <w:t xml:space="preserve">assuming a 5% significance level </w:t>
      </w:r>
      <w:r>
        <w:rPr>
          <w:rFonts w:ascii="Times New Roman" w:hAnsi="Times New Roman" w:cs="Times New Roman"/>
          <w:color w:val="000000"/>
          <w:sz w:val="24"/>
          <w:szCs w:val="24"/>
        </w:rPr>
        <w:t>with two</w:t>
      </w:r>
      <w:r w:rsidRPr="0046381B">
        <w:rPr>
          <w:rFonts w:ascii="Times New Roman" w:hAnsi="Times New Roman" w:cs="Times New Roman"/>
          <w:color w:val="000000"/>
          <w:sz w:val="24"/>
          <w:szCs w:val="24"/>
        </w:rPr>
        <w:t>-side test.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In this study, 83 participants were recruited. </w:t>
      </w:r>
    </w:p>
    <w:p w:rsidR="00C22ED1" w:rsidRPr="008D12DF" w:rsidRDefault="00C22ED1" w:rsidP="00C22ED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22ED1" w:rsidRDefault="00C22ED1" w:rsidP="00C22ED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22ED1" w:rsidRPr="00D46FDC" w:rsidRDefault="00C22ED1" w:rsidP="00C22ED1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46FDC">
        <w:rPr>
          <w:rFonts w:ascii="Times New Roman" w:hAnsi="Times New Roman" w:cs="Times New Roman"/>
          <w:b/>
          <w:color w:val="000000"/>
          <w:sz w:val="24"/>
          <w:szCs w:val="24"/>
        </w:rPr>
        <w:t>Strategies to control the confounding effects of chloral hydrate on MRS measurements</w:t>
      </w:r>
    </w:p>
    <w:p w:rsidR="00C22ED1" w:rsidRDefault="00C22ED1" w:rsidP="00C22ED1">
      <w:p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potential confounding effects of chloral hydrate were controlled for both by experimental design and analyses used. 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 the experimental design, both the children 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in the control and the drug group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received</w:t>
      </w:r>
      <w:r>
        <w:rPr>
          <w:rFonts w:ascii="Times New Roman" w:hAnsi="Times New Roman" w:cs="Times New Roman"/>
          <w:color w:val="000000"/>
          <w:sz w:val="24"/>
        </w:rPr>
        <w:t xml:space="preserve"> chloral hydrate. Therefore, the chloral hydrate was </w:t>
      </w:r>
      <w:r>
        <w:rPr>
          <w:rFonts w:ascii="Times New Roman" w:hAnsi="Times New Roman" w:cs="Times New Roman" w:hint="eastAsia"/>
          <w:color w:val="000000"/>
          <w:sz w:val="24"/>
        </w:rPr>
        <w:t>administered</w:t>
      </w:r>
      <w:r>
        <w:rPr>
          <w:rFonts w:ascii="Times New Roman" w:hAnsi="Times New Roman" w:cs="Times New Roman"/>
          <w:color w:val="000000"/>
          <w:sz w:val="24"/>
        </w:rPr>
        <w:t xml:space="preserve"> at both time points</w:t>
      </w:r>
      <w:r>
        <w:rPr>
          <w:rFonts w:ascii="Times New Roman" w:hAnsi="Times New Roman" w:cs="Times New Roman" w:hint="eastAsia"/>
          <w:color w:val="000000"/>
          <w:sz w:val="24"/>
        </w:rPr>
        <w:t xml:space="preserve"> to both </w:t>
      </w:r>
      <w:r>
        <w:rPr>
          <w:rFonts w:ascii="Times New Roman" w:hAnsi="Times New Roman" w:cs="Times New Roman"/>
          <w:color w:val="000000"/>
          <w:sz w:val="24"/>
        </w:rPr>
        <w:t xml:space="preserve">groups. </w:t>
      </w:r>
      <w:r>
        <w:rPr>
          <w:rFonts w:ascii="Times New Roman" w:hAnsi="Times New Roman" w:cs="Times New Roman" w:hint="eastAsia"/>
          <w:color w:val="000000"/>
          <w:sz w:val="24"/>
        </w:rPr>
        <w:t>In addition, i</w:t>
      </w:r>
      <w:r>
        <w:rPr>
          <w:rFonts w:ascii="Times New Roman" w:hAnsi="Times New Roman" w:cs="Times New Roman"/>
          <w:color w:val="000000"/>
          <w:sz w:val="24"/>
        </w:rPr>
        <w:t xml:space="preserve">n the </w:t>
      </w:r>
      <w:r>
        <w:rPr>
          <w:rFonts w:ascii="Times New Roman" w:hAnsi="Times New Roman" w:cs="Times New Roman" w:hint="eastAsia"/>
          <w:color w:val="000000"/>
          <w:sz w:val="24"/>
        </w:rPr>
        <w:t>analysis of the data</w:t>
      </w:r>
      <w:r>
        <w:rPr>
          <w:rFonts w:ascii="Times New Roman" w:hAnsi="Times New Roman" w:cs="Times New Roman"/>
          <w:color w:val="000000"/>
          <w:sz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color w:val="000000"/>
          <w:sz w:val="24"/>
          <w:szCs w:val="24"/>
        </w:rPr>
        <w:t>we used a</w:t>
      </w:r>
      <w:r>
        <w:rPr>
          <w:rFonts w:ascii="Times New Roman" w:hAnsi="Times New Roman" w:cs="Times New Roman"/>
          <w:color w:val="000000"/>
          <w:sz w:val="24"/>
        </w:rPr>
        <w:t xml:space="preserve"> mixed effect model instead of </w:t>
      </w:r>
      <w:r>
        <w:rPr>
          <w:rFonts w:ascii="Times New Roman" w:hAnsi="Times New Roman" w:cs="Times New Roman" w:hint="eastAsia"/>
          <w:color w:val="000000"/>
          <w:sz w:val="24"/>
        </w:rPr>
        <w:t xml:space="preserve">a </w:t>
      </w:r>
      <w:r>
        <w:rPr>
          <w:rFonts w:ascii="Times New Roman" w:hAnsi="Times New Roman" w:cs="Times New Roman"/>
          <w:color w:val="000000"/>
          <w:sz w:val="24"/>
        </w:rPr>
        <w:t>repeated</w:t>
      </w:r>
      <w:r>
        <w:rPr>
          <w:rFonts w:ascii="Times New Roman" w:hAnsi="Times New Roman" w:cs="Times New Roman" w:hint="eastAsia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measure</w:t>
      </w:r>
      <w:r>
        <w:rPr>
          <w:rFonts w:ascii="Times New Roman" w:hAnsi="Times New Roman" w:cs="Times New Roman" w:hint="eastAsia"/>
          <w:color w:val="000000"/>
          <w:sz w:val="24"/>
        </w:rPr>
        <w:t xml:space="preserve">s </w:t>
      </w:r>
      <w:r>
        <w:rPr>
          <w:rFonts w:ascii="Times New Roman" w:hAnsi="Times New Roman" w:cs="Times New Roman"/>
          <w:color w:val="000000"/>
          <w:sz w:val="24"/>
        </w:rPr>
        <w:t xml:space="preserve">ANOVA. By </w:t>
      </w:r>
      <w:r>
        <w:rPr>
          <w:rFonts w:ascii="Times New Roman" w:hAnsi="Times New Roman" w:cs="Times New Roman" w:hint="eastAsia"/>
          <w:color w:val="000000"/>
          <w:sz w:val="24"/>
        </w:rPr>
        <w:t>using this approach, we were able to</w:t>
      </w:r>
      <w:r>
        <w:rPr>
          <w:rFonts w:ascii="Times New Roman" w:hAnsi="Times New Roman" w:cs="Times New Roman"/>
          <w:color w:val="000000"/>
          <w:sz w:val="24"/>
        </w:rPr>
        <w:t xml:space="preserve"> subtract out the “time-invariant” effect of chloral hydrate.</w:t>
      </w:r>
    </w:p>
    <w:p w:rsidR="00C22ED1" w:rsidRDefault="00C22ED1" w:rsidP="00C22ED1">
      <w:pPr>
        <w:rPr>
          <w:rFonts w:ascii="Times New Roman" w:hAnsi="Times New Roman" w:cs="Times New Roman"/>
          <w:color w:val="000000"/>
          <w:sz w:val="24"/>
        </w:rPr>
      </w:pPr>
    </w:p>
    <w:p w:rsidR="00C22ED1" w:rsidRPr="00B465AD" w:rsidRDefault="00C22ED1" w:rsidP="00C22ED1">
      <w:pPr>
        <w:spacing w:line="276" w:lineRule="auto"/>
        <w:rPr>
          <w:rFonts w:ascii="Times New Roman" w:hAnsi="Times New Roman" w:cs="Times New Roman"/>
          <w:b/>
          <w:color w:val="000000"/>
          <w:kern w:val="0"/>
          <w:sz w:val="24"/>
          <w:szCs w:val="24"/>
          <w:lang w:val="en-GB"/>
        </w:rPr>
      </w:pPr>
      <w:r w:rsidRPr="00B465AD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val="en-GB"/>
        </w:rPr>
        <w:t>Reference</w:t>
      </w:r>
    </w:p>
    <w:p w:rsidR="00C22ED1" w:rsidRPr="00B465AD" w:rsidRDefault="00C22ED1" w:rsidP="00C22ED1">
      <w:pPr>
        <w:pStyle w:val="EndNoteBibliography"/>
        <w:ind w:left="720" w:hanging="720"/>
        <w:rPr>
          <w:rFonts w:ascii="Times New Roman" w:hAnsi="Times New Roman" w:cs="Times New Roman"/>
          <w:sz w:val="22"/>
        </w:rPr>
      </w:pPr>
      <w:r w:rsidRPr="00B465AD">
        <w:rPr>
          <w:rFonts w:ascii="Times New Roman" w:hAnsi="Times New Roman" w:cs="Times New Roman"/>
          <w:b/>
          <w:color w:val="000000"/>
          <w:kern w:val="0"/>
          <w:sz w:val="22"/>
          <w:lang w:val="en-GB"/>
        </w:rPr>
        <w:fldChar w:fldCharType="begin"/>
      </w:r>
      <w:r w:rsidRPr="00B465AD">
        <w:rPr>
          <w:rFonts w:ascii="Times New Roman" w:hAnsi="Times New Roman" w:cs="Times New Roman"/>
          <w:b/>
          <w:color w:val="000000"/>
          <w:kern w:val="0"/>
          <w:sz w:val="22"/>
          <w:lang w:val="en-GB"/>
        </w:rPr>
        <w:instrText xml:space="preserve"> ADDIN EN.REFLIST </w:instrText>
      </w:r>
      <w:r w:rsidRPr="00B465AD">
        <w:rPr>
          <w:rFonts w:ascii="Times New Roman" w:hAnsi="Times New Roman" w:cs="Times New Roman"/>
          <w:b/>
          <w:color w:val="000000"/>
          <w:kern w:val="0"/>
          <w:sz w:val="22"/>
          <w:lang w:val="en-GB"/>
        </w:rPr>
        <w:fldChar w:fldCharType="separate"/>
      </w:r>
      <w:r>
        <w:rPr>
          <w:rFonts w:ascii="Times New Roman" w:hAnsi="Times New Roman" w:cs="Times New Roman"/>
          <w:sz w:val="22"/>
        </w:rPr>
        <w:t xml:space="preserve">1. </w:t>
      </w:r>
      <w:r w:rsidRPr="00B465AD">
        <w:rPr>
          <w:rFonts w:ascii="Times New Roman" w:hAnsi="Times New Roman" w:cs="Times New Roman"/>
          <w:sz w:val="22"/>
        </w:rPr>
        <w:t xml:space="preserve">Lemonnier E, </w:t>
      </w:r>
      <w:r w:rsidRPr="00B465AD">
        <w:rPr>
          <w:rFonts w:ascii="Times New Roman" w:hAnsi="Times New Roman" w:cs="Times New Roman"/>
          <w:i/>
          <w:sz w:val="22"/>
        </w:rPr>
        <w:t>et al</w:t>
      </w:r>
      <w:r w:rsidRPr="00B465AD">
        <w:rPr>
          <w:rFonts w:ascii="Times New Roman" w:hAnsi="Times New Roman" w:cs="Times New Roman"/>
          <w:sz w:val="22"/>
        </w:rPr>
        <w:t>. A randomised controlled trial of bumetanid</w:t>
      </w:r>
      <w:r>
        <w:rPr>
          <w:rFonts w:ascii="Times New Roman" w:hAnsi="Times New Roman" w:cs="Times New Roman"/>
          <w:sz w:val="22"/>
        </w:rPr>
        <w:t xml:space="preserve">e in the treatment of autism in </w:t>
      </w:r>
      <w:r w:rsidRPr="00B465AD">
        <w:rPr>
          <w:rFonts w:ascii="Times New Roman" w:hAnsi="Times New Roman" w:cs="Times New Roman"/>
          <w:sz w:val="22"/>
        </w:rPr>
        <w:t xml:space="preserve">children. </w:t>
      </w:r>
      <w:r w:rsidRPr="00B465AD">
        <w:rPr>
          <w:rFonts w:ascii="Times New Roman" w:hAnsi="Times New Roman" w:cs="Times New Roman"/>
          <w:i/>
          <w:sz w:val="22"/>
        </w:rPr>
        <w:t>Tran</w:t>
      </w:r>
      <w:bookmarkStart w:id="0" w:name="_GoBack"/>
      <w:bookmarkEnd w:id="0"/>
      <w:r w:rsidRPr="00B465AD">
        <w:rPr>
          <w:rFonts w:ascii="Times New Roman" w:hAnsi="Times New Roman" w:cs="Times New Roman"/>
          <w:i/>
          <w:sz w:val="22"/>
        </w:rPr>
        <w:t>slational psychiatry</w:t>
      </w:r>
      <w:r w:rsidRPr="00B465AD">
        <w:rPr>
          <w:rFonts w:ascii="Times New Roman" w:hAnsi="Times New Roman" w:cs="Times New Roman"/>
          <w:sz w:val="22"/>
        </w:rPr>
        <w:t xml:space="preserve"> 2012; </w:t>
      </w:r>
      <w:r w:rsidRPr="00B465AD">
        <w:rPr>
          <w:rFonts w:ascii="Times New Roman" w:hAnsi="Times New Roman" w:cs="Times New Roman"/>
          <w:b/>
          <w:sz w:val="22"/>
        </w:rPr>
        <w:t>2:</w:t>
      </w:r>
      <w:r w:rsidRPr="00B465AD">
        <w:rPr>
          <w:rFonts w:ascii="Times New Roman" w:hAnsi="Times New Roman" w:cs="Times New Roman"/>
          <w:sz w:val="22"/>
        </w:rPr>
        <w:t xml:space="preserve"> e202.</w:t>
      </w:r>
    </w:p>
    <w:p w:rsidR="00C22ED1" w:rsidRPr="00B465AD" w:rsidRDefault="00C22ED1" w:rsidP="00C22ED1">
      <w:pPr>
        <w:pStyle w:val="EndNoteBibliography"/>
        <w:rPr>
          <w:rFonts w:ascii="Times New Roman" w:hAnsi="Times New Roman" w:cs="Times New Roman"/>
          <w:sz w:val="22"/>
        </w:rPr>
      </w:pPr>
    </w:p>
    <w:p w:rsidR="007378D0" w:rsidRDefault="00C22ED1" w:rsidP="00C22ED1">
      <w:r w:rsidRPr="00B465AD">
        <w:rPr>
          <w:rFonts w:ascii="Times New Roman" w:eastAsia="等线" w:hAnsi="Times New Roman" w:cs="Times New Roman"/>
          <w:b/>
          <w:color w:val="000000"/>
          <w:kern w:val="0"/>
          <w:sz w:val="22"/>
          <w:lang w:val="en-GB"/>
        </w:rPr>
        <w:fldChar w:fldCharType="end"/>
      </w:r>
    </w:p>
    <w:sectPr w:rsidR="007378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1D5D" w:rsidRDefault="00041D5D" w:rsidP="00C22ED1">
      <w:r>
        <w:separator/>
      </w:r>
    </w:p>
  </w:endnote>
  <w:endnote w:type="continuationSeparator" w:id="0">
    <w:p w:rsidR="00041D5D" w:rsidRDefault="00041D5D" w:rsidP="00C22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1D5D" w:rsidRDefault="00041D5D" w:rsidP="00C22ED1">
      <w:r>
        <w:separator/>
      </w:r>
    </w:p>
  </w:footnote>
  <w:footnote w:type="continuationSeparator" w:id="0">
    <w:p w:rsidR="00041D5D" w:rsidRDefault="00041D5D" w:rsidP="00C22E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3F5"/>
    <w:rsid w:val="00041D5D"/>
    <w:rsid w:val="001441C4"/>
    <w:rsid w:val="00255D16"/>
    <w:rsid w:val="005C33F5"/>
    <w:rsid w:val="00C2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8252005-F11B-48F5-BEC1-B3E2BDC1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ED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2E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22E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22E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22ED1"/>
    <w:rPr>
      <w:sz w:val="18"/>
      <w:szCs w:val="18"/>
    </w:rPr>
  </w:style>
  <w:style w:type="paragraph" w:customStyle="1" w:styleId="EndNoteBibliography">
    <w:name w:val="EndNote Bibliography"/>
    <w:basedOn w:val="a"/>
    <w:link w:val="EndNoteBibliography0"/>
    <w:rsid w:val="00C22ED1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C22ED1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>wimxt.com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ZLL2</dc:creator>
  <cp:keywords/>
  <dc:description/>
  <cp:lastModifiedBy>ZLL2</cp:lastModifiedBy>
  <cp:revision>2</cp:revision>
  <dcterms:created xsi:type="dcterms:W3CDTF">2019-11-22T13:14:00Z</dcterms:created>
  <dcterms:modified xsi:type="dcterms:W3CDTF">2019-11-22T13:14:00Z</dcterms:modified>
</cp:coreProperties>
</file>