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2C1EAB" w14:textId="77777777" w:rsidR="000B086A" w:rsidRPr="0061109F" w:rsidRDefault="000B086A" w:rsidP="000B086A">
      <w:pPr>
        <w:pStyle w:val="Heading4"/>
        <w:spacing w:line="480" w:lineRule="auto"/>
        <w:rPr>
          <w:b/>
          <w:i w:val="0"/>
          <w:color w:val="auto"/>
          <w:sz w:val="22"/>
          <w:szCs w:val="22"/>
        </w:rPr>
      </w:pPr>
      <w:r w:rsidRPr="0061109F">
        <w:rPr>
          <w:b/>
          <w:i w:val="0"/>
          <w:color w:val="auto"/>
          <w:sz w:val="22"/>
          <w:szCs w:val="22"/>
        </w:rPr>
        <w:t>Supplementary Information</w:t>
      </w:r>
    </w:p>
    <w:p w14:paraId="67A046FB" w14:textId="77777777" w:rsidR="00CD1227" w:rsidRPr="0061109F" w:rsidRDefault="00CD1227" w:rsidP="000B086A">
      <w:pPr>
        <w:pStyle w:val="Heading4"/>
        <w:spacing w:line="480" w:lineRule="auto"/>
        <w:rPr>
          <w:b/>
          <w:i w:val="0"/>
          <w:color w:val="auto"/>
          <w:sz w:val="22"/>
          <w:szCs w:val="22"/>
        </w:rPr>
      </w:pPr>
    </w:p>
    <w:p w14:paraId="3A6211CC" w14:textId="0D7549E3" w:rsidR="000B086A" w:rsidRPr="0061109F" w:rsidRDefault="000B086A" w:rsidP="000B086A">
      <w:pPr>
        <w:pStyle w:val="Heading4"/>
        <w:spacing w:line="480" w:lineRule="auto"/>
        <w:rPr>
          <w:b/>
          <w:i w:val="0"/>
          <w:color w:val="auto"/>
          <w:sz w:val="22"/>
          <w:szCs w:val="22"/>
        </w:rPr>
      </w:pPr>
      <w:r w:rsidRPr="0061109F">
        <w:rPr>
          <w:b/>
          <w:i w:val="0"/>
          <w:color w:val="auto"/>
          <w:sz w:val="22"/>
          <w:szCs w:val="22"/>
        </w:rPr>
        <w:t>Supplementary methods</w:t>
      </w:r>
    </w:p>
    <w:p w14:paraId="5D13DA9D" w14:textId="14DB05C2" w:rsidR="00823D9B" w:rsidRPr="0061109F" w:rsidRDefault="00823D9B" w:rsidP="000B086A">
      <w:pPr>
        <w:pStyle w:val="Heading4"/>
        <w:spacing w:line="480" w:lineRule="auto"/>
        <w:rPr>
          <w:b/>
          <w:i w:val="0"/>
          <w:color w:val="auto"/>
          <w:sz w:val="22"/>
          <w:szCs w:val="22"/>
        </w:rPr>
      </w:pPr>
      <w:r w:rsidRPr="0061109F">
        <w:rPr>
          <w:b/>
          <w:i w:val="0"/>
          <w:color w:val="auto"/>
          <w:sz w:val="22"/>
          <w:szCs w:val="22"/>
        </w:rPr>
        <w:t>Study design and population</w:t>
      </w:r>
      <w:r w:rsidR="00395633" w:rsidRPr="0061109F">
        <w:rPr>
          <w:b/>
          <w:i w:val="0"/>
          <w:color w:val="auto"/>
          <w:sz w:val="22"/>
          <w:szCs w:val="22"/>
        </w:rPr>
        <w:t xml:space="preserve"> details</w:t>
      </w:r>
    </w:p>
    <w:p w14:paraId="5DB6A395" w14:textId="55004F20" w:rsidR="00823D9B" w:rsidRPr="0061109F" w:rsidRDefault="00395633" w:rsidP="000B086A">
      <w:pPr>
        <w:spacing w:before="120" w:after="120" w:line="480" w:lineRule="auto"/>
        <w:jc w:val="both"/>
        <w:rPr>
          <w:rFonts w:ascii="Calibri" w:hAnsi="Calibri" w:cs="Calibri"/>
          <w:sz w:val="22"/>
          <w:szCs w:val="22"/>
        </w:rPr>
      </w:pPr>
      <w:r w:rsidRPr="0061109F">
        <w:rPr>
          <w:rFonts w:ascii="Calibri" w:hAnsi="Calibri" w:cs="Calibri"/>
          <w:sz w:val="22"/>
          <w:szCs w:val="22"/>
        </w:rPr>
        <w:t xml:space="preserve">For the </w:t>
      </w:r>
      <w:r w:rsidR="00823D9B" w:rsidRPr="0061109F">
        <w:rPr>
          <w:rFonts w:ascii="Calibri" w:hAnsi="Calibri" w:cs="Calibri"/>
          <w:sz w:val="22"/>
          <w:szCs w:val="22"/>
        </w:rPr>
        <w:t>population-based cohort study</w:t>
      </w:r>
      <w:r w:rsidRPr="0061109F">
        <w:rPr>
          <w:rFonts w:ascii="Calibri" w:hAnsi="Calibri" w:cs="Calibri"/>
          <w:sz w:val="22"/>
          <w:szCs w:val="22"/>
        </w:rPr>
        <w:t>, t</w:t>
      </w:r>
      <w:r w:rsidR="00823D9B" w:rsidRPr="0061109F">
        <w:rPr>
          <w:rFonts w:ascii="Calibri" w:hAnsi="Calibri" w:cs="Calibri"/>
          <w:sz w:val="22"/>
          <w:szCs w:val="22"/>
        </w:rPr>
        <w:t>he source population</w:t>
      </w:r>
      <w:r w:rsidR="00C13B09" w:rsidRPr="0061109F">
        <w:rPr>
          <w:rFonts w:ascii="Calibri" w:hAnsi="Calibri" w:cs="Calibri"/>
          <w:sz w:val="22"/>
          <w:szCs w:val="22"/>
        </w:rPr>
        <w:t xml:space="preserve"> for SCZ cases</w:t>
      </w:r>
      <w:r w:rsidR="00823D9B" w:rsidRPr="0061109F">
        <w:rPr>
          <w:rFonts w:ascii="Calibri" w:hAnsi="Calibri" w:cs="Calibri"/>
          <w:sz w:val="22"/>
          <w:szCs w:val="22"/>
        </w:rPr>
        <w:t xml:space="preserve"> was</w:t>
      </w:r>
      <w:r w:rsidRPr="0061109F">
        <w:rPr>
          <w:rFonts w:ascii="Calibri" w:hAnsi="Calibri" w:cs="Calibri"/>
          <w:sz w:val="22"/>
          <w:szCs w:val="22"/>
        </w:rPr>
        <w:t xml:space="preserve"> </w:t>
      </w:r>
      <w:r w:rsidR="00823D9B" w:rsidRPr="0061109F">
        <w:rPr>
          <w:rFonts w:ascii="Calibri" w:hAnsi="Calibri" w:cs="Calibri"/>
          <w:sz w:val="22"/>
          <w:szCs w:val="22"/>
        </w:rPr>
        <w:t>defined as</w:t>
      </w:r>
      <w:r w:rsidRPr="0061109F">
        <w:rPr>
          <w:rFonts w:ascii="Calibri" w:hAnsi="Calibri" w:cs="Calibri"/>
          <w:sz w:val="22"/>
          <w:szCs w:val="22"/>
        </w:rPr>
        <w:t xml:space="preserve"> those who were</w:t>
      </w:r>
      <w:r w:rsidR="00823D9B" w:rsidRPr="0061109F">
        <w:rPr>
          <w:rFonts w:ascii="Calibri" w:hAnsi="Calibri" w:cs="Calibri"/>
          <w:sz w:val="22"/>
          <w:szCs w:val="22"/>
        </w:rPr>
        <w:t xml:space="preserve"> hospitalized ≥2 times with a SCZ or a schizoaffective disorder discharge diagnosis (</w:t>
      </w:r>
      <w:r w:rsidR="00B22E68" w:rsidRPr="0061109F">
        <w:rPr>
          <w:rFonts w:ascii="Calibri" w:hAnsi="Calibri" w:cs="Calibri"/>
          <w:b/>
          <w:i/>
          <w:sz w:val="22"/>
          <w:szCs w:val="22"/>
        </w:rPr>
        <w:t>Supplementary</w:t>
      </w:r>
      <w:r w:rsidR="00B22E68" w:rsidRPr="0061109F">
        <w:rPr>
          <w:rFonts w:ascii="Calibri" w:hAnsi="Calibri" w:cs="Calibri"/>
          <w:sz w:val="22"/>
          <w:szCs w:val="22"/>
        </w:rPr>
        <w:t xml:space="preserve"> </w:t>
      </w:r>
      <w:r w:rsidR="00823D9B" w:rsidRPr="0061109F">
        <w:rPr>
          <w:rFonts w:ascii="Calibri" w:hAnsi="Calibri" w:cs="Calibri"/>
          <w:b/>
          <w:i/>
          <w:sz w:val="22"/>
          <w:szCs w:val="22"/>
        </w:rPr>
        <w:t xml:space="preserve">Table </w:t>
      </w:r>
      <w:r w:rsidR="00D23CF7" w:rsidRPr="0061109F">
        <w:rPr>
          <w:rFonts w:ascii="Calibri" w:hAnsi="Calibri" w:cs="Calibri"/>
          <w:b/>
          <w:i/>
          <w:sz w:val="22"/>
          <w:szCs w:val="22"/>
        </w:rPr>
        <w:t>1</w:t>
      </w:r>
      <w:r w:rsidR="00823D9B" w:rsidRPr="0061109F">
        <w:rPr>
          <w:rFonts w:ascii="Calibri" w:hAnsi="Calibri" w:cs="Calibri"/>
          <w:b/>
          <w:i/>
          <w:sz w:val="22"/>
          <w:szCs w:val="22"/>
        </w:rPr>
        <w:t xml:space="preserve"> </w:t>
      </w:r>
      <w:r w:rsidR="00823D9B" w:rsidRPr="0061109F">
        <w:rPr>
          <w:rFonts w:ascii="Calibri" w:hAnsi="Calibri" w:cs="Calibri"/>
          <w:sz w:val="22"/>
          <w:szCs w:val="22"/>
        </w:rPr>
        <w:t xml:space="preserve">includes the International Classification of Diseases [ICD] codes) after the start of the </w:t>
      </w:r>
      <w:bookmarkStart w:id="0" w:name="_Hlk531782410"/>
      <w:r w:rsidR="00823D9B" w:rsidRPr="0061109F">
        <w:rPr>
          <w:rFonts w:ascii="Calibri" w:hAnsi="Calibri" w:cs="Calibri"/>
          <w:sz w:val="22"/>
          <w:szCs w:val="22"/>
        </w:rPr>
        <w:t xml:space="preserve">Sweden National Patient </w:t>
      </w:r>
      <w:bookmarkEnd w:id="0"/>
      <w:r w:rsidR="00823D9B" w:rsidRPr="0061109F">
        <w:rPr>
          <w:rFonts w:ascii="Calibri" w:hAnsi="Calibri" w:cs="Calibri"/>
          <w:sz w:val="22"/>
          <w:szCs w:val="22"/>
        </w:rPr>
        <w:t>Register</w:t>
      </w:r>
      <w:r w:rsidR="00A52B5C" w:rsidRPr="0061109F">
        <w:rPr>
          <w:rFonts w:ascii="Calibri" w:hAnsi="Calibri" w:cs="Calibri"/>
          <w:sz w:val="22"/>
          <w:szCs w:val="22"/>
        </w:rPr>
        <w:fldChar w:fldCharType="begin" w:fldLock="1"/>
      </w:r>
      <w:r w:rsidR="00C763EA" w:rsidRPr="0061109F">
        <w:rPr>
          <w:rFonts w:ascii="Calibri" w:hAnsi="Calibri" w:cs="Calibri"/>
          <w:sz w:val="22"/>
          <w:szCs w:val="22"/>
        </w:rPr>
        <w:instrText>ADDIN CSL_CITATION {"citationItems":[{"id":"ITEM-1","itemData":{"DOI":"10.1186/1471-2458-11-450","ISBN":"1471-2458 (Electronic)\\n1471-2458 (Linking)","ISSN":"14712458","PMID":"21658213","abstract":"BACKGROUND: The Swedish National Inpatient Register (IPR), also called the Hospital Discharge Register, is a principal source of data for numerous research projects. The IPR is part of the National Patient Register. The Swedish IPR was launched in 1964 (psychiatric diagnoses from 1973) but complete coverage did not begin until 1987. Currently, more than 99% of all somatic (including surgery) and psychiatric hospital discharges are registered in the IPR. A previous validation of the IPR by the National Board of Health and Welfare showed that 85-95% of all diagnoses in the IPR are valid. The current paper describes the history, structure, coverage and quality of the Swedish IPR.\\n\\nMETHODS AND RESULTS: In January 2010, we searched the medical databases, Medline and HighWire, using the search algorithm \"validat* (inpatient or hospital discharge) Sweden\". We also contacted 218 members of the Swedish Society of Epidemiology and an additional 201 medical researchers to identify papers that had validated the IPR. In total, 132 papers were reviewed. The positive predictive value (PPV) was found to differ between diagnoses in the IPR, but is generally 85-95%.\\n\\nCONCLUSIONS: In conclusion, the validity of the Swedish IPR is high for many but not all diagnoses. The long follow-up makes the register particularly suitable for large-scale population-based research, but for certain research areas the use of other health registers, such as the Swedish Cancer Register, may be more suitable.","author":[{"dropping-particle":"","family":"Ludvigsson","given":"Jonas F","non-dropping-particle":"","parse-names":false,"suffix":""},{"dropping-particle":"","family":"Andersson","given":"Eva","non-dropping-particle":"","parse-names":false,"suffix":""},{"dropping-particle":"","family":"Ekbom","given":"Anders","non-dropping-particle":"","parse-names":false,"suffix":""},{"dropping-particle":"","family":"Feychting","given":"Maria","non-dropping-particle":"","parse-names":false,"suffix":""},{"dropping-particle":"","family":"Kim","given":"Jeong Lim","non-dropping-particle":"","parse-names":false,"suffix":""},{"dropping-particle":"","family":"Reuterwall","given":"Christina","non-dropping-particle":"","parse-names":false,"suffix":""},{"dropping-particle":"","family":"Heurgren","given":"Mona","non-dropping-particle":"","parse-names":false,"suffix":""},{"dropping-particle":"","family":"Olausson","given":"Petra Otterblad","non-dropping-particle":"","parse-names":false,"suffix":""}],"container-title":"BMC Public Health","id":"ITEM-1","issue":"1","issued":{"date-parts":[["2011","6","9"]]},"page":"450","title":"External review and validation of the Swedish national inpatient register","type":"article-journal","volume":"11"},"uris":["http://www.mendeley.com/documents/?uuid=70782729-cad9-4da2-ac1a-279d762281b5"]},{"id":"ITEM-2","itemData":{"DOI":"10.3109/08039488709103182","ISSN":"0029-1455","author":[{"dropping-particle":"","family":"Kristjansson","given":"Einar","non-dropping-particle":"","parse-names":false,"suffix":""},{"dropping-particle":"","family":"Allebeck","given":"Peter","non-dropping-particle":"","parse-names":false,"suffix":""},{"dropping-particle":"","family":"Wistedt","given":"Börje","non-dropping-particle":"","parse-names":false,"suffix":""}],"container-title":"Nordisk Psykiatrisk Tidsskrift","id":"ITEM-2","issue":"3","issued":{"date-parts":[["1987","1","1"]]},"note":"doi: 10.3109/08039488709103182","page":"229-234","publisher":"Taylor &amp; Francis","title":"Validity of the diagnosis schizophrenia in a psychiatric inpatient register: A retrospective application of DSM-III criteria on ICD-8 diagnoses in Stockholm county","type":"article-journal","volume":"41"},"uris":["http://www.mendeley.com/documents/?uuid=21accf66-592e-445f-91ad-8d007f8d455e"]},{"id":"ITEM-3","itemData":{"DOI":"10.1007/s00127-002-0582-3","ISSN":"1433-9285","abstract":"Background: Psychiatric inpatient registers are often used in research in the Nordic countries. We aimed to investigate the validity of recorded diagnoses of schizophrenia in the Swedish National Inpatient Register, in cases of early age at onset. We also wanted to describe the accuracy of the diagnoses in cities/university clinics and country hospitals as well as in child and adolescent psychiatric clinics and clinics for adults. Method: One hundred cases with a diagnosis of schizophrenia, born 1973–1977, were randomly selected. The psychiatric records were scrutinised according to the criteria of DSM-IV. Results: Eighty-six per cent (95 % CI 78–93 %) fulfilled the DSM-IV criteria of schizophrenia syndrome and 76 % (95 % CI 66–86 %) fulfilled the “narrow” definition. There were no large differences in the accuracy of the diagnoses between regions or clinics. Conclusion: The proportion of “true” cases of schizophrenia is high in the Swedish National Inpatient Register. In addition, the results did not support large differences between clinics or regions although a larger sample size would be needed to test this formally. In comparison with earlier studies from the Nordic countries the validity seems to be quite stable over time, between different ages at onset and between Nordic countries. Thus, the registers are well suited to be used in schizophrenia research.","author":[{"dropping-particle":"","family":"Dalman","given":"Ch.","non-dropping-particle":"","parse-names":false,"suffix":""},{"dropping-particle":"","family":"Broms","given":"J","non-dropping-particle":"","parse-names":false,"suffix":""},{"dropping-particle":"","family":"Cullberg","given":"J","non-dropping-particle":"","parse-names":false,"suffix":""},{"dropping-particle":"","family":"Allebeck","given":"P","non-dropping-particle":"","parse-names":false,"suffix":""}],"container-title":"Social Psychiatry and Psychiatric Epidemiology","id":"ITEM-3","issue":"11","issued":{"date-parts":[["2002"]]},"page":"527-531","title":"Young cases of schizophrenia identified in a national inpatient register","type":"article-journal","volume":"37"},"uris":["http://www.mendeley.com/documents/?uuid=b7634e24-e5e7-4248-b4b7-877f3585086d"]}],"mendeley":{"formattedCitation":"&lt;sup&gt;1–3&lt;/sup&gt;","plainTextFormattedCitation":"1–3","previouslyFormattedCitation":"&lt;sup&gt;1–3&lt;/sup&gt;"},"properties":{"noteIndex":0},"schema":"https://github.com/citation-style-language/schema/raw/master/csl-citation.json"}</w:instrText>
      </w:r>
      <w:r w:rsidR="00A52B5C" w:rsidRPr="0061109F">
        <w:rPr>
          <w:rFonts w:ascii="Calibri" w:hAnsi="Calibri" w:cs="Calibri"/>
          <w:sz w:val="22"/>
          <w:szCs w:val="22"/>
        </w:rPr>
        <w:fldChar w:fldCharType="separate"/>
      </w:r>
      <w:r w:rsidR="00A52B5C" w:rsidRPr="0061109F">
        <w:rPr>
          <w:rFonts w:ascii="Calibri" w:hAnsi="Calibri" w:cs="Calibri"/>
          <w:noProof/>
          <w:sz w:val="22"/>
          <w:szCs w:val="22"/>
          <w:vertAlign w:val="superscript"/>
        </w:rPr>
        <w:t>1–3</w:t>
      </w:r>
      <w:r w:rsidR="00A52B5C" w:rsidRPr="0061109F">
        <w:rPr>
          <w:rFonts w:ascii="Calibri" w:hAnsi="Calibri" w:cs="Calibri"/>
          <w:sz w:val="22"/>
          <w:szCs w:val="22"/>
        </w:rPr>
        <w:fldChar w:fldCharType="end"/>
      </w:r>
      <w:r w:rsidR="00A52B5C" w:rsidRPr="0061109F">
        <w:rPr>
          <w:rFonts w:ascii="Calibri" w:hAnsi="Calibri" w:cs="Calibri"/>
          <w:sz w:val="22"/>
          <w:szCs w:val="22"/>
        </w:rPr>
        <w:t xml:space="preserve"> </w:t>
      </w:r>
      <w:r w:rsidR="00823D9B" w:rsidRPr="0061109F">
        <w:rPr>
          <w:rFonts w:ascii="Calibri" w:hAnsi="Calibri" w:cs="Calibri"/>
          <w:sz w:val="22"/>
          <w:szCs w:val="22"/>
        </w:rPr>
        <w:t>(January 1, 1973, N=</w:t>
      </w:r>
      <w:r w:rsidR="00294252" w:rsidRPr="0061109F">
        <w:rPr>
          <w:rFonts w:ascii="Calibri" w:hAnsi="Calibri" w:cs="Calibri"/>
          <w:sz w:val="22"/>
          <w:szCs w:val="22"/>
        </w:rPr>
        <w:t>48,</w:t>
      </w:r>
      <w:r w:rsidR="00943D92" w:rsidRPr="0061109F">
        <w:rPr>
          <w:rFonts w:ascii="Calibri" w:hAnsi="Calibri" w:cs="Calibri"/>
          <w:sz w:val="22"/>
          <w:szCs w:val="22"/>
        </w:rPr>
        <w:t>555</w:t>
      </w:r>
      <w:r w:rsidR="00823D9B" w:rsidRPr="0061109F">
        <w:rPr>
          <w:rFonts w:ascii="Calibri" w:hAnsi="Calibri" w:cs="Calibri"/>
          <w:sz w:val="22"/>
          <w:szCs w:val="22"/>
        </w:rPr>
        <w:t>)</w:t>
      </w:r>
      <w:r w:rsidR="00695351" w:rsidRPr="0061109F">
        <w:rPr>
          <w:rFonts w:ascii="Calibri" w:hAnsi="Calibri" w:cs="Calibri"/>
          <w:sz w:val="22"/>
          <w:szCs w:val="22"/>
        </w:rPr>
        <w:t xml:space="preserve">. </w:t>
      </w:r>
      <w:r w:rsidR="00823D9B" w:rsidRPr="0061109F">
        <w:rPr>
          <w:rFonts w:ascii="Calibri" w:hAnsi="Calibri" w:cs="Calibri"/>
          <w:sz w:val="22"/>
          <w:szCs w:val="22"/>
        </w:rPr>
        <w:t>The criteria were born</w:t>
      </w:r>
      <w:r w:rsidR="001555A5" w:rsidRPr="0061109F">
        <w:rPr>
          <w:rFonts w:ascii="Calibri" w:hAnsi="Calibri" w:cs="Calibri"/>
          <w:sz w:val="22"/>
          <w:szCs w:val="22"/>
        </w:rPr>
        <w:t xml:space="preserve"> </w:t>
      </w:r>
      <w:r w:rsidR="00960E52" w:rsidRPr="0061109F">
        <w:rPr>
          <w:rFonts w:ascii="Calibri" w:hAnsi="Calibri" w:cs="Calibri"/>
          <w:sz w:val="22"/>
          <w:szCs w:val="22"/>
        </w:rPr>
        <w:t xml:space="preserve">in Sweden </w:t>
      </w:r>
      <w:r w:rsidR="001B3DFA" w:rsidRPr="0061109F">
        <w:rPr>
          <w:rFonts w:ascii="Calibri" w:hAnsi="Calibri" w:cs="Calibri"/>
          <w:sz w:val="22"/>
          <w:szCs w:val="22"/>
        </w:rPr>
        <w:t>between 1958-1994</w:t>
      </w:r>
      <w:r w:rsidR="00695351" w:rsidRPr="0061109F">
        <w:rPr>
          <w:rFonts w:ascii="Calibri" w:hAnsi="Calibri" w:cs="Calibri"/>
          <w:sz w:val="22"/>
          <w:szCs w:val="22"/>
        </w:rPr>
        <w:t xml:space="preserve"> and exclude those with high treatment contacts for substance use disorder (≥50 substance use disorder treatment contacts and ≤5 SCZ treatment contacts) or bipolar disorder (≥5 bipolar treatment contacts and ≤5 SCZ treatment contacts) </w:t>
      </w:r>
      <w:r w:rsidR="001B3DFA" w:rsidRPr="0061109F">
        <w:rPr>
          <w:rFonts w:ascii="Calibri" w:hAnsi="Calibri" w:cs="Calibri"/>
          <w:sz w:val="22"/>
          <w:szCs w:val="22"/>
        </w:rPr>
        <w:t>(n=13</w:t>
      </w:r>
      <w:r w:rsidR="00294252" w:rsidRPr="0061109F">
        <w:rPr>
          <w:rFonts w:ascii="Calibri" w:hAnsi="Calibri" w:cs="Calibri"/>
          <w:sz w:val="22"/>
          <w:szCs w:val="22"/>
        </w:rPr>
        <w:t>,</w:t>
      </w:r>
      <w:r w:rsidR="001B3DFA" w:rsidRPr="0061109F">
        <w:rPr>
          <w:rFonts w:ascii="Calibri" w:hAnsi="Calibri" w:cs="Calibri"/>
          <w:sz w:val="22"/>
          <w:szCs w:val="22"/>
        </w:rPr>
        <w:t>727).</w:t>
      </w:r>
      <w:r w:rsidR="00823D9B" w:rsidRPr="0061109F">
        <w:rPr>
          <w:rFonts w:ascii="Calibri" w:hAnsi="Calibri" w:cs="Calibri"/>
          <w:sz w:val="22"/>
          <w:szCs w:val="22"/>
        </w:rPr>
        <w:t xml:space="preserve"> Participants were followed from this baseline</w:t>
      </w:r>
      <w:r w:rsidR="001555A5" w:rsidRPr="0061109F">
        <w:rPr>
          <w:rFonts w:ascii="Calibri" w:hAnsi="Calibri" w:cs="Calibri"/>
          <w:sz w:val="22"/>
          <w:szCs w:val="22"/>
        </w:rPr>
        <w:t xml:space="preserve"> (January 1, 1973)</w:t>
      </w:r>
      <w:r w:rsidR="00823D9B" w:rsidRPr="0061109F">
        <w:rPr>
          <w:rFonts w:ascii="Calibri" w:hAnsi="Calibri" w:cs="Calibri"/>
          <w:sz w:val="22"/>
          <w:szCs w:val="22"/>
        </w:rPr>
        <w:t xml:space="preserve"> until whichever came first: emigration, death, or end of the register data period (December 31, 2013).</w:t>
      </w:r>
      <w:r w:rsidR="00C8506B" w:rsidRPr="0061109F">
        <w:rPr>
          <w:rFonts w:ascii="Calibri" w:hAnsi="Calibri" w:cs="Calibri"/>
          <w:sz w:val="22"/>
          <w:szCs w:val="22"/>
        </w:rPr>
        <w:t xml:space="preserve"> Somatic and psychiatric conditions were identified using the ICD codes listed in </w:t>
      </w:r>
      <w:r w:rsidR="00B22E68" w:rsidRPr="0061109F">
        <w:rPr>
          <w:rFonts w:ascii="Calibri" w:hAnsi="Calibri" w:cs="Calibri"/>
          <w:b/>
          <w:i/>
          <w:sz w:val="22"/>
          <w:szCs w:val="22"/>
        </w:rPr>
        <w:t>Supplementary</w:t>
      </w:r>
      <w:r w:rsidR="00B22E68" w:rsidRPr="0061109F">
        <w:rPr>
          <w:rFonts w:ascii="Calibri" w:hAnsi="Calibri" w:cs="Calibri"/>
          <w:sz w:val="22"/>
          <w:szCs w:val="22"/>
        </w:rPr>
        <w:t xml:space="preserve"> </w:t>
      </w:r>
      <w:r w:rsidR="00C8506B" w:rsidRPr="0061109F">
        <w:rPr>
          <w:rFonts w:ascii="Calibri" w:hAnsi="Calibri" w:cs="Calibri"/>
          <w:b/>
          <w:i/>
          <w:sz w:val="22"/>
          <w:szCs w:val="22"/>
        </w:rPr>
        <w:t xml:space="preserve">Table </w:t>
      </w:r>
      <w:r w:rsidR="00D23CF7" w:rsidRPr="0061109F">
        <w:rPr>
          <w:rFonts w:ascii="Calibri" w:hAnsi="Calibri" w:cs="Calibri"/>
          <w:b/>
          <w:i/>
          <w:sz w:val="22"/>
          <w:szCs w:val="22"/>
        </w:rPr>
        <w:t>1</w:t>
      </w:r>
      <w:r w:rsidR="00C8506B" w:rsidRPr="0061109F">
        <w:rPr>
          <w:rFonts w:ascii="Calibri" w:hAnsi="Calibri" w:cs="Calibri"/>
          <w:sz w:val="22"/>
          <w:szCs w:val="22"/>
        </w:rPr>
        <w:t xml:space="preserve"> as recorded in the National Patient Register.</w:t>
      </w:r>
      <w:r w:rsidR="00C8506B" w:rsidRPr="0061109F">
        <w:rPr>
          <w:rFonts w:ascii="Calibri" w:hAnsi="Calibri" w:cs="Calibri"/>
          <w:sz w:val="22"/>
          <w:szCs w:val="22"/>
        </w:rPr>
        <w:fldChar w:fldCharType="begin" w:fldLock="1"/>
      </w:r>
      <w:r w:rsidR="00DF3FFC" w:rsidRPr="0061109F">
        <w:rPr>
          <w:rFonts w:ascii="Calibri" w:hAnsi="Calibri" w:cs="Calibri"/>
          <w:sz w:val="22"/>
          <w:szCs w:val="22"/>
        </w:rPr>
        <w:instrText>ADDIN CSL_CITATION {"citationItems":[{"id":"ITEM-1","itemData":{"DOI":"10.3109/08039488709103182","ISSN":"0029-1455","author":[{"dropping-particle":"","family":"Kristjansson","given":"Einar","non-dropping-particle":"","parse-names":false,"suffix":""},{"dropping-particle":"","family":"Allebeck","given":"Peter","non-dropping-particle":"","parse-names":false,"suffix":""},{"dropping-particle":"","family":"Wistedt","given":"Börje","non-dropping-particle":"","parse-names":false,"suffix":""}],"container-title":"Nordisk Psykiatrisk Tidsskrift","id":"ITEM-1","issue":"3","issued":{"date-parts":[["1987","1","1"]]},"note":"doi: 10.3109/08039488709103182","page":"229-234","publisher":"Taylor &amp; Francis","title":"Validity of the diagnosis schizophrenia in a psychiatric inpatient register: A retrospective application of DSM-III criteria on ICD-8 diagnoses in Stockholm county","type":"article-journal","volume":"41"},"uris":["http://www.mendeley.com/documents/?uuid=21accf66-592e-445f-91ad-8d007f8d455e"]},{"id":"ITEM-2","itemData":{"DOI":"10.1007/s00127-002-0582-3","ISSN":"1433-9285","abstract":"Background: Psychiatric inpatient registers are often used in research in the Nordic countries. We aimed to investigate the validity of recorded diagnoses of schizophrenia in the Swedish National Inpatient Register, in cases of early age at onset. We also wanted to describe the accuracy of the diagnoses in cities/university clinics and country hospitals as well as in child and adolescent psychiatric clinics and clinics for adults. Method: One hundred cases with a diagnosis of schizophrenia, born 1973–1977, were randomly selected. The psychiatric records were scrutinised according to the criteria of DSM-IV. Results: Eighty-six per cent (95 % CI 78–93 %) fulfilled the DSM-IV criteria of schizophrenia syndrome and 76 % (95 % CI 66–86 %) fulfilled the “narrow” definition. There were no large differences in the accuracy of the diagnoses between regions or clinics. Conclusion: The proportion of “true” cases of schizophrenia is high in the Swedish National Inpatient Register. In addition, the results did not support large differences between clinics or regions although a larger sample size would be needed to test this formally. In comparison with earlier studies from the Nordic countries the validity seems to be quite stable over time, between different ages at onset and between Nordic countries. Thus, the registers are well suited to be used in schizophrenia research.","author":[{"dropping-particle":"","family":"Dalman","given":"Ch.","non-dropping-particle":"","parse-names":false,"suffix":""},{"dropping-particle":"","family":"Broms","given":"J","non-dropping-particle":"","parse-names":false,"suffix":""},{"dropping-particle":"","family":"Cullberg","given":"J","non-dropping-particle":"","parse-names":false,"suffix":""},{"dropping-particle":"","family":"Allebeck","given":"P","non-dropping-particle":"","parse-names":false,"suffix":""}],"container-title":"Social Psychiatry and Psychiatric Epidemiology","id":"ITEM-2","issue":"11","issued":{"date-parts":[["2002"]]},"page":"527-531","title":"Young cases of schizophrenia identified in a national inpatient register","type":"article-journal","volume":"37"},"uris":["http://www.mendeley.com/documents/?uuid=b7634e24-e5e7-4248-b4b7-877f3585086d"]}],"mendeley":{"formattedCitation":"&lt;sup&gt;2,3&lt;/sup&gt;","plainTextFormattedCitation":"2,3","previouslyFormattedCitation":"&lt;sup&gt;2,3&lt;/sup&gt;"},"properties":{"noteIndex":0},"schema":"https://github.com/citation-style-language/schema/raw/master/csl-citation.json"}</w:instrText>
      </w:r>
      <w:r w:rsidR="00C8506B" w:rsidRPr="0061109F">
        <w:rPr>
          <w:rFonts w:ascii="Calibri" w:hAnsi="Calibri" w:cs="Calibri"/>
          <w:sz w:val="22"/>
          <w:szCs w:val="22"/>
        </w:rPr>
        <w:fldChar w:fldCharType="separate"/>
      </w:r>
      <w:r w:rsidR="00CD0F54" w:rsidRPr="0061109F">
        <w:rPr>
          <w:rFonts w:ascii="Calibri" w:hAnsi="Calibri" w:cs="Calibri"/>
          <w:noProof/>
          <w:sz w:val="22"/>
          <w:szCs w:val="22"/>
          <w:vertAlign w:val="superscript"/>
        </w:rPr>
        <w:t>2,3</w:t>
      </w:r>
      <w:r w:rsidR="00C8506B" w:rsidRPr="0061109F">
        <w:rPr>
          <w:rFonts w:ascii="Calibri" w:hAnsi="Calibri" w:cs="Calibri"/>
          <w:sz w:val="22"/>
          <w:szCs w:val="22"/>
        </w:rPr>
        <w:fldChar w:fldCharType="end"/>
      </w:r>
      <w:r w:rsidR="0021471E" w:rsidRPr="0061109F">
        <w:rPr>
          <w:rFonts w:ascii="Calibri" w:hAnsi="Calibri" w:cs="Calibri"/>
          <w:sz w:val="22"/>
          <w:szCs w:val="22"/>
        </w:rPr>
        <w:t xml:space="preserve"> </w:t>
      </w:r>
      <w:r w:rsidR="005456AD" w:rsidRPr="0061109F">
        <w:rPr>
          <w:rFonts w:ascii="Calibri" w:hAnsi="Calibri" w:cs="Calibri"/>
          <w:sz w:val="22"/>
          <w:szCs w:val="22"/>
        </w:rPr>
        <w:t>The ethical approval permitted the investigation of the included ICD codes</w:t>
      </w:r>
      <w:r w:rsidR="008838B4" w:rsidRPr="0061109F">
        <w:rPr>
          <w:rFonts w:ascii="Calibri" w:hAnsi="Calibri" w:cs="Calibri"/>
          <w:sz w:val="22"/>
          <w:szCs w:val="22"/>
        </w:rPr>
        <w:t xml:space="preserve"> for somatic conditions</w:t>
      </w:r>
      <w:r w:rsidR="005456AD" w:rsidRPr="0061109F">
        <w:rPr>
          <w:rFonts w:ascii="Calibri" w:hAnsi="Calibri" w:cs="Calibri"/>
          <w:sz w:val="22"/>
          <w:szCs w:val="22"/>
        </w:rPr>
        <w:t xml:space="preserve"> </w:t>
      </w:r>
      <w:r w:rsidR="008838B4" w:rsidRPr="0061109F">
        <w:rPr>
          <w:rFonts w:ascii="Calibri" w:hAnsi="Calibri" w:cs="Calibri"/>
          <w:sz w:val="22"/>
          <w:szCs w:val="22"/>
        </w:rPr>
        <w:t xml:space="preserve">only </w:t>
      </w:r>
      <w:r w:rsidR="005456AD" w:rsidRPr="0061109F">
        <w:rPr>
          <w:rFonts w:ascii="Calibri" w:hAnsi="Calibri" w:cs="Calibri"/>
          <w:sz w:val="22"/>
          <w:szCs w:val="22"/>
        </w:rPr>
        <w:t xml:space="preserve">as comorbidities. </w:t>
      </w:r>
      <w:r w:rsidR="0021471E" w:rsidRPr="0061109F">
        <w:rPr>
          <w:rFonts w:ascii="Calibri" w:hAnsi="Calibri" w:cs="Calibri"/>
          <w:sz w:val="22"/>
          <w:szCs w:val="22"/>
        </w:rPr>
        <w:t xml:space="preserve">Other factors considered in the population-based analyses </w:t>
      </w:r>
      <w:r w:rsidR="0021471E" w:rsidRPr="0061109F">
        <w:rPr>
          <w:rFonts w:ascii="Calibri" w:hAnsi="Calibri" w:cs="Calibri"/>
          <w:sz w:val="22"/>
          <w:szCs w:val="22"/>
          <w:lang w:val="en-US"/>
        </w:rPr>
        <w:t>included</w:t>
      </w:r>
      <w:r w:rsidR="005922F5" w:rsidRPr="0061109F">
        <w:rPr>
          <w:rFonts w:ascii="Calibri" w:hAnsi="Calibri" w:cs="Calibri"/>
          <w:sz w:val="22"/>
          <w:szCs w:val="22"/>
          <w:lang w:val="en-US"/>
        </w:rPr>
        <w:t xml:space="preserve"> factors previously associated with SCZ mortality:</w:t>
      </w:r>
      <w:r w:rsidR="0021471E" w:rsidRPr="0061109F">
        <w:rPr>
          <w:rFonts w:ascii="Calibri" w:hAnsi="Calibri" w:cs="Calibri"/>
          <w:sz w:val="22"/>
          <w:szCs w:val="22"/>
          <w:lang w:val="en-US"/>
        </w:rPr>
        <w:t xml:space="preserve"> age, sex, antipsychotic drug prescriptions,</w:t>
      </w:r>
      <w:r w:rsidR="0021471E" w:rsidRPr="0061109F">
        <w:rPr>
          <w:rFonts w:ascii="Calibri" w:hAnsi="Calibri" w:cs="Calibri"/>
          <w:sz w:val="22"/>
          <w:szCs w:val="22"/>
          <w:lang w:val="en-US"/>
        </w:rPr>
        <w:fldChar w:fldCharType="begin" w:fldLock="1"/>
      </w:r>
      <w:r w:rsidR="00DF3FFC" w:rsidRPr="0061109F">
        <w:rPr>
          <w:rFonts w:ascii="Calibri" w:hAnsi="Calibri" w:cs="Calibri"/>
          <w:sz w:val="22"/>
          <w:szCs w:val="22"/>
          <w:lang w:val="en-US"/>
        </w:rPr>
        <w:instrText>ADDIN CSL_CITATION {"citationItems":[{"id":"ITEM-1","itemData":{"DOI":"10.1016/S0140-6736(09)60742-X","ISSN":"01406736","PMID":"19595447","abstract":"BACKGROUND The introduction of second-generation antipsychotic drugs during the 1990s is widely believed to have adversely affected mortality of patients with schizophrenia. Our aim was to establish the long-term contribution of antipsychotic drugs to mortality in such patients. METHODS Nationwide registers in Finland were used to compare the cause-specific mortality in 66 881 patients versus the total population (5.2 million) between 1996, and 2006, and to link these data with the use of antipsychotic drugs. We measured the all-cause mortality of patients with schizophrenia in outpatient care during current and cumulative exposure to any antipsychotic drug versus no use of these drugs, and exposure to the six most frequently used antipsychotic drugs compared with perphenazine use. FINDINGS Although the proportional use of second-generation antipsychotic drugs rose from 13% to 64% during follow-up, the gap in life expectancy between patients with schizophrenia and the general population did not widen between 1996 (25 years), and 2006 (22.5 years). Compared with current use of perphenazine, the highest risk for overall mortality was recorded for quetiapine (adjusted hazard ratio [HR] 1.41, 95% CI 1.09-1.82), and the lowest risk for clozapine (0.74, 0.60-0.91; p=0.0045 for the difference between clozapine vs perphenazine, and p&lt;0.0001 for all other antipsychotic drugs). Long-term cumulative exposure (7-11 years) to any antipsychotic treatment was associated with lower mortality than was no drug use (0.81, 0.77-0.84). In patients with one or more filled prescription for an antipsychotic drug, an inverse relation between mortality and duration of cumulative use was noted (HR for trend per exposure year 0.991; 0.985-0.997). INTERPRETATION Long-term treatment with antipsychotic drugs is associated with lower mortality compared with no antipsychotic use. Second-generation drugs are a highly heterogeneous group, and clozapine seems to be associated with a substantially lower mortality than any other antipsychotics. Restrictions on the use of clozapine should be reassessed. FUNDING Annual EVO Financing (Special government subsidies from the Ministry of Health and Welfare, Finland).","author":[{"dropping-particle":"","family":"Tiihonen","given":"Jari","non-dropping-particle":"","parse-names":false,"suffix":""},{"dropping-particle":"","family":"Lönnqvist","given":"Jouko","non-dropping-particle":"","parse-names":false,"suffix":""},{"dropping-particle":"","family":"Wahlbeck","given":"Kristian","non-dropping-particle":"","parse-names":false,"suffix":""},{"dropping-particle":"","family":"Klaukka","given":"Timo","non-dropping-particle":"","parse-names":false,"suffix":""},{"dropping-particle":"","family":"Niskanen","given":"Leo","non-dropping-particle":"","parse-names":false,"suffix":""},{"dropping-particle":"","family":"Tanskanen","given":"Antti","non-dropping-particle":"","parse-names":false,"suffix":""},{"dropping-particle":"","family":"Haukka","given":"Jari","non-dropping-particle":"","parse-names":false,"suffix":""}],"container-title":"The Lancet","id":"ITEM-1","issue":"9690","issued":{"date-parts":[["2009","8","22"]]},"page":"620-627","title":"11-year follow-up of mortality in patients with schizophrenia: a population-based cohort study (FIN11 study)","type":"article-journal","volume":"374"},"uris":["http://www.mendeley.com/documents/?uuid=5f3db9c4-1afe-3989-b2c5-fea4eea442dc"]}],"mendeley":{"formattedCitation":"&lt;sup&gt;4&lt;/sup&gt;","plainTextFormattedCitation":"4","previouslyFormattedCitation":"&lt;sup&gt;4&lt;/sup&gt;"},"properties":{"noteIndex":0},"schema":"https://github.com/citation-style-language/schema/raw/master/csl-citation.json"}</w:instrText>
      </w:r>
      <w:r w:rsidR="0021471E" w:rsidRPr="0061109F">
        <w:rPr>
          <w:rFonts w:ascii="Calibri" w:hAnsi="Calibri" w:cs="Calibri"/>
          <w:sz w:val="22"/>
          <w:szCs w:val="22"/>
          <w:lang w:val="en-US"/>
        </w:rPr>
        <w:fldChar w:fldCharType="separate"/>
      </w:r>
      <w:r w:rsidR="00CD0F54" w:rsidRPr="0061109F">
        <w:rPr>
          <w:rFonts w:ascii="Calibri" w:hAnsi="Calibri" w:cs="Calibri"/>
          <w:noProof/>
          <w:sz w:val="22"/>
          <w:szCs w:val="22"/>
          <w:vertAlign w:val="superscript"/>
          <w:lang w:val="en-US"/>
        </w:rPr>
        <w:t>4</w:t>
      </w:r>
      <w:r w:rsidR="0021471E" w:rsidRPr="0061109F">
        <w:rPr>
          <w:rFonts w:ascii="Calibri" w:hAnsi="Calibri" w:cs="Calibri"/>
          <w:sz w:val="22"/>
          <w:szCs w:val="22"/>
        </w:rPr>
        <w:fldChar w:fldCharType="end"/>
      </w:r>
      <w:r w:rsidR="0021471E" w:rsidRPr="0061109F">
        <w:rPr>
          <w:rFonts w:ascii="Calibri" w:hAnsi="Calibri" w:cs="Calibri"/>
          <w:sz w:val="22"/>
          <w:szCs w:val="22"/>
          <w:lang w:val="en-US"/>
        </w:rPr>
        <w:t xml:space="preserve"> type 2 diabetes,</w:t>
      </w:r>
      <w:r w:rsidR="0021471E" w:rsidRPr="0061109F">
        <w:rPr>
          <w:rFonts w:ascii="Calibri" w:hAnsi="Calibri" w:cs="Calibri"/>
          <w:sz w:val="22"/>
          <w:szCs w:val="22"/>
          <w:lang w:val="en-US"/>
        </w:rPr>
        <w:fldChar w:fldCharType="begin" w:fldLock="1"/>
      </w:r>
      <w:r w:rsidR="000B086A" w:rsidRPr="0061109F">
        <w:rPr>
          <w:rFonts w:ascii="Calibri" w:hAnsi="Calibri" w:cs="Calibri"/>
          <w:sz w:val="22"/>
          <w:szCs w:val="22"/>
          <w:lang w:val="en-US"/>
        </w:rPr>
        <w:instrText>ADDIN CSL_CITATION {"citationItems":[{"id":"ITEM-1","itemData":{"DOI":"10.1007/s00406-013-0436-x","ISSN":"09401334","abstract":"Schizophrenia is a major psychotic disorder with significant comorbidity and mortality. Patients with schizophrenia are said to suffer more type-2 diabetes mellitus (T2DM) and diabetogenic complications. However, there is little consistent evidence that comorbidity with physical diseases leads to excess mortality in schizophrenic patients. Consequently, we investigated whether the burden of physical comorbidity and its relevance on hospital mortality differed between patients with and without schizophrenia in a 12-year follow-up in general hospital admissions. During 1 January 2000 and 31 June 2012, 1418 adult patients with schizophrenia were admitted to three General Manchester NHS Hospitals. All comorbid diseases with a prevalemce ≥1 % were compared with those of 14,180 age- and gender-matched hospital controls. Risk factors, i.e. comorbid diseases that were predictors for general hospital mortality were identified using multivariate logistic regression analyses. Compared with controls, schizophrenic patients had a higher proportion of emergency admissions (69.8 vs. 43.0 %), an extended average length of stay at index hospitalization (8.1 vs. 3.4 days), a higher number of hospital admissions (11.5 vs. 6.3), a shorter length of survival (1895 vs. 2161 days), and a nearly twofold increased mortality rate (18.0 vs. 9.7 %). Schizophrenic patients suffered more depression, T2DM, alcohol abuse, asthma, COPD, and twenty-three more diseases, many of them diabetic-related complications or other environmentally influenced conditions. In contrast, hypertension, cataract, angina, and hyperlipidaemia were less prevalent in the schizophrenia population compared to the control population. In deceased schizophrenic patients, T2DM was the most frequently recorded comorbidity, contributing to 31.4 % of hospital deaths (only 14.4 % of schizophrenic patients with comorbid T2DM survived the study period). Further predictors of general hospital mortality in schizophrenia were found to be alcoholic liver disease (OR = 10.3), parkinsonism (OR = 5.0), T1DM (OR = 3.8), non-specific renal failure (OR = 3.5), ischaemic stroke (OR = 3.3), pneumonia (OR = 3.0), iron-deficiency anaemia (OR = 2.8), COPD (OR = 2.8), and bronchitis (OR = 2.6). There were no significant differences in their impact on hospital mortality compared to control subjects with the same diseases except parkinsonism which was associated with higher mortality in the schizophrenia population compared with the cont…","author":[{"dropping-particle":"","family":"Schoepf","given":"Dieter","non-dropping-particle":"","parse-names":false,"suffix":""},{"dropping-particle":"","family":"Uppal","given":"Hardeep","non-dropping-particle":"","parse-names":false,"suffix":""},{"dropping-particle":"","family":"Potluri","given":"Rahul","non-dropping-particle":"","parse-names":false,"suffix":""},{"dropping-particle":"","family":"Heun","given":"Reinhard","non-dropping-particle":"","parse-names":false,"suffix":""}],"container-title":"European Archives of Psychiatry and Clinical Neuroscience","id":"ITEM-1","issue":"1","issued":{"date-parts":[["2014"]]},"page":"3-28","publisher":"Eur Arch Psychiatry Clin Neurosci","title":"Physical comorbidity and its relevance on mortality in schizophrenia: A naturalistic 12-year follow-up in general hospital admissions","type":"article-journal","volume":"264"},"uris":["http://www.mendeley.com/documents/?uuid=ad964bb2-4d83-3517-b183-e57a64a13844"]}],"mendeley":{"formattedCitation":"&lt;sup&gt;5&lt;/sup&gt;","plainTextFormattedCitation":"5","previouslyFormattedCitation":"&lt;sup&gt;5&lt;/sup&gt;"},"properties":{"noteIndex":0},"schema":"https://github.com/citation-style-language/schema/raw/master/csl-citation.json"}</w:instrText>
      </w:r>
      <w:r w:rsidR="0021471E" w:rsidRPr="0061109F">
        <w:rPr>
          <w:rFonts w:ascii="Calibri" w:hAnsi="Calibri" w:cs="Calibri"/>
          <w:sz w:val="22"/>
          <w:szCs w:val="22"/>
          <w:lang w:val="en-US"/>
        </w:rPr>
        <w:fldChar w:fldCharType="separate"/>
      </w:r>
      <w:r w:rsidR="00D3131C" w:rsidRPr="0061109F">
        <w:rPr>
          <w:rFonts w:ascii="Calibri" w:hAnsi="Calibri" w:cs="Calibri"/>
          <w:noProof/>
          <w:sz w:val="22"/>
          <w:szCs w:val="22"/>
          <w:vertAlign w:val="superscript"/>
          <w:lang w:val="en-US"/>
        </w:rPr>
        <w:t>5</w:t>
      </w:r>
      <w:r w:rsidR="0021471E" w:rsidRPr="0061109F">
        <w:rPr>
          <w:rFonts w:ascii="Calibri" w:hAnsi="Calibri" w:cs="Calibri"/>
          <w:sz w:val="22"/>
          <w:szCs w:val="22"/>
        </w:rPr>
        <w:fldChar w:fldCharType="end"/>
      </w:r>
      <w:r w:rsidR="0021471E" w:rsidRPr="0061109F">
        <w:rPr>
          <w:rFonts w:ascii="Calibri" w:hAnsi="Calibri" w:cs="Calibri"/>
          <w:sz w:val="22"/>
          <w:szCs w:val="22"/>
          <w:lang w:val="en-US"/>
        </w:rPr>
        <w:t xml:space="preserve"> chronic obstructive pulmonary disease,</w:t>
      </w:r>
      <w:r w:rsidR="0021471E" w:rsidRPr="0061109F">
        <w:rPr>
          <w:rFonts w:ascii="Calibri" w:hAnsi="Calibri" w:cs="Calibri"/>
          <w:sz w:val="22"/>
          <w:szCs w:val="22"/>
          <w:lang w:val="en-US"/>
        </w:rPr>
        <w:fldChar w:fldCharType="begin" w:fldLock="1"/>
      </w:r>
      <w:r w:rsidR="000B086A" w:rsidRPr="0061109F">
        <w:rPr>
          <w:rFonts w:ascii="Calibri" w:hAnsi="Calibri" w:cs="Calibri"/>
          <w:sz w:val="22"/>
          <w:szCs w:val="22"/>
          <w:lang w:val="en-US"/>
        </w:rPr>
        <w:instrText>ADDIN CSL_CITATION {"citationItems":[{"id":"ITEM-1","itemData":{"DOI":"10.1007/s00406-013-0436-x","ISSN":"09401334","abstract":"Schizophrenia is a major psychotic disorder with significant comorbidity and mortality. Patients with schizophrenia are said to suffer more type-2 diabetes mellitus (T2DM) and diabetogenic complications. However, there is little consistent evidence that comorbidity with physical diseases leads to excess mortality in schizophrenic patients. Consequently, we investigated whether the burden of physical comorbidity and its relevance on hospital mortality differed between patients with and without schizophrenia in a 12-year follow-up in general hospital admissions. During 1 January 2000 and 31 June 2012, 1418 adult patients with schizophrenia were admitted to three General Manchester NHS Hospitals. All comorbid diseases with a prevalemce ≥1 % were compared with those of 14,180 age- and gender-matched hospital controls. Risk factors, i.e. comorbid diseases that were predictors for general hospital mortality were identified using multivariate logistic regression analyses. Compared with controls, schizophrenic patients had a higher proportion of emergency admissions (69.8 vs. 43.0 %), an extended average length of stay at index hospitalization (8.1 vs. 3.4 days), a higher number of hospital admissions (11.5 vs. 6.3), a shorter length of survival (1895 vs. 2161 days), and a nearly twofold increased mortality rate (18.0 vs. 9.7 %). Schizophrenic patients suffered more depression, T2DM, alcohol abuse, asthma, COPD, and twenty-three more diseases, many of them diabetic-related complications or other environmentally influenced conditions. In contrast, hypertension, cataract, angina, and hyperlipidaemia were less prevalent in the schizophrenia population compared to the control population. In deceased schizophrenic patients, T2DM was the most frequently recorded comorbidity, contributing to 31.4 % of hospital deaths (only 14.4 % of schizophrenic patients with comorbid T2DM survived the study period). Further predictors of general hospital mortality in schizophrenia were found to be alcoholic liver disease (OR = 10.3), parkinsonism (OR = 5.0), T1DM (OR = 3.8), non-specific renal failure (OR = 3.5), ischaemic stroke (OR = 3.3), pneumonia (OR = 3.0), iron-deficiency anaemia (OR = 2.8), COPD (OR = 2.8), and bronchitis (OR = 2.6). There were no significant differences in their impact on hospital mortality compared to control subjects with the same diseases except parkinsonism which was associated with higher mortality in the schizophrenia population compared with the cont…","author":[{"dropping-particle":"","family":"Schoepf","given":"Dieter","non-dropping-particle":"","parse-names":false,"suffix":""},{"dropping-particle":"","family":"Uppal","given":"Hardeep","non-dropping-particle":"","parse-names":false,"suffix":""},{"dropping-particle":"","family":"Potluri","given":"Rahul","non-dropping-particle":"","parse-names":false,"suffix":""},{"dropping-particle":"","family":"Heun","given":"Reinhard","non-dropping-particle":"","parse-names":false,"suffix":""}],"container-title":"European Archives of Psychiatry and Clinical Neuroscience","id":"ITEM-1","issue":"1","issued":{"date-parts":[["2014"]]},"page":"3-28","publisher":"Eur Arch Psychiatry Clin Neurosci","title":"Physical comorbidity and its relevance on mortality in schizophrenia: A naturalistic 12-year follow-up in general hospital admissions","type":"article-journal","volume":"264"},"uris":["http://www.mendeley.com/documents/?uuid=ad964bb2-4d83-3517-b183-e57a64a13844"]}],"mendeley":{"formattedCitation":"&lt;sup&gt;5&lt;/sup&gt;","plainTextFormattedCitation":"5","previouslyFormattedCitation":"&lt;sup&gt;5&lt;/sup&gt;"},"properties":{"noteIndex":0},"schema":"https://github.com/citation-style-language/schema/raw/master/csl-citation.json"}</w:instrText>
      </w:r>
      <w:r w:rsidR="0021471E" w:rsidRPr="0061109F">
        <w:rPr>
          <w:rFonts w:ascii="Calibri" w:hAnsi="Calibri" w:cs="Calibri"/>
          <w:sz w:val="22"/>
          <w:szCs w:val="22"/>
          <w:lang w:val="en-US"/>
        </w:rPr>
        <w:fldChar w:fldCharType="separate"/>
      </w:r>
      <w:r w:rsidR="00D3131C" w:rsidRPr="0061109F">
        <w:rPr>
          <w:rFonts w:ascii="Calibri" w:hAnsi="Calibri" w:cs="Calibri"/>
          <w:noProof/>
          <w:sz w:val="22"/>
          <w:szCs w:val="22"/>
          <w:vertAlign w:val="superscript"/>
          <w:lang w:val="en-US"/>
        </w:rPr>
        <w:t>5</w:t>
      </w:r>
      <w:r w:rsidR="0021471E" w:rsidRPr="0061109F">
        <w:rPr>
          <w:rFonts w:ascii="Calibri" w:hAnsi="Calibri" w:cs="Calibri"/>
          <w:sz w:val="22"/>
          <w:szCs w:val="22"/>
        </w:rPr>
        <w:fldChar w:fldCharType="end"/>
      </w:r>
      <w:r w:rsidR="0021471E" w:rsidRPr="0061109F">
        <w:rPr>
          <w:rFonts w:ascii="Calibri" w:hAnsi="Calibri" w:cs="Calibri"/>
          <w:sz w:val="22"/>
          <w:szCs w:val="22"/>
          <w:lang w:val="en-US"/>
        </w:rPr>
        <w:t xml:space="preserve"> substance use disorder,</w:t>
      </w:r>
      <w:r w:rsidR="0021471E" w:rsidRPr="0061109F">
        <w:rPr>
          <w:rFonts w:ascii="Calibri" w:hAnsi="Calibri" w:cs="Calibri"/>
          <w:sz w:val="22"/>
          <w:szCs w:val="22"/>
          <w:lang w:val="en-US"/>
        </w:rPr>
        <w:fldChar w:fldCharType="begin" w:fldLock="1"/>
      </w:r>
      <w:r w:rsidR="000B086A" w:rsidRPr="0061109F">
        <w:rPr>
          <w:rFonts w:ascii="Calibri" w:hAnsi="Calibri" w:cs="Calibri"/>
          <w:sz w:val="22"/>
          <w:szCs w:val="22"/>
          <w:lang w:val="en-US"/>
        </w:rPr>
        <w:instrText>ADDIN CSL_CITATION {"citationItems":[{"id":"ITEM-1","itemData":{"DOI":"10.1016/j.schres.2007.04.031","ISSN":"09209964","abstract":"This ten-year follow-up study examined the prevalence and the most relevant baseline predictors of suicide in schizophrenic patients. In 1993, 3470 patients meeting the ICD-10 criteria for schizophrenia were assessed. We used national death certificate data to identify patients that had died by suicide for each year included in the study. In this way, we calculated standardized mortality ratios, adjusting for age and sex relative to the general population. We used Cox's proportional hazards models to investigate potential sociodemographic and clinical risk factors. There were 141 suicides in the cohort during the follow-up period, corresponding to a risk of suicide that was approximately 16 times higher than that of the general population. Women had slightly higher standardized mortality ratios than men. Suicide was the cause of death in more than half (53.9%) of deaths occurring during the first year of follow-up and nearly one-third (31.8%) of those occurring in the ten-year period of the study. There were four significant baseline predictors of suicide remaining in the final logistic regression model: male gender, drug abuse, previous suicide attempts, and short duration of illness. Sex, age, history of suicide attempt should be particularly considered in the assessment of suicide risk in schizophrenic patients. Our findings also emphasize the need for detection and effective management of associated comorbid drug abuse. © 2007 Elsevier B.V. All rights reserved.","author":[{"dropping-particle":"","family":"Limosin","given":"Frédéric","non-dropping-particle":"","parse-names":false,"suffix":""},{"dropping-particle":"","family":"Loze","given":"Jean Yves","non-dropping-particle":"","parse-names":false,"suffix":""},{"dropping-particle":"","family":"Philippe","given":"Alain","non-dropping-particle":"","parse-names":false,"suffix":""},{"dropping-particle":"","family":"Casadebaig","given":"Françoise","non-dropping-particle":"","parse-names":false,"suffix":""},{"dropping-particle":"","family":"Rouillon","given":"Frédéric","non-dropping-particle":"","parse-names":false,"suffix":""}],"container-title":"Schizophrenia Research","id":"ITEM-1","issue":"1-3","issued":{"date-parts":[["2007","8"]]},"page":"23-28","publisher":"Schizophr Res","title":"Ten-year prospective follow-up study of the mortality by suicide in schizophrenic patients","type":"article-journal","volume":"94"},"uris":["http://www.mendeley.com/documents/?uuid=14c913ce-25d4-3e50-9997-de8fa47802ae"]}],"mendeley":{"formattedCitation":"&lt;sup&gt;6&lt;/sup&gt;","plainTextFormattedCitation":"6","previouslyFormattedCitation":"&lt;sup&gt;6&lt;/sup&gt;"},"properties":{"noteIndex":0},"schema":"https://github.com/citation-style-language/schema/raw/master/csl-citation.json"}</w:instrText>
      </w:r>
      <w:r w:rsidR="0021471E" w:rsidRPr="0061109F">
        <w:rPr>
          <w:rFonts w:ascii="Calibri" w:hAnsi="Calibri" w:cs="Calibri"/>
          <w:sz w:val="22"/>
          <w:szCs w:val="22"/>
          <w:lang w:val="en-US"/>
        </w:rPr>
        <w:fldChar w:fldCharType="separate"/>
      </w:r>
      <w:r w:rsidR="00D3131C" w:rsidRPr="0061109F">
        <w:rPr>
          <w:rFonts w:ascii="Calibri" w:hAnsi="Calibri" w:cs="Calibri"/>
          <w:noProof/>
          <w:sz w:val="22"/>
          <w:szCs w:val="22"/>
          <w:vertAlign w:val="superscript"/>
          <w:lang w:val="en-US"/>
        </w:rPr>
        <w:t>6</w:t>
      </w:r>
      <w:r w:rsidR="0021471E" w:rsidRPr="0061109F">
        <w:rPr>
          <w:rFonts w:ascii="Calibri" w:hAnsi="Calibri" w:cs="Calibri"/>
          <w:sz w:val="22"/>
          <w:szCs w:val="22"/>
        </w:rPr>
        <w:fldChar w:fldCharType="end"/>
      </w:r>
      <w:r w:rsidR="0021471E" w:rsidRPr="0061109F">
        <w:rPr>
          <w:rFonts w:ascii="Calibri" w:hAnsi="Calibri" w:cs="Calibri"/>
          <w:sz w:val="22"/>
          <w:szCs w:val="22"/>
          <w:lang w:val="en-US"/>
        </w:rPr>
        <w:t xml:space="preserve"> or previous suicide attempts.</w:t>
      </w:r>
      <w:r w:rsidR="0021471E" w:rsidRPr="0061109F">
        <w:rPr>
          <w:rFonts w:ascii="Calibri" w:hAnsi="Calibri" w:cs="Calibri"/>
          <w:sz w:val="22"/>
          <w:szCs w:val="22"/>
          <w:lang w:val="en-US"/>
        </w:rPr>
        <w:fldChar w:fldCharType="begin" w:fldLock="1"/>
      </w:r>
      <w:r w:rsidR="000B086A" w:rsidRPr="0061109F">
        <w:rPr>
          <w:rFonts w:ascii="Calibri" w:hAnsi="Calibri" w:cs="Calibri"/>
          <w:sz w:val="22"/>
          <w:szCs w:val="22"/>
          <w:lang w:val="en-US"/>
        </w:rPr>
        <w:instrText>ADDIN CSL_CITATION {"citationItems":[{"id":"ITEM-1","itemData":{"DOI":"10.1016/j.schres.2007.04.031","ISSN":"09209964","abstract":"This ten-year follow-up study examined the prevalence and the most relevant baseline predictors of suicide in schizophrenic patients. In 1993, 3470 patients meeting the ICD-10 criteria for schizophrenia were assessed. We used national death certificate data to identify patients that had died by suicide for each year included in the study. In this way, we calculated standardized mortality ratios, adjusting for age and sex relative to the general population. We used Cox's proportional hazards models to investigate potential sociodemographic and clinical risk factors. There were 141 suicides in the cohort during the follow-up period, corresponding to a risk of suicide that was approximately 16 times higher than that of the general population. Women had slightly higher standardized mortality ratios than men. Suicide was the cause of death in more than half (53.9%) of deaths occurring during the first year of follow-up and nearly one-third (31.8%) of those occurring in the ten-year period of the study. There were four significant baseline predictors of suicide remaining in the final logistic regression model: male gender, drug abuse, previous suicide attempts, and short duration of illness. Sex, age, history of suicide attempt should be particularly considered in the assessment of suicide risk in schizophrenic patients. Our findings also emphasize the need for detection and effective management of associated comorbid drug abuse. © 2007 Elsevier B.V. All rights reserved.","author":[{"dropping-particle":"","family":"Limosin","given":"Frédéric","non-dropping-particle":"","parse-names":false,"suffix":""},{"dropping-particle":"","family":"Loze","given":"Jean Yves","non-dropping-particle":"","parse-names":false,"suffix":""},{"dropping-particle":"","family":"Philippe","given":"Alain","non-dropping-particle":"","parse-names":false,"suffix":""},{"dropping-particle":"","family":"Casadebaig","given":"Françoise","non-dropping-particle":"","parse-names":false,"suffix":""},{"dropping-particle":"","family":"Rouillon","given":"Frédéric","non-dropping-particle":"","parse-names":false,"suffix":""}],"container-title":"Schizophrenia Research","id":"ITEM-1","issue":"1-3","issued":{"date-parts":[["2007","8"]]},"page":"23-28","publisher":"Schizophr Res","title":"Ten-year prospective follow-up study of the mortality by suicide in schizophrenic patients","type":"article-journal","volume":"94"},"uris":["http://www.mendeley.com/documents/?uuid=14c913ce-25d4-3e50-9997-de8fa47802ae"]}],"mendeley":{"formattedCitation":"&lt;sup&gt;6&lt;/sup&gt;","plainTextFormattedCitation":"6","previouslyFormattedCitation":"&lt;sup&gt;6&lt;/sup&gt;"},"properties":{"noteIndex":0},"schema":"https://github.com/citation-style-language/schema/raw/master/csl-citation.json"}</w:instrText>
      </w:r>
      <w:r w:rsidR="0021471E" w:rsidRPr="0061109F">
        <w:rPr>
          <w:rFonts w:ascii="Calibri" w:hAnsi="Calibri" w:cs="Calibri"/>
          <w:sz w:val="22"/>
          <w:szCs w:val="22"/>
          <w:lang w:val="en-US"/>
        </w:rPr>
        <w:fldChar w:fldCharType="separate"/>
      </w:r>
      <w:r w:rsidR="00D3131C" w:rsidRPr="0061109F">
        <w:rPr>
          <w:rFonts w:ascii="Calibri" w:hAnsi="Calibri" w:cs="Calibri"/>
          <w:noProof/>
          <w:sz w:val="22"/>
          <w:szCs w:val="22"/>
          <w:vertAlign w:val="superscript"/>
          <w:lang w:val="en-US"/>
        </w:rPr>
        <w:t>6</w:t>
      </w:r>
      <w:r w:rsidR="0021471E" w:rsidRPr="0061109F">
        <w:rPr>
          <w:rFonts w:ascii="Calibri" w:hAnsi="Calibri" w:cs="Calibri"/>
          <w:sz w:val="22"/>
          <w:szCs w:val="22"/>
        </w:rPr>
        <w:fldChar w:fldCharType="end"/>
      </w:r>
    </w:p>
    <w:p w14:paraId="7E19C8E9" w14:textId="77777777" w:rsidR="00BC30F5" w:rsidRPr="0061109F" w:rsidRDefault="00BC30F5" w:rsidP="000B086A">
      <w:pPr>
        <w:spacing w:before="120" w:after="120" w:line="480" w:lineRule="auto"/>
        <w:jc w:val="both"/>
        <w:rPr>
          <w:rFonts w:ascii="Calibri" w:hAnsi="Calibri" w:cs="Calibri"/>
          <w:sz w:val="22"/>
          <w:szCs w:val="22"/>
        </w:rPr>
      </w:pPr>
      <w:r w:rsidRPr="0061109F">
        <w:rPr>
          <w:rFonts w:ascii="Calibri" w:hAnsi="Calibri" w:cs="Calibri"/>
          <w:sz w:val="22"/>
          <w:szCs w:val="22"/>
        </w:rPr>
        <w:t>The family history score (FH</w:t>
      </w:r>
      <w:r w:rsidRPr="0061109F">
        <w:rPr>
          <w:rFonts w:ascii="Calibri" w:hAnsi="Calibri" w:cs="Calibri"/>
          <w:sz w:val="22"/>
          <w:szCs w:val="22"/>
          <w:vertAlign w:val="subscript"/>
        </w:rPr>
        <w:t>i</w:t>
      </w:r>
      <w:r w:rsidRPr="0061109F">
        <w:rPr>
          <w:rFonts w:ascii="Calibri" w:hAnsi="Calibri" w:cs="Calibri"/>
          <w:sz w:val="22"/>
          <w:szCs w:val="22"/>
        </w:rPr>
        <w:t xml:space="preserve">) of SCZ in the population-based analyses was generated using first-degree relatives (parents, siblings, children) of the </w:t>
      </w:r>
      <w:r w:rsidRPr="0061109F">
        <w:rPr>
          <w:rFonts w:ascii="Calibri" w:hAnsi="Calibri" w:cs="Calibri"/>
          <w:i/>
          <w:sz w:val="22"/>
          <w:szCs w:val="22"/>
        </w:rPr>
        <w:t>i</w:t>
      </w:r>
      <w:r w:rsidRPr="0061109F">
        <w:rPr>
          <w:rFonts w:ascii="Calibri" w:hAnsi="Calibri" w:cs="Calibri"/>
          <w:sz w:val="22"/>
          <w:szCs w:val="22"/>
        </w:rPr>
        <w:t>th proband and the following:</w:t>
      </w:r>
    </w:p>
    <w:p w14:paraId="3E3D91F3" w14:textId="77777777" w:rsidR="00BC30F5" w:rsidRPr="0061109F" w:rsidRDefault="006F0113" w:rsidP="000B086A">
      <w:pPr>
        <w:spacing w:before="120" w:after="120" w:line="480" w:lineRule="auto"/>
        <w:ind w:left="720"/>
        <w:jc w:val="both"/>
        <w:rPr>
          <w:rFonts w:ascii="Calibri" w:hAnsi="Calibri" w:cs="Calibri"/>
          <w:sz w:val="22"/>
          <w:szCs w:val="22"/>
        </w:rPr>
      </w:pPr>
      <m:oMathPara>
        <m:oMath>
          <m:sSub>
            <m:sSubPr>
              <m:ctrlPr>
                <w:rPr>
                  <w:rFonts w:ascii="Cambria Math" w:hAnsi="Cambria Math" w:cs="Calibri"/>
                  <w:i/>
                  <w:sz w:val="22"/>
                  <w:szCs w:val="22"/>
                </w:rPr>
              </m:ctrlPr>
            </m:sSubPr>
            <m:e>
              <m:r>
                <w:rPr>
                  <w:rFonts w:ascii="Cambria Math" w:hAnsi="Cambria Math" w:cs="Calibri"/>
                  <w:sz w:val="22"/>
                  <w:szCs w:val="22"/>
                </w:rPr>
                <m:t>FH</m:t>
              </m:r>
            </m:e>
            <m:sub>
              <m:r>
                <w:rPr>
                  <w:rFonts w:ascii="Cambria Math" w:hAnsi="Cambria Math" w:cs="Calibri"/>
                  <w:sz w:val="22"/>
                  <w:szCs w:val="22"/>
                </w:rPr>
                <m:t>i</m:t>
              </m:r>
            </m:sub>
          </m:sSub>
          <m:r>
            <w:rPr>
              <w:rFonts w:ascii="Cambria Math" w:hAnsi="Cambria Math" w:cs="Calibri"/>
              <w:sz w:val="22"/>
              <w:szCs w:val="22"/>
            </w:rPr>
            <m:t>=</m:t>
          </m:r>
          <m:nary>
            <m:naryPr>
              <m:chr m:val="∑"/>
              <m:limLoc m:val="subSup"/>
              <m:supHide m:val="1"/>
              <m:ctrlPr>
                <w:rPr>
                  <w:rFonts w:ascii="Cambria Math" w:hAnsi="Cambria Math" w:cs="Calibri"/>
                  <w:i/>
                  <w:sz w:val="22"/>
                  <w:szCs w:val="22"/>
                </w:rPr>
              </m:ctrlPr>
            </m:naryPr>
            <m:sub>
              <m:r>
                <w:rPr>
                  <w:rFonts w:ascii="Cambria Math" w:hAnsi="Cambria Math" w:cs="Calibri"/>
                  <w:sz w:val="22"/>
                  <w:szCs w:val="22"/>
                </w:rPr>
                <m:t>j</m:t>
              </m:r>
            </m:sub>
            <m:sup/>
            <m:e>
              <m:f>
                <m:fPr>
                  <m:ctrlPr>
                    <w:rPr>
                      <w:rFonts w:ascii="Cambria Math" w:hAnsi="Cambria Math" w:cs="Calibri"/>
                      <w:i/>
                      <w:sz w:val="22"/>
                      <w:szCs w:val="22"/>
                    </w:rPr>
                  </m:ctrlPr>
                </m:fPr>
                <m:num>
                  <m:sSub>
                    <m:sSubPr>
                      <m:ctrlPr>
                        <w:rPr>
                          <w:rFonts w:ascii="Cambria Math" w:hAnsi="Cambria Math" w:cs="Calibri"/>
                          <w:i/>
                          <w:sz w:val="22"/>
                          <w:szCs w:val="22"/>
                        </w:rPr>
                      </m:ctrlPr>
                    </m:sSubPr>
                    <m:e>
                      <m:r>
                        <w:rPr>
                          <w:rFonts w:ascii="Cambria Math" w:hAnsi="Cambria Math" w:cs="Calibri"/>
                          <w:sz w:val="22"/>
                          <w:szCs w:val="22"/>
                        </w:rPr>
                        <m:t>O</m:t>
                      </m:r>
                    </m:e>
                    <m:sub>
                      <m:r>
                        <w:rPr>
                          <w:rFonts w:ascii="Cambria Math" w:hAnsi="Cambria Math" w:cs="Calibri"/>
                          <w:sz w:val="22"/>
                          <w:szCs w:val="22"/>
                        </w:rPr>
                        <m:t>i,j</m:t>
                      </m:r>
                    </m:sub>
                  </m:sSub>
                  <m:r>
                    <w:rPr>
                      <w:rFonts w:ascii="Cambria Math" w:hAnsi="Cambria Math" w:cs="Calibri"/>
                      <w:sz w:val="22"/>
                      <w:szCs w:val="22"/>
                    </w:rPr>
                    <m:t>-</m:t>
                  </m:r>
                  <m:sSub>
                    <m:sSubPr>
                      <m:ctrlPr>
                        <w:rPr>
                          <w:rFonts w:ascii="Cambria Math" w:hAnsi="Cambria Math" w:cs="Calibri"/>
                          <w:i/>
                          <w:sz w:val="22"/>
                          <w:szCs w:val="22"/>
                        </w:rPr>
                      </m:ctrlPr>
                    </m:sSubPr>
                    <m:e>
                      <m:r>
                        <w:rPr>
                          <w:rFonts w:ascii="Cambria Math" w:hAnsi="Cambria Math" w:cs="Calibri"/>
                          <w:sz w:val="22"/>
                          <w:szCs w:val="22"/>
                        </w:rPr>
                        <m:t>E</m:t>
                      </m:r>
                    </m:e>
                    <m:sub>
                      <m:r>
                        <w:rPr>
                          <w:rFonts w:ascii="Cambria Math" w:hAnsi="Cambria Math" w:cs="Calibri"/>
                          <w:sz w:val="22"/>
                          <w:szCs w:val="22"/>
                        </w:rPr>
                        <m:t>i.j</m:t>
                      </m:r>
                    </m:sub>
                  </m:sSub>
                </m:num>
                <m:den>
                  <m:rad>
                    <m:radPr>
                      <m:degHide m:val="1"/>
                      <m:ctrlPr>
                        <w:rPr>
                          <w:rFonts w:ascii="Cambria Math" w:hAnsi="Cambria Math" w:cs="Calibri"/>
                          <w:i/>
                          <w:sz w:val="22"/>
                          <w:szCs w:val="22"/>
                        </w:rPr>
                      </m:ctrlPr>
                    </m:radPr>
                    <m:deg/>
                    <m:e>
                      <m:sSub>
                        <m:sSubPr>
                          <m:ctrlPr>
                            <w:rPr>
                              <w:rFonts w:ascii="Cambria Math" w:hAnsi="Cambria Math" w:cs="Calibri"/>
                              <w:i/>
                              <w:sz w:val="22"/>
                              <w:szCs w:val="22"/>
                            </w:rPr>
                          </m:ctrlPr>
                        </m:sSubPr>
                        <m:e>
                          <m:r>
                            <w:rPr>
                              <w:rFonts w:ascii="Cambria Math" w:hAnsi="Cambria Math" w:cs="Calibri"/>
                              <w:sz w:val="22"/>
                              <w:szCs w:val="22"/>
                            </w:rPr>
                            <m:t>E</m:t>
                          </m:r>
                        </m:e>
                        <m:sub>
                          <m:r>
                            <w:rPr>
                              <w:rFonts w:ascii="Cambria Math" w:hAnsi="Cambria Math" w:cs="Calibri"/>
                              <w:sz w:val="22"/>
                              <w:szCs w:val="22"/>
                            </w:rPr>
                            <m:t>i,j</m:t>
                          </m:r>
                        </m:sub>
                      </m:sSub>
                    </m:e>
                  </m:rad>
                </m:den>
              </m:f>
            </m:e>
          </m:nary>
        </m:oMath>
      </m:oMathPara>
    </w:p>
    <w:p w14:paraId="5B14E221" w14:textId="77777777" w:rsidR="00BC30F5" w:rsidRPr="0061109F" w:rsidRDefault="00BC30F5" w:rsidP="000B086A">
      <w:pPr>
        <w:spacing w:before="120" w:after="120" w:line="480" w:lineRule="auto"/>
        <w:jc w:val="both"/>
        <w:rPr>
          <w:rFonts w:ascii="Calibri" w:hAnsi="Calibri" w:cs="Calibri"/>
          <w:sz w:val="22"/>
          <w:szCs w:val="22"/>
        </w:rPr>
      </w:pPr>
      <w:r w:rsidRPr="0061109F">
        <w:rPr>
          <w:rFonts w:ascii="Calibri" w:hAnsi="Calibri" w:cs="Calibri"/>
          <w:sz w:val="22"/>
          <w:szCs w:val="22"/>
        </w:rPr>
        <w:lastRenderedPageBreak/>
        <w:t xml:space="preserve">In the equation, </w:t>
      </w:r>
      <w:r w:rsidRPr="0061109F">
        <w:rPr>
          <w:rFonts w:ascii="Calibri" w:hAnsi="Calibri" w:cs="Calibri"/>
          <w:i/>
          <w:sz w:val="22"/>
          <w:szCs w:val="22"/>
        </w:rPr>
        <w:t>O</w:t>
      </w:r>
      <w:r w:rsidRPr="0061109F">
        <w:rPr>
          <w:rFonts w:ascii="Calibri" w:hAnsi="Calibri" w:cs="Calibri"/>
          <w:sz w:val="22"/>
          <w:szCs w:val="22"/>
        </w:rPr>
        <w:t xml:space="preserve"> codes for whether the </w:t>
      </w:r>
      <w:r w:rsidRPr="0061109F">
        <w:rPr>
          <w:rFonts w:ascii="Calibri" w:hAnsi="Calibri" w:cs="Calibri"/>
          <w:i/>
          <w:sz w:val="22"/>
          <w:szCs w:val="22"/>
        </w:rPr>
        <w:t>j</w:t>
      </w:r>
      <w:r w:rsidRPr="0061109F">
        <w:rPr>
          <w:rFonts w:ascii="Calibri" w:hAnsi="Calibri" w:cs="Calibri"/>
          <w:sz w:val="22"/>
          <w:szCs w:val="22"/>
        </w:rPr>
        <w:t xml:space="preserve">th relative of the </w:t>
      </w:r>
      <w:r w:rsidRPr="0061109F">
        <w:rPr>
          <w:rFonts w:ascii="Calibri" w:hAnsi="Calibri" w:cs="Calibri"/>
          <w:i/>
          <w:sz w:val="22"/>
          <w:szCs w:val="22"/>
        </w:rPr>
        <w:t>i</w:t>
      </w:r>
      <w:r w:rsidRPr="0061109F">
        <w:rPr>
          <w:rFonts w:ascii="Calibri" w:hAnsi="Calibri" w:cs="Calibri"/>
          <w:sz w:val="22"/>
          <w:szCs w:val="22"/>
        </w:rPr>
        <w:t xml:space="preserve">th proband had SCZ and </w:t>
      </w:r>
      <w:r w:rsidRPr="0061109F">
        <w:rPr>
          <w:rFonts w:ascii="Calibri" w:hAnsi="Calibri" w:cs="Calibri"/>
          <w:i/>
          <w:sz w:val="22"/>
          <w:szCs w:val="22"/>
        </w:rPr>
        <w:t>E</w:t>
      </w:r>
      <w:r w:rsidRPr="0061109F">
        <w:rPr>
          <w:rFonts w:ascii="Calibri" w:hAnsi="Calibri" w:cs="Calibri"/>
          <w:sz w:val="22"/>
          <w:szCs w:val="22"/>
        </w:rPr>
        <w:t xml:space="preserve"> is the expected lifetime SCZ prevalence (given the age and sex per proband and relative). The values are summed over </w:t>
      </w:r>
      <w:r w:rsidRPr="0061109F">
        <w:rPr>
          <w:rFonts w:ascii="Calibri" w:hAnsi="Calibri" w:cs="Calibri"/>
          <w:i/>
          <w:sz w:val="22"/>
          <w:szCs w:val="22"/>
        </w:rPr>
        <w:t>j</w:t>
      </w:r>
      <w:r w:rsidRPr="0061109F">
        <w:rPr>
          <w:rFonts w:ascii="Calibri" w:hAnsi="Calibri" w:cs="Calibri"/>
          <w:sz w:val="22"/>
          <w:szCs w:val="22"/>
        </w:rPr>
        <w:t xml:space="preserve"> relatives of the </w:t>
      </w:r>
      <w:r w:rsidRPr="0061109F">
        <w:rPr>
          <w:rFonts w:ascii="Calibri" w:hAnsi="Calibri" w:cs="Calibri"/>
          <w:i/>
          <w:sz w:val="22"/>
          <w:szCs w:val="22"/>
        </w:rPr>
        <w:t>i</w:t>
      </w:r>
      <w:r w:rsidRPr="0061109F">
        <w:rPr>
          <w:rFonts w:ascii="Calibri" w:hAnsi="Calibri" w:cs="Calibri"/>
          <w:sz w:val="22"/>
          <w:szCs w:val="22"/>
        </w:rPr>
        <w:t xml:space="preserve">th proband. The expected lifetime prevalence of SCZ were generated using all individuals in Sweden. </w:t>
      </w:r>
      <w:r w:rsidRPr="0061109F">
        <w:rPr>
          <w:rFonts w:ascii="Calibri" w:hAnsi="Calibri" w:cs="Calibri"/>
          <w:sz w:val="22"/>
          <w:szCs w:val="22"/>
          <w:lang w:val="en-US"/>
        </w:rPr>
        <w:t xml:space="preserve">In the genomic </w:t>
      </w:r>
      <w:r w:rsidRPr="0061109F">
        <w:rPr>
          <w:rFonts w:ascii="Calibri" w:hAnsi="Calibri" w:cs="Calibri"/>
          <w:sz w:val="22"/>
          <w:szCs w:val="22"/>
        </w:rPr>
        <w:t>subset</w:t>
      </w:r>
      <w:r w:rsidRPr="0061109F">
        <w:rPr>
          <w:rFonts w:ascii="Calibri" w:hAnsi="Calibri" w:cs="Calibri"/>
          <w:sz w:val="22"/>
          <w:szCs w:val="22"/>
          <w:lang w:val="en-US"/>
        </w:rPr>
        <w:t xml:space="preserve">, family history for SCZ </w:t>
      </w:r>
      <w:r w:rsidRPr="0061109F">
        <w:rPr>
          <w:rFonts w:ascii="Calibri" w:hAnsi="Calibri" w:cs="Calibri"/>
          <w:sz w:val="22"/>
          <w:szCs w:val="22"/>
        </w:rPr>
        <w:t>was dichotomized as negative (no first-degree relative with SCZ) or positive (at least one-first degree relative with SCZ).</w:t>
      </w:r>
    </w:p>
    <w:p w14:paraId="42AE7035" w14:textId="7CF34904" w:rsidR="00823D9B" w:rsidRPr="0061109F" w:rsidRDefault="00DA77CF" w:rsidP="000B086A">
      <w:pPr>
        <w:spacing w:before="120" w:after="120" w:line="480" w:lineRule="auto"/>
        <w:jc w:val="both"/>
        <w:rPr>
          <w:rFonts w:ascii="Calibri" w:hAnsi="Calibri" w:cs="Calibri"/>
          <w:sz w:val="22"/>
          <w:szCs w:val="22"/>
        </w:rPr>
      </w:pPr>
      <w:r w:rsidRPr="0061109F">
        <w:rPr>
          <w:rFonts w:ascii="Calibri" w:hAnsi="Calibri" w:cs="Calibri"/>
          <w:sz w:val="22"/>
          <w:szCs w:val="22"/>
        </w:rPr>
        <w:t>For the genetic analyses, we</w:t>
      </w:r>
      <w:r w:rsidR="00823D9B" w:rsidRPr="0061109F">
        <w:rPr>
          <w:rFonts w:ascii="Calibri" w:hAnsi="Calibri" w:cs="Calibri"/>
          <w:sz w:val="22"/>
          <w:szCs w:val="22"/>
        </w:rPr>
        <w:t xml:space="preserve"> used a sample of the Sweden Schizophrenia Study (S3)</w:t>
      </w:r>
      <w:r w:rsidR="00C279ED" w:rsidRPr="0061109F">
        <w:rPr>
          <w:rFonts w:ascii="Calibri" w:hAnsi="Calibri" w:cs="Calibri"/>
          <w:sz w:val="22"/>
          <w:szCs w:val="22"/>
        </w:rPr>
        <w:t>,</w:t>
      </w:r>
      <w:r w:rsidR="00823D9B" w:rsidRPr="0061109F">
        <w:rPr>
          <w:rFonts w:ascii="Calibri" w:hAnsi="Calibri" w:cs="Calibri"/>
          <w:sz w:val="22"/>
          <w:szCs w:val="22"/>
          <w:vertAlign w:val="superscript"/>
        </w:rPr>
        <w:fldChar w:fldCharType="begin" w:fldLock="1"/>
      </w:r>
      <w:r w:rsidR="000B086A" w:rsidRPr="0061109F">
        <w:rPr>
          <w:rFonts w:ascii="Calibri" w:hAnsi="Calibri" w:cs="Calibri"/>
          <w:sz w:val="22"/>
          <w:szCs w:val="22"/>
          <w:vertAlign w:val="superscript"/>
        </w:rPr>
        <w:instrText>ADDIN CSL_CITATION {"citationItems":[{"id":"ITEM-1","itemData":{"DOI":"10.1038/ng.2742","ISBN":"1546-1718 (Electronic) 1061-4036 (Linking)","ISSN":"1546-1718","PMID":"23974872","abstract":"Schizophrenia is an idiopathic mental disorder with a heritable component and a substantial public health impact. We conducted a multi-stage genome-wide association study (GWAS) for schizophrenia beginning with a Swedish national sample (5,001 cases and 6,243 controls) followed by meta-analysis with previous schizophrenia GWAS (8,832 cases and 12,067 controls) and finally by replication of SNPs in 168 genomic regions in independent samples (7,413 cases, 19,762 controls and 581 parent-offspring trios). We identified 22 loci associated at genome-wide significance; 13 of these are new, and 1 was previously implicated in bipolar disorder. Examination of candidate genes at these loci suggests the involvement of neuronal calcium signaling. We estimate that 8,300 independent, mostly common SNPs (95% credible interval of 6,300-10,200 SNPs) contribute to risk for schizophrenia and that these collectively account for at least 32% of the variance in liability. Common genetic variation has an important role in the etiology of schizophrenia, and larger studies will allow more detailed understanding of this disorder.","author":[{"dropping-particle":"","family":"Ripke","given":"Stephan","non-dropping-particle":"","parse-names":false,"suffix":""},{"dropping-particle":"","family":"O'Dushlaine","given":"Colm","non-dropping-particle":"","parse-names":false,"suffix":""},{"dropping-particle":"","family":"Chambert","given":"Kimberly","non-dropping-particle":"","parse-names":false,"suffix":""},{"dropping-particle":"","family":"Moran","given":"Jennifer L","non-dropping-particle":"","parse-names":false,"suffix":""},{"dropping-particle":"","family":"Kähler","given":"Anna K","non-dropping-particle":"","parse-names":false,"suffix":""},{"dropping-particle":"","family":"Akterin","given":"Susanne","non-dropping-particle":"","parse-names":false,"suffix":""},{"dropping-particle":"","family":"Bergen","given":"Sarah E","non-dropping-particle":"","parse-names":false,"suffix":""},{"dropping-particle":"","family":"Collins","given":"Ann L","non-dropping-particle":"","parse-names":false,"suffix":""},{"dropping-particle":"","family":"Crowley","given":"James J","non-dropping-particle":"","parse-names":false,"suffix":""},{"dropping-particle":"","family":"Fromer","given":"Menachem","non-dropping-particle":"","parse-names":false,"suffix":""},{"dropping-particle":"","family":"Kim","given":"Yunjung","non-dropping-particle":"","parse-names":false,"suffix":""},{"dropping-particle":"","family":"Lee","given":"Sang Hong","non-dropping-particle":"","parse-names":false,"suffix":""},{"dropping-particle":"","family":"Magnusson","given":"Patrik K E","non-dropping-particle":"","parse-names":false,"suffix":""},{"dropping-particle":"","family":"Sanchez","given":"Nick","non-dropping-particle":"","parse-names":false,"suffix":""},{"dropping-particle":"","family":"Stahl","given":"Eli A","non-dropping-particle":"","parse-names":false,"suffix":""},{"dropping-particle":"","family":"Williams","given":"Stephanie","non-dropping-particle":"","parse-names":false,"suffix":""},{"dropping-particle":"","family":"Wray","given":"Naomi R","non-dropping-particle":"","parse-names":false,"suffix":""},{"dropping-particle":"","family":"Xia","given":"Kai","non-dropping-particle":"","parse-names":false,"suffix":""},{"dropping-particle":"","family":"Bettella","given":"Francesco","non-dropping-particle":"","parse-names":false,"suffix":""},{"dropping-particle":"","family":"Borglum","given":"Anders D","non-dropping-particle":"","parse-names":false,"suffix":""},{"dropping-particle":"","family":"Bulik-Sullivan","given":"Brendan K","non-dropping-particle":"","parse-names":false,"suffix":""},{"dropping-particle":"","family":"Cormican","given":"Paul","non-dropping-particle":"","parse-names":false,"suffix":""},{"dropping-particle":"","family":"Craddock","given":"Nick","non-dropping-particle":"","parse-names":false,"suffix":""},{"dropping-particle":"","family":"Leeuw","given":"Christiaan","non-dropping-particle":"de","parse-names":false,"suffix":""},{"dropping-particle":"","family":"Durmishi","given":"Naser","non-dropping-particle":"","parse-names":false,"suffix":""},{"dropping-particle":"","family":"Gill","given":"Michael","non-dropping-particle":"","parse-names":false,"suffix":""},{"dropping-particle":"","family":"Golimbet","given":"Vera","non-dropping-particle":"","parse-names":false,"suffix":""},{"dropping-particle":"","family":"Hamshere","given":"Marian L","non-dropping-particle":"","parse-names":false,"suffix":""},{"dropping-particle":"","family":"Holmans","given":"Peter","non-dropping-particle":"","parse-names":false,"suffix":""},{"dropping-particle":"","family":"Hougaard","given":"David M","non-dropping-particle":"","parse-names":false,"suffix":""},{"dropping-particle":"","family":"Kendler","given":"Kenneth S","non-dropping-particle":"","parse-names":false,"suffix":""},{"dropping-particle":"","family":"Lin","given":"Kuang","non-dropping-particle":"","parse-names":false,"suffix":""},{"dropping-particle":"","family":"Morris","given":"Derek W","non-dropping-particle":"","parse-names":false,"suffix":""},{"dropping-particle":"","family":"Mors","given":"Ole","non-dropping-particle":"","parse-names":false,"suffix":""},{"dropping-particle":"","family":"Mortensen","given":"Preben B","non-dropping-particle":"","parse-names":false,"suffix":""},{"dropping-particle":"","family":"Neale","given":"Benjamin M","non-dropping-particle":"","parse-names":false,"suffix":""},{"dropping-particle":"","family":"O'Neill","given":"Francis A","non-dropping-particle":"","parse-names":false,"suffix":""},{"dropping-particle":"","family":"Owen","given":"Michael J","non-dropping-particle":"","parse-names":false,"suffix":""},{"dropping-particle":"","family":"Milovancevic","given":"Milica Pejovic","non-dropping-particle":"","parse-names":false,"suffix":""},{"dropping-particle":"","family":"Posthuma","given":"Danielle","non-dropping-particle":"","parse-names":false,"suffix":""},{"dropping-particle":"","family":"Powell","given":"John","non-dropping-particle":"","parse-names":false,"suffix":""},{"dropping-particle":"","family":"Richards","given":"Alexander L","non-dropping-particle":"","parse-names":false,"suffix":""},{"dropping-particle":"","family":"Riley","given":"Brien P","non-dropping-particle":"","parse-names":false,"suffix":""},{"dropping-particle":"","family":"Ruderfer","given":"Douglas","non-dropping-particle":"","parse-names":false,"suffix":""},{"dropping-particle":"","family":"Rujescu","given":"Dan","non-dropping-particle":"","parse-names":false,"suffix":""},{"dropping-particle":"","family":"Sigurdsson","given":"Engilbert","non-dropping-particle":"","parse-names":false,"suffix":""},{"dropping-particle":"","family":"Silagadze","given":"Teimuraz","non-dropping-particle":"","parse-names":false,"suffix":""},{"dropping-particle":"","family":"Smit","given":"August B","non-dropping-particle":"","parse-names":false,"suffix":""},{"dropping-particle":"","family":"Stefansson","given":"Hreinn","non-dropping-particle":"","parse-names":false,"suffix":""},{"dropping-particle":"","family":"Steinberg","given":"Stacy","non-dropping-particle":"","parse-names":false,"suffix":""},{"dropping-particle":"","family":"Suvisaari","given":"Jaana","non-dropping-particle":"","parse-names":false,"suffix":""},{"dropping-particle":"","family":"Tosato","given":"Sarah","non-dropping-particle":"","parse-names":false,"suffix":""},{"dropping-particle":"","family":"Verhage","given":"Matthijs","non-dropping-particle":"","parse-names":false,"suffix":""},{"dropping-particle":"","family":"Walters","given":"James T","non-dropping-particle":"","parse-names":false,"suffix":""},{"dropping-particle":"","family":"Multicenter Genetic Studies of Schizophrenia Consortium","given":"","non-dropping-particle":"","parse-names":false,"suffix":""},{"dropping-particle":"","family":"Levinson","given":"Douglas F","non-dropping-particle":"","parse-names":false,"suffix":""},{"dropping-particle":"V","family":"Gejman","given":"Pablo","non-dropping-particle":"","parse-names":false,"suffix":""},{"dropping-particle":"","family":"Kendler","given":"Kenneth S","non-dropping-particle":"","parse-names":false,"suffix":""},{"dropping-particle":"","family":"Laurent","given":"Claudine","non-dropping-particle":"","parse-names":false,"suffix":""},{"dropping-particle":"","family":"Mowry","given":"Bryan J","non-dropping-particle":"","parse-names":false,"suffix":""},{"dropping-particle":"","family":"O'Donovan","given":"Michael C","non-dropping-particle":"","parse-names":false,"suffix":""},{"dropping-particle":"","family":"Owen","given":"Michael J","non-dropping-particle":"","parse-names":false,"suffix":""},{"dropping-particle":"","family":"Pulver","given":"Ann E","non-dropping-particle":"","parse-names":false,"suffix":""},{"dropping-particle":"","family":"Riley","given":"Brien P","non-dropping-particle":"","parse-names":false,"suffix":""},{"dropping-particle":"","family":"Schwab","given":"Sibylle G","non-dropping-particle":"","parse-names":false,"suffix":""},{"dropping-particle":"","family":"Wildenauer","given":"Dieter B","non-dropping-particle":"","parse-names":false,"suffix":""},{"dropping-particle":"","family":"Dudbridge","given":"Frank","non-dropping-particle":"","parse-names":false,"suffix":""},{"dropping-particle":"","family":"Holmans","given":"Peter","non-dropping-particle":"","parse-names":false,"suffix":""},{"dropping-particle":"","family":"Shi","given":"Jianxin","non-dropping-particle":"","parse-names":false,"suffix":""},{"dropping-particle":"","family":"Albus","given":"Margot","non-dropping-particle":"","parse-names":false,"suffix":""},{"dropping-particle":"","family":"Alexander","given":"Madeline","non-dropping-particle":"","parse-names":false,"suffix":""},{"dropping-particle":"","family":"Campion","given":"Dominique","non-dropping-particle":"","parse-names":false,"suffix":""},{"dropping-particle":"","family":"Cohen","given":"David","non-dropping-particle":"","parse-names":false,"suffix":""},{"dropping-particle":"","family":"Dikeos","given":"Dimitris","non-dropping-particle":"","parse-names":false,"suffix":""},{"dropping-particle":"","family":"Duan","given":"Jubao","non-dropping-particle":"","parse-names":false,"suffix":""},{"dropping-particle":"","family":"Eichhammer","given":"Peter","non-dropping-particle":"","parse-names":false,"suffix":""},{"dropping-particle":"","family":"Godard","given":"Stephanie","non-dropping-particle":"","parse-names":false,"suffix":""},{"dropping-particle":"","family":"Hansen","given":"Mark","non-dropping-particle":"","parse-names":false,"suffix":""},{"dropping-particle":"","family":"Lerer","given":"F Bernard","non-dropping-particle":"","parse-names":false,"suffix":""},{"dropping-particle":"","family":"Liang","given":"Kung-Yee","non-dropping-particle":"","parse-names":false,"suffix":""},{"dropping-particle":"","family":"Maier","given":"Wolfgang","non-dropping-particle":"","parse-names":false,"suffix":""},{"dropping-particle":"","family":"Mallet","given":"Jacques","non-dropping-particle":"","parse-names":false,"suffix":""},{"dropping-particle":"","family":"Nertney","given":"Deborah A","non-dropping-particle":"","parse-names":false,"suffix":""},{"dropping-particle":"","family":"Nestadt","given":"Gerald","non-dropping-particle":"","parse-names":false,"suffix":""},{"dropping-particle":"","family":"Norton","given":"Nadine","non-dropping-particle":"","parse-names":false,"suffix":""},{"dropping-particle":"","family":"O'Neill","given":"Francis A","non-dropping-particle":"","parse-names":false,"suffix":""},{"dropping-particle":"","family":"Papadimitriou","given":"George N","non-dropping-particle":"","parse-names":false,"suffix":""},{"dropping-particle":"","family":"Ribble","given":"Robert","non-dropping-particle":"","parse-names":false,"suffix":""},{"dropping-particle":"","family":"Sanders","given":"Alan R","non-dropping-particle":"","parse-names":false,"suffix":""},{"dropping-particle":"","family":"Silverman","given":"Jeremy M","non-dropping-particle":"","parse-names":false,"suffix":""},{"dropping-particle":"","family":"Walsh","given":"Dermot","non-dropping-particle":"","parse-names":false,"suffix":""},{"dropping-particle":"","family":"Williams","given":"Nigel M","non-dropping-particle":"","parse-names":false,"suffix":""},{"dropping-particle":"","family":"Wormley","given":"Brandon","non-dropping-particle":"","parse-names":false,"suffix":""},{"dropping-particle":"","family":"Psychosis Endophenotypes International Consortium","given":"","non-dropping-particle":"","parse-names":false,"suffix":""},{"dropping-particle":"","family":"Arranz","given":"Maria J","non-dropping-particle":"","parse-names":false,"suffix":""},{"dropping-particle":"","family":"Bakker","given":"Steven","non-dropping-particle":"","parse-names":false,"suffix":""},{"dropping-particle":"","family":"Bender","given":"Stephan","non-dropping-particle":"","parse-names":false,"suffix":""},{"dropping-particle":"","family":"Bramon","given":"Elvira","non-dropping-particle":"","parse-names":false,"suffix":""},{"dropping-particle":"","family":"Collier","given":"David","non-dropping-particle":"","parse-names":false,"suffix":""},{"dropping-particle":"","family":"Crespo-Facorro","given":"Benedicto","non-dropping-particle":"","parse-names":false,"suffix":""},{"dropping-particle":"","family":"Hall","given":"Jeremy","non-dropping-particle":"","parse-names":false,"suffix":""},{"dropping-particle":"","family":"Iyegbe","given":"Conrad","non-dropping-particle":"","parse-names":false,"suffix":""},{"dropping-particle":"","family":"Jablensky","given":"Assen","non-dropping-particle":"","parse-names":false,"suffix":""},{"dropping-particle":"","family":"Kahn","given":"Rene S","non-dropping-particle":"","parse-names":false,"suffix":""},{"dropping-particle":"","family":"Kalaydjieva","given":"Luba","non-dropping-particle":"","parse-names":false,"suffix":""},{"dropping-particle":"","family":"Lawrie","given":"Stephen","non-dropping-particle":"","parse-names":false,"suffix":""},{"dropping-particle":"","family":"Lewis","given":"Cathryn M","non-dropping-particle":"","parse-names":false,"suffix":""},{"dropping-particle":"","family":"Lin","given":"Kuang","non-dropping-particle":"","parse-names":false,"suffix":""},{"dropping-particle":"","family":"Linszen","given":"Don H","non-dropping-particle":"","parse-names":false,"suffix":""},{"dropping-particle":"","family":"Mata","given":"Ignacio","non-dropping-particle":"","parse-names":false,"suffix":""},{"dropping-particle":"","family":"McIntosh","given":"Andrew","non-dropping-particle":"","parse-names":false,"suffix":""},{"dropping-particle":"","family":"Murray","given":"Robin M","non-dropping-particle":"","parse-names":false,"suffix":""},{"dropping-particle":"","family":"Ophoff","given":"Roel A","non-dropping-particle":"","parse-names":false,"suffix":""},{"dropping-particle":"","family":"Powell","given":"John","non-dropping-particle":"","parse-names":false,"suffix":""},{"dropping-particle":"","family":"Rujescu","given":"Dan","non-dropping-particle":"","parse-names":false,"suffix":""},{"dropping-particle":"","family":"Os","given":"Jim","non-dropping-particle":"Van","parse-names":false,"suffix":""},{"dropping-particle":"","family":"Walshe","given":"Muriel","non-dropping-particle":"","parse-names":false,"suffix":""},{"dropping-particle":"","family":"Weisbrod","given":"Matthias","non-dropping-particle":"","parse-names":false,"suffix":""},{"dropping-particle":"","family":"Wiersma","given":"Durk","non-dropping-particle":"","parse-names":false,"suffix":""},{"dropping-particle":"","family":"Wellcome Trust Case Control Consortium 2","given":"","non-dropping-particle":"","parse-names":false,"suffix":""},{"dropping-particle":"","family":"Donnelly","given":"Peter","non-dropping-particle":"","parse-names":false,"suffix":""},{"dropping-particle":"","family":"Barroso","given":"Ines","non-dropping-particle":"","parse-names":false,"suffix":""},{"dropping-particle":"","family":"Blackwell","given":"Jenefer M","non-dropping-particle":"","parse-names":false,"suffix":""},{"dropping-particle":"","family":"Bramon","given":"Elvira","non-dropping-particle":"","parse-names":false,"suffix":""},{"dropping-particle":"","family":"Brown","given":"Matthew A","non-dropping-particle":"","parse-names":false,"suffix":""},{"dropping-particle":"","family":"Casas","given":"Juan P","non-dropping-particle":"","parse-names":false,"suffix":""},{"dropping-particle":"","family":"Corvin","given":"Aiden P","non-dropping-particle":"","parse-names":false,"suffix":""},{"dropping-particle":"","family":"Deloukas","given":"Panos","non-dropping-particle":"","parse-names":false,"suffix":""},{"dropping-particle":"","family":"Duncanson","given":"Audrey","non-dropping-particle":"","parse-names":false,"suffix":""},{"dropping-particle":"","family":"Jankowski","given":"Janusz","non-dropping-particle":"","parse-names":false,"suffix":""},{"dropping-particle":"","family":"Markus","given":"Hugh S","non-dropping-particle":"","parse-names":false,"suffix":""},{"dropping-particle":"","family":"Mathew","given":"Christopher G","non-dropping-particle":"","parse-names":false,"suffix":""},{"dropping-particle":"","family":"Palmer","given":"Colin N A","non-dropping-particle":"","parse-names":false,"suffix":""},{"dropping-particle":"","family":"Plomin","given":"Robert","non-dropping-particle":"","parse-names":false,"suffix":""},{"dropping-particle":"","family":"Rautanen","given":"Anna","non-dropping-particle":"","parse-names":false,"suffix":""},{"dropping-particle":"","family":"Sawcer","given":"Stephen J","non-dropping-particle":"","parse-names":false,"suffix":""},{"dropping-particle":"","family":"Trembath","given":"Richard C","non-dropping-particle":"","parse-names":false,"suffix":""},{"dropping-particle":"","family":"Viswanathan","given":"Ananth C","non-dropping-particle":"","parse-names":false,"suffix":""},{"dropping-particle":"","family":"Wood","given":"Nicholas W","non-dropping-particle":"","parse-names":false,"suffix":""},{"dropping-particle":"","family":"Spencer","given":"Chris C A","non-dropping-particle":"","parse-names":false,"suffix":""},{"dropping-particle":"","family":"Band","given":"Gavin","non-dropping-particle":"","parse-names":false,"suffix":""},{"dropping-particle":"","family":"Bellenguez","given":"Céline","non-dropping-particle":"","parse-names":false,"suffix":""},{"dropping-particle":"","family":"Freeman","given":"Colin","non-dropping-particle":"","parse-names":false,"suffix":""},{"dropping-particle":"","family":"Hellenthal","given":"Garrett","non-dropping-particle":"","parse-names":false,"suffix":""},{"dropping-particle":"","family":"Giannoulatou","given":"Eleni","non-dropping-particle":"","parse-names":false,"suffix":""},{"dropping-particle":"","family":"Pirinen","given":"Matti","non-dropping-particle":"","parse-names":false,"suffix":""},{"dropping-particle":"","family":"Pearson","given":"Richard D","non-dropping-particle":"","parse-names":false,"suffix":""},{"dropping-particle":"","family":"Strange","given":"Amy","non-dropping-particle":"","parse-names":false,"suffix":""},{"dropping-particle":"","family":"Su","given":"Zhan","non-dropping-particle":"","parse-names":false,"suffix":""},{"dropping-particle":"","family":"Vukcevic","given":"Damjan","non-dropping-particle":"","parse-names":false,"suffix":""},{"dropping-particle":"","family":"Donnelly","given":"Peter","non-dropping-particle":"","parse-names":false,"suffix":""},{"dropping-particle":"","family":"Langford","given":"Cordelia","non-dropping-particle":"","parse-names":false,"suffix":""},{"dropping-particle":"","family":"Hunt","given":"Sarah E","non-dropping-particle":"","parse-names":false,"suffix":""},{"dropping-particle":"","family":"Edkins","given":"Sarah","non-dropping-particle":"","parse-names":false,"suffix":""},{"dropping-particle":"","family":"Gwilliam","given":"Rhian","non-dropping-particle":"","parse-names":false,"suffix":""},{"dropping-particle":"","family":"Blackburn","given":"Hannah","non-dropping-particle":"","parse-names":false,"suffix":""},{"dropping-particle":"","family":"Bumpstead","given":"Suzannah J","non-dropping-particle":"","parse-names":false,"suffix":""},{"dropping-particle":"","family":"Dronov","given":"Serge","non-dropping-particle":"","parse-names":false,"suffix":""},{"dropping-particle":"","family":"Gillman","given":"Matthew","non-dropping-particle":"","parse-names":false,"suffix":""},{"dropping-particle":"","family":"Gray","given":"Emma","non-dropping-particle":"","parse-names":false,"suffix":""},{"dropping-particle":"","family":"Hammond","given":"Naomi","non-dropping-particle":"","parse-names":false,"suffix":""},{"dropping-particle":"","family":"Jayakumar","given":"Alagurevathi","non-dropping-particle":"","parse-names":false,"suffix":""},{"dropping-particle":"","family":"McCann","given":"Owen T","non-dropping-particle":"","parse-names":false,"suffix":""},{"dropping-particle":"","family":"Liddle","given":"Jennifer","non-dropping-particle":"","parse-names":false,"suffix":""},{"dropping-particle":"","family":"Potter","given":"Simon C","non-dropping-particle":"","parse-names":false,"suffix":""},{"dropping-particle":"","family":"Ravindrarajah","given":"Radhi","non-dropping-particle":"","parse-names":false,"suffix":""},{"dropping-particle":"","family":"Ricketts","given":"Michelle","non-dropping-particle":"","parse-names":false,"suffix":""},{"dropping-particle":"","family":"Tashakkori-Ghanbaria","given":"Avazeh","non-dropping-particle":"","parse-names":false,"suffix":""},{"dropping-particle":"","family":"Waller","given":"Matthew J","non-dropping-particle":"","parse-names":false,"suffix":""},{"dropping-particle":"","family":"Weston","given":"Paul","non-dropping-particle":"","parse-names":false,"suffix":""},{"dropping-particle":"","family":"Widaa","given":"Sara","non-dropping-particle":"","parse-names":false,"suffix":""},{"dropping-particle":"","family":"Whittaker","given":"Pamela","non-dropping-particle":"","parse-names":false,"suffix":""},{"dropping-particle":"","family":"Barroso","given":"Ines","non-dropping-particle":"","parse-names":false,"suffix":""},{"dropping-particle":"","family":"Deloukas","given":"Panos","non-dropping-particle":"","parse-names":false,"suffix":""},{"dropping-particle":"","family":"Mathew","given":"Christopher G","non-dropping-particle":"","parse-names":false,"suffix":""},{"dropping-particle":"","family":"Blackwell","given":"Jenefer M","non-dropping-particle":"","parse-names":false,"suffix":""},{"dropping-particle":"","family":"Brown","given":"Matthew A","non-dropping-particle":"","parse-names":false,"suffix":""},{"dropping-particle":"","family":"Corvin","given":"Aiden P","non-dropping-particle":"","parse-names":false,"suffix":""},{"dropping-particle":"","family":"McCarthy","given":"Mark I","non-dropping-particle":"","parse-names":false,"suffix":""},{"dropping-particle":"","family":"Spencer","given":"Chris C A","non-dropping-particle":"","parse-names":false,"suffix":""},{"dropping-particle":"","family":"Bramon","given":"Elvira","non-dropping-particle":"","parse-names":false,"suffix":""},{"dropping-particle":"","family":"Corvin","given":"Aiden P","non-dropping-particle":"","parse-names":false,"suffix":""},{"dropping-particle":"","family":"O'Donovan","given":"Michael C","non-dropping-particle":"","parse-names":false,"suffix":""},{"dropping-particle":"","family":"Stefansson","given":"Kari","non-dropping-particle":"","parse-names":false,"suffix":""},{"dropping-particle":"","family":"Scolnick","given":"Edward","non-dropping-particle":"","parse-names":false,"suffix":""},{"dropping-particle":"","family":"Purcell","given":"Shaun","non-dropping-particle":"","parse-names":false,"suffix":""},{"dropping-particle":"","family":"McCarroll","given":"Steven A","non-dropping-particle":"","parse-names":false,"suffix":""},{"dropping-particle":"","family":"Sklar","given":"Pamela","non-dropping-particle":"","parse-names":false,"suffix":""},{"dropping-particle":"","family":"Hultman","given":"Christina M","non-dropping-particle":"","parse-names":false,"suffix":""},{"dropping-particle":"","family":"Sullivan","given":"Patrick F","non-dropping-particle":"","parse-names":false,"suffix":""}],"container-title":"Nature genetics","edition":"2013/08/27","id":"ITEM-1","issue":"10","issued":{"date-parts":[["2013","10"]]},"note":"Ripke, Stephan\nO'Dushlaine, Colm\nChambert, Kimberly\nMoran, Jennifer L\nKahler, Anna K\nAkterin, Susanne\nBergen, Sarah E\nCollins, Ann L\nCrowley, James J\nFromer, Menachem\nKim, Yunjung\nLee, Sang Hong\nMagnusson, Patrik K E\nSanchez, Nick\nStahl, Eli A\nWilliams, Stephanie\nWray, Naomi R\nXia, Kai\nBettella, Francesco\nBorglum, Anders D\nBulik-Sullivan, Brendan K\nCormican, Paul\nCraddock, Nick\nde Leeuw, Christiaan\nDurmishi, Naser\nGill, Michael\nGolimbet, Vera\nHamshere, Marian L\nHolmans, Peter\nHougaard, David M\nKendler, Kenneth S\nLin, Kuang\nMorris, Derek W\nMors, Ole\nMortensen, Preben B\nNeale, Benjamin M\nO'Neill, Francis A\nOwen, Michael J\nMilovancevic, Milica Pejovic\nPosthuma, Danielle\nPowell, John\nRichards, Alexander L\nRiley, Brien P\nRuderfer, Douglas\nRujescu, Dan\nSigurdsson, Engilbert\nSilagadze, Teimuraz\nSmit, August B\nStefansson, Hreinn\nSteinberg, Stacy\nSuvisaari, Jaana\nTosato, Sarah\nVerhage, Matthijs\nWalters, James T\nLevinson, Douglas F\nGejman, Pablo V\nLaurent, Claudine\nMowry, Bryan J\nO'Donovan, Michael C\nPulver, Ann E\nSchwab, Sibylle G\nWildenauer, Dieter B\nDudbridge, Frank\nShi, Jianxin\nAlbus, Margot\nAlexander, Madeline\nCampion, Dominique\nCohen, David\nDikeos, Dimitris\nDuan, Jubao\nEichhammer, Peter\nGodard, Stephanie\nHansen, Mark\nLerer, F Bernard\nLiang, Kung-Yee\nMaier, Wolfgang\nMallet, Jacques\nNertney, Deborah A\nNestadt, Gerald\nNorton, Nadine\nPapadimitriou, George N\nRibble, Robert\nSanders, Alan R\nSilverman, Jeremy M\nWalsh, Dermot\nWilliams, Nigel M\nWormley, Brandon\nArranz, Maria J\nBakker, Steven\nBender, Stephan\nBramon, Elvira\nCollier, David\nCrespo-Facorro, Benedicto\nHall, Jeremy\nIyegbe, Conrad\nJablensky, Assen\nKahn, Rene S\nKalaydjieva, Luba\nLawrie, Stephen\nLewis, Cathryn M\nLinszen, Don H\nMata, Ignacio\nMcIntosh, Andrew\nMurray, Robin M\nOphoff, Roel A\nVan Os, Jim\nWalshe, Muriel\nWeisbrod, Matthias\nWiersma, Durk\nDonnelly, Peter\nBarroso, Ines\nBlackwell, Jenefer M\nBrown, Matthew A\nCasas, Juan P\nCorvin, Aiden P\nDeloukas, Panos\nDuncanson, Audrey\nJankowski, Janusz\nMarkus, Hugh S\nMathew, Christopher G\nPalmer, Colin N A\nPlomin, Robert\nRautanen, Anna\nSawcer, Stephen J\nTrembath, Richard C\nViswanathan, Ananth C\nWood, Nicholas W\nSpencer, Chris C A\nBand, Gavin\nBellenguez, Celine\nFreeman, Colin\nHellenthal, Garrett\nGiannoulatou, Eleni\nPirinen, Matti\nPearson, Richard D\nStrange, Amy\nSu, Zhan\nVukcevic, Damjan\nLangford, Cordelia\nHunt, Sarah E\nEdkins, Sarah\nGwilliam, Rhian\nBlackburn, Hannah\nBumpstead, Suzannah J\nDronov, Serge\nGillman, Matthew\nGray, Emma\nHammond, Naomi\nJayakumar, Alagurevathi\nMcCann, Owen T\nLiddle, Jennifer\nPotter, Simon C\nRavindrarajah, Radhi\nRicketts, Michelle\nTashakkori-Ghanbaria, Avazeh\nWaller, Matthew J\nWeston, Paul\nWidaa, Sara\nWhittaker, Pamela\nMcCarthy, Mark I\nStefansson, Kari\nScolnick, Edward\nPurcell, Shaun\nMcCarroll, Steven A\nSklar, Pamela\nHultman, Christina M\nSullivan, Patrick F\neng\nR01 MH095034/MH/NIMH NIH HHS/\n095552/Wellcome Trust/United Kingdom\nR01 MH077139/MH/NIMH NIH HHS/\nG0601635/Medical Research Council/United Kingdom\nG1100583/Medical Research Council/United Kingdom\nK01 MH094406/MH/NIMH NIH HHS/\n090532/Wellcome Trust/United Kingdom\nG0701420/Medical Research Council/United Kingdom\n085475/B/08/Z/Wellcome Trust/United Kingdom\nG0600429/Medical Research Council/United Kingdom\nR01 MH083094/MH/NIMH NIH HHS/\nU01 MH094421/MH/NIMH NIH HHS/\nG0800509/Medical Research Council/United Kingdom\nG1000718/Medical Research Council/United Kingdom\n085475/Z/08/Z/Wellcome Trust/United Kingdom\nNat Genet. 2013 Oct;45(10):1150-9. doi: 10.1038/ng.2742. Epub 2013 Aug 25.","page":"1150-9","title":"Genome-wide association analysis identifies 13 new risk loci for schizophrenia.","type":"article-journal","volume":"45"},"uris":["http://www.mendeley.com/documents/?uuid=61094642-2ae7-4a5e-934e-677cf80c9993"]}],"mendeley":{"formattedCitation":"&lt;sup&gt;7&lt;/sup&gt;","plainTextFormattedCitation":"7","previouslyFormattedCitation":"&lt;sup&gt;7&lt;/sup&gt;"},"properties":{"noteIndex":0},"schema":"https://github.com/citation-style-language/schema/raw/master/csl-citation.json"}</w:instrText>
      </w:r>
      <w:r w:rsidR="00823D9B" w:rsidRPr="0061109F">
        <w:rPr>
          <w:rFonts w:ascii="Calibri" w:hAnsi="Calibri" w:cs="Calibri"/>
          <w:sz w:val="22"/>
          <w:szCs w:val="22"/>
          <w:vertAlign w:val="superscript"/>
        </w:rPr>
        <w:fldChar w:fldCharType="separate"/>
      </w:r>
      <w:r w:rsidR="00D3131C" w:rsidRPr="0061109F">
        <w:rPr>
          <w:rFonts w:ascii="Calibri" w:hAnsi="Calibri" w:cs="Calibri"/>
          <w:noProof/>
          <w:sz w:val="22"/>
          <w:szCs w:val="22"/>
          <w:vertAlign w:val="superscript"/>
        </w:rPr>
        <w:t>7</w:t>
      </w:r>
      <w:r w:rsidR="00823D9B" w:rsidRPr="0061109F">
        <w:rPr>
          <w:rFonts w:ascii="Calibri" w:hAnsi="Calibri" w:cs="Calibri"/>
          <w:sz w:val="22"/>
          <w:szCs w:val="22"/>
          <w:vertAlign w:val="superscript"/>
        </w:rPr>
        <w:fldChar w:fldCharType="end"/>
      </w:r>
      <w:r w:rsidR="00823D9B" w:rsidRPr="0061109F">
        <w:rPr>
          <w:rFonts w:ascii="Calibri" w:hAnsi="Calibri" w:cs="Calibri"/>
          <w:sz w:val="22"/>
          <w:szCs w:val="22"/>
          <w:vertAlign w:val="superscript"/>
        </w:rPr>
        <w:t xml:space="preserve">  </w:t>
      </w:r>
      <w:r w:rsidR="00823D9B" w:rsidRPr="0061109F">
        <w:rPr>
          <w:rFonts w:ascii="Calibri" w:hAnsi="Calibri" w:cs="Calibri"/>
          <w:sz w:val="22"/>
          <w:szCs w:val="22"/>
        </w:rPr>
        <w:t>a cohort of 4</w:t>
      </w:r>
      <w:r w:rsidR="00294252" w:rsidRPr="0061109F">
        <w:rPr>
          <w:rFonts w:ascii="Calibri" w:hAnsi="Calibri" w:cs="Calibri"/>
          <w:sz w:val="22"/>
          <w:szCs w:val="22"/>
        </w:rPr>
        <w:t>,</w:t>
      </w:r>
      <w:r w:rsidR="00823D9B" w:rsidRPr="0061109F">
        <w:rPr>
          <w:rFonts w:ascii="Calibri" w:hAnsi="Calibri" w:cs="Calibri"/>
          <w:sz w:val="22"/>
          <w:szCs w:val="22"/>
        </w:rPr>
        <w:t>9</w:t>
      </w:r>
      <w:r w:rsidR="007744E6" w:rsidRPr="0061109F">
        <w:rPr>
          <w:rFonts w:ascii="Calibri" w:hAnsi="Calibri" w:cs="Calibri"/>
          <w:sz w:val="22"/>
          <w:szCs w:val="22"/>
        </w:rPr>
        <w:t>91</w:t>
      </w:r>
      <w:r w:rsidR="00823D9B" w:rsidRPr="0061109F">
        <w:rPr>
          <w:rFonts w:ascii="Calibri" w:hAnsi="Calibri" w:cs="Calibri"/>
          <w:sz w:val="22"/>
          <w:szCs w:val="22"/>
        </w:rPr>
        <w:t xml:space="preserve"> </w:t>
      </w:r>
      <w:r w:rsidR="00C279ED" w:rsidRPr="0061109F">
        <w:rPr>
          <w:rFonts w:ascii="Calibri" w:hAnsi="Calibri" w:cs="Calibri"/>
          <w:sz w:val="22"/>
          <w:szCs w:val="22"/>
        </w:rPr>
        <w:t xml:space="preserve">Swedish </w:t>
      </w:r>
      <w:r w:rsidR="00823D9B" w:rsidRPr="0061109F">
        <w:rPr>
          <w:rFonts w:ascii="Calibri" w:hAnsi="Calibri" w:cs="Calibri"/>
          <w:sz w:val="22"/>
          <w:szCs w:val="22"/>
        </w:rPr>
        <w:t>SCZ cases recruited between 2004-2010</w:t>
      </w:r>
      <w:r w:rsidR="00795761" w:rsidRPr="0061109F">
        <w:rPr>
          <w:rFonts w:ascii="Calibri" w:hAnsi="Calibri" w:cs="Calibri"/>
          <w:sz w:val="22"/>
          <w:szCs w:val="22"/>
        </w:rPr>
        <w:t xml:space="preserve"> and had register data up to December 31, 2018</w:t>
      </w:r>
      <w:r w:rsidR="00823D9B" w:rsidRPr="0061109F">
        <w:rPr>
          <w:rFonts w:ascii="Calibri" w:hAnsi="Calibri" w:cs="Calibri"/>
          <w:sz w:val="22"/>
          <w:szCs w:val="22"/>
        </w:rPr>
        <w:t xml:space="preserve">. </w:t>
      </w:r>
      <w:r w:rsidR="002C46E3" w:rsidRPr="0061109F">
        <w:rPr>
          <w:rFonts w:ascii="Calibri" w:hAnsi="Calibri" w:cs="Calibri"/>
          <w:sz w:val="22"/>
          <w:szCs w:val="22"/>
        </w:rPr>
        <w:t xml:space="preserve">Subjects were 18 years of age or older. </w:t>
      </w:r>
      <w:r w:rsidR="00B51DC3" w:rsidRPr="0061109F">
        <w:rPr>
          <w:rFonts w:ascii="Calibri" w:hAnsi="Calibri" w:cs="Calibri"/>
          <w:sz w:val="22"/>
          <w:szCs w:val="22"/>
        </w:rPr>
        <w:t xml:space="preserve">The average age at sampling was </w:t>
      </w:r>
      <w:r w:rsidR="00FD5935" w:rsidRPr="0061109F">
        <w:rPr>
          <w:rFonts w:ascii="Calibri" w:hAnsi="Calibri" w:cs="Calibri"/>
          <w:sz w:val="22"/>
          <w:szCs w:val="22"/>
        </w:rPr>
        <w:t>53 years</w:t>
      </w:r>
      <w:r w:rsidR="00B51DC3" w:rsidRPr="0061109F">
        <w:rPr>
          <w:rFonts w:ascii="Calibri" w:hAnsi="Calibri" w:cs="Calibri"/>
          <w:sz w:val="22"/>
          <w:szCs w:val="22"/>
        </w:rPr>
        <w:t xml:space="preserve">. </w:t>
      </w:r>
      <w:r w:rsidR="00C279ED" w:rsidRPr="0061109F">
        <w:rPr>
          <w:rFonts w:ascii="Calibri" w:hAnsi="Calibri" w:cs="Calibri"/>
          <w:sz w:val="22"/>
          <w:szCs w:val="22"/>
        </w:rPr>
        <w:t>C</w:t>
      </w:r>
      <w:r w:rsidR="00823D9B" w:rsidRPr="0061109F">
        <w:rPr>
          <w:rFonts w:ascii="Calibri" w:hAnsi="Calibri" w:cs="Calibri"/>
          <w:sz w:val="22"/>
          <w:szCs w:val="22"/>
        </w:rPr>
        <w:t xml:space="preserve">ases were identified from the </w:t>
      </w:r>
      <w:bookmarkStart w:id="1" w:name="_Hlk531782400"/>
      <w:r w:rsidR="00823D9B" w:rsidRPr="0061109F">
        <w:rPr>
          <w:rFonts w:ascii="Calibri" w:hAnsi="Calibri" w:cs="Calibri"/>
          <w:sz w:val="22"/>
          <w:szCs w:val="22"/>
        </w:rPr>
        <w:t>Swedish National Patient Register,</w:t>
      </w:r>
      <w:r w:rsidR="00823D9B" w:rsidRPr="0061109F">
        <w:rPr>
          <w:rFonts w:ascii="Calibri" w:hAnsi="Calibri" w:cs="Calibri"/>
          <w:sz w:val="22"/>
          <w:szCs w:val="22"/>
        </w:rPr>
        <w:fldChar w:fldCharType="begin" w:fldLock="1"/>
      </w:r>
      <w:r w:rsidR="00DF3FFC" w:rsidRPr="0061109F">
        <w:rPr>
          <w:rFonts w:ascii="Calibri" w:hAnsi="Calibri" w:cs="Calibri"/>
          <w:sz w:val="22"/>
          <w:szCs w:val="22"/>
        </w:rPr>
        <w:instrText>ADDIN CSL_CITATION {"citationItems":[{"id":"ITEM-1","itemData":{"DOI":"10.3109/08039488709103182","ISSN":"0029-1455","author":[{"dropping-particle":"","family":"Kristjansson","given":"Einar","non-dropping-particle":"","parse-names":false,"suffix":""},{"dropping-particle":"","family":"Allebeck","given":"Peter","non-dropping-particle":"","parse-names":false,"suffix":""},{"dropping-particle":"","family":"Wistedt","given":"Börje","non-dropping-particle":"","parse-names":false,"suffix":""}],"container-title":"Nordisk Psykiatrisk Tidsskrift","id":"ITEM-1","issue":"3","issued":{"date-parts":[["1987","1","1"]]},"note":"doi: 10.3109/08039488709103182","page":"229-234","publisher":"Taylor &amp; Francis","title":"Validity of the diagnosis schizophrenia in a psychiatric inpatient register: A retrospective application of DSM-III criteria on ICD-8 diagnoses in Stockholm county","type":"article-journal","volume":"41"},"uris":["http://www.mendeley.com/documents/?uuid=21accf66-592e-445f-91ad-8d007f8d455e"]},{"id":"ITEM-2","itemData":{"DOI":"10.1007/s00127-002-0582-3","ISSN":"1433-9285","abstract":"Background: Psychiatric inpatient registers are often used in research in the Nordic countries. We aimed to investigate the validity of recorded diagnoses of schizophrenia in the Swedish National Inpatient Register, in cases of early age at onset. We also wanted to describe the accuracy of the diagnoses in cities/university clinics and country hospitals as well as in child and adolescent psychiatric clinics and clinics for adults. Method: One hundred cases with a diagnosis of schizophrenia, born 1973–1977, were randomly selected. The psychiatric records were scrutinised according to the criteria of DSM-IV. Results: Eighty-six per cent (95 % CI 78–93 %) fulfilled the DSM-IV criteria of schizophrenia syndrome and 76 % (95 % CI 66–86 %) fulfilled the “narrow” definition. There were no large differences in the accuracy of the diagnoses between regions or clinics. Conclusion: The proportion of “true” cases of schizophrenia is high in the Swedish National Inpatient Register. In addition, the results did not support large differences between clinics or regions although a larger sample size would be needed to test this formally. In comparison with earlier studies from the Nordic countries the validity seems to be quite stable over time, between different ages at onset and between Nordic countries. Thus, the registers are well suited to be used in schizophrenia research.","author":[{"dropping-particle":"","family":"Dalman","given":"Ch.","non-dropping-particle":"","parse-names":false,"suffix":""},{"dropping-particle":"","family":"Broms","given":"J","non-dropping-particle":"","parse-names":false,"suffix":""},{"dropping-particle":"","family":"Cullberg","given":"J","non-dropping-particle":"","parse-names":false,"suffix":""},{"dropping-particle":"","family":"Allebeck","given":"P","non-dropping-particle":"","parse-names":false,"suffix":""}],"container-title":"Social Psychiatry and Psychiatric Epidemiology","id":"ITEM-2","issue":"11","issued":{"date-parts":[["2002"]]},"page":"527-531","title":"Young cases of schizophrenia identified in a national inpatient register","type":"article-journal","volume":"37"},"uris":["http://www.mendeley.com/documents/?uuid=b7634e24-e5e7-4248-b4b7-877f3585086d"]}],"mendeley":{"formattedCitation":"&lt;sup&gt;2,3&lt;/sup&gt;","plainTextFormattedCitation":"2,3","previouslyFormattedCitation":"&lt;sup&gt;2,3&lt;/sup&gt;"},"properties":{"noteIndex":0},"schema":"https://github.com/citation-style-language/schema/raw/master/csl-citation.json"}</w:instrText>
      </w:r>
      <w:r w:rsidR="00823D9B" w:rsidRPr="0061109F">
        <w:rPr>
          <w:rFonts w:ascii="Calibri" w:hAnsi="Calibri" w:cs="Calibri"/>
          <w:sz w:val="22"/>
          <w:szCs w:val="22"/>
        </w:rPr>
        <w:fldChar w:fldCharType="separate"/>
      </w:r>
      <w:r w:rsidR="00CD0F54" w:rsidRPr="0061109F">
        <w:rPr>
          <w:rFonts w:ascii="Calibri" w:hAnsi="Calibri" w:cs="Calibri"/>
          <w:noProof/>
          <w:sz w:val="22"/>
          <w:szCs w:val="22"/>
          <w:vertAlign w:val="superscript"/>
        </w:rPr>
        <w:t>2,3</w:t>
      </w:r>
      <w:r w:rsidR="00823D9B" w:rsidRPr="0061109F">
        <w:rPr>
          <w:rFonts w:ascii="Calibri" w:hAnsi="Calibri" w:cs="Calibri"/>
          <w:sz w:val="22"/>
          <w:szCs w:val="22"/>
        </w:rPr>
        <w:fldChar w:fldCharType="end"/>
      </w:r>
      <w:bookmarkEnd w:id="1"/>
      <w:r w:rsidR="004E52CA" w:rsidRPr="0061109F">
        <w:rPr>
          <w:rFonts w:ascii="Calibri" w:hAnsi="Calibri" w:cs="Calibri"/>
          <w:sz w:val="22"/>
          <w:szCs w:val="22"/>
        </w:rPr>
        <w:t xml:space="preserve"> </w:t>
      </w:r>
      <w:r w:rsidR="00823D9B" w:rsidRPr="0061109F">
        <w:rPr>
          <w:rFonts w:ascii="Calibri" w:hAnsi="Calibri" w:cs="Calibri"/>
          <w:sz w:val="22"/>
          <w:szCs w:val="22"/>
        </w:rPr>
        <w:t>using the same definition as the population-based analyses: hospitalized ≥2 times with a SCZ or schizoaffective disorder discharge diagnosis</w:t>
      </w:r>
      <w:r w:rsidR="00C279ED" w:rsidRPr="0061109F">
        <w:rPr>
          <w:rFonts w:ascii="Calibri" w:hAnsi="Calibri" w:cs="Calibri"/>
          <w:sz w:val="22"/>
          <w:szCs w:val="22"/>
        </w:rPr>
        <w:t xml:space="preserve"> (</w:t>
      </w:r>
      <w:r w:rsidR="00B22E68" w:rsidRPr="0061109F">
        <w:rPr>
          <w:rFonts w:ascii="Calibri" w:hAnsi="Calibri" w:cs="Calibri"/>
          <w:b/>
          <w:i/>
          <w:sz w:val="22"/>
          <w:szCs w:val="22"/>
        </w:rPr>
        <w:t>Supplementary</w:t>
      </w:r>
      <w:r w:rsidR="00B22E68" w:rsidRPr="0061109F">
        <w:rPr>
          <w:rFonts w:ascii="Calibri" w:hAnsi="Calibri" w:cs="Calibri"/>
          <w:sz w:val="22"/>
          <w:szCs w:val="22"/>
        </w:rPr>
        <w:t xml:space="preserve"> </w:t>
      </w:r>
      <w:r w:rsidR="00C279ED" w:rsidRPr="0061109F">
        <w:rPr>
          <w:rFonts w:ascii="Calibri" w:hAnsi="Calibri" w:cs="Calibri"/>
          <w:b/>
          <w:i/>
          <w:sz w:val="22"/>
          <w:szCs w:val="22"/>
        </w:rPr>
        <w:t xml:space="preserve">Table </w:t>
      </w:r>
      <w:r w:rsidR="00D23CF7" w:rsidRPr="0061109F">
        <w:rPr>
          <w:rFonts w:ascii="Calibri" w:hAnsi="Calibri" w:cs="Calibri"/>
          <w:b/>
          <w:i/>
          <w:sz w:val="22"/>
          <w:szCs w:val="22"/>
        </w:rPr>
        <w:t>1</w:t>
      </w:r>
      <w:r w:rsidR="00C279ED" w:rsidRPr="0061109F">
        <w:rPr>
          <w:rFonts w:ascii="Calibri" w:hAnsi="Calibri" w:cs="Calibri"/>
          <w:sz w:val="22"/>
          <w:szCs w:val="22"/>
        </w:rPr>
        <w:t>)</w:t>
      </w:r>
      <w:r w:rsidR="007744E6" w:rsidRPr="0061109F">
        <w:rPr>
          <w:rFonts w:ascii="Calibri" w:hAnsi="Calibri" w:cs="Calibri"/>
          <w:sz w:val="22"/>
          <w:szCs w:val="22"/>
        </w:rPr>
        <w:t xml:space="preserve"> and excluded those with high treatment contacts for substance use disorder (≥50 substance use disorder treatment contacts and ≤5 SCZ treatment contacts) or bipolar disorder (≥5 bipolar treatment contacts and ≤5 SCZ treatment contacts).</w:t>
      </w:r>
      <w:r w:rsidR="00823D9B" w:rsidRPr="0061109F">
        <w:rPr>
          <w:rFonts w:ascii="Calibri" w:hAnsi="Calibri" w:cs="Calibri"/>
          <w:sz w:val="22"/>
          <w:szCs w:val="22"/>
          <w:vertAlign w:val="superscript"/>
        </w:rPr>
        <w:fldChar w:fldCharType="begin" w:fldLock="1"/>
      </w:r>
      <w:r w:rsidR="000B086A" w:rsidRPr="0061109F">
        <w:rPr>
          <w:rFonts w:ascii="Calibri" w:hAnsi="Calibri" w:cs="Calibri"/>
          <w:sz w:val="22"/>
          <w:szCs w:val="22"/>
          <w:vertAlign w:val="superscript"/>
        </w:rPr>
        <w:instrText>ADDIN CSL_CITATION {"citationItems":[{"id":"ITEM-1","itemData":{"DOI":"10.1017/S0033291706008385","ISBN":"0033-2917 (Print)\\r0033-2917 (Linking)","ISSN":"0033-2917 (Print)","PMID":"16863597","abstract":"OBJECTIVE: Recurrence risk estimates for schizophrenia are fundamental to our understanding of this complex disease. Widely cited estimates are from small/older samples. If these estimates are biased upwards, then the rationale for molecular genetic studies of schizophrenia may not be as solid. METHOD: We created a population-based, Swedish national cohort by linking two Swedish national registers into a relational database (the Swedish Hospital Discharge Register and the Multi-Generation Register). Affection was defined as the lifetime presence of at least two in-patient hospitalizations with a core schizophrenia diagnosis. RESULTS: Merging the Swedish national registers created a population-based cohort of 7,739,202 individuals of known parentage. The lifetime prevalence of the narrow definition of schizophrenia was 0.407% and we estimated that one in every 79 extended Swedish families had been impacted by schizophrenia. The proportion of affected families with multiple affected members was 3.81%. Recurrence risk estimates for all relative types were strikingly similar to those reported in smaller and older studies. For example, we estimated lambda(sibs) at 8.55 [95% confidence interval (CI) 7.86-9.57] compared with a literature estimate of 8.6. CONCLUSIONS: In the largest and most comprehensive sample yet studied, we confirm the accepted estimates of recurrence risks for schizophrenia, and provide more accurate estimates of recurrence risks of schizophrenia in relatives, an estimate of the familial impact of schizophrenia, and the multiplex proportion (essential for gauging the generalizability of findings from multiplex pedigrees). These data may be valuable for planning and interpreting genetic studies of schizophrenia.","author":[{"dropping-particle":"","family":"Lichtenstein","given":"Paul","non-dropping-particle":"","parse-names":false,"suffix":""},{"dropping-particle":"","family":"Bjork","given":"Camilla","non-dropping-particle":"","parse-names":false,"suffix":""},{"dropping-particle":"","family":"Hultman","given":"Christina M.","non-dropping-particle":"","parse-names":false,"suffix":""},{"dropping-particle":"","family":"Scolnick","given":"Edward","non-dropping-particle":"","parse-names":false,"suffix":""},{"dropping-particle":"","family":"Sklar","given":"Pamela","non-dropping-particle":"","parse-names":false,"suffix":""},{"dropping-particle":"","family":"Sullivan","given":"Patrick F.","non-dropping-particle":"","parse-names":false,"suffix":""},{"dropping-particle":"","family":"BJÖRK","given":"CAMILLA","non-dropping-particle":"","parse-names":false,"suffix":""},{"dropping-particle":"","family":"Hultman","given":"Christina M.","non-dropping-particle":"","parse-names":false,"suffix":""},{"dropping-particle":"","family":"Scolnick","given":"Edward","non-dropping-particle":"","parse-names":false,"suffix":""},{"dropping-particle":"","family":"Sklar","given":"Pamela","non-dropping-particle":"","parse-names":false,"suffix":""},{"dropping-particle":"","family":"Sullivan","given":"Patrick F.","non-dropping-particle":"","parse-names":false,"suffix":""},{"dropping-particle":"","family":"Bjork","given":"Camilla","non-dropping-particle":"","parse-names":false,"suffix":""},{"dropping-particle":"","family":"Hultman","given":"Christina M.","non-dropping-particle":"","parse-names":false,"suffix":""},{"dropping-particle":"","family":"Scolnick","given":"Edward","non-dropping-particle":"","parse-names":false,"suffix":""},{"dropping-particle":"","family":"Sklar","given":"Pamela","non-dropping-particle":"","parse-names":false,"suffix":""},{"dropping-particle":"","family":"Sullivan","given":"Patrick F.","non-dropping-particle":"","parse-names":false,"suffix":""}],"container-title":"Psychological Medicine","id":"ITEM-1","issue":"10","issued":{"date-parts":[["2006","10","25"]]},"language":"eng","page":"1417-1425","publisher-place":"England","title":"Recurrence risks for schizophrenia in a Swedish National Cohort","type":"article-journal","volume":"36"},"uris":["http://www.mendeley.com/documents/?uuid=f543f88b-5f92-4c2f-9a78-1c648db7f6f7"]}],"mendeley":{"formattedCitation":"&lt;sup&gt;8&lt;/sup&gt;","plainTextFormattedCitation":"8","previouslyFormattedCitation":"&lt;sup&gt;8&lt;/sup&gt;"},"properties":{"noteIndex":0},"schema":"https://github.com/citation-style-language/schema/raw/master/csl-citation.json"}</w:instrText>
      </w:r>
      <w:r w:rsidR="00823D9B" w:rsidRPr="0061109F">
        <w:rPr>
          <w:rFonts w:ascii="Calibri" w:hAnsi="Calibri" w:cs="Calibri"/>
          <w:sz w:val="22"/>
          <w:szCs w:val="22"/>
          <w:vertAlign w:val="superscript"/>
        </w:rPr>
        <w:fldChar w:fldCharType="separate"/>
      </w:r>
      <w:r w:rsidR="00D3131C" w:rsidRPr="0061109F">
        <w:rPr>
          <w:rFonts w:ascii="Calibri" w:hAnsi="Calibri" w:cs="Calibri"/>
          <w:noProof/>
          <w:sz w:val="22"/>
          <w:szCs w:val="22"/>
          <w:vertAlign w:val="superscript"/>
        </w:rPr>
        <w:t>8</w:t>
      </w:r>
      <w:r w:rsidR="00823D9B" w:rsidRPr="0061109F">
        <w:rPr>
          <w:rFonts w:ascii="Calibri" w:hAnsi="Calibri" w:cs="Calibri"/>
          <w:sz w:val="22"/>
          <w:szCs w:val="22"/>
          <w:vertAlign w:val="superscript"/>
        </w:rPr>
        <w:fldChar w:fldCharType="end"/>
      </w:r>
      <w:r w:rsidR="00823D9B" w:rsidRPr="0061109F">
        <w:rPr>
          <w:rFonts w:ascii="Calibri" w:hAnsi="Calibri" w:cs="Calibri"/>
          <w:sz w:val="22"/>
          <w:szCs w:val="22"/>
          <w:vertAlign w:val="superscript"/>
        </w:rPr>
        <w:t xml:space="preserve"> </w:t>
      </w:r>
      <w:r w:rsidR="00823D9B" w:rsidRPr="0061109F">
        <w:rPr>
          <w:rFonts w:ascii="Calibri" w:hAnsi="Calibri" w:cs="Calibri"/>
          <w:sz w:val="22"/>
          <w:szCs w:val="22"/>
        </w:rPr>
        <w:t>Th</w:t>
      </w:r>
      <w:r w:rsidR="00C279ED" w:rsidRPr="0061109F">
        <w:rPr>
          <w:rFonts w:ascii="Calibri" w:hAnsi="Calibri" w:cs="Calibri"/>
          <w:sz w:val="22"/>
          <w:szCs w:val="22"/>
        </w:rPr>
        <w:t xml:space="preserve">e SCZ </w:t>
      </w:r>
      <w:r w:rsidR="00823D9B" w:rsidRPr="0061109F">
        <w:rPr>
          <w:rFonts w:ascii="Calibri" w:hAnsi="Calibri" w:cs="Calibri"/>
          <w:sz w:val="22"/>
          <w:szCs w:val="22"/>
        </w:rPr>
        <w:t>definition has been validated clinically, genetic epidemiologically, and genetically,</w:t>
      </w:r>
      <w:r w:rsidR="00823D9B" w:rsidRPr="0061109F">
        <w:rPr>
          <w:rFonts w:ascii="Calibri" w:hAnsi="Calibri" w:cs="Calibri"/>
          <w:sz w:val="22"/>
          <w:szCs w:val="22"/>
        </w:rPr>
        <w:fldChar w:fldCharType="begin" w:fldLock="1"/>
      </w:r>
      <w:r w:rsidR="000B086A" w:rsidRPr="0061109F">
        <w:rPr>
          <w:rFonts w:ascii="Calibri" w:hAnsi="Calibri" w:cs="Calibri"/>
          <w:sz w:val="22"/>
          <w:szCs w:val="22"/>
        </w:rPr>
        <w:instrText>ADDIN CSL_CITATION {"citationItems":[{"id":"ITEM-1","itemData":{"DOI":"10.1038/nature13595","ISBN":"0028-0836","ISSN":"1476-4687","PMID":"25056061","abstract":"Schizophrenia is a highly heritable disorder. Genetic risk is conferred by a large number of alleles, including common alleles of small effect that might be detected by genome-wide association studies. Here we report a multi-stage schizophrenia genome-wide association study of up to 36,989 cases and 113,075 controls. We identify 128 independent associations spanning 108 conservatively defined loci that meet genome-wide significance, 83 of which have not been previously reported. Associations were enriched among genes expressed in brain, providing biological plausibility for the findings. Many findings have the potential to provide entirely new insights into aetiology, but associations at DRD2 and several genes involved in glutamatergic neurotransmission highlight molecules of known and potential therapeutic relevance to schizophrenia, and are consistent with leading pathophysiological hypotheses. Independent of genes expressed in brain, associations were enriched among genes expressed in tissues that have important roles in immunity, providing support for the speculated link between the immune system and schizophrenia.","author":[{"dropping-particle":"","family":"Schizophrenia Working Group of the Psychiatric Genomics Consortium","given":"","non-dropping-particle":"","parse-names":false,"suffix":""}],"container-title":"Nature","id":"ITEM-1","issue":"7510","issued":{"date-parts":[["2014","7","24"]]},"page":"421-7","title":"Biological insights from 108 schizophrenia-associated genetic loci.","type":"article-journal","volume":"511"},"uris":["http://www.mendeley.com/documents/?uuid=273840de-6c98-3d42-8b38-c1ef6c474baf"]}],"mendeley":{"formattedCitation":"&lt;sup&gt;9&lt;/sup&gt;","plainTextFormattedCitation":"9","previouslyFormattedCitation":"&lt;sup&gt;9&lt;/sup&gt;"},"properties":{"noteIndex":0},"schema":"https://github.com/citation-style-language/schema/raw/master/csl-citation.json"}</w:instrText>
      </w:r>
      <w:r w:rsidR="00823D9B" w:rsidRPr="0061109F">
        <w:rPr>
          <w:rFonts w:ascii="Calibri" w:hAnsi="Calibri" w:cs="Calibri"/>
          <w:sz w:val="22"/>
          <w:szCs w:val="22"/>
        </w:rPr>
        <w:fldChar w:fldCharType="separate"/>
      </w:r>
      <w:r w:rsidR="00D3131C" w:rsidRPr="0061109F">
        <w:rPr>
          <w:rFonts w:ascii="Calibri" w:hAnsi="Calibri" w:cs="Calibri"/>
          <w:noProof/>
          <w:sz w:val="22"/>
          <w:szCs w:val="22"/>
          <w:vertAlign w:val="superscript"/>
        </w:rPr>
        <w:t>9</w:t>
      </w:r>
      <w:r w:rsidR="00823D9B" w:rsidRPr="0061109F">
        <w:rPr>
          <w:rFonts w:ascii="Calibri" w:hAnsi="Calibri" w:cs="Calibri"/>
          <w:sz w:val="22"/>
          <w:szCs w:val="22"/>
        </w:rPr>
        <w:fldChar w:fldCharType="end"/>
      </w:r>
      <w:r w:rsidR="00823D9B" w:rsidRPr="0061109F">
        <w:rPr>
          <w:rFonts w:ascii="Calibri" w:hAnsi="Calibri" w:cs="Calibri"/>
          <w:sz w:val="22"/>
          <w:szCs w:val="22"/>
        </w:rPr>
        <w:t xml:space="preserve"> and has high agreement with medical</w:t>
      </w:r>
      <w:r w:rsidR="00823D9B" w:rsidRPr="0061109F">
        <w:rPr>
          <w:rFonts w:ascii="Calibri" w:hAnsi="Calibri" w:cs="Calibri"/>
          <w:sz w:val="22"/>
          <w:szCs w:val="22"/>
        </w:rPr>
        <w:fldChar w:fldCharType="begin" w:fldLock="1"/>
      </w:r>
      <w:r w:rsidR="00DF3FFC" w:rsidRPr="0061109F">
        <w:rPr>
          <w:rFonts w:ascii="Calibri" w:hAnsi="Calibri" w:cs="Calibri"/>
          <w:sz w:val="22"/>
          <w:szCs w:val="22"/>
        </w:rPr>
        <w:instrText>ADDIN CSL_CITATION {"citationItems":[{"id":"ITEM-1","itemData":{"DOI":"10.3109/08039488709103182","ISSN":"0029-1455","author":[{"dropping-particle":"","family":"Kristjansson","given":"Einar","non-dropping-particle":"","parse-names":false,"suffix":""},{"dropping-particle":"","family":"Allebeck","given":"Peter","non-dropping-particle":"","parse-names":false,"suffix":""},{"dropping-particle":"","family":"Wistedt","given":"Börje","non-dropping-particle":"","parse-names":false,"suffix":""}],"container-title":"Nordisk Psykiatrisk Tidsskrift","id":"ITEM-1","issue":"3","issued":{"date-parts":[["1987","1","1"]]},"note":"doi: 10.3109/08039488709103182","page":"229-234","publisher":"Taylor &amp; Francis","title":"Validity of the diagnosis schizophrenia in a psychiatric inpatient register: A retrospective application of DSM-III criteria on ICD-8 diagnoses in Stockholm county","type":"article-journal","volume":"41"},"uris":["http://www.mendeley.com/documents/?uuid=21accf66-592e-445f-91ad-8d007f8d455e"]},{"id":"ITEM-2","itemData":{"DOI":"10.1007/s00127-002-0582-3","ISSN":"1433-9285","abstract":"Background: Psychiatric inpatient registers are often used in research in the Nordic countries. We aimed to investigate the validity of recorded diagnoses of schizophrenia in the Swedish National Inpatient Register, in cases of early age at onset. We also wanted to describe the accuracy of the diagnoses in cities/university clinics and country hospitals as well as in child and adolescent psychiatric clinics and clinics for adults. Method: One hundred cases with a diagnosis of schizophrenia, born 1973–1977, were randomly selected. The psychiatric records were scrutinised according to the criteria of DSM-IV. Results: Eighty-six per cent (95 % CI 78–93 %) fulfilled the DSM-IV criteria of schizophrenia syndrome and 76 % (95 % CI 66–86 %) fulfilled the “narrow” definition. There were no large differences in the accuracy of the diagnoses between regions or clinics. Conclusion: The proportion of “true” cases of schizophrenia is high in the Swedish National Inpatient Register. In addition, the results did not support large differences between clinics or regions although a larger sample size would be needed to test this formally. In comparison with earlier studies from the Nordic countries the validity seems to be quite stable over time, between different ages at onset and between Nordic countries. Thus, the registers are well suited to be used in schizophrenia research.","author":[{"dropping-particle":"","family":"Dalman","given":"Ch.","non-dropping-particle":"","parse-names":false,"suffix":""},{"dropping-particle":"","family":"Broms","given":"J","non-dropping-particle":"","parse-names":false,"suffix":""},{"dropping-particle":"","family":"Cullberg","given":"J","non-dropping-particle":"","parse-names":false,"suffix":""},{"dropping-particle":"","family":"Allebeck","given":"P","non-dropping-particle":"","parse-names":false,"suffix":""}],"container-title":"Social Psychiatry and Psychiatric Epidemiology","id":"ITEM-2","issue":"11","issued":{"date-parts":[["2002"]]},"page":"527-531","title":"Young cases of schizophrenia identified in a national inpatient register","type":"article-journal","volume":"37"},"uris":["http://www.mendeley.com/documents/?uuid=b7634e24-e5e7-4248-b4b7-877f3585086d"]}],"mendeley":{"formattedCitation":"&lt;sup&gt;2,3&lt;/sup&gt;","plainTextFormattedCitation":"2,3","previouslyFormattedCitation":"&lt;sup&gt;2,3&lt;/sup&gt;"},"properties":{"noteIndex":0},"schema":"https://github.com/citation-style-language/schema/raw/master/csl-citation.json"}</w:instrText>
      </w:r>
      <w:r w:rsidR="00823D9B" w:rsidRPr="0061109F">
        <w:rPr>
          <w:rFonts w:ascii="Calibri" w:hAnsi="Calibri" w:cs="Calibri"/>
          <w:sz w:val="22"/>
          <w:szCs w:val="22"/>
        </w:rPr>
        <w:fldChar w:fldCharType="separate"/>
      </w:r>
      <w:r w:rsidR="00CD0F54" w:rsidRPr="0061109F">
        <w:rPr>
          <w:rFonts w:ascii="Calibri" w:hAnsi="Calibri" w:cs="Calibri"/>
          <w:noProof/>
          <w:sz w:val="22"/>
          <w:szCs w:val="22"/>
          <w:vertAlign w:val="superscript"/>
        </w:rPr>
        <w:t>2,3</w:t>
      </w:r>
      <w:r w:rsidR="00823D9B" w:rsidRPr="0061109F">
        <w:rPr>
          <w:rFonts w:ascii="Calibri" w:hAnsi="Calibri" w:cs="Calibri"/>
          <w:sz w:val="22"/>
          <w:szCs w:val="22"/>
        </w:rPr>
        <w:fldChar w:fldCharType="end"/>
      </w:r>
      <w:r w:rsidR="00823D9B" w:rsidRPr="0061109F">
        <w:rPr>
          <w:rFonts w:ascii="Calibri" w:hAnsi="Calibri" w:cs="Calibri"/>
          <w:sz w:val="22"/>
          <w:szCs w:val="22"/>
        </w:rPr>
        <w:t xml:space="preserve"> and psychiatric diagnoses.</w:t>
      </w:r>
      <w:r w:rsidR="00823D9B" w:rsidRPr="0061109F">
        <w:rPr>
          <w:rFonts w:ascii="Calibri" w:hAnsi="Calibri" w:cs="Calibri"/>
          <w:sz w:val="22"/>
          <w:szCs w:val="22"/>
          <w:vertAlign w:val="superscript"/>
        </w:rPr>
        <w:fldChar w:fldCharType="begin" w:fldLock="1"/>
      </w:r>
      <w:r w:rsidR="000B086A" w:rsidRPr="0061109F">
        <w:rPr>
          <w:rFonts w:ascii="Calibri" w:hAnsi="Calibri" w:cs="Calibri"/>
          <w:sz w:val="22"/>
          <w:szCs w:val="22"/>
          <w:vertAlign w:val="superscript"/>
        </w:rPr>
        <w:instrText>ADDIN CSL_CITATION {"citationItems":[{"id":"ITEM-1","itemData":{"DOI":"10.1080/08039480500360906","ISSN":"0803-9488 (Print)","PMID":"16316898","abstract":"We aimed to estimate the value of structured interviews, medical records and Swedish register diagnoses for assessing lifetime diagnosis of patients with schizophrenia. Psychiatric records and diagnostic interviews of 143 Swedish patients diagnosed by their treating physician with schizophrenia and related disorders were scrutinized. Based on record analysis only, or a combined record and interview analysis, DSM-IV diagnoses were obtained by the OPCRIT algorithm. Independent of the OPCRIT algorithm, a standard research DSM-IV diagnosis, based on both record and interview analysis, was given by the research psychiatrist. Concordance rates for the different psychosis diagnoses were calculated. DSM-IV diagnoses based on records only, showed a good to excellent agreement with diagnoses based on records and interviews. Swedish register diagnoses displayed generally poor agreement with the research diagnoses. Nevertheless, 94% of subjects sometimes registered with a diagnosis of schizophrenic psychoses (i.e. schizophrenia, schizoaffective psychosis or schizophreniform disorder) displayed a standard research DSM-IV diagnosis of these disorders. For patients in long-term treatment for schizophrenia in Sweden, psychiatric record reviews should be optimal, cost effective and sufficient for assessment of lifetime research diagnoses of schizophrenia. For these patients a research interview adds little new information. The results further indicate that a Swedish register diagnosis of schizophrenic psychoses has a high positive predictive power to a standard research DSM-IV diagnosis of the disorders. It is concluded that for future Swedish large-scale genetic studies focusing on a broad definition of schizophrenia, it would be sufficient to rely on the Swedish register diagnoses of schizophrenic psychosis.","author":[{"dropping-particle":"","family":"Ekholm","given":"Birgit","non-dropping-particle":"","parse-names":false,"suffix":""},{"dropping-particle":"","family":"Ekholm","given":"Andreas","non-dropping-particle":"","parse-names":false,"suffix":""},{"dropping-particle":"","family":"Adolfsson","given":"Rolf","non-dropping-particle":"","parse-names":false,"suffix":""},{"dropping-particle":"","family":"Vares","given":"Maria","non-dropping-particle":"","parse-names":false,"suffix":""},{"dropping-particle":"","family":"Osby","given":"Urban","non-dropping-particle":"","parse-names":false,"suffix":""},{"dropping-particle":"","family":"Sedvall","given":"Goran C","non-dropping-particle":"","parse-names":false,"suffix":""},{"dropping-particle":"","family":"Jonsson","given":"Erik G","non-dropping-particle":"","parse-names":false,"suffix":""}],"container-title":"Nordic journal of psychiatry","id":"ITEM-1","issue":"6","issued":{"date-parts":[["2005"]]},"language":"eng","page":"457-464","publisher-place":"England","title":"Evaluation of diagnostic procedures in Swedish patients with schizophrenia and related psychoses.","type":"article-journal","volume":"59"},"uris":["http://www.mendeley.com/documents/?uuid=c179078f-db27-42fe-b640-5bb7c4b9b911"]}],"mendeley":{"formattedCitation":"&lt;sup&gt;10&lt;/sup&gt;","plainTextFormattedCitation":"10","previouslyFormattedCitation":"&lt;sup&gt;10&lt;/sup&gt;"},"properties":{"noteIndex":0},"schema":"https://github.com/citation-style-language/schema/raw/master/csl-citation.json"}</w:instrText>
      </w:r>
      <w:r w:rsidR="00823D9B" w:rsidRPr="0061109F">
        <w:rPr>
          <w:rFonts w:ascii="Calibri" w:hAnsi="Calibri" w:cs="Calibri"/>
          <w:sz w:val="22"/>
          <w:szCs w:val="22"/>
          <w:vertAlign w:val="superscript"/>
        </w:rPr>
        <w:fldChar w:fldCharType="separate"/>
      </w:r>
      <w:r w:rsidR="00D3131C" w:rsidRPr="0061109F">
        <w:rPr>
          <w:rFonts w:ascii="Calibri" w:hAnsi="Calibri" w:cs="Calibri"/>
          <w:noProof/>
          <w:sz w:val="22"/>
          <w:szCs w:val="22"/>
          <w:vertAlign w:val="superscript"/>
        </w:rPr>
        <w:t>10</w:t>
      </w:r>
      <w:r w:rsidR="00823D9B" w:rsidRPr="0061109F">
        <w:rPr>
          <w:rFonts w:ascii="Calibri" w:hAnsi="Calibri" w:cs="Calibri"/>
          <w:sz w:val="22"/>
          <w:szCs w:val="22"/>
          <w:vertAlign w:val="superscript"/>
        </w:rPr>
        <w:fldChar w:fldCharType="end"/>
      </w:r>
      <w:r w:rsidR="00823D9B" w:rsidRPr="0061109F">
        <w:rPr>
          <w:rFonts w:ascii="Calibri" w:hAnsi="Calibri" w:cs="Calibri"/>
          <w:sz w:val="22"/>
          <w:szCs w:val="22"/>
        </w:rPr>
        <w:t xml:space="preserve"> </w:t>
      </w:r>
      <w:r w:rsidR="0082216C" w:rsidRPr="0061109F">
        <w:rPr>
          <w:rFonts w:ascii="Calibri" w:hAnsi="Calibri" w:cs="Calibri"/>
          <w:sz w:val="22"/>
          <w:szCs w:val="22"/>
        </w:rPr>
        <w:t xml:space="preserve">Participants were followed from </w:t>
      </w:r>
      <w:r w:rsidR="00EF494F" w:rsidRPr="0061109F">
        <w:rPr>
          <w:rFonts w:ascii="Calibri" w:hAnsi="Calibri" w:cs="Calibri"/>
          <w:sz w:val="22"/>
          <w:szCs w:val="22"/>
        </w:rPr>
        <w:t xml:space="preserve">DNA </w:t>
      </w:r>
      <w:r w:rsidR="0082216C" w:rsidRPr="0061109F">
        <w:rPr>
          <w:rFonts w:ascii="Calibri" w:hAnsi="Calibri" w:cs="Calibri"/>
          <w:sz w:val="22"/>
          <w:szCs w:val="22"/>
        </w:rPr>
        <w:t>sampling until death or end of the register data period (December 31, 2018).</w:t>
      </w:r>
      <w:r w:rsidR="003B55D7" w:rsidRPr="0061109F">
        <w:rPr>
          <w:rFonts w:ascii="Calibri" w:hAnsi="Calibri" w:cs="Calibri"/>
          <w:sz w:val="22"/>
          <w:szCs w:val="22"/>
        </w:rPr>
        <w:t xml:space="preserve"> Emigration data was </w:t>
      </w:r>
      <w:r w:rsidR="00BD4565" w:rsidRPr="0061109F">
        <w:rPr>
          <w:rFonts w:ascii="Calibri" w:hAnsi="Calibri" w:cs="Calibri"/>
          <w:sz w:val="22"/>
          <w:szCs w:val="22"/>
        </w:rPr>
        <w:t>un</w:t>
      </w:r>
      <w:r w:rsidR="003B55D7" w:rsidRPr="0061109F">
        <w:rPr>
          <w:rFonts w:ascii="Calibri" w:hAnsi="Calibri" w:cs="Calibri"/>
          <w:sz w:val="22"/>
          <w:szCs w:val="22"/>
        </w:rPr>
        <w:t>available for this cohort.</w:t>
      </w:r>
    </w:p>
    <w:p w14:paraId="23A8494C" w14:textId="43735FE1" w:rsidR="00BC30F5" w:rsidRPr="0061109F" w:rsidRDefault="00BC30F5" w:rsidP="000B086A">
      <w:pPr>
        <w:pStyle w:val="Kaarina"/>
        <w:spacing w:line="480" w:lineRule="auto"/>
        <w:rPr>
          <w:sz w:val="22"/>
          <w:szCs w:val="22"/>
          <w:lang w:val="en-CA"/>
        </w:rPr>
      </w:pPr>
      <w:r w:rsidRPr="0061109F">
        <w:rPr>
          <w:sz w:val="22"/>
          <w:szCs w:val="22"/>
          <w:lang w:val="en-CA"/>
        </w:rPr>
        <w:t>Age in both cohorts was defined as age at emigration (for population-based only), death, or end of the follow-up period.</w:t>
      </w:r>
      <w:r w:rsidR="009830FF" w:rsidRPr="0061109F">
        <w:rPr>
          <w:sz w:val="22"/>
          <w:szCs w:val="22"/>
          <w:lang w:val="en-CA"/>
        </w:rPr>
        <w:t xml:space="preserve"> The number of SCZ in- and outpatient admissions</w:t>
      </w:r>
      <w:r w:rsidR="009830FF" w:rsidRPr="0061109F">
        <w:rPr>
          <w:sz w:val="22"/>
          <w:szCs w:val="22"/>
        </w:rPr>
        <w:t xml:space="preserve"> were log-transformed.</w:t>
      </w:r>
    </w:p>
    <w:p w14:paraId="39137C5E" w14:textId="2F50FF4F" w:rsidR="00823D9B" w:rsidRPr="0061109F" w:rsidRDefault="00823D9B" w:rsidP="000B086A">
      <w:pPr>
        <w:pStyle w:val="Heading4"/>
        <w:spacing w:line="480" w:lineRule="auto"/>
        <w:rPr>
          <w:b/>
          <w:i w:val="0"/>
          <w:color w:val="auto"/>
          <w:sz w:val="22"/>
          <w:szCs w:val="22"/>
        </w:rPr>
      </w:pPr>
      <w:r w:rsidRPr="0061109F">
        <w:rPr>
          <w:b/>
          <w:i w:val="0"/>
          <w:color w:val="auto"/>
          <w:sz w:val="22"/>
          <w:szCs w:val="22"/>
        </w:rPr>
        <w:t>Data sources</w:t>
      </w:r>
    </w:p>
    <w:p w14:paraId="06165999" w14:textId="6E201FD0" w:rsidR="006D70F4" w:rsidRPr="0061109F" w:rsidRDefault="00A640A0" w:rsidP="000B086A">
      <w:pPr>
        <w:pStyle w:val="KOWALEC-base"/>
        <w:jc w:val="both"/>
        <w:rPr>
          <w:rFonts w:cs="Calibri"/>
          <w:color w:val="auto"/>
        </w:rPr>
      </w:pPr>
      <w:r w:rsidRPr="0061109F">
        <w:rPr>
          <w:rFonts w:cs="Calibri"/>
          <w:color w:val="auto"/>
        </w:rPr>
        <w:t>Years of education were provided by the Longitudinal Integration Database for Health Insurance and Labour Market.</w:t>
      </w:r>
      <w:r w:rsidRPr="0061109F">
        <w:rPr>
          <w:rFonts w:cs="Calibri"/>
          <w:color w:val="auto"/>
        </w:rPr>
        <w:fldChar w:fldCharType="begin" w:fldLock="1"/>
      </w:r>
      <w:r w:rsidR="000B086A" w:rsidRPr="0061109F">
        <w:rPr>
          <w:rFonts w:cs="Calibri"/>
          <w:color w:val="auto"/>
        </w:rPr>
        <w:instrText>ADDIN CSL_CITATION {"citationItems":[{"id":"ITEM-1","itemData":{"URL":"http://www.scb.se/statistik /_publikationer/BE9999_2006A01_BR _BE96ST0604.pdf","abstract":"Bakgrundsfakta :Statistikpublikationer kan beställas från SCB, Publikationstjänsten, 701 89 ÖREBRO, e-post: publ@scb.se, telefon: 019-17 68 00, fax: 019-17 64 44. De kan också köpas genom bokhandeln eller direkt hos SCB, Karlavägen 100 i Stockholm. Aktuell publicering redovisas på vår webbplats (www.scb.se). Ytterligare hjälp ges av och Information och bibliotek , e-post: information@scb.se, telefon: 08-506 948 01, fax: 08-506 948 99. Statistical publications can be ordered from Statistics Sweden, Publication Services, SE-701 89 ÖREBRO, Sweden (","accessed":{"date-parts":[["2019","3","27"]]},"author":[{"dropping-particle":"","family":"Statistics Sweden","given":"","non-dropping-particle":"","parse-names":false,"suffix":""}],"id":"ITEM-1","issued":{"date-parts":[["0"]]},"title":"Evaluation of the Swedish register of education","type":"webpage"},"uris":["http://www.mendeley.com/documents/?uuid=730817a6-66db-3743-a466-ade95c632e3b"]}],"mendeley":{"formattedCitation":"&lt;sup&gt;11&lt;/sup&gt;","plainTextFormattedCitation":"11","previouslyFormattedCitation":"&lt;sup&gt;11&lt;/sup&gt;"},"properties":{"noteIndex":0},"schema":"https://github.com/citation-style-language/schema/raw/master/csl-citation.json"}</w:instrText>
      </w:r>
      <w:r w:rsidRPr="0061109F">
        <w:rPr>
          <w:rFonts w:cs="Calibri"/>
          <w:color w:val="auto"/>
        </w:rPr>
        <w:fldChar w:fldCharType="separate"/>
      </w:r>
      <w:r w:rsidR="00D3131C" w:rsidRPr="0061109F">
        <w:rPr>
          <w:rFonts w:cs="Calibri"/>
          <w:noProof/>
          <w:color w:val="auto"/>
          <w:vertAlign w:val="superscript"/>
        </w:rPr>
        <w:t>11</w:t>
      </w:r>
      <w:r w:rsidRPr="0061109F">
        <w:rPr>
          <w:rFonts w:cs="Calibri"/>
          <w:color w:val="auto"/>
        </w:rPr>
        <w:fldChar w:fldCharType="end"/>
      </w:r>
      <w:r w:rsidR="00823D9B" w:rsidRPr="0061109F">
        <w:rPr>
          <w:rFonts w:cs="Calibri"/>
          <w:color w:val="auto"/>
        </w:rPr>
        <w:t xml:space="preserve"> For the population-based </w:t>
      </w:r>
      <w:r w:rsidR="00396585" w:rsidRPr="0061109F">
        <w:rPr>
          <w:rFonts w:cs="Calibri"/>
          <w:color w:val="auto"/>
        </w:rPr>
        <w:t>cohort</w:t>
      </w:r>
      <w:r w:rsidR="00823D9B" w:rsidRPr="0061109F">
        <w:rPr>
          <w:rFonts w:cs="Calibri"/>
          <w:color w:val="auto"/>
        </w:rPr>
        <w:t>, the Migration Register contained emigration dates throughout the study period.</w:t>
      </w:r>
      <w:r w:rsidR="006D70F4" w:rsidRPr="0061109F">
        <w:rPr>
          <w:rFonts w:cs="Calibri"/>
          <w:color w:val="auto"/>
        </w:rPr>
        <w:t xml:space="preserve"> The Swedish National Prescribed Drug Register provided redeemed </w:t>
      </w:r>
      <w:r w:rsidR="00836D3A" w:rsidRPr="0061109F">
        <w:rPr>
          <w:rFonts w:cs="Calibri"/>
          <w:color w:val="auto"/>
        </w:rPr>
        <w:lastRenderedPageBreak/>
        <w:t xml:space="preserve">prescriptions for </w:t>
      </w:r>
      <w:r w:rsidR="006D70F4" w:rsidRPr="0061109F">
        <w:rPr>
          <w:rFonts w:cs="Calibri"/>
          <w:color w:val="auto"/>
        </w:rPr>
        <w:t>antipsychotics</w:t>
      </w:r>
      <w:r w:rsidR="00FF026F" w:rsidRPr="0061109F">
        <w:rPr>
          <w:rFonts w:cs="Calibri"/>
          <w:color w:val="auto"/>
        </w:rPr>
        <w:t xml:space="preserve"> (Anatomical Therapeutic Chemical [ATC] Classification: N05A) </w:t>
      </w:r>
      <w:r w:rsidR="006D70F4" w:rsidRPr="0061109F">
        <w:rPr>
          <w:rFonts w:cs="Calibri"/>
          <w:color w:val="auto"/>
        </w:rPr>
        <w:t>in outpatient care.</w:t>
      </w:r>
      <w:r w:rsidR="00510764" w:rsidRPr="0061109F">
        <w:rPr>
          <w:rFonts w:cs="Calibri"/>
          <w:color w:val="auto"/>
        </w:rPr>
        <w:fldChar w:fldCharType="begin" w:fldLock="1"/>
      </w:r>
      <w:r w:rsidR="000B086A" w:rsidRPr="0061109F">
        <w:rPr>
          <w:rFonts w:cs="Calibri"/>
          <w:color w:val="auto"/>
        </w:rPr>
        <w:instrText>ADDIN CSL_CITATION {"citationItems":[{"id":"ITEM-1","itemData":{"DOI":"10.1002/pds.1294","ISBN":"1053-8569","ISSN":"10538569","PMID":"16897791","abstract":"PURPOSE: To describe the content and potentials of the new Swedish national register on prescribed and dispensed medicines. METHODS: The Swedish Prescribed Drug Register contains information about age, sex and unique identifier of the patient as well as the prescriber's profession and practice. Information regarding drug utilization and expenditures for prescribed drugs in the entire Swedish population was extracted from the first six months July-December 2005 and compared with total drug sales in the country including OTC and hospital use. RESULTS: The total quantity of drugs sold in Sweden was 2666 million DDDs, corresponding to 1608 DDD/1000 inhabitants daily. The total expenditures were 1.6 billion Euro. The prescribed drugs, included in the register, accounted for 84% of the total utilization and 77% of the total expenditures. About half of all men and two-thirds of all women in the country purchased drugs. The proportion increased by age. The most common drugs for chronic treatment were diuretics among women (8.8% of the population) and antithrombotic agents among men (7.6%). Psychotropic drugs, corticosteroids and analgesics were more common among women, while men used antithrombotic agents, antidiabetic drugs, lipid lowering agents and ACE inhibitors to a greater extent. CONCLUSIONS: The new register provides valuable data on exposure to drugs and is useful to study patterns of drug utilization. The possibilities for record linkage to other health registers gives from an international perspective good opportunities to explore drug and disease associations and the risks, benefits, effectiveness and health economical effects of drug use.","author":[{"dropping-particle":"","family":"Wettermark","given":"Björn","non-dropping-particle":"","parse-names":false,"suffix":""},{"dropping-particle":"","family":"Hammar","given":"Niklas","non-dropping-particle":"","parse-names":false,"suffix":""},{"dropping-particle":"","family":"Fored","given":"Carl Michael","non-dropping-particle":"","parse-names":false,"suffix":""},{"dropping-particle":"","family":"Leimanis","given":"Andrejs","non-dropping-particle":"","parse-names":false,"suffix":""},{"dropping-particle":"","family":"Olausson","given":"Petra Otterblad","non-dropping-particle":"","parse-names":false,"suffix":""},{"dropping-particle":"","family":"Bergman","given":"Ulf","non-dropping-particle":"","parse-names":false,"suffix":""},{"dropping-particle":"","family":"Persson","given":"Ingemar","non-dropping-particle":"","parse-names":false,"suffix":""},{"dropping-particle":"","family":"Sundström","given":"Anders","non-dropping-particle":"","parse-names":false,"suffix":""},{"dropping-particle":"","family":"Westerholm","given":"Barbro","non-dropping-particle":"","parse-names":false,"suffix":""},{"dropping-particle":"","family":"Rosén","given":"Måns","non-dropping-particle":"","parse-names":false,"suffix":""},{"dropping-particle":"","family":"Otterblad Olausson","given":"P","non-dropping-particle":"","parse-names":false,"suffix":""},{"dropping-particle":"","family":"Bergman","given":"Ulf","non-dropping-particle":"","parse-names":false,"suffix":""},{"dropping-particle":"","family":"Persson","given":"Ingemar","non-dropping-particle":"","parse-names":false,"suffix":""},{"dropping-particle":"","family":"Sundstrom","given":"A","non-dropping-particle":"","parse-names":false,"suffix":""},{"dropping-particle":"","family":"Westerholm","given":"Barbro","non-dropping-particle":"","parse-names":false,"suffix":""},{"dropping-particle":"","family":"Rosen","given":"M","non-dropping-particle":"","parse-names":false,"suffix":""}],"container-title":"Pharmacoepidemiology and Drug Safety","edition":"2006/08/10","id":"ITEM-1","issue":"7","issued":{"date-parts":[["2007","7"]]},"note":"From Duplicate 2 (The new Swedish Prescribed Drug Register--opportunities for pharmacoepidemiological research and experience from the first six months - Wettermark, Björn; Hammar, Niklas; Fored, Carl Michael; Leimanis, Andrejs; Olausson, Petra Otterblad; Bergman, Ulf; Persson, Ingemar; Sundström, Anders; Westerholm, Barbro; Rosén, Måns; Otterblad Olausson, P; Bergman, Ulf; Persson, Ingemar; Sundstrom, A; Westerholm, Barbro; Rosen, M)\n\nFrom Duplicate 1 (The new Swedish Prescribed Drug Register--opportunities for pharmacoepidemiological research and experience from the first six months - Wettermark, B; Hammar, N; Fored, C M; Leimanis, A; Otterblad Olausson, P; Bergman, U; Persson, I; Sundstrom, A; Westerholm, B; Rosen, M)\n\nWettermark, Bjorn\nHammar, Niklas\nFored, Carl Michael\nLeimanis, Andrejs\nOtterblad Olausson, Petra\nBergman, Ulf\nPersson, Ingemar\nSundstrom, Anders\nWesterholm, Barbro\nRosen, Mans\neng\nEngland\nPharmacoepidemiol Drug Saf. 2007 Jul;16(7):726-35.","page":"726-735","title":"The new Swedish Prescribed Drug Register Opportunities for pharmacoepidemiological research and experience from the first six months","type":"article-journal","volume":"16"},"uris":["http://www.mendeley.com/documents/?uuid=a0aa987f-1bd0-449d-a498-58259611ff1a"]}],"mendeley":{"formattedCitation":"&lt;sup&gt;12&lt;/sup&gt;","plainTextFormattedCitation":"12","previouslyFormattedCitation":"&lt;sup&gt;12&lt;/sup&gt;"},"properties":{"noteIndex":0},"schema":"https://github.com/citation-style-language/schema/raw/master/csl-citation.json"}</w:instrText>
      </w:r>
      <w:r w:rsidR="00510764" w:rsidRPr="0061109F">
        <w:rPr>
          <w:rFonts w:cs="Calibri"/>
          <w:color w:val="auto"/>
        </w:rPr>
        <w:fldChar w:fldCharType="separate"/>
      </w:r>
      <w:r w:rsidR="00D3131C" w:rsidRPr="0061109F">
        <w:rPr>
          <w:rFonts w:cs="Calibri"/>
          <w:noProof/>
          <w:color w:val="auto"/>
          <w:vertAlign w:val="superscript"/>
        </w:rPr>
        <w:t>12</w:t>
      </w:r>
      <w:r w:rsidR="00510764" w:rsidRPr="0061109F">
        <w:rPr>
          <w:rFonts w:cs="Calibri"/>
          <w:color w:val="auto"/>
        </w:rPr>
        <w:fldChar w:fldCharType="end"/>
      </w:r>
    </w:p>
    <w:p w14:paraId="6B902A11" w14:textId="77777777" w:rsidR="00823D9B" w:rsidRPr="0061109F" w:rsidRDefault="00823D9B" w:rsidP="000B086A">
      <w:pPr>
        <w:pStyle w:val="Heading4"/>
        <w:spacing w:line="480" w:lineRule="auto"/>
        <w:rPr>
          <w:b/>
          <w:i w:val="0"/>
          <w:color w:val="auto"/>
          <w:sz w:val="22"/>
          <w:szCs w:val="22"/>
        </w:rPr>
      </w:pPr>
      <w:r w:rsidRPr="0061109F">
        <w:rPr>
          <w:b/>
          <w:i w:val="0"/>
          <w:color w:val="auto"/>
          <w:sz w:val="22"/>
          <w:szCs w:val="22"/>
        </w:rPr>
        <w:t>Genomic data processing</w:t>
      </w:r>
    </w:p>
    <w:p w14:paraId="14AAB116" w14:textId="77777777" w:rsidR="00823D9B" w:rsidRPr="0061109F" w:rsidRDefault="00823D9B" w:rsidP="000B086A">
      <w:pPr>
        <w:pStyle w:val="Heading4"/>
        <w:spacing w:line="480" w:lineRule="auto"/>
        <w:rPr>
          <w:b/>
          <w:i w:val="0"/>
          <w:color w:val="auto"/>
          <w:sz w:val="22"/>
          <w:szCs w:val="22"/>
        </w:rPr>
      </w:pPr>
      <w:r w:rsidRPr="0061109F">
        <w:rPr>
          <w:b/>
          <w:i w:val="0"/>
          <w:color w:val="auto"/>
          <w:sz w:val="22"/>
          <w:szCs w:val="22"/>
        </w:rPr>
        <w:t>Genetic risk scores (GRS), common variant burden</w:t>
      </w:r>
    </w:p>
    <w:p w14:paraId="73584379" w14:textId="5493225B" w:rsidR="00823D9B" w:rsidRPr="0061109F" w:rsidRDefault="00925004" w:rsidP="000B086A">
      <w:pPr>
        <w:spacing w:line="480" w:lineRule="auto"/>
        <w:jc w:val="both"/>
        <w:rPr>
          <w:rFonts w:ascii="Calibri" w:hAnsi="Calibri" w:cs="Calibri"/>
          <w:sz w:val="22"/>
          <w:szCs w:val="22"/>
          <w:highlight w:val="yellow"/>
        </w:rPr>
      </w:pPr>
      <w:r w:rsidRPr="0061109F">
        <w:rPr>
          <w:rFonts w:ascii="Calibri" w:hAnsi="Calibri" w:cs="Calibri"/>
          <w:sz w:val="22"/>
          <w:szCs w:val="22"/>
        </w:rPr>
        <w:t>Genotype</w:t>
      </w:r>
      <w:r w:rsidR="00823D9B" w:rsidRPr="0061109F">
        <w:rPr>
          <w:rFonts w:ascii="Calibri" w:hAnsi="Calibri" w:cs="Calibri"/>
          <w:sz w:val="22"/>
          <w:szCs w:val="22"/>
        </w:rPr>
        <w:t xml:space="preserve"> data </w:t>
      </w:r>
      <w:r w:rsidRPr="0061109F">
        <w:rPr>
          <w:rFonts w:ascii="Calibri" w:hAnsi="Calibri" w:cs="Calibri"/>
          <w:sz w:val="22"/>
          <w:szCs w:val="22"/>
        </w:rPr>
        <w:t xml:space="preserve">of the target dataset </w:t>
      </w:r>
      <w:r w:rsidR="00823D9B" w:rsidRPr="0061109F">
        <w:rPr>
          <w:rFonts w:ascii="Calibri" w:hAnsi="Calibri" w:cs="Calibri"/>
          <w:sz w:val="22"/>
          <w:szCs w:val="22"/>
        </w:rPr>
        <w:t>were processed using the PGC Ricopili pipeline</w:t>
      </w:r>
      <w:r w:rsidRPr="0061109F">
        <w:rPr>
          <w:rFonts w:ascii="Calibri" w:hAnsi="Calibri" w:cs="Calibri"/>
          <w:sz w:val="22"/>
          <w:szCs w:val="22"/>
        </w:rPr>
        <w:t>.</w:t>
      </w:r>
      <w:r w:rsidR="00823D9B" w:rsidRPr="0061109F">
        <w:rPr>
          <w:rFonts w:ascii="Calibri" w:hAnsi="Calibri" w:cs="Calibri"/>
          <w:sz w:val="22"/>
          <w:szCs w:val="22"/>
        </w:rPr>
        <w:fldChar w:fldCharType="begin" w:fldLock="1"/>
      </w:r>
      <w:r w:rsidR="000B086A" w:rsidRPr="0061109F">
        <w:rPr>
          <w:rFonts w:ascii="Calibri" w:hAnsi="Calibri" w:cs="Calibri"/>
          <w:sz w:val="22"/>
          <w:szCs w:val="22"/>
        </w:rPr>
        <w:instrText>ADDIN CSL_CITATION {"citationItems":[{"id":"ITEM-1","itemData":{"URL":"https://sites.google.com/a/broadinstitute.org/ricopili/home","accessed":{"date-parts":[["2017","8","14"]]},"author":[{"dropping-particle":"","family":"Ripke","given":"Stephan","non-dropping-particle":"","parse-names":false,"suffix":""}],"id":"ITEM-1","issued":{"date-parts":[["0"]]},"title":"Ricopili - Rapid Imputation Consortium Pipeline","type":"webpage"},"uris":["http://www.mendeley.com/documents/?uuid=9fc46f6b-f65b-43d7-82f7-59ee5cade0d3"]}],"mendeley":{"formattedCitation":"&lt;sup&gt;13&lt;/sup&gt;","plainTextFormattedCitation":"13","previouslyFormattedCitation":"&lt;sup&gt;13&lt;/sup&gt;"},"properties":{"noteIndex":0},"schema":"https://github.com/citation-style-language/schema/raw/master/csl-citation.json"}</w:instrText>
      </w:r>
      <w:r w:rsidR="00823D9B" w:rsidRPr="0061109F">
        <w:rPr>
          <w:rFonts w:ascii="Calibri" w:hAnsi="Calibri" w:cs="Calibri"/>
          <w:sz w:val="22"/>
          <w:szCs w:val="22"/>
        </w:rPr>
        <w:fldChar w:fldCharType="separate"/>
      </w:r>
      <w:r w:rsidR="00D3131C" w:rsidRPr="0061109F">
        <w:rPr>
          <w:rFonts w:ascii="Calibri" w:hAnsi="Calibri" w:cs="Calibri"/>
          <w:noProof/>
          <w:sz w:val="22"/>
          <w:szCs w:val="22"/>
          <w:vertAlign w:val="superscript"/>
        </w:rPr>
        <w:t>13</w:t>
      </w:r>
      <w:r w:rsidR="00823D9B" w:rsidRPr="0061109F">
        <w:rPr>
          <w:rFonts w:ascii="Calibri" w:hAnsi="Calibri" w:cs="Calibri"/>
          <w:sz w:val="22"/>
          <w:szCs w:val="22"/>
        </w:rPr>
        <w:fldChar w:fldCharType="end"/>
      </w:r>
      <w:r w:rsidR="00823D9B" w:rsidRPr="0061109F">
        <w:rPr>
          <w:rFonts w:ascii="Calibri" w:hAnsi="Calibri" w:cs="Calibri"/>
          <w:sz w:val="22"/>
          <w:szCs w:val="22"/>
        </w:rPr>
        <w:t xml:space="preserve"> </w:t>
      </w:r>
      <w:r w:rsidRPr="0061109F">
        <w:rPr>
          <w:rFonts w:ascii="Calibri" w:hAnsi="Calibri" w:cs="Calibri"/>
          <w:sz w:val="22"/>
          <w:szCs w:val="22"/>
        </w:rPr>
        <w:t xml:space="preserve">We excluded </w:t>
      </w:r>
      <w:r w:rsidR="00823D9B" w:rsidRPr="0061109F">
        <w:rPr>
          <w:rFonts w:ascii="Calibri" w:hAnsi="Calibri" w:cs="Calibri"/>
          <w:sz w:val="22"/>
          <w:szCs w:val="22"/>
        </w:rPr>
        <w:t>samples for missingness or high relatedness (</w:t>
      </w:r>
      <m:oMath>
        <m:acc>
          <m:accPr>
            <m:ctrlPr>
              <w:rPr>
                <w:rFonts w:ascii="Cambria Math" w:hAnsi="Cambria Math" w:cs="Calibri"/>
                <w:i/>
                <w:sz w:val="22"/>
                <w:szCs w:val="22"/>
              </w:rPr>
            </m:ctrlPr>
          </m:accPr>
          <m:e>
            <m:r>
              <w:rPr>
                <w:rFonts w:ascii="Cambria Math" w:hAnsi="Cambria Math" w:cs="Calibri"/>
                <w:sz w:val="22"/>
                <w:szCs w:val="22"/>
              </w:rPr>
              <m:t>π</m:t>
            </m:r>
          </m:e>
        </m:acc>
      </m:oMath>
      <w:r w:rsidR="00823D9B" w:rsidRPr="0061109F">
        <w:rPr>
          <w:rFonts w:ascii="Calibri" w:hAnsi="Calibri" w:cs="Calibri"/>
          <w:sz w:val="22"/>
          <w:szCs w:val="22"/>
        </w:rPr>
        <w:t xml:space="preserve"> ≥0</w:t>
      </w:r>
      <w:r w:rsidR="000B086A" w:rsidRPr="0061109F">
        <w:rPr>
          <w:rFonts w:ascii="Calibri" w:hAnsi="Calibri" w:cs="Calibri"/>
          <w:sz w:val="22"/>
          <w:szCs w:val="22"/>
        </w:rPr>
        <w:t>.</w:t>
      </w:r>
      <w:r w:rsidR="00823D9B" w:rsidRPr="0061109F">
        <w:rPr>
          <w:rFonts w:ascii="Calibri" w:hAnsi="Calibri" w:cs="Calibri"/>
          <w:sz w:val="22"/>
          <w:szCs w:val="22"/>
        </w:rPr>
        <w:t>2)</w:t>
      </w:r>
      <w:r w:rsidRPr="0061109F">
        <w:rPr>
          <w:rFonts w:ascii="Calibri" w:hAnsi="Calibri" w:cs="Calibri"/>
          <w:sz w:val="22"/>
          <w:szCs w:val="22"/>
        </w:rPr>
        <w:t xml:space="preserve">. We excluded </w:t>
      </w:r>
      <w:r w:rsidR="00823D9B" w:rsidRPr="0061109F">
        <w:rPr>
          <w:rFonts w:ascii="Calibri" w:hAnsi="Calibri" w:cs="Calibri"/>
          <w:sz w:val="22"/>
          <w:szCs w:val="22"/>
        </w:rPr>
        <w:t>variants</w:t>
      </w:r>
      <w:r w:rsidRPr="0061109F">
        <w:rPr>
          <w:rFonts w:ascii="Calibri" w:hAnsi="Calibri" w:cs="Calibri"/>
          <w:sz w:val="22"/>
          <w:szCs w:val="22"/>
        </w:rPr>
        <w:t xml:space="preserve"> </w:t>
      </w:r>
      <w:r w:rsidR="00823D9B" w:rsidRPr="0061109F">
        <w:rPr>
          <w:rFonts w:ascii="Calibri" w:hAnsi="Calibri" w:cs="Calibri"/>
          <w:sz w:val="22"/>
          <w:szCs w:val="22"/>
        </w:rPr>
        <w:t xml:space="preserve">if they were not biallelic, lacked a dbSNP rsID, were strand ambiguous, had </w:t>
      </w:r>
      <w:r w:rsidRPr="0061109F">
        <w:rPr>
          <w:rFonts w:ascii="Calibri" w:hAnsi="Calibri" w:cs="Calibri"/>
          <w:sz w:val="22"/>
          <w:szCs w:val="22"/>
        </w:rPr>
        <w:t xml:space="preserve">an </w:t>
      </w:r>
      <w:r w:rsidR="00823D9B" w:rsidRPr="0061109F">
        <w:rPr>
          <w:rFonts w:ascii="Calibri" w:hAnsi="Calibri" w:cs="Calibri"/>
          <w:sz w:val="22"/>
          <w:szCs w:val="22"/>
        </w:rPr>
        <w:t>allele frequency &lt;0</w:t>
      </w:r>
      <w:r w:rsidR="000B086A" w:rsidRPr="0061109F">
        <w:rPr>
          <w:rFonts w:ascii="Calibri" w:hAnsi="Calibri" w:cs="Calibri"/>
          <w:sz w:val="22"/>
          <w:szCs w:val="22"/>
        </w:rPr>
        <w:t>.</w:t>
      </w:r>
      <w:r w:rsidR="00823D9B" w:rsidRPr="0061109F">
        <w:rPr>
          <w:rFonts w:ascii="Calibri" w:hAnsi="Calibri" w:cs="Calibri"/>
          <w:sz w:val="22"/>
          <w:szCs w:val="22"/>
        </w:rPr>
        <w:t>05 or &gt;0</w:t>
      </w:r>
      <w:r w:rsidR="000B086A" w:rsidRPr="0061109F">
        <w:rPr>
          <w:rFonts w:ascii="Calibri" w:hAnsi="Calibri" w:cs="Calibri"/>
          <w:sz w:val="22"/>
          <w:szCs w:val="22"/>
        </w:rPr>
        <w:t>.</w:t>
      </w:r>
      <w:r w:rsidR="00823D9B" w:rsidRPr="0061109F">
        <w:rPr>
          <w:rFonts w:ascii="Calibri" w:hAnsi="Calibri" w:cs="Calibri"/>
          <w:sz w:val="22"/>
          <w:szCs w:val="22"/>
        </w:rPr>
        <w:t>95, or poor imputation (INFO score &lt;0</w:t>
      </w:r>
      <w:r w:rsidR="000B086A" w:rsidRPr="0061109F">
        <w:rPr>
          <w:rFonts w:ascii="Calibri" w:hAnsi="Calibri" w:cs="Calibri"/>
          <w:sz w:val="22"/>
          <w:szCs w:val="22"/>
        </w:rPr>
        <w:t>.</w:t>
      </w:r>
      <w:r w:rsidR="00823D9B" w:rsidRPr="0061109F">
        <w:rPr>
          <w:rFonts w:ascii="Calibri" w:hAnsi="Calibri" w:cs="Calibri"/>
          <w:sz w:val="22"/>
          <w:szCs w:val="22"/>
        </w:rPr>
        <w:t>8).</w:t>
      </w:r>
      <w:r w:rsidR="00823D9B" w:rsidRPr="0061109F">
        <w:rPr>
          <w:rFonts w:ascii="Calibri" w:hAnsi="Calibri" w:cs="Calibri"/>
          <w:sz w:val="22"/>
          <w:szCs w:val="22"/>
          <w:vertAlign w:val="superscript"/>
        </w:rPr>
        <w:fldChar w:fldCharType="begin" w:fldLock="1"/>
      </w:r>
      <w:r w:rsidR="000B086A" w:rsidRPr="0061109F">
        <w:rPr>
          <w:rFonts w:ascii="Calibri" w:hAnsi="Calibri" w:cs="Calibri"/>
          <w:sz w:val="22"/>
          <w:szCs w:val="22"/>
          <w:vertAlign w:val="superscript"/>
        </w:rPr>
        <w:instrText>ADDIN CSL_CITATION {"citationItems":[{"id":"ITEM-1","itemData":{"DOI":"10.1371/journal.pgen.1000529","ISBN":"1553-7404 (Electronic) 1553-7390 (Linking)","ISSN":"15537390","PMID":"19543373","abstract":"Genotype imputation methods are now being widely used in the analysis of genome-wide association studies. Most imputation analyses to date have used the HapMap as a reference dataset, but new reference panels (such as controls genotyped on multiple SNP chips and densely typed samples from the 1,000 Genomes Project) will soon allow a broader range of SNPs to be imputed with higher accuracy, thereby increasing power. We describe a genotype imputation method (IMPUTE version 2) that is designed to address the challenges presented by these new datasets. The main innovation of our approach is a flexible modelling framework that increases accuracy and combines information across multiple reference panels while remaining computationally feasible. We find that IMPUTE v2 attains higher accuracy than other methods when the HapMap provides the sole reference panel, but that the size of the panel constrains the improvements that can be made. We also find that imputation accuracy can be greatly enhanced by expanding the reference panel to contain thousands of chromosomes and that IMPUTE v2 outperforms other methods in this setting at both rare and common SNPs, with overall error rates that are 15%-20% lower than those of the closest competing method. One particularly challenging aspect of next-generation association studies is to integrate information across multiple reference panels genotyped on different sets of SNPs; we show that our approach to this problem has practical advantages over other suggested solutions.","author":[{"dropping-particle":"","family":"Howie","given":"Bryan N","non-dropping-particle":"","parse-names":false,"suffix":""},{"dropping-particle":"","family":"Donnelly","given":"Peter","non-dropping-particle":"","parse-names":false,"suffix":""},{"dropping-particle":"","family":"Marchini","given":"Jonathan","non-dropping-particle":"","parse-names":false,"suffix":""}],"container-title":"PLoS Genetics","editor":[{"dropping-particle":"","family":"Schork","given":"Nicholas J.","non-dropping-particle":"","parse-names":false,"suffix":""}],"id":"ITEM-1","issue":"6","issued":{"date-parts":[["2009","6","19"]]},"page":"e1000529","title":"A flexible and accurate genotype imputation method for the next generation of genome-wide association studies","type":"article-journal","volume":"5"},"uris":["http://www.mendeley.com/documents/?uuid=de171e13-bc64-3516-be29-19b5ab358c4f"]}],"mendeley":{"formattedCitation":"&lt;sup&gt;14&lt;/sup&gt;","plainTextFormattedCitation":"14","previouslyFormattedCitation":"&lt;sup&gt;14&lt;/sup&gt;"},"properties":{"noteIndex":0},"schema":"https://github.com/citation-style-language/schema/raw/master/csl-citation.json"}</w:instrText>
      </w:r>
      <w:r w:rsidR="00823D9B" w:rsidRPr="0061109F">
        <w:rPr>
          <w:rFonts w:ascii="Calibri" w:hAnsi="Calibri" w:cs="Calibri"/>
          <w:sz w:val="22"/>
          <w:szCs w:val="22"/>
          <w:vertAlign w:val="superscript"/>
        </w:rPr>
        <w:fldChar w:fldCharType="separate"/>
      </w:r>
      <w:r w:rsidR="00D3131C" w:rsidRPr="0061109F">
        <w:rPr>
          <w:rFonts w:ascii="Calibri" w:hAnsi="Calibri" w:cs="Calibri"/>
          <w:noProof/>
          <w:sz w:val="22"/>
          <w:szCs w:val="22"/>
          <w:vertAlign w:val="superscript"/>
        </w:rPr>
        <w:t>14</w:t>
      </w:r>
      <w:r w:rsidR="00823D9B" w:rsidRPr="0061109F">
        <w:rPr>
          <w:rFonts w:ascii="Calibri" w:hAnsi="Calibri" w:cs="Calibri"/>
          <w:sz w:val="22"/>
          <w:szCs w:val="22"/>
          <w:vertAlign w:val="superscript"/>
        </w:rPr>
        <w:fldChar w:fldCharType="end"/>
      </w:r>
      <w:r w:rsidR="00823D9B" w:rsidRPr="0061109F">
        <w:rPr>
          <w:rFonts w:ascii="Calibri" w:hAnsi="Calibri" w:cs="Calibri"/>
          <w:sz w:val="22"/>
          <w:szCs w:val="22"/>
          <w:vertAlign w:val="superscript"/>
        </w:rPr>
        <w:t xml:space="preserve"> </w:t>
      </w:r>
      <w:r w:rsidR="00823D9B" w:rsidRPr="0061109F">
        <w:rPr>
          <w:rFonts w:ascii="Calibri" w:hAnsi="Calibri" w:cs="Calibri"/>
          <w:sz w:val="22"/>
          <w:szCs w:val="22"/>
        </w:rPr>
        <w:t>We applied linkage disequilibrium-based clumping to select a</w:t>
      </w:r>
      <w:r w:rsidRPr="0061109F">
        <w:rPr>
          <w:rFonts w:ascii="Calibri" w:hAnsi="Calibri" w:cs="Calibri"/>
          <w:sz w:val="22"/>
          <w:szCs w:val="22"/>
        </w:rPr>
        <w:t xml:space="preserve">n </w:t>
      </w:r>
      <w:r w:rsidR="00823D9B" w:rsidRPr="0061109F">
        <w:rPr>
          <w:rFonts w:ascii="Calibri" w:hAnsi="Calibri" w:cs="Calibri"/>
          <w:sz w:val="22"/>
          <w:szCs w:val="22"/>
        </w:rPr>
        <w:t>independent set of single nucleotide polymorphisms (SNPs) to calculate GRS (r</w:t>
      </w:r>
      <w:r w:rsidR="00823D9B" w:rsidRPr="0061109F">
        <w:rPr>
          <w:rFonts w:ascii="Calibri" w:hAnsi="Calibri" w:cs="Calibri"/>
          <w:sz w:val="22"/>
          <w:szCs w:val="22"/>
          <w:vertAlign w:val="superscript"/>
        </w:rPr>
        <w:t>2</w:t>
      </w:r>
      <w:r w:rsidR="00823D9B" w:rsidRPr="0061109F">
        <w:rPr>
          <w:rFonts w:ascii="Calibri" w:hAnsi="Calibri" w:cs="Calibri"/>
          <w:sz w:val="22"/>
          <w:szCs w:val="22"/>
        </w:rPr>
        <w:t xml:space="preserve"> &lt; 0</w:t>
      </w:r>
      <w:r w:rsidR="000B086A" w:rsidRPr="0061109F">
        <w:rPr>
          <w:rFonts w:ascii="Calibri" w:hAnsi="Calibri" w:cs="Calibri"/>
          <w:sz w:val="22"/>
          <w:szCs w:val="22"/>
        </w:rPr>
        <w:t>.</w:t>
      </w:r>
      <w:r w:rsidR="00823D9B" w:rsidRPr="0061109F">
        <w:rPr>
          <w:rFonts w:ascii="Calibri" w:hAnsi="Calibri" w:cs="Calibri"/>
          <w:sz w:val="22"/>
          <w:szCs w:val="22"/>
        </w:rPr>
        <w:t>1 in 1 Mb windows using 1000 Genomes Project European samples as reference). Using PLINK (v1</w:t>
      </w:r>
      <w:r w:rsidR="000B086A" w:rsidRPr="0061109F">
        <w:rPr>
          <w:rFonts w:ascii="Calibri" w:hAnsi="Calibri" w:cs="Calibri"/>
          <w:sz w:val="22"/>
          <w:szCs w:val="22"/>
        </w:rPr>
        <w:t>.</w:t>
      </w:r>
      <w:r w:rsidR="00823D9B" w:rsidRPr="0061109F">
        <w:rPr>
          <w:rFonts w:ascii="Calibri" w:hAnsi="Calibri" w:cs="Calibri"/>
          <w:sz w:val="22"/>
          <w:szCs w:val="22"/>
        </w:rPr>
        <w:t>9),</w:t>
      </w:r>
      <w:r w:rsidR="00823D9B" w:rsidRPr="0061109F">
        <w:rPr>
          <w:rFonts w:ascii="Calibri" w:hAnsi="Calibri" w:cs="Calibri"/>
          <w:sz w:val="22"/>
          <w:szCs w:val="22"/>
          <w:vertAlign w:val="superscript"/>
        </w:rPr>
        <w:fldChar w:fldCharType="begin" w:fldLock="1"/>
      </w:r>
      <w:r w:rsidR="000B086A" w:rsidRPr="0061109F">
        <w:rPr>
          <w:rFonts w:ascii="Calibri" w:hAnsi="Calibri" w:cs="Calibri"/>
          <w:sz w:val="22"/>
          <w:szCs w:val="22"/>
          <w:vertAlign w:val="superscript"/>
        </w:rPr>
        <w:instrText>ADDIN CSL_CITATION {"citationItems":[{"id":"ITEM-1","itemData":{"DOI":"10.1186/s13742-015-0047-8","ISBN":"2047-217x","ISSN":"2047217X","PMID":"25722852","abstract":"PLINK 1 is a widely used open-source C/C++ toolset for genome-wide association studies (GWAS) and research in population genetics. However, the steady accumulation of data from imputation and whole-genome sequencing studies has exposed a strong need for even faster and more scalable implementations of key functions. In addition, GWAS and population-genetic data now frequently contain probabilistic calls, phase information, and/or multiallelic variants, none of which can be represented by PLINK 1's primary data format. To address these issues, we are developing a second-generation codebase for PLINK. The first major release from this codebase, PLINK 1.9, introduces extensive use of bit-level parallelism, O(sqrt(n))-time/constant-space Hardy-Weinberg equilibrium and Fisher's exact tests, and many other algorithmic improvements. In combination, these changes accelerate most operations by 1-4 orders of magnitude, and allow the program to handle datasets too large to fit in RAM. This will be followed by PLINK 2.0, which will introduce (a) a new data format capable of efficiently representing probabilities, phase, and multiallelic variants, and (b) extensions of many functions to account for the new types of information. The second-generation versions of PLINK will offer dramatic improvements in performance and compatibility. For the first time, users without access to high-end computing resources can perform several essential analyses of the feature-rich and very large genetic datasets coming into use.","author":[{"dropping-particle":"","family":"Chang","given":"Christopher C","non-dropping-particle":"","parse-names":false,"suffix":""},{"dropping-particle":"","family":"Chow","given":"Carson C","non-dropping-particle":"","parse-names":false,"suffix":""},{"dropping-particle":"","family":"Tellier","given":"Laurent Cam","non-dropping-particle":"","parse-names":false,"suffix":""},{"dropping-particle":"","family":"Vattikuti","given":"Shashaank","non-dropping-particle":"","parse-names":false,"suffix":""},{"dropping-particle":"","family":"Purcell","given":"Shaun M","non-dropping-particle":"","parse-names":false,"suffix":""},{"dropping-particle":"","family":"Lee","given":"James J","non-dropping-particle":"","parse-names":false,"suffix":""}],"container-title":"GigaScience","id":"ITEM-1","issue":"1","issued":{"date-parts":[["2015","12","25"]]},"page":"7","title":"Second-generation PLINK: Rising to the challenge of larger and richer datasets","type":"article-journal","volume":"4"},"uris":["http://www.mendeley.com/documents/?uuid=4e1cccbf-4679-35e6-be76-f05f998a8f88"]}],"mendeley":{"formattedCitation":"&lt;sup&gt;15&lt;/sup&gt;","plainTextFormattedCitation":"15","previouslyFormattedCitation":"&lt;sup&gt;15&lt;/sup&gt;"},"properties":{"noteIndex":0},"schema":"https://github.com/citation-style-language/schema/raw/master/csl-citation.json"}</w:instrText>
      </w:r>
      <w:r w:rsidR="00823D9B" w:rsidRPr="0061109F">
        <w:rPr>
          <w:rFonts w:ascii="Calibri" w:hAnsi="Calibri" w:cs="Calibri"/>
          <w:sz w:val="22"/>
          <w:szCs w:val="22"/>
          <w:vertAlign w:val="superscript"/>
        </w:rPr>
        <w:fldChar w:fldCharType="separate"/>
      </w:r>
      <w:r w:rsidR="00D3131C" w:rsidRPr="0061109F">
        <w:rPr>
          <w:rFonts w:ascii="Calibri" w:hAnsi="Calibri" w:cs="Calibri"/>
          <w:noProof/>
          <w:sz w:val="22"/>
          <w:szCs w:val="22"/>
          <w:vertAlign w:val="superscript"/>
        </w:rPr>
        <w:t>15</w:t>
      </w:r>
      <w:r w:rsidR="00823D9B" w:rsidRPr="0061109F">
        <w:rPr>
          <w:rFonts w:ascii="Calibri" w:hAnsi="Calibri" w:cs="Calibri"/>
          <w:sz w:val="22"/>
          <w:szCs w:val="22"/>
          <w:vertAlign w:val="superscript"/>
        </w:rPr>
        <w:fldChar w:fldCharType="end"/>
      </w:r>
      <w:r w:rsidR="00823D9B" w:rsidRPr="0061109F">
        <w:rPr>
          <w:rFonts w:ascii="Calibri" w:hAnsi="Calibri" w:cs="Calibri"/>
          <w:sz w:val="22"/>
          <w:szCs w:val="22"/>
          <w:vertAlign w:val="superscript"/>
        </w:rPr>
        <w:t xml:space="preserve"> </w:t>
      </w:r>
      <w:r w:rsidR="00823D9B" w:rsidRPr="0061109F">
        <w:rPr>
          <w:rFonts w:ascii="Calibri" w:hAnsi="Calibri" w:cs="Calibri"/>
          <w:sz w:val="22"/>
          <w:szCs w:val="22"/>
        </w:rPr>
        <w:t xml:space="preserve">GRS were calculated in the target dataset as the sum of the SNP dosages weighted by the effect from the discovery </w:t>
      </w:r>
      <w:r w:rsidRPr="0061109F">
        <w:rPr>
          <w:rFonts w:ascii="Calibri" w:hAnsi="Calibri" w:cs="Calibri"/>
          <w:sz w:val="22"/>
          <w:szCs w:val="22"/>
        </w:rPr>
        <w:t xml:space="preserve">summary statistics </w:t>
      </w:r>
      <w:r w:rsidR="00823D9B" w:rsidRPr="0061109F">
        <w:rPr>
          <w:rFonts w:ascii="Calibri" w:hAnsi="Calibri" w:cs="Calibri"/>
          <w:sz w:val="22"/>
          <w:szCs w:val="22"/>
        </w:rPr>
        <w:t xml:space="preserve">set across all SNPs under the pre-specified </w:t>
      </w:r>
      <w:r w:rsidR="00823D9B" w:rsidRPr="0061109F">
        <w:rPr>
          <w:rFonts w:ascii="Calibri" w:hAnsi="Calibri" w:cs="Calibri"/>
          <w:i/>
          <w:sz w:val="22"/>
          <w:szCs w:val="22"/>
        </w:rPr>
        <w:t>P</w:t>
      </w:r>
      <w:r w:rsidR="00823D9B" w:rsidRPr="0061109F">
        <w:rPr>
          <w:rFonts w:ascii="Calibri" w:hAnsi="Calibri" w:cs="Calibri"/>
          <w:sz w:val="22"/>
          <w:szCs w:val="22"/>
        </w:rPr>
        <w:t>-value threshold (</w:t>
      </w:r>
      <w:r w:rsidR="00BA231B" w:rsidRPr="0061109F">
        <w:rPr>
          <w:rFonts w:ascii="Calibri" w:hAnsi="Calibri" w:cs="Calibri"/>
          <w:i/>
          <w:sz w:val="22"/>
          <w:szCs w:val="22"/>
        </w:rPr>
        <w:t>p</w:t>
      </w:r>
      <w:r w:rsidR="00823D9B" w:rsidRPr="0061109F">
        <w:rPr>
          <w:rFonts w:ascii="Calibri" w:hAnsi="Calibri" w:cs="Calibri"/>
          <w:sz w:val="22"/>
          <w:szCs w:val="22"/>
        </w:rPr>
        <w:t>≤0</w:t>
      </w:r>
      <w:r w:rsidR="000B086A" w:rsidRPr="0061109F">
        <w:rPr>
          <w:rFonts w:ascii="Calibri" w:hAnsi="Calibri" w:cs="Calibri"/>
          <w:sz w:val="22"/>
          <w:szCs w:val="22"/>
        </w:rPr>
        <w:t>.</w:t>
      </w:r>
      <w:r w:rsidR="00823D9B" w:rsidRPr="0061109F">
        <w:rPr>
          <w:rFonts w:ascii="Calibri" w:hAnsi="Calibri" w:cs="Calibri"/>
          <w:sz w:val="22"/>
          <w:szCs w:val="22"/>
        </w:rPr>
        <w:t xml:space="preserve">05). </w:t>
      </w:r>
      <w:r w:rsidR="00DF3FFC" w:rsidRPr="0061109F">
        <w:rPr>
          <w:rFonts w:ascii="Calibri" w:hAnsi="Calibri" w:cs="Calibri"/>
          <w:sz w:val="22"/>
          <w:szCs w:val="22"/>
        </w:rPr>
        <w:t>We obtained GWAS results for SCZ</w:t>
      </w:r>
      <w:r w:rsidR="00DF3FFC" w:rsidRPr="0061109F">
        <w:rPr>
          <w:rFonts w:ascii="Calibri" w:hAnsi="Calibri" w:cs="Calibri"/>
          <w:sz w:val="22"/>
          <w:szCs w:val="22"/>
        </w:rPr>
        <w:fldChar w:fldCharType="begin" w:fldLock="1"/>
      </w:r>
      <w:r w:rsidR="000B086A" w:rsidRPr="0061109F">
        <w:rPr>
          <w:rFonts w:ascii="Calibri" w:hAnsi="Calibri" w:cs="Calibri"/>
          <w:sz w:val="22"/>
          <w:szCs w:val="22"/>
        </w:rPr>
        <w:instrText>ADDIN CSL_CITATION {"citationItems":[{"id":"ITEM-1","itemData":{"DOI":"10.1038/nature13595","ISBN":"0028-0836","ISSN":"1476-4687","PMID":"25056061","abstract":"Schizophrenia is a highly heritable disorder. Genetic risk is conferred by a large number of alleles, including common alleles of small effect that might be detected by genome-wide association studies. Here we report a multi-stage schizophrenia genome-wide association study of up to 36,989 cases and 113,075 controls. We identify 128 independent associations spanning 108 conservatively defined loci that meet genome-wide significance, 83 of which have not been previously reported. Associations were enriched among genes expressed in brain, providing biological plausibility for the findings. Many findings have the potential to provide entirely new insights into aetiology, but associations at DRD2 and several genes involved in glutamatergic neurotransmission highlight molecules of known and potential therapeutic relevance to schizophrenia, and are consistent with leading pathophysiological hypotheses. Independent of genes expressed in brain, associations were enriched among genes expressed in tissues that have important roles in immunity, providing support for the speculated link between the immune system and schizophrenia.","author":[{"dropping-particle":"","family":"Schizophrenia Working Group of the Psychiatric Genomics Consortium","given":"","non-dropping-particle":"","parse-names":false,"suffix":""}],"container-title":"Nature","id":"ITEM-1","issue":"7510","issued":{"date-parts":[["2014","7","24"]]},"page":"421-7","title":"Biological insights from 108 schizophrenia-associated genetic loci.","type":"article-journal","volume":"511"},"uris":["http://www.mendeley.com/documents/?uuid=273840de-6c98-3d42-8b38-c1ef6c474baf"]}],"mendeley":{"formattedCitation":"&lt;sup&gt;9&lt;/sup&gt;","plainTextFormattedCitation":"9","previouslyFormattedCitation":"&lt;sup&gt;9&lt;/sup&gt;"},"properties":{"noteIndex":0},"schema":"https://github.com/citation-style-language/schema/raw/master/csl-citation.json"}</w:instrText>
      </w:r>
      <w:r w:rsidR="00DF3FFC" w:rsidRPr="0061109F">
        <w:rPr>
          <w:rFonts w:ascii="Calibri" w:hAnsi="Calibri" w:cs="Calibri"/>
          <w:sz w:val="22"/>
          <w:szCs w:val="22"/>
        </w:rPr>
        <w:fldChar w:fldCharType="separate"/>
      </w:r>
      <w:r w:rsidR="00D3131C" w:rsidRPr="0061109F">
        <w:rPr>
          <w:rFonts w:ascii="Calibri" w:hAnsi="Calibri" w:cs="Calibri"/>
          <w:noProof/>
          <w:sz w:val="22"/>
          <w:szCs w:val="22"/>
          <w:vertAlign w:val="superscript"/>
        </w:rPr>
        <w:t>9</w:t>
      </w:r>
      <w:r w:rsidR="00DF3FFC" w:rsidRPr="0061109F">
        <w:rPr>
          <w:rFonts w:ascii="Calibri" w:hAnsi="Calibri" w:cs="Calibri"/>
          <w:sz w:val="22"/>
          <w:szCs w:val="22"/>
        </w:rPr>
        <w:fldChar w:fldCharType="end"/>
      </w:r>
      <w:r w:rsidR="00DF3FFC" w:rsidRPr="0061109F">
        <w:rPr>
          <w:rFonts w:ascii="Calibri" w:hAnsi="Calibri" w:cs="Calibri"/>
          <w:sz w:val="22"/>
          <w:szCs w:val="22"/>
        </w:rPr>
        <w:t xml:space="preserve"> , IQ,</w:t>
      </w:r>
      <w:r w:rsidR="00DF3FFC" w:rsidRPr="0061109F">
        <w:rPr>
          <w:rFonts w:ascii="Calibri" w:hAnsi="Calibri" w:cs="Calibri"/>
          <w:sz w:val="22"/>
          <w:szCs w:val="22"/>
        </w:rPr>
        <w:fldChar w:fldCharType="begin" w:fldLock="1"/>
      </w:r>
      <w:r w:rsidR="000B086A" w:rsidRPr="0061109F">
        <w:rPr>
          <w:rFonts w:ascii="Calibri" w:hAnsi="Calibri" w:cs="Calibri"/>
          <w:sz w:val="22"/>
          <w:szCs w:val="22"/>
        </w:rPr>
        <w:instrText>ADDIN CSL_CITATION {"citationItems":[{"id":"ITEM-1","itemData":{"DOI":"10.1038/s41588-018-0152-6","ISBN":"1546-1718 (Electronic) 1061-4036 (Linking)","ISSN":"15461718","PMID":"29942086","abstract":"Cellular heterogeneity represents one of the greatest challenges in cancer therapeutics. In many malig-nancies, this heterogeneity is generated during tumor evolution through a combination of genetic alterations and epigenetic events that recapitulate normal developmental processes including stem cell self-renewal and differentiation. Many, if not most, tumors display similar hierarchal organization, at the apex of which are ''stem-like cells'' that drive tumor growth, mediate metastasis, and contribute to treatment resistance. Using breast cancer as a model, we discuss how an improved understanding of tumor cellular heterogeneity and plasticity may lead to development of more effective therapeutic strategies. Introduction Generation of Cellular Heterogeneity during Carcinogenesis and Tumor Evolution Several models have been proposed to explain cellular hetero-geneity within tumors. The clonal evolution model has focused on random mutation and clonal selection to generate cellular heterogeneity. Elegant mutational analysis has demonstrated the existence of numerous sub-clones within solid tumors including breast cancer (Kandoth et al., 2013). Cells within these sub-clones may interact through paracrine interactions (Zhang et al., 2015; Rajaram et al., 2015; Fillmore et al., 2010). Further-more, several studies have demonstrated both genetically similar and genetically diverse sub-clones in primary tumors and metastases in individual patients (Ding et al., 2010; Vignot et al., 2013), consistent with clonal evolution models. The cancer stem cell (CSC) model posits that tumors are hierarchically orga-nized and, at the apex of the hierarchy, are cells that display stem cell properties. These properties include self-renewal, as well as the ability to generate more differentiated cells forming the bulk of the tumor. Hierarchical tumor organization was first demon-strated in human leukemia (Bonnet and Dick, 1997). This was followed by the demonstration that solid tumors, including those of the breast (Al-Hajj et al., 2003), colon (O'Brien et al., 2007; Ricci-Vitiani et al., 2007), brain (Singh et al., 2004), ovaries (Zhang et al., 2008), lungs (Eramo et al., 2008), prostate (Collins et al., 2005), and pancreas (Li et al., 2007) display a similar hier-archical organization The existence of CSCs in melanoma re-mains controversial, since the ability of human melanoma cells to initiate tumors in immunosuppressed mice was shown to be dependent on the mouse model sy…","author":[{"dropping-particle":"","family":"Savage","given":"Jeanne E.","non-dropping-particle":"","parse-names":false,"suffix":""},{"dropping-particle":"","family":"Jansen","given":"Philip R.","non-dropping-particle":"","parse-names":false,"suffix":""},{"dropping-particle":"","family":"Stringer","given":"Sven","non-dropping-particle":"","parse-names":false,"suffix":""},{"dropping-particle":"","family":"Watanabe","given":"Kyoko","non-dropping-particle":"","parse-names":false,"suffix":""},{"dropping-particle":"","family":"Bryois","given":"Julien","non-dropping-particle":"","parse-names":false,"suffix":""},{"dropping-particle":"","family":"Leeuw","given":"Christiaan A.","non-dropping-particle":"De","parse-names":false,"suffix":""},{"dropping-particle":"","family":"Nagel","given":"Mats","non-dropping-particle":"","parse-names":false,"suffix":""},{"dropping-particle":"","family":"Awasthi","given":"Swapnil","non-dropping-particle":"","parse-names":false,"suffix":""},{"dropping-particle":"","family":"Barr","given":"Peter B.","non-dropping-particle":"","parse-names":false,"suffix":""},{"dropping-particle":"","family":"Coleman","given":"Jonathan R.I.","non-dropping-particle":"","parse-names":false,"suffix":""},{"dropping-particle":"","family":"Grasby","given":"Katrina L.","non-dropping-particle":"","parse-names":false,"suffix":""},{"dropping-particle":"","family":"Hammerschlag","given":"Anke R.","non-dropping-particle":"","parse-names":false,"suffix":""},{"dropping-particle":"","family":"Kaminski","given":"Jakob A.","non-dropping-particle":"","parse-names":false,"suffix":""},{"dropping-particle":"","family":"Karlsson","given":"Robert","non-dropping-particle":"","parse-names":false,"suffix":""},{"dropping-particle":"","family":"Krapohl","given":"Eva","non-dropping-particle":"","parse-names":false,"suffix":""},{"dropping-particle":"","family":"Lam","given":"Max","non-dropping-particle":"","parse-names":false,"suffix":""},{"dropping-particle":"","family":"Nygaard","given":"Marianne","non-dropping-particle":"","parse-names":false,"suffix":""},{"dropping-particle":"","family":"Reynolds","given":"Chandra A.","non-dropping-particle":"","parse-names":false,"suffix":""},{"dropping-particle":"","family":"Trampush","given":"Joey W.","non-dropping-particle":"","parse-names":false,"suffix":""},{"dropping-particle":"","family":"Young","given":"Hannah","non-dropping-particle":"","parse-names":false,"suffix":""},{"dropping-particle":"","family":"Zabaneh","given":"Delilah","non-dropping-particle":"","parse-names":false,"suffix":""},{"dropping-particle":"","family":"Hägg","given":"Sara","non-dropping-particle":"","parse-names":false,"suffix":""},{"dropping-particle":"","family":"Hansell","given":"Narelle K.","non-dropping-particle":"","parse-names":false,"suffix":""},{"dropping-particle":"","family":"Karlsson","given":"Ida K.","non-dropping-particle":"","parse-names":false,"suffix":""},{"dropping-particle":"","family":"Linnarsson","given":"Sten","non-dropping-particle":"","parse-names":false,"suffix":""},{"dropping-particle":"","family":"Montgomery","given":"Grant W.","non-dropping-particle":"","parse-names":false,"suffix":""},{"dropping-particle":"","family":"Muñoz-Manchado","given":"Ana B.","non-dropping-particle":"","parse-names":false,"suffix":""},{"dropping-particle":"","family":"Quinlan","given":"Erin B.","non-dropping-particle":"","parse-names":false,"suffix":""},{"dropping-particle":"","family":"Schumann","given":"Gunter","non-dropping-particle":"","parse-names":false,"suffix":""},{"dropping-particle":"","family":"Skene","given":"Nathan G.","non-dropping-particle":"","parse-names":false,"suffix":""},{"dropping-particle":"","family":"Webb","given":"Bradley T.","non-dropping-particle":"","parse-names":false,"suffix":""},{"dropping-particle":"","family":"White","given":"Tonya","non-dropping-particle":"","parse-names":false,"suffix":""},{"dropping-particle":"","family":"Arking","given":"Dan E.","non-dropping-particle":"","parse-names":false,"suffix":""},{"dropping-particle":"","family":"Avramopoulos","given":"Dimitrios","non-dropping-particle":"","parse-names":false,"suffix":""},{"dropping-particle":"","family":"Bilder","given":"Robert M.","non-dropping-particle":"","parse-names":false,"suffix":""},{"dropping-particle":"","family":"Bitsios","given":"Panos","non-dropping-particle":"","parse-names":false,"suffix":""},{"dropping-particle":"","family":"Burdick","given":"Katherine E.","non-dropping-particle":"","parse-names":false,"suffix":""},{"dropping-particle":"","family":"Cannon","given":"Tyrone D.","non-dropping-particle":"","parse-names":false,"suffix":""},{"dropping-particle":"","family":"Chiba-Falek","given":"Ornit","non-dropping-particle":"","parse-names":false,"suffix":""},{"dropping-particle":"","family":"Christoforou","given":"Andrea","non-dropping-particle":"","parse-names":false,"suffix":""},{"dropping-particle":"","family":"Cirulli","given":"Elizabeth T.","non-dropping-particle":"","parse-names":false,"suffix":""},{"dropping-particle":"","family":"Congdon","given":"Eliza","non-dropping-particle":"","parse-names":false,"suffix":""},{"dropping-particle":"","family":"Corvin","given":"Aiden","non-dropping-particle":"","parse-names":false,"suffix":""},{"dropping-particle":"","family":"Davies","given":"Gail","non-dropping-particle":"","parse-names":false,"suffix":""},{"dropping-particle":"","family":"Deary","given":"Ian J.","non-dropping-particle":"","parse-names":false,"suffix":""},{"dropping-particle":"","family":"Derosse","given":"Pamela","non-dropping-particle":"","parse-names":false,"suffix":""},{"dropping-particle":"","family":"Dickinson","given":"Dwight","non-dropping-particle":"","parse-names":false,"suffix":""},{"dropping-particle":"","family":"Djurovic","given":"Srdjan","non-dropping-particle":"","parse-names":false,"suffix":""},{"dropping-particle":"","family":"Donohoe","given":"Gary","non-dropping-particle":"","parse-names":false,"suffix":""},{"dropping-particle":"","family":"Conley","given":"Emily Drabant","non-dropping-particle":"","parse-names":false,"suffix":""},{"dropping-particle":"","family":"Eriksson","given":"Johan G.","non-dropping-particle":"","parse-names":false,"suffix":""},{"dropping-particle":"","family":"Espeseth","given":"Thomas","non-dropping-particle":"","parse-names":false,"suffix":""},{"dropping-particle":"","family":"Freimer","given":"Nelson A.","non-dropping-particle":"","parse-names":false,"suffix":""},{"dropping-particle":"","family":"Giakoumaki","given":"Stella","non-dropping-particle":"","parse-names":false,"suffix":""},{"dropping-particle":"","family":"Giegling","given":"Ina","non-dropping-particle":"","parse-names":false,"suffix":""},{"dropping-particle":"","family":"Gill","given":"Michael","non-dropping-particle":"","parse-names":false,"suffix":""},{"dropping-particle":"","family":"Glahn","given":"David C.","non-dropping-particle":"","parse-names":false,"suffix":""},{"dropping-particle":"","family":"Hariri","given":"Ahmad R.","non-dropping-particle":"","parse-names":false,"suffix":""},{"dropping-particle":"","family":"Hatzimanolis","given":"Alex","non-dropping-particle":"","parse-names":false,"suffix":""},{"dropping-particle":"","family":"Keller","given":"Matthew C.","non-dropping-particle":"","parse-names":false,"suffix":""},{"dropping-particle":"","family":"Knowles","given":"Emma","non-dropping-particle":"","parse-names":false,"suffix":""},{"dropping-particle":"","family":"Koltai","given":"Deborah","non-dropping-particle":"","parse-names":false,"suffix":""},{"dropping-particle":"","family":"Konte","given":"Bettina","non-dropping-particle":"","parse-names":false,"suffix":""},{"dropping-particle":"","family":"Lahti","given":"Jari","non-dropping-particle":"","parse-names":false,"suffix":""},{"dropping-particle":"","family":"Hellard","given":"Stephanie","non-dropping-particle":"Le","parse-names":false,"suffix":""},{"dropping-particle":"","family":"Lencz","given":"Todd","non-dropping-particle":"","parse-names":false,"suffix":""},{"dropping-particle":"","family":"Liewald","given":"David C.","non-dropping-particle":"","parse-names":false,"suffix":""},{"dropping-particle":"","family":"London","given":"Edythe","non-dropping-particle":"","parse-names":false,"suffix":""},{"dropping-particle":"","family":"Lundervold","given":"Astri J.","non-dropping-particle":"","parse-names":false,"suffix":""},{"dropping-particle":"","family":"Malhotra","given":"Anil K.","non-dropping-particle":"","parse-names":false,"suffix":""},{"dropping-particle":"","family":"Melle","given":"Ingrid","non-dropping-particle":"","parse-names":false,"suffix":""},{"dropping-particle":"","family":"Morris","given":"Derek","non-dropping-particle":"","parse-names":false,"suffix":""},{"dropping-particle":"","family":"Need","given":"Anna C.","non-dropping-particle":"","parse-names":false,"suffix":""},{"dropping-particle":"","family":"Ollier","given":"William","non-dropping-particle":"","parse-names":false,"suffix":""},{"dropping-particle":"","family":"Palotie","given":"Aarno","non-dropping-particle":"","parse-names":false,"suffix":""},{"dropping-particle":"","family":"Payton","given":"Antony","non-dropping-particle":"","parse-names":false,"suffix":""},{"dropping-particle":"","family":"Pendleton","given":"Neil","non-dropping-particle":"","parse-names":false,"suffix":""},{"dropping-particle":"","family":"Poldrack","given":"Russell A.","non-dropping-particle":"","parse-names":false,"suffix":""},{"dropping-particle":"","family":"Räikkönen","given":"Katri","non-dropping-particle":"","parse-names":false,"suffix":""},{"dropping-particle":"","family":"Reinvang","given":"Ivar","non-dropping-particle":"","parse-names":false,"suffix":""},{"dropping-particle":"","family":"Roussos","given":"Panos","non-dropping-particle":"","parse-names":false,"suffix":""},{"dropping-particle":"","family":"Rujescu","given":"Dan","non-dropping-particle":"","parse-names":false,"suffix":""},{"dropping-particle":"","family":"Sabb","given":"Fred W.","non-dropping-particle":"","parse-names":false,"suffix":""},{"dropping-particle":"","family":"Scult","given":"Matthew A.","non-dropping-particle":"","parse-names":false,"suffix":""},{"dropping-particle":"","family":"Smeland","given":"Olav B.","non-dropping-particle":"","parse-names":false,"suffix":""},{"dropping-particle":"","family":"Smyrnis","given":"Nikolaos","non-dropping-particle":"","parse-names":false,"suffix":""},{"dropping-particle":"","family":"Starr","given":"John M.","non-dropping-particle":"","parse-names":false,"suffix":""},{"dropping-particle":"","family":"Steen","given":"Vidar M.","non-dropping-particle":"","parse-names":false,"suffix":""},{"dropping-particle":"","family":"Stefanis","given":"Nikos C.","non-dropping-particle":"","parse-names":false,"suffix":""},{"dropping-particle":"","family":"Straub","given":"Richard E.","non-dropping-particle":"","parse-names":false,"suffix":""},{"dropping-particle":"","family":"Sundet","given":"Kjetil","non-dropping-particle":"","parse-names":false,"suffix":""},{"dropping-particle":"","family":"Tiemeier","given":"Henning","non-dropping-particle":"","parse-names":false,"suffix":""},{"dropping-particle":"","family":"Voineskos","given":"Aristotle N.","non-dropping-particle":"","parse-names":false,"suffix":""},{"dropping-particle":"","family":"Weinberger","given":"Daniel R.","non-dropping-particle":"","parse-names":false,"suffix":""},{"dropping-particle":"","family":"Widen","given":"Elisabeth","non-dropping-particle":"","parse-names":false,"suffix":""},{"dropping-particle":"","family":"Yu","given":"Jin","non-dropping-particle":"","parse-names":false,"suffix":""},{"dropping-particle":"","family":"Abecasis","given":"Goncalo","non-dropping-particle":"","parse-names":false,"suffix":""},{"dropping-particle":"","family":"Andreassen","given":"Ole A.","non-dropping-particle":"","parse-names":false,"suffix":""},{"dropping-particle":"","family":"Breen","given":"Gerome","non-dropping-particle":"","parse-names":false,"suffix":""},{"dropping-particle":"","family":"Christiansen","given":"Lene","non-dropping-particle":"","parse-names":false,"suffix":""},{"dropping-particle":"","family":"Debrabant","given":"Birgit","non-dropping-particle":"","parse-names":false,"suffix":""},{"dropping-particle":"","family":"Dick","given":"Danielle M.","non-dropping-particle":"","parse-names":false,"suffix":""},{"dropping-particle":"","family":"Heinz","given":"Andreas","non-dropping-particle":"","parse-names":false,"suffix":""},{"dropping-particle":"","family":"Hjerling-Leffler","given":"Jens","non-dropping-particle":"","parse-names":false,"suffix":""},{"dropping-particle":"","family":"Ikram","given":"M. Arfan","non-dropping-particle":"","parse-names":false,"suffix":""},{"dropping-particle":"","family":"Kendler","given":"Kenneth S.","non-dropping-particle":"","parse-names":false,"suffix":""},{"dropping-particle":"","family":"Martin","given":"Nicholas G.","non-dropping-particle":"","parse-names":false,"suffix":""},{"dropping-particle":"","family":"Medland","given":"Sarah E.","non-dropping-particle":"","parse-names":false,"suffix":""},{"dropping-particle":"","family":"Pedersen","given":"Nancy L.","non-dropping-particle":"","parse-names":false,"suffix":""},{"dropping-particle":"","family":"Plomin","given":"Robert","non-dropping-particle":"","parse-names":false,"suffix":""},{"dropping-particle":"","family":"Polderman","given":"Tinca J.C.","non-dropping-particle":"","parse-names":false,"suffix":""},{"dropping-particle":"","family":"Ripke","given":"Stephan","non-dropping-particle":"","parse-names":false,"suffix":""},{"dropping-particle":"","family":"Sluis","given":"Sophie","non-dropping-particle":"Van Der","parse-names":false,"suffix":""},{"dropping-particle":"","family":"Sullivan","given":"Patrick F.","non-dropping-particle":"","parse-names":false,"suffix":""},{"dropping-particle":"","family":"Vrieze","given":"Scott I.","non-dropping-particle":"","parse-names":false,"suffix":""},{"dropping-particle":"","family":"Wright","given":"Margaret J.","non-dropping-particle":"","parse-names":false,"suffix":""},{"dropping-particle":"","family":"Posthuma","given":"Danielle","non-dropping-particle":"","parse-names":false,"suffix":""}],"container-title":"Nature Genetics","id":"ITEM-1","issue":"7","issued":{"date-parts":[["2018","7","25"]]},"page":"912-919","title":"Genome-wide association meta-analysis in 269,867 individuals identifies new genetic and functional links to intelligence","type":"article-journal","volume":"50"},"uris":["http://www.mendeley.com/documents/?uuid=bb600520-46b6-31a9-86f5-010cdab728f2"]}],"mendeley":{"formattedCitation":"&lt;sup&gt;16&lt;/sup&gt;","plainTextFormattedCitation":"16","previouslyFormattedCitation":"&lt;sup&gt;16&lt;/sup&gt;"},"properties":{"noteIndex":0},"schema":"https://github.com/citation-style-language/schema/raw/master/csl-citation.json"}</w:instrText>
      </w:r>
      <w:r w:rsidR="00DF3FFC" w:rsidRPr="0061109F">
        <w:rPr>
          <w:rFonts w:ascii="Calibri" w:hAnsi="Calibri" w:cs="Calibri"/>
          <w:sz w:val="22"/>
          <w:szCs w:val="22"/>
        </w:rPr>
        <w:fldChar w:fldCharType="separate"/>
      </w:r>
      <w:r w:rsidR="00D3131C" w:rsidRPr="0061109F">
        <w:rPr>
          <w:rFonts w:ascii="Calibri" w:hAnsi="Calibri" w:cs="Calibri"/>
          <w:noProof/>
          <w:sz w:val="22"/>
          <w:szCs w:val="22"/>
          <w:vertAlign w:val="superscript"/>
        </w:rPr>
        <w:t>16</w:t>
      </w:r>
      <w:r w:rsidR="00DF3FFC" w:rsidRPr="0061109F">
        <w:rPr>
          <w:rFonts w:ascii="Calibri" w:hAnsi="Calibri" w:cs="Calibri"/>
          <w:sz w:val="22"/>
          <w:szCs w:val="22"/>
        </w:rPr>
        <w:fldChar w:fldCharType="end"/>
      </w:r>
      <w:r w:rsidR="00DF3FFC" w:rsidRPr="0061109F">
        <w:rPr>
          <w:rFonts w:ascii="Calibri" w:hAnsi="Calibri" w:cs="Calibri"/>
          <w:sz w:val="22"/>
          <w:szCs w:val="22"/>
        </w:rPr>
        <w:t xml:space="preserve"> BMI,</w:t>
      </w:r>
      <w:r w:rsidR="00DF3FFC" w:rsidRPr="0061109F">
        <w:rPr>
          <w:rFonts w:ascii="Calibri" w:hAnsi="Calibri" w:cs="Calibri"/>
          <w:sz w:val="22"/>
          <w:szCs w:val="22"/>
        </w:rPr>
        <w:fldChar w:fldCharType="begin" w:fldLock="1"/>
      </w:r>
      <w:r w:rsidR="000B086A" w:rsidRPr="0061109F">
        <w:rPr>
          <w:rFonts w:ascii="Calibri" w:hAnsi="Calibri" w:cs="Calibri"/>
          <w:sz w:val="22"/>
          <w:szCs w:val="22"/>
        </w:rPr>
        <w:instrText xml:space="preserve">ADDIN CSL_CITATION {"citationItems":[{"id":"ITEM-1","itemData":{"DOI":"10.1093/hmg/ddy271","ISSN":"0964-6906","author":[{"dropping-particle":"","family":"Yengo","given":"Loic","non-dropping-particle":"","parse-names":false,"suffix":""},{"dropping-particle":"","family":"Sidorenko","given":"Julia","non-dropping-particle":"","parse-names":false,"suffix":""},{"dropping-particle":"","family":"Kemper","given":"Kathryn E","non-dropping-particle":"","parse-names":false,"suffix":""},{"dropping-particle":"","family":"Zheng","given":"Zhili","non-dropping-particle":"","parse-names":false,"suffix":""},{"dropping-particle":"","family":"Wood","given":"Andrew R","non-dropping-particle":"","parse-names":false,"suffix":""},{"dropping-particle":"","family":"Weedon","given":"Michael N","non-dropping-particle":"","parse-names":false,"suffix":""},{"dropping-particle":"","family":"Frayling","given":"Timothy M","non-dropping-particle":"","parse-names":false,"suffix":""},{"dropping-particle":"","family":"Hirschhorn","given":"Joel","non-dropping-particle":"","parse-names":false,"suffix":""},{"dropping-particle":"","family":"Yang","given":"Jian","non-dropping-particle":"","parse-names":false,"suffix":""},{"dropping-particle":"","family":"Visscher","given":"Peter M","non-dropping-particle":"","parse-names":false,"suffix":""}],"container-title":"Human Molecular Genetics","id":"ITEM-1","issue":"20","issued":{"date-parts":[["2018","10","15"]]},"page":"3641-3649","title":"Meta-analysis of genome-wide association studies for height and body mass index in </w:instrText>
      </w:r>
      <w:r w:rsidR="000B086A" w:rsidRPr="0061109F">
        <w:rPr>
          <w:rFonts w:ascii="Cambria Math" w:hAnsi="Cambria Math" w:cs="Cambria Math"/>
          <w:sz w:val="22"/>
          <w:szCs w:val="22"/>
        </w:rPr>
        <w:instrText>∼</w:instrText>
      </w:r>
      <w:r w:rsidR="000B086A" w:rsidRPr="0061109F">
        <w:rPr>
          <w:rFonts w:ascii="Calibri" w:hAnsi="Calibri" w:cs="Calibri"/>
          <w:sz w:val="22"/>
          <w:szCs w:val="22"/>
        </w:rPr>
        <w:instrText>700000 individuals of European ancestry","type":"article-journal","volume":"27"},"uris":["http://www.mendeley.com/documents/?uuid=96a49560-245c-4557-b8ee-79c6bed87308"]}],"mendeley":{"formattedCitation":"&lt;sup&gt;17&lt;/sup&gt;","plainTextFormattedCitation":"17","previouslyFormattedCitation":"&lt;sup&gt;17&lt;/sup&gt;"},"properties":{"noteIndex":0},"schema":"https://github.com/citation-style-language/schema/raw/master/csl-citation.json"}</w:instrText>
      </w:r>
      <w:r w:rsidR="00DF3FFC" w:rsidRPr="0061109F">
        <w:rPr>
          <w:rFonts w:ascii="Calibri" w:hAnsi="Calibri" w:cs="Calibri"/>
          <w:sz w:val="22"/>
          <w:szCs w:val="22"/>
        </w:rPr>
        <w:fldChar w:fldCharType="separate"/>
      </w:r>
      <w:r w:rsidR="00D3131C" w:rsidRPr="0061109F">
        <w:rPr>
          <w:rFonts w:ascii="Calibri" w:hAnsi="Calibri" w:cs="Calibri"/>
          <w:noProof/>
          <w:sz w:val="22"/>
          <w:szCs w:val="22"/>
          <w:vertAlign w:val="superscript"/>
        </w:rPr>
        <w:t>17</w:t>
      </w:r>
      <w:r w:rsidR="00DF3FFC" w:rsidRPr="0061109F">
        <w:rPr>
          <w:rFonts w:ascii="Calibri" w:hAnsi="Calibri" w:cs="Calibri"/>
          <w:sz w:val="22"/>
          <w:szCs w:val="22"/>
        </w:rPr>
        <w:fldChar w:fldCharType="end"/>
      </w:r>
      <w:r w:rsidR="00DF3FFC" w:rsidRPr="0061109F">
        <w:rPr>
          <w:rFonts w:ascii="Calibri" w:hAnsi="Calibri" w:cs="Calibri"/>
          <w:sz w:val="22"/>
          <w:szCs w:val="22"/>
        </w:rPr>
        <w:t xml:space="preserve"> coronary artery disease,</w:t>
      </w:r>
      <w:r w:rsidR="00DF3FFC" w:rsidRPr="0061109F">
        <w:rPr>
          <w:rFonts w:ascii="Calibri" w:hAnsi="Calibri" w:cs="Calibri"/>
          <w:sz w:val="22"/>
          <w:szCs w:val="22"/>
        </w:rPr>
        <w:fldChar w:fldCharType="begin" w:fldLock="1"/>
      </w:r>
      <w:r w:rsidR="000B086A" w:rsidRPr="0061109F">
        <w:rPr>
          <w:rFonts w:ascii="Calibri" w:hAnsi="Calibri" w:cs="Calibri"/>
          <w:sz w:val="22"/>
          <w:szCs w:val="22"/>
        </w:rPr>
        <w:instrText>ADDIN CSL_CITATION {"citationItems":[{"id":"ITEM-1","itemData":{"DOI":"10.1038/ng.3913","ISSN":"15461718","abstract":"Genome-wide association studies (GWAS) in coronary artery disease (CAD) had identified 66 loci at 'genome-wide significance' (P &lt; 5 × 10 '8) at the time of this analysis, but a much larger number of putative loci at a false discovery rate (FDR) of 5% (refs. 1,2,3,4). Here we leverage an interim release of UK Biobank (UKBB) data to evaluate the validity of the FDR approach. We tested a CAD phenotype inclusive of angina (SOFT; n cases = 10,801) as well as a stricter definition without angina (HARD; n cases = 6,482) and selected cases with the former phenotype to conduct a meta-analysis using the two most recent CAD GWAS. This approach identified 13 new loci at genome-wide significance, 12 of which were on our previous list of loci meeting the 5% FDR threshold, thus providing strong support that the remaining loci identified by FDR represent genuine signals. The 304 independent variants associated at 5% FDR in this study explain 21.2% of CAD heritability and identify 243 loci that implicate pathways in blood vessel morphogenesis as well as lipid metabolism, nitric oxide signaling and inflammation.","author":[{"dropping-particle":"","family":"Nelson","given":"Christopher P.","non-dropping-particle":"","parse-names":false,"suffix":""},{"dropping-particle":"","family":"Goel","given":"Anuj","non-dropping-particle":"","parse-names":false,"suffix":""},{"dropping-particle":"","family":"Butterworth","given":"Adam S.","non-dropping-particle":"","parse-names":false,"suffix":""},{"dropping-particle":"","family":"Kanoni","given":"Stavroula","non-dropping-particle":"","parse-names":false,"suffix":""},{"dropping-particle":"","family":"Webb","given":"Tom R.","non-dropping-particle":"","parse-names":false,"suffix":""},{"dropping-particle":"","family":"Marouli","given":"Eirini","non-dropping-particle":"","parse-names":false,"suffix":""},{"dropping-particle":"","family":"Zeng","given":"Lingyao","non-dropping-particle":"","parse-names":false,"suffix":""},{"dropping-particle":"","family":"Ntalla","given":"Ioanna","non-dropping-particle":"","parse-names":false,"suffix":""},{"dropping-particle":"","family":"Lai","given":"Florence Y.","non-dropping-particle":"","parse-names":false,"suffix":""},{"dropping-particle":"","family":"Hopewell","given":"Jemma C.","non-dropping-particle":"","parse-names":false,"suffix":""},{"dropping-particle":"","family":"Giannakopoulou","given":"Olga","non-dropping-particle":"","parse-names":false,"suffix":""},{"dropping-particle":"","family":"Jiang","given":"Tao","non-dropping-particle":"","parse-names":false,"suffix":""},{"dropping-particle":"","family":"Hamby","given":"Stephen E.","non-dropping-particle":"","parse-names":false,"suffix":""},{"dropping-particle":"","family":"Angelantonio","given":"Emanuele","non-dropping-particle":"Di","parse-names":false,"suffix":""},{"dropping-particle":"","family":"Assimes","given":"Themistocles L.","non-dropping-particle":"","parse-names":false,"suffix":""},{"dropping-particle":"","family":"Bottinger","given":"Erwin P.","non-dropping-particle":"","parse-names":false,"suffix":""},{"dropping-particle":"","family":"Chambers","given":"John C.","non-dropping-particle":"","parse-names":false,"suffix":""},{"dropping-particle":"","family":"Clarke","given":"Robert","non-dropping-particle":"","parse-names":false,"suffix":""},{"dropping-particle":"","family":"Palmer","given":"Colin N.A.","non-dropping-particle":"","parse-names":false,"suffix":""},{"dropping-particle":"","family":"Cubbon","given":"Richard M.","non-dropping-particle":"","parse-names":false,"suffix":""},{"dropping-particle":"","family":"Ellinor","given":"Patrick","non-dropping-particle":"","parse-names":false,"suffix":""},{"dropping-particle":"","family":"Ermel","given":"Raili","non-dropping-particle":"","parse-names":false,"suffix":""},{"dropping-particle":"","family":"Evangelou","given":"Evangelos","non-dropping-particle":"","parse-names":false,"suffix":""},{"dropping-particle":"","family":"Franks","given":"Paul W.","non-dropping-particle":"","parse-names":false,"suffix":""},{"dropping-particle":"","family":"Grace","given":"Christopher","non-dropping-particle":"","parse-names":false,"suffix":""},{"dropping-particle":"","family":"Gu","given":"Dongfeng","non-dropping-particle":"","parse-names":false,"suffix":""},{"dropping-particle":"","family":"Hingorani","given":"Aroon D.","non-dropping-particle":"","parse-names":false,"suffix":""},{"dropping-particle":"","family":"Howson","given":"Joanna M.M.","non-dropping-particle":"","parse-names":false,"suffix":""},{"dropping-particle":"","family":"Ingelsson","given":"Erik","non-dropping-particle":"","parse-names":false,"suffix":""},{"dropping-particle":"","family":"Kastrati","given":"Adnan","non-dropping-particle":"","parse-names":false,"suffix":""},{"dropping-particle":"","family":"Kessler","given":"Thorsten","non-dropping-particle":"","parse-names":false,"suffix":""},{"dropping-particle":"","family":"Kyriakou","given":"Theodosios","non-dropping-particle":"","parse-names":false,"suffix":""},{"dropping-particle":"","family":"Lehtimäki","given":"Terho","non-dropping-particle":"","parse-names":false,"suffix":""},{"dropping-particle":"","family":"Lu","given":"Xiangfeng","non-dropping-particle":"","parse-names":false,"suffix":""},{"dropping-particle":"","family":"Lu","given":"Yingchang","non-dropping-particle":"","parse-names":false,"suffix":""},{"dropping-particle":"","family":"März","given":"Winfried","non-dropping-particle":"","parse-names":false,"suffix":""},{"dropping-particle":"","family":"McPherson","given":"Ruth","non-dropping-particle":"","parse-names":false,"suffix":""},{"dropping-particle":"","family":"Metspalu","given":"Andres","non-dropping-particle":"","parse-names":false,"suffix":""},{"dropping-particle":"","family":"Pujades-Rodriguez","given":"Mar","non-dropping-particle":"","parse-names":false,"suffix":""},{"dropping-particle":"","family":"Ruusalepp","given":"Arno","non-dropping-particle":"","parse-names":false,"suffix":""},{"dropping-particle":"","family":"Schadt","given":"Eric E.","non-dropping-particle":"","parse-names":false,"suffix":""},{"dropping-particle":"","family":"Schmidt","given":"Amand F.","non-dropping-particle":"","parse-names":false,"suffix":""},{"dropping-particle":"","family":"Sweeting","given":"Michael J.","non-dropping-particle":"","parse-names":false,"suffix":""},{"dropping-particle":"","family":"Zalloua","given":"Pierre A.","non-dropping-particle":"","parse-names":false,"suffix":""},{"dropping-particle":"","family":"Alghalayini","given":"Kamal","non-dropping-particle":"","parse-names":false,"suffix":""},{"dropping-particle":"","family":"Keavney","given":"Bernard D.","non-dropping-particle":"","parse-names":false,"suffix":""},{"dropping-particle":"","family":"Kooner","given":"Jaspal S.","non-dropping-particle":"","parse-names":false,"suffix":""},{"dropping-particle":"","family":"Loos","given":"Ruth J.F.","non-dropping-particle":"","parse-names":false,"suffix":""},{"dropping-particle":"","family":"Patel","given":"Riyaz S.","non-dropping-particle":"","parse-names":false,"suffix":""},{"dropping-particle":"","family":"Rutter","given":"Martin K.","non-dropping-particle":"","parse-names":false,"suffix":""},{"dropping-particle":"","family":"Tomaszewski","given":"Maciej","non-dropping-particle":"","parse-names":false,"suffix":""},{"dropping-particle":"","family":"Tzoulaki","given":"Ioanna","non-dropping-particle":"","parse-names":false,"suffix":""},{"dropping-particle":"","family":"Zeggini","given":"Eleftheria","non-dropping-particle":"","parse-names":false,"suffix":""},{"dropping-particle":"","family":"Erdmann","given":"Jeanette","non-dropping-particle":"","parse-names":false,"suffix":""},{"dropping-particle":"","family":"Dedoussis","given":"George","non-dropping-particle":"","parse-names":false,"suffix":""},{"dropping-particle":"","family":"Björkegren","given":"Johan L.M.","non-dropping-particle":"","parse-names":false,"suffix":""},{"dropping-particle":"","family":"Schunkert","given":"Heribert","non-dropping-particle":"","parse-names":false,"suffix":""},{"dropping-particle":"","family":"Farrall","given":"Martin","non-dropping-particle":"","parse-names":false,"suffix":""},{"dropping-particle":"","family":"Danesh","given":"John","non-dropping-particle":"","parse-names":false,"suffix":""},{"dropping-particle":"","family":"Samani","given":"Nilesh J.","non-dropping-particle":"","parse-names":false,"suffix":""},{"dropping-particle":"","family":"Watkins","given":"Hugh","non-dropping-particle":"","parse-names":false,"suffix":""},{"dropping-particle":"","family":"Deloukas","given":"Panos","non-dropping-particle":"","parse-names":false,"suffix":""}],"container-title":"Nature Genetics","id":"ITEM-1","issue":"9","issued":{"date-parts":[["2017","9","1"]]},"page":"1385-1391","publisher":"Nature Publishing Group","title":"Association analyses based on false discovery rate implicate new loci for coronary artery disease","type":"article-journal","volume":"49"},"uris":["http://www.mendeley.com/documents/?uuid=32fe5c9f-de85-3154-bb9f-1c6c6b574668"]}],"mendeley":{"formattedCitation":"&lt;sup&gt;18&lt;/sup&gt;","plainTextFormattedCitation":"18","previouslyFormattedCitation":"&lt;sup&gt;18&lt;/sup&gt;"},"properties":{"noteIndex":0},"schema":"https://github.com/citation-style-language/schema/raw/master/csl-citation.json"}</w:instrText>
      </w:r>
      <w:r w:rsidR="00DF3FFC" w:rsidRPr="0061109F">
        <w:rPr>
          <w:rFonts w:ascii="Calibri" w:hAnsi="Calibri" w:cs="Calibri"/>
          <w:sz w:val="22"/>
          <w:szCs w:val="22"/>
        </w:rPr>
        <w:fldChar w:fldCharType="separate"/>
      </w:r>
      <w:r w:rsidR="00D3131C" w:rsidRPr="0061109F">
        <w:rPr>
          <w:rFonts w:ascii="Calibri" w:hAnsi="Calibri" w:cs="Calibri"/>
          <w:noProof/>
          <w:sz w:val="22"/>
          <w:szCs w:val="22"/>
          <w:vertAlign w:val="superscript"/>
        </w:rPr>
        <w:t>18</w:t>
      </w:r>
      <w:r w:rsidR="00DF3FFC" w:rsidRPr="0061109F">
        <w:rPr>
          <w:rFonts w:ascii="Calibri" w:hAnsi="Calibri" w:cs="Calibri"/>
          <w:sz w:val="22"/>
          <w:szCs w:val="22"/>
        </w:rPr>
        <w:fldChar w:fldCharType="end"/>
      </w:r>
      <w:r w:rsidR="00DF3FFC" w:rsidRPr="0061109F">
        <w:rPr>
          <w:rFonts w:ascii="Calibri" w:hAnsi="Calibri" w:cs="Calibri"/>
          <w:sz w:val="22"/>
          <w:szCs w:val="22"/>
        </w:rPr>
        <w:t xml:space="preserve"> total cholesterol,</w:t>
      </w:r>
      <w:r w:rsidR="00DF3FFC" w:rsidRPr="0061109F">
        <w:rPr>
          <w:rFonts w:ascii="Calibri" w:hAnsi="Calibri" w:cs="Calibri"/>
          <w:sz w:val="22"/>
          <w:szCs w:val="22"/>
        </w:rPr>
        <w:fldChar w:fldCharType="begin" w:fldLock="1"/>
      </w:r>
      <w:r w:rsidR="000B086A" w:rsidRPr="0061109F">
        <w:rPr>
          <w:rFonts w:ascii="Calibri" w:hAnsi="Calibri" w:cs="Calibri"/>
          <w:sz w:val="22"/>
          <w:szCs w:val="22"/>
        </w:rPr>
        <w:instrText>ADDIN CSL_CITATION {"citationItems":[{"id":"ITEM-1","itemData":{"DOI":"10.1038/ng.2797","ISSN":"10614036","PMID":"24097068","abstract":"Levels of low-density lipoprotein (LDL) cholesterol, high-density lipoprotein (HDL) cholesterol, triglycerides and total cholesterol are heritable, modifiable risk factors for coronary artery disease. To identify new loci and refine known loci influencing these lipids, we examined 188,577 individuals using genome-wide and custom genotyping arrays. We identify and annotate 157 loci associated with lipid levels at P &lt; 5 × 10 -8, including 62 loci not previously associated with lipid levels in humans. Using dense genotyping in individuals of European, East Asian, South Asian and African ancestry, we narrow association signals in 12 loci. We find that loci associated with blood lipid levels are often associated with cardiovascular and metabolic traits, including coronary artery disease, type 2 diabetes, blood pressure, waist-hip ratio and body mass index. Our results demonstrate the value of using genetic data from individuals of diverse ancestry and provide insights into the biological mechanisms regulating blood lipids to guide future genetic, biological and therapeutic research. © 2013 Nature America, Inc. All rights reserved.","author":[{"dropping-particle":"","family":"Willer","given":"Cristen J.","non-dropping-particle":"","parse-names":false,"suffix":""},{"dropping-particle":"","family":"Schmidt","given":"Ellen M.","non-dropping-particle":"","parse-names":false,"suffix":""},{"dropping-particle":"","family":"Sengupta","given":"Sebanti","non-dropping-particle":"","parse-names":false,"suffix":""},{"dropping-particle":"","family":"Peloso","given":"Gina M.","non-dropping-particle":"","parse-names":false,"suffix":""},{"dropping-particle":"","family":"Gustafsson","given":"Stefan","non-dropping-particle":"","parse-names":false,"suffix":""},{"dropping-particle":"","family":"Kanoni","given":"Stavroula","non-dropping-particle":"","parse-names":false,"suffix":""},{"dropping-particle":"","family":"Ganna","given":"Andrea","non-dropping-particle":"","parse-names":false,"suffix":""},{"dropping-particle":"","family":"Chen","given":"Jin","non-dropping-particle":"","parse-names":false,"suffix":""},{"dropping-particle":"","family":"Buchkovich","given":"Martin L.","non-dropping-particle":"","parse-names":false,"suffix":""},{"dropping-particle":"","family":"Mora","given":"Samia","non-dropping-particle":"","parse-names":false,"suffix":""},{"dropping-particle":"","family":"Beckmann","given":"Jacques S.","non-dropping-particle":"","parse-names":false,"suffix":""},{"dropping-particle":"","family":"Bragg-Gresham","given":"Jennifer L.","non-dropping-particle":"","parse-names":false,"suffix":""},{"dropping-particle":"","family":"Chang","given":"Hsing Yi","non-dropping-particle":"","parse-names":false,"suffix":""},{"dropping-particle":"","family":"Demirkan","given":"Ayse","non-dropping-particle":"","parse-names":false,"suffix":""},{"dropping-particle":"","family":"Hertog","given":"Heleen M.","non-dropping-particle":"Den","parse-names":false,"suffix":""},{"dropping-particle":"","family":"Do","given":"Ron","non-dropping-particle":"","parse-names":false,"suffix":""},{"dropping-particle":"","family":"Donnelly","given":"Louise A.","non-dropping-particle":"","parse-names":false,"suffix":""},{"dropping-particle":"","family":"Ehret","given":"Georg B.","non-dropping-particle":"","parse-names":false,"suffix":""},{"dropping-particle":"","family":"Esko","given":"Tõnu","non-dropping-particle":"","parse-names":false,"suffix":""},{"dropping-particle":"","family":"Feitosa","given":"Mary F.","non-dropping-particle":"","parse-names":false,"suffix":""},{"dropping-particle":"","family":"Ferreira","given":"Teresa","non-dropping-particle":"","parse-names":false,"suffix":""},{"dropping-particle":"","family":"Fischer","given":"Krista","non-dropping-particle":"","parse-names":false,"suffix":""},{"dropping-particle":"","family":"Fontanillas","given":"Pierre","non-dropping-particle":"","parse-names":false,"suffix":""},{"dropping-particle":"","family":"Fraser","given":"Ross M.","non-dropping-particle":"","parse-names":false,"suffix":""},{"dropping-particle":"","family":"Freitag","given":"Daniel F.","non-dropping-particle":"","parse-names":false,"suffix":""},{"dropping-particle":"","family":"Gurdasani","given":"Deepti","non-dropping-particle":"","parse-names":false,"suffix":""},{"dropping-particle":"","family":"Heikkilä","given":"Kauko","non-dropping-particle":"","parse-names":false,"suffix":""},{"dropping-particle":"","family":"Hyppönen","given":"Elina","non-dropping-particle":"","parse-names":false,"suffix":""},{"dropping-particle":"","family":"Isaacs","given":"Aaron","non-dropping-particle":"","parse-names":false,"suffix":""},{"dropping-particle":"","family":"Jackson","given":"Anne U.","non-dropping-particle":"","parse-names":false,"suffix":""},{"dropping-particle":"","family":"Johansson","given":"Åsa","non-dropping-particle":"","parse-names":false,"suffix":""},{"dropping-particle":"","family":"Johnson","given":"Toby","non-dropping-particle":"","parse-names":false,"suffix":""},{"dropping-particle":"","family":"Kaakinen","given":"Marika","non-dropping-particle":"","parse-names":false,"suffix":""},{"dropping-particle":"","family":"Kettunen","given":"Johannes","non-dropping-particle":"","parse-names":false,"suffix":""},{"dropping-particle":"","family":"Kleber","given":"Marcus E.","non-dropping-particle":"","parse-names":false,"suffix":""},{"dropping-particle":"","family":"Li","given":"Xiaohui","non-dropping-particle":"","parse-names":false,"suffix":""},{"dropping-particle":"","family":"Luan","given":"Jian'an","non-dropping-particle":"","parse-names":false,"suffix":""},{"dropping-particle":"","family":"Lyytikäinen","given":"Leo Pekka","non-dropping-particle":"","parse-names":false,"suffix":""},{"dropping-particle":"","family":"Magnusson","given":"Patrik K.E.","non-dropping-particle":"","parse-names":false,"suffix":""},{"dropping-particle":"","family":"Mangino","given":"Massimo","non-dropping-particle":"","parse-names":false,"suffix":""},{"dropping-particle":"","family":"Mihailov","given":"Evelin","non-dropping-particle":"","parse-names":false,"suffix":""},{"dropping-particle":"","family":"Montasser","given":"May E.","non-dropping-particle":"","parse-names":false,"suffix":""},{"dropping-particle":"","family":"Müller-Nurasyid","given":"Martina","non-dropping-particle":"","parse-names":false,"suffix":""},{"dropping-particle":"","family":"Nolte","given":"Ilja M.","non-dropping-particle":"","parse-names":false,"suffix":""},{"dropping-particle":"","family":"O'Connell","given":"Jeffrey R.","non-dropping-particle":"","parse-names":false,"suffix":""},{"dropping-particle":"","family":"Palmer","given":"Cameron D.","non-dropping-particle":"","parse-names":false,"suffix":""},{"dropping-particle":"","family":"Perola","given":"Markus","non-dropping-particle":"","parse-names":false,"suffix":""},{"dropping-particle":"","family":"Petersen","given":"Ann Kristin","non-dropping-particle":"","parse-names":false,"suffix":""},{"dropping-particle":"","family":"Sanna","given":"Serena","non-dropping-particle":"","parse-names":false,"suffix":""},{"dropping-particle":"","family":"Saxena","given":"Richa","non-dropping-particle":"","parse-names":false,"suffix":""},{"dropping-particle":"","family":"Service","given":"Susan K.","non-dropping-particle":"","parse-names":false,"suffix":""},{"dropping-particle":"","family":"Shah","given":"Sonia","non-dropping-particle":"","parse-names":false,"suffix":""},{"dropping-particle":"","family":"Shungin","given":"Dmitry","non-dropping-particle":"","parse-names":false,"suffix":""},{"dropping-particle":"","family":"Sidore","given":"Carlo","non-dropping-particle":"","parse-names":false,"suffix":""},{"dropping-particle":"","family":"Song","given":"Ci","non-dropping-particle":"","parse-names":false,"suffix":""},{"dropping-particle":"","family":"Strawbridge","given":"Rona J.","non-dropping-particle":"","parse-names":false,"suffix":""},{"dropping-particle":"","family":"Surakka","given":"Ida","non-dropping-particle":"","parse-names":false,"suffix":""},{"dropping-particle":"","family":"Tanaka","given":"Toshiko","non-dropping-particle":"","parse-names":false,"suffix":""},{"dropping-particle":"","family":"Teslovich","given":"Tanya M.","non-dropping-particle":"","parse-names":false,"suffix":""},{"dropping-particle":"","family":"Thorleifsson","given":"Gudmar","non-dropping-particle":"","parse-names":false,"suffix":""},{"dropping-particle":"","family":"Herik","given":"Evita G.","non-dropping-particle":"Van Den","parse-names":false,"suffix":""},{"dropping-particle":"","family":"Voight","given":"Benjamin F.","non-dropping-particle":"","parse-names":false,"suffix":""},{"dropping-particle":"","family":"Volcik","given":"Kelly A.","non-dropping-particle":"","parse-names":false,"suffix":""},{"dropping-particle":"","family":"Waite","given":"Lindsay L.","non-dropping-particle":"","parse-names":false,"suffix":""},{"dropping-particle":"","family":"Wong","given":"Andrew","non-dropping-particle":"","parse-names":false,"suffix":""},{"dropping-particle":"","family":"Wu","given":"Ying","non-dropping-particle":"","parse-names":false,"suffix":""},{"dropping-particle":"","family":"Zhang","given":"Weihua","non-dropping-particle":"","parse-names":false,"suffix":""},{"dropping-particle":"","family":"Absher","given":"Devin","non-dropping-particle":"","parse-names":false,"suffix":""},{"dropping-particle":"","family":"Asiki","given":"Gershim","non-dropping-particle":"","parse-names":false,"suffix":""},{"dropping-particle":"","family":"Barroso","given":"Inês","non-dropping-particle":"","parse-names":false,"suffix":""},{"dropping-particle":"","family":"Been","given":"Latonya F.","non-dropping-particle":"","parse-names":false,"suffix":""},{"dropping-particle":"","family":"Bolton","given":"Jennifer L.","non-dropping-particle":"","parse-names":false,"suffix":""},{"dropping-particle":"","family":"Bonnycastle","given":"Lori L.","non-dropping-particle":"","parse-names":false,"suffix":""},{"dropping-particle":"","family":"Brambilla","given":"Paolo","non-dropping-particle":"","parse-names":false,"suffix":""},{"dropping-particle":"","family":"Burnett","given":"Mary S.","non-dropping-particle":"","parse-names":false,"suffix":""},{"dropping-particle":"","family":"Cesana","given":"Giancarlo","non-dropping-particle":"","parse-names":false,"suffix":""},{"dropping-particle":"","family":"Dimitriou","given":"Maria","non-dropping-particle":"","parse-names":false,"suffix":""},{"dropping-particle":"","family":"Doney","given":"Alex S.F.","non-dropping-particle":"","parse-names":false,"suffix":""},{"dropping-particle":"","family":"Döring","given":"Angela","non-dropping-particle":"","parse-names":false,"suffix":""},{"dropping-particle":"","family":"Elliott","given":"Paul","non-dropping-particle":"","parse-names":false,"suffix":""},{"dropping-particle":"","family":"Epstein","given":"Stephen E.","non-dropping-particle":"","parse-names":false,"suffix":""},{"dropping-particle":"","family":"Eyjolfsson","given":"Gudmundur Ingi","non-dropping-particle":"","parse-names":false,"suffix":""},{"dropping-particle":"","family":"Gigante","given":"Bruna","non-dropping-particle":"","parse-names":false,"suffix":""},{"dropping-particle":"","family":"Goodarzi","given":"Mark O.","non-dropping-particle":"","parse-names":false,"suffix":""},{"dropping-particle":"","family":"Grallert","given":"Harald","non-dropping-particle":"","parse-names":false,"suffix":""},{"dropping-particle":"","family":"Gravito","given":"Martha L.","non-dropping-particle":"","parse-names":false,"suffix":""},{"dropping-particle":"","family":"Groves","given":"Christopher J.","non-dropping-particle":"","parse-names":false,"suffix":""},{"dropping-particle":"","family":"Hallmans","given":"Göran","non-dropping-particle":"","parse-names":false,"suffix":""},{"dropping-particle":"","family":"Hartikainen","given":"Anna Liisa","non-dropping-particle":"","parse-names":false,"suffix":""},{"dropping-particle":"","family":"Hayward","given":"Caroline","non-dropping-particle":"","parse-names":false,"suffix":""},{"dropping-particle":"","family":"Hernandez","given":"Dena","non-dropping-particle":"","parse-names":false,"suffix":""},{"dropping-particle":"","family":"Hicks","given":"Andrew A.","non-dropping-particle":"","parse-names":false,"suffix":""},{"dropping-particle":"","family":"Holm","given":"Hilma","non-dropping-particle":"","parse-names":false,"suffix":""},{"dropping-particle":"","family":"Hung","given":"Yi Jen","non-dropping-particle":"","parse-names":false,"suffix":""},{"dropping-particle":"","family":"Illig","given":"Thomas","non-dropping-particle":"","parse-names":false,"suffix":""},{"dropping-particle":"","family":"Jones","given":"Michelle R.","non-dropping-particle":"","parse-names":false,"suffix":""},{"dropping-particle":"","family":"Kaleebu","given":"Pontiano","non-dropping-particle":"","parse-names":false,"suffix":""},{"dropping-particle":"","family":"Kastelein","given":"John J.P.","non-dropping-particle":"","parse-names":false,"suffix":""},{"dropping-particle":"","family":"Khaw","given":"Kay Tee","non-dropping-particle":"","parse-names":false,"suffix":""},{"dropping-particle":"","family":"Kim","given":"Eric","non-dropping-particle":"","parse-names":false,"suffix":""},{"dropping-particle":"","family":"Klopp","given":"Norman","non-dropping-particle":"","parse-names":false,"suffix":""},{"dropping-particle":"","family":"Komulainen","given":"Pirjo","non-dropping-particle":"","parse-names":false,"suffix":""},{"dropping-particle":"","family":"Kumari","given":"Meena","non-dropping-particle":"","parse-names":false,"suffix":""},{"dropping-particle":"","family":"Langenberg","given":"Claudia","non-dropping-particle":"","parse-names":false,"suffix":""},{"dropping-particle":"","family":"Lehtimäki","given":"Terho","non-dropping-particle":"","parse-names":false,"suffix":""},{"dropping-particle":"","family":"Lin","given":"Shih Yi","non-dropping-particle":"","parse-names":false,"suffix":""},{"dropping-particle":"","family":"Lindström","given":"Jaana","non-dropping-particle":"","parse-names":false,"suffix":""},{"dropping-particle":"","family":"Loos","given":"Ruth J.F.","non-dropping-particle":"","parse-names":false,"suffix":""},{"dropping-particle":"","family":"Mach","given":"François","non-dropping-particle":"","parse-names":false,"suffix":""},{"dropping-particle":"","family":"McArdle","given":"Wendy L.","non-dropping-particle":"","parse-names":false,"suffix":""},{"dropping-particle":"","family":"Meisinger","given":"Christa","non-dropping-particle":"","parse-names":false,"suffix":""},{"dropping-particle":"","family":"Mitchell","given":"Braxton D.","non-dropping-particle":"","parse-names":false,"suffix":""},{"dropping-particle":"","family":"Müller","given":"Gabrielle","non-dropping-particle":"","parse-names":false,"suffix":""},{"dropping-particle":"","family":"Nagaraja","given":"Ramaiah","non-dropping-particle":"","parse-names":false,"suffix":""},{"dropping-particle":"","family":"Narisu","given":"Narisu","non-dropping-particle":"","parse-names":false,"suffix":""},{"dropping-particle":"","family":"Nieminen","given":"Tuomo V.M.","non-dropping-particle":"","parse-names":false,"suffix":""},{"dropping-particle":"","family":"Nsubuga","given":"Rebecca N.","non-dropping-particle":"","parse-names":false,"suffix":""},{"dropping-particle":"","family":"Olafsson","given":"Isleifur","non-dropping-particle":"","parse-names":false,"suffix":""},{"dropping-particle":"","family":"Ong","given":"Ken K.","non-dropping-particle":"","parse-names":false,"suffix":""},{"dropping-particle":"","family":"Palotie","given":"Aarno","non-dropping-particle":"","parse-names":false,"suffix":""},{"dropping-particle":"","family":"Papamarkou","given":"Theodore","non-dropping-particle":"","parse-names":false,"suffix":""},{"dropping-particle":"","family":"Pomilla","given":"Cristina","non-dropping-particle":"","parse-names":false,"suffix":""},{"dropping-particle":"","family":"Pouta","given":"Anneli","non-dropping-particle":"","parse-names":false,"suffix":""},{"dropping-particle":"","family":"Rader","given":"Daniel J.","non-dropping-particle":"","parse-names":false,"suffix":""},{"dropping-particle":"","family":"Reilly","given":"Muredach P.","non-dropping-particle":"","parse-names":false,"suffix":""},{"dropping-particle":"","family":"Ridker","given":"Paul M.","non-dropping-particle":"","parse-names":false,"suffix":""},{"dropping-particle":"","family":"Rivadeneira","given":"Fernando","non-dropping-particle":"","parse-names":false,"suffix":""},{"dropping-particle":"","family":"Rudan","given":"Igor","non-dropping-particle":"","parse-names":false,"suffix":""},{"dropping-particle":"","family":"Ruokonen","given":"Aimo","non-dropping-particle":"","parse-names":false,"suffix":""},{"dropping-particle":"","family":"Samani","given":"Nilesh","non-dropping-particle":"","parse-names":false,"suffix":""},{"dropping-particle":"","family":"Scharnagl","given":"Hubert","non-dropping-particle":"","parse-names":false,"suffix":""},{"dropping-particle":"","family":"Seeley","given":"Janet","non-dropping-particle":"","parse-names":false,"suffix":""},{"dropping-particle":"","family":"Silander","given":"Kaisa","non-dropping-particle":"","parse-names":false,"suffix":""},{"dropping-particle":"","family":"Stancáková","given":"Alena","non-dropping-particle":"","parse-names":false,"suffix":""},{"dropping-particle":"","family":"Stirrups","given":"Kathleen","non-dropping-particle":"","parse-names":false,"suffix":""},{"dropping-particle":"","family":"Swift","given":"Amy J.","non-dropping-particle":"","parse-names":false,"suffix":""},{"dropping-particle":"","family":"Tiret","given":"Laurence","non-dropping-particle":"","parse-names":false,"suffix":""},{"dropping-particle":"","family":"Uitterlinden","given":"Andre G.","non-dropping-particle":"","parse-names":false,"suffix":""},{"dropping-particle":"","family":"Pelt","given":"L. Joost","non-dropping-particle":"Van","parse-names":false,"suffix":""},{"dropping-particle":"","family":"Vedantam","given":"Sailaja","non-dropping-particle":"","parse-names":false,"suffix":""},{"dropping-particle":"","family":"Wainwright","given":"Nicholas","non-dropping-particle":"","parse-names":false,"suffix":""},{"dropping-particle":"","family":"Wijmenga","given":"Cisca","non-dropping-particle":"","parse-names":false,"suffix":""},{"dropping-particle":"","family":"Wild","given":"Sarah H.","non-dropping-particle":"","parse-names":false,"suffix":""},{"dropping-particle":"","family":"Willemsen","given":"Gonneke","non-dropping-particle":"","parse-names":false,"suffix":""},{"dropping-particle":"","family":"Wilsgaard","given":"Tom","non-dropping-particle":"","parse-names":false,"suffix":""},{"dropping-particle":"","family":"Wilson","given":"James F.","non-dropping-particle":"","parse-names":false,"suffix":""},{"dropping-particle":"","family":"Young","given":"Elizabeth H.","non-dropping-particle":"","parse-names":false,"suffix":""},{"dropping-particle":"","family":"Zhao","given":"Jing Hua","non-dropping-particle":"","parse-names":false,"suffix":""},{"dropping-particle":"","family":"Adair","given":"Linda S.","non-dropping-particle":"","parse-names":false,"suffix":""},{"dropping-particle":"","family":"Arveiler","given":"Dominique","non-dropping-particle":"","parse-names":false,"suffix":""},{"dropping-particle":"","family":"Assimes","given":"Themistocles L.","non-dropping-particle":"","parse-names":false,"suffix":""},{"dropping-particle":"","family":"Bandinelli","given":"Stefania","non-dropping-particle":"","parse-names":false,"suffix":""},{"dropping-particle":"","family":"Bennett","given":"Franklyn","non-dropping-particle":"","parse-names":false,"suffix":""},{"dropping-particle":"","family":"Bochud","given":"Murielle","non-dropping-particle":"","parse-names":false,"suffix":""},{"dropping-particle":"","family":"Boehm","given":"Bernhard O.","non-dropping-particle":"","parse-names":false,"suffix":""},{"dropping-particle":"","family":"Boomsma","given":"Dorret I.","non-dropping-particle":"","parse-names":false,"suffix":""},{"dropping-particle":"","family":"Borecki","given":"Ingrid B.","non-dropping-particle":"","parse-names":false,"suffix":""},{"dropping-particle":"","family":"Bornstein","given":"Stefan R.","non-dropping-particle":"","parse-names":false,"suffix":""},{"dropping-particle":"","family":"Bovet","given":"Pascal","non-dropping-particle":"","parse-names":false,"suffix":""},{"dropping-particle":"","family":"Burnier","given":"Michel","non-dropping-particle":"","parse-names":false,"suffix":""},{"dropping-particle":"","family":"Campbell","given":"Harry","non-dropping-particle":"","parse-names":false,"suffix":""},{"dropping-particle":"","family":"Chakravarti","given":"Aravinda","non-dropping-particle":"","parse-names":false,"suffix":""},{"dropping-particle":"","family":"Chambers","given":"John C.","non-dropping-particle":"","parse-names":false,"suffix":""},{"dropping-particle":"","family":"Chen","given":"Yii Der Ida","non-dropping-particle":"","parse-names":false,"suffix":""},{"dropping-particle":"","family":"Collins","given":"Francis S.","non-dropping-particle":"","parse-names":false,"suffix":""},{"dropping-particle":"","family":"Cooper","given":"Richard S.","non-dropping-particle":"","parse-names":false,"suffix":""},{"dropping-particle":"","family":"Danesh","given":"John","non-dropping-particle":"","parse-names":false,"suffix":""},{"dropping-particle":"","family":"Dedoussis","given":"George","non-dropping-particle":"","parse-names":false,"suffix":""},{"dropping-particle":"","family":"Faire","given":"Ulf","non-dropping-particle":"De","parse-names":false,"suffix":""},{"dropping-particle":"","family":"Feranil","given":"Alan B.","non-dropping-particle":"","parse-names":false,"suffix":""},{"dropping-particle":"","family":"Ferrières","given":"Jean","non-dropping-particle":"","parse-names":false,"suffix":""},{"dropping-particle":"","family":"Ferrucci","given":"Luigi","non-dropping-particle":"","parse-names":false,"suffix":""},{"dropping-particle":"","family":"Freimer","given":"Nelson B.","non-dropping-particle":"","parse-names":false,"suffix":""},{"dropping-particle":"","family":"Gieger","given":"Christian","non-dropping-particle":"","parse-names":false,"suffix":""},{"dropping-particle":"","family":"Groop","given":"Leif C.","non-dropping-particle":"","parse-names":false,"suffix":""},{"dropping-particle":"","family":"Gudnason","given":"Vilmundur","non-dropping-particle":"","parse-names":false,"suffix":""},{"dropping-particle":"","family":"Gyllensten","given":"Ulf","non-dropping-particle":"","parse-names":false,"suffix":""},{"dropping-particle":"","family":"Hamsten","given":"Anders","non-dropping-particle":"","parse-names":false,"suffix":""},{"dropping-particle":"","family":"Harris","given":"Tamara B.","non-dropping-particle":"","parse-names":false,"suffix":""},{"dropping-particle":"","family":"Hingorani","given":"Aroon","non-dropping-particle":"","parse-names":false,"suffix":""},{"dropping-particle":"","family":"Hirschhorn","given":"Joel N.","non-dropping-particle":"","parse-names":false,"suffix":""},{"dropping-particle":"","family":"Hofman","given":"Albert","non-dropping-particle":"","parse-names":false,"suffix":""},{"dropping-particle":"","family":"Hovingh","given":"G. Kees","non-dropping-particle":"","parse-names":false,"suffix":""},{"dropping-particle":"","family":"Hsiung","given":"Chao Agnes","non-dropping-particle":"","parse-names":false,"suffix":""},{"dropping-particle":"","family":"Humphries","given":"Steve E.","non-dropping-particle":"","parse-names":false,"suffix":""},{"dropping-particle":"","family":"Hunt","given":"Steven C.","non-dropping-particle":"","parse-names":false,"suffix":""},{"dropping-particle":"","family":"Hveem","given":"Kristian","non-dropping-particle":"","parse-names":false,"suffix":""},{"dropping-particle":"","family":"Iribarren","given":"Carlos","non-dropping-particle":"","parse-names":false,"suffix":""},{"dropping-particle":"","family":"Järvelin","given":"Marjo Riitta","non-dropping-particle":"","parse-names":false,"suffix":""},{"dropping-particle":"","family":"Jula","given":"Antti","non-dropping-particle":"","parse-names":false,"suffix":""},{"dropping-particle":"","family":"Kähönen","given":"Mika","non-dropping-particle":"","parse-names":false,"suffix":""},{"dropping-particle":"","family":"Kaprio","given":"Jaakko","non-dropping-particle":"","parse-names":false,"suffix":""},{"dropping-particle":"","family":"Kesäniemi","given":"Antero","non-dropping-particle":"","parse-names":false,"suffix":""},{"dropping-particle":"","family":"Kivimaki","given":"Mika","non-dropping-particle":"","parse-names":false,"suffix":""},{"dropping-particle":"","family":"Kooner","given":"Jaspal S.","non-dropping-particle":"","parse-names":false,"suffix":""},{"dropping-particle":"","family":"Koudstaal","given":"Peter J.","non-dropping-particle":"","parse-names":false,"suffix":""},{"dropping-particle":"","family":"Krauss","given":"Ronald M.","non-dropping-particle":"","parse-names":false,"suffix":""},{"dropping-particle":"","family":"Kuh","given":"Diana","non-dropping-particle":"","parse-names":false,"suffix":""},{"dropping-particle":"","family":"Kuusisto","given":"Johanna","non-dropping-particle":"","parse-names":false,"suffix":""},{"dropping-particle":"","family":"Kyvik","given":"Kirsten O.","non-dropping-particle":"","parse-names":false,"suffix":""},{"dropping-particle":"","family":"Laakso","given":"Markku","non-dropping-particle":"","parse-names":false,"suffix":""},{"dropping-particle":"","family":"Lakka","given":"Timo A.","non-dropping-particle":"","parse-names":false,"suffix":""},{"dropping-particle":"","family":"Lind","given":"Lars","non-dropping-particle":"","parse-names":false,"suffix":""},{"dropping-particle":"","family":"Lindgren","given":"Cecilia M.","non-dropping-particle":"","parse-names":false,"suffix":""},{"dropping-particle":"","family":"Martin","given":"Nicholas G.","non-dropping-particle":"","parse-names":false,"suffix":""},{"dropping-particle":"","family":"März","given":"Winfried","non-dropping-particle":"","parse-names":false,"suffix":""},{"dropping-particle":"","family":"McCarthy","given":"Mark I.","non-dropping-particle":"","parse-names":false,"suffix":""},{"dropping-particle":"","family":"McKenzie","given":"Colin A.","non-dropping-particle":"","parse-names":false,"suffix":""},{"dropping-particle":"","family":"Meneton","given":"Pierre","non-dropping-particle":"","parse-names":false,"suffix":""},{"dropping-particle":"","family":"Metspalu","given":"Andres","non-dropping-particle":"","parse-names":false,"suffix":""},{"dropping-particle":"","family":"Moilanen","given":"Leena","non-dropping-particle":"","parse-names":false,"suffix":""},{"dropping-particle":"","family":"Morris","given":"Andrew D.","non-dropping-particle":"","parse-names":false,"suffix":""},{"dropping-particle":"","family":"Munroe","given":"Patricia B.","non-dropping-particle":"","parse-names":false,"suffix":""},{"dropping-particle":"","family":"Njølstad","given":"Inger","non-dropping-particle":"","parse-names":false,"suffix":""},{"dropping-particle":"","family":"Pedersen","given":"Nancy L.","non-dropping-particle":"","parse-names":false,"suffix":""},{"dropping-particle":"","family":"Power","given":"Chris","non-dropping-particle":"","parse-names":false,"suffix":""},{"dropping-particle":"","family":"Pramstaller","given":"Peter P.","non-dropping-particle":"","parse-names":false,"suffix":""},{"dropping-particle":"","family":"Price","given":"Jackie F.","non-dropping-particle":"","parse-names":false,"suffix":""},{"dropping-particle":"","family":"Psaty","given":"Bruce M.","non-dropping-particle":"","parse-names":false,"suffix":""},{"dropping-particle":"","family":"Quertermous","given":"Thomas","non-dropping-particle":"","parse-names":false,"suffix":""},{"dropping-particle":"","family":"Rauramaa","given":"Rainer","non-dropping-particle":"","parse-names":false,"suffix":""},{"dropping-particle":"","family":"Saleheen","given":"Danish","non-dropping-particle":"","parse-names":false,"suffix":""},{"dropping-particle":"","family":"Salomaa","given":"Veikko","non-dropping-particle":"","parse-names":false,"suffix":""},{"dropping-particle":"","family":"Sanghera","given":"Dharambir K.","non-dropping-particle":"","parse-names":false,"suffix":""},{"dropping-particle":"","family":"Saramies","given":"Jouko","non-dropping-particle":"","parse-names":false,"suffix":""},{"dropping-particle":"","family":"Schwarz","given":"Peter E.H.","non-dropping-particle":"","parse-names":false,"suffix":""},{"dropping-particle":"","family":"Sheu","given":"Wayne H.H.","non-dropping-particle":"","parse-names":false,"suffix":""},{"dropping-particle":"","family":"Shuldiner","given":"Alan R.","non-dropping-particle":"","parse-names":false,"suffix":""},{"dropping-particle":"","family":"Siegbahn","given":"Agneta","non-dropping-particle":"","parse-names":false,"suffix":""},{"dropping-particle":"","family":"Spector","given":"Tim D.","non-dropping-particle":"","parse-names":false,"suffix":""},{"dropping-particle":"","family":"Stefansson","given":"Kari","non-dropping-particle":"","parse-names":false,"suffix":""},{"dropping-particle":"","family":"Strachan","given":"David P.","non-dropping-particle":"","parse-names":false,"suffix":""},{"dropping-particle":"","family":"Tayo","given":"Bamidele O.","non-dropping-particle":"","parse-names":false,"suffix":""},{"dropping-particle":"","family":"Tremoli","given":"Elena","non-dropping-particle":"","parse-names":false,"suffix":""},{"dropping-particle":"","family":"Tuomilehto","given":"Jaakko","non-dropping-particle":"","parse-names":false,"suffix":""},{"dropping-particle":"","family":"Uusitupa","given":"Matti","non-dropping-particle":"","parse-names":false,"suffix":""},{"dropping-particle":"","family":"Duijn","given":"Cornelia M.","non-dropping-particle":"Van","parse-names":false,"suffix":""},{"dropping-particle":"","family":"Vollenweider","given":"Peter","non-dropping-particle":"","parse-names":false,"suffix":""},{"dropping-particle":"","family":"Wallentin","given":"Lars","non-dropping-particle":"","parse-names":false,"suffix":""},{"dropping-particle":"","family":"Wareham","given":"Nicholas J.","non-dropping-particle":"","parse-names":false,"suffix":""},{"dropping-particle":"","family":"Whitfield","given":"John B.","non-dropping-particle":"","parse-names":false,"suffix":""},{"dropping-particle":"","family":"Wolffenbuttel","given":"Bruce H.R.","non-dropping-particle":"","parse-names":false,"suffix":""},{"dropping-particle":"","family":"Ordovas","given":"Jose M.","non-dropping-particle":"","parse-names":false,"suffix":""},{"dropping-particle":"","family":"Boerwinkle","given":"Eric","non-dropping-particle":"","parse-names":false,"suffix":""},{"dropping-particle":"","family":"Palmer","given":"Colin N.A.","non-dropping-particle":"","parse-names":false,"suffix":""},{"dropping-particle":"","family":"Thorsteinsdottir","given":"Unnur","non-dropping-particle":"","parse-names":false,"suffix":""},{"dropping-particle":"","family":"Chasman","given":"Daniel I.","non-dropping-particle":"","parse-names":false,"suffix":""},{"dropping-particle":"","family":"Rotter","given":"Jerome I.","non-dropping-particle":"","parse-names":false,"suffix":""},{"dropping-particle":"","family":"Franks","given":"Paul W.","non-dropping-particle":"","parse-names":false,"suffix":""},{"dropping-particle":"","family":"Ripatti","given":"Samuli","non-dropping-particle":"","parse-names":false,"suffix":""},{"dropping-particle":"","family":"Cupples","given":"L. Adrienne","non-dropping-particle":"","parse-names":false,"suffix":""},{"dropping-particle":"","family":"Sandhu","given":"Manjinder S.","non-dropping-particle":"","parse-names":false,"suffix":""},{"dropping-particle":"","family":"Rich","given":"Stephen S.","non-dropping-particle":"","parse-names":false,"suffix":""},{"dropping-particle":"","family":"Boehnke","given":"Michael","non-dropping-particle":"","parse-names":false,"suffix":""},{"dropping-particle":"","family":"Deloukas","given":"Panos","non-dropping-particle":"","parse-names":false,"suffix":""},{"dropping-particle":"","family":"Kathiresan","given":"Sekar","non-dropping-particle":"","parse-names":false,"suffix":""},{"dropping-particle":"","family":"Mohlke","given":"Karen L.","non-dropping-particle":"","parse-names":false,"suffix":""},{"dropping-particle":"","family":"Ingelsson","given":"Erik","non-dropping-particle":"","parse-names":false,"suffix":""},{"dropping-particle":"","family":"Abecasis","given":"Gonçalo R.","non-dropping-particle":"","parse-names":false,"suffix":""}],"container-title":"Nature Genetics","id":"ITEM-1","issue":"11","issued":{"date-parts":[["2013","11"]]},"page":"1274-1285","publisher":"Nat Genet","title":"Discovery and refinement of loci associated with lipid levels","type":"article-journal","volume":"45"},"uris":["http://www.mendeley.com/documents/?uuid=f15de578-df6a-3e5a-b37e-d70a27e01bfa"]}],"mendeley":{"formattedCitation":"&lt;sup&gt;19&lt;/sup&gt;","plainTextFormattedCitation":"19","previouslyFormattedCitation":"&lt;sup&gt;19&lt;/sup&gt;"},"properties":{"noteIndex":0},"schema":"https://github.com/citation-style-language/schema/raw/master/csl-citation.json"}</w:instrText>
      </w:r>
      <w:r w:rsidR="00DF3FFC" w:rsidRPr="0061109F">
        <w:rPr>
          <w:rFonts w:ascii="Calibri" w:hAnsi="Calibri" w:cs="Calibri"/>
          <w:sz w:val="22"/>
          <w:szCs w:val="22"/>
        </w:rPr>
        <w:fldChar w:fldCharType="separate"/>
      </w:r>
      <w:r w:rsidR="00D3131C" w:rsidRPr="0061109F">
        <w:rPr>
          <w:rFonts w:ascii="Calibri" w:hAnsi="Calibri" w:cs="Calibri"/>
          <w:noProof/>
          <w:sz w:val="22"/>
          <w:szCs w:val="22"/>
          <w:vertAlign w:val="superscript"/>
        </w:rPr>
        <w:t>19</w:t>
      </w:r>
      <w:r w:rsidR="00DF3FFC" w:rsidRPr="0061109F">
        <w:rPr>
          <w:rFonts w:ascii="Calibri" w:hAnsi="Calibri" w:cs="Calibri"/>
          <w:sz w:val="22"/>
          <w:szCs w:val="22"/>
        </w:rPr>
        <w:fldChar w:fldCharType="end"/>
      </w:r>
      <w:r w:rsidR="00DF3FFC" w:rsidRPr="0061109F">
        <w:rPr>
          <w:rFonts w:ascii="Calibri" w:hAnsi="Calibri" w:cs="Calibri"/>
          <w:sz w:val="22"/>
          <w:szCs w:val="22"/>
        </w:rPr>
        <w:t xml:space="preserve"> chronic kidney disease,</w:t>
      </w:r>
      <w:r w:rsidR="00DF3FFC" w:rsidRPr="0061109F">
        <w:rPr>
          <w:rFonts w:ascii="Calibri" w:hAnsi="Calibri" w:cs="Calibri"/>
          <w:sz w:val="22"/>
          <w:szCs w:val="22"/>
        </w:rPr>
        <w:fldChar w:fldCharType="begin" w:fldLock="1"/>
      </w:r>
      <w:r w:rsidR="000B086A" w:rsidRPr="0061109F">
        <w:rPr>
          <w:rFonts w:ascii="Calibri" w:hAnsi="Calibri" w:cs="Calibri"/>
          <w:sz w:val="22"/>
          <w:szCs w:val="22"/>
        </w:rPr>
        <w:instrText>ADDIN CSL_CITATION {"citationItems":[{"id":"ITEM-1","itemData":{"DOI":"10.1038/s41588-019-0407-x","ISSN":"15461718","abstract":"Chronic kidney disease (CKD) is responsible for a public health burden with multi-systemic complications. Through trans-ancestry meta-analysis of genome-wide association studies of estimated glomerular filtration rate (eGFR) and independent replication (n = 1,046,070), we identified 264 associated loci (166 new). Of these, 147 were likely to be relevant for kidney function on the basis of associations with the alternative kidney function marker blood urea nitrogen (n = 416,178). Pathway and enrichment analyses, including mouse models with renal phenotypes, support the kidney as the main target organ. A genetic risk score for lower eGFR was associated with clinically diagnosed CKD in 452,264 independent individuals. Colocalization analyses of associations with eGFR among 783,978 European-ancestry individuals and gene expression across 46 human tissues, including tubulo-interstitial and glomerular kidney compartments, identified 17 genes differentially expressed in kidney. Fine-mapping highlighted missense driver variants in 11 genes and kidney-specific regulatory variants. These results provide a comprehensive priority list of molecular targets for translational research.","author":[{"dropping-particle":"","family":"Wuttke","given":"Matthias","non-dropping-particle":"","parse-names":false,"suffix":""},{"dropping-particle":"","family":"Li","given":"Yong","non-dropping-particle":"","parse-names":false,"suffix":""},{"dropping-particle":"","family":"Li","given":"Man","non-dropping-particle":"","parse-names":false,"suffix":""},{"dropping-particle":"","family":"Sieber","given":"Karsten B.","non-dropping-particle":"","parse-names":false,"suffix":""},{"dropping-particle":"","family":"Feitosa","given":"Mary F.","non-dropping-particle":"","parse-names":false,"suffix":""},{"dropping-particle":"","family":"Gorski","given":"Mathias","non-dropping-particle":"","parse-names":false,"suffix":""},{"dropping-particle":"","family":"Tin","given":"Adrienne","non-dropping-particle":"","parse-names":false,"suffix":""},{"dropping-particle":"","family":"Wang","given":"Lihua","non-dropping-particle":"","parse-names":false,"suffix":""},{"dropping-particle":"","family":"Chu","given":"Audrey Y.","non-dropping-particle":"","parse-names":false,"suffix":""},{"dropping-particle":"","family":"Hoppmann","given":"Anselm","non-dropping-particle":"","parse-names":false,"suffix":""},{"dropping-particle":"","family":"Kirsten","given":"Holger","non-dropping-particle":"","parse-names":false,"suffix":""},{"dropping-particle":"","family":"Giri","given":"Ayush","non-dropping-particle":"","parse-names":false,"suffix":""},{"dropping-particle":"","family":"Chai","given":"Jin Fang","non-dropping-particle":"","parse-names":false,"suffix":""},{"dropping-particle":"","family":"Sveinbjornsson","given":"Gardar","non-dropping-particle":"","parse-names":false,"suffix":""},{"dropping-particle":"","family":"Tayo","given":"Bamidele O.","non-dropping-particle":"","parse-names":false,"suffix":""},{"dropping-particle":"","family":"Nutile","given":"Teresa","non-dropping-particle":"","parse-names":false,"suffix":""},{"dropping-particle":"","family":"Fuchsberger","given":"Christian","non-dropping-particle":"","parse-names":false,"suffix":""},{"dropping-particle":"","family":"Marten","given":"Jonathan","non-dropping-particle":"","parse-names":false,"suffix":""},{"dropping-particle":"","family":"Cocca","given":"Massimiliano","non-dropping-particle":"","parse-names":false,"suffix":""},{"dropping-particle":"","family":"Ghasemi","given":"Sahar","non-dropping-particle":"","parse-names":false,"suffix":""},{"dropping-particle":"","family":"Xu","given":"Yizhe","non-dropping-particle":"","parse-names":false,"suffix":""},{"dropping-particle":"","family":"Horn","given":"Katrin","non-dropping-particle":"","parse-names":false,"suffix":""},{"dropping-particle":"","family":"Noce","given":"Damia","non-dropping-particle":"","parse-names":false,"suffix":""},{"dropping-particle":"","family":"Most","given":"Peter J.","non-dropping-particle":"van der","parse-names":false,"suffix":""},{"dropping-particle":"","family":"Sedaghat","given":"Sanaz","non-dropping-particle":"","parse-names":false,"suffix":""},{"dropping-particle":"","family":"Yu","given":"Zhi","non-dropping-particle":"","parse-names":false,"suffix":""},{"dropping-particle":"","family":"Akiyama","given":"Masato","non-dropping-particle":"","parse-names":false,"suffix":""},{"dropping-particle":"","family":"Afaq","given":"Saima","non-dropping-particle":"","parse-names":false,"suffix":""},{"dropping-particle":"","family":"Ahluwalia","given":"Tarunveer S.","non-dropping-particle":"","parse-names":false,"suffix":""},{"dropping-particle":"","family":"Almgren","given":"Peter","non-dropping-particle":"","parse-names":false,"suffix":""},{"dropping-particle":"","family":"Amin","given":"Najaf","non-dropping-particle":"","parse-names":false,"suffix":""},{"dropping-particle":"","family":"Ärnlöv","given":"Johan","non-dropping-particle":"","parse-names":false,"suffix":""},{"dropping-particle":"","family":"Bakker","given":"Stephan J.L.","non-dropping-particle":"","parse-names":false,"suffix":""},{"dropping-particle":"","family":"Bansal","given":"Nisha","non-dropping-particle":"","parse-names":false,"suffix":""},{"dropping-particle":"","family":"Baptista","given":"Daniela","non-dropping-particle":"","parse-names":false,"suffix":""},{"dropping-particle":"","family":"Bergmann","given":"Sven","non-dropping-particle":"","parse-names":false,"suffix":""},{"dropping-particle":"","family":"Biggs","given":"Mary L.","non-dropping-particle":"","parse-names":false,"suffix":""},{"dropping-particle":"","family":"Biino","given":"Ginevra","non-dropping-particle":"","parse-names":false,"suffix":""},{"dropping-particle":"","family":"Boehnke","given":"Michael","non-dropping-particle":"","parse-names":false,"suffix":""},{"dropping-particle":"","family":"Boerwinkle","given":"Eric","non-dropping-particle":"","parse-names":false,"suffix":""},{"dropping-particle":"","family":"Boissel","given":"Mathilde","non-dropping-particle":"","parse-names":false,"suffix":""},{"dropping-particle":"","family":"Bottinger","given":"Erwin P.","non-dropping-particle":"","parse-names":false,"suffix":""},{"dropping-particle":"","family":"Boutin","given":"Thibaud S.","non-dropping-particle":"","parse-names":false,"suffix":""},{"dropping-particle":"","family":"Brenner","given":"Hermann","non-dropping-particle":"","parse-names":false,"suffix":""},{"dropping-particle":"","family":"Brumat","given":"Marco","non-dropping-particle":"","parse-names":false,"suffix":""},{"dropping-particle":"","family":"Burkhardt","given":"Ralph","non-dropping-particle":"","parse-names":false,"suffix":""},{"dropping-particle":"","family":"Butterworth","given":"Adam S.","non-dropping-particle":"","parse-names":false,"suffix":""},{"dropping-particle":"","family":"Campana","given":"Eric","non-dropping-particle":"","parse-names":false,"suffix":""},{"dropping-particle":"","family":"Campbell","given":"Archie","non-dropping-particle":"","parse-names":false,"suffix":""},{"dropping-particle":"","family":"Campbell","given":"Harry","non-dropping-particle":"","parse-names":false,"suffix":""},{"dropping-particle":"","family":"Canouil","given":"Mickaël","non-dropping-particle":"","parse-names":false,"suffix":""},{"dropping-particle":"","family":"Carroll","given":"Robert J.","non-dropping-particle":"","parse-names":false,"suffix":""},{"dropping-particle":"","family":"Catamo","given":"Eulalia","non-dropping-particle":"","parse-names":false,"suffix":""},{"dropping-particle":"","family":"Chambers","given":"John C.","non-dropping-particle":"","parse-names":false,"suffix":""},{"dropping-particle":"","family":"Chee","given":"Miao Ling","non-dropping-particle":"","parse-names":false,"suffix":""},{"dropping-particle":"","family":"Chee","given":"Miao Li","non-dropping-particle":"","parse-names":false,"suffix":""},{"dropping-particle":"","family":"Chen","given":"Xu","non-dropping-particle":"","parse-names":false,"suffix":""},{"dropping-particle":"","family":"Cheng","given":"Ching Yu","non-dropping-particle":"","parse-names":false,"suffix":""},{"dropping-particle":"","family":"Cheng","given":"Yurong","non-dropping-particle":"","parse-names":false,"suffix":""},{"dropping-particle":"","family":"Christensen","given":"Kaare","non-dropping-particle":"","parse-names":false,"suffix":""},{"dropping-particle":"","family":"Cifkova","given":"Renata","non-dropping-particle":"","parse-names":false,"suffix":""},{"dropping-particle":"","family":"Ciullo","given":"Marina","non-dropping-particle":"","parse-names":false,"suffix":""},{"dropping-particle":"","family":"Concas","given":"Maria Pina","non-dropping-particle":"","parse-names":false,"suffix":""},{"dropping-particle":"","family":"Cook","given":"James P.","non-dropping-particle":"","parse-names":false,"suffix":""},{"dropping-particle":"","family":"Coresh","given":"Josef","non-dropping-particle":"","parse-names":false,"suffix":""},{"dropping-particle":"","family":"Corre","given":"Tanguy","non-dropping-particle":"","parse-names":false,"suffix":""},{"dropping-particle":"","family":"Sala","given":"Cinzia Felicita","non-dropping-particle":"","parse-names":false,"suffix":""},{"dropping-particle":"","family":"Cusi","given":"Daniele","non-dropping-particle":"","parse-names":false,"suffix":""},{"dropping-particle":"","family":"Danesh","given":"John","non-dropping-particle":"","parse-names":false,"suffix":""},{"dropping-particle":"","family":"Daw","given":"E. Warwick","non-dropping-particle":"","parse-names":false,"suffix":""},{"dropping-particle":"","family":"Borst","given":"Martin H.","non-dropping-particle":"de","parse-names":false,"suffix":""},{"dropping-particle":"","family":"Grandi","given":"Alessandro","non-dropping-particle":"De","parse-names":false,"suffix":""},{"dropping-particle":"","family":"Mutsert","given":"Renée","non-dropping-particle":"de","parse-names":false,"suffix":""},{"dropping-particle":"","family":"Vries","given":"Aiko P.J.","non-dropping-particle":"de","parse-names":false,"suffix":""},{"dropping-particle":"","family":"Degenhardt","given":"Frauke","non-dropping-particle":"","parse-names":false,"suffix":""},{"dropping-particle":"","family":"Delgado","given":"Graciela","non-dropping-particle":"","parse-names":false,"suffix":""},{"dropping-particle":"","family":"Demirkan","given":"Ayse","non-dropping-particle":"","parse-names":false,"suffix":""},{"dropping-particle":"","family":"Angelantonio","given":"Emanuele","non-dropping-particle":"Di","parse-names":false,"suffix":""},{"dropping-particle":"","family":"Dittrich","given":"Katalin","non-dropping-particle":"","parse-names":false,"suffix":""},{"dropping-particle":"","family":"Divers","given":"Jasmin","non-dropping-particle":"","parse-names":false,"suffix":""},{"dropping-particle":"","family":"Dorajoo","given":"Rajkumar","non-dropping-particle":"","parse-names":false,"suffix":""},{"dropping-particle":"","family":"Eckardt","given":"Kai Uwe","non-dropping-particle":"","parse-names":false,"suffix":""},{"dropping-particle":"","family":"Ehret","given":"Georg","non-dropping-particle":"","parse-names":false,"suffix":""},{"dropping-particle":"","family":"Elliott","given":"Paul","non-dropping-particle":"","parse-names":false,"suffix":""},{"dropping-particle":"","family":"Endlich","given":"Karlhans","non-dropping-particle":"","parse-names":false,"suffix":""},{"dropping-particle":"","family":"Evans","given":"Michele K.","non-dropping-particle":"","parse-names":false,"suffix":""},{"dropping-particle":"","family":"Felix","given":"Janine F.","non-dropping-particle":"","parse-names":false,"suffix":""},{"dropping-particle":"","family":"Foo","given":"Valencia Hui Xian","non-dropping-particle":"","parse-names":false,"suffix":""},{"dropping-particle":"","family":"Franco","given":"Oscar H.","non-dropping-particle":"","parse-names":false,"suffix":""},{"dropping-particle":"","family":"Franke","given":"Andre","non-dropping-particle":"","parse-names":false,"suffix":""},{"dropping-particle":"","family":"Freedman","given":"Barry I.","non-dropping-particle":"","parse-names":false,"suffix":""},{"dropping-particle":"","family":"Freitag-Wolf","given":"Sandra","non-dropping-particle":"","parse-names":false,"suffix":""},{"dropping-particle":"","family":"Friedlander","given":"Yechiel","non-dropping-particle":"","parse-names":false,"suffix":""},{"dropping-particle":"","family":"Froguel","given":"Philippe","non-dropping-particle":"","parse-names":false,"suffix":""},{"dropping-particle":"","family":"Gansevoort","given":"Ron T.","non-dropping-particle":"","parse-names":false,"suffix":""},{"dropping-particle":"","family":"Gao","given":"He","non-dropping-particle":"","parse-names":false,"suffix":""},{"dropping-particle":"","family":"Gasparini","given":"Paolo","non-dropping-particle":"","parse-names":false,"suffix":""},{"dropping-particle":"","family":"Gaziano","given":"J. Michael","non-dropping-particle":"","parse-names":false,"suffix":""},{"dropping-particle":"","family":"Giedraitis","given":"Vilmantas","non-dropping-particle":"","parse-names":false,"suffix":""},{"dropping-particle":"","family":"Gieger","given":"Christian","non-dropping-particle":"","parse-names":false,"suffix":""},{"dropping-particle":"","family":"Girotto","given":"Giorgia","non-dropping-particle":"","parse-names":false,"suffix":""},{"dropping-particle":"","family":"Giulianini","given":"Franco","non-dropping-particle":"","parse-names":false,"suffix":""},{"dropping-particle":"","family":"Gögele","given":"Martin","non-dropping-particle":"","parse-names":false,"suffix":""},{"dropping-particle":"","family":"Gordon","given":"Scott D.","non-dropping-particle":"","parse-names":false,"suffix":""},{"dropping-particle":"","family":"Gudbjartsson","given":"Daniel F.","non-dropping-particle":"","parse-names":false,"suffix":""},{"dropping-particle":"","family":"Gudnason","given":"Vilmundur","non-dropping-particle":"","parse-names":false,"suffix":""},{"dropping-particle":"","family":"Haller","given":"Toomas","non-dropping-particle":"","parse-names":false,"suffix":""},{"dropping-particle":"","family":"Hamet","given":"Pavel","non-dropping-particle":"","parse-names":false,"suffix":""},{"dropping-particle":"","family":"Harris","given":"Tamara B.","non-dropping-particle":"","parse-names":false,"suffix":""},{"dropping-particle":"","family":"Hartman","given":"Catharina A.","non-dropping-particle":"","parse-names":false,"suffix":""},{"dropping-particle":"","family":"Hayward","given":"Caroline","non-dropping-particle":"","parse-names":false,"suffix":""},{"dropping-particle":"","family":"Hellwege","given":"Jacklyn N.","non-dropping-particle":"","parse-names":false,"suffix":""},{"dropping-particle":"","family":"Heng","given":"Chew Kiat","non-dropping-particle":"","parse-names":false,"suffix":""},{"dropping-particle":"","family":"Hicks","given":"Andrew A.","non-dropping-particle":"","parse-names":false,"suffix":""},{"dropping-particle":"","family":"Hofer","given":"Edith","non-dropping-particle":"","parse-names":false,"suffix":""},{"dropping-particle":"","family":"Huang","given":"Wei","non-dropping-particle":"","parse-names":false,"suffix":""},{"dropping-particle":"","family":"Hutri-Kähönen","given":"Nina","non-dropping-particle":"","parse-names":false,"suffix":""},{"dropping-particle":"","family":"Hwang","given":"Shih Jen","non-dropping-particle":"","parse-names":false,"suffix":""},{"dropping-particle":"","family":"Ikram","given":"M. Arfan","non-dropping-particle":"","parse-names":false,"suffix":""},{"dropping-particle":"","family":"Indridason","given":"Olafur S.","non-dropping-particle":"","parse-names":false,"suffix":""},{"dropping-particle":"","family":"Ingelsson","given":"Erik","non-dropping-particle":"","parse-names":false,"suffix":""},{"dropping-particle":"","family":"Ising","given":"Marcus","non-dropping-particle":"","parse-names":false,"suffix":""},{"dropping-particle":"","family":"Jaddoe","given":"Vincent W.V.","non-dropping-particle":"","parse-names":false,"suffix":""},{"dropping-particle":"","family":"Jakobsdottir","given":"Johanna","non-dropping-particle":"","parse-names":false,"suffix":""},{"dropping-particle":"","family":"Jonas","given":"Jost B.","non-dropping-particle":"","parse-names":false,"suffix":""},{"dropping-particle":"","family":"Joshi","given":"Peter K.","non-dropping-particle":"","parse-names":false,"suffix":""},{"dropping-particle":"","family":"Josyula","given":"Navya Shilpa","non-dropping-particle":"","parse-names":false,"suffix":""},{"dropping-particle":"","family":"Jung","given":"Bettina","non-dropping-particle":"","parse-names":false,"suffix":""},{"dropping-particle":"","family":"Kähönen","given":"Mika","non-dropping-particle":"","parse-names":false,"suffix":""},{"dropping-particle":"","family":"Kamatani","given":"Yoichiro","non-dropping-particle":"","parse-names":false,"suffix":""},{"dropping-particle":"","family":"Kammerer","given":"Candace M.","non-dropping-particle":"","parse-names":false,"suffix":""},{"dropping-particle":"","family":"Kanai","given":"Masahiro","non-dropping-particle":"","parse-names":false,"suffix":""},{"dropping-particle":"","family":"Kastarinen","given":"Mika","non-dropping-particle":"","parse-names":false,"suffix":""},{"dropping-particle":"","family":"Kerr","given":"Shona M.","non-dropping-particle":"","parse-names":false,"suffix":""},{"dropping-particle":"","family":"Khor","given":"Chiea Chuen","non-dropping-particle":"","parse-names":false,"suffix":""},{"dropping-particle":"","family":"Kiess","given":"Wieland","non-dropping-particle":"","parse-names":false,"suffix":""},{"dropping-particle":"","family":"Kleber","given":"Marcus E.","non-dropping-particle":"","parse-names":false,"suffix":""},{"dropping-particle":"","family":"Koenig","given":"Wolfgang","non-dropping-particle":"","parse-names":false,"suffix":""},{"dropping-particle":"","family":"Kooner","given":"Jaspal S.","non-dropping-particle":"","parse-names":false,"suffix":""},{"dropping-particle":"","family":"Körner","given":"Antje","non-dropping-particle":"","parse-names":false,"suffix":""},{"dropping-particle":"","family":"Kovacs","given":"Peter","non-dropping-particle":"","parse-names":false,"suffix":""},{"dropping-particle":"","family":"Kraja","given":"Aldi T.","non-dropping-particle":"","parse-names":false,"suffix":""},{"dropping-particle":"","family":"Krajcoviechova","given":"Alena","non-dropping-particle":"","parse-names":false,"suffix":""},{"dropping-particle":"","family":"Kramer","given":"Holly","non-dropping-particle":"","parse-names":false,"suffix":""},{"dropping-particle":"","family":"Krämer","given":"Bernhard K.","non-dropping-particle":"","parse-names":false,"suffix":""},{"dropping-particle":"","family":"Kronenberg","given":"Florian","non-dropping-particle":"","parse-names":false,"suffix":""},{"dropping-particle":"","family":"Kubo","given":"Michiaki","non-dropping-particle":"","parse-names":false,"suffix":""},{"dropping-particle":"","family":"Kühnel","given":"Brigitte","non-dropping-particle":"","parse-names":false,"suffix":""},{"dropping-particle":"","family":"Kuokkanen","given":"Mikko","non-dropping-particle":"","parse-names":false,"suffix":""},{"dropping-particle":"","family":"Kuusisto","given":"Johanna","non-dropping-particle":"","parse-names":false,"suffix":""},{"dropping-particle":"","family":"Bianca","given":"Martina","non-dropping-particle":"La","parse-names":false,"suffix":""},{"dropping-particle":"","family":"Laakso","given":"Markku","non-dropping-particle":"","parse-names":false,"suffix":""},{"dropping-particle":"","family":"Lange","given":"Leslie A.","non-dropping-particle":"","parse-names":false,"suffix":""},{"dropping-particle":"","family":"Langefeld","given":"Carl D.","non-dropping-particle":"","parse-names":false,"suffix":""},{"dropping-particle":"","family":"Lee","given":"Jeannette Jen Mai","non-dropping-particle":"","parse-names":false,"suffix":""},{"dropping-particle":"","family":"Lehne","given":"Benjamin","non-dropping-particle":"","parse-names":false,"suffix":""},{"dropping-particle":"","family":"Lehtimäki","given":"Terho","non-dropping-particle":"","parse-names":false,"suffix":""},{"dropping-particle":"","family":"Lieb","given":"Wolfgang","non-dropping-particle":"","parse-names":false,"suffix":""},{"dropping-particle":"","family":"Lim","given":"Su Chi","non-dropping-particle":"","parse-names":false,"suffix":""},{"dropping-particle":"","family":"Lind","given":"Lars","non-dropping-particle":"","parse-names":false,"suffix":""},{"dropping-particle":"","family":"Lindgren","given":"Cecilia M.","non-dropping-particle":"","parse-names":false,"suffix":""},{"dropping-particle":"","family":"Liu","given":"Jun","non-dropping-particle":"","parse-names":false,"suffix":""},{"dropping-particle":"","family":"Liu","given":"Jianjun","non-dropping-particle":"","parse-names":false,"suffix":""},{"dropping-particle":"","family":"Loeffler","given":"Markus","non-dropping-particle":"","parse-names":false,"suffix":""},{"dropping-particle":"","family":"Loos","given":"Ruth J.F.","non-dropping-particle":"","parse-names":false,"suffix":""},{"dropping-particle":"","family":"Lucae","given":"Susanne","non-dropping-particle":"","parse-names":false,"suffix":""},{"dropping-particle":"","family":"Lukas","given":"Mary Ann","non-dropping-particle":"","parse-names":false,"suffix":""},{"dropping-particle":"","family":"Lyytikäinen","given":"Leo Pekka","non-dropping-particle":"","parse-names":false,"suffix":""},{"dropping-particle":"","family":"Mägi","given":"Reedik","non-dropping-particle":"","parse-names":false,"suffix":""},{"dropping-particle":"","family":"Magnusson","given":"Patrik K.E.","non-dropping-particle":"","parse-names":false,"suffix":""},{"dropping-particle":"","family":"Mahajan","given":"Anubha","non-dropping-particle":"","parse-names":false,"suffix":""},{"dropping-particle":"","family":"Martin","given":"Nicholas G.","non-dropping-particle":"","parse-names":false,"suffix":""},{"dropping-particle":"","family":"Martins","given":"Jade","non-dropping-particle":"","parse-names":false,"suffix":""},{"dropping-particle":"","family":"März","given":"Winfried","non-dropping-particle":"","parse-names":false,"suffix":""},{"dropping-particle":"","family":"Mascalzoni","given":"Deborah","non-dropping-particle":"","parse-names":false,"suffix":""},{"dropping-particle":"","family":"Matsuda","given":"Koichi","non-dropping-particle":"","parse-names":false,"suffix":""},{"dropping-particle":"","family":"Meisinger","given":"Christa","non-dropping-particle":"","parse-names":false,"suffix":""},{"dropping-particle":"","family":"Meitinger","given":"Thomas","non-dropping-particle":"","parse-names":false,"suffix":""},{"dropping-particle":"","family":"Melander","given":"Olle","non-dropping-particle":"","parse-names":false,"suffix":""},{"dropping-particle":"","family":"Metspalu","given":"Andres","non-dropping-particle":"","parse-names":false,"suffix":""},{"dropping-particle":"","family":"Mikaelsdottir","given":"Evgenia K.","non-dropping-particle":"","parse-names":false,"suffix":""},{"dropping-particle":"","family":"Milaneschi","given":"Yuri","non-dropping-particle":"","parse-names":false,"suffix":""},{"dropping-particle":"","family":"Miliku","given":"Kozeta","non-dropping-particle":"","parse-names":false,"suffix":""},{"dropping-particle":"","family":"Mishra","given":"Pashupati P.","non-dropping-particle":"","parse-names":false,"suffix":""},{"dropping-particle":"","family":"Mohlke","given":"Karen L.","non-dropping-particle":"","parse-names":false,"suffix":""},{"dropping-particle":"","family":"Mononen","given":"Nina","non-dropping-particle":"","parse-names":false,"suffix":""},{"dropping-particle":"","family":"Montgomery","given":"Grant W.","non-dropping-particle":"","parse-names":false,"suffix":""},{"dropping-particle":"","family":"Mook-Kanamori","given":"Dennis O.","non-dropping-particle":"","parse-names":false,"suffix":""},{"dropping-particle":"","family":"Mychaleckyj","given":"Josyf C.","non-dropping-particle":"","parse-names":false,"suffix":""},{"dropping-particle":"","family":"Nadkarni","given":"Girish N.","non-dropping-particle":"","parse-names":false,"suffix":""},{"dropping-particle":"","family":"Nalls","given":"Mike A.","non-dropping-particle":"","parse-names":false,"suffix":""},{"dropping-particle":"","family":"Nauck","given":"Matthias","non-dropping-particle":"","parse-names":false,"suffix":""},{"dropping-particle":"","family":"Nikus","given":"Kjell","non-dropping-particle":"","parse-names":false,"suffix":""},{"dropping-particle":"","family":"Ning","given":"Boting","non-dropping-particle":"","parse-names":false,"suffix":""},{"dropping-particle":"","family":"Nolte","given":"Ilja M.","non-dropping-particle":"","parse-names":false,"suffix":""},{"dropping-particle":"","family":"Noordam","given":"Raymond","non-dropping-particle":"","parse-names":false,"suffix":""},{"dropping-particle":"","family":"O’Connell","given":"Jeffrey","non-dropping-particle":"","parse-names":false,"suffix":""},{"dropping-particle":"","family":"O’Donoghue","given":"Michelle L.","non-dropping-particle":"","parse-names":false,"suffix":""},{"dropping-particle":"","family":"Olafsson","given":"Isleifur","non-dropping-particle":"","parse-names":false,"suffix":""},{"dropping-particle":"","family":"Oldehinkel","given":"Albertine J.","non-dropping-particle":"","parse-names":false,"suffix":""},{"dropping-particle":"","family":"Orho-Melander","given":"Marju","non-dropping-particle":"","parse-names":false,"suffix":""},{"dropping-particle":"","family":"Ouwehand","given":"Willem H.","non-dropping-particle":"","parse-names":false,"suffix":""},{"dropping-particle":"","family":"Padmanabhan","given":"Sandosh","non-dropping-particle":"","parse-names":false,"suffix":""},{"dropping-particle":"","family":"Palmer","given":"Nicholette D.","non-dropping-particle":"","parse-names":false,"suffix":""},{"dropping-particle":"","family":"Palsson","given":"Runolfur","non-dropping-particle":"","parse-names":false,"suffix":""},{"dropping-particle":"","family":"Penninx","given":"Brenda W.J.H.","non-dropping-particle":"","parse-names":false,"suffix":""},{"dropping-particle":"","family":"Perls","given":"Thomas","non-dropping-particle":"","parse-names":false,"suffix":""},{"dropping-particle":"","family":"Perola","given":"Markus","non-dropping-particle":"","parse-names":false,"suffix":""},{"dropping-particle":"","family":"Pirastu","given":"Mario","non-dropping-particle":"","parse-names":false,"suffix":""},{"dropping-particle":"","family":"Pirastu","given":"Nicola","non-dropping-particle":"","parse-names":false,"suffix":""},{"dropping-particle":"","family":"Pistis","given":"Giorgio","non-dropping-particle":"","parse-names":false,"suffix":""},{"dropping-particle":"","family":"Podgornaia","given":"Anna I.","non-dropping-particle":"","parse-names":false,"suffix":""},{"dropping-particle":"","family":"Polasek","given":"Ozren","non-dropping-particle":"","parse-names":false,"suffix":""},{"dropping-particle":"","family":"Ponte","given":"Belen","non-dropping-particle":"","parse-names":false,"suffix":""},{"dropping-particle":"","family":"Porteous","given":"David J.","non-dropping-particle":"","parse-names":false,"suffix":""},{"dropping-particle":"","family":"Poulain","given":"Tanja","non-dropping-particle":"","parse-names":false,"suffix":""},{"dropping-particle":"","family":"Pramstaller","given":"Peter P.","non-dropping-particle":"","parse-names":false,"suffix":""},{"dropping-particle":"","family":"Preuss","given":"Michael H.","non-dropping-particle":"","parse-names":false,"suffix":""},{"dropping-particle":"","family":"Prins","given":"Bram P.","non-dropping-particle":"","parse-names":false,"suffix":""},{"dropping-particle":"","family":"Province","given":"Michael A.","non-dropping-particle":"","parse-names":false,"suffix":""},{"dropping-particle":"","family":"Rabelink","given":"Ton J.","non-dropping-particle":"","parse-names":false,"suffix":""},{"dropping-particle":"","family":"Raffield","given":"Laura M.","non-dropping-particle":"","parse-names":false,"suffix":""},{"dropping-particle":"","family":"Raitakari","given":"Olli T.","non-dropping-particle":"","parse-names":false,"suffix":""},{"dropping-particle":"","family":"Reilly","given":"Dermot F.","non-dropping-particle":"","parse-names":false,"suffix":""},{"dropping-particle":"","family":"Rettig","given":"Rainer","non-dropping-particle":"","parse-names":false,"suffix":""},{"dropping-particle":"","family":"Rheinberger","given":"Myriam","non-dropping-particle":"","parse-names":false,"suffix":""},{"dropping-particle":"","family":"Rice","given":"Kenneth M.","non-dropping-particle":"","parse-names":false,"suffix":""},{"dropping-particle":"","family":"Ridker","given":"Paul M.","non-dropping-particle":"","parse-names":false,"suffix":""},{"dropping-particle":"","family":"Rivadeneira","given":"Fernando","non-dropping-particle":"","parse-names":false,"suffix":""},{"dropping-particle":"","family":"Rizzi","given":"Federica","non-dropping-particle":"","parse-names":false,"suffix":""},{"dropping-particle":"","family":"Roberts","given":"David J.","non-dropping-particle":"","parse-names":false,"suffix":""},{"dropping-particle":"","family":"Robino","given":"Antonietta","non-dropping-particle":"","parse-names":false,"suffix":""},{"dropping-particle":"","family":"Rossing","given":"Peter","non-dropping-particle":"","parse-names":false,"suffix":""},{"dropping-particle":"","family":"Rudan","given":"Igor","non-dropping-particle":"","parse-names":false,"suffix":""},{"dropping-particle":"","family":"Rueedi","given":"Rico","non-dropping-particle":"","parse-names":false,"suffix":""},{"dropping-particle":"","family":"Ruggiero","given":"Daniela","non-dropping-particle":"","parse-names":false,"suffix":""},{"dropping-particle":"","family":"Ryan","given":"Kathleen A.","non-dropping-particle":"","parse-names":false,"suffix":""},{"dropping-particle":"","family":"Saba","given":"Yasaman","non-dropping-particle":"","parse-names":false,"suffix":""},{"dropping-particle":"","family":"Sabanayagam","given":"Charumathi","non-dropping-particle":"","parse-names":false,"suffix":""},{"dropping-particle":"","family":"Salomaa","given":"Veikko","non-dropping-particle":"","parse-names":false,"suffix":""},{"dropping-particle":"","family":"Salvi","given":"Erika","non-dropping-particle":"","parse-names":false,"suffix":""},{"dropping-particle":"","family":"Saum","given":"Kai Uwe","non-dropping-particle":"","parse-names":false,"suffix":""},{"dropping-particle":"","family":"Schmidt","given":"Helena","non-dropping-particle":"","parse-names":false,"suffix":""},{"dropping-particle":"","family":"Schmidt","given":"Reinhold","non-dropping-particle":"","parse-names":false,"suffix":""},{"dropping-particle":"","family":"Schöttker","given":"Ben","non-dropping-particle":"","parse-names":false,"suffix":""},{"dropping-particle":"","family":"Schulz","given":"Christina Alexandra","non-dropping-particle":"","parse-names":false,"suffix":""},{"dropping-particle":"","family":"Schupf","given":"Nicole","non-dropping-particle":"","parse-names":false,"suffix":""},{"dropping-particle":"","family":"Shaffer","given":"Christian M.","non-dropping-particle":"","parse-names":false,"suffix":""},{"dropping-particle":"","family":"Shi","given":"Yuan","non-dropping-particle":"","parse-names":false,"suffix":""},{"dropping-particle":"V.","family":"Smith","given":"Albert","non-dropping-particle":"","parse-names":false,"suffix":""},{"dropping-particle":"","family":"Smith","given":"Blair H.","non-dropping-particle":"","parse-names":false,"suffix":""},{"dropping-particle":"","family":"Soranzo","given":"Nicole","non-dropping-particle":"","parse-names":false,"suffix":""},{"dropping-particle":"","family":"Spracklen","given":"Cassandra N.","non-dropping-particle":"","parse-names":false,"suffix":""},{"dropping-particle":"","family":"Strauch","given":"Konstantin","non-dropping-particle":"","parse-names":false,"suffix":""},{"dropping-particle":"","family":"Stringham","given":"Heather M.","non-dropping-particle":"","parse-names":false,"suffix":""},{"dropping-particle":"","family":"Stumvoll","given":"Michael","non-dropping-particle":"","parse-names":false,"suffix":""},{"dropping-particle":"","family":"Svensson","given":"Per O.","non-dropping-particle":"","parse-names":false,"suffix":""},{"dropping-particle":"","family":"Szymczak","given":"Silke","non-dropping-particle":"","parse-names":false,"suffix":""},{"dropping-particle":"","family":"Tai","given":"E. Shyong","non-dropping-particle":"","parse-names":false,"suffix":""},{"dropping-particle":"","family":"Tajuddin","given":"Salman M.","non-dropping-particle":"","parse-names":false,"suffix":""},{"dropping-particle":"","family":"Tan","given":"Nicholas Y.Q.","non-dropping-particle":"","parse-names":false,"suffix":""},{"dropping-particle":"","family":"Taylor","given":"Kent D.","non-dropping-particle":"","parse-names":false,"suffix":""},{"dropping-particle":"","family":"Teren","given":"Andrej","non-dropping-particle":"","parse-names":false,"suffix":""},{"dropping-particle":"","family":"Tham","given":"Yih Chung","non-dropping-particle":"","parse-names":false,"suffix":""},{"dropping-particle":"","family":"Thiery","given":"Joachim","non-dropping-particle":"","parse-names":false,"suffix":""},{"dropping-particle":"","family":"Thio","given":"Chris H.L.","non-dropping-particle":"","parse-names":false,"suffix":""},{"dropping-particle":"","family":"Thomsen","given":"Hauke","non-dropping-particle":"","parse-names":false,"suffix":""},{"dropping-particle":"","family":"Thorleifsson","given":"Gudmar","non-dropping-particle":"","parse-names":false,"suffix":""},{"dropping-particle":"","family":"Toniolo","given":"Daniela","non-dropping-particle":"","parse-names":false,"suffix":""},{"dropping-particle":"","family":"Tönjes","given":"Anke","non-dropping-particle":"","parse-names":false,"suffix":""},{"dropping-particle":"","family":"Tremblay","given":"Johanne","non-dropping-particle":"","parse-names":false,"suffix":""},{"dropping-particle":"","family":"Tzoulaki","given":"Ioanna","non-dropping-particle":"","parse-names":false,"suffix":""},{"dropping-particle":"","family":"Uitterlinden","given":"André G.","non-dropping-particle":"","parse-names":false,"suffix":""},{"dropping-particle":"","family":"Vaccargiu","given":"Simona","non-dropping-particle":"","parse-names":false,"suffix":""},{"dropping-particle":"","family":"Dam","given":"Rob M.","non-dropping-particle":"van","parse-names":false,"suffix":""},{"dropping-particle":"","family":"Harst","given":"Pim","non-dropping-particle":"van der","parse-names":false,"suffix":""},{"dropping-particle":"","family":"Duijn","given":"Cornelia M.","non-dropping-particle":"van","parse-names":false,"suffix":""},{"dropping-particle":"","family":"Velez Edward","given":"Digna R.","non-dropping-particle":"","parse-names":false,"suffix":""},{"dropping-particle":"","family":"Verweij","given":"Niek","non-dropping-particle":"","parse-names":false,"suffix":""},{"dropping-particle":"","family":"Vogelezang","given":"Suzanne","non-dropping-particle":"","parse-names":false,"suffix":""},{"dropping-particle":"","family":"Völker","given":"Uwe","non-dropping-particle":"","parse-names":false,"suffix":""},{"dropping-particle":"","family":"Vollenweider","given":"Peter","non-dropping-particle":"","parse-names":false,"suffix":""},{"dropping-particle":"","family":"Waeber","given":"Gerard","non-dropping-particle":"","parse-names":false,"suffix":""},{"dropping-particle":"","family":"Waldenberger","given":"Melanie","non-dropping-particle":"","parse-names":false,"suffix":""},{"dropping-particle":"","family":"Wallentin","given":"Lars","non-dropping-particle":"","parse-names":false,"suffix":""},{"dropping-particle":"","family":"Wang","given":"Ya Xing","non-dropping-particle":"","parse-names":false,"suffix":""},{"dropping-particle":"","family":"Wang","given":"Chaolong","non-dropping-particle":"","parse-names":false,"suffix":""},{"dropping-particle":"","family":"Waterworth","given":"Dawn M.","non-dropping-particle":"","parse-names":false,"suffix":""},{"dropping-particle":"","family":"Wei","given":"Wen","non-dropping-particle":"Bin","parse-names":false,"suffix":""},{"dropping-particle":"","family":"White","given":"Harvey","non-dropping-particle":"","parse-names":false,"suffix":""},{"dropping-particle":"","family":"Whitfield","given":"John B.","non-dropping-particle":"","parse-names":false,"suffix":""},{"dropping-particle":"","family":"Wild","given":"Sarah H.","non-dropping-particle":"","parse-names":false,"suffix":""},{"dropping-particle":"","family":"Wilson","given":"James F.","non-dropping-particle":"","parse-names":false,"suffix":""},{"dropping-particle":"","family":"Wojczynski","given":"Mary K.","non-dropping-particle":"","parse-names":false,"suffix":""},{"dropping-particle":"","family":"Wong","given":"Charlene","non-dropping-particle":"","parse-names":false,"suffix":""},{"dropping-particle":"","family":"Wong","given":"Tien Yin","non-dropping-particle":"","parse-names":false,"suffix":""},{"dropping-particle":"","family":"Xu","given":"Liang","non-dropping-particle":"","parse-names":false,"suffix":""},{"dropping-particle":"","family":"Yang","given":"Qiong","non-dropping-particle":"","parse-names":false,"suffix":""},{"dropping-particle":"","family":"Yasuda","given":"Masayuki","non-dropping-particle":"","parse-names":false,"suffix":""},{"dropping-particle":"","family":"Yerges-Armstrong","given":"Laura M.","non-dropping-particle":"","parse-names":false,"suffix":""},{"dropping-particle":"","family":"Zhang","given":"Weihua","non-dropping-particle":"","parse-names":false,"suffix":""},{"dropping-particle":"","family":"Zonderman","given":"Alan B.","non-dropping-particle":"","parse-names":false,"suffix":""},{"dropping-particle":"","family":"Rotter","given":"Jerome I.","non-dropping-particle":"","parse-names":false,"suffix":""},{"dropping-particle":"","family":"Bochud","given":"Murielle","non-dropping-particle":"","parse-names":false,"suffix":""},{"dropping-particle":"","family":"Psaty","given":"Bruce M.","non-dropping-particle":"","parse-names":false,"suffix":""},{"dropping-particle":"","family":"Vitart","given":"Veronique","non-dropping-particle":"","parse-names":false,"suffix":""},{"dropping-particle":"","family":"Wilson","given":"James G.","non-dropping-particle":"","parse-names":false,"suffix":""},{"dropping-particle":"","family":"Dehghan","given":"Abbas","non-dropping-particle":"","parse-names":false,"suffix":""},{"dropping-particle":"","family":"Parsa","given":"Afshin","non-dropping-particle":"","parse-names":false,"suffix":""},{"dropping-particle":"","family":"Chasman","given":"Daniel I.","non-dropping-particle":"","parse-names":false,"suffix":""},{"dropping-particle":"","family":"Ho","given":"Kevin","non-dropping-particle":"","parse-names":false,"suffix":""},{"dropping-particle":"","family":"Morris","given":"Andrew P.","non-dropping-particle":"","parse-names":false,"suffix":""},{"dropping-particle":"","family":"Devuyst","given":"Olivier","non-dropping-particle":"","parse-names":false,"suffix":""},{"dropping-particle":"","family":"Akilesh","given":"Shreeram","non-dropping-particle":"","parse-names":false,"suffix":""},{"dropping-particle":"","family":"Pendergrass","given":"Sarah A.","non-dropping-particle":"","parse-names":false,"suffix":""},{"dropping-particle":"","family":"Sim","given":"Xueling","non-dropping-particle":"","parse-names":false,"suffix":""},{"dropping-particle":"","family":"Böger","given":"Carsten A.","non-dropping-particle":"","parse-names":false,"suffix":""},{"dropping-particle":"","family":"Okada","given":"Yukinori","non-dropping-particle":"","parse-names":false,"suffix":""},{"dropping-particle":"","family":"Edwards","given":"Todd L.","non-dropping-particle":"","parse-names":false,"suffix":""},{"dropping-particle":"","family":"Snieder","given":"Harold","non-dropping-particle":"","parse-names":false,"suffix":""},{"dropping-particle":"","family":"Stefansson","given":"Kari","non-dropping-particle":"","parse-names":false,"suffix":""},{"dropping-particle":"","family":"Hung","given":"Adriana M.","non-dropping-particle":"","parse-names":false,"suffix":""},{"dropping-particle":"","family":"Heid","given":"Iris M.","non-dropping-particle":"","parse-names":false,"suffix":""},{"dropping-particle":"","family":"Scholz","given":"Markus","non-dropping-particle":"","parse-names":false,"suffix":""},{"dropping-particle":"","family":"Teumer","given":"Alexander","non-dropping-particle":"","parse-names":false,"suffix":""},{"dropping-particle":"","family":"Köttgen","given":"Anna","non-dropping-particle":"","parse-names":false,"suffix":""},{"dropping-particle":"","family":"Pattaro","given":"Cristian","non-dropping-particle":"","parse-names":false,"suffix":""}],"container-title":"Nature Genetics","id":"ITEM-1","issue":"6","issued":{"date-parts":[["2019","6","1"]]},"page":"957-972","publisher":"Nature Publishing Group","title":"A catalog of genetic loci associated with kidney function from analyses of a million individuals","type":"article-journal","volume":"51"},"uris":["http://www.mendeley.com/documents/?uuid=bfaa400e-933b-37b2-b976-fe74cee7fed0"]}],"mendeley":{"formattedCitation":"&lt;sup&gt;20&lt;/sup&gt;","plainTextFormattedCitation":"20","previouslyFormattedCitation":"&lt;sup&gt;20&lt;/sup&gt;"},"properties":{"noteIndex":0},"schema":"https://github.com/citation-style-language/schema/raw/master/csl-citation.json"}</w:instrText>
      </w:r>
      <w:r w:rsidR="00DF3FFC" w:rsidRPr="0061109F">
        <w:rPr>
          <w:rFonts w:ascii="Calibri" w:hAnsi="Calibri" w:cs="Calibri"/>
          <w:sz w:val="22"/>
          <w:szCs w:val="22"/>
        </w:rPr>
        <w:fldChar w:fldCharType="separate"/>
      </w:r>
      <w:r w:rsidR="00D3131C" w:rsidRPr="0061109F">
        <w:rPr>
          <w:rFonts w:ascii="Calibri" w:hAnsi="Calibri" w:cs="Calibri"/>
          <w:noProof/>
          <w:sz w:val="22"/>
          <w:szCs w:val="22"/>
          <w:vertAlign w:val="superscript"/>
        </w:rPr>
        <w:t>20</w:t>
      </w:r>
      <w:r w:rsidR="00DF3FFC" w:rsidRPr="0061109F">
        <w:rPr>
          <w:rFonts w:ascii="Calibri" w:hAnsi="Calibri" w:cs="Calibri"/>
          <w:sz w:val="22"/>
          <w:szCs w:val="22"/>
        </w:rPr>
        <w:fldChar w:fldCharType="end"/>
      </w:r>
      <w:r w:rsidR="00DF3FFC" w:rsidRPr="0061109F">
        <w:rPr>
          <w:rFonts w:ascii="Calibri" w:hAnsi="Calibri" w:cs="Calibri"/>
          <w:sz w:val="22"/>
          <w:szCs w:val="22"/>
        </w:rPr>
        <w:t xml:space="preserve"> type 2 diabetes,</w:t>
      </w:r>
      <w:r w:rsidR="00DF3FFC" w:rsidRPr="0061109F">
        <w:rPr>
          <w:rFonts w:ascii="Calibri" w:hAnsi="Calibri" w:cs="Calibri"/>
          <w:sz w:val="22"/>
          <w:szCs w:val="22"/>
        </w:rPr>
        <w:fldChar w:fldCharType="begin" w:fldLock="1"/>
      </w:r>
      <w:r w:rsidR="000B086A" w:rsidRPr="0061109F">
        <w:rPr>
          <w:rFonts w:ascii="Calibri" w:hAnsi="Calibri" w:cs="Calibri"/>
          <w:sz w:val="22"/>
          <w:szCs w:val="22"/>
        </w:rPr>
        <w:instrText>ADDIN CSL_CITATION {"citationItems":[{"id":"ITEM-1","itemData":{"DOI":"10.2337/db16-1253","ISSN":"1939327X","abstract":"To characterize type 2 diabetes (T2D)-associated variation across the allele frequency spectrum, we conducted a meta-analysis of genome-wide association data from 26,676 T2D case and 132,532 control subjects of European ancestry after imputation using the 1000 Genomes multiethnic reference panel. Promising association signals were followed up in additional data sets (of 14,545 or 7,397 T2D case and 38,994 or 71,604 control subjects). We identified 13 novel T2D-associated loci (P &lt; 5 × 10-8), including variants near the GLP2R, GIP, and HLA-DQA1 genes. Our analysis brought the total number of independent T2D associations to 128 distinct signals at 113 loci. Despite substantially increased sample size and more complete coverage of low-frequency variation, all novel associations were driven by common single nucleotide variants. Credible sets of potentially causal variants were generally larger than those based on imputation with earlier reference panels, consistent with resolution of causal signals to common risk haplotypes. Stratification of T2D-associated loci based on T2D-related quantitative trait associations revealed tissue-specific enrichment of regulatory annotations in pancreatic islet enhancers for loci influencing insulin secretion and in adipocytes, monocytes, and hepatocytes for insulin action-associated loci. These findings highlight the predominant role played by common variants of modest effect and the diversity of biological mechanisms influencing T2D pathophysiology.","author":[{"dropping-particle":"","family":"Scott","given":"Robert A.","non-dropping-particle":"","parse-names":false,"suffix":""},{"dropping-particle":"","family":"Scott","given":"Laura J.","non-dropping-particle":"","parse-names":false,"suffix":""},{"dropping-particle":"","family":"Mägi","given":"Reedik","non-dropping-particle":"","parse-names":false,"suffix":""},{"dropping-particle":"","family":"Marullo","given":"Letizia","non-dropping-particle":"","parse-names":false,"suffix":""},{"dropping-particle":"","family":"Gaulton","given":"Kyle J.","non-dropping-particle":"","parse-names":false,"suffix":""},{"dropping-particle":"","family":"Kaakinen","given":"Marika","non-dropping-particle":"","parse-names":false,"suffix":""},{"dropping-particle":"","family":"Pervjakova","given":"Natalia","non-dropping-particle":"","parse-names":false,"suffix":""},{"dropping-particle":"","family":"Pers","given":"Tune H.","non-dropping-particle":"","parse-names":false,"suffix":""},{"dropping-particle":"","family":"Johnson","given":"Andrew D.","non-dropping-particle":"","parse-names":false,"suffix":""},{"dropping-particle":"","family":"Eicher","given":"John D.","non-dropping-particle":"","parse-names":false,"suffix":""},{"dropping-particle":"","family":"Jackson","given":"Anne U.","non-dropping-particle":"","parse-names":false,"suffix":""},{"dropping-particle":"","family":"Ferreira","given":"Teresa","non-dropping-particle":"","parse-names":false,"suffix":""},{"dropping-particle":"","family":"Lee","given":"Yeji","non-dropping-particle":"","parse-names":false,"suffix":""},{"dropping-particle":"","family":"Ma","given":"Clement","non-dropping-particle":"","parse-names":false,"suffix":""},{"dropping-particle":"","family":"Steinthorsdottir","given":"Valgerdur","non-dropping-particle":"","parse-names":false,"suffix":""},{"dropping-particle":"","family":"Thorleifsson","given":"Gudmar","non-dropping-particle":"","parse-names":false,"suffix":""},{"dropping-particle":"","family":"Qi","given":"Lu","non-dropping-particle":"","parse-names":false,"suffix":""},{"dropping-particle":"","family":"Zuydam","given":"Natalie R.","non-dropping-particle":"Van","parse-names":false,"suffix":""},{"dropping-particle":"","family":"Mahajan","given":"Anubha","non-dropping-particle":"","parse-names":false,"suffix":""},{"dropping-particle":"","family":"Chen","given":"Han","non-dropping-particle":"","parse-names":false,"suffix":""},{"dropping-particle":"","family":"Almgren","given":"Peter","non-dropping-particle":"","parse-names":false,"suffix":""},{"dropping-particle":"","family":"Voight","given":"Ben F.","non-dropping-particle":"","parse-names":false,"suffix":""},{"dropping-particle":"","family":"Grallert","given":"Harald","non-dropping-particle":"","parse-names":false,"suffix":""},{"dropping-particle":"","family":"Müller-Nurasyid","given":"Martina","non-dropping-particle":"","parse-names":false,"suffix":""},{"dropping-particle":"","family":"Ried","given":"Janina S.","non-dropping-particle":"","parse-names":false,"suffix":""},{"dropping-particle":"","family":"Rayner","given":"Nigel W.","non-dropping-particle":"","parse-names":false,"suffix":""},{"dropping-particle":"","family":"Robertson","given":"Neil","non-dropping-particle":"","parse-names":false,"suffix":""},{"dropping-particle":"","family":"Karssen","given":"Lennart C.","non-dropping-particle":"","parse-names":false,"suffix":""},{"dropping-particle":"","family":"Leeuwen","given":"Elisabeth M.","non-dropping-particle":"van","parse-names":false,"suffix":""},{"dropping-particle":"","family":"Willems","given":"Sara M.","non-dropping-particle":"","parse-names":false,"suffix":""},{"dropping-particle":"","family":"Fuchsberger","given":"Christian","non-dropping-particle":"","parse-names":false,"suffix":""},{"dropping-particle":"","family":"Kwan","given":"Phoenix","non-dropping-particle":"","parse-names":false,"suffix":""},{"dropping-particle":"","family":"Teslovich","given":"Tanya M.","non-dropping-particle":"","parse-names":false,"suffix":""},{"dropping-particle":"","family":"Chanda","given":"Pritam","non-dropping-particle":"","parse-names":false,"suffix":""},{"dropping-particle":"","family":"Li","given":"Man","non-dropping-particle":"","parse-names":false,"suffix":""},{"dropping-particle":"","family":"Lu","given":"Yingchang","non-dropping-particle":"","parse-names":false,"suffix":""},{"dropping-particle":"","family":"Dina","given":"Christian","non-dropping-particle":"","parse-names":false,"suffix":""},{"dropping-particle":"","family":"Thuillier","given":"Dorothee","non-dropping-particle":"","parse-names":false,"suffix":""},{"dropping-particle":"","family":"Yengo","given":"Loic","non-dropping-particle":"","parse-names":false,"suffix":""},{"dropping-particle":"","family":"Jiang","given":"Longda","non-dropping-particle":"","parse-names":false,"suffix":""},{"dropping-particle":"","family":"Sparso","given":"Thomas","non-dropping-particle":"","parse-names":false,"suffix":""},{"dropping-particle":"","family":"Kestler","given":"Hans A.","non-dropping-particle":"","parse-names":false,"suffix":""},{"dropping-particle":"","family":"Chheda","given":"Himanshu","non-dropping-particle":"","parse-names":false,"suffix":""},{"dropping-particle":"","family":"Eisele","given":"Lewin","non-dropping-particle":"","parse-names":false,"suffix":""},{"dropping-particle":"","family":"Gustafsson","given":"Stefan","non-dropping-particle":"","parse-names":false,"suffix":""},{"dropping-particle":"","family":"Frånberg","given":"Mattias","non-dropping-particle":"","parse-names":false,"suffix":""},{"dropping-particle":"","family":"Strawbridge","given":"Rona J.","non-dropping-particle":"","parse-names":false,"suffix":""},{"dropping-particle":"","family":"Benediktsson","given":"Rafn","non-dropping-particle":"","parse-names":false,"suffix":""},{"dropping-particle":"","family":"Hreidarsson","given":"Astradur B.","non-dropping-particle":"","parse-names":false,"suffix":""},{"dropping-particle":"","family":"Kong","given":"Augustine","non-dropping-particle":"","parse-names":false,"suffix":""},{"dropping-particle":"","family":"Sigurðsson","given":"Gunnar","non-dropping-particle":"","parse-names":false,"suffix":""},{"dropping-particle":"","family":"Kerrison","given":"Nicola D.","non-dropping-particle":"","parse-names":false,"suffix":""},{"dropping-particle":"","family":"Luan","given":"Jian'an","non-dropping-particle":"","parse-names":false,"suffix":""},{"dropping-particle":"","family":"Liang","given":"Liming","non-dropping-particle":"","parse-names":false,"suffix":""},{"dropping-particle":"","family":"Meitinger","given":"Thomas","non-dropping-particle":"","parse-names":false,"suffix":""},{"dropping-particle":"","family":"Roden","given":"Michael","non-dropping-particle":"","parse-names":false,"suffix":""},{"dropping-particle":"","family":"Thorand","given":"Barbara","non-dropping-particle":"","parse-names":false,"suffix":""},{"dropping-particle":"","family":"Esko","given":"Tõnu","non-dropping-particle":"","parse-names":false,"suffix":""},{"dropping-particle":"","family":"Mihailov","given":"Evelin","non-dropping-particle":"","parse-names":false,"suffix":""},{"dropping-particle":"","family":"Fox","given":"Caroline","non-dropping-particle":"","parse-names":false,"suffix":""},{"dropping-particle":"","family":"Liu","given":"Ching Ti","non-dropping-particle":"","parse-names":false,"suffix":""},{"dropping-particle":"","family":"Rybin","given":"Denis","non-dropping-particle":"","parse-names":false,"suffix":""},{"dropping-particle":"","family":"Isomaa","given":"Bo","non-dropping-particle":"","parse-names":false,"suffix":""},{"dropping-particle":"","family":"Lyssenko","given":"Valeriya","non-dropping-particle":"","parse-names":false,"suffix":""},{"dropping-particle":"","family":"Tuomi","given":"Tiinamaija","non-dropping-particle":"","parse-names":false,"suffix":""},{"dropping-particle":"","family":"Couper","given":"David J.","non-dropping-particle":"","parse-names":false,"suffix":""},{"dropping-particle":"","family":"Pankow","given":"James S.","non-dropping-particle":"","parse-names":false,"suffix":""},{"dropping-particle":"","family":"Grarup","given":"Niels","non-dropping-particle":"","parse-names":false,"suffix":""},{"dropping-particle":"","family":"Have","given":"Christian T.","non-dropping-particle":"","parse-names":false,"suffix":""},{"dropping-particle":"","family":"Jørgensen","given":"Marit E.","non-dropping-particle":"","parse-names":false,"suffix":""},{"dropping-particle":"","family":"Jørgensen","given":"Torben","non-dropping-particle":"","parse-names":false,"suffix":""},{"dropping-particle":"","family":"Linneberg","given":"Allan","non-dropping-particle":"","parse-names":false,"suffix":""},{"dropping-particle":"","family":"Cornelis","given":"Marilyn C.","non-dropping-particle":"","parse-names":false,"suffix":""},{"dropping-particle":"","family":"Dam","given":"Rob M.","non-dropping-particle":"van","parse-names":false,"suffix":""},{"dropping-particle":"","family":"Hunter","given":"David J.","non-dropping-particle":"","parse-names":false,"suffix":""},{"dropping-particle":"","family":"Kraft","given":"Peter","non-dropping-particle":"","parse-names":false,"suffix":""},{"dropping-particle":"","family":"Sun","given":"Qi","non-dropping-particle":"","parse-names":false,"suffix":""},{"dropping-particle":"","family":"Edkins","given":"Sarah","non-dropping-particle":"","parse-names":false,"suffix":""},{"dropping-particle":"","family":"Owen","given":"Katharine R.","non-dropping-particle":"","parse-names":false,"suffix":""},{"dropping-particle":"","family":"Perry","given":"John R.B.","non-dropping-particle":"","parse-names":false,"suffix":""},{"dropping-particle":"","family":"Wood","given":"Andrew R.","non-dropping-particle":"","parse-names":false,"suffix":""},{"dropping-particle":"","family":"Zeggini","given":"Eleftheria","non-dropping-particle":"","parse-names":false,"suffix":""},{"dropping-particle":"","family":"Tajes-Fernandes","given":"Juan","non-dropping-particle":"","parse-names":false,"suffix":""},{"dropping-particle":"","family":"Abecasis","given":"Goncalo R.","non-dropping-particle":"","parse-names":false,"suffix":""},{"dropping-particle":"","family":"Bonnycastle","given":"Lori L.","non-dropping-particle":"","parse-names":false,"suffix":""},{"dropping-particle":"","family":"Chines","given":"Peter S.","non-dropping-particle":"","parse-names":false,"suffix":""},{"dropping-particle":"","family":"Stringham","given":"Heather M.","non-dropping-particle":"","parse-names":false,"suffix":""},{"dropping-particle":"","family":"Koistinen","given":"Heikki A.","non-dropping-particle":"","parse-names":false,"suffix":""},{"dropping-particle":"","family":"Kinnunen","given":"Leena","non-dropping-particle":"","parse-names":false,"suffix":""},{"dropping-particle":"","family":"Sennblad","given":"Bengt","non-dropping-particle":"","parse-names":false,"suffix":""},{"dropping-particle":"","family":"Mühleisen","given":"Thomas W.","non-dropping-particle":"","parse-names":false,"suffix":""},{"dropping-particle":"","family":"Nöthen","given":"Markus M.","non-dropping-particle":"","parse-names":false,"suffix":""},{"dropping-particle":"","family":"Pechlivanis","given":"Sonali","non-dropping-particle":"","parse-names":false,"suffix":""},{"dropping-particle":"","family":"Baldassarre","given":"Damiano","non-dropping-particle":"","parse-names":false,"suffix":""},{"dropping-particle":"","family":"Gertow","given":"Karl","non-dropping-particle":"","parse-names":false,"suffix":""},{"dropping-particle":"","family":"Humphries","given":"Steve E.","non-dropping-particle":"","parse-names":false,"suffix":""},{"dropping-particle":"","family":"Tremoli","given":"Elena","non-dropping-particle":"","parse-names":false,"suffix":""},{"dropping-particle":"","family":"Klopp","given":"Norman","non-dropping-particle":"","parse-names":false,"suffix":""},{"dropping-particle":"","family":"Meyer","given":"Julia","non-dropping-particle":"","parse-names":false,"suffix":""},{"dropping-particle":"","family":"Steinbach","given":"Gerald","non-dropping-particle":"","parse-names":false,"suffix":""},{"dropping-particle":"","family":"Wennauer","given":"Roman","non-dropping-particle":"","parse-names":false,"suffix":""},{"dropping-particle":"","family":"Eriksson","given":"Johan G.","non-dropping-particle":"","parse-names":false,"suffix":""},{"dropping-particle":"","family":"Mӓnnistö","given":"Satu","non-dropping-particle":"","parse-names":false,"suffix":""},{"dropping-particle":"","family":"Peltonen","given":"Leena","non-dropping-particle":"","parse-names":false,"suffix":""},{"dropping-particle":"","family":"Tikkanen","given":"Emmi","non-dropping-particle":"","parse-names":false,"suffix":""},{"dropping-particle":"","family":"Charpentier","given":"Guillaume","non-dropping-particle":"","parse-names":false,"suffix":""},{"dropping-particle":"","family":"Eury","given":"Elodie","non-dropping-particle":"","parse-names":false,"suffix":""},{"dropping-particle":"","family":"Lobbens","given":"Stéphane","non-dropping-particle":"","parse-names":false,"suffix":""},{"dropping-particle":"","family":"Gigante","given":"Bruna","non-dropping-particle":"","parse-names":false,"suffix":""},{"dropping-particle":"","family":"Leander","given":"Karin","non-dropping-particle":"","parse-names":false,"suffix":""},{"dropping-particle":"","family":"McLeod","given":"Olga","non-dropping-particle":"","parse-names":false,"suffix":""},{"dropping-particle":"","family":"Bottinger","given":"Erwin P.","non-dropping-particle":"","parse-names":false,"suffix":""},{"dropping-particle":"","family":"Gottesman","given":"Omri","non-dropping-particle":"","parse-names":false,"suffix":""},{"dropping-particle":"","family":"Ruderfer","given":"Douglas","non-dropping-particle":"","parse-names":false,"suffix":""},{"dropping-particle":"","family":"Blüher","given":"Matthias","non-dropping-particle":"","parse-names":false,"suffix":""},{"dropping-particle":"","family":"Kovacs","given":"Peter","non-dropping-particle":"","parse-names":false,"suffix":""},{"dropping-particle":"","family":"Tonjes","given":"Anke","non-dropping-particle":"","parse-names":false,"suffix":""},{"dropping-particle":"","family":"Maruthur","given":"Nisa M.","non-dropping-particle":"","parse-names":false,"suffix":""},{"dropping-particle":"","family":"Scapoli","given":"Chiara","non-dropping-particle":"","parse-names":false,"suffix":""},{"dropping-particle":"","family":"Erbel","given":"Raimund","non-dropping-particle":"","parse-names":false,"suffix":""},{"dropping-particle":"","family":"Jöckel","given":"Karl Heinz","non-dropping-particle":"","parse-names":false,"suffix":""},{"dropping-particle":"","family":"Moebus","given":"Susanne","non-dropping-particle":"","parse-names":false,"suffix":""},{"dropping-particle":"","family":"Faire","given":"Ulf","non-dropping-particle":"de","parse-names":false,"suffix":""},{"dropping-particle":"","family":"Hamsten","given":"Anders","non-dropping-particle":"","parse-names":false,"suffix":""},{"dropping-particle":"","family":"Stumvoll","given":"Michael","non-dropping-particle":"","parse-names":false,"suffix":""},{"dropping-particle":"","family":"Deloukas","given":"Panagiotis","non-dropping-particle":"","parse-names":false,"suffix":""},{"dropping-particle":"","family":"Donnelly","given":"Peter J.","non-dropping-particle":"","parse-names":false,"suffix":""},{"dropping-particle":"","family":"Frayling","given":"Timothy M.","non-dropping-particle":"","parse-names":false,"suffix":""},{"dropping-particle":"","family":"Hattersley","given":"Andrew T.","non-dropping-particle":"","parse-names":false,"suffix":""},{"dropping-particle":"","family":"Ripatti","given":"Samuli","non-dropping-particle":"","parse-names":false,"suffix":""},{"dropping-particle":"","family":"Salomaa","given":"Veikko","non-dropping-particle":"","parse-names":false,"suffix":""},{"dropping-particle":"","family":"Pedersen","given":"Nancy L.","non-dropping-particle":"","parse-names":false,"suffix":""},{"dropping-particle":"","family":"Boehm","given":"Bernhard O.","non-dropping-particle":"","parse-names":false,"suffix":""},{"dropping-particle":"","family":"Bergman","given":"Richard N.","non-dropping-particle":"","parse-names":false,"suffix":""},{"dropping-particle":"","family":"Collins","given":"Francis S.","non-dropping-particle":"","parse-names":false,"suffix":""},{"dropping-particle":"","family":"Mohlke","given":"Karen L.","non-dropping-particle":"","parse-names":false,"suffix":""},{"dropping-particle":"","family":"Tuomilehto","given":"Jaakko","non-dropping-particle":"","parse-names":false,"suffix":""},{"dropping-particle":"","family":"Hansen","given":"Torben","non-dropping-particle":"","parse-names":false,"suffix":""},{"dropping-particle":"","family":"Pedersen","given":"Oluf","non-dropping-particle":"","parse-names":false,"suffix":""},{"dropping-particle":"","family":"Barroso","given":"Inês","non-dropping-particle":"","parse-names":false,"suffix":""},{"dropping-particle":"","family":"Lannfelt","given":"Lars","non-dropping-particle":"","parse-names":false,"suffix":""},{"dropping-particle":"","family":"Ingelsson","given":"Erik","non-dropping-particle":"","parse-names":false,"suffix":""},{"dropping-particle":"","family":"Lind","given":"Lars","non-dropping-particle":"","parse-names":false,"suffix":""},{"dropping-particle":"","family":"Lindgren","given":"Cecilia M.","non-dropping-particle":"","parse-names":false,"suffix":""},{"dropping-particle":"","family":"Cauchi","given":"Stephane","non-dropping-particle":"","parse-names":false,"suffix":""},{"dropping-particle":"","family":"Froguel","given":"Philippe","non-dropping-particle":"","parse-names":false,"suffix":""},{"dropping-particle":"","family":"Loos","given":"Ruth J.F.","non-dropping-particle":"","parse-names":false,"suffix":""},{"dropping-particle":"","family":"Balkau","given":"Beverley","non-dropping-particle":"","parse-names":false,"suffix":""},{"dropping-particle":"","family":"Boeing","given":"Heiner","non-dropping-particle":"","parse-names":false,"suffix":""},{"dropping-particle":"","family":"Franks","given":"Paul W.","non-dropping-particle":"","parse-names":false,"suffix":""},{"dropping-particle":"","family":"Barricarte Gurrea","given":"Aurelio","non-dropping-particle":"","parse-names":false,"suffix":""},{"dropping-particle":"","family":"Palli","given":"Domenico","non-dropping-particle":"","parse-names":false,"suffix":""},{"dropping-particle":"","family":"Schouw","given":"Yvonne T.","non-dropping-particle":"van der","parse-names":false,"suffix":""},{"dropping-particle":"","family":"Altshuler","given":"David","non-dropping-particle":"","parse-names":false,"suffix":""},{"dropping-particle":"","family":"Groop","given":"Leif C.","non-dropping-particle":"","parse-names":false,"suffix":""},{"dropping-particle":"","family":"Langenberg","given":"Claudia","non-dropping-particle":"","parse-names":false,"suffix":""},{"dropping-particle":"","family":"Wareham","given":"Nicholas J.","non-dropping-particle":"","parse-names":false,"suffix":""},{"dropping-particle":"","family":"Sijbrands","given":"Eric","non-dropping-particle":"","parse-names":false,"suffix":""},{"dropping-particle":"","family":"Duijn","given":"Cornelia M.","non-dropping-particle":"van","parse-names":false,"suffix":""},{"dropping-particle":"","family":"Florez","given":"Jose C.","non-dropping-particle":"","parse-names":false,"suffix":""},{"dropping-particle":"","family":"Meigs","given":"James B.","non-dropping-particle":"","parse-names":false,"suffix":""},{"dropping-particle":"","family":"Boerwinkle","given":"Eric","non-dropping-particle":"","parse-names":false,"suffix":""},{"dropping-particle":"","family":"Gieger","given":"Christian","non-dropping-particle":"","parse-names":false,"suffix":""},{"dropping-particle":"","family":"Strauch","given":"Konstantin","non-dropping-particle":"","parse-names":false,"suffix":""},{"dropping-particle":"","family":"Metspalu","given":"Andres","non-dropping-particle":"","parse-names":false,"suffix":""},{"dropping-particle":"","family":"Morris","given":"Andrew D.","non-dropping-particle":"","parse-names":false,"suffix":""},{"dropping-particle":"","family":"Palmer","given":"Colin N.A.","non-dropping-particle":"","parse-names":false,"suffix":""},{"dropping-particle":"","family":"Hu","given":"Frank B.","non-dropping-particle":"","parse-names":false,"suffix":""},{"dropping-particle":"","family":"Thorsteinsdottir","given":"Unnur","non-dropping-particle":"","parse-names":false,"suffix":""},{"dropping-particle":"","family":"Stefansson","given":"Kari","non-dropping-particle":"","parse-names":false,"suffix":""},{"dropping-particle":"","family":"Dupuis","given":"Josée","non-dropping-particle":"","parse-names":false,"suffix":""},{"dropping-particle":"","family":"Morris","given":"Andrew P.","non-dropping-particle":"","parse-names":false,"suffix":""},{"dropping-particle":"","family":"Boehnke","given":"Michael","non-dropping-particle":"","parse-names":false,"suffix":""},{"dropping-particle":"","family":"McCarthy","given":"Mark I.","non-dropping-particle":"","parse-names":false,"suffix":""},{"dropping-particle":"","family":"Prokopenko","given":"Inga","non-dropping-particle":"","parse-names":false,"suffix":""}],"container-title":"Diabetes","id":"ITEM-1","issue":"11","issued":{"date-parts":[["2017","11","1"]]},"page":"2888-2902","publisher":"Diabetes","title":"An Expanded Genome-Wide Association Study of Type 2 Diabetes in Europeans","type":"article-journal","volume":"66"},"uris":["http://www.mendeley.com/documents/?uuid=5ce0a0ea-4067-37fc-8f1f-ae2cd7ebd631"]}],"mendeley":{"formattedCitation":"&lt;sup&gt;21&lt;/sup&gt;","plainTextFormattedCitation":"21","previouslyFormattedCitation":"&lt;sup&gt;21&lt;/sup&gt;"},"properties":{"noteIndex":0},"schema":"https://github.com/citation-style-language/schema/raw/master/csl-citation.json"}</w:instrText>
      </w:r>
      <w:r w:rsidR="00DF3FFC" w:rsidRPr="0061109F">
        <w:rPr>
          <w:rFonts w:ascii="Calibri" w:hAnsi="Calibri" w:cs="Calibri"/>
          <w:sz w:val="22"/>
          <w:szCs w:val="22"/>
        </w:rPr>
        <w:fldChar w:fldCharType="separate"/>
      </w:r>
      <w:r w:rsidR="00D3131C" w:rsidRPr="0061109F">
        <w:rPr>
          <w:rFonts w:ascii="Calibri" w:hAnsi="Calibri" w:cs="Calibri"/>
          <w:noProof/>
          <w:sz w:val="22"/>
          <w:szCs w:val="22"/>
          <w:vertAlign w:val="superscript"/>
        </w:rPr>
        <w:t>21</w:t>
      </w:r>
      <w:r w:rsidR="00DF3FFC" w:rsidRPr="0061109F">
        <w:rPr>
          <w:rFonts w:ascii="Calibri" w:hAnsi="Calibri" w:cs="Calibri"/>
          <w:sz w:val="22"/>
          <w:szCs w:val="22"/>
        </w:rPr>
        <w:fldChar w:fldCharType="end"/>
      </w:r>
      <w:r w:rsidR="00DF3FFC" w:rsidRPr="0061109F">
        <w:rPr>
          <w:rFonts w:ascii="Calibri" w:hAnsi="Calibri" w:cs="Calibri"/>
          <w:sz w:val="22"/>
          <w:szCs w:val="22"/>
        </w:rPr>
        <w:t xml:space="preserve"> and smoking (cigarettes per day).</w:t>
      </w:r>
      <w:r w:rsidR="00DF3FFC" w:rsidRPr="0061109F">
        <w:rPr>
          <w:rFonts w:ascii="Calibri" w:hAnsi="Calibri" w:cs="Calibri"/>
          <w:sz w:val="22"/>
          <w:szCs w:val="22"/>
        </w:rPr>
        <w:fldChar w:fldCharType="begin" w:fldLock="1"/>
      </w:r>
      <w:r w:rsidR="000B086A" w:rsidRPr="0061109F">
        <w:rPr>
          <w:rFonts w:ascii="Calibri" w:hAnsi="Calibri" w:cs="Calibri"/>
          <w:sz w:val="22"/>
          <w:szCs w:val="22"/>
        </w:rPr>
        <w:instrText>ADDIN CSL_CITATION {"citationItems":[{"id":"ITEM-1","itemData":{"DOI":"10.1038/s41588-018-0307-5","ISSN":"15461718","abstract":"Tobacco and alcohol use are leading causes of mortality that influence risk for many complex diseases and disorders1. They are heritable2,3 and etiologically related4,5 behaviors that have been resistant to gene discovery efforts6–11. In sample sizes up to 1.2 million individuals, we discovered 566 genetic variants in 406 loci associated with multiple stages of tobacco use (initiation, cessation, and heaviness) as well as alcohol use, with 150 loci evidencing pleiotropic association. Smoking phenotypes were positively genetically correlated with many health conditions, whereas alcohol use was negatively correlated with these conditions, such that increased genetic risk for alcohol use is associated with lower disease risk. We report evidence for the involvement of many systems in tobacco and alcohol use, including genes involved in nicotinic, dopaminergic, and glutamatergic neurotransmission. The results provide a solid starting point to evaluate the effects of these loci in model organisms and more precise substance use measures.","author":[{"dropping-particle":"","family":"Liu","given":"Mengzhen","non-dropping-particle":"","parse-names":false,"suffix":""},{"dropping-particle":"","family":"Jiang","given":"Yu","non-dropping-particle":"","parse-names":false,"suffix":""},{"dropping-particle":"","family":"Wedow","given":"Robbee","non-dropping-particle":"","parse-names":false,"suffix":""},{"dropping-particle":"","family":"Li","given":"Yue","non-dropping-particle":"","parse-names":false,"suffix":""},{"dropping-particle":"","family":"Brazel","given":"David M.","non-dropping-particle":"","parse-names":false,"suffix":""},{"dropping-particle":"","family":"Chen","given":"Fang","non-dropping-particle":"","parse-names":false,"suffix":""},{"dropping-particle":"","family":"Datta","given":"Gargi","non-dropping-particle":"","parse-names":false,"suffix":""},{"dropping-particle":"","family":"Davila-Velderrain","given":"Jose","non-dropping-particle":"","parse-names":false,"suffix":""},{"dropping-particle":"","family":"McGuire","given":"Daniel","non-dropping-particle":"","parse-names":false,"suffix":""},{"dropping-particle":"","family":"Tian","given":"Chao","non-dropping-particle":"","parse-names":false,"suffix":""},{"dropping-particle":"","family":"Zhan","given":"Xiaowei","non-dropping-particle":"","parse-names":false,"suffix":""},{"dropping-particle":"","family":"Agee","given":"Michelle","non-dropping-particle":"","parse-names":false,"suffix":""},{"dropping-particle":"","family":"Alipanahi","given":"Babak","non-dropping-particle":"","parse-names":false,"suffix":""},{"dropping-particle":"","family":"Auton","given":"Adam","non-dropping-particle":"","parse-names":false,"suffix":""},{"dropping-particle":"","family":"Bell","given":"Robert K.","non-dropping-particle":"","parse-names":false,"suffix":""},{"dropping-particle":"","family":"Bryc","given":"Katarzyna","non-dropping-particle":"","parse-names":false,"suffix":""},{"dropping-particle":"","family":"Elson","given":"Sarah L.","non-dropping-particle":"","parse-names":false,"suffix":""},{"dropping-particle":"","family":"Fontanillas","given":"Pierre","non-dropping-particle":"","parse-names":false,"suffix":""},{"dropping-particle":"","family":"Furlotte","given":"Nicholas A.","non-dropping-particle":"","parse-names":false,"suffix":""},{"dropping-particle":"","family":"Hinds","given":"David A.","non-dropping-particle":"","parse-names":false,"suffix":""},{"dropping-particle":"","family":"Hromatka","given":"Bethann S.","non-dropping-particle":"","parse-names":false,"suffix":""},{"dropping-particle":"","family":"Huber","given":"Karen E.","non-dropping-particle":"","parse-names":false,"suffix":""},{"dropping-particle":"","family":"Kleinman","given":"Aaron","non-dropping-particle":"","parse-names":false,"suffix":""},{"dropping-particle":"","family":"Litterman","given":"Nadia K.","non-dropping-particle":"","parse-names":false,"suffix":""},{"dropping-particle":"","family":"McIntyre","given":"Matthew H.","non-dropping-particle":"","parse-names":false,"suffix":""},{"dropping-particle":"","family":"Mountain","given":"Joanna L.","non-dropping-particle":"","parse-names":false,"suffix":""},{"dropping-particle":"","family":"Northover","given":"Carrie A.M.","non-dropping-particle":"","parse-names":false,"suffix":""},{"dropping-particle":"","family":"Sathirapongsasuti","given":"J. Fah","non-dropping-particle":"","parse-names":false,"suffix":""},{"dropping-particle":"V.","family":"Sazonova","given":"Olga","non-dropping-particle":"","parse-names":false,"suffix":""},{"dropping-particle":"","family":"Shelton","given":"Janie F.","non-dropping-particle":"","parse-names":false,"suffix":""},{"dropping-particle":"","family":"Shringarpure","given":"Suyash","non-dropping-particle":"","parse-names":false,"suffix":""},{"dropping-particle":"","family":"Tung","given":"Joyce Y.","non-dropping-particle":"","parse-names":false,"suffix":""},{"dropping-particle":"","family":"Vacic","given":"Vladimir","non-dropping-particle":"","parse-names":false,"suffix":""},{"dropping-particle":"","family":"Wilson","given":"Catherine H.","non-dropping-particle":"","parse-names":false,"suffix":""},{"dropping-particle":"","family":"Pitts","given":"Steven J.","non-dropping-particle":"","parse-names":false,"suffix":""},{"dropping-particle":"","family":"Mitchell","given":"Amy","non-dropping-particle":"","parse-names":false,"suffix":""},{"dropping-particle":"","family":"Skogholt","given":"Anne Heidi","non-dropping-particle":"","parse-names":false,"suffix":""},{"dropping-particle":"","family":"Winsvold","given":"Bendik Slagsvold","non-dropping-particle":"","parse-names":false,"suffix":""},{"dropping-particle":"","family":"Sivertsen","given":"Børge","non-dropping-particle":"","parse-names":false,"suffix":""},{"dropping-particle":"","family":"Stordal","given":"Eystein","non-dropping-particle":"","parse-names":false,"suffix":""},{"dropping-particle":"","family":"Morken","given":"Gunnar","non-dropping-particle":"","parse-names":false,"suffix":""},{"dropping-particle":"","family":"Kallestad","given":"Håvard","non-dropping-particle":"","parse-names":false,"suffix":""},{"dropping-particle":"","family":"Heuch","given":"Ingrid","non-dropping-particle":"","parse-names":false,"suffix":""},{"dropping-particle":"","family":"Zwart","given":"John Anker","non-dropping-particle":"","parse-names":false,"suffix":""},{"dropping-particle":"","family":"Fjukstad","given":"Katrine Kveli","non-dropping-particle":"","parse-names":false,"suffix":""},{"dropping-particle":"","family":"Pedersen","given":"Linda M.","non-dropping-particle":"","parse-names":false,"suffix":""},{"dropping-particle":"","family":"Gabrielsen","given":"Maiken Elvestad","non-dropping-particle":"","parse-names":false,"suffix":""},{"dropping-particle":"","family":"Johnsen","given":"Marianne Bakke","non-dropping-particle":"","parse-names":false,"suffix":""},{"dropping-particle":"","family":"Skrove","given":"Marit","non-dropping-particle":"","parse-names":false,"suffix":""},{"dropping-particle":"","family":"Indredavik","given":"Marit Sæbø","non-dropping-particle":"","parse-names":false,"suffix":""},{"dropping-particle":"","family":"Drange","given":"Ole Kristian","non-dropping-particle":"","parse-names":false,"suffix":""},{"dropping-particle":"","family":"Bjerkeset","given":"Ottar","non-dropping-particle":"","parse-names":false,"suffix":""},{"dropping-particle":"","family":"Børte","given":"Sigrid","non-dropping-particle":"","parse-names":false,"suffix":""},{"dropping-particle":"","family":"Stensland","given":"Synne Øien","non-dropping-particle":"","parse-names":false,"suffix":""},{"dropping-particle":"","family":"Choquet","given":"Hélène","non-dropping-particle":"","parse-names":false,"suffix":""},{"dropping-particle":"","family":"Docherty","given":"Anna R.","non-dropping-particle":"","parse-names":false,"suffix":""},{"dropping-particle":"","family":"Faul","given":"Jessica D.","non-dropping-particle":"","parse-names":false,"suffix":""},{"dropping-particle":"","family":"Foerster","given":"Johanna R.","non-dropping-particle":"","parse-names":false,"suffix":""},{"dropping-particle":"","family":"Fritsche","given":"Lars G.","non-dropping-particle":"","parse-names":false,"suffix":""},{"dropping-particle":"","family":"Gordon","given":"Scott D.","non-dropping-particle":"","parse-names":false,"suffix":""},{"dropping-particle":"","family":"Haessler","given":"Jeffrey","non-dropping-particle":"","parse-names":false,"suffix":""},{"dropping-particle":"","family":"Hottenga","given":"Jouke Jan","non-dropping-particle":"","parse-names":false,"suffix":""},{"dropping-particle":"","family":"Huang","given":"Hongyan","non-dropping-particle":"","parse-names":false,"suffix":""},{"dropping-particle":"","family":"Jang","given":"Seon Kyeong","non-dropping-particle":"","parse-names":false,"suffix":""},{"dropping-particle":"","family":"Jansen","given":"Philip R.","non-dropping-particle":"","parse-names":false,"suffix":""},{"dropping-particle":"","family":"Ling","given":"Yueh","non-dropping-particle":"","parse-names":false,"suffix":""},{"dropping-particle":"","family":"Mägi","given":"Reedik","non-dropping-particle":"","parse-names":false,"suffix":""},{"dropping-particle":"","family":"Matoba","given":"Nana","non-dropping-particle":"","parse-names":false,"suffix":""},{"dropping-particle":"","family":"McMahon","given":"George","non-dropping-particle":"","parse-names":false,"suffix":""},{"dropping-particle":"","family":"Mulas","given":"Antonella","non-dropping-particle":"","parse-names":false,"suffix":""},{"dropping-particle":"","family":"Orrù","given":"Valeria","non-dropping-particle":"","parse-names":false,"suffix":""},{"dropping-particle":"","family":"Palviainen","given":"Teemu","non-dropping-particle":"","parse-names":false,"suffix":""},{"dropping-particle":"","family":"Pandit","given":"Anita","non-dropping-particle":"","parse-names":false,"suffix":""},{"dropping-particle":"","family":"Reginsson","given":"Gunnar W.","non-dropping-particle":"","parse-names":false,"suffix":""},{"dropping-particle":"","family":"Smith","given":"Jennifer A.","non-dropping-particle":"","parse-names":false,"suffix":""},{"dropping-particle":"","family":"Taylor","given":"Amy E.","non-dropping-particle":"","parse-names":false,"suffix":""},{"dropping-particle":"","family":"Turman","given":"Constance","non-dropping-particle":"","parse-names":false,"suffix":""},{"dropping-particle":"","family":"Willemsen","given":"Gonneke","non-dropping-particle":"","parse-names":false,"suffix":""},{"dropping-particle":"","family":"Young","given":"Hannah","non-dropping-particle":"","parse-names":false,"suffix":""},{"dropping-particle":"","family":"Young","given":"Kendra A.","non-dropping-particle":"","parse-names":false,"suffix":""},{"dropping-particle":"","family":"Zajac","given":"Gregory J.M.","non-dropping-particle":"","parse-names":false,"suffix":""},{"dropping-particle":"","family":"Zhao","given":"Wei","non-dropping-particle":"","parse-names":false,"suffix":""},{"dropping-particle":"","family":"Zhou","given":"Wei","non-dropping-particle":"","parse-names":false,"suffix":""},{"dropping-particle":"","family":"Bjornsdottir","given":"Gyda","non-dropping-particle":"","parse-names":false,"suffix":""},{"dropping-particle":"","family":"Boardman","given":"Jason D.","non-dropping-particle":"","parse-names":false,"suffix":""},{"dropping-particle":"","family":"Boehnke","given":"Michael","non-dropping-particle":"","parse-names":false,"suffix":""},{"dropping-particle":"","family":"Boomsma","given":"Dorret I.","non-dropping-particle":"","parse-names":false,"suffix":""},{"dropping-particle":"","family":"Chen","given":"Chu","non-dropping-particle":"","parse-names":false,"suffix":""},{"dropping-particle":"","family":"Cucca","given":"Francesco","non-dropping-particle":"","parse-names":false,"suffix":""},{"dropping-particle":"","family":"Davies","given":"Gareth E.","non-dropping-particle":"","parse-names":false,"suffix":""},{"dropping-particle":"","family":"Eaton","given":"Charles B.","non-dropping-particle":"","parse-names":false,"suffix":""},{"dropping-particle":"","family":"Ehringer","given":"Marissa A.","non-dropping-particle":"","parse-names":false,"suffix":""},{"dropping-particle":"","family":"Esko","given":"Tõnu","non-dropping-particle":"","parse-names":false,"suffix":""},{"dropping-particle":"","family":"Fiorillo","given":"Edoardo","non-dropping-particle":"","parse-names":false,"suffix":""},{"dropping-particle":"","family":"Gillespie","given":"Nathan A.","non-dropping-particle":"","parse-names":false,"suffix":""},{"dropping-particle":"","family":"Gudbjartsson","given":"Daniel F.","non-dropping-particle":"","parse-names":false,"suffix":""},{"dropping-particle":"","family":"Haller","given":"Toomas","non-dropping-particle":"","parse-names":false,"suffix":""},{"dropping-particle":"","family":"Harris","given":"Kathleen Mullan","non-dropping-particle":"","parse-names":false,"suffix":""},{"dropping-particle":"","family":"Heath","given":"Andrew C.","non-dropping-particle":"","parse-names":false,"suffix":""},{"dropping-particle":"","family":"Hewitt","given":"John K.","non-dropping-particle":"","parse-names":false,"suffix":""},{"dropping-particle":"","family":"Hickie","given":"Ian B.","non-dropping-particle":"","parse-names":false,"suffix":""},{"dropping-particle":"","family":"Hokanson","given":"John E.","non-dropping-particle":"","parse-names":false,"suffix":""},{"dropping-particle":"","family":"Hopfer","given":"Christian J.","non-dropping-particle":"","parse-names":false,"suffix":""},{"dropping-particle":"","family":"Hunter","given":"David J.","non-dropping-particle":"","parse-names":false,"suffix":""},{"dropping-particle":"","family":"Iacono","given":"William G.","non-dropping-particle":"","parse-names":false,"suffix":""},{"dropping-particle":"","family":"Johnson","given":"Eric O.","non-dropping-particle":"","parse-names":false,"suffix":""},{"dropping-particle":"","family":"Kamatani","given":"Yoichiro","non-dropping-particle":"","parse-names":false,"suffix":""},{"dropping-particle":"","family":"Kardia","given":"Sharon L.R.","non-dropping-particle":"","parse-names":false,"suffix":""},{"dropping-particle":"","family":"Keller","given":"Matthew C.","non-dropping-particle":"","parse-names":false,"suffix":""},{"dropping-particle":"","family":"Kellis","given":"Manolis","non-dropping-particle":"","parse-names":false,"suffix":""},{"dropping-particle":"","family":"Kooperberg","given":"Charles","non-dropping-particle":"","parse-names":false,"suffix":""},{"dropping-particle":"","family":"Kraft","given":"Peter","non-dropping-particle":"","parse-names":false,"suffix":""},{"dropping-particle":"","family":"Krauter","given":"Kenneth S.","non-dropping-particle":"","parse-names":false,"suffix":""},{"dropping-particle":"","family":"Laakso","given":"Markku","non-dropping-particle":"","parse-names":false,"suffix":""},{"dropping-particle":"","family":"Lind","given":"Penelope A.","non-dropping-particle":"","parse-names":false,"suffix":""},{"dropping-particle":"","family":"Loukola","given":"Anu","non-dropping-particle":"","parse-names":false,"suffix":""},{"dropping-particle":"","family":"Lutz","given":"Sharon M.","non-dropping-particle":"","parse-names":false,"suffix":""},{"dropping-particle":"","family":"Madden","given":"Pamela A.F.","non-dropping-particle":"","parse-names":false,"suffix":""},{"dropping-particle":"","family":"Martin","given":"Nicholas G.","non-dropping-particle":"","parse-names":false,"suffix":""},{"dropping-particle":"","family":"McGue","given":"Matt","non-dropping-particle":"","parse-names":false,"suffix":""},{"dropping-particle":"","family":"McQueen","given":"Matthew B.","non-dropping-particle":"","parse-names":false,"suffix":""},{"dropping-particle":"","family":"Medland","given":"Sarah E.","non-dropping-particle":"","parse-names":false,"suffix":""},{"dropping-particle":"","family":"Metspalu","given":"Andres","non-dropping-particle":"","parse-names":false,"suffix":""},{"dropping-particle":"","family":"Mohlke","given":"Karen L.","non-dropping-particle":"","parse-names":false,"suffix":""},{"dropping-particle":"","family":"Nielsen","given":"Jonas B.","non-dropping-particle":"","parse-names":false,"suffix":""},{"dropping-particle":"","family":"Okada","given":"Yukinori","non-dropping-particle":"","parse-names":false,"suffix":""},{"dropping-particle":"","family":"Peters","given":"Ulrike","non-dropping-particle":"","parse-names":false,"suffix":""},{"dropping-particle":"","family":"Polderman","given":"Tinca J.C.","non-dropping-particle":"","parse-names":false,"suffix":""},{"dropping-particle":"","family":"Posthuma","given":"Danielle","non-dropping-particle":"","parse-names":false,"suffix":""},{"dropping-particle":"","family":"Reiner","given":"Alexander P.","non-dropping-particle":"","parse-names":false,"suffix":""},{"dropping-particle":"","family":"Rice","given":"John P.","non-dropping-particle":"","parse-names":false,"suffix":""},{"dropping-particle":"","family":"Rimm","given":"Eric","non-dropping-particle":"","parse-names":false,"suffix":""},{"dropping-particle":"","family":"Rose","given":"Richard J.","non-dropping-particle":"","parse-names":false,"suffix":""},{"dropping-particle":"","family":"Runarsdottir","given":"Valgerdur","non-dropping-particle":"","parse-names":false,"suffix":""},{"dropping-particle":"","family":"Stallings","given":"Michael C.","non-dropping-particle":"","parse-names":false,"suffix":""},{"dropping-particle":"","family":"Stančáková","given":"Alena","non-dropping-particle":"","parse-names":false,"suffix":""},{"dropping-particle":"","family":"Stefansson","given":"Hreinn","non-dropping-particle":"","parse-names":false,"suffix":""},{"dropping-particle":"","family":"Thai","given":"Khanh K.","non-dropping-particle":"","parse-names":false,"suffix":""},{"dropping-particle":"","family":"Tindle","given":"Hilary A.","non-dropping-particle":"","parse-names":false,"suffix":""},{"dropping-particle":"","family":"Tyrfingsson","given":"Thorarinn","non-dropping-particle":"","parse-names":false,"suffix":""},{"dropping-particle":"","family":"Wall","given":"Tamara L.","non-dropping-particle":"","parse-names":false,"suffix":""},{"dropping-particle":"","family":"Weir","given":"David R.","non-dropping-particle":"","parse-names":false,"suffix":""},{"dropping-particle":"","family":"Weisner","given":"Constance","non-dropping-particle":"","parse-names":false,"suffix":""},{"dropping-particle":"","family":"Whitfield","given":"John B.","non-dropping-particle":"","parse-names":false,"suffix":""},{"dropping-particle":"","family":"Yin","given":"Jie","non-dropping-particle":"","parse-names":false,"suffix":""},{"dropping-particle":"","family":"Zuccolo","given":"Luisa","non-dropping-particle":"","parse-names":false,"suffix":""},{"dropping-particle":"","family":"Bierut","given":"Laura J.","non-dropping-particle":"","parse-names":false,"suffix":""},{"dropping-particle":"","family":"Hveem","given":"Kristian","non-dropping-particle":"","parse-names":false,"suffix":""},{"dropping-particle":"","family":"Lee","given":"James J.","non-dropping-particle":"","parse-names":false,"suffix":""},{"dropping-particle":"","family":"Munafò","given":"Marcus R.","non-dropping-particle":"","parse-names":false,"suffix":""},{"dropping-particle":"","family":"Saccone","given":"Nancy L.","non-dropping-particle":"","parse-names":false,"suffix":""},{"dropping-particle":"","family":"Willer","given":"Cristen J.","non-dropping-particle":"","parse-names":false,"suffix":""},{"dropping-particle":"","family":"Cornelis","given":"Marilyn C.","non-dropping-particle":"","parse-names":false,"suffix":""},{"dropping-particle":"","family":"David","given":"Sean P.","non-dropping-particle":"","parse-names":false,"suffix":""},{"dropping-particle":"","family":"Jorgenson","given":"Eric","non-dropping-particle":"","parse-names":false,"suffix":""},{"dropping-particle":"","family":"Kaprio","given":"Jaakko","non-dropping-particle":"","parse-names":false,"suffix":""},{"dropping-particle":"","family":"Stitzel","given":"Jerry A.","non-dropping-particle":"","parse-names":false,"suffix":""},{"dropping-particle":"","family":"Stefansson","given":"Kari","non-dropping-particle":"","parse-names":false,"suffix":""},{"dropping-particle":"","family":"Thorgeirsson","given":"Thorgeir E.","non-dropping-particle":"","parse-names":false,"suffix":""},{"dropping-particle":"","family":"Abecasis","given":"Gonçalo","non-dropping-particle":"","parse-names":false,"suffix":""},{"dropping-particle":"","family":"Liu","given":"Dajiang J.","non-dropping-particle":"","parse-names":false,"suffix":""},{"dropping-particle":"","family":"Vrieze","given":"Scott","non-dropping-particle":"","parse-names":false,"suffix":""}],"container-title":"Nature Genetics","id":"ITEM-1","issue":"2","issued":{"date-parts":[["2019","2","1"]]},"page":"237-244","publisher":"Nature Publishing Group","title":"Association studies of up to 1.2 million individuals yield new insights into the genetic etiology of tobacco and alcohol use","type":"article","volume":"51"},"uris":["http://www.mendeley.com/documents/?uuid=638bf763-1bda-3129-9d2b-75e23263fcac"]}],"mendeley":{"formattedCitation":"&lt;sup&gt;22&lt;/sup&gt;","plainTextFormattedCitation":"22","previouslyFormattedCitation":"&lt;sup&gt;22&lt;/sup&gt;"},"properties":{"noteIndex":0},"schema":"https://github.com/citation-style-language/schema/raw/master/csl-citation.json"}</w:instrText>
      </w:r>
      <w:r w:rsidR="00DF3FFC" w:rsidRPr="0061109F">
        <w:rPr>
          <w:rFonts w:ascii="Calibri" w:hAnsi="Calibri" w:cs="Calibri"/>
          <w:sz w:val="22"/>
          <w:szCs w:val="22"/>
        </w:rPr>
        <w:fldChar w:fldCharType="separate"/>
      </w:r>
      <w:r w:rsidR="00D3131C" w:rsidRPr="0061109F">
        <w:rPr>
          <w:rFonts w:ascii="Calibri" w:hAnsi="Calibri" w:cs="Calibri"/>
          <w:noProof/>
          <w:sz w:val="22"/>
          <w:szCs w:val="22"/>
          <w:vertAlign w:val="superscript"/>
        </w:rPr>
        <w:t>22</w:t>
      </w:r>
      <w:r w:rsidR="00DF3FFC" w:rsidRPr="0061109F">
        <w:rPr>
          <w:rFonts w:ascii="Calibri" w:hAnsi="Calibri" w:cs="Calibri"/>
          <w:sz w:val="22"/>
          <w:szCs w:val="22"/>
        </w:rPr>
        <w:fldChar w:fldCharType="end"/>
      </w:r>
      <w:r w:rsidR="00DF3FFC" w:rsidRPr="0061109F">
        <w:rPr>
          <w:rFonts w:ascii="Calibri" w:hAnsi="Calibri" w:cs="Calibri"/>
          <w:sz w:val="22"/>
          <w:szCs w:val="22"/>
        </w:rPr>
        <w:t xml:space="preserve"> GRS were selected either because of associations with mortality in SCZ</w:t>
      </w:r>
      <w:r w:rsidR="00CD1AE4" w:rsidRPr="0061109F">
        <w:rPr>
          <w:rFonts w:ascii="Calibri" w:hAnsi="Calibri" w:cs="Calibri"/>
          <w:sz w:val="22"/>
          <w:szCs w:val="22"/>
        </w:rPr>
        <w:fldChar w:fldCharType="begin" w:fldLock="1"/>
      </w:r>
      <w:r w:rsidR="000B086A" w:rsidRPr="0061109F">
        <w:rPr>
          <w:rFonts w:ascii="Calibri" w:hAnsi="Calibri" w:cs="Calibri"/>
          <w:sz w:val="22"/>
          <w:szCs w:val="22"/>
        </w:rPr>
        <w:instrText>ADDIN CSL_CITATION {"citationItems":[{"id":"ITEM-1","itemData":{"DOI":"10.4088/JCP.v68n0612","ISBN":"1555-2101 (Electronic)","ISSN":"01606689","PMID":"17592915","abstract":"CONTEXT: Persons suffering from severe mental disorder have an excess mortality compared to persons with no mental disorder. However, the magnitude of the excess mortality differs from one mental disorder to another, and the impact on mortality if a first-degree family member suffers from a mental disorder has never been examined in a population-based study. OBJECTIVE: Our objective was to examine and compare mortality rates after admission with schizophrenia, schizoaffective disorder, unipolar depressive disorder, or bipolar affective disorder and to examine the impact of family history of psychiatric admission on mortality. METHOD: We established a register-based cohort study of 5.5 million persons born in Denmark who were alive on or born after January 1, 1973 and alive on their 15th birthday. Mortality rate ratios were estimated by survival analysis, using Poisson regression. RESULTS: Unipolar depressive disorder, bipolar affective disorder, and schizoaffective disorder were associated with the same pattern of excess mortality. Schizophrenia had a lower mortality from unnatural causes of death and a higher mortality from natural causes compared to the 3 other disorders. Family history of psychiatric admission was associated with excess mortality. CONCLUSION: Patients suffering from the 4 disorders all had an excess mortality, but the pattern of excess mortality was not the same. There was an excess mortality associated with mental disorder in a first-degree family member, but this only explained a small part of the general excess mortality associated with the 4 mental disorders examined.","author":[{"dropping-particle":"","family":"Laursen","given":"Thomas Munk","non-dropping-particle":"","parse-names":false,"suffix":""},{"dropping-particle":"","family":"Munk-Olsen","given":"Trine","non-dropping-particle":"","parse-names":false,"suffix":""},{"dropping-particle":"","family":"Nordentoft","given":"Merete","non-dropping-particle":"","parse-names":false,"suffix":""},{"dropping-particle":"","family":"Mortensen","given":"Preben Bo","non-dropping-particle":"","parse-names":false,"suffix":""}],"container-title":"Journal of Clinical Psychiatry","id":"ITEM-1","issue":"6","issued":{"date-parts":[["2007","6"]]},"page":"899-907","title":"Increased mortality among patients admitted with major psychiatric disorders: A register-based study comparing mortality in unipolar depressive disorder, bipolar affective disorder, schizoaffective disorder, and schizophrenia","type":"article-journal","volume":"68"},"uris":["http://www.mendeley.com/documents/?uuid=aa886278-8329-4e7f-8cc5-1dac6bb884fc"]},{"id":"ITEM-2","itemData":{"DOI":"10.1093/schbul/sbt113","ISSN":"1745-1701","PMID":"23943410","abstract":"Persons with schizophrenia have a reduced life expectancy largely due to death from natural causes. Factors that have been previously associated with excess mortality include cigarette smoking and antipsychotic medication. The role of other environmental factors such as exposure to infectious agents has been the subject of only limited investigation. We prospectively assessed a cohort of persons with schizophrenia with a clinical evaluation and a blood sample from which antibodies to human herpes viruses and Toxoplasma gondii were measured. Mortality was determined with data from the National Death Index following a period of up to 11 years. We examined the role of demographic, serological, and clinical factors on mortality. A total of 25 (5%) of 517 persons died of natural causes. The standardized mortality ratio was 2.80 (95% CI 0.89, 6.38). After adjusting for age and gender, mortality from natural causes was predicted in separate models by cigarette smoking (relative risk [RR] = 4.66, P = .0029); lower cognitive score (RR = 0.96, P = .013); level of antibodies to Epstein-Barr virus (RR = 1.22, P = .0041) and to Herpes Simplex virus type 1 (RR = 1.19, P = .030); immunologic disease (RR = 3.14, P = .044); and genitourinary disease (RR = 2.70; P = .035). Because cigarette smoking confers an almost 5-fold risk of mortality, smoking cessation is an urgent priority. Having an elevated level of antibodies to Epstein-Barr virus and to Herpes Simplex virus type 1 are also significant predictors of death from natural causes.","author":[{"dropping-particle":"","family":"Dickerson","given":"Faith","non-dropping-particle":"","parse-names":false,"suffix":""},{"dropping-particle":"","family":"Stallings","given":"Cassie","non-dropping-particle":"","parse-names":false,"suffix":""},{"dropping-particle":"","family":"Origoni","given":"Andrea","non-dropping-particle":"","parse-names":false,"suffix":""},{"dropping-particle":"","family":"Schroeder","given":"Jennifer","non-dropping-particle":"","parse-names":false,"suffix":""},{"dropping-particle":"","family":"Khushalani","given":"Sunil","non-dropping-particle":"","parse-names":false,"suffix":""},{"dropping-particle":"","family":"Yolken","given":"Robert","non-dropping-particle":"","parse-names":false,"suffix":""}],"container-title":"Schizophrenia Bulletin","id":"ITEM-2","issue":"4","issued":{"date-parts":[["2014","7"]]},"page":"796-803","title":"Mortality in Schizophrenia: Clinical and Serological Predictors","type":"article-journal","volume":"40"},"uris":["http://www.mendeley.com/documents/?uuid=82fb0889-1d99-45b3-b47b-0cb5bc2d0b72"]}],"mendeley":{"formattedCitation":"&lt;sup&gt;23,24&lt;/sup&gt;","plainTextFormattedCitation":"23,24","previouslyFormattedCitation":"&lt;sup&gt;23,24&lt;/sup&gt;"},"properties":{"noteIndex":0},"schema":"https://github.com/citation-style-language/schema/raw/master/csl-citation.json"}</w:instrText>
      </w:r>
      <w:r w:rsidR="00CD1AE4" w:rsidRPr="0061109F">
        <w:rPr>
          <w:rFonts w:ascii="Calibri" w:hAnsi="Calibri" w:cs="Calibri"/>
          <w:sz w:val="22"/>
          <w:szCs w:val="22"/>
        </w:rPr>
        <w:fldChar w:fldCharType="separate"/>
      </w:r>
      <w:r w:rsidR="00D3131C" w:rsidRPr="0061109F">
        <w:rPr>
          <w:rFonts w:ascii="Calibri" w:hAnsi="Calibri" w:cs="Calibri"/>
          <w:noProof/>
          <w:sz w:val="22"/>
          <w:szCs w:val="22"/>
          <w:vertAlign w:val="superscript"/>
        </w:rPr>
        <w:t>23,24</w:t>
      </w:r>
      <w:r w:rsidR="00CD1AE4" w:rsidRPr="0061109F">
        <w:rPr>
          <w:rFonts w:ascii="Calibri" w:hAnsi="Calibri" w:cs="Calibri"/>
          <w:sz w:val="22"/>
          <w:szCs w:val="22"/>
        </w:rPr>
        <w:fldChar w:fldCharType="end"/>
      </w:r>
      <w:r w:rsidR="00DF3FFC" w:rsidRPr="0061109F">
        <w:rPr>
          <w:rFonts w:ascii="Calibri" w:hAnsi="Calibri" w:cs="Calibri"/>
          <w:sz w:val="22"/>
          <w:szCs w:val="22"/>
        </w:rPr>
        <w:t xml:space="preserve"> or in population samples: body mass index (BMI),</w:t>
      </w:r>
      <w:r w:rsidR="00DF3FFC" w:rsidRPr="0061109F">
        <w:rPr>
          <w:rFonts w:ascii="Calibri" w:hAnsi="Calibri" w:cs="Calibri"/>
          <w:sz w:val="22"/>
          <w:szCs w:val="22"/>
        </w:rPr>
        <w:fldChar w:fldCharType="begin" w:fldLock="1"/>
      </w:r>
      <w:r w:rsidR="000B086A" w:rsidRPr="0061109F">
        <w:rPr>
          <w:rFonts w:ascii="Calibri" w:hAnsi="Calibri" w:cs="Calibri"/>
          <w:sz w:val="22"/>
          <w:szCs w:val="22"/>
        </w:rPr>
        <w:instrText>ADDIN CSL_CITATION {"citationItems":[{"id":"ITEM-1","itemData":{"DOI":"10.1056/NEJMoa1000367","ISSN":"15334406","PMID":"21121834","abstract":"BACKGROUND: A high body-mass index (BMI, the weight in kilograms divided by the square of the height in meters) is associated with increased mortality from cardiovascular disease and certain cancers, but the precise relationship between BMI and all-cause mortality remains uncertain. METHODS: We used Cox regression to estimate hazard ratios and 95% confidence intervals for an association between BMI and all-cause mortality, adjusting for age, study, physical activity, alcohol consumption, education, and marital status in pooled data from 19 prospective studies encompassing 1.46 million white adults, 19 to 84 years of age (median, 58). RESULTS: The median baseline BMI was 26.2. During a median follow-up period of 10 years (range, 5 to 28), 160,087 deaths were identified. Among healthy participants who never smoked, there was a J-shaped relationship between BMI and all-cause mortality. With a BMI of 22.5 to 24.9 as the reference category, hazard ratios among women were 1.47 (95 percent confidence interval [CI], 1.33 to 1.62) for a BMI of 15.0 to 18.4; 1.14 (95% CI, 1.07 to 1.22) for a BMI of 18.5 to 19.9; 1.00 (95% CI, 0.96 to 1.04) for a BMI of 20.0 to 22.4; 1.13 (95% CI, 1.09 to 1.17) for a BMI of 25.0 to 29.9; 1.44 (95% CI, 1.38 to 1.50) for a BMI of 30.0 to 34.9; 1.88 (95% CI, 1.77 to 2.00) for a BMI of 35.0 to 39.9; and 2.51 (95% CI, 2.30 to 2.73) for a BMI of 40.0 to 49.9. In general, the hazard ratios for the men were similar. Hazard ratios for a BMI below 20.0 were attenuated with longer-term follow-up. CONCLUSIONS: In white adults, overweight and obesity (and possibly underweight) are associated with increased all-cause mortality. All-cause mortality is generally lowest with a BMI of 20.0 to 24.9. Copyright © 2010 Massachusetts Medical Society.","author":[{"dropping-particle":"","family":"Gonzalez","given":"Amy Berrington","non-dropping-particle":"De","parse-names":false,"suffix":""},{"dropping-particle":"","family":"Hartge","given":"Patricia","non-dropping-particle":"","parse-names":false,"suffix":""},{"dropping-particle":"","family":"Cerhan","given":"James R.","non-dropping-particle":"","parse-names":false,"suffix":""},{"dropping-particle":"","family":"Flint","given":"Alan J.","non-dropping-particle":"","parse-names":false,"suffix":""},{"dropping-particle":"","family":"Hannan","given":"Lindsay","non-dropping-particle":"","parse-names":false,"suffix":""},{"dropping-particle":"","family":"MacInnis","given":"Robert J.","non-dropping-particle":"","parse-names":false,"suffix":""},{"dropping-particle":"","family":"Moore","given":"Steven C.","non-dropping-particle":"","parse-names":false,"suffix":""},{"dropping-particle":"","family":"Tobias","given":"Geoffrey S.","non-dropping-particle":"","parse-names":false,"suffix":""},{"dropping-particle":"","family":"Anton-Culver","given":"Hoda","non-dropping-particle":"","parse-names":false,"suffix":""},{"dropping-particle":"","family":"Freeman","given":"Laura Beane","non-dropping-particle":"","parse-names":false,"suffix":""},{"dropping-particle":"","family":"Beeson","given":"W. Lawrence","non-dropping-particle":"","parse-names":false,"suffix":""},{"dropping-particle":"","family":"Clipp","given":"Sandra L.","non-dropping-particle":"","parse-names":false,"suffix":""},{"dropping-particle":"","family":"English","given":"Dallas R.","non-dropping-particle":"","parse-names":false,"suffix":""},{"dropping-particle":"","family":"Folsom","given":"Aaron R.","non-dropping-particle":"","parse-names":false,"suffix":""},{"dropping-particle":"","family":"Freedman","given":"D. Michal","non-dropping-particle":"","parse-names":false,"suffix":""},{"dropping-particle":"","family":"Giles","given":"Graham","non-dropping-particle":"","parse-names":false,"suffix":""},{"dropping-particle":"","family":"Hakansson","given":"Niclas","non-dropping-particle":"","parse-names":false,"suffix":""},{"dropping-particle":"","family":"Henderson","given":"Katherine D.","non-dropping-particle":"","parse-names":false,"suffix":""},{"dropping-particle":"","family":"Hoffman-Bolton","given":"Judith","non-dropping-particle":"","parse-names":false,"suffix":""},{"dropping-particle":"","family":"Hoppin","given":"Jane A.","non-dropping-particle":"","parse-names":false,"suffix":""},{"dropping-particle":"","family":"Koenig","given":"Karen L.","non-dropping-particle":"","parse-names":false,"suffix":""},{"dropping-particle":"","family":"Lee","given":"I. Min","non-dropping-particle":"","parse-names":false,"suffix":""},{"dropping-particle":"","family":"Linet","given":"Martha S.","non-dropping-particle":"","parse-names":false,"suffix":""},{"dropping-particle":"","family":"Park","given":"Yikyung","non-dropping-particle":"","parse-names":false,"suffix":""},{"dropping-particle":"","family":"Pocobelli","given":"Gaia","non-dropping-particle":"","parse-names":false,"suffix":""},{"dropping-particle":"","family":"Schatzkin","given":"Arthur","non-dropping-particle":"","parse-names":false,"suffix":""},{"dropping-particle":"","family":"Sesso","given":"Howard D.","non-dropping-particle":"","parse-names":false,"suffix":""},{"dropping-particle":"","family":"Weiderpass","given":"Elisabete","non-dropping-particle":"","parse-names":false,"suffix":""},{"dropping-particle":"","family":"Willcox","given":"Bradley J.","non-dropping-particle":"","parse-names":false,"suffix":""},{"dropping-particle":"","family":"Wolk","given":"Alicja","non-dropping-particle":"","parse-names":false,"suffix":""},{"dropping-particle":"","family":"Zeleniuch-Jacquotte","given":"Anne","non-dropping-particle":"","parse-names":false,"suffix":""},{"dropping-particle":"","family":"Willett","given":"Walter C.","non-dropping-particle":"","parse-names":false,"suffix":""},{"dropping-particle":"","family":"Thun","given":"Michael J.","non-dropping-particle":"","parse-names":false,"suffix":""}],"container-title":"New England Journal of Medicine","id":"ITEM-1","issue":"23","issued":{"date-parts":[["2010","12","2"]]},"page":"2211-2219","publisher":"Massachussetts Medical Society","title":"Body-mass index and mortality among 1.46 million white adults","type":"article-journal","volume":"363"},"uris":["http://www.mendeley.com/documents/?uuid=233c10f5-d998-3e64-8c8a-f08a5c8c1482"]}],"mendeley":{"formattedCitation":"&lt;sup&gt;25&lt;/sup&gt;","plainTextFormattedCitation":"25","previouslyFormattedCitation":"&lt;sup&gt;25&lt;/sup&gt;"},"properties":{"noteIndex":0},"schema":"https://github.com/citation-style-language/schema/raw/master/csl-citation.json"}</w:instrText>
      </w:r>
      <w:r w:rsidR="00DF3FFC" w:rsidRPr="0061109F">
        <w:rPr>
          <w:rFonts w:ascii="Calibri" w:hAnsi="Calibri" w:cs="Calibri"/>
          <w:sz w:val="22"/>
          <w:szCs w:val="22"/>
        </w:rPr>
        <w:fldChar w:fldCharType="separate"/>
      </w:r>
      <w:r w:rsidR="00D3131C" w:rsidRPr="0061109F">
        <w:rPr>
          <w:rFonts w:ascii="Calibri" w:hAnsi="Calibri" w:cs="Calibri"/>
          <w:noProof/>
          <w:sz w:val="22"/>
          <w:szCs w:val="22"/>
          <w:vertAlign w:val="superscript"/>
        </w:rPr>
        <w:t>25</w:t>
      </w:r>
      <w:r w:rsidR="00DF3FFC" w:rsidRPr="0061109F">
        <w:rPr>
          <w:rFonts w:ascii="Calibri" w:hAnsi="Calibri" w:cs="Calibri"/>
          <w:sz w:val="22"/>
          <w:szCs w:val="22"/>
        </w:rPr>
        <w:fldChar w:fldCharType="end"/>
      </w:r>
      <w:r w:rsidR="00DF3FFC" w:rsidRPr="0061109F">
        <w:rPr>
          <w:rFonts w:ascii="Calibri" w:hAnsi="Calibri" w:cs="Calibri"/>
          <w:sz w:val="22"/>
          <w:szCs w:val="22"/>
        </w:rPr>
        <w:t xml:space="preserve"> coronary artery disease,</w:t>
      </w:r>
      <w:r w:rsidR="00DF3FFC" w:rsidRPr="0061109F">
        <w:rPr>
          <w:rFonts w:ascii="Calibri" w:hAnsi="Calibri" w:cs="Calibri"/>
          <w:sz w:val="22"/>
          <w:szCs w:val="22"/>
        </w:rPr>
        <w:fldChar w:fldCharType="begin" w:fldLock="1"/>
      </w:r>
      <w:r w:rsidR="000B086A" w:rsidRPr="0061109F">
        <w:rPr>
          <w:rFonts w:ascii="Calibri" w:hAnsi="Calibri" w:cs="Calibri"/>
          <w:sz w:val="22"/>
          <w:szCs w:val="22"/>
        </w:rPr>
        <w:instrText>ADDIN CSL_CITATION {"citationItems":[{"id":"ITEM-1","itemData":{"DOI":"10.1038/ng.3913","ISSN":"15461718","abstract":"Genome-wide association studies (GWAS) in coronary artery disease (CAD) had identified 66 loci at 'genome-wide significance' (P &lt; 5 × 10 '8) at the time of this analysis, but a much larger number of putative loci at a false discovery rate (FDR) of 5% (refs. 1,2,3,4). Here we leverage an interim release of UK Biobank (UKBB) data to evaluate the validity of the FDR approach. We tested a CAD phenotype inclusive of angina (SOFT; n cases = 10,801) as well as a stricter definition without angina (HARD; n cases = 6,482) and selected cases with the former phenotype to conduct a meta-analysis using the two most recent CAD GWAS. This approach identified 13 new loci at genome-wide significance, 12 of which were on our previous list of loci meeting the 5% FDR threshold, thus providing strong support that the remaining loci identified by FDR represent genuine signals. The 304 independent variants associated at 5% FDR in this study explain 21.2% of CAD heritability and identify 243 loci that implicate pathways in blood vessel morphogenesis as well as lipid metabolism, nitric oxide signaling and inflammation.","author":[{"dropping-particle":"","family":"Nelson","given":"Christopher P.","non-dropping-particle":"","parse-names":false,"suffix":""},{"dropping-particle":"","family":"Goel","given":"Anuj","non-dropping-particle":"","parse-names":false,"suffix":""},{"dropping-particle":"","family":"Butterworth","given":"Adam S.","non-dropping-particle":"","parse-names":false,"suffix":""},{"dropping-particle":"","family":"Kanoni","given":"Stavroula","non-dropping-particle":"","parse-names":false,"suffix":""},{"dropping-particle":"","family":"Webb","given":"Tom R.","non-dropping-particle":"","parse-names":false,"suffix":""},{"dropping-particle":"","family":"Marouli","given":"Eirini","non-dropping-particle":"","parse-names":false,"suffix":""},{"dropping-particle":"","family":"Zeng","given":"Lingyao","non-dropping-particle":"","parse-names":false,"suffix":""},{"dropping-particle":"","family":"Ntalla","given":"Ioanna","non-dropping-particle":"","parse-names":false,"suffix":""},{"dropping-particle":"","family":"Lai","given":"Florence Y.","non-dropping-particle":"","parse-names":false,"suffix":""},{"dropping-particle":"","family":"Hopewell","given":"Jemma C.","non-dropping-particle":"","parse-names":false,"suffix":""},{"dropping-particle":"","family":"Giannakopoulou","given":"Olga","non-dropping-particle":"","parse-names":false,"suffix":""},{"dropping-particle":"","family":"Jiang","given":"Tao","non-dropping-particle":"","parse-names":false,"suffix":""},{"dropping-particle":"","family":"Hamby","given":"Stephen E.","non-dropping-particle":"","parse-names":false,"suffix":""},{"dropping-particle":"","family":"Angelantonio","given":"Emanuele","non-dropping-particle":"Di","parse-names":false,"suffix":""},{"dropping-particle":"","family":"Assimes","given":"Themistocles L.","non-dropping-particle":"","parse-names":false,"suffix":""},{"dropping-particle":"","family":"Bottinger","given":"Erwin P.","non-dropping-particle":"","parse-names":false,"suffix":""},{"dropping-particle":"","family":"Chambers","given":"John C.","non-dropping-particle":"","parse-names":false,"suffix":""},{"dropping-particle":"","family":"Clarke","given":"Robert","non-dropping-particle":"","parse-names":false,"suffix":""},{"dropping-particle":"","family":"Palmer","given":"Colin N.A.","non-dropping-particle":"","parse-names":false,"suffix":""},{"dropping-particle":"","family":"Cubbon","given":"Richard M.","non-dropping-particle":"","parse-names":false,"suffix":""},{"dropping-particle":"","family":"Ellinor","given":"Patrick","non-dropping-particle":"","parse-names":false,"suffix":""},{"dropping-particle":"","family":"Ermel","given":"Raili","non-dropping-particle":"","parse-names":false,"suffix":""},{"dropping-particle":"","family":"Evangelou","given":"Evangelos","non-dropping-particle":"","parse-names":false,"suffix":""},{"dropping-particle":"","family":"Franks","given":"Paul W.","non-dropping-particle":"","parse-names":false,"suffix":""},{"dropping-particle":"","family":"Grace","given":"Christopher","non-dropping-particle":"","parse-names":false,"suffix":""},{"dropping-particle":"","family":"Gu","given":"Dongfeng","non-dropping-particle":"","parse-names":false,"suffix":""},{"dropping-particle":"","family":"Hingorani","given":"Aroon D.","non-dropping-particle":"","parse-names":false,"suffix":""},{"dropping-particle":"","family":"Howson","given":"Joanna M.M.","non-dropping-particle":"","parse-names":false,"suffix":""},{"dropping-particle":"","family":"Ingelsson","given":"Erik","non-dropping-particle":"","parse-names":false,"suffix":""},{"dropping-particle":"","family":"Kastrati","given":"Adnan","non-dropping-particle":"","parse-names":false,"suffix":""},{"dropping-particle":"","family":"Kessler","given":"Thorsten","non-dropping-particle":"","parse-names":false,"suffix":""},{"dropping-particle":"","family":"Kyriakou","given":"Theodosios","non-dropping-particle":"","parse-names":false,"suffix":""},{"dropping-particle":"","family":"Lehtimäki","given":"Terho","non-dropping-particle":"","parse-names":false,"suffix":""},{"dropping-particle":"","family":"Lu","given":"Xiangfeng","non-dropping-particle":"","parse-names":false,"suffix":""},{"dropping-particle":"","family":"Lu","given":"Yingchang","non-dropping-particle":"","parse-names":false,"suffix":""},{"dropping-particle":"","family":"März","given":"Winfried","non-dropping-particle":"","parse-names":false,"suffix":""},{"dropping-particle":"","family":"McPherson","given":"Ruth","non-dropping-particle":"","parse-names":false,"suffix":""},{"dropping-particle":"","family":"Metspalu","given":"Andres","non-dropping-particle":"","parse-names":false,"suffix":""},{"dropping-particle":"","family":"Pujades-Rodriguez","given":"Mar","non-dropping-particle":"","parse-names":false,"suffix":""},{"dropping-particle":"","family":"Ruusalepp","given":"Arno","non-dropping-particle":"","parse-names":false,"suffix":""},{"dropping-particle":"","family":"Schadt","given":"Eric E.","non-dropping-particle":"","parse-names":false,"suffix":""},{"dropping-particle":"","family":"Schmidt","given":"Amand F.","non-dropping-particle":"","parse-names":false,"suffix":""},{"dropping-particle":"","family":"Sweeting","given":"Michael J.","non-dropping-particle":"","parse-names":false,"suffix":""},{"dropping-particle":"","family":"Zalloua","given":"Pierre A.","non-dropping-particle":"","parse-names":false,"suffix":""},{"dropping-particle":"","family":"Alghalayini","given":"Kamal","non-dropping-particle":"","parse-names":false,"suffix":""},{"dropping-particle":"","family":"Keavney","given":"Bernard D.","non-dropping-particle":"","parse-names":false,"suffix":""},{"dropping-particle":"","family":"Kooner","given":"Jaspal S.","non-dropping-particle":"","parse-names":false,"suffix":""},{"dropping-particle":"","family":"Loos","given":"Ruth J.F.","non-dropping-particle":"","parse-names":false,"suffix":""},{"dropping-particle":"","family":"Patel","given":"Riyaz S.","non-dropping-particle":"","parse-names":false,"suffix":""},{"dropping-particle":"","family":"Rutter","given":"Martin K.","non-dropping-particle":"","parse-names":false,"suffix":""},{"dropping-particle":"","family":"Tomaszewski","given":"Maciej","non-dropping-particle":"","parse-names":false,"suffix":""},{"dropping-particle":"","family":"Tzoulaki","given":"Ioanna","non-dropping-particle":"","parse-names":false,"suffix":""},{"dropping-particle":"","family":"Zeggini","given":"Eleftheria","non-dropping-particle":"","parse-names":false,"suffix":""},{"dropping-particle":"","family":"Erdmann","given":"Jeanette","non-dropping-particle":"","parse-names":false,"suffix":""},{"dropping-particle":"","family":"Dedoussis","given":"George","non-dropping-particle":"","parse-names":false,"suffix":""},{"dropping-particle":"","family":"Björkegren","given":"Johan L.M.","non-dropping-particle":"","parse-names":false,"suffix":""},{"dropping-particle":"","family":"Schunkert","given":"Heribert","non-dropping-particle":"","parse-names":false,"suffix":""},{"dropping-particle":"","family":"Farrall","given":"Martin","non-dropping-particle":"","parse-names":false,"suffix":""},{"dropping-particle":"","family":"Danesh","given":"John","non-dropping-particle":"","parse-names":false,"suffix":""},{"dropping-particle":"","family":"Samani","given":"Nilesh J.","non-dropping-particle":"","parse-names":false,"suffix":""},{"dropping-particle":"","family":"Watkins","given":"Hugh","non-dropping-particle":"","parse-names":false,"suffix":""},{"dropping-particle":"","family":"Deloukas","given":"Panos","non-dropping-particle":"","parse-names":false,"suffix":""}],"container-title":"Nature Genetics","id":"ITEM-1","issue":"9","issued":{"date-parts":[["2017","9","1"]]},"page":"1385-1391","publisher":"Nature Publishing Group","title":"Association analyses based on false discovery rate implicate new loci for coronary artery disease","type":"article-journal","volume":"49"},"uris":["http://www.mendeley.com/documents/?uuid=32fe5c9f-de85-3154-bb9f-1c6c6b574668"]}],"mendeley":{"formattedCitation":"&lt;sup&gt;18&lt;/sup&gt;","plainTextFormattedCitation":"18","previouslyFormattedCitation":"&lt;sup&gt;18&lt;/sup&gt;"},"properties":{"noteIndex":0},"schema":"https://github.com/citation-style-language/schema/raw/master/csl-citation.json"}</w:instrText>
      </w:r>
      <w:r w:rsidR="00DF3FFC" w:rsidRPr="0061109F">
        <w:rPr>
          <w:rFonts w:ascii="Calibri" w:hAnsi="Calibri" w:cs="Calibri"/>
          <w:sz w:val="22"/>
          <w:szCs w:val="22"/>
        </w:rPr>
        <w:fldChar w:fldCharType="separate"/>
      </w:r>
      <w:r w:rsidR="00D3131C" w:rsidRPr="0061109F">
        <w:rPr>
          <w:rFonts w:ascii="Calibri" w:hAnsi="Calibri" w:cs="Calibri"/>
          <w:noProof/>
          <w:sz w:val="22"/>
          <w:szCs w:val="22"/>
          <w:vertAlign w:val="superscript"/>
        </w:rPr>
        <w:t>18</w:t>
      </w:r>
      <w:r w:rsidR="00DF3FFC" w:rsidRPr="0061109F">
        <w:rPr>
          <w:rFonts w:ascii="Calibri" w:hAnsi="Calibri" w:cs="Calibri"/>
          <w:sz w:val="22"/>
          <w:szCs w:val="22"/>
        </w:rPr>
        <w:fldChar w:fldCharType="end"/>
      </w:r>
      <w:r w:rsidR="00DF3FFC" w:rsidRPr="0061109F">
        <w:rPr>
          <w:rFonts w:ascii="Calibri" w:hAnsi="Calibri" w:cs="Calibri"/>
          <w:sz w:val="22"/>
          <w:szCs w:val="22"/>
        </w:rPr>
        <w:t xml:space="preserve"> total cholesterol,</w:t>
      </w:r>
      <w:r w:rsidR="00DF3FFC" w:rsidRPr="0061109F">
        <w:rPr>
          <w:rFonts w:ascii="Calibri" w:hAnsi="Calibri" w:cs="Calibri"/>
          <w:sz w:val="22"/>
          <w:szCs w:val="22"/>
        </w:rPr>
        <w:fldChar w:fldCharType="begin" w:fldLock="1"/>
      </w:r>
      <w:r w:rsidR="000B086A" w:rsidRPr="0061109F">
        <w:rPr>
          <w:rFonts w:ascii="Calibri" w:hAnsi="Calibri" w:cs="Calibri"/>
          <w:sz w:val="22"/>
          <w:szCs w:val="22"/>
        </w:rPr>
        <w:instrText>ADDIN CSL_CITATION {"citationItems":[{"id":"ITEM-1","itemData":{"DOI":"10.1038/ng.2797","ISSN":"10614036","PMID":"24097068","abstract":"Levels of low-density lipoprotein (LDL) cholesterol, high-density lipoprotein (HDL) cholesterol, triglycerides and total cholesterol are heritable, modifiable risk factors for coronary artery disease. To identify new loci and refine known loci influencing these lipids, we examined 188,577 individuals using genome-wide and custom genotyping arrays. We identify and annotate 157 loci associated with lipid levels at P &lt; 5 × 10 -8, including 62 loci not previously associated with lipid levels in humans. Using dense genotyping in individuals of European, East Asian, South Asian and African ancestry, we narrow association signals in 12 loci. We find that loci associated with blood lipid levels are often associated with cardiovascular and metabolic traits, including coronary artery disease, type 2 diabetes, blood pressure, waist-hip ratio and body mass index. Our results demonstrate the value of using genetic data from individuals of diverse ancestry and provide insights into the biological mechanisms regulating blood lipids to guide future genetic, biological and therapeutic research. © 2013 Nature America, Inc. All rights reserved.","author":[{"dropping-particle":"","family":"Willer","given":"Cristen J.","non-dropping-particle":"","parse-names":false,"suffix":""},{"dropping-particle":"","family":"Schmidt","given":"Ellen M.","non-dropping-particle":"","parse-names":false,"suffix":""},{"dropping-particle":"","family":"Sengupta","given":"Sebanti","non-dropping-particle":"","parse-names":false,"suffix":""},{"dropping-particle":"","family":"Peloso","given":"Gina M.","non-dropping-particle":"","parse-names":false,"suffix":""},{"dropping-particle":"","family":"Gustafsson","given":"Stefan","non-dropping-particle":"","parse-names":false,"suffix":""},{"dropping-particle":"","family":"Kanoni","given":"Stavroula","non-dropping-particle":"","parse-names":false,"suffix":""},{"dropping-particle":"","family":"Ganna","given":"Andrea","non-dropping-particle":"","parse-names":false,"suffix":""},{"dropping-particle":"","family":"Chen","given":"Jin","non-dropping-particle":"","parse-names":false,"suffix":""},{"dropping-particle":"","family":"Buchkovich","given":"Martin L.","non-dropping-particle":"","parse-names":false,"suffix":""},{"dropping-particle":"","family":"Mora","given":"Samia","non-dropping-particle":"","parse-names":false,"suffix":""},{"dropping-particle":"","family":"Beckmann","given":"Jacques S.","non-dropping-particle":"","parse-names":false,"suffix":""},{"dropping-particle":"","family":"Bragg-Gresham","given":"Jennifer L.","non-dropping-particle":"","parse-names":false,"suffix":""},{"dropping-particle":"","family":"Chang","given":"Hsing Yi","non-dropping-particle":"","parse-names":false,"suffix":""},{"dropping-particle":"","family":"Demirkan","given":"Ayse","non-dropping-particle":"","parse-names":false,"suffix":""},{"dropping-particle":"","family":"Hertog","given":"Heleen M.","non-dropping-particle":"Den","parse-names":false,"suffix":""},{"dropping-particle":"","family":"Do","given":"Ron","non-dropping-particle":"","parse-names":false,"suffix":""},{"dropping-particle":"","family":"Donnelly","given":"Louise A.","non-dropping-particle":"","parse-names":false,"suffix":""},{"dropping-particle":"","family":"Ehret","given":"Georg B.","non-dropping-particle":"","parse-names":false,"suffix":""},{"dropping-particle":"","family":"Esko","given":"Tõnu","non-dropping-particle":"","parse-names":false,"suffix":""},{"dropping-particle":"","family":"Feitosa","given":"Mary F.","non-dropping-particle":"","parse-names":false,"suffix":""},{"dropping-particle":"","family":"Ferreira","given":"Teresa","non-dropping-particle":"","parse-names":false,"suffix":""},{"dropping-particle":"","family":"Fischer","given":"Krista","non-dropping-particle":"","parse-names":false,"suffix":""},{"dropping-particle":"","family":"Fontanillas","given":"Pierre","non-dropping-particle":"","parse-names":false,"suffix":""},{"dropping-particle":"","family":"Fraser","given":"Ross M.","non-dropping-particle":"","parse-names":false,"suffix":""},{"dropping-particle":"","family":"Freitag","given":"Daniel F.","non-dropping-particle":"","parse-names":false,"suffix":""},{"dropping-particle":"","family":"Gurdasani","given":"Deepti","non-dropping-particle":"","parse-names":false,"suffix":""},{"dropping-particle":"","family":"Heikkilä","given":"Kauko","non-dropping-particle":"","parse-names":false,"suffix":""},{"dropping-particle":"","family":"Hyppönen","given":"Elina","non-dropping-particle":"","parse-names":false,"suffix":""},{"dropping-particle":"","family":"Isaacs","given":"Aaron","non-dropping-particle":"","parse-names":false,"suffix":""},{"dropping-particle":"","family":"Jackson","given":"Anne U.","non-dropping-particle":"","parse-names":false,"suffix":""},{"dropping-particle":"","family":"Johansson","given":"Åsa","non-dropping-particle":"","parse-names":false,"suffix":""},{"dropping-particle":"","family":"Johnson","given":"Toby","non-dropping-particle":"","parse-names":false,"suffix":""},{"dropping-particle":"","family":"Kaakinen","given":"Marika","non-dropping-particle":"","parse-names":false,"suffix":""},{"dropping-particle":"","family":"Kettunen","given":"Johannes","non-dropping-particle":"","parse-names":false,"suffix":""},{"dropping-particle":"","family":"Kleber","given":"Marcus E.","non-dropping-particle":"","parse-names":false,"suffix":""},{"dropping-particle":"","family":"Li","given":"Xiaohui","non-dropping-particle":"","parse-names":false,"suffix":""},{"dropping-particle":"","family":"Luan","given":"Jian'an","non-dropping-particle":"","parse-names":false,"suffix":""},{"dropping-particle":"","family":"Lyytikäinen","given":"Leo Pekka","non-dropping-particle":"","parse-names":false,"suffix":""},{"dropping-particle":"","family":"Magnusson","given":"Patrik K.E.","non-dropping-particle":"","parse-names":false,"suffix":""},{"dropping-particle":"","family":"Mangino","given":"Massimo","non-dropping-particle":"","parse-names":false,"suffix":""},{"dropping-particle":"","family":"Mihailov","given":"Evelin","non-dropping-particle":"","parse-names":false,"suffix":""},{"dropping-particle":"","family":"Montasser","given":"May E.","non-dropping-particle":"","parse-names":false,"suffix":""},{"dropping-particle":"","family":"Müller-Nurasyid","given":"Martina","non-dropping-particle":"","parse-names":false,"suffix":""},{"dropping-particle":"","family":"Nolte","given":"Ilja M.","non-dropping-particle":"","parse-names":false,"suffix":""},{"dropping-particle":"","family":"O'Connell","given":"Jeffrey R.","non-dropping-particle":"","parse-names":false,"suffix":""},{"dropping-particle":"","family":"Palmer","given":"Cameron D.","non-dropping-particle":"","parse-names":false,"suffix":""},{"dropping-particle":"","family":"Perola","given":"Markus","non-dropping-particle":"","parse-names":false,"suffix":""},{"dropping-particle":"","family":"Petersen","given":"Ann Kristin","non-dropping-particle":"","parse-names":false,"suffix":""},{"dropping-particle":"","family":"Sanna","given":"Serena","non-dropping-particle":"","parse-names":false,"suffix":""},{"dropping-particle":"","family":"Saxena","given":"Richa","non-dropping-particle":"","parse-names":false,"suffix":""},{"dropping-particle":"","family":"Service","given":"Susan K.","non-dropping-particle":"","parse-names":false,"suffix":""},{"dropping-particle":"","family":"Shah","given":"Sonia","non-dropping-particle":"","parse-names":false,"suffix":""},{"dropping-particle":"","family":"Shungin","given":"Dmitry","non-dropping-particle":"","parse-names":false,"suffix":""},{"dropping-particle":"","family":"Sidore","given":"Carlo","non-dropping-particle":"","parse-names":false,"suffix":""},{"dropping-particle":"","family":"Song","given":"Ci","non-dropping-particle":"","parse-names":false,"suffix":""},{"dropping-particle":"","family":"Strawbridge","given":"Rona J.","non-dropping-particle":"","parse-names":false,"suffix":""},{"dropping-particle":"","family":"Surakka","given":"Ida","non-dropping-particle":"","parse-names":false,"suffix":""},{"dropping-particle":"","family":"Tanaka","given":"Toshiko","non-dropping-particle":"","parse-names":false,"suffix":""},{"dropping-particle":"","family":"Teslovich","given":"Tanya M.","non-dropping-particle":"","parse-names":false,"suffix":""},{"dropping-particle":"","family":"Thorleifsson","given":"Gudmar","non-dropping-particle":"","parse-names":false,"suffix":""},{"dropping-particle":"","family":"Herik","given":"Evita G.","non-dropping-particle":"Van Den","parse-names":false,"suffix":""},{"dropping-particle":"","family":"Voight","given":"Benjamin F.","non-dropping-particle":"","parse-names":false,"suffix":""},{"dropping-particle":"","family":"Volcik","given":"Kelly A.","non-dropping-particle":"","parse-names":false,"suffix":""},{"dropping-particle":"","family":"Waite","given":"Lindsay L.","non-dropping-particle":"","parse-names":false,"suffix":""},{"dropping-particle":"","family":"Wong","given":"Andrew","non-dropping-particle":"","parse-names":false,"suffix":""},{"dropping-particle":"","family":"Wu","given":"Ying","non-dropping-particle":"","parse-names":false,"suffix":""},{"dropping-particle":"","family":"Zhang","given":"Weihua","non-dropping-particle":"","parse-names":false,"suffix":""},{"dropping-particle":"","family":"Absher","given":"Devin","non-dropping-particle":"","parse-names":false,"suffix":""},{"dropping-particle":"","family":"Asiki","given":"Gershim","non-dropping-particle":"","parse-names":false,"suffix":""},{"dropping-particle":"","family":"Barroso","given":"Inês","non-dropping-particle":"","parse-names":false,"suffix":""},{"dropping-particle":"","family":"Been","given":"Latonya F.","non-dropping-particle":"","parse-names":false,"suffix":""},{"dropping-particle":"","family":"Bolton","given":"Jennifer L.","non-dropping-particle":"","parse-names":false,"suffix":""},{"dropping-particle":"","family":"Bonnycastle","given":"Lori L.","non-dropping-particle":"","parse-names":false,"suffix":""},{"dropping-particle":"","family":"Brambilla","given":"Paolo","non-dropping-particle":"","parse-names":false,"suffix":""},{"dropping-particle":"","family":"Burnett","given":"Mary S.","non-dropping-particle":"","parse-names":false,"suffix":""},{"dropping-particle":"","family":"Cesana","given":"Giancarlo","non-dropping-particle":"","parse-names":false,"suffix":""},{"dropping-particle":"","family":"Dimitriou","given":"Maria","non-dropping-particle":"","parse-names":false,"suffix":""},{"dropping-particle":"","family":"Doney","given":"Alex S.F.","non-dropping-particle":"","parse-names":false,"suffix":""},{"dropping-particle":"","family":"Döring","given":"Angela","non-dropping-particle":"","parse-names":false,"suffix":""},{"dropping-particle":"","family":"Elliott","given":"Paul","non-dropping-particle":"","parse-names":false,"suffix":""},{"dropping-particle":"","family":"Epstein","given":"Stephen E.","non-dropping-particle":"","parse-names":false,"suffix":""},{"dropping-particle":"","family":"Eyjolfsson","given":"Gudmundur Ingi","non-dropping-particle":"","parse-names":false,"suffix":""},{"dropping-particle":"","family":"Gigante","given":"Bruna","non-dropping-particle":"","parse-names":false,"suffix":""},{"dropping-particle":"","family":"Goodarzi","given":"Mark O.","non-dropping-particle":"","parse-names":false,"suffix":""},{"dropping-particle":"","family":"Grallert","given":"Harald","non-dropping-particle":"","parse-names":false,"suffix":""},{"dropping-particle":"","family":"Gravito","given":"Martha L.","non-dropping-particle":"","parse-names":false,"suffix":""},{"dropping-particle":"","family":"Groves","given":"Christopher J.","non-dropping-particle":"","parse-names":false,"suffix":""},{"dropping-particle":"","family":"Hallmans","given":"Göran","non-dropping-particle":"","parse-names":false,"suffix":""},{"dropping-particle":"","family":"Hartikainen","given":"Anna Liisa","non-dropping-particle":"","parse-names":false,"suffix":""},{"dropping-particle":"","family":"Hayward","given":"Caroline","non-dropping-particle":"","parse-names":false,"suffix":""},{"dropping-particle":"","family":"Hernandez","given":"Dena","non-dropping-particle":"","parse-names":false,"suffix":""},{"dropping-particle":"","family":"Hicks","given":"Andrew A.","non-dropping-particle":"","parse-names":false,"suffix":""},{"dropping-particle":"","family":"Holm","given":"Hilma","non-dropping-particle":"","parse-names":false,"suffix":""},{"dropping-particle":"","family":"Hung","given":"Yi Jen","non-dropping-particle":"","parse-names":false,"suffix":""},{"dropping-particle":"","family":"Illig","given":"Thomas","non-dropping-particle":"","parse-names":false,"suffix":""},{"dropping-particle":"","family":"Jones","given":"Michelle R.","non-dropping-particle":"","parse-names":false,"suffix":""},{"dropping-particle":"","family":"Kaleebu","given":"Pontiano","non-dropping-particle":"","parse-names":false,"suffix":""},{"dropping-particle":"","family":"Kastelein","given":"John J.P.","non-dropping-particle":"","parse-names":false,"suffix":""},{"dropping-particle":"","family":"Khaw","given":"Kay Tee","non-dropping-particle":"","parse-names":false,"suffix":""},{"dropping-particle":"","family":"Kim","given":"Eric","non-dropping-particle":"","parse-names":false,"suffix":""},{"dropping-particle":"","family":"Klopp","given":"Norman","non-dropping-particle":"","parse-names":false,"suffix":""},{"dropping-particle":"","family":"Komulainen","given":"Pirjo","non-dropping-particle":"","parse-names":false,"suffix":""},{"dropping-particle":"","family":"Kumari","given":"Meena","non-dropping-particle":"","parse-names":false,"suffix":""},{"dropping-particle":"","family":"Langenberg","given":"Claudia","non-dropping-particle":"","parse-names":false,"suffix":""},{"dropping-particle":"","family":"Lehtimäki","given":"Terho","non-dropping-particle":"","parse-names":false,"suffix":""},{"dropping-particle":"","family":"Lin","given":"Shih Yi","non-dropping-particle":"","parse-names":false,"suffix":""},{"dropping-particle":"","family":"Lindström","given":"Jaana","non-dropping-particle":"","parse-names":false,"suffix":""},{"dropping-particle":"","family":"Loos","given":"Ruth J.F.","non-dropping-particle":"","parse-names":false,"suffix":""},{"dropping-particle":"","family":"Mach","given":"François","non-dropping-particle":"","parse-names":false,"suffix":""},{"dropping-particle":"","family":"McArdle","given":"Wendy L.","non-dropping-particle":"","parse-names":false,"suffix":""},{"dropping-particle":"","family":"Meisinger","given":"Christa","non-dropping-particle":"","parse-names":false,"suffix":""},{"dropping-particle":"","family":"Mitchell","given":"Braxton D.","non-dropping-particle":"","parse-names":false,"suffix":""},{"dropping-particle":"","family":"Müller","given":"Gabrielle","non-dropping-particle":"","parse-names":false,"suffix":""},{"dropping-particle":"","family":"Nagaraja","given":"Ramaiah","non-dropping-particle":"","parse-names":false,"suffix":""},{"dropping-particle":"","family":"Narisu","given":"Narisu","non-dropping-particle":"","parse-names":false,"suffix":""},{"dropping-particle":"","family":"Nieminen","given":"Tuomo V.M.","non-dropping-particle":"","parse-names":false,"suffix":""},{"dropping-particle":"","family":"Nsubuga","given":"Rebecca N.","non-dropping-particle":"","parse-names":false,"suffix":""},{"dropping-particle":"","family":"Olafsson","given":"Isleifur","non-dropping-particle":"","parse-names":false,"suffix":""},{"dropping-particle":"","family":"Ong","given":"Ken K.","non-dropping-particle":"","parse-names":false,"suffix":""},{"dropping-particle":"","family":"Palotie","given":"Aarno","non-dropping-particle":"","parse-names":false,"suffix":""},{"dropping-particle":"","family":"Papamarkou","given":"Theodore","non-dropping-particle":"","parse-names":false,"suffix":""},{"dropping-particle":"","family":"Pomilla","given":"Cristina","non-dropping-particle":"","parse-names":false,"suffix":""},{"dropping-particle":"","family":"Pouta","given":"Anneli","non-dropping-particle":"","parse-names":false,"suffix":""},{"dropping-particle":"","family":"Rader","given":"Daniel J.","non-dropping-particle":"","parse-names":false,"suffix":""},{"dropping-particle":"","family":"Reilly","given":"Muredach P.","non-dropping-particle":"","parse-names":false,"suffix":""},{"dropping-particle":"","family":"Ridker","given":"Paul M.","non-dropping-particle":"","parse-names":false,"suffix":""},{"dropping-particle":"","family":"Rivadeneira","given":"Fernando","non-dropping-particle":"","parse-names":false,"suffix":""},{"dropping-particle":"","family":"Rudan","given":"Igor","non-dropping-particle":"","parse-names":false,"suffix":""},{"dropping-particle":"","family":"Ruokonen","given":"Aimo","non-dropping-particle":"","parse-names":false,"suffix":""},{"dropping-particle":"","family":"Samani","given":"Nilesh","non-dropping-particle":"","parse-names":false,"suffix":""},{"dropping-particle":"","family":"Scharnagl","given":"Hubert","non-dropping-particle":"","parse-names":false,"suffix":""},{"dropping-particle":"","family":"Seeley","given":"Janet","non-dropping-particle":"","parse-names":false,"suffix":""},{"dropping-particle":"","family":"Silander","given":"Kaisa","non-dropping-particle":"","parse-names":false,"suffix":""},{"dropping-particle":"","family":"Stancáková","given":"Alena","non-dropping-particle":"","parse-names":false,"suffix":""},{"dropping-particle":"","family":"Stirrups","given":"Kathleen","non-dropping-particle":"","parse-names":false,"suffix":""},{"dropping-particle":"","family":"Swift","given":"Amy J.","non-dropping-particle":"","parse-names":false,"suffix":""},{"dropping-particle":"","family":"Tiret","given":"Laurence","non-dropping-particle":"","parse-names":false,"suffix":""},{"dropping-particle":"","family":"Uitterlinden","given":"Andre G.","non-dropping-particle":"","parse-names":false,"suffix":""},{"dropping-particle":"","family":"Pelt","given":"L. Joost","non-dropping-particle":"Van","parse-names":false,"suffix":""},{"dropping-particle":"","family":"Vedantam","given":"Sailaja","non-dropping-particle":"","parse-names":false,"suffix":""},{"dropping-particle":"","family":"Wainwright","given":"Nicholas","non-dropping-particle":"","parse-names":false,"suffix":""},{"dropping-particle":"","family":"Wijmenga","given":"Cisca","non-dropping-particle":"","parse-names":false,"suffix":""},{"dropping-particle":"","family":"Wild","given":"Sarah H.","non-dropping-particle":"","parse-names":false,"suffix":""},{"dropping-particle":"","family":"Willemsen","given":"Gonneke","non-dropping-particle":"","parse-names":false,"suffix":""},{"dropping-particle":"","family":"Wilsgaard","given":"Tom","non-dropping-particle":"","parse-names":false,"suffix":""},{"dropping-particle":"","family":"Wilson","given":"James F.","non-dropping-particle":"","parse-names":false,"suffix":""},{"dropping-particle":"","family":"Young","given":"Elizabeth H.","non-dropping-particle":"","parse-names":false,"suffix":""},{"dropping-particle":"","family":"Zhao","given":"Jing Hua","non-dropping-particle":"","parse-names":false,"suffix":""},{"dropping-particle":"","family":"Adair","given":"Linda S.","non-dropping-particle":"","parse-names":false,"suffix":""},{"dropping-particle":"","family":"Arveiler","given":"Dominique","non-dropping-particle":"","parse-names":false,"suffix":""},{"dropping-particle":"","family":"Assimes","given":"Themistocles L.","non-dropping-particle":"","parse-names":false,"suffix":""},{"dropping-particle":"","family":"Bandinelli","given":"Stefania","non-dropping-particle":"","parse-names":false,"suffix":""},{"dropping-particle":"","family":"Bennett","given":"Franklyn","non-dropping-particle":"","parse-names":false,"suffix":""},{"dropping-particle":"","family":"Bochud","given":"Murielle","non-dropping-particle":"","parse-names":false,"suffix":""},{"dropping-particle":"","family":"Boehm","given":"Bernhard O.","non-dropping-particle":"","parse-names":false,"suffix":""},{"dropping-particle":"","family":"Boomsma","given":"Dorret I.","non-dropping-particle":"","parse-names":false,"suffix":""},{"dropping-particle":"","family":"Borecki","given":"Ingrid B.","non-dropping-particle":"","parse-names":false,"suffix":""},{"dropping-particle":"","family":"Bornstein","given":"Stefan R.","non-dropping-particle":"","parse-names":false,"suffix":""},{"dropping-particle":"","family":"Bovet","given":"Pascal","non-dropping-particle":"","parse-names":false,"suffix":""},{"dropping-particle":"","family":"Burnier","given":"Michel","non-dropping-particle":"","parse-names":false,"suffix":""},{"dropping-particle":"","family":"Campbell","given":"Harry","non-dropping-particle":"","parse-names":false,"suffix":""},{"dropping-particle":"","family":"Chakravarti","given":"Aravinda","non-dropping-particle":"","parse-names":false,"suffix":""},{"dropping-particle":"","family":"Chambers","given":"John C.","non-dropping-particle":"","parse-names":false,"suffix":""},{"dropping-particle":"","family":"Chen","given":"Yii Der Ida","non-dropping-particle":"","parse-names":false,"suffix":""},{"dropping-particle":"","family":"Collins","given":"Francis S.","non-dropping-particle":"","parse-names":false,"suffix":""},{"dropping-particle":"","family":"Cooper","given":"Richard S.","non-dropping-particle":"","parse-names":false,"suffix":""},{"dropping-particle":"","family":"Danesh","given":"John","non-dropping-particle":"","parse-names":false,"suffix":""},{"dropping-particle":"","family":"Dedoussis","given":"George","non-dropping-particle":"","parse-names":false,"suffix":""},{"dropping-particle":"","family":"Faire","given":"Ulf","non-dropping-particle":"De","parse-names":false,"suffix":""},{"dropping-particle":"","family":"Feranil","given":"Alan B.","non-dropping-particle":"","parse-names":false,"suffix":""},{"dropping-particle":"","family":"Ferrières","given":"Jean","non-dropping-particle":"","parse-names":false,"suffix":""},{"dropping-particle":"","family":"Ferrucci","given":"Luigi","non-dropping-particle":"","parse-names":false,"suffix":""},{"dropping-particle":"","family":"Freimer","given":"Nelson B.","non-dropping-particle":"","parse-names":false,"suffix":""},{"dropping-particle":"","family":"Gieger","given":"Christian","non-dropping-particle":"","parse-names":false,"suffix":""},{"dropping-particle":"","family":"Groop","given":"Leif C.","non-dropping-particle":"","parse-names":false,"suffix":""},{"dropping-particle":"","family":"Gudnason","given":"Vilmundur","non-dropping-particle":"","parse-names":false,"suffix":""},{"dropping-particle":"","family":"Gyllensten","given":"Ulf","non-dropping-particle":"","parse-names":false,"suffix":""},{"dropping-particle":"","family":"Hamsten","given":"Anders","non-dropping-particle":"","parse-names":false,"suffix":""},{"dropping-particle":"","family":"Harris","given":"Tamara B.","non-dropping-particle":"","parse-names":false,"suffix":""},{"dropping-particle":"","family":"Hingorani","given":"Aroon","non-dropping-particle":"","parse-names":false,"suffix":""},{"dropping-particle":"","family":"Hirschhorn","given":"Joel N.","non-dropping-particle":"","parse-names":false,"suffix":""},{"dropping-particle":"","family":"Hofman","given":"Albert","non-dropping-particle":"","parse-names":false,"suffix":""},{"dropping-particle":"","family":"Hovingh","given":"G. Kees","non-dropping-particle":"","parse-names":false,"suffix":""},{"dropping-particle":"","family":"Hsiung","given":"Chao Agnes","non-dropping-particle":"","parse-names":false,"suffix":""},{"dropping-particle":"","family":"Humphries","given":"Steve E.","non-dropping-particle":"","parse-names":false,"suffix":""},{"dropping-particle":"","family":"Hunt","given":"Steven C.","non-dropping-particle":"","parse-names":false,"suffix":""},{"dropping-particle":"","family":"Hveem","given":"Kristian","non-dropping-particle":"","parse-names":false,"suffix":""},{"dropping-particle":"","family":"Iribarren","given":"Carlos","non-dropping-particle":"","parse-names":false,"suffix":""},{"dropping-particle":"","family":"Järvelin","given":"Marjo Riitta","non-dropping-particle":"","parse-names":false,"suffix":""},{"dropping-particle":"","family":"Jula","given":"Antti","non-dropping-particle":"","parse-names":false,"suffix":""},{"dropping-particle":"","family":"Kähönen","given":"Mika","non-dropping-particle":"","parse-names":false,"suffix":""},{"dropping-particle":"","family":"Kaprio","given":"Jaakko","non-dropping-particle":"","parse-names":false,"suffix":""},{"dropping-particle":"","family":"Kesäniemi","given":"Antero","non-dropping-particle":"","parse-names":false,"suffix":""},{"dropping-particle":"","family":"Kivimaki","given":"Mika","non-dropping-particle":"","parse-names":false,"suffix":""},{"dropping-particle":"","family":"Kooner","given":"Jaspal S.","non-dropping-particle":"","parse-names":false,"suffix":""},{"dropping-particle":"","family":"Koudstaal","given":"Peter J.","non-dropping-particle":"","parse-names":false,"suffix":""},{"dropping-particle":"","family":"Krauss","given":"Ronald M.","non-dropping-particle":"","parse-names":false,"suffix":""},{"dropping-particle":"","family":"Kuh","given":"Diana","non-dropping-particle":"","parse-names":false,"suffix":""},{"dropping-particle":"","family":"Kuusisto","given":"Johanna","non-dropping-particle":"","parse-names":false,"suffix":""},{"dropping-particle":"","family":"Kyvik","given":"Kirsten O.","non-dropping-particle":"","parse-names":false,"suffix":""},{"dropping-particle":"","family":"Laakso","given":"Markku","non-dropping-particle":"","parse-names":false,"suffix":""},{"dropping-particle":"","family":"Lakka","given":"Timo A.","non-dropping-particle":"","parse-names":false,"suffix":""},{"dropping-particle":"","family":"Lind","given":"Lars","non-dropping-particle":"","parse-names":false,"suffix":""},{"dropping-particle":"","family":"Lindgren","given":"Cecilia M.","non-dropping-particle":"","parse-names":false,"suffix":""},{"dropping-particle":"","family":"Martin","given":"Nicholas G.","non-dropping-particle":"","parse-names":false,"suffix":""},{"dropping-particle":"","family":"März","given":"Winfried","non-dropping-particle":"","parse-names":false,"suffix":""},{"dropping-particle":"","family":"McCarthy","given":"Mark I.","non-dropping-particle":"","parse-names":false,"suffix":""},{"dropping-particle":"","family":"McKenzie","given":"Colin A.","non-dropping-particle":"","parse-names":false,"suffix":""},{"dropping-particle":"","family":"Meneton","given":"Pierre","non-dropping-particle":"","parse-names":false,"suffix":""},{"dropping-particle":"","family":"Metspalu","given":"Andres","non-dropping-particle":"","parse-names":false,"suffix":""},{"dropping-particle":"","family":"Moilanen","given":"Leena","non-dropping-particle":"","parse-names":false,"suffix":""},{"dropping-particle":"","family":"Morris","given":"Andrew D.","non-dropping-particle":"","parse-names":false,"suffix":""},{"dropping-particle":"","family":"Munroe","given":"Patricia B.","non-dropping-particle":"","parse-names":false,"suffix":""},{"dropping-particle":"","family":"Njølstad","given":"Inger","non-dropping-particle":"","parse-names":false,"suffix":""},{"dropping-particle":"","family":"Pedersen","given":"Nancy L.","non-dropping-particle":"","parse-names":false,"suffix":""},{"dropping-particle":"","family":"Power","given":"Chris","non-dropping-particle":"","parse-names":false,"suffix":""},{"dropping-particle":"","family":"Pramstaller","given":"Peter P.","non-dropping-particle":"","parse-names":false,"suffix":""},{"dropping-particle":"","family":"Price","given":"Jackie F.","non-dropping-particle":"","parse-names":false,"suffix":""},{"dropping-particle":"","family":"Psaty","given":"Bruce M.","non-dropping-particle":"","parse-names":false,"suffix":""},{"dropping-particle":"","family":"Quertermous","given":"Thomas","non-dropping-particle":"","parse-names":false,"suffix":""},{"dropping-particle":"","family":"Rauramaa","given":"Rainer","non-dropping-particle":"","parse-names":false,"suffix":""},{"dropping-particle":"","family":"Saleheen","given":"Danish","non-dropping-particle":"","parse-names":false,"suffix":""},{"dropping-particle":"","family":"Salomaa","given":"Veikko","non-dropping-particle":"","parse-names":false,"suffix":""},{"dropping-particle":"","family":"Sanghera","given":"Dharambir K.","non-dropping-particle":"","parse-names":false,"suffix":""},{"dropping-particle":"","family":"Saramies","given":"Jouko","non-dropping-particle":"","parse-names":false,"suffix":""},{"dropping-particle":"","family":"Schwarz","given":"Peter E.H.","non-dropping-particle":"","parse-names":false,"suffix":""},{"dropping-particle":"","family":"Sheu","given":"Wayne H.H.","non-dropping-particle":"","parse-names":false,"suffix":""},{"dropping-particle":"","family":"Shuldiner","given":"Alan R.","non-dropping-particle":"","parse-names":false,"suffix":""},{"dropping-particle":"","family":"Siegbahn","given":"Agneta","non-dropping-particle":"","parse-names":false,"suffix":""},{"dropping-particle":"","family":"Spector","given":"Tim D.","non-dropping-particle":"","parse-names":false,"suffix":""},{"dropping-particle":"","family":"Stefansson","given":"Kari","non-dropping-particle":"","parse-names":false,"suffix":""},{"dropping-particle":"","family":"Strachan","given":"David P.","non-dropping-particle":"","parse-names":false,"suffix":""},{"dropping-particle":"","family":"Tayo","given":"Bamidele O.","non-dropping-particle":"","parse-names":false,"suffix":""},{"dropping-particle":"","family":"Tremoli","given":"Elena","non-dropping-particle":"","parse-names":false,"suffix":""},{"dropping-particle":"","family":"Tuomilehto","given":"Jaakko","non-dropping-particle":"","parse-names":false,"suffix":""},{"dropping-particle":"","family":"Uusitupa","given":"Matti","non-dropping-particle":"","parse-names":false,"suffix":""},{"dropping-particle":"","family":"Duijn","given":"Cornelia M.","non-dropping-particle":"Van","parse-names":false,"suffix":""},{"dropping-particle":"","family":"Vollenweider","given":"Peter","non-dropping-particle":"","parse-names":false,"suffix":""},{"dropping-particle":"","family":"Wallentin","given":"Lars","non-dropping-particle":"","parse-names":false,"suffix":""},{"dropping-particle":"","family":"Wareham","given":"Nicholas J.","non-dropping-particle":"","parse-names":false,"suffix":""},{"dropping-particle":"","family":"Whitfield","given":"John B.","non-dropping-particle":"","parse-names":false,"suffix":""},{"dropping-particle":"","family":"Wolffenbuttel","given":"Bruce H.R.","non-dropping-particle":"","parse-names":false,"suffix":""},{"dropping-particle":"","family":"Ordovas","given":"Jose M.","non-dropping-particle":"","parse-names":false,"suffix":""},{"dropping-particle":"","family":"Boerwinkle","given":"Eric","non-dropping-particle":"","parse-names":false,"suffix":""},{"dropping-particle":"","family":"Palmer","given":"Colin N.A.","non-dropping-particle":"","parse-names":false,"suffix":""},{"dropping-particle":"","family":"Thorsteinsdottir","given":"Unnur","non-dropping-particle":"","parse-names":false,"suffix":""},{"dropping-particle":"","family":"Chasman","given":"Daniel I.","non-dropping-particle":"","parse-names":false,"suffix":""},{"dropping-particle":"","family":"Rotter","given":"Jerome I.","non-dropping-particle":"","parse-names":false,"suffix":""},{"dropping-particle":"","family":"Franks","given":"Paul W.","non-dropping-particle":"","parse-names":false,"suffix":""},{"dropping-particle":"","family":"Ripatti","given":"Samuli","non-dropping-particle":"","parse-names":false,"suffix":""},{"dropping-particle":"","family":"Cupples","given":"L. Adrienne","non-dropping-particle":"","parse-names":false,"suffix":""},{"dropping-particle":"","family":"Sandhu","given":"Manjinder S.","non-dropping-particle":"","parse-names":false,"suffix":""},{"dropping-particle":"","family":"Rich","given":"Stephen S.","non-dropping-particle":"","parse-names":false,"suffix":""},{"dropping-particle":"","family":"Boehnke","given":"Michael","non-dropping-particle":"","parse-names":false,"suffix":""},{"dropping-particle":"","family":"Deloukas","given":"Panos","non-dropping-particle":"","parse-names":false,"suffix":""},{"dropping-particle":"","family":"Kathiresan","given":"Sekar","non-dropping-particle":"","parse-names":false,"suffix":""},{"dropping-particle":"","family":"Mohlke","given":"Karen L.","non-dropping-particle":"","parse-names":false,"suffix":""},{"dropping-particle":"","family":"Ingelsson","given":"Erik","non-dropping-particle":"","parse-names":false,"suffix":""},{"dropping-particle":"","family":"Abecasis","given":"Gonçalo R.","non-dropping-particle":"","parse-names":false,"suffix":""}],"container-title":"Nature Genetics","id":"ITEM-1","issue":"11","issued":{"date-parts":[["2013","11"]]},"page":"1274-1285","publisher":"Nat Genet","title":"Discovery and refinement of loci associated with lipid levels","type":"article-journal","volume":"45"},"uris":["http://www.mendeley.com/documents/?uuid=f15de578-df6a-3e5a-b37e-d70a27e01bfa"]}],"mendeley":{"formattedCitation":"&lt;sup&gt;19&lt;/sup&gt;","plainTextFormattedCitation":"19","previouslyFormattedCitation":"&lt;sup&gt;19&lt;/sup&gt;"},"properties":{"noteIndex":0},"schema":"https://github.com/citation-style-language/schema/raw/master/csl-citation.json"}</w:instrText>
      </w:r>
      <w:r w:rsidR="00DF3FFC" w:rsidRPr="0061109F">
        <w:rPr>
          <w:rFonts w:ascii="Calibri" w:hAnsi="Calibri" w:cs="Calibri"/>
          <w:sz w:val="22"/>
          <w:szCs w:val="22"/>
        </w:rPr>
        <w:fldChar w:fldCharType="separate"/>
      </w:r>
      <w:r w:rsidR="00D3131C" w:rsidRPr="0061109F">
        <w:rPr>
          <w:rFonts w:ascii="Calibri" w:hAnsi="Calibri" w:cs="Calibri"/>
          <w:noProof/>
          <w:sz w:val="22"/>
          <w:szCs w:val="22"/>
          <w:vertAlign w:val="superscript"/>
        </w:rPr>
        <w:t>19</w:t>
      </w:r>
      <w:r w:rsidR="00DF3FFC" w:rsidRPr="0061109F">
        <w:rPr>
          <w:rFonts w:ascii="Calibri" w:hAnsi="Calibri" w:cs="Calibri"/>
          <w:sz w:val="22"/>
          <w:szCs w:val="22"/>
        </w:rPr>
        <w:fldChar w:fldCharType="end"/>
      </w:r>
      <w:r w:rsidR="00DF3FFC" w:rsidRPr="0061109F">
        <w:rPr>
          <w:rFonts w:ascii="Calibri" w:hAnsi="Calibri" w:cs="Calibri"/>
          <w:sz w:val="22"/>
          <w:szCs w:val="22"/>
        </w:rPr>
        <w:t xml:space="preserve"> chronic kidney disease,</w:t>
      </w:r>
      <w:r w:rsidR="00DF3FFC" w:rsidRPr="0061109F">
        <w:rPr>
          <w:rFonts w:ascii="Calibri" w:hAnsi="Calibri" w:cs="Calibri"/>
          <w:sz w:val="22"/>
          <w:szCs w:val="22"/>
        </w:rPr>
        <w:fldChar w:fldCharType="begin" w:fldLock="1"/>
      </w:r>
      <w:r w:rsidR="000B086A" w:rsidRPr="0061109F">
        <w:rPr>
          <w:rFonts w:ascii="Calibri" w:hAnsi="Calibri" w:cs="Calibri"/>
          <w:sz w:val="22"/>
          <w:szCs w:val="22"/>
        </w:rPr>
        <w:instrText>ADDIN CSL_CITATION {"citationItems":[{"id":"ITEM-1","itemData":{"DOI":"10.1038/s41588-019-0407-x","ISSN":"15461718","abstract":"Chronic kidney disease (CKD) is responsible for a public health burden with multi-systemic complications. Through trans-ancestry meta-analysis of genome-wide association studies of estimated glomerular filtration rate (eGFR) and independent replication (n = 1,046,070), we identified 264 associated loci (166 new). Of these, 147 were likely to be relevant for kidney function on the basis of associations with the alternative kidney function marker blood urea nitrogen (n = 416,178). Pathway and enrichment analyses, including mouse models with renal phenotypes, support the kidney as the main target organ. A genetic risk score for lower eGFR was associated with clinically diagnosed CKD in 452,264 independent individuals. Colocalization analyses of associations with eGFR among 783,978 European-ancestry individuals and gene expression across 46 human tissues, including tubulo-interstitial and glomerular kidney compartments, identified 17 genes differentially expressed in kidney. Fine-mapping highlighted missense driver variants in 11 genes and kidney-specific regulatory variants. These results provide a comprehensive priority list of molecular targets for translational research.","author":[{"dropping-particle":"","family":"Wuttke","given":"Matthias","non-dropping-particle":"","parse-names":false,"suffix":""},{"dropping-particle":"","family":"Li","given":"Yong","non-dropping-particle":"","parse-names":false,"suffix":""},{"dropping-particle":"","family":"Li","given":"Man","non-dropping-particle":"","parse-names":false,"suffix":""},{"dropping-particle":"","family":"Sieber","given":"Karsten B.","non-dropping-particle":"","parse-names":false,"suffix":""},{"dropping-particle":"","family":"Feitosa","given":"Mary F.","non-dropping-particle":"","parse-names":false,"suffix":""},{"dropping-particle":"","family":"Gorski","given":"Mathias","non-dropping-particle":"","parse-names":false,"suffix":""},{"dropping-particle":"","family":"Tin","given":"Adrienne","non-dropping-particle":"","parse-names":false,"suffix":""},{"dropping-particle":"","family":"Wang","given":"Lihua","non-dropping-particle":"","parse-names":false,"suffix":""},{"dropping-particle":"","family":"Chu","given":"Audrey Y.","non-dropping-particle":"","parse-names":false,"suffix":""},{"dropping-particle":"","family":"Hoppmann","given":"Anselm","non-dropping-particle":"","parse-names":false,"suffix":""},{"dropping-particle":"","family":"Kirsten","given":"Holger","non-dropping-particle":"","parse-names":false,"suffix":""},{"dropping-particle":"","family":"Giri","given":"Ayush","non-dropping-particle":"","parse-names":false,"suffix":""},{"dropping-particle":"","family":"Chai","given":"Jin Fang","non-dropping-particle":"","parse-names":false,"suffix":""},{"dropping-particle":"","family":"Sveinbjornsson","given":"Gardar","non-dropping-particle":"","parse-names":false,"suffix":""},{"dropping-particle":"","family":"Tayo","given":"Bamidele O.","non-dropping-particle":"","parse-names":false,"suffix":""},{"dropping-particle":"","family":"Nutile","given":"Teresa","non-dropping-particle":"","parse-names":false,"suffix":""},{"dropping-particle":"","family":"Fuchsberger","given":"Christian","non-dropping-particle":"","parse-names":false,"suffix":""},{"dropping-particle":"","family":"Marten","given":"Jonathan","non-dropping-particle":"","parse-names":false,"suffix":""},{"dropping-particle":"","family":"Cocca","given":"Massimiliano","non-dropping-particle":"","parse-names":false,"suffix":""},{"dropping-particle":"","family":"Ghasemi","given":"Sahar","non-dropping-particle":"","parse-names":false,"suffix":""},{"dropping-particle":"","family":"Xu","given":"Yizhe","non-dropping-particle":"","parse-names":false,"suffix":""},{"dropping-particle":"","family":"Horn","given":"Katrin","non-dropping-particle":"","parse-names":false,"suffix":""},{"dropping-particle":"","family":"Noce","given":"Damia","non-dropping-particle":"","parse-names":false,"suffix":""},{"dropping-particle":"","family":"Most","given":"Peter J.","non-dropping-particle":"van der","parse-names":false,"suffix":""},{"dropping-particle":"","family":"Sedaghat","given":"Sanaz","non-dropping-particle":"","parse-names":false,"suffix":""},{"dropping-particle":"","family":"Yu","given":"Zhi","non-dropping-particle":"","parse-names":false,"suffix":""},{"dropping-particle":"","family":"Akiyama","given":"Masato","non-dropping-particle":"","parse-names":false,"suffix":""},{"dropping-particle":"","family":"Afaq","given":"Saima","non-dropping-particle":"","parse-names":false,"suffix":""},{"dropping-particle":"","family":"Ahluwalia","given":"Tarunveer S.","non-dropping-particle":"","parse-names":false,"suffix":""},{"dropping-particle":"","family":"Almgren","given":"Peter","non-dropping-particle":"","parse-names":false,"suffix":""},{"dropping-particle":"","family":"Amin","given":"Najaf","non-dropping-particle":"","parse-names":false,"suffix":""},{"dropping-particle":"","family":"Ärnlöv","given":"Johan","non-dropping-particle":"","parse-names":false,"suffix":""},{"dropping-particle":"","family":"Bakker","given":"Stephan J.L.","non-dropping-particle":"","parse-names":false,"suffix":""},{"dropping-particle":"","family":"Bansal","given":"Nisha","non-dropping-particle":"","parse-names":false,"suffix":""},{"dropping-particle":"","family":"Baptista","given":"Daniela","non-dropping-particle":"","parse-names":false,"suffix":""},{"dropping-particle":"","family":"Bergmann","given":"Sven","non-dropping-particle":"","parse-names":false,"suffix":""},{"dropping-particle":"","family":"Biggs","given":"Mary L.","non-dropping-particle":"","parse-names":false,"suffix":""},{"dropping-particle":"","family":"Biino","given":"Ginevra","non-dropping-particle":"","parse-names":false,"suffix":""},{"dropping-particle":"","family":"Boehnke","given":"Michael","non-dropping-particle":"","parse-names":false,"suffix":""},{"dropping-particle":"","family":"Boerwinkle","given":"Eric","non-dropping-particle":"","parse-names":false,"suffix":""},{"dropping-particle":"","family":"Boissel","given":"Mathilde","non-dropping-particle":"","parse-names":false,"suffix":""},{"dropping-particle":"","family":"Bottinger","given":"Erwin P.","non-dropping-particle":"","parse-names":false,"suffix":""},{"dropping-particle":"","family":"Boutin","given":"Thibaud S.","non-dropping-particle":"","parse-names":false,"suffix":""},{"dropping-particle":"","family":"Brenner","given":"Hermann","non-dropping-particle":"","parse-names":false,"suffix":""},{"dropping-particle":"","family":"Brumat","given":"Marco","non-dropping-particle":"","parse-names":false,"suffix":""},{"dropping-particle":"","family":"Burkhardt","given":"Ralph","non-dropping-particle":"","parse-names":false,"suffix":""},{"dropping-particle":"","family":"Butterworth","given":"Adam S.","non-dropping-particle":"","parse-names":false,"suffix":""},{"dropping-particle":"","family":"Campana","given":"Eric","non-dropping-particle":"","parse-names":false,"suffix":""},{"dropping-particle":"","family":"Campbell","given":"Archie","non-dropping-particle":"","parse-names":false,"suffix":""},{"dropping-particle":"","family":"Campbell","given":"Harry","non-dropping-particle":"","parse-names":false,"suffix":""},{"dropping-particle":"","family":"Canouil","given":"Mickaël","non-dropping-particle":"","parse-names":false,"suffix":""},{"dropping-particle":"","family":"Carroll","given":"Robert J.","non-dropping-particle":"","parse-names":false,"suffix":""},{"dropping-particle":"","family":"Catamo","given":"Eulalia","non-dropping-particle":"","parse-names":false,"suffix":""},{"dropping-particle":"","family":"Chambers","given":"John C.","non-dropping-particle":"","parse-names":false,"suffix":""},{"dropping-particle":"","family":"Chee","given":"Miao Ling","non-dropping-particle":"","parse-names":false,"suffix":""},{"dropping-particle":"","family":"Chee","given":"Miao Li","non-dropping-particle":"","parse-names":false,"suffix":""},{"dropping-particle":"","family":"Chen","given":"Xu","non-dropping-particle":"","parse-names":false,"suffix":""},{"dropping-particle":"","family":"Cheng","given":"Ching Yu","non-dropping-particle":"","parse-names":false,"suffix":""},{"dropping-particle":"","family":"Cheng","given":"Yurong","non-dropping-particle":"","parse-names":false,"suffix":""},{"dropping-particle":"","family":"Christensen","given":"Kaare","non-dropping-particle":"","parse-names":false,"suffix":""},{"dropping-particle":"","family":"Cifkova","given":"Renata","non-dropping-particle":"","parse-names":false,"suffix":""},{"dropping-particle":"","family":"Ciullo","given":"Marina","non-dropping-particle":"","parse-names":false,"suffix":""},{"dropping-particle":"","family":"Concas","given":"Maria Pina","non-dropping-particle":"","parse-names":false,"suffix":""},{"dropping-particle":"","family":"Cook","given":"James P.","non-dropping-particle":"","parse-names":false,"suffix":""},{"dropping-particle":"","family":"Coresh","given":"Josef","non-dropping-particle":"","parse-names":false,"suffix":""},{"dropping-particle":"","family":"Corre","given":"Tanguy","non-dropping-particle":"","parse-names":false,"suffix":""},{"dropping-particle":"","family":"Sala","given":"Cinzia Felicita","non-dropping-particle":"","parse-names":false,"suffix":""},{"dropping-particle":"","family":"Cusi","given":"Daniele","non-dropping-particle":"","parse-names":false,"suffix":""},{"dropping-particle":"","family":"Danesh","given":"John","non-dropping-particle":"","parse-names":false,"suffix":""},{"dropping-particle":"","family":"Daw","given":"E. Warwick","non-dropping-particle":"","parse-names":false,"suffix":""},{"dropping-particle":"","family":"Borst","given":"Martin H.","non-dropping-particle":"de","parse-names":false,"suffix":""},{"dropping-particle":"","family":"Grandi","given":"Alessandro","non-dropping-particle":"De","parse-names":false,"suffix":""},{"dropping-particle":"","family":"Mutsert","given":"Renée","non-dropping-particle":"de","parse-names":false,"suffix":""},{"dropping-particle":"","family":"Vries","given":"Aiko P.J.","non-dropping-particle":"de","parse-names":false,"suffix":""},{"dropping-particle":"","family":"Degenhardt","given":"Frauke","non-dropping-particle":"","parse-names":false,"suffix":""},{"dropping-particle":"","family":"Delgado","given":"Graciela","non-dropping-particle":"","parse-names":false,"suffix":""},{"dropping-particle":"","family":"Demirkan","given":"Ayse","non-dropping-particle":"","parse-names":false,"suffix":""},{"dropping-particle":"","family":"Angelantonio","given":"Emanuele","non-dropping-particle":"Di","parse-names":false,"suffix":""},{"dropping-particle":"","family":"Dittrich","given":"Katalin","non-dropping-particle":"","parse-names":false,"suffix":""},{"dropping-particle":"","family":"Divers","given":"Jasmin","non-dropping-particle":"","parse-names":false,"suffix":""},{"dropping-particle":"","family":"Dorajoo","given":"Rajkumar","non-dropping-particle":"","parse-names":false,"suffix":""},{"dropping-particle":"","family":"Eckardt","given":"Kai Uwe","non-dropping-particle":"","parse-names":false,"suffix":""},{"dropping-particle":"","family":"Ehret","given":"Georg","non-dropping-particle":"","parse-names":false,"suffix":""},{"dropping-particle":"","family":"Elliott","given":"Paul","non-dropping-particle":"","parse-names":false,"suffix":""},{"dropping-particle":"","family":"Endlich","given":"Karlhans","non-dropping-particle":"","parse-names":false,"suffix":""},{"dropping-particle":"","family":"Evans","given":"Michele K.","non-dropping-particle":"","parse-names":false,"suffix":""},{"dropping-particle":"","family":"Felix","given":"Janine F.","non-dropping-particle":"","parse-names":false,"suffix":""},{"dropping-particle":"","family":"Foo","given":"Valencia Hui Xian","non-dropping-particle":"","parse-names":false,"suffix":""},{"dropping-particle":"","family":"Franco","given":"Oscar H.","non-dropping-particle":"","parse-names":false,"suffix":""},{"dropping-particle":"","family":"Franke","given":"Andre","non-dropping-particle":"","parse-names":false,"suffix":""},{"dropping-particle":"","family":"Freedman","given":"Barry I.","non-dropping-particle":"","parse-names":false,"suffix":""},{"dropping-particle":"","family":"Freitag-Wolf","given":"Sandra","non-dropping-particle":"","parse-names":false,"suffix":""},{"dropping-particle":"","family":"Friedlander","given":"Yechiel","non-dropping-particle":"","parse-names":false,"suffix":""},{"dropping-particle":"","family":"Froguel","given":"Philippe","non-dropping-particle":"","parse-names":false,"suffix":""},{"dropping-particle":"","family":"Gansevoort","given":"Ron T.","non-dropping-particle":"","parse-names":false,"suffix":""},{"dropping-particle":"","family":"Gao","given":"He","non-dropping-particle":"","parse-names":false,"suffix":""},{"dropping-particle":"","family":"Gasparini","given":"Paolo","non-dropping-particle":"","parse-names":false,"suffix":""},{"dropping-particle":"","family":"Gaziano","given":"J. Michael","non-dropping-particle":"","parse-names":false,"suffix":""},{"dropping-particle":"","family":"Giedraitis","given":"Vilmantas","non-dropping-particle":"","parse-names":false,"suffix":""},{"dropping-particle":"","family":"Gieger","given":"Christian","non-dropping-particle":"","parse-names":false,"suffix":""},{"dropping-particle":"","family":"Girotto","given":"Giorgia","non-dropping-particle":"","parse-names":false,"suffix":""},{"dropping-particle":"","family":"Giulianini","given":"Franco","non-dropping-particle":"","parse-names":false,"suffix":""},{"dropping-particle":"","family":"Gögele","given":"Martin","non-dropping-particle":"","parse-names":false,"suffix":""},{"dropping-particle":"","family":"Gordon","given":"Scott D.","non-dropping-particle":"","parse-names":false,"suffix":""},{"dropping-particle":"","family":"Gudbjartsson","given":"Daniel F.","non-dropping-particle":"","parse-names":false,"suffix":""},{"dropping-particle":"","family":"Gudnason","given":"Vilmundur","non-dropping-particle":"","parse-names":false,"suffix":""},{"dropping-particle":"","family":"Haller","given":"Toomas","non-dropping-particle":"","parse-names":false,"suffix":""},{"dropping-particle":"","family":"Hamet","given":"Pavel","non-dropping-particle":"","parse-names":false,"suffix":""},{"dropping-particle":"","family":"Harris","given":"Tamara B.","non-dropping-particle":"","parse-names":false,"suffix":""},{"dropping-particle":"","family":"Hartman","given":"Catharina A.","non-dropping-particle":"","parse-names":false,"suffix":""},{"dropping-particle":"","family":"Hayward","given":"Caroline","non-dropping-particle":"","parse-names":false,"suffix":""},{"dropping-particle":"","family":"Hellwege","given":"Jacklyn N.","non-dropping-particle":"","parse-names":false,"suffix":""},{"dropping-particle":"","family":"Heng","given":"Chew Kiat","non-dropping-particle":"","parse-names":false,"suffix":""},{"dropping-particle":"","family":"Hicks","given":"Andrew A.","non-dropping-particle":"","parse-names":false,"suffix":""},{"dropping-particle":"","family":"Hofer","given":"Edith","non-dropping-particle":"","parse-names":false,"suffix":""},{"dropping-particle":"","family":"Huang","given":"Wei","non-dropping-particle":"","parse-names":false,"suffix":""},{"dropping-particle":"","family":"Hutri-Kähönen","given":"Nina","non-dropping-particle":"","parse-names":false,"suffix":""},{"dropping-particle":"","family":"Hwang","given":"Shih Jen","non-dropping-particle":"","parse-names":false,"suffix":""},{"dropping-particle":"","family":"Ikram","given":"M. Arfan","non-dropping-particle":"","parse-names":false,"suffix":""},{"dropping-particle":"","family":"Indridason","given":"Olafur S.","non-dropping-particle":"","parse-names":false,"suffix":""},{"dropping-particle":"","family":"Ingelsson","given":"Erik","non-dropping-particle":"","parse-names":false,"suffix":""},{"dropping-particle":"","family":"Ising","given":"Marcus","non-dropping-particle":"","parse-names":false,"suffix":""},{"dropping-particle":"","family":"Jaddoe","given":"Vincent W.V.","non-dropping-particle":"","parse-names":false,"suffix":""},{"dropping-particle":"","family":"Jakobsdottir","given":"Johanna","non-dropping-particle":"","parse-names":false,"suffix":""},{"dropping-particle":"","family":"Jonas","given":"Jost B.","non-dropping-particle":"","parse-names":false,"suffix":""},{"dropping-particle":"","family":"Joshi","given":"Peter K.","non-dropping-particle":"","parse-names":false,"suffix":""},{"dropping-particle":"","family":"Josyula","given":"Navya Shilpa","non-dropping-particle":"","parse-names":false,"suffix":""},{"dropping-particle":"","family":"Jung","given":"Bettina","non-dropping-particle":"","parse-names":false,"suffix":""},{"dropping-particle":"","family":"Kähönen","given":"Mika","non-dropping-particle":"","parse-names":false,"suffix":""},{"dropping-particle":"","family":"Kamatani","given":"Yoichiro","non-dropping-particle":"","parse-names":false,"suffix":""},{"dropping-particle":"","family":"Kammerer","given":"Candace M.","non-dropping-particle":"","parse-names":false,"suffix":""},{"dropping-particle":"","family":"Kanai","given":"Masahiro","non-dropping-particle":"","parse-names":false,"suffix":""},{"dropping-particle":"","family":"Kastarinen","given":"Mika","non-dropping-particle":"","parse-names":false,"suffix":""},{"dropping-particle":"","family":"Kerr","given":"Shona M.","non-dropping-particle":"","parse-names":false,"suffix":""},{"dropping-particle":"","family":"Khor","given":"Chiea Chuen","non-dropping-particle":"","parse-names":false,"suffix":""},{"dropping-particle":"","family":"Kiess","given":"Wieland","non-dropping-particle":"","parse-names":false,"suffix":""},{"dropping-particle":"","family":"Kleber","given":"Marcus E.","non-dropping-particle":"","parse-names":false,"suffix":""},{"dropping-particle":"","family":"Koenig","given":"Wolfgang","non-dropping-particle":"","parse-names":false,"suffix":""},{"dropping-particle":"","family":"Kooner","given":"Jaspal S.","non-dropping-particle":"","parse-names":false,"suffix":""},{"dropping-particle":"","family":"Körner","given":"Antje","non-dropping-particle":"","parse-names":false,"suffix":""},{"dropping-particle":"","family":"Kovacs","given":"Peter","non-dropping-particle":"","parse-names":false,"suffix":""},{"dropping-particle":"","family":"Kraja","given":"Aldi T.","non-dropping-particle":"","parse-names":false,"suffix":""},{"dropping-particle":"","family":"Krajcoviechova","given":"Alena","non-dropping-particle":"","parse-names":false,"suffix":""},{"dropping-particle":"","family":"Kramer","given":"Holly","non-dropping-particle":"","parse-names":false,"suffix":""},{"dropping-particle":"","family":"Krämer","given":"Bernhard K.","non-dropping-particle":"","parse-names":false,"suffix":""},{"dropping-particle":"","family":"Kronenberg","given":"Florian","non-dropping-particle":"","parse-names":false,"suffix":""},{"dropping-particle":"","family":"Kubo","given":"Michiaki","non-dropping-particle":"","parse-names":false,"suffix":""},{"dropping-particle":"","family":"Kühnel","given":"Brigitte","non-dropping-particle":"","parse-names":false,"suffix":""},{"dropping-particle":"","family":"Kuokkanen","given":"Mikko","non-dropping-particle":"","parse-names":false,"suffix":""},{"dropping-particle":"","family":"Kuusisto","given":"Johanna","non-dropping-particle":"","parse-names":false,"suffix":""},{"dropping-particle":"","family":"Bianca","given":"Martina","non-dropping-particle":"La","parse-names":false,"suffix":""},{"dropping-particle":"","family":"Laakso","given":"Markku","non-dropping-particle":"","parse-names":false,"suffix":""},{"dropping-particle":"","family":"Lange","given":"Leslie A.","non-dropping-particle":"","parse-names":false,"suffix":""},{"dropping-particle":"","family":"Langefeld","given":"Carl D.","non-dropping-particle":"","parse-names":false,"suffix":""},{"dropping-particle":"","family":"Lee","given":"Jeannette Jen Mai","non-dropping-particle":"","parse-names":false,"suffix":""},{"dropping-particle":"","family":"Lehne","given":"Benjamin","non-dropping-particle":"","parse-names":false,"suffix":""},{"dropping-particle":"","family":"Lehtimäki","given":"Terho","non-dropping-particle":"","parse-names":false,"suffix":""},{"dropping-particle":"","family":"Lieb","given":"Wolfgang","non-dropping-particle":"","parse-names":false,"suffix":""},{"dropping-particle":"","family":"Lim","given":"Su Chi","non-dropping-particle":"","parse-names":false,"suffix":""},{"dropping-particle":"","family":"Lind","given":"Lars","non-dropping-particle":"","parse-names":false,"suffix":""},{"dropping-particle":"","family":"Lindgren","given":"Cecilia M.","non-dropping-particle":"","parse-names":false,"suffix":""},{"dropping-particle":"","family":"Liu","given":"Jun","non-dropping-particle":"","parse-names":false,"suffix":""},{"dropping-particle":"","family":"Liu","given":"Jianjun","non-dropping-particle":"","parse-names":false,"suffix":""},{"dropping-particle":"","family":"Loeffler","given":"Markus","non-dropping-particle":"","parse-names":false,"suffix":""},{"dropping-particle":"","family":"Loos","given":"Ruth J.F.","non-dropping-particle":"","parse-names":false,"suffix":""},{"dropping-particle":"","family":"Lucae","given":"Susanne","non-dropping-particle":"","parse-names":false,"suffix":""},{"dropping-particle":"","family":"Lukas","given":"Mary Ann","non-dropping-particle":"","parse-names":false,"suffix":""},{"dropping-particle":"","family":"Lyytikäinen","given":"Leo Pekka","non-dropping-particle":"","parse-names":false,"suffix":""},{"dropping-particle":"","family":"Mägi","given":"Reedik","non-dropping-particle":"","parse-names":false,"suffix":""},{"dropping-particle":"","family":"Magnusson","given":"Patrik K.E.","non-dropping-particle":"","parse-names":false,"suffix":""},{"dropping-particle":"","family":"Mahajan","given":"Anubha","non-dropping-particle":"","parse-names":false,"suffix":""},{"dropping-particle":"","family":"Martin","given":"Nicholas G.","non-dropping-particle":"","parse-names":false,"suffix":""},{"dropping-particle":"","family":"Martins","given":"Jade","non-dropping-particle":"","parse-names":false,"suffix":""},{"dropping-particle":"","family":"März","given":"Winfried","non-dropping-particle":"","parse-names":false,"suffix":""},{"dropping-particle":"","family":"Mascalzoni","given":"Deborah","non-dropping-particle":"","parse-names":false,"suffix":""},{"dropping-particle":"","family":"Matsuda","given":"Koichi","non-dropping-particle":"","parse-names":false,"suffix":""},{"dropping-particle":"","family":"Meisinger","given":"Christa","non-dropping-particle":"","parse-names":false,"suffix":""},{"dropping-particle":"","family":"Meitinger","given":"Thomas","non-dropping-particle":"","parse-names":false,"suffix":""},{"dropping-particle":"","family":"Melander","given":"Olle","non-dropping-particle":"","parse-names":false,"suffix":""},{"dropping-particle":"","family":"Metspalu","given":"Andres","non-dropping-particle":"","parse-names":false,"suffix":""},{"dropping-particle":"","family":"Mikaelsdottir","given":"Evgenia K.","non-dropping-particle":"","parse-names":false,"suffix":""},{"dropping-particle":"","family":"Milaneschi","given":"Yuri","non-dropping-particle":"","parse-names":false,"suffix":""},{"dropping-particle":"","family":"Miliku","given":"Kozeta","non-dropping-particle":"","parse-names":false,"suffix":""},{"dropping-particle":"","family":"Mishra","given":"Pashupati P.","non-dropping-particle":"","parse-names":false,"suffix":""},{"dropping-particle":"","family":"Mohlke","given":"Karen L.","non-dropping-particle":"","parse-names":false,"suffix":""},{"dropping-particle":"","family":"Mononen","given":"Nina","non-dropping-particle":"","parse-names":false,"suffix":""},{"dropping-particle":"","family":"Montgomery","given":"Grant W.","non-dropping-particle":"","parse-names":false,"suffix":""},{"dropping-particle":"","family":"Mook-Kanamori","given":"Dennis O.","non-dropping-particle":"","parse-names":false,"suffix":""},{"dropping-particle":"","family":"Mychaleckyj","given":"Josyf C.","non-dropping-particle":"","parse-names":false,"suffix":""},{"dropping-particle":"","family":"Nadkarni","given":"Girish N.","non-dropping-particle":"","parse-names":false,"suffix":""},{"dropping-particle":"","family":"Nalls","given":"Mike A.","non-dropping-particle":"","parse-names":false,"suffix":""},{"dropping-particle":"","family":"Nauck","given":"Matthias","non-dropping-particle":"","parse-names":false,"suffix":""},{"dropping-particle":"","family":"Nikus","given":"Kjell","non-dropping-particle":"","parse-names":false,"suffix":""},{"dropping-particle":"","family":"Ning","given":"Boting","non-dropping-particle":"","parse-names":false,"suffix":""},{"dropping-particle":"","family":"Nolte","given":"Ilja M.","non-dropping-particle":"","parse-names":false,"suffix":""},{"dropping-particle":"","family":"Noordam","given":"Raymond","non-dropping-particle":"","parse-names":false,"suffix":""},{"dropping-particle":"","family":"O’Connell","given":"Jeffrey","non-dropping-particle":"","parse-names":false,"suffix":""},{"dropping-particle":"","family":"O’Donoghue","given":"Michelle L.","non-dropping-particle":"","parse-names":false,"suffix":""},{"dropping-particle":"","family":"Olafsson","given":"Isleifur","non-dropping-particle":"","parse-names":false,"suffix":""},{"dropping-particle":"","family":"Oldehinkel","given":"Albertine J.","non-dropping-particle":"","parse-names":false,"suffix":""},{"dropping-particle":"","family":"Orho-Melander","given":"Marju","non-dropping-particle":"","parse-names":false,"suffix":""},{"dropping-particle":"","family":"Ouwehand","given":"Willem H.","non-dropping-particle":"","parse-names":false,"suffix":""},{"dropping-particle":"","family":"Padmanabhan","given":"Sandosh","non-dropping-particle":"","parse-names":false,"suffix":""},{"dropping-particle":"","family":"Palmer","given":"Nicholette D.","non-dropping-particle":"","parse-names":false,"suffix":""},{"dropping-particle":"","family":"Palsson","given":"Runolfur","non-dropping-particle":"","parse-names":false,"suffix":""},{"dropping-particle":"","family":"Penninx","given":"Brenda W.J.H.","non-dropping-particle":"","parse-names":false,"suffix":""},{"dropping-particle":"","family":"Perls","given":"Thomas","non-dropping-particle":"","parse-names":false,"suffix":""},{"dropping-particle":"","family":"Perola","given":"Markus","non-dropping-particle":"","parse-names":false,"suffix":""},{"dropping-particle":"","family":"Pirastu","given":"Mario","non-dropping-particle":"","parse-names":false,"suffix":""},{"dropping-particle":"","family":"Pirastu","given":"Nicola","non-dropping-particle":"","parse-names":false,"suffix":""},{"dropping-particle":"","family":"Pistis","given":"Giorgio","non-dropping-particle":"","parse-names":false,"suffix":""},{"dropping-particle":"","family":"Podgornaia","given":"Anna I.","non-dropping-particle":"","parse-names":false,"suffix":""},{"dropping-particle":"","family":"Polasek","given":"Ozren","non-dropping-particle":"","parse-names":false,"suffix":""},{"dropping-particle":"","family":"Ponte","given":"Belen","non-dropping-particle":"","parse-names":false,"suffix":""},{"dropping-particle":"","family":"Porteous","given":"David J.","non-dropping-particle":"","parse-names":false,"suffix":""},{"dropping-particle":"","family":"Poulain","given":"Tanja","non-dropping-particle":"","parse-names":false,"suffix":""},{"dropping-particle":"","family":"Pramstaller","given":"Peter P.","non-dropping-particle":"","parse-names":false,"suffix":""},{"dropping-particle":"","family":"Preuss","given":"Michael H.","non-dropping-particle":"","parse-names":false,"suffix":""},{"dropping-particle":"","family":"Prins","given":"Bram P.","non-dropping-particle":"","parse-names":false,"suffix":""},{"dropping-particle":"","family":"Province","given":"Michael A.","non-dropping-particle":"","parse-names":false,"suffix":""},{"dropping-particle":"","family":"Rabelink","given":"Ton J.","non-dropping-particle":"","parse-names":false,"suffix":""},{"dropping-particle":"","family":"Raffield","given":"Laura M.","non-dropping-particle":"","parse-names":false,"suffix":""},{"dropping-particle":"","family":"Raitakari","given":"Olli T.","non-dropping-particle":"","parse-names":false,"suffix":""},{"dropping-particle":"","family":"Reilly","given":"Dermot F.","non-dropping-particle":"","parse-names":false,"suffix":""},{"dropping-particle":"","family":"Rettig","given":"Rainer","non-dropping-particle":"","parse-names":false,"suffix":""},{"dropping-particle":"","family":"Rheinberger","given":"Myriam","non-dropping-particle":"","parse-names":false,"suffix":""},{"dropping-particle":"","family":"Rice","given":"Kenneth M.","non-dropping-particle":"","parse-names":false,"suffix":""},{"dropping-particle":"","family":"Ridker","given":"Paul M.","non-dropping-particle":"","parse-names":false,"suffix":""},{"dropping-particle":"","family":"Rivadeneira","given":"Fernando","non-dropping-particle":"","parse-names":false,"suffix":""},{"dropping-particle":"","family":"Rizzi","given":"Federica","non-dropping-particle":"","parse-names":false,"suffix":""},{"dropping-particle":"","family":"Roberts","given":"David J.","non-dropping-particle":"","parse-names":false,"suffix":""},{"dropping-particle":"","family":"Robino","given":"Antonietta","non-dropping-particle":"","parse-names":false,"suffix":""},{"dropping-particle":"","family":"Rossing","given":"Peter","non-dropping-particle":"","parse-names":false,"suffix":""},{"dropping-particle":"","family":"Rudan","given":"Igor","non-dropping-particle":"","parse-names":false,"suffix":""},{"dropping-particle":"","family":"Rueedi","given":"Rico","non-dropping-particle":"","parse-names":false,"suffix":""},{"dropping-particle":"","family":"Ruggiero","given":"Daniela","non-dropping-particle":"","parse-names":false,"suffix":""},{"dropping-particle":"","family":"Ryan","given":"Kathleen A.","non-dropping-particle":"","parse-names":false,"suffix":""},{"dropping-particle":"","family":"Saba","given":"Yasaman","non-dropping-particle":"","parse-names":false,"suffix":""},{"dropping-particle":"","family":"Sabanayagam","given":"Charumathi","non-dropping-particle":"","parse-names":false,"suffix":""},{"dropping-particle":"","family":"Salomaa","given":"Veikko","non-dropping-particle":"","parse-names":false,"suffix":""},{"dropping-particle":"","family":"Salvi","given":"Erika","non-dropping-particle":"","parse-names":false,"suffix":""},{"dropping-particle":"","family":"Saum","given":"Kai Uwe","non-dropping-particle":"","parse-names":false,"suffix":""},{"dropping-particle":"","family":"Schmidt","given":"Helena","non-dropping-particle":"","parse-names":false,"suffix":""},{"dropping-particle":"","family":"Schmidt","given":"Reinhold","non-dropping-particle":"","parse-names":false,"suffix":""},{"dropping-particle":"","family":"Schöttker","given":"Ben","non-dropping-particle":"","parse-names":false,"suffix":""},{"dropping-particle":"","family":"Schulz","given":"Christina Alexandra","non-dropping-particle":"","parse-names":false,"suffix":""},{"dropping-particle":"","family":"Schupf","given":"Nicole","non-dropping-particle":"","parse-names":false,"suffix":""},{"dropping-particle":"","family":"Shaffer","given":"Christian M.","non-dropping-particle":"","parse-names":false,"suffix":""},{"dropping-particle":"","family":"Shi","given":"Yuan","non-dropping-particle":"","parse-names":false,"suffix":""},{"dropping-particle":"V.","family":"Smith","given":"Albert","non-dropping-particle":"","parse-names":false,"suffix":""},{"dropping-particle":"","family":"Smith","given":"Blair H.","non-dropping-particle":"","parse-names":false,"suffix":""},{"dropping-particle":"","family":"Soranzo","given":"Nicole","non-dropping-particle":"","parse-names":false,"suffix":""},{"dropping-particle":"","family":"Spracklen","given":"Cassandra N.","non-dropping-particle":"","parse-names":false,"suffix":""},{"dropping-particle":"","family":"Strauch","given":"Konstantin","non-dropping-particle":"","parse-names":false,"suffix":""},{"dropping-particle":"","family":"Stringham","given":"Heather M.","non-dropping-particle":"","parse-names":false,"suffix":""},{"dropping-particle":"","family":"Stumvoll","given":"Michael","non-dropping-particle":"","parse-names":false,"suffix":""},{"dropping-particle":"","family":"Svensson","given":"Per O.","non-dropping-particle":"","parse-names":false,"suffix":""},{"dropping-particle":"","family":"Szymczak","given":"Silke","non-dropping-particle":"","parse-names":false,"suffix":""},{"dropping-particle":"","family":"Tai","given":"E. Shyong","non-dropping-particle":"","parse-names":false,"suffix":""},{"dropping-particle":"","family":"Tajuddin","given":"Salman M.","non-dropping-particle":"","parse-names":false,"suffix":""},{"dropping-particle":"","family":"Tan","given":"Nicholas Y.Q.","non-dropping-particle":"","parse-names":false,"suffix":""},{"dropping-particle":"","family":"Taylor","given":"Kent D.","non-dropping-particle":"","parse-names":false,"suffix":""},{"dropping-particle":"","family":"Teren","given":"Andrej","non-dropping-particle":"","parse-names":false,"suffix":""},{"dropping-particle":"","family":"Tham","given":"Yih Chung","non-dropping-particle":"","parse-names":false,"suffix":""},{"dropping-particle":"","family":"Thiery","given":"Joachim","non-dropping-particle":"","parse-names":false,"suffix":""},{"dropping-particle":"","family":"Thio","given":"Chris H.L.","non-dropping-particle":"","parse-names":false,"suffix":""},{"dropping-particle":"","family":"Thomsen","given":"Hauke","non-dropping-particle":"","parse-names":false,"suffix":""},{"dropping-particle":"","family":"Thorleifsson","given":"Gudmar","non-dropping-particle":"","parse-names":false,"suffix":""},{"dropping-particle":"","family":"Toniolo","given":"Daniela","non-dropping-particle":"","parse-names":false,"suffix":""},{"dropping-particle":"","family":"Tönjes","given":"Anke","non-dropping-particle":"","parse-names":false,"suffix":""},{"dropping-particle":"","family":"Tremblay","given":"Johanne","non-dropping-particle":"","parse-names":false,"suffix":""},{"dropping-particle":"","family":"Tzoulaki","given":"Ioanna","non-dropping-particle":"","parse-names":false,"suffix":""},{"dropping-particle":"","family":"Uitterlinden","given":"André G.","non-dropping-particle":"","parse-names":false,"suffix":""},{"dropping-particle":"","family":"Vaccargiu","given":"Simona","non-dropping-particle":"","parse-names":false,"suffix":""},{"dropping-particle":"","family":"Dam","given":"Rob M.","non-dropping-particle":"van","parse-names":false,"suffix":""},{"dropping-particle":"","family":"Harst","given":"Pim","non-dropping-particle":"van der","parse-names":false,"suffix":""},{"dropping-particle":"","family":"Duijn","given":"Cornelia M.","non-dropping-particle":"van","parse-names":false,"suffix":""},{"dropping-particle":"","family":"Velez Edward","given":"Digna R.","non-dropping-particle":"","parse-names":false,"suffix":""},{"dropping-particle":"","family":"Verweij","given":"Niek","non-dropping-particle":"","parse-names":false,"suffix":""},{"dropping-particle":"","family":"Vogelezang","given":"Suzanne","non-dropping-particle":"","parse-names":false,"suffix":""},{"dropping-particle":"","family":"Völker","given":"Uwe","non-dropping-particle":"","parse-names":false,"suffix":""},{"dropping-particle":"","family":"Vollenweider","given":"Peter","non-dropping-particle":"","parse-names":false,"suffix":""},{"dropping-particle":"","family":"Waeber","given":"Gerard","non-dropping-particle":"","parse-names":false,"suffix":""},{"dropping-particle":"","family":"Waldenberger","given":"Melanie","non-dropping-particle":"","parse-names":false,"suffix":""},{"dropping-particle":"","family":"Wallentin","given":"Lars","non-dropping-particle":"","parse-names":false,"suffix":""},{"dropping-particle":"","family":"Wang","given":"Ya Xing","non-dropping-particle":"","parse-names":false,"suffix":""},{"dropping-particle":"","family":"Wang","given":"Chaolong","non-dropping-particle":"","parse-names":false,"suffix":""},{"dropping-particle":"","family":"Waterworth","given":"Dawn M.","non-dropping-particle":"","parse-names":false,"suffix":""},{"dropping-particle":"","family":"Wei","given":"Wen","non-dropping-particle":"Bin","parse-names":false,"suffix":""},{"dropping-particle":"","family":"White","given":"Harvey","non-dropping-particle":"","parse-names":false,"suffix":""},{"dropping-particle":"","family":"Whitfield","given":"John B.","non-dropping-particle":"","parse-names":false,"suffix":""},{"dropping-particle":"","family":"Wild","given":"Sarah H.","non-dropping-particle":"","parse-names":false,"suffix":""},{"dropping-particle":"","family":"Wilson","given":"James F.","non-dropping-particle":"","parse-names":false,"suffix":""},{"dropping-particle":"","family":"Wojczynski","given":"Mary K.","non-dropping-particle":"","parse-names":false,"suffix":""},{"dropping-particle":"","family":"Wong","given":"Charlene","non-dropping-particle":"","parse-names":false,"suffix":""},{"dropping-particle":"","family":"Wong","given":"Tien Yin","non-dropping-particle":"","parse-names":false,"suffix":""},{"dropping-particle":"","family":"Xu","given":"Liang","non-dropping-particle":"","parse-names":false,"suffix":""},{"dropping-particle":"","family":"Yang","given":"Qiong","non-dropping-particle":"","parse-names":false,"suffix":""},{"dropping-particle":"","family":"Yasuda","given":"Masayuki","non-dropping-particle":"","parse-names":false,"suffix":""},{"dropping-particle":"","family":"Yerges-Armstrong","given":"Laura M.","non-dropping-particle":"","parse-names":false,"suffix":""},{"dropping-particle":"","family":"Zhang","given":"Weihua","non-dropping-particle":"","parse-names":false,"suffix":""},{"dropping-particle":"","family":"Zonderman","given":"Alan B.","non-dropping-particle":"","parse-names":false,"suffix":""},{"dropping-particle":"","family":"Rotter","given":"Jerome I.","non-dropping-particle":"","parse-names":false,"suffix":""},{"dropping-particle":"","family":"Bochud","given":"Murielle","non-dropping-particle":"","parse-names":false,"suffix":""},{"dropping-particle":"","family":"Psaty","given":"Bruce M.","non-dropping-particle":"","parse-names":false,"suffix":""},{"dropping-particle":"","family":"Vitart","given":"Veronique","non-dropping-particle":"","parse-names":false,"suffix":""},{"dropping-particle":"","family":"Wilson","given":"James G.","non-dropping-particle":"","parse-names":false,"suffix":""},{"dropping-particle":"","family":"Dehghan","given":"Abbas","non-dropping-particle":"","parse-names":false,"suffix":""},{"dropping-particle":"","family":"Parsa","given":"Afshin","non-dropping-particle":"","parse-names":false,"suffix":""},{"dropping-particle":"","family":"Chasman","given":"Daniel I.","non-dropping-particle":"","parse-names":false,"suffix":""},{"dropping-particle":"","family":"Ho","given":"Kevin","non-dropping-particle":"","parse-names":false,"suffix":""},{"dropping-particle":"","family":"Morris","given":"Andrew P.","non-dropping-particle":"","parse-names":false,"suffix":""},{"dropping-particle":"","family":"Devuyst","given":"Olivier","non-dropping-particle":"","parse-names":false,"suffix":""},{"dropping-particle":"","family":"Akilesh","given":"Shreeram","non-dropping-particle":"","parse-names":false,"suffix":""},{"dropping-particle":"","family":"Pendergrass","given":"Sarah A.","non-dropping-particle":"","parse-names":false,"suffix":""},{"dropping-particle":"","family":"Sim","given":"Xueling","non-dropping-particle":"","parse-names":false,"suffix":""},{"dropping-particle":"","family":"Böger","given":"Carsten A.","non-dropping-particle":"","parse-names":false,"suffix":""},{"dropping-particle":"","family":"Okada","given":"Yukinori","non-dropping-particle":"","parse-names":false,"suffix":""},{"dropping-particle":"","family":"Edwards","given":"Todd L.","non-dropping-particle":"","parse-names":false,"suffix":""},{"dropping-particle":"","family":"Snieder","given":"Harold","non-dropping-particle":"","parse-names":false,"suffix":""},{"dropping-particle":"","family":"Stefansson","given":"Kari","non-dropping-particle":"","parse-names":false,"suffix":""},{"dropping-particle":"","family":"Hung","given":"Adriana M.","non-dropping-particle":"","parse-names":false,"suffix":""},{"dropping-particle":"","family":"Heid","given":"Iris M.","non-dropping-particle":"","parse-names":false,"suffix":""},{"dropping-particle":"","family":"Scholz","given":"Markus","non-dropping-particle":"","parse-names":false,"suffix":""},{"dropping-particle":"","family":"Teumer","given":"Alexander","non-dropping-particle":"","parse-names":false,"suffix":""},{"dropping-particle":"","family":"Köttgen","given":"Anna","non-dropping-particle":"","parse-names":false,"suffix":""},{"dropping-particle":"","family":"Pattaro","given":"Cristian","non-dropping-particle":"","parse-names":false,"suffix":""}],"container-title":"Nature Genetics","id":"ITEM-1","issue":"6","issued":{"date-parts":[["2019","6","1"]]},"page":"957-972","publisher":"Nature Publishing Group","title":"A catalog of genetic loci associated with kidney function from analyses of a million individuals","type":"article-journal","volume":"51"},"uris":["http://www.mendeley.com/documents/?uuid=bfaa400e-933b-37b2-b976-fe74cee7fed0"]}],"mendeley":{"formattedCitation":"&lt;sup&gt;20&lt;/sup&gt;","plainTextFormattedCitation":"20","previouslyFormattedCitation":"&lt;sup&gt;20&lt;/sup&gt;"},"properties":{"noteIndex":0},"schema":"https://github.com/citation-style-language/schema/raw/master/csl-citation.json"}</w:instrText>
      </w:r>
      <w:r w:rsidR="00DF3FFC" w:rsidRPr="0061109F">
        <w:rPr>
          <w:rFonts w:ascii="Calibri" w:hAnsi="Calibri" w:cs="Calibri"/>
          <w:sz w:val="22"/>
          <w:szCs w:val="22"/>
        </w:rPr>
        <w:fldChar w:fldCharType="separate"/>
      </w:r>
      <w:r w:rsidR="00D3131C" w:rsidRPr="0061109F">
        <w:rPr>
          <w:rFonts w:ascii="Calibri" w:hAnsi="Calibri" w:cs="Calibri"/>
          <w:noProof/>
          <w:sz w:val="22"/>
          <w:szCs w:val="22"/>
          <w:vertAlign w:val="superscript"/>
        </w:rPr>
        <w:t>20</w:t>
      </w:r>
      <w:r w:rsidR="00DF3FFC" w:rsidRPr="0061109F">
        <w:rPr>
          <w:rFonts w:ascii="Calibri" w:hAnsi="Calibri" w:cs="Calibri"/>
          <w:sz w:val="22"/>
          <w:szCs w:val="22"/>
        </w:rPr>
        <w:fldChar w:fldCharType="end"/>
      </w:r>
      <w:r w:rsidR="00DF3FFC" w:rsidRPr="0061109F">
        <w:rPr>
          <w:rFonts w:ascii="Calibri" w:hAnsi="Calibri" w:cs="Calibri"/>
          <w:sz w:val="22"/>
          <w:szCs w:val="22"/>
        </w:rPr>
        <w:t xml:space="preserve"> type 2 diabetes,</w:t>
      </w:r>
      <w:r w:rsidR="00DF3FFC" w:rsidRPr="0061109F">
        <w:rPr>
          <w:rFonts w:ascii="Calibri" w:hAnsi="Calibri" w:cs="Calibri"/>
          <w:sz w:val="22"/>
          <w:szCs w:val="22"/>
        </w:rPr>
        <w:fldChar w:fldCharType="begin" w:fldLock="1"/>
      </w:r>
      <w:r w:rsidR="000B086A" w:rsidRPr="0061109F">
        <w:rPr>
          <w:rFonts w:ascii="Calibri" w:hAnsi="Calibri" w:cs="Calibri"/>
          <w:sz w:val="22"/>
          <w:szCs w:val="22"/>
        </w:rPr>
        <w:instrText>ADDIN CSL_CITATION {"citationItems":[{"id":"ITEM-1","itemData":{"DOI":"10.2337/db16-1253","ISSN":"1939327X","abstract":"To characterize type 2 diabetes (T2D)-associated variation across the allele frequency spectrum, we conducted a meta-analysis of genome-wide association data from 26,676 T2D case and 132,532 control subjects of European ancestry after imputation using the 1000 Genomes multiethnic reference panel. Promising association signals were followed up in additional data sets (of 14,545 or 7,397 T2D case and 38,994 or 71,604 control subjects). We identified 13 novel T2D-associated loci (P &lt; 5 × 10-8), including variants near the GLP2R, GIP, and HLA-DQA1 genes. Our analysis brought the total number of independent T2D associations to 128 distinct signals at 113 loci. Despite substantially increased sample size and more complete coverage of low-frequency variation, all novel associations were driven by common single nucleotide variants. Credible sets of potentially causal variants were generally larger than those based on imputation with earlier reference panels, consistent with resolution of causal signals to common risk haplotypes. Stratification of T2D-associated loci based on T2D-related quantitative trait associations revealed tissue-specific enrichment of regulatory annotations in pancreatic islet enhancers for loci influencing insulin secretion and in adipocytes, monocytes, and hepatocytes for insulin action-associated loci. These findings highlight the predominant role played by common variants of modest effect and the diversity of biological mechanisms influencing T2D pathophysiology.","author":[{"dropping-particle":"","family":"Scott","given":"Robert A.","non-dropping-particle":"","parse-names":false,"suffix":""},{"dropping-particle":"","family":"Scott","given":"Laura J.","non-dropping-particle":"","parse-names":false,"suffix":""},{"dropping-particle":"","family":"Mägi","given":"Reedik","non-dropping-particle":"","parse-names":false,"suffix":""},{"dropping-particle":"","family":"Marullo","given":"Letizia","non-dropping-particle":"","parse-names":false,"suffix":""},{"dropping-particle":"","family":"Gaulton","given":"Kyle J.","non-dropping-particle":"","parse-names":false,"suffix":""},{"dropping-particle":"","family":"Kaakinen","given":"Marika","non-dropping-particle":"","parse-names":false,"suffix":""},{"dropping-particle":"","family":"Pervjakova","given":"Natalia","non-dropping-particle":"","parse-names":false,"suffix":""},{"dropping-particle":"","family":"Pers","given":"Tune H.","non-dropping-particle":"","parse-names":false,"suffix":""},{"dropping-particle":"","family":"Johnson","given":"Andrew D.","non-dropping-particle":"","parse-names":false,"suffix":""},{"dropping-particle":"","family":"Eicher","given":"John D.","non-dropping-particle":"","parse-names":false,"suffix":""},{"dropping-particle":"","family":"Jackson","given":"Anne U.","non-dropping-particle":"","parse-names":false,"suffix":""},{"dropping-particle":"","family":"Ferreira","given":"Teresa","non-dropping-particle":"","parse-names":false,"suffix":""},{"dropping-particle":"","family":"Lee","given":"Yeji","non-dropping-particle":"","parse-names":false,"suffix":""},{"dropping-particle":"","family":"Ma","given":"Clement","non-dropping-particle":"","parse-names":false,"suffix":""},{"dropping-particle":"","family":"Steinthorsdottir","given":"Valgerdur","non-dropping-particle":"","parse-names":false,"suffix":""},{"dropping-particle":"","family":"Thorleifsson","given":"Gudmar","non-dropping-particle":"","parse-names":false,"suffix":""},{"dropping-particle":"","family":"Qi","given":"Lu","non-dropping-particle":"","parse-names":false,"suffix":""},{"dropping-particle":"","family":"Zuydam","given":"Natalie R.","non-dropping-particle":"Van","parse-names":false,"suffix":""},{"dropping-particle":"","family":"Mahajan","given":"Anubha","non-dropping-particle":"","parse-names":false,"suffix":""},{"dropping-particle":"","family":"Chen","given":"Han","non-dropping-particle":"","parse-names":false,"suffix":""},{"dropping-particle":"","family":"Almgren","given":"Peter","non-dropping-particle":"","parse-names":false,"suffix":""},{"dropping-particle":"","family":"Voight","given":"Ben F.","non-dropping-particle":"","parse-names":false,"suffix":""},{"dropping-particle":"","family":"Grallert","given":"Harald","non-dropping-particle":"","parse-names":false,"suffix":""},{"dropping-particle":"","family":"Müller-Nurasyid","given":"Martina","non-dropping-particle":"","parse-names":false,"suffix":""},{"dropping-particle":"","family":"Ried","given":"Janina S.","non-dropping-particle":"","parse-names":false,"suffix":""},{"dropping-particle":"","family":"Rayner","given":"Nigel W.","non-dropping-particle":"","parse-names":false,"suffix":""},{"dropping-particle":"","family":"Robertson","given":"Neil","non-dropping-particle":"","parse-names":false,"suffix":""},{"dropping-particle":"","family":"Karssen","given":"Lennart C.","non-dropping-particle":"","parse-names":false,"suffix":""},{"dropping-particle":"","family":"Leeuwen","given":"Elisabeth M.","non-dropping-particle":"van","parse-names":false,"suffix":""},{"dropping-particle":"","family":"Willems","given":"Sara M.","non-dropping-particle":"","parse-names":false,"suffix":""},{"dropping-particle":"","family":"Fuchsberger","given":"Christian","non-dropping-particle":"","parse-names":false,"suffix":""},{"dropping-particle":"","family":"Kwan","given":"Phoenix","non-dropping-particle":"","parse-names":false,"suffix":""},{"dropping-particle":"","family":"Teslovich","given":"Tanya M.","non-dropping-particle":"","parse-names":false,"suffix":""},{"dropping-particle":"","family":"Chanda","given":"Pritam","non-dropping-particle":"","parse-names":false,"suffix":""},{"dropping-particle":"","family":"Li","given":"Man","non-dropping-particle":"","parse-names":false,"suffix":""},{"dropping-particle":"","family":"Lu","given":"Yingchang","non-dropping-particle":"","parse-names":false,"suffix":""},{"dropping-particle":"","family":"Dina","given":"Christian","non-dropping-particle":"","parse-names":false,"suffix":""},{"dropping-particle":"","family":"Thuillier","given":"Dorothee","non-dropping-particle":"","parse-names":false,"suffix":""},{"dropping-particle":"","family":"Yengo","given":"Loic","non-dropping-particle":"","parse-names":false,"suffix":""},{"dropping-particle":"","family":"Jiang","given":"Longda","non-dropping-particle":"","parse-names":false,"suffix":""},{"dropping-particle":"","family":"Sparso","given":"Thomas","non-dropping-particle":"","parse-names":false,"suffix":""},{"dropping-particle":"","family":"Kestler","given":"Hans A.","non-dropping-particle":"","parse-names":false,"suffix":""},{"dropping-particle":"","family":"Chheda","given":"Himanshu","non-dropping-particle":"","parse-names":false,"suffix":""},{"dropping-particle":"","family":"Eisele","given":"Lewin","non-dropping-particle":"","parse-names":false,"suffix":""},{"dropping-particle":"","family":"Gustafsson","given":"Stefan","non-dropping-particle":"","parse-names":false,"suffix":""},{"dropping-particle":"","family":"Frånberg","given":"Mattias","non-dropping-particle":"","parse-names":false,"suffix":""},{"dropping-particle":"","family":"Strawbridge","given":"Rona J.","non-dropping-particle":"","parse-names":false,"suffix":""},{"dropping-particle":"","family":"Benediktsson","given":"Rafn","non-dropping-particle":"","parse-names":false,"suffix":""},{"dropping-particle":"","family":"Hreidarsson","given":"Astradur B.","non-dropping-particle":"","parse-names":false,"suffix":""},{"dropping-particle":"","family":"Kong","given":"Augustine","non-dropping-particle":"","parse-names":false,"suffix":""},{"dropping-particle":"","family":"Sigurðsson","given":"Gunnar","non-dropping-particle":"","parse-names":false,"suffix":""},{"dropping-particle":"","family":"Kerrison","given":"Nicola D.","non-dropping-particle":"","parse-names":false,"suffix":""},{"dropping-particle":"","family":"Luan","given":"Jian'an","non-dropping-particle":"","parse-names":false,"suffix":""},{"dropping-particle":"","family":"Liang","given":"Liming","non-dropping-particle":"","parse-names":false,"suffix":""},{"dropping-particle":"","family":"Meitinger","given":"Thomas","non-dropping-particle":"","parse-names":false,"suffix":""},{"dropping-particle":"","family":"Roden","given":"Michael","non-dropping-particle":"","parse-names":false,"suffix":""},{"dropping-particle":"","family":"Thorand","given":"Barbara","non-dropping-particle":"","parse-names":false,"suffix":""},{"dropping-particle":"","family":"Esko","given":"Tõnu","non-dropping-particle":"","parse-names":false,"suffix":""},{"dropping-particle":"","family":"Mihailov","given":"Evelin","non-dropping-particle":"","parse-names":false,"suffix":""},{"dropping-particle":"","family":"Fox","given":"Caroline","non-dropping-particle":"","parse-names":false,"suffix":""},{"dropping-particle":"","family":"Liu","given":"Ching Ti","non-dropping-particle":"","parse-names":false,"suffix":""},{"dropping-particle":"","family":"Rybin","given":"Denis","non-dropping-particle":"","parse-names":false,"suffix":""},{"dropping-particle":"","family":"Isomaa","given":"Bo","non-dropping-particle":"","parse-names":false,"suffix":""},{"dropping-particle":"","family":"Lyssenko","given":"Valeriya","non-dropping-particle":"","parse-names":false,"suffix":""},{"dropping-particle":"","family":"Tuomi","given":"Tiinamaija","non-dropping-particle":"","parse-names":false,"suffix":""},{"dropping-particle":"","family":"Couper","given":"David J.","non-dropping-particle":"","parse-names":false,"suffix":""},{"dropping-particle":"","family":"Pankow","given":"James S.","non-dropping-particle":"","parse-names":false,"suffix":""},{"dropping-particle":"","family":"Grarup","given":"Niels","non-dropping-particle":"","parse-names":false,"suffix":""},{"dropping-particle":"","family":"Have","given":"Christian T.","non-dropping-particle":"","parse-names":false,"suffix":""},{"dropping-particle":"","family":"Jørgensen","given":"Marit E.","non-dropping-particle":"","parse-names":false,"suffix":""},{"dropping-particle":"","family":"Jørgensen","given":"Torben","non-dropping-particle":"","parse-names":false,"suffix":""},{"dropping-particle":"","family":"Linneberg","given":"Allan","non-dropping-particle":"","parse-names":false,"suffix":""},{"dropping-particle":"","family":"Cornelis","given":"Marilyn C.","non-dropping-particle":"","parse-names":false,"suffix":""},{"dropping-particle":"","family":"Dam","given":"Rob M.","non-dropping-particle":"van","parse-names":false,"suffix":""},{"dropping-particle":"","family":"Hunter","given":"David J.","non-dropping-particle":"","parse-names":false,"suffix":""},{"dropping-particle":"","family":"Kraft","given":"Peter","non-dropping-particle":"","parse-names":false,"suffix":""},{"dropping-particle":"","family":"Sun","given":"Qi","non-dropping-particle":"","parse-names":false,"suffix":""},{"dropping-particle":"","family":"Edkins","given":"Sarah","non-dropping-particle":"","parse-names":false,"suffix":""},{"dropping-particle":"","family":"Owen","given":"Katharine R.","non-dropping-particle":"","parse-names":false,"suffix":""},{"dropping-particle":"","family":"Perry","given":"John R.B.","non-dropping-particle":"","parse-names":false,"suffix":""},{"dropping-particle":"","family":"Wood","given":"Andrew R.","non-dropping-particle":"","parse-names":false,"suffix":""},{"dropping-particle":"","family":"Zeggini","given":"Eleftheria","non-dropping-particle":"","parse-names":false,"suffix":""},{"dropping-particle":"","family":"Tajes-Fernandes","given":"Juan","non-dropping-particle":"","parse-names":false,"suffix":""},{"dropping-particle":"","family":"Abecasis","given":"Goncalo R.","non-dropping-particle":"","parse-names":false,"suffix":""},{"dropping-particle":"","family":"Bonnycastle","given":"Lori L.","non-dropping-particle":"","parse-names":false,"suffix":""},{"dropping-particle":"","family":"Chines","given":"Peter S.","non-dropping-particle":"","parse-names":false,"suffix":""},{"dropping-particle":"","family":"Stringham","given":"Heather M.","non-dropping-particle":"","parse-names":false,"suffix":""},{"dropping-particle":"","family":"Koistinen","given":"Heikki A.","non-dropping-particle":"","parse-names":false,"suffix":""},{"dropping-particle":"","family":"Kinnunen","given":"Leena","non-dropping-particle":"","parse-names":false,"suffix":""},{"dropping-particle":"","family":"Sennblad","given":"Bengt","non-dropping-particle":"","parse-names":false,"suffix":""},{"dropping-particle":"","family":"Mühleisen","given":"Thomas W.","non-dropping-particle":"","parse-names":false,"suffix":""},{"dropping-particle":"","family":"Nöthen","given":"Markus M.","non-dropping-particle":"","parse-names":false,"suffix":""},{"dropping-particle":"","family":"Pechlivanis","given":"Sonali","non-dropping-particle":"","parse-names":false,"suffix":""},{"dropping-particle":"","family":"Baldassarre","given":"Damiano","non-dropping-particle":"","parse-names":false,"suffix":""},{"dropping-particle":"","family":"Gertow","given":"Karl","non-dropping-particle":"","parse-names":false,"suffix":""},{"dropping-particle":"","family":"Humphries","given":"Steve E.","non-dropping-particle":"","parse-names":false,"suffix":""},{"dropping-particle":"","family":"Tremoli","given":"Elena","non-dropping-particle":"","parse-names":false,"suffix":""},{"dropping-particle":"","family":"Klopp","given":"Norman","non-dropping-particle":"","parse-names":false,"suffix":""},{"dropping-particle":"","family":"Meyer","given":"Julia","non-dropping-particle":"","parse-names":false,"suffix":""},{"dropping-particle":"","family":"Steinbach","given":"Gerald","non-dropping-particle":"","parse-names":false,"suffix":""},{"dropping-particle":"","family":"Wennauer","given":"Roman","non-dropping-particle":"","parse-names":false,"suffix":""},{"dropping-particle":"","family":"Eriksson","given":"Johan G.","non-dropping-particle":"","parse-names":false,"suffix":""},{"dropping-particle":"","family":"Mӓnnistö","given":"Satu","non-dropping-particle":"","parse-names":false,"suffix":""},{"dropping-particle":"","family":"Peltonen","given":"Leena","non-dropping-particle":"","parse-names":false,"suffix":""},{"dropping-particle":"","family":"Tikkanen","given":"Emmi","non-dropping-particle":"","parse-names":false,"suffix":""},{"dropping-particle":"","family":"Charpentier","given":"Guillaume","non-dropping-particle":"","parse-names":false,"suffix":""},{"dropping-particle":"","family":"Eury","given":"Elodie","non-dropping-particle":"","parse-names":false,"suffix":""},{"dropping-particle":"","family":"Lobbens","given":"Stéphane","non-dropping-particle":"","parse-names":false,"suffix":""},{"dropping-particle":"","family":"Gigante","given":"Bruna","non-dropping-particle":"","parse-names":false,"suffix":""},{"dropping-particle":"","family":"Leander","given":"Karin","non-dropping-particle":"","parse-names":false,"suffix":""},{"dropping-particle":"","family":"McLeod","given":"Olga","non-dropping-particle":"","parse-names":false,"suffix":""},{"dropping-particle":"","family":"Bottinger","given":"Erwin P.","non-dropping-particle":"","parse-names":false,"suffix":""},{"dropping-particle":"","family":"Gottesman","given":"Omri","non-dropping-particle":"","parse-names":false,"suffix":""},{"dropping-particle":"","family":"Ruderfer","given":"Douglas","non-dropping-particle":"","parse-names":false,"suffix":""},{"dropping-particle":"","family":"Blüher","given":"Matthias","non-dropping-particle":"","parse-names":false,"suffix":""},{"dropping-particle":"","family":"Kovacs","given":"Peter","non-dropping-particle":"","parse-names":false,"suffix":""},{"dropping-particle":"","family":"Tonjes","given":"Anke","non-dropping-particle":"","parse-names":false,"suffix":""},{"dropping-particle":"","family":"Maruthur","given":"Nisa M.","non-dropping-particle":"","parse-names":false,"suffix":""},{"dropping-particle":"","family":"Scapoli","given":"Chiara","non-dropping-particle":"","parse-names":false,"suffix":""},{"dropping-particle":"","family":"Erbel","given":"Raimund","non-dropping-particle":"","parse-names":false,"suffix":""},{"dropping-particle":"","family":"Jöckel","given":"Karl Heinz","non-dropping-particle":"","parse-names":false,"suffix":""},{"dropping-particle":"","family":"Moebus","given":"Susanne","non-dropping-particle":"","parse-names":false,"suffix":""},{"dropping-particle":"","family":"Faire","given":"Ulf","non-dropping-particle":"de","parse-names":false,"suffix":""},{"dropping-particle":"","family":"Hamsten","given":"Anders","non-dropping-particle":"","parse-names":false,"suffix":""},{"dropping-particle":"","family":"Stumvoll","given":"Michael","non-dropping-particle":"","parse-names":false,"suffix":""},{"dropping-particle":"","family":"Deloukas","given":"Panagiotis","non-dropping-particle":"","parse-names":false,"suffix":""},{"dropping-particle":"","family":"Donnelly","given":"Peter J.","non-dropping-particle":"","parse-names":false,"suffix":""},{"dropping-particle":"","family":"Frayling","given":"Timothy M.","non-dropping-particle":"","parse-names":false,"suffix":""},{"dropping-particle":"","family":"Hattersley","given":"Andrew T.","non-dropping-particle":"","parse-names":false,"suffix":""},{"dropping-particle":"","family":"Ripatti","given":"Samuli","non-dropping-particle":"","parse-names":false,"suffix":""},{"dropping-particle":"","family":"Salomaa","given":"Veikko","non-dropping-particle":"","parse-names":false,"suffix":""},{"dropping-particle":"","family":"Pedersen","given":"Nancy L.","non-dropping-particle":"","parse-names":false,"suffix":""},{"dropping-particle":"","family":"Boehm","given":"Bernhard O.","non-dropping-particle":"","parse-names":false,"suffix":""},{"dropping-particle":"","family":"Bergman","given":"Richard N.","non-dropping-particle":"","parse-names":false,"suffix":""},{"dropping-particle":"","family":"Collins","given":"Francis S.","non-dropping-particle":"","parse-names":false,"suffix":""},{"dropping-particle":"","family":"Mohlke","given":"Karen L.","non-dropping-particle":"","parse-names":false,"suffix":""},{"dropping-particle":"","family":"Tuomilehto","given":"Jaakko","non-dropping-particle":"","parse-names":false,"suffix":""},{"dropping-particle":"","family":"Hansen","given":"Torben","non-dropping-particle":"","parse-names":false,"suffix":""},{"dropping-particle":"","family":"Pedersen","given":"Oluf","non-dropping-particle":"","parse-names":false,"suffix":""},{"dropping-particle":"","family":"Barroso","given":"Inês","non-dropping-particle":"","parse-names":false,"suffix":""},{"dropping-particle":"","family":"Lannfelt","given":"Lars","non-dropping-particle":"","parse-names":false,"suffix":""},{"dropping-particle":"","family":"Ingelsson","given":"Erik","non-dropping-particle":"","parse-names":false,"suffix":""},{"dropping-particle":"","family":"Lind","given":"Lars","non-dropping-particle":"","parse-names":false,"suffix":""},{"dropping-particle":"","family":"Lindgren","given":"Cecilia M.","non-dropping-particle":"","parse-names":false,"suffix":""},{"dropping-particle":"","family":"Cauchi","given":"Stephane","non-dropping-particle":"","parse-names":false,"suffix":""},{"dropping-particle":"","family":"Froguel","given":"Philippe","non-dropping-particle":"","parse-names":false,"suffix":""},{"dropping-particle":"","family":"Loos","given":"Ruth J.F.","non-dropping-particle":"","parse-names":false,"suffix":""},{"dropping-particle":"","family":"Balkau","given":"Beverley","non-dropping-particle":"","parse-names":false,"suffix":""},{"dropping-particle":"","family":"Boeing","given":"Heiner","non-dropping-particle":"","parse-names":false,"suffix":""},{"dropping-particle":"","family":"Franks","given":"Paul W.","non-dropping-particle":"","parse-names":false,"suffix":""},{"dropping-particle":"","family":"Barricarte Gurrea","given":"Aurelio","non-dropping-particle":"","parse-names":false,"suffix":""},{"dropping-particle":"","family":"Palli","given":"Domenico","non-dropping-particle":"","parse-names":false,"suffix":""},{"dropping-particle":"","family":"Schouw","given":"Yvonne T.","non-dropping-particle":"van der","parse-names":false,"suffix":""},{"dropping-particle":"","family":"Altshuler","given":"David","non-dropping-particle":"","parse-names":false,"suffix":""},{"dropping-particle":"","family":"Groop","given":"Leif C.","non-dropping-particle":"","parse-names":false,"suffix":""},{"dropping-particle":"","family":"Langenberg","given":"Claudia","non-dropping-particle":"","parse-names":false,"suffix":""},{"dropping-particle":"","family":"Wareham","given":"Nicholas J.","non-dropping-particle":"","parse-names":false,"suffix":""},{"dropping-particle":"","family":"Sijbrands","given":"Eric","non-dropping-particle":"","parse-names":false,"suffix":""},{"dropping-particle":"","family":"Duijn","given":"Cornelia M.","non-dropping-particle":"van","parse-names":false,"suffix":""},{"dropping-particle":"","family":"Florez","given":"Jose C.","non-dropping-particle":"","parse-names":false,"suffix":""},{"dropping-particle":"","family":"Meigs","given":"James B.","non-dropping-particle":"","parse-names":false,"suffix":""},{"dropping-particle":"","family":"Boerwinkle","given":"Eric","non-dropping-particle":"","parse-names":false,"suffix":""},{"dropping-particle":"","family":"Gieger","given":"Christian","non-dropping-particle":"","parse-names":false,"suffix":""},{"dropping-particle":"","family":"Strauch","given":"Konstantin","non-dropping-particle":"","parse-names":false,"suffix":""},{"dropping-particle":"","family":"Metspalu","given":"Andres","non-dropping-particle":"","parse-names":false,"suffix":""},{"dropping-particle":"","family":"Morris","given":"Andrew D.","non-dropping-particle":"","parse-names":false,"suffix":""},{"dropping-particle":"","family":"Palmer","given":"Colin N.A.","non-dropping-particle":"","parse-names":false,"suffix":""},{"dropping-particle":"","family":"Hu","given":"Frank B.","non-dropping-particle":"","parse-names":false,"suffix":""},{"dropping-particle":"","family":"Thorsteinsdottir","given":"Unnur","non-dropping-particle":"","parse-names":false,"suffix":""},{"dropping-particle":"","family":"Stefansson","given":"Kari","non-dropping-particle":"","parse-names":false,"suffix":""},{"dropping-particle":"","family":"Dupuis","given":"Josée","non-dropping-particle":"","parse-names":false,"suffix":""},{"dropping-particle":"","family":"Morris","given":"Andrew P.","non-dropping-particle":"","parse-names":false,"suffix":""},{"dropping-particle":"","family":"Boehnke","given":"Michael","non-dropping-particle":"","parse-names":false,"suffix":""},{"dropping-particle":"","family":"McCarthy","given":"Mark I.","non-dropping-particle":"","parse-names":false,"suffix":""},{"dropping-particle":"","family":"Prokopenko","given":"Inga","non-dropping-particle":"","parse-names":false,"suffix":""}],"container-title":"Diabetes","id":"ITEM-1","issue":"11","issued":{"date-parts":[["2017","11","1"]]},"page":"2888-2902","publisher":"Diabetes","title":"An Expanded Genome-Wide Association Study of Type 2 Diabetes in Europeans","type":"article-journal","volume":"66"},"uris":["http://www.mendeley.com/documents/?uuid=5ce0a0ea-4067-37fc-8f1f-ae2cd7ebd631"]}],"mendeley":{"formattedCitation":"&lt;sup&gt;21&lt;/sup&gt;","plainTextFormattedCitation":"21","previouslyFormattedCitation":"&lt;sup&gt;21&lt;/sup&gt;"},"properties":{"noteIndex":0},"schema":"https://github.com/citation-style-language/schema/raw/master/csl-citation.json"}</w:instrText>
      </w:r>
      <w:r w:rsidR="00DF3FFC" w:rsidRPr="0061109F">
        <w:rPr>
          <w:rFonts w:ascii="Calibri" w:hAnsi="Calibri" w:cs="Calibri"/>
          <w:sz w:val="22"/>
          <w:szCs w:val="22"/>
        </w:rPr>
        <w:fldChar w:fldCharType="separate"/>
      </w:r>
      <w:r w:rsidR="00D3131C" w:rsidRPr="0061109F">
        <w:rPr>
          <w:rFonts w:ascii="Calibri" w:hAnsi="Calibri" w:cs="Calibri"/>
          <w:noProof/>
          <w:sz w:val="22"/>
          <w:szCs w:val="22"/>
          <w:vertAlign w:val="superscript"/>
        </w:rPr>
        <w:t>21</w:t>
      </w:r>
      <w:r w:rsidR="00DF3FFC" w:rsidRPr="0061109F">
        <w:rPr>
          <w:rFonts w:ascii="Calibri" w:hAnsi="Calibri" w:cs="Calibri"/>
          <w:sz w:val="22"/>
          <w:szCs w:val="22"/>
        </w:rPr>
        <w:fldChar w:fldCharType="end"/>
      </w:r>
      <w:r w:rsidR="00DF3FFC" w:rsidRPr="0061109F">
        <w:rPr>
          <w:rFonts w:ascii="Calibri" w:hAnsi="Calibri" w:cs="Calibri"/>
          <w:sz w:val="22"/>
          <w:szCs w:val="22"/>
        </w:rPr>
        <w:t xml:space="preserve"> and smoking.</w:t>
      </w:r>
      <w:r w:rsidR="00DF3FFC" w:rsidRPr="0061109F">
        <w:rPr>
          <w:rFonts w:ascii="Calibri" w:hAnsi="Calibri" w:cs="Calibri"/>
          <w:sz w:val="22"/>
          <w:szCs w:val="22"/>
        </w:rPr>
        <w:fldChar w:fldCharType="begin" w:fldLock="1"/>
      </w:r>
      <w:r w:rsidR="000B086A" w:rsidRPr="0061109F">
        <w:rPr>
          <w:rFonts w:ascii="Calibri" w:hAnsi="Calibri" w:cs="Calibri"/>
          <w:sz w:val="22"/>
          <w:szCs w:val="22"/>
        </w:rPr>
        <w:instrText>ADDIN CSL_CITATION {"citationItems":[{"id":"ITEM-1","itemData":{"DOI":"10.1038/s41588-018-0307-5","ISSN":"15461718","abstract":"Tobacco and alcohol use are leading causes of mortality that influence risk for many complex diseases and disorders1. They are heritable2,3 and etiologically related4,5 behaviors that have been resistant to gene discovery efforts6–11. In sample sizes up to 1.2 million individuals, we discovered 566 genetic variants in 406 loci associated with multiple stages of tobacco use (initiation, cessation, and heaviness) as well as alcohol use, with 150 loci evidencing pleiotropic association. Smoking phenotypes were positively genetically correlated with many health conditions, whereas alcohol use was negatively correlated with these conditions, such that increased genetic risk for alcohol use is associated with lower disease risk. We report evidence for the involvement of many systems in tobacco and alcohol use, including genes involved in nicotinic, dopaminergic, and glutamatergic neurotransmission. The results provide a solid starting point to evaluate the effects of these loci in model organisms and more precise substance use measures.","author":[{"dropping-particle":"","family":"Liu","given":"Mengzhen","non-dropping-particle":"","parse-names":false,"suffix":""},{"dropping-particle":"","family":"Jiang","given":"Yu","non-dropping-particle":"","parse-names":false,"suffix":""},{"dropping-particle":"","family":"Wedow","given":"Robbee","non-dropping-particle":"","parse-names":false,"suffix":""},{"dropping-particle":"","family":"Li","given":"Yue","non-dropping-particle":"","parse-names":false,"suffix":""},{"dropping-particle":"","family":"Brazel","given":"David M.","non-dropping-particle":"","parse-names":false,"suffix":""},{"dropping-particle":"","family":"Chen","given":"Fang","non-dropping-particle":"","parse-names":false,"suffix":""},{"dropping-particle":"","family":"Datta","given":"Gargi","non-dropping-particle":"","parse-names":false,"suffix":""},{"dropping-particle":"","family":"Davila-Velderrain","given":"Jose","non-dropping-particle":"","parse-names":false,"suffix":""},{"dropping-particle":"","family":"McGuire","given":"Daniel","non-dropping-particle":"","parse-names":false,"suffix":""},{"dropping-particle":"","family":"Tian","given":"Chao","non-dropping-particle":"","parse-names":false,"suffix":""},{"dropping-particle":"","family":"Zhan","given":"Xiaowei","non-dropping-particle":"","parse-names":false,"suffix":""},{"dropping-particle":"","family":"Agee","given":"Michelle","non-dropping-particle":"","parse-names":false,"suffix":""},{"dropping-particle":"","family":"Alipanahi","given":"Babak","non-dropping-particle":"","parse-names":false,"suffix":""},{"dropping-particle":"","family":"Auton","given":"Adam","non-dropping-particle":"","parse-names":false,"suffix":""},{"dropping-particle":"","family":"Bell","given":"Robert K.","non-dropping-particle":"","parse-names":false,"suffix":""},{"dropping-particle":"","family":"Bryc","given":"Katarzyna","non-dropping-particle":"","parse-names":false,"suffix":""},{"dropping-particle":"","family":"Elson","given":"Sarah L.","non-dropping-particle":"","parse-names":false,"suffix":""},{"dropping-particle":"","family":"Fontanillas","given":"Pierre","non-dropping-particle":"","parse-names":false,"suffix":""},{"dropping-particle":"","family":"Furlotte","given":"Nicholas A.","non-dropping-particle":"","parse-names":false,"suffix":""},{"dropping-particle":"","family":"Hinds","given":"David A.","non-dropping-particle":"","parse-names":false,"suffix":""},{"dropping-particle":"","family":"Hromatka","given":"Bethann S.","non-dropping-particle":"","parse-names":false,"suffix":""},{"dropping-particle":"","family":"Huber","given":"Karen E.","non-dropping-particle":"","parse-names":false,"suffix":""},{"dropping-particle":"","family":"Kleinman","given":"Aaron","non-dropping-particle":"","parse-names":false,"suffix":""},{"dropping-particle":"","family":"Litterman","given":"Nadia K.","non-dropping-particle":"","parse-names":false,"suffix":""},{"dropping-particle":"","family":"McIntyre","given":"Matthew H.","non-dropping-particle":"","parse-names":false,"suffix":""},{"dropping-particle":"","family":"Mountain","given":"Joanna L.","non-dropping-particle":"","parse-names":false,"suffix":""},{"dropping-particle":"","family":"Northover","given":"Carrie A.M.","non-dropping-particle":"","parse-names":false,"suffix":""},{"dropping-particle":"","family":"Sathirapongsasuti","given":"J. Fah","non-dropping-particle":"","parse-names":false,"suffix":""},{"dropping-particle":"V.","family":"Sazonova","given":"Olga","non-dropping-particle":"","parse-names":false,"suffix":""},{"dropping-particle":"","family":"Shelton","given":"Janie F.","non-dropping-particle":"","parse-names":false,"suffix":""},{"dropping-particle":"","family":"Shringarpure","given":"Suyash","non-dropping-particle":"","parse-names":false,"suffix":""},{"dropping-particle":"","family":"Tung","given":"Joyce Y.","non-dropping-particle":"","parse-names":false,"suffix":""},{"dropping-particle":"","family":"Vacic","given":"Vladimir","non-dropping-particle":"","parse-names":false,"suffix":""},{"dropping-particle":"","family":"Wilson","given":"Catherine H.","non-dropping-particle":"","parse-names":false,"suffix":""},{"dropping-particle":"","family":"Pitts","given":"Steven J.","non-dropping-particle":"","parse-names":false,"suffix":""},{"dropping-particle":"","family":"Mitchell","given":"Amy","non-dropping-particle":"","parse-names":false,"suffix":""},{"dropping-particle":"","family":"Skogholt","given":"Anne Heidi","non-dropping-particle":"","parse-names":false,"suffix":""},{"dropping-particle":"","family":"Winsvold","given":"Bendik Slagsvold","non-dropping-particle":"","parse-names":false,"suffix":""},{"dropping-particle":"","family":"Sivertsen","given":"Børge","non-dropping-particle":"","parse-names":false,"suffix":""},{"dropping-particle":"","family":"Stordal","given":"Eystein","non-dropping-particle":"","parse-names":false,"suffix":""},{"dropping-particle":"","family":"Morken","given":"Gunnar","non-dropping-particle":"","parse-names":false,"suffix":""},{"dropping-particle":"","family":"Kallestad","given":"Håvard","non-dropping-particle":"","parse-names":false,"suffix":""},{"dropping-particle":"","family":"Heuch","given":"Ingrid","non-dropping-particle":"","parse-names":false,"suffix":""},{"dropping-particle":"","family":"Zwart","given":"John Anker","non-dropping-particle":"","parse-names":false,"suffix":""},{"dropping-particle":"","family":"Fjukstad","given":"Katrine Kveli","non-dropping-particle":"","parse-names":false,"suffix":""},{"dropping-particle":"","family":"Pedersen","given":"Linda M.","non-dropping-particle":"","parse-names":false,"suffix":""},{"dropping-particle":"","family":"Gabrielsen","given":"Maiken Elvestad","non-dropping-particle":"","parse-names":false,"suffix":""},{"dropping-particle":"","family":"Johnsen","given":"Marianne Bakke","non-dropping-particle":"","parse-names":false,"suffix":""},{"dropping-particle":"","family":"Skrove","given":"Marit","non-dropping-particle":"","parse-names":false,"suffix":""},{"dropping-particle":"","family":"Indredavik","given":"Marit Sæbø","non-dropping-particle":"","parse-names":false,"suffix":""},{"dropping-particle":"","family":"Drange","given":"Ole Kristian","non-dropping-particle":"","parse-names":false,"suffix":""},{"dropping-particle":"","family":"Bjerkeset","given":"Ottar","non-dropping-particle":"","parse-names":false,"suffix":""},{"dropping-particle":"","family":"Børte","given":"Sigrid","non-dropping-particle":"","parse-names":false,"suffix":""},{"dropping-particle":"","family":"Stensland","given":"Synne Øien","non-dropping-particle":"","parse-names":false,"suffix":""},{"dropping-particle":"","family":"Choquet","given":"Hélène","non-dropping-particle":"","parse-names":false,"suffix":""},{"dropping-particle":"","family":"Docherty","given":"Anna R.","non-dropping-particle":"","parse-names":false,"suffix":""},{"dropping-particle":"","family":"Faul","given":"Jessica D.","non-dropping-particle":"","parse-names":false,"suffix":""},{"dropping-particle":"","family":"Foerster","given":"Johanna R.","non-dropping-particle":"","parse-names":false,"suffix":""},{"dropping-particle":"","family":"Fritsche","given":"Lars G.","non-dropping-particle":"","parse-names":false,"suffix":""},{"dropping-particle":"","family":"Gordon","given":"Scott D.","non-dropping-particle":"","parse-names":false,"suffix":""},{"dropping-particle":"","family":"Haessler","given":"Jeffrey","non-dropping-particle":"","parse-names":false,"suffix":""},{"dropping-particle":"","family":"Hottenga","given":"Jouke Jan","non-dropping-particle":"","parse-names":false,"suffix":""},{"dropping-particle":"","family":"Huang","given":"Hongyan","non-dropping-particle":"","parse-names":false,"suffix":""},{"dropping-particle":"","family":"Jang","given":"Seon Kyeong","non-dropping-particle":"","parse-names":false,"suffix":""},{"dropping-particle":"","family":"Jansen","given":"Philip R.","non-dropping-particle":"","parse-names":false,"suffix":""},{"dropping-particle":"","family":"Ling","given":"Yueh","non-dropping-particle":"","parse-names":false,"suffix":""},{"dropping-particle":"","family":"Mägi","given":"Reedik","non-dropping-particle":"","parse-names":false,"suffix":""},{"dropping-particle":"","family":"Matoba","given":"Nana","non-dropping-particle":"","parse-names":false,"suffix":""},{"dropping-particle":"","family":"McMahon","given":"George","non-dropping-particle":"","parse-names":false,"suffix":""},{"dropping-particle":"","family":"Mulas","given":"Antonella","non-dropping-particle":"","parse-names":false,"suffix":""},{"dropping-particle":"","family":"Orrù","given":"Valeria","non-dropping-particle":"","parse-names":false,"suffix":""},{"dropping-particle":"","family":"Palviainen","given":"Teemu","non-dropping-particle":"","parse-names":false,"suffix":""},{"dropping-particle":"","family":"Pandit","given":"Anita","non-dropping-particle":"","parse-names":false,"suffix":""},{"dropping-particle":"","family":"Reginsson","given":"Gunnar W.","non-dropping-particle":"","parse-names":false,"suffix":""},{"dropping-particle":"","family":"Smith","given":"Jennifer A.","non-dropping-particle":"","parse-names":false,"suffix":""},{"dropping-particle":"","family":"Taylor","given":"Amy E.","non-dropping-particle":"","parse-names":false,"suffix":""},{"dropping-particle":"","family":"Turman","given":"Constance","non-dropping-particle":"","parse-names":false,"suffix":""},{"dropping-particle":"","family":"Willemsen","given":"Gonneke","non-dropping-particle":"","parse-names":false,"suffix":""},{"dropping-particle":"","family":"Young","given":"Hannah","non-dropping-particle":"","parse-names":false,"suffix":""},{"dropping-particle":"","family":"Young","given":"Kendra A.","non-dropping-particle":"","parse-names":false,"suffix":""},{"dropping-particle":"","family":"Zajac","given":"Gregory J.M.","non-dropping-particle":"","parse-names":false,"suffix":""},{"dropping-particle":"","family":"Zhao","given":"Wei","non-dropping-particle":"","parse-names":false,"suffix":""},{"dropping-particle":"","family":"Zhou","given":"Wei","non-dropping-particle":"","parse-names":false,"suffix":""},{"dropping-particle":"","family":"Bjornsdottir","given":"Gyda","non-dropping-particle":"","parse-names":false,"suffix":""},{"dropping-particle":"","family":"Boardman","given":"Jason D.","non-dropping-particle":"","parse-names":false,"suffix":""},{"dropping-particle":"","family":"Boehnke","given":"Michael","non-dropping-particle":"","parse-names":false,"suffix":""},{"dropping-particle":"","family":"Boomsma","given":"Dorret I.","non-dropping-particle":"","parse-names":false,"suffix":""},{"dropping-particle":"","family":"Chen","given":"Chu","non-dropping-particle":"","parse-names":false,"suffix":""},{"dropping-particle":"","family":"Cucca","given":"Francesco","non-dropping-particle":"","parse-names":false,"suffix":""},{"dropping-particle":"","family":"Davies","given":"Gareth E.","non-dropping-particle":"","parse-names":false,"suffix":""},{"dropping-particle":"","family":"Eaton","given":"Charles B.","non-dropping-particle":"","parse-names":false,"suffix":""},{"dropping-particle":"","family":"Ehringer","given":"Marissa A.","non-dropping-particle":"","parse-names":false,"suffix":""},{"dropping-particle":"","family":"Esko","given":"Tõnu","non-dropping-particle":"","parse-names":false,"suffix":""},{"dropping-particle":"","family":"Fiorillo","given":"Edoardo","non-dropping-particle":"","parse-names":false,"suffix":""},{"dropping-particle":"","family":"Gillespie","given":"Nathan A.","non-dropping-particle":"","parse-names":false,"suffix":""},{"dropping-particle":"","family":"Gudbjartsson","given":"Daniel F.","non-dropping-particle":"","parse-names":false,"suffix":""},{"dropping-particle":"","family":"Haller","given":"Toomas","non-dropping-particle":"","parse-names":false,"suffix":""},{"dropping-particle":"","family":"Harris","given":"Kathleen Mullan","non-dropping-particle":"","parse-names":false,"suffix":""},{"dropping-particle":"","family":"Heath","given":"Andrew C.","non-dropping-particle":"","parse-names":false,"suffix":""},{"dropping-particle":"","family":"Hewitt","given":"John K.","non-dropping-particle":"","parse-names":false,"suffix":""},{"dropping-particle":"","family":"Hickie","given":"Ian B.","non-dropping-particle":"","parse-names":false,"suffix":""},{"dropping-particle":"","family":"Hokanson","given":"John E.","non-dropping-particle":"","parse-names":false,"suffix":""},{"dropping-particle":"","family":"Hopfer","given":"Christian J.","non-dropping-particle":"","parse-names":false,"suffix":""},{"dropping-particle":"","family":"Hunter","given":"David J.","non-dropping-particle":"","parse-names":false,"suffix":""},{"dropping-particle":"","family":"Iacono","given":"William G.","non-dropping-particle":"","parse-names":false,"suffix":""},{"dropping-particle":"","family":"Johnson","given":"Eric O.","non-dropping-particle":"","parse-names":false,"suffix":""},{"dropping-particle":"","family":"Kamatani","given":"Yoichiro","non-dropping-particle":"","parse-names":false,"suffix":""},{"dropping-particle":"","family":"Kardia","given":"Sharon L.R.","non-dropping-particle":"","parse-names":false,"suffix":""},{"dropping-particle":"","family":"Keller","given":"Matthew C.","non-dropping-particle":"","parse-names":false,"suffix":""},{"dropping-particle":"","family":"Kellis","given":"Manolis","non-dropping-particle":"","parse-names":false,"suffix":""},{"dropping-particle":"","family":"Kooperberg","given":"Charles","non-dropping-particle":"","parse-names":false,"suffix":""},{"dropping-particle":"","family":"Kraft","given":"Peter","non-dropping-particle":"","parse-names":false,"suffix":""},{"dropping-particle":"","family":"Krauter","given":"Kenneth S.","non-dropping-particle":"","parse-names":false,"suffix":""},{"dropping-particle":"","family":"Laakso","given":"Markku","non-dropping-particle":"","parse-names":false,"suffix":""},{"dropping-particle":"","family":"Lind","given":"Penelope A.","non-dropping-particle":"","parse-names":false,"suffix":""},{"dropping-particle":"","family":"Loukola","given":"Anu","non-dropping-particle":"","parse-names":false,"suffix":""},{"dropping-particle":"","family":"Lutz","given":"Sharon M.","non-dropping-particle":"","parse-names":false,"suffix":""},{"dropping-particle":"","family":"Madden","given":"Pamela A.F.","non-dropping-particle":"","parse-names":false,"suffix":""},{"dropping-particle":"","family":"Martin","given":"Nicholas G.","non-dropping-particle":"","parse-names":false,"suffix":""},{"dropping-particle":"","family":"McGue","given":"Matt","non-dropping-particle":"","parse-names":false,"suffix":""},{"dropping-particle":"","family":"McQueen","given":"Matthew B.","non-dropping-particle":"","parse-names":false,"suffix":""},{"dropping-particle":"","family":"Medland","given":"Sarah E.","non-dropping-particle":"","parse-names":false,"suffix":""},{"dropping-particle":"","family":"Metspalu","given":"Andres","non-dropping-particle":"","parse-names":false,"suffix":""},{"dropping-particle":"","family":"Mohlke","given":"Karen L.","non-dropping-particle":"","parse-names":false,"suffix":""},{"dropping-particle":"","family":"Nielsen","given":"Jonas B.","non-dropping-particle":"","parse-names":false,"suffix":""},{"dropping-particle":"","family":"Okada","given":"Yukinori","non-dropping-particle":"","parse-names":false,"suffix":""},{"dropping-particle":"","family":"Peters","given":"Ulrike","non-dropping-particle":"","parse-names":false,"suffix":""},{"dropping-particle":"","family":"Polderman","given":"Tinca J.C.","non-dropping-particle":"","parse-names":false,"suffix":""},{"dropping-particle":"","family":"Posthuma","given":"Danielle","non-dropping-particle":"","parse-names":false,"suffix":""},{"dropping-particle":"","family":"Reiner","given":"Alexander P.","non-dropping-particle":"","parse-names":false,"suffix":""},{"dropping-particle":"","family":"Rice","given":"John P.","non-dropping-particle":"","parse-names":false,"suffix":""},{"dropping-particle":"","family":"Rimm","given":"Eric","non-dropping-particle":"","parse-names":false,"suffix":""},{"dropping-particle":"","family":"Rose","given":"Richard J.","non-dropping-particle":"","parse-names":false,"suffix":""},{"dropping-particle":"","family":"Runarsdottir","given":"Valgerdur","non-dropping-particle":"","parse-names":false,"suffix":""},{"dropping-particle":"","family":"Stallings","given":"Michael C.","non-dropping-particle":"","parse-names":false,"suffix":""},{"dropping-particle":"","family":"Stančáková","given":"Alena","non-dropping-particle":"","parse-names":false,"suffix":""},{"dropping-particle":"","family":"Stefansson","given":"Hreinn","non-dropping-particle":"","parse-names":false,"suffix":""},{"dropping-particle":"","family":"Thai","given":"Khanh K.","non-dropping-particle":"","parse-names":false,"suffix":""},{"dropping-particle":"","family":"Tindle","given":"Hilary A.","non-dropping-particle":"","parse-names":false,"suffix":""},{"dropping-particle":"","family":"Tyrfingsson","given":"Thorarinn","non-dropping-particle":"","parse-names":false,"suffix":""},{"dropping-particle":"","family":"Wall","given":"Tamara L.","non-dropping-particle":"","parse-names":false,"suffix":""},{"dropping-particle":"","family":"Weir","given":"David R.","non-dropping-particle":"","parse-names":false,"suffix":""},{"dropping-particle":"","family":"Weisner","given":"Constance","non-dropping-particle":"","parse-names":false,"suffix":""},{"dropping-particle":"","family":"Whitfield","given":"John B.","non-dropping-particle":"","parse-names":false,"suffix":""},{"dropping-particle":"","family":"Yin","given":"Jie","non-dropping-particle":"","parse-names":false,"suffix":""},{"dropping-particle":"","family":"Zuccolo","given":"Luisa","non-dropping-particle":"","parse-names":false,"suffix":""},{"dropping-particle":"","family":"Bierut","given":"Laura J.","non-dropping-particle":"","parse-names":false,"suffix":""},{"dropping-particle":"","family":"Hveem","given":"Kristian","non-dropping-particle":"","parse-names":false,"suffix":""},{"dropping-particle":"","family":"Lee","given":"James J.","non-dropping-particle":"","parse-names":false,"suffix":""},{"dropping-particle":"","family":"Munafò","given":"Marcus R.","non-dropping-particle":"","parse-names":false,"suffix":""},{"dropping-particle":"","family":"Saccone","given":"Nancy L.","non-dropping-particle":"","parse-names":false,"suffix":""},{"dropping-particle":"","family":"Willer","given":"Cristen J.","non-dropping-particle":"","parse-names":false,"suffix":""},{"dropping-particle":"","family":"Cornelis","given":"Marilyn C.","non-dropping-particle":"","parse-names":false,"suffix":""},{"dropping-particle":"","family":"David","given":"Sean P.","non-dropping-particle":"","parse-names":false,"suffix":""},{"dropping-particle":"","family":"Jorgenson","given":"Eric","non-dropping-particle":"","parse-names":false,"suffix":""},{"dropping-particle":"","family":"Kaprio","given":"Jaakko","non-dropping-particle":"","parse-names":false,"suffix":""},{"dropping-particle":"","family":"Stitzel","given":"Jerry A.","non-dropping-particle":"","parse-names":false,"suffix":""},{"dropping-particle":"","family":"Stefansson","given":"Kari","non-dropping-particle":"","parse-names":false,"suffix":""},{"dropping-particle":"","family":"Thorgeirsson","given":"Thorgeir E.","non-dropping-particle":"","parse-names":false,"suffix":""},{"dropping-particle":"","family":"Abecasis","given":"Gonçalo","non-dropping-particle":"","parse-names":false,"suffix":""},{"dropping-particle":"","family":"Liu","given":"Dajiang J.","non-dropping-particle":"","parse-names":false,"suffix":""},{"dropping-particle":"","family":"Vrieze","given":"Scott","non-dropping-particle":"","parse-names":false,"suffix":""}],"container-title":"Nature Genetics","id":"ITEM-1","issue":"2","issued":{"date-parts":[["2019","2","1"]]},"page":"237-244","publisher":"Nature Publishing Group","title":"Association studies of up to 1.2 million individuals yield new insights into the genetic etiology of tobacco and alcohol use","type":"article","volume":"51"},"uris":["http://www.mendeley.com/documents/?uuid=638bf763-1bda-3129-9d2b-75e23263fcac"]}],"mendeley":{"formattedCitation":"&lt;sup&gt;22&lt;/sup&gt;","plainTextFormattedCitation":"22","previouslyFormattedCitation":"&lt;sup&gt;22&lt;/sup&gt;"},"properties":{"noteIndex":0},"schema":"https://github.com/citation-style-language/schema/raw/master/csl-citation.json"}</w:instrText>
      </w:r>
      <w:r w:rsidR="00DF3FFC" w:rsidRPr="0061109F">
        <w:rPr>
          <w:rFonts w:ascii="Calibri" w:hAnsi="Calibri" w:cs="Calibri"/>
          <w:sz w:val="22"/>
          <w:szCs w:val="22"/>
        </w:rPr>
        <w:fldChar w:fldCharType="separate"/>
      </w:r>
      <w:r w:rsidR="00D3131C" w:rsidRPr="0061109F">
        <w:rPr>
          <w:rFonts w:ascii="Calibri" w:hAnsi="Calibri" w:cs="Calibri"/>
          <w:noProof/>
          <w:sz w:val="22"/>
          <w:szCs w:val="22"/>
          <w:vertAlign w:val="superscript"/>
        </w:rPr>
        <w:t>22</w:t>
      </w:r>
      <w:r w:rsidR="00DF3FFC" w:rsidRPr="0061109F">
        <w:rPr>
          <w:rFonts w:ascii="Calibri" w:hAnsi="Calibri" w:cs="Calibri"/>
          <w:sz w:val="22"/>
          <w:szCs w:val="22"/>
        </w:rPr>
        <w:fldChar w:fldCharType="end"/>
      </w:r>
      <w:r w:rsidR="00DF3FFC" w:rsidRPr="0061109F">
        <w:rPr>
          <w:rFonts w:ascii="Calibri" w:hAnsi="Calibri" w:cs="Calibri"/>
          <w:sz w:val="22"/>
          <w:szCs w:val="22"/>
        </w:rPr>
        <w:t xml:space="preserve"> </w:t>
      </w:r>
      <w:r w:rsidRPr="0061109F">
        <w:rPr>
          <w:rFonts w:ascii="Calibri" w:hAnsi="Calibri" w:cs="Calibri"/>
          <w:sz w:val="22"/>
          <w:szCs w:val="22"/>
        </w:rPr>
        <w:t>T</w:t>
      </w:r>
      <w:r w:rsidR="00823D9B" w:rsidRPr="0061109F">
        <w:rPr>
          <w:rFonts w:ascii="Calibri" w:hAnsi="Calibri" w:cs="Calibri"/>
          <w:sz w:val="22"/>
          <w:szCs w:val="22"/>
        </w:rPr>
        <w:t>he</w:t>
      </w:r>
      <w:r w:rsidRPr="0061109F">
        <w:rPr>
          <w:rFonts w:ascii="Calibri" w:hAnsi="Calibri" w:cs="Calibri"/>
          <w:sz w:val="22"/>
          <w:szCs w:val="22"/>
        </w:rPr>
        <w:t>re were</w:t>
      </w:r>
      <w:r w:rsidR="00823D9B" w:rsidRPr="0061109F">
        <w:rPr>
          <w:rFonts w:ascii="Calibri" w:hAnsi="Calibri" w:cs="Calibri"/>
          <w:sz w:val="22"/>
          <w:szCs w:val="22"/>
        </w:rPr>
        <w:t xml:space="preserve"> four genotyping waves in </w:t>
      </w:r>
      <w:r w:rsidRPr="0061109F">
        <w:rPr>
          <w:rFonts w:ascii="Calibri" w:hAnsi="Calibri" w:cs="Calibri"/>
          <w:sz w:val="22"/>
          <w:szCs w:val="22"/>
        </w:rPr>
        <w:t>our target dataset and thus GRS were standardised to each wave</w:t>
      </w:r>
      <w:r w:rsidR="00823D9B" w:rsidRPr="0061109F">
        <w:rPr>
          <w:rFonts w:ascii="Calibri" w:hAnsi="Calibri" w:cs="Calibri"/>
          <w:sz w:val="22"/>
          <w:szCs w:val="22"/>
        </w:rPr>
        <w:t xml:space="preserve"> to account for variation in the numbers of SNPs used across different genotyping chips.</w:t>
      </w:r>
      <w:r w:rsidR="001B1379" w:rsidRPr="0061109F">
        <w:rPr>
          <w:rFonts w:ascii="Calibri" w:hAnsi="Calibri" w:cs="Calibri"/>
          <w:sz w:val="22"/>
          <w:szCs w:val="22"/>
        </w:rPr>
        <w:t xml:space="preserve"> We removed a small number of outliers, leaving 4</w:t>
      </w:r>
      <w:r w:rsidR="00AA0A35" w:rsidRPr="0061109F">
        <w:rPr>
          <w:rFonts w:ascii="Calibri" w:hAnsi="Calibri" w:cs="Calibri"/>
          <w:sz w:val="22"/>
          <w:szCs w:val="22"/>
        </w:rPr>
        <w:t>,</w:t>
      </w:r>
      <w:r w:rsidR="001B1379" w:rsidRPr="0061109F">
        <w:rPr>
          <w:rFonts w:ascii="Calibri" w:hAnsi="Calibri" w:cs="Calibri"/>
          <w:sz w:val="22"/>
          <w:szCs w:val="22"/>
        </w:rPr>
        <w:t>681 SCZ cases with GRS computed.</w:t>
      </w:r>
    </w:p>
    <w:p w14:paraId="1C2178CA" w14:textId="77777777" w:rsidR="00823D9B" w:rsidRPr="0061109F" w:rsidRDefault="00823D9B" w:rsidP="000B086A">
      <w:pPr>
        <w:pStyle w:val="Heading4"/>
        <w:spacing w:line="480" w:lineRule="auto"/>
        <w:rPr>
          <w:b/>
          <w:i w:val="0"/>
          <w:color w:val="auto"/>
          <w:sz w:val="22"/>
          <w:szCs w:val="22"/>
        </w:rPr>
      </w:pPr>
      <w:r w:rsidRPr="0061109F">
        <w:rPr>
          <w:b/>
          <w:i w:val="0"/>
          <w:color w:val="auto"/>
          <w:sz w:val="22"/>
          <w:szCs w:val="22"/>
        </w:rPr>
        <w:t>Rare copy number variant (CNV) burden</w:t>
      </w:r>
    </w:p>
    <w:p w14:paraId="4B238C5D" w14:textId="46775701" w:rsidR="00823D9B" w:rsidRPr="0061109F" w:rsidRDefault="00823D9B" w:rsidP="000B086A">
      <w:pPr>
        <w:spacing w:line="480" w:lineRule="auto"/>
        <w:jc w:val="both"/>
        <w:rPr>
          <w:rFonts w:ascii="Calibri" w:hAnsi="Calibri" w:cs="Calibri"/>
          <w:sz w:val="22"/>
          <w:szCs w:val="22"/>
          <w:highlight w:val="yellow"/>
        </w:rPr>
      </w:pPr>
      <w:r w:rsidRPr="0061109F">
        <w:rPr>
          <w:rFonts w:ascii="Calibri" w:hAnsi="Calibri" w:cs="Calibri"/>
          <w:sz w:val="22"/>
          <w:szCs w:val="22"/>
        </w:rPr>
        <w:t xml:space="preserve">CNV </w:t>
      </w:r>
      <w:r w:rsidR="00191CFF" w:rsidRPr="0061109F">
        <w:rPr>
          <w:rFonts w:ascii="Calibri" w:hAnsi="Calibri" w:cs="Calibri"/>
          <w:sz w:val="22"/>
          <w:szCs w:val="22"/>
        </w:rPr>
        <w:t xml:space="preserve">processing details </w:t>
      </w:r>
      <w:r w:rsidRPr="0061109F">
        <w:rPr>
          <w:rFonts w:ascii="Calibri" w:hAnsi="Calibri" w:cs="Calibri"/>
          <w:sz w:val="22"/>
          <w:szCs w:val="22"/>
        </w:rPr>
        <w:t xml:space="preserve">are provided </w:t>
      </w:r>
      <w:r w:rsidR="00191CFF" w:rsidRPr="0061109F">
        <w:rPr>
          <w:rFonts w:ascii="Calibri" w:hAnsi="Calibri" w:cs="Calibri"/>
          <w:sz w:val="22"/>
          <w:szCs w:val="22"/>
        </w:rPr>
        <w:t>previously</w:t>
      </w:r>
      <w:r w:rsidR="00040161" w:rsidRPr="0061109F">
        <w:rPr>
          <w:rFonts w:ascii="Calibri" w:hAnsi="Calibri" w:cs="Calibri"/>
          <w:sz w:val="22"/>
          <w:szCs w:val="22"/>
        </w:rPr>
        <w:t>,</w:t>
      </w:r>
      <w:r w:rsidRPr="0061109F">
        <w:rPr>
          <w:rFonts w:ascii="Calibri" w:hAnsi="Calibri" w:cs="Calibri"/>
          <w:sz w:val="22"/>
          <w:szCs w:val="22"/>
        </w:rPr>
        <w:fldChar w:fldCharType="begin" w:fldLock="1"/>
      </w:r>
      <w:r w:rsidR="000B086A" w:rsidRPr="0061109F">
        <w:rPr>
          <w:rFonts w:ascii="Calibri" w:hAnsi="Calibri" w:cs="Calibri"/>
          <w:sz w:val="22"/>
          <w:szCs w:val="22"/>
        </w:rPr>
        <w:instrText>ADDIN CSL_CITATION {"citationItems":[{"id":"ITEM-1","itemData":{"DOI":"10.1038/mp.2014.40","ISBN":"1476-5578 (Electronic)\r1359-4184 (Linking)","PMID":"24776740","abstract":"Schizophrenia (SCZ) is a highly heritable neuropsychiatric disorder of complex genetic etiology. Previous genome-wide surveys have revealed a greater burden of large, rare copy number variations (CNVs) in SCZ cases and identified multiple rare recurrent CNVs that increase risk of SCZ although with incomplete penetrance and pleiotropic effects. Identification of additional recurrent CNVs and biological pathways enriched for SCZ CNVs requires greater sample sizes. We conducted a genome-wide survey for CNVs associated with SCZ using a Swedish national sample (4719 cases and 5917 controls). High-confidence CNV calls were generated using genotyping array intensity data, and their effect on risk of SCZ was measured. Our data confirm increased burden of large, rare CNVs in SCZ cases as well as significant associations for recurrent 16p11.2 duplications, 22q11.2 deletions and 3q29 deletions. We report a novel association for 17q12 duplications (odds ratio=4.16, P=0.018), previously associated with autism and mental retardation but not SCZ. Intriguingly, gene set association analyses implicate biological pathways previously associated with SCZ through common variation and exome sequencing (calcium channel signaling and binding partners of the fragile X mental retardation protein). We found significantly increased burden of the largest CNVs (&gt;500 kb) in genes present in the postsynaptic density, in genomic regions implicated via SCZ genome-wide association studies and in gene products localized to mitochondria and cytoplasm. Our findings suggest that multiple lines of genomic inquiry--genome-wide screens for CNVs, common variation and exonic variation--are converging on similar sets of pathways and/or genes.","author":[{"dropping-particle":"","family":"Szatkiewicz","given":"J P","non-dropping-particle":"","parse-names":false,"suffix":""},{"dropping-particle":"","family":"O'Dushlaine","given":"C","non-dropping-particle":"","parse-names":false,"suffix":""},{"dropping-particle":"","family":"Chen","given":"G","non-dropping-particle":"","parse-names":false,"suffix":""},{"dropping-particle":"","family":"Chambert","given":"K","non-dropping-particle":"","parse-names":false,"suffix":""},{"dropping-particle":"","family":"Moran","given":"J L","non-dropping-particle":"","parse-names":false,"suffix":""},{"dropping-particle":"","family":"Neale","given":"B M","non-dropping-particle":"","parse-names":false,"suffix":""},{"dropping-particle":"","family":"Fromer","given":"M","non-dropping-particle":"","parse-names":false,"suffix":""},{"dropping-particle":"","family":"Ruderfer","given":"D","non-dropping-particle":"","parse-names":false,"suffix":""},{"dropping-particle":"","family":"Akterin","given":"S","non-dropping-particle":"","parse-names":false,"suffix":""},{"dropping-particle":"","family":"Bergen","given":"S E","non-dropping-particle":"","parse-names":false,"suffix":""},{"dropping-particle":"","family":"Kahler","given":"A","non-dropping-particle":"","parse-names":false,"suffix":""},{"dropping-particle":"","family":"Magnusson","given":"P K","non-dropping-particle":"","parse-names":false,"suffix":""},{"dropping-particle":"","family":"Kim","given":"Y","non-dropping-particle":"","parse-names":false,"suffix":""},{"dropping-particle":"","family":"Crowley","given":"J J","non-dropping-particle":"","parse-names":false,"suffix":""},{"dropping-particle":"","family":"Rees","given":"E","non-dropping-particle":"","parse-names":false,"suffix":""},{"dropping-particle":"","family":"Kirov","given":"G","non-dropping-particle":"","parse-names":false,"suffix":""},{"dropping-particle":"","family":"O'Donovan","given":"M C","non-dropping-particle":"","parse-names":false,"suffix":""},{"dropping-particle":"","family":"Owen","given":"M J","non-dropping-particle":"","parse-names":false,"suffix":""},{"dropping-particle":"","family":"Walters","given":"J","non-dropping-particle":"","parse-names":false,"suffix":""},{"dropping-particle":"","family":"Scolnick","given":"E","non-dropping-particle":"","parse-names":false,"suffix":""},{"dropping-particle":"","family":"Sklar","given":"P","non-dropping-particle":"","parse-names":false,"suffix":""},{"dropping-particle":"","family":"Purcell","given":"S","non-dropping-particle":"","parse-names":false,"suffix":""},{"dropping-particle":"","family":"Hultman","given":"C M","non-dropping-particle":"","parse-names":false,"suffix":""},{"dropping-particle":"","family":"McCarroll","given":"S A","non-dropping-particle":"","parse-names":false,"suffix":""},{"dropping-particle":"","family":"Sullivan","given":"P F","non-dropping-particle":"","parse-names":false,"suffix":""}],"container-title":"Mol Psychiatry","edition":"2014/04/30","id":"ITEM-1","issue":"7","issued":{"date-parts":[["2014"]]},"note":"Szatkiewicz, J P\nO'Dushlaine, C\nChen, G\nChambert, K\nMoran, J L\nNeale, B M\nFromer, M\nRuderfer, D\nAkterin, S\nBergen, S E\nKahler, A\nMagnusson, P K E\nKim, Y\nCrowley, J J\nRees, E\nKirov, G\nO'Donovan, M C\nOwen, M J\nWalters, J\nScolnick, E\nSklar, P\nPurcell, S\nHultman, C M\nMcCarroll, S A\nSullivan, P F\neng\nR01 MH095034/MH/NIMH NIH HHS/\nR01 MH077139/MH/NIMH NIH HHS/\nG0601635/Medical Research Council/United Kingdom\nG0800509/Medical Research Council/United Kingdom\nU01 MH094421/MH/NIMH NIH HHS/\nG0801418/Medical Research Council/United Kingdom\nMR/L010305/1/Medical Research Council/United Kingdom\nK01 MH093517/MH/NIMH NIH HHS/\nEngland\nMol Psychiatry. 2014 Jul;19(7):762-73. doi: 10.1038/mp.2014.40. Epub 2014 Apr 29.","page":"762-773","title":"Copy number variation in schizophrenia in Sweden","type":"article-journal","volume":"19"},"uris":["http://www.mendeley.com/documents/?uuid=b5c88746-0a2d-4bb9-994a-842590ab1e5b"]}],"mendeley":{"formattedCitation":"&lt;sup&gt;26&lt;/sup&gt;","plainTextFormattedCitation":"26","previouslyFormattedCitation":"&lt;sup&gt;26&lt;/sup&gt;"},"properties":{"noteIndex":0},"schema":"https://github.com/citation-style-language/schema/raw/master/csl-citation.json"}</w:instrText>
      </w:r>
      <w:r w:rsidRPr="0061109F">
        <w:rPr>
          <w:rFonts w:ascii="Calibri" w:hAnsi="Calibri" w:cs="Calibri"/>
          <w:sz w:val="22"/>
          <w:szCs w:val="22"/>
        </w:rPr>
        <w:fldChar w:fldCharType="separate"/>
      </w:r>
      <w:r w:rsidR="00D3131C" w:rsidRPr="0061109F">
        <w:rPr>
          <w:rFonts w:ascii="Calibri" w:hAnsi="Calibri" w:cs="Calibri"/>
          <w:noProof/>
          <w:sz w:val="22"/>
          <w:szCs w:val="22"/>
          <w:vertAlign w:val="superscript"/>
        </w:rPr>
        <w:t>26</w:t>
      </w:r>
      <w:r w:rsidRPr="0061109F">
        <w:rPr>
          <w:rFonts w:ascii="Calibri" w:hAnsi="Calibri" w:cs="Calibri"/>
          <w:sz w:val="22"/>
          <w:szCs w:val="22"/>
        </w:rPr>
        <w:fldChar w:fldCharType="end"/>
      </w:r>
      <w:r w:rsidRPr="0061109F">
        <w:rPr>
          <w:rFonts w:ascii="Calibri" w:hAnsi="Calibri" w:cs="Calibri"/>
          <w:sz w:val="22"/>
          <w:szCs w:val="22"/>
        </w:rPr>
        <w:t xml:space="preserve"> </w:t>
      </w:r>
      <w:r w:rsidR="00040161" w:rsidRPr="0061109F">
        <w:rPr>
          <w:rFonts w:ascii="Calibri" w:hAnsi="Calibri" w:cs="Calibri"/>
          <w:sz w:val="22"/>
          <w:szCs w:val="22"/>
        </w:rPr>
        <w:t xml:space="preserve">but briefly, </w:t>
      </w:r>
      <w:r w:rsidRPr="0061109F">
        <w:rPr>
          <w:rFonts w:ascii="Calibri" w:hAnsi="Calibri" w:cs="Calibri"/>
          <w:sz w:val="22"/>
          <w:szCs w:val="22"/>
        </w:rPr>
        <w:t>CNVs were detected using Birdseye</w:t>
      </w:r>
      <w:r w:rsidR="00040161" w:rsidRPr="0061109F">
        <w:rPr>
          <w:rFonts w:ascii="Calibri" w:hAnsi="Calibri" w:cs="Calibri"/>
          <w:sz w:val="22"/>
          <w:szCs w:val="22"/>
        </w:rPr>
        <w:t>.</w:t>
      </w:r>
      <w:r w:rsidRPr="0061109F">
        <w:rPr>
          <w:rFonts w:ascii="Calibri" w:hAnsi="Calibri" w:cs="Calibri"/>
          <w:sz w:val="22"/>
          <w:szCs w:val="22"/>
        </w:rPr>
        <w:fldChar w:fldCharType="begin" w:fldLock="1"/>
      </w:r>
      <w:r w:rsidR="000B086A" w:rsidRPr="0061109F">
        <w:rPr>
          <w:rFonts w:ascii="Calibri" w:hAnsi="Calibri" w:cs="Calibri"/>
          <w:sz w:val="22"/>
          <w:szCs w:val="22"/>
        </w:rPr>
        <w:instrText>ADDIN CSL_CITATION {"citationItems":[{"id":"ITEM-1","itemData":{"DOI":"10.1038/ng.237","ISSN":"1546-1718","abstract":"David Altshuler and colleagues describe analysis for integrating genotype calling of SNPs, common copy number polymorphisms and rare CNVs, implemented in a suite of software programs collectively named Birdsuite.","author":[{"dropping-particle":"","family":"Korn","given":"Joshua M","non-dropping-particle":"","parse-names":false,"suffix":""},{"dropping-particle":"","family":"Kuruvilla","given":"Finny G","non-dropping-particle":"","parse-names":false,"suffix":""},{"dropping-particle":"","family":"McCarroll","given":"Steven A","non-dropping-particle":"","parse-names":false,"suffix":""},{"dropping-particle":"","family":"Wysoker","given":"Alec","non-dropping-particle":"","parse-names":false,"suffix":""},{"dropping-particle":"","family":"Nemesh","given":"James","non-dropping-particle":"","parse-names":false,"suffix":""},{"dropping-particle":"","family":"Cawley","given":"Simon","non-dropping-particle":"","parse-names":false,"suffix":""},{"dropping-particle":"","family":"Hubbell","given":"Earl","non-dropping-particle":"","parse-names":false,"suffix":""},{"dropping-particle":"","family":"Veitch","given":"Jim","non-dropping-particle":"","parse-names":false,"suffix":""},{"dropping-particle":"","family":"Collins","given":"Patrick J","non-dropping-particle":"","parse-names":false,"suffix":""},{"dropping-particle":"","family":"Darvishi","given":"Katayoon","non-dropping-particle":"","parse-names":false,"suffix":""},{"dropping-particle":"","family":"Lee","given":"Charles","non-dropping-particle":"","parse-names":false,"suffix":""},{"dropping-particle":"","family":"Nizzari","given":"Marcia M","non-dropping-particle":"","parse-names":false,"suffix":""},{"dropping-particle":"","family":"Gabriel","given":"Stacey B","non-dropping-particle":"","parse-names":false,"suffix":""},{"dropping-particle":"","family":"Purcell","given":"Shaun","non-dropping-particle":"","parse-names":false,"suffix":""},{"dropping-particle":"","family":"Daly","given":"Mark J","non-dropping-particle":"","parse-names":false,"suffix":""},{"dropping-particle":"","family":"Altshuler","given":"David","non-dropping-particle":"","parse-names":false,"suffix":""}],"container-title":"Nature Genetics 2008 40:10","id":"ITEM-1","issue":"10","issued":{"date-parts":[["2008","9","7"]]},"page":"1253","publisher":"Nature Publishing Group","title":"Integrated genotype calling and association analysis of SNPs, common copy number polymorphisms and rare CNVs","type":"article-journal","volume":"40"},"uris":["http://www.mendeley.com/documents/?uuid=8f77dae9-331e-347d-8d17-928d7036eb34"]}],"mendeley":{"formattedCitation":"&lt;sup&gt;27&lt;/sup&gt;","plainTextFormattedCitation":"27","previouslyFormattedCitation":"&lt;sup&gt;27&lt;/sup&gt;"},"properties":{"noteIndex":0},"schema":"https://github.com/citation-style-language/schema/raw/master/csl-citation.json"}</w:instrText>
      </w:r>
      <w:r w:rsidRPr="0061109F">
        <w:rPr>
          <w:rFonts w:ascii="Calibri" w:hAnsi="Calibri" w:cs="Calibri"/>
          <w:sz w:val="22"/>
          <w:szCs w:val="22"/>
        </w:rPr>
        <w:fldChar w:fldCharType="separate"/>
      </w:r>
      <w:r w:rsidR="00D3131C" w:rsidRPr="0061109F">
        <w:rPr>
          <w:rFonts w:ascii="Calibri" w:hAnsi="Calibri" w:cs="Calibri"/>
          <w:noProof/>
          <w:sz w:val="22"/>
          <w:szCs w:val="22"/>
          <w:vertAlign w:val="superscript"/>
        </w:rPr>
        <w:t>27</w:t>
      </w:r>
      <w:r w:rsidRPr="0061109F">
        <w:rPr>
          <w:rFonts w:ascii="Calibri" w:hAnsi="Calibri" w:cs="Calibri"/>
          <w:sz w:val="22"/>
          <w:szCs w:val="22"/>
        </w:rPr>
        <w:fldChar w:fldCharType="end"/>
      </w:r>
      <w:r w:rsidRPr="0061109F">
        <w:rPr>
          <w:rFonts w:ascii="Calibri" w:hAnsi="Calibri" w:cs="Calibri"/>
          <w:sz w:val="22"/>
          <w:szCs w:val="22"/>
        </w:rPr>
        <w:t xml:space="preserve"> </w:t>
      </w:r>
      <w:r w:rsidR="00040161" w:rsidRPr="0061109F">
        <w:rPr>
          <w:rFonts w:ascii="Calibri" w:hAnsi="Calibri" w:cs="Calibri"/>
          <w:sz w:val="22"/>
          <w:szCs w:val="22"/>
        </w:rPr>
        <w:t>Q</w:t>
      </w:r>
      <w:r w:rsidRPr="0061109F">
        <w:rPr>
          <w:rFonts w:ascii="Calibri" w:hAnsi="Calibri" w:cs="Calibri"/>
          <w:sz w:val="22"/>
          <w:szCs w:val="22"/>
        </w:rPr>
        <w:t>uality control includ</w:t>
      </w:r>
      <w:r w:rsidR="00040161" w:rsidRPr="0061109F">
        <w:rPr>
          <w:rFonts w:ascii="Calibri" w:hAnsi="Calibri" w:cs="Calibri"/>
          <w:sz w:val="22"/>
          <w:szCs w:val="22"/>
        </w:rPr>
        <w:t>ed</w:t>
      </w:r>
      <w:r w:rsidRPr="0061109F">
        <w:rPr>
          <w:rFonts w:ascii="Calibri" w:hAnsi="Calibri" w:cs="Calibri"/>
          <w:sz w:val="22"/>
          <w:szCs w:val="22"/>
        </w:rPr>
        <w:t xml:space="preserve"> remov</w:t>
      </w:r>
      <w:r w:rsidR="00040161" w:rsidRPr="0061109F">
        <w:rPr>
          <w:rFonts w:ascii="Calibri" w:hAnsi="Calibri" w:cs="Calibri"/>
          <w:sz w:val="22"/>
          <w:szCs w:val="22"/>
        </w:rPr>
        <w:t>ing</w:t>
      </w:r>
      <w:r w:rsidRPr="0061109F">
        <w:rPr>
          <w:rFonts w:ascii="Calibri" w:hAnsi="Calibri" w:cs="Calibri"/>
          <w:sz w:val="22"/>
          <w:szCs w:val="22"/>
        </w:rPr>
        <w:t xml:space="preserve"> low-confidence CNVs </w:t>
      </w:r>
      <w:r w:rsidR="00040161" w:rsidRPr="0061109F">
        <w:rPr>
          <w:rFonts w:ascii="Calibri" w:hAnsi="Calibri" w:cs="Calibri"/>
          <w:sz w:val="22"/>
          <w:szCs w:val="22"/>
        </w:rPr>
        <w:t>(</w:t>
      </w:r>
      <w:r w:rsidRPr="0061109F">
        <w:rPr>
          <w:rFonts w:ascii="Calibri" w:hAnsi="Calibri" w:cs="Calibri"/>
          <w:sz w:val="22"/>
          <w:szCs w:val="22"/>
        </w:rPr>
        <w:t>confidence scores &lt;10, spanning &lt;10 probes, or &lt;10 kb in length</w:t>
      </w:r>
      <w:r w:rsidR="00040161" w:rsidRPr="0061109F">
        <w:rPr>
          <w:rFonts w:ascii="Calibri" w:hAnsi="Calibri" w:cs="Calibri"/>
          <w:sz w:val="22"/>
          <w:szCs w:val="22"/>
        </w:rPr>
        <w:t>)</w:t>
      </w:r>
      <w:r w:rsidRPr="0061109F">
        <w:rPr>
          <w:rFonts w:ascii="Calibri" w:hAnsi="Calibri" w:cs="Calibri"/>
          <w:sz w:val="22"/>
          <w:szCs w:val="22"/>
        </w:rPr>
        <w:t xml:space="preserve"> followed by removal of CNVs with &gt;50% reciprocal overlap with large genomic gaps (e.g., </w:t>
      </w:r>
      <w:r w:rsidRPr="0061109F">
        <w:rPr>
          <w:rFonts w:ascii="Calibri" w:hAnsi="Calibri" w:cs="Calibri"/>
          <w:sz w:val="22"/>
          <w:szCs w:val="22"/>
        </w:rPr>
        <w:lastRenderedPageBreak/>
        <w:t xml:space="preserve">centromeres) or regions subject to rearrangement in white blood cells. </w:t>
      </w:r>
      <w:r w:rsidR="00040161" w:rsidRPr="0061109F">
        <w:rPr>
          <w:rFonts w:ascii="Calibri" w:hAnsi="Calibri" w:cs="Calibri"/>
          <w:sz w:val="22"/>
          <w:szCs w:val="22"/>
        </w:rPr>
        <w:t>A</w:t>
      </w:r>
      <w:r w:rsidRPr="0061109F">
        <w:rPr>
          <w:rFonts w:ascii="Calibri" w:hAnsi="Calibri" w:cs="Calibri"/>
          <w:sz w:val="22"/>
          <w:szCs w:val="22"/>
        </w:rPr>
        <w:t>djoining CNVs</w:t>
      </w:r>
      <w:r w:rsidR="00040161" w:rsidRPr="0061109F">
        <w:rPr>
          <w:rFonts w:ascii="Calibri" w:hAnsi="Calibri" w:cs="Calibri"/>
          <w:sz w:val="22"/>
          <w:szCs w:val="22"/>
        </w:rPr>
        <w:t xml:space="preserve"> were annealed</w:t>
      </w:r>
      <w:r w:rsidRPr="0061109F">
        <w:rPr>
          <w:rFonts w:ascii="Calibri" w:hAnsi="Calibri" w:cs="Calibri"/>
          <w:sz w:val="22"/>
          <w:szCs w:val="22"/>
        </w:rPr>
        <w:t xml:space="preserve"> that appeared to be artificially split by Birdseye by recursively joining CNVs, if the called region was ≥80% of the entire region to be joined. </w:t>
      </w:r>
      <w:r w:rsidR="00040161" w:rsidRPr="0061109F">
        <w:rPr>
          <w:rFonts w:ascii="Calibri" w:hAnsi="Calibri" w:cs="Calibri"/>
          <w:sz w:val="22"/>
          <w:szCs w:val="22"/>
        </w:rPr>
        <w:t>We visually inspected the</w:t>
      </w:r>
      <w:r w:rsidRPr="0061109F">
        <w:rPr>
          <w:rFonts w:ascii="Calibri" w:hAnsi="Calibri" w:cs="Calibri"/>
          <w:sz w:val="22"/>
          <w:szCs w:val="22"/>
        </w:rPr>
        <w:t xml:space="preserve"> largest CNVs (≥5 Mb) and chrX CNVs and</w:t>
      </w:r>
      <w:r w:rsidR="00040161" w:rsidRPr="0061109F">
        <w:rPr>
          <w:rFonts w:ascii="Calibri" w:hAnsi="Calibri" w:cs="Calibri"/>
          <w:sz w:val="22"/>
          <w:szCs w:val="22"/>
        </w:rPr>
        <w:t xml:space="preserve"> removed those </w:t>
      </w:r>
      <w:r w:rsidRPr="0061109F">
        <w:rPr>
          <w:rFonts w:ascii="Calibri" w:hAnsi="Calibri" w:cs="Calibri"/>
          <w:sz w:val="22"/>
          <w:szCs w:val="22"/>
        </w:rPr>
        <w:t xml:space="preserve">of low confidence. </w:t>
      </w:r>
      <w:r w:rsidR="00040161" w:rsidRPr="0061109F">
        <w:rPr>
          <w:rFonts w:ascii="Calibri" w:hAnsi="Calibri" w:cs="Calibri"/>
          <w:sz w:val="22"/>
          <w:szCs w:val="22"/>
        </w:rPr>
        <w:t>S</w:t>
      </w:r>
      <w:r w:rsidRPr="0061109F">
        <w:rPr>
          <w:rFonts w:ascii="Calibri" w:hAnsi="Calibri" w:cs="Calibri"/>
          <w:sz w:val="22"/>
          <w:szCs w:val="22"/>
        </w:rPr>
        <w:t>ubjects</w:t>
      </w:r>
      <w:r w:rsidR="00040161" w:rsidRPr="0061109F">
        <w:rPr>
          <w:rFonts w:ascii="Calibri" w:hAnsi="Calibri" w:cs="Calibri"/>
          <w:sz w:val="22"/>
          <w:szCs w:val="22"/>
        </w:rPr>
        <w:t xml:space="preserve"> were excluded if they had</w:t>
      </w:r>
      <w:r w:rsidRPr="0061109F">
        <w:rPr>
          <w:rFonts w:ascii="Calibri" w:hAnsi="Calibri" w:cs="Calibri"/>
          <w:sz w:val="22"/>
          <w:szCs w:val="22"/>
        </w:rPr>
        <w:t xml:space="preserve"> excessive noise or CNV calls scattered across many chromosomes (≥40 segments or total length ≥ 6 Mb).</w:t>
      </w:r>
      <w:r w:rsidR="00F76D6A" w:rsidRPr="0061109F">
        <w:rPr>
          <w:rFonts w:ascii="Calibri" w:hAnsi="Calibri" w:cs="Calibri"/>
          <w:sz w:val="22"/>
          <w:szCs w:val="22"/>
        </w:rPr>
        <w:t xml:space="preserve"> We removed a small number of outliers, leaving 4</w:t>
      </w:r>
      <w:r w:rsidR="00AA0A35" w:rsidRPr="0061109F">
        <w:rPr>
          <w:rFonts w:ascii="Calibri" w:hAnsi="Calibri" w:cs="Calibri"/>
          <w:sz w:val="22"/>
          <w:szCs w:val="22"/>
        </w:rPr>
        <w:t>,</w:t>
      </w:r>
      <w:r w:rsidR="00F76D6A" w:rsidRPr="0061109F">
        <w:rPr>
          <w:rFonts w:ascii="Calibri" w:hAnsi="Calibri" w:cs="Calibri"/>
          <w:sz w:val="22"/>
          <w:szCs w:val="22"/>
        </w:rPr>
        <w:t>372 SCZ cases with CNV data.</w:t>
      </w:r>
      <w:r w:rsidR="00E62720" w:rsidRPr="0061109F">
        <w:rPr>
          <w:rFonts w:ascii="Calibri" w:hAnsi="Calibri" w:cs="Calibri"/>
          <w:sz w:val="22"/>
          <w:szCs w:val="22"/>
        </w:rPr>
        <w:t xml:space="preserve"> CNV data were then log-transformed and are presented as the total number of CNVs and the total size of all CNVs.</w:t>
      </w:r>
    </w:p>
    <w:p w14:paraId="2DCCA15B" w14:textId="2FDA91C1" w:rsidR="00823D9B" w:rsidRPr="0061109F" w:rsidRDefault="00E60F2F" w:rsidP="000B086A">
      <w:pPr>
        <w:pStyle w:val="Heading4"/>
        <w:spacing w:line="480" w:lineRule="auto"/>
        <w:rPr>
          <w:b/>
          <w:i w:val="0"/>
          <w:color w:val="auto"/>
          <w:sz w:val="22"/>
          <w:szCs w:val="22"/>
        </w:rPr>
      </w:pPr>
      <w:r w:rsidRPr="0061109F">
        <w:rPr>
          <w:b/>
          <w:i w:val="0"/>
          <w:color w:val="auto"/>
          <w:sz w:val="22"/>
          <w:szCs w:val="22"/>
        </w:rPr>
        <w:t>Whole exome sequencing</w:t>
      </w:r>
    </w:p>
    <w:p w14:paraId="5889426B" w14:textId="07F09A0C" w:rsidR="00673D79" w:rsidRPr="0061109F" w:rsidRDefault="00823D9B" w:rsidP="000B086A">
      <w:pPr>
        <w:spacing w:line="480" w:lineRule="auto"/>
        <w:jc w:val="both"/>
        <w:rPr>
          <w:rFonts w:ascii="Calibri" w:hAnsi="Calibri" w:cs="Calibri"/>
          <w:sz w:val="22"/>
          <w:szCs w:val="22"/>
          <w:highlight w:val="yellow"/>
        </w:rPr>
      </w:pPr>
      <w:r w:rsidRPr="0061109F">
        <w:rPr>
          <w:rFonts w:ascii="Calibri" w:hAnsi="Calibri" w:cs="Calibri"/>
          <w:sz w:val="22"/>
          <w:szCs w:val="22"/>
        </w:rPr>
        <w:t xml:space="preserve">Whole exome sequencing details </w:t>
      </w:r>
      <w:r w:rsidR="007344DA" w:rsidRPr="0061109F">
        <w:rPr>
          <w:rFonts w:ascii="Calibri" w:hAnsi="Calibri" w:cs="Calibri"/>
          <w:sz w:val="22"/>
          <w:szCs w:val="22"/>
        </w:rPr>
        <w:t>have been reported</w:t>
      </w:r>
      <w:r w:rsidRPr="0061109F">
        <w:rPr>
          <w:rFonts w:ascii="Calibri" w:hAnsi="Calibri" w:cs="Calibri"/>
          <w:sz w:val="22"/>
          <w:szCs w:val="22"/>
        </w:rPr>
        <w:fldChar w:fldCharType="begin" w:fldLock="1"/>
      </w:r>
      <w:r w:rsidR="000B086A" w:rsidRPr="0061109F">
        <w:rPr>
          <w:rFonts w:ascii="Calibri" w:hAnsi="Calibri" w:cs="Calibri"/>
          <w:sz w:val="22"/>
          <w:szCs w:val="22"/>
        </w:rPr>
        <w:instrText>ADDIN CSL_CITATION {"citationItems":[{"id":"ITEM-1","itemData":{"DOI":"10.1038/nn.4402","ISBN":"1546-1726 (Electronic)\r1097-6256 (Linking)","PMID":"27694994","abstract":"By analyzing the exomes of 12,332 unrelated Swedish individuals, including 4,877 individuals affected with schizophrenia, in ways informed by exome sequences from 45,376 other individuals, we identified 244,246 coding-sequence and splice-site ultra-rare variants (URVs) that were unique to individual Swedes. We found that gene-disruptive and putatively protein-damaging URVs (but not synonymous URVs) were more abundant among individuals with schizophrenia than among controls (P = 1.3 x 10-10). This elevation of protein-compromising URVs was several times larger than an analogously elevated rate for de novo mutations, suggesting that most rare-variant effects on schizophrenia risk are inherited. Among individuals with schizophrenia, the elevated frequency of protein-compromising URVs was concentrated in brain-expressed genes, particularly in neuronally expressed genes; most of this elevation arose from large sets of genes whose RNAs have been found to interact with synaptically localized proteins. Our results suggest that synaptic dysfunction may mediate a large fraction of strong, individually rare genetic influences on schizophrenia risk.","author":[{"dropping-particle":"","family":"Genovese","given":"G","non-dropping-particle":"","parse-names":false,"suffix":""},{"dropping-particle":"","family":"Fromer","given":"M","non-dropping-particle":"","parse-names":false,"suffix":""},{"dropping-particle":"","family":"Stahl","given":"E A","non-dropping-particle":"","parse-names":false,"suffix":""},{"dropping-particle":"","family":"Ruderfer","given":"D M","non-dropping-particle":"","parse-names":false,"suffix":""},{"dropping-particle":"","family":"Chambert","given":"K","non-dropping-particle":"","parse-names":false,"suffix":""},{"dropping-particle":"","family":"Landen","given":"M","non-dropping-particle":"","parse-names":false,"suffix":""},{"dropping-particle":"","family":"Moran","given":"J L","non-dropping-particle":"","parse-names":false,"suffix":""},{"dropping-particle":"","family":"Purcell","given":"S M","non-dropping-particle":"","parse-names":false,"suffix":""},{"dropping-particle":"","family":"Sklar","given":"P","non-dropping-particle":"","parse-names":false,"suffix":""},{"dropping-particle":"","family":"Sullivan","given":"P F","non-dropping-particle":"","parse-names":false,"suffix":""},{"dropping-particle":"","family":"Hultman","given":"C M","non-dropping-particle":"","parse-names":false,"suffix":""},{"dropping-particle":"","family":"McCarroll","given":"S A","non-dropping-particle":"","parse-names":false,"suffix":""}],"container-title":"Nat Neurosci","edition":"2016/10/28","id":"ITEM-1","issue":"11","issued":{"date-parts":[["2016"]]},"note":"Genovese, Giulio\nFromer, Menachem\nStahl, Eli A\nRuderfer, Douglas M\nChambert, Kimberly\nLanden, Mikael\nMoran, Jennifer L\nPurcell, Shaun M\nSklar, Pamela\nSullivan, Patrick F\nHultman, Christina M\nMcCarroll, Steven A\neng\nR01 HG006855/HG/NHGRI NIH HHS/\nR01 MH077139/MH/NIMH NIH HHS/\nRC2 MH089905/MH/NIMH NIH HHS/\nU54 HG003067/HG/NHGRI NIH HHS/\nNat Neurosci. 2016 Nov;19(11):1433-1441. doi: 10.1038/nn.4402. Epub 2016 Oct 3.","page":"1433-1441","title":"Increased burden of ultra-rare protein-altering variants among 4,877 individuals with schizophrenia","type":"article-journal","volume":"19"},"uris":["http://www.mendeley.com/documents/?uuid=d5ca8316-337d-4eeb-8958-51d9f7d971d5"]},{"id":"ITEM-2","itemData":{"DOI":"10.1038/nature12975","ISBN":"1476-4687 (Electronic)\\n0028-0836 (Linking)","ISSN":"00280836","PMID":"24463508","abstract":"Schizophrenia is a common disease with a complex aetiology, probably involving multiple and heterogeneous genetic factors. Here, by analysing the exome sequences of 2,536 schizophrenia cases and 2,543 controls, we demonstrate a polygenic burden primarily arising from rare (less than 1 in 10,000), disruptive mutations distributed across many genes. Particularly enriched gene sets include the voltage-gated calcium ion channel and the signalling complex formed by the activity-regulated cytoskeleton-associated scaffold protein (ARC) of the postsynaptic density, sets previously implicated by genome-wide association and copy-number variation studies. Similar to reports in autism, targets of the fragile X mental retardation protein (FMRP, product of FMR1) are enriched for case mutations. No individual gene-based test achieves significance after correction for multiple testing and we do not detect any alleles of moderately low frequency (approximately 0.5 to 1 per cent) and moderately large effect. Taken together, these data suggest that population-based exome sequencing can discover risk alleles and complements established gene-mapping paradigms in neuropsychiatric disease.","author":[{"dropping-particle":"","family":"Purcell","given":"Shaun M","non-dropping-particle":"","parse-names":false,"suffix":""},{"dropping-particle":"","family":"Moran","given":"Jennifer L","non-dropping-particle":"","parse-names":false,"suffix":""},{"dropping-particle":"","family":"Fromer","given":"Menachem","non-dropping-particle":"","parse-names":false,"suffix":""},{"dropping-particle":"","family":"Ruderfer","given":"Douglas","non-dropping-particle":"","parse-names":false,"suffix":""},{"dropping-particle":"","family":"Solovieff","given":"Nadia","non-dropping-particle":"","parse-names":false,"suffix":""},{"dropping-particle":"","family":"Roussos","given":"Panos","non-dropping-particle":"","parse-names":false,"suffix":""},{"dropping-particle":"","family":"O'Dushlaine","given":"Colm","non-dropping-particle":"","parse-names":false,"suffix":""},{"dropping-particle":"","family":"Chambert","given":"Kimberly","non-dropping-particle":"","parse-names":false,"suffix":""},{"dropping-particle":"","family":"Bergen","given":"Sarah E","non-dropping-particle":"","parse-names":false,"suffix":""},{"dropping-particle":"","family":"Kähler","given":"Anna","non-dropping-particle":"","parse-names":false,"suffix":""},{"dropping-particle":"","family":"Duncan","given":"Laramie","non-dropping-particle":"","parse-names":false,"suffix":""},{"dropping-particle":"","family":"Stahl","given":"Eli","non-dropping-particle":"","parse-names":false,"suffix":""},{"dropping-particle":"","family":"Genovese","given":"Giulio","non-dropping-particle":"","parse-names":false,"suffix":""},{"dropping-particle":"","family":"Fernández","given":"Esperanza","non-dropping-particle":"","parse-names":false,"suffix":""},{"dropping-particle":"","family":"Collins","given":"Mark O","non-dropping-particle":"","parse-names":false,"suffix":""},{"dropping-particle":"","family":"Komiyama","given":"Noboru H","non-dropping-particle":"","parse-names":false,"suffix":""},{"dropping-particle":"","family":"Choudhary","given":"Jyoti S","non-dropping-particle":"","parse-names":false,"suffix":""},{"dropping-particle":"","family":"Magnusson","given":"Patrik K.E.","non-dropping-particle":"","parse-names":false,"suffix":""},{"dropping-particle":"","family":"Banks","given":"Eric","non-dropping-particle":"","parse-names":false,"suffix":""},{"dropping-particle":"","family":"Shakir","given":"Khalid","non-dropping-particle":"","parse-names":false,"suffix":""},{"dropping-particle":"","family":"Garimella","given":"Kiran","non-dropping-particle":"","parse-names":false,"suffix":""},{"dropping-particle":"","family":"Fennell","given":"Tim","non-dropping-particle":"","parse-names":false,"suffix":""},{"dropping-particle":"","family":"Depristo","given":"Mark","non-dropping-particle":"","parse-names":false,"suffix":""},{"dropping-particle":"","family":"Grant","given":"Seth G.N.","non-dropping-particle":"","parse-names":false,"suffix":""},{"dropping-particle":"","family":"Haggarty","given":"Stephen J","non-dropping-particle":"","parse-names":false,"suffix":""},{"dropping-particle":"","family":"Gabriel","given":"Stacey","non-dropping-particle":"","parse-names":false,"suffix":""},{"dropping-particle":"","family":"Scolnick","given":"Edward M","non-dropping-particle":"","parse-names":false,"suffix":""},{"dropping-particle":"","family":"Lander","given":"Eric S","non-dropping-particle":"","parse-names":false,"suffix":""},{"dropping-particle":"","family":"Hultman","given":"Christina M","non-dropping-particle":"","parse-names":false,"suffix":""},{"dropping-particle":"","family":"Sullivan","given":"Patrick F","non-dropping-particle":"","parse-names":false,"suffix":""},{"dropping-particle":"","family":"McCarroll","given":"Steven A","non-dropping-particle":"","parse-names":false,"suffix":""},{"dropping-particle":"","family":"Sklar","given":"Pamela","non-dropping-particle":"","parse-names":false,"suffix":""}],"container-title":"Nature","id":"ITEM-2","issue":"7487","issued":{"date-parts":[["2014","2","13"]]},"page":"185-190","title":"A polygenic burden of rare disruptive mutations in schizophrenia","type":"article-journal","volume":"506"},"uris":["http://www.mendeley.com/documents/?uuid=39f60e75-f0cc-3bf0-9d00-23f91a30019b"]}],"mendeley":{"formattedCitation":"&lt;sup&gt;28,29&lt;/sup&gt;","plainTextFormattedCitation":"28,29","previouslyFormattedCitation":"&lt;sup&gt;28,29&lt;/sup&gt;"},"properties":{"noteIndex":0},"schema":"https://github.com/citation-style-language/schema/raw/master/csl-citation.json"}</w:instrText>
      </w:r>
      <w:r w:rsidRPr="0061109F">
        <w:rPr>
          <w:rFonts w:ascii="Calibri" w:hAnsi="Calibri" w:cs="Calibri"/>
          <w:sz w:val="22"/>
          <w:szCs w:val="22"/>
        </w:rPr>
        <w:fldChar w:fldCharType="separate"/>
      </w:r>
      <w:r w:rsidR="00D3131C" w:rsidRPr="0061109F">
        <w:rPr>
          <w:rFonts w:ascii="Calibri" w:hAnsi="Calibri" w:cs="Calibri"/>
          <w:noProof/>
          <w:sz w:val="22"/>
          <w:szCs w:val="22"/>
          <w:vertAlign w:val="superscript"/>
        </w:rPr>
        <w:t>28,29</w:t>
      </w:r>
      <w:r w:rsidRPr="0061109F">
        <w:rPr>
          <w:rFonts w:ascii="Calibri" w:hAnsi="Calibri" w:cs="Calibri"/>
          <w:sz w:val="22"/>
          <w:szCs w:val="22"/>
        </w:rPr>
        <w:fldChar w:fldCharType="end"/>
      </w:r>
      <w:r w:rsidRPr="0061109F">
        <w:rPr>
          <w:rFonts w:ascii="Calibri" w:hAnsi="Calibri" w:cs="Calibri"/>
          <w:sz w:val="22"/>
          <w:szCs w:val="22"/>
        </w:rPr>
        <w:t xml:space="preserve"> but, briefly, sequencing was performed using Agilent SureSelect Human All Exon kits and sequenced on Illumina GAII, HiSeq 2000, or HiSeq 2500 instruments (76 bp paired-end sequencing). Sequencing reads were aligned to the GRCh37 human genome reference and processed using GATK,</w:t>
      </w:r>
      <w:r w:rsidR="00D860AB" w:rsidRPr="0061109F">
        <w:rPr>
          <w:rFonts w:ascii="Calibri" w:hAnsi="Calibri" w:cs="Calibri"/>
          <w:sz w:val="22"/>
          <w:szCs w:val="22"/>
        </w:rPr>
        <w:fldChar w:fldCharType="begin" w:fldLock="1"/>
      </w:r>
      <w:r w:rsidR="000B086A" w:rsidRPr="0061109F">
        <w:rPr>
          <w:rFonts w:ascii="Calibri" w:hAnsi="Calibri" w:cs="Calibri"/>
          <w:sz w:val="22"/>
          <w:szCs w:val="22"/>
        </w:rPr>
        <w:instrText>ADDIN CSL_CITATION {"citationItems":[{"id":"ITEM-1","itemData":{"DOI":"10.1101/201178","abstract":"Comprehensive disease gene discovery in both common and rare diseases will require the efficient and accurate detection of all classes of genetic variation across tens to hundreds of thousands of human samples. We describe here a novel assembly-based approach to variant calling, the GATK HaplotypeCaller (HC) and Reference Confidence Model (RCM), that determines genotype likelihoods independently per-sample but performs joint calling across all samples within a project simultaneously. We show by calling over 90,000 samples from the Exome Aggregation Consortium (ExAC) that, in contrast to other algorithms, the HC-RCM scales efficiently to very large sample sizes without loss in accuracy; and that the accuracy of indel variant calling is superior in comparison to other algorithms. More importantly, the HC-RCM produces a fully squared-off matrix of genotypes across all samples at every genomic position being investigated. The HCRCM is a novel, scalable, assembly-based algorithm with abundant applications for population genetics and clinical studies.","author":[{"dropping-particle":"","family":"Poplin","given":"Ryan","non-dropping-particle":"","parse-names":false,"suffix":""},{"dropping-particle":"","family":"Ruano-Rubio","given":"Valentin","non-dropping-particle":"","parse-names":false,"suffix":""},{"dropping-particle":"","family":"DePristo","given":"Mark A.","non-dropping-particle":"","parse-names":false,"suffix":""},{"dropping-particle":"","family":"Fennell","given":"Tim J.","non-dropping-particle":"","parse-names":false,"suffix":""},{"dropping-particle":"","family":"Carneiro","given":"Mauricio O.","non-dropping-particle":"","parse-names":false,"suffix":""},{"dropping-particle":"Van der","family":"Auwera","given":"Geraldine A.","non-dropping-particle":"","parse-names":false,"suffix":""},{"dropping-particle":"","family":"Kling","given":"David E.","non-dropping-particle":"","parse-names":false,"suffix":""},{"dropping-particle":"","family":"Gauthier","given":"Laura D.","non-dropping-particle":"","parse-names":false,"suffix":""},{"dropping-particle":"","family":"Levy-Moonshine","given":"Ami","non-dropping-particle":"","parse-names":false,"suffix":""},{"dropping-particle":"","family":"Roazen","given":"David","non-dropping-particle":"","parse-names":false,"suffix":""},{"dropping-particle":"","family":"Shakir","given":"Khalid","non-dropping-particle":"","parse-names":false,"suffix":""},{"dropping-particle":"","family":"Thibault","given":"Joel","non-dropping-particle":"","parse-names":false,"suffix":""},{"dropping-particle":"","family":"Chandran","given":"Sheila","non-dropping-particle":"","parse-names":false,"suffix":""},{"dropping-particle":"","family":"Whelan","given":"Chris","non-dropping-particle":"","parse-names":false,"suffix":""},{"dropping-particle":"","family":"Lek","given":"Monkol","non-dropping-particle":"","parse-names":false,"suffix":""},{"dropping-particle":"","family":"Gabriel","given":"Stacey","non-dropping-particle":"","parse-names":false,"suffix":""},{"dropping-particle":"","family":"Daly","given":"Mark J.","non-dropping-particle":"","parse-names":false,"suffix":""},{"dropping-particle":"","family":"Neale","given":"Ben","non-dropping-particle":"","parse-names":false,"suffix":""},{"dropping-particle":"","family":"MacArthur","given":"Daniel G.","non-dropping-particle":"","parse-names":false,"suffix":""},{"dropping-particle":"","family":"Banks","given":"Eric","non-dropping-particle":"","parse-names":false,"suffix":""}],"container-title":"bioRxiv","id":"ITEM-1","issued":{"date-parts":[["2017","7","24"]]},"page":"201178","publisher":"Cold Spring Harbor Laboratory","title":"Scaling accurate genetic variant discovery to tens of thousands of samples","type":"article-journal"},"uris":["http://www.mendeley.com/documents/?uuid=47d975e0-dfe4-35fa-b151-f9c7b62709d6"]}],"mendeley":{"formattedCitation":"&lt;sup&gt;30&lt;/sup&gt;","plainTextFormattedCitation":"30","previouslyFormattedCitation":"&lt;sup&gt;30&lt;/sup&gt;"},"properties":{"noteIndex":0},"schema":"https://github.com/citation-style-language/schema/raw/master/csl-citation.json"}</w:instrText>
      </w:r>
      <w:r w:rsidR="00D860AB" w:rsidRPr="0061109F">
        <w:rPr>
          <w:rFonts w:ascii="Calibri" w:hAnsi="Calibri" w:cs="Calibri"/>
          <w:sz w:val="22"/>
          <w:szCs w:val="22"/>
        </w:rPr>
        <w:fldChar w:fldCharType="separate"/>
      </w:r>
      <w:r w:rsidR="00D3131C" w:rsidRPr="0061109F">
        <w:rPr>
          <w:rFonts w:ascii="Calibri" w:hAnsi="Calibri" w:cs="Calibri"/>
          <w:noProof/>
          <w:sz w:val="22"/>
          <w:szCs w:val="22"/>
          <w:vertAlign w:val="superscript"/>
        </w:rPr>
        <w:t>30</w:t>
      </w:r>
      <w:r w:rsidR="00D860AB" w:rsidRPr="0061109F">
        <w:rPr>
          <w:rFonts w:ascii="Calibri" w:hAnsi="Calibri" w:cs="Calibri"/>
          <w:sz w:val="22"/>
          <w:szCs w:val="22"/>
        </w:rPr>
        <w:fldChar w:fldCharType="end"/>
      </w:r>
      <w:r w:rsidRPr="0061109F">
        <w:rPr>
          <w:rFonts w:ascii="Calibri" w:hAnsi="Calibri" w:cs="Calibri"/>
          <w:sz w:val="22"/>
          <w:szCs w:val="22"/>
        </w:rPr>
        <w:t xml:space="preserve"> with calls generated using GATK Haplotype Caller. </w:t>
      </w:r>
      <w:r w:rsidR="00D860AB" w:rsidRPr="0061109F">
        <w:rPr>
          <w:rFonts w:ascii="Calibri" w:hAnsi="Calibri" w:cs="Calibri"/>
          <w:sz w:val="22"/>
          <w:szCs w:val="22"/>
        </w:rPr>
        <w:t>We excluded v</w:t>
      </w:r>
      <w:r w:rsidRPr="0061109F">
        <w:rPr>
          <w:rFonts w:ascii="Calibri" w:hAnsi="Calibri" w:cs="Calibri"/>
          <w:sz w:val="22"/>
          <w:szCs w:val="22"/>
        </w:rPr>
        <w:t>ariants filtered out by the GATK Variant Quality Score Recalibration tool</w:t>
      </w:r>
      <w:r w:rsidR="00D860AB" w:rsidRPr="0061109F">
        <w:rPr>
          <w:rFonts w:ascii="Calibri" w:hAnsi="Calibri" w:cs="Calibri"/>
          <w:sz w:val="22"/>
          <w:szCs w:val="22"/>
        </w:rPr>
        <w:t xml:space="preserve"> and any sites with </w:t>
      </w:r>
      <w:r w:rsidRPr="0061109F">
        <w:rPr>
          <w:rFonts w:ascii="Calibri" w:hAnsi="Calibri" w:cs="Calibri"/>
          <w:sz w:val="22"/>
          <w:szCs w:val="22"/>
        </w:rPr>
        <w:t>&lt;10x coverage were set to missing.</w:t>
      </w:r>
      <w:r w:rsidR="006B1A57" w:rsidRPr="0061109F">
        <w:rPr>
          <w:rFonts w:ascii="Calibri" w:hAnsi="Calibri" w:cs="Calibri"/>
          <w:sz w:val="22"/>
          <w:szCs w:val="22"/>
        </w:rPr>
        <w:t xml:space="preserve"> We removed a small number of outliers, leaving 4</w:t>
      </w:r>
      <w:r w:rsidR="00D52887" w:rsidRPr="0061109F">
        <w:rPr>
          <w:rFonts w:ascii="Calibri" w:hAnsi="Calibri" w:cs="Calibri"/>
          <w:sz w:val="22"/>
          <w:szCs w:val="22"/>
        </w:rPr>
        <w:t>,</w:t>
      </w:r>
      <w:r w:rsidR="006B1A57" w:rsidRPr="0061109F">
        <w:rPr>
          <w:rFonts w:ascii="Calibri" w:hAnsi="Calibri" w:cs="Calibri"/>
          <w:sz w:val="22"/>
          <w:szCs w:val="22"/>
        </w:rPr>
        <w:t>68</w:t>
      </w:r>
      <w:r w:rsidR="00610D9E" w:rsidRPr="0061109F">
        <w:rPr>
          <w:rFonts w:ascii="Calibri" w:hAnsi="Calibri" w:cs="Calibri"/>
          <w:sz w:val="22"/>
          <w:szCs w:val="22"/>
        </w:rPr>
        <w:t>1</w:t>
      </w:r>
      <w:r w:rsidR="006B1A57" w:rsidRPr="0061109F">
        <w:rPr>
          <w:rFonts w:ascii="Calibri" w:hAnsi="Calibri" w:cs="Calibri"/>
          <w:sz w:val="22"/>
          <w:szCs w:val="22"/>
        </w:rPr>
        <w:t xml:space="preserve"> SCZ cases with whole exome data.</w:t>
      </w:r>
      <w:r w:rsidR="006B1A57" w:rsidRPr="0061109F">
        <w:rPr>
          <w:rFonts w:ascii="Calibri" w:hAnsi="Calibri" w:cs="Calibri"/>
          <w:sz w:val="22"/>
          <w:szCs w:val="22"/>
        </w:rPr>
        <w:fldChar w:fldCharType="begin" w:fldLock="1"/>
      </w:r>
      <w:r w:rsidR="000B086A" w:rsidRPr="0061109F">
        <w:rPr>
          <w:rFonts w:ascii="Calibri" w:hAnsi="Calibri" w:cs="Calibri"/>
          <w:sz w:val="22"/>
          <w:szCs w:val="22"/>
        </w:rPr>
        <w:instrText>ADDIN CSL_CITATION {"citationItems":[{"id":"ITEM-1","itemData":{"DOI":"10.1038/nn.4402","ISBN":"1546-1726 (Electronic)\r1097-6256 (Linking)","PMID":"27694994","abstract":"By analyzing the exomes of 12,332 unrelated Swedish individuals, including 4,877 individuals affected with schizophrenia, in ways informed by exome sequences from 45,376 other individuals, we identified 244,246 coding-sequence and splice-site ultra-rare variants (URVs) that were unique to individual Swedes. We found that gene-disruptive and putatively protein-damaging URVs (but not synonymous URVs) were more abundant among individuals with schizophrenia than among controls (P = 1.3 x 10-10). This elevation of protein-compromising URVs was several times larger than an analogously elevated rate for de novo mutations, suggesting that most rare-variant effects on schizophrenia risk are inherited. Among individuals with schizophrenia, the elevated frequency of protein-compromising URVs was concentrated in brain-expressed genes, particularly in neuronally expressed genes; most of this elevation arose from large sets of genes whose RNAs have been found to interact with synaptically localized proteins. Our results suggest that synaptic dysfunction may mediate a large fraction of strong, individually rare genetic influences on schizophrenia risk.","author":[{"dropping-particle":"","family":"Genovese","given":"G","non-dropping-particle":"","parse-names":false,"suffix":""},{"dropping-particle":"","family":"Fromer","given":"M","non-dropping-particle":"","parse-names":false,"suffix":""},{"dropping-particle":"","family":"Stahl","given":"E A","non-dropping-particle":"","parse-names":false,"suffix":""},{"dropping-particle":"","family":"Ruderfer","given":"D M","non-dropping-particle":"","parse-names":false,"suffix":""},{"dropping-particle":"","family":"Chambert","given":"K","non-dropping-particle":"","parse-names":false,"suffix":""},{"dropping-particle":"","family":"Landen","given":"M","non-dropping-particle":"","parse-names":false,"suffix":""},{"dropping-particle":"","family":"Moran","given":"J L","non-dropping-particle":"","parse-names":false,"suffix":""},{"dropping-particle":"","family":"Purcell","given":"S M","non-dropping-particle":"","parse-names":false,"suffix":""},{"dropping-particle":"","family":"Sklar","given":"P","non-dropping-particle":"","parse-names":false,"suffix":""},{"dropping-particle":"","family":"Sullivan","given":"P F","non-dropping-particle":"","parse-names":false,"suffix":""},{"dropping-particle":"","family":"Hultman","given":"C M","non-dropping-particle":"","parse-names":false,"suffix":""},{"dropping-particle":"","family":"McCarroll","given":"S A","non-dropping-particle":"","parse-names":false,"suffix":""}],"container-title":"Nat Neurosci","edition":"2016/10/28","id":"ITEM-1","issue":"11","issued":{"date-parts":[["2016"]]},"note":"Genovese, Giulio\nFromer, Menachem\nStahl, Eli A\nRuderfer, Douglas M\nChambert, Kimberly\nLanden, Mikael\nMoran, Jennifer L\nPurcell, Shaun M\nSklar, Pamela\nSullivan, Patrick F\nHultman, Christina M\nMcCarroll, Steven A\neng\nR01 HG006855/HG/NHGRI NIH HHS/\nR01 MH077139/MH/NIMH NIH HHS/\nRC2 MH089905/MH/NIMH NIH HHS/\nU54 HG003067/HG/NHGRI NIH HHS/\nNat Neurosci. 2016 Nov;19(11):1433-1441. doi: 10.1038/nn.4402. Epub 2016 Oct 3.","page":"1433-1441","title":"Increased burden of ultra-rare protein-altering variants among 4,877 individuals with schizophrenia","type":"article-journal","volume":"19"},"uris":["http://www.mendeley.com/documents/?uuid=d5ca8316-337d-4eeb-8958-51d9f7d971d5"]}],"mendeley":{"formattedCitation":"&lt;sup&gt;28&lt;/sup&gt;","plainTextFormattedCitation":"28","previouslyFormattedCitation":"&lt;sup&gt;28&lt;/sup&gt;"},"properties":{"noteIndex":0},"schema":"https://github.com/citation-style-language/schema/raw/master/csl-citation.json"}</w:instrText>
      </w:r>
      <w:r w:rsidR="006B1A57" w:rsidRPr="0061109F">
        <w:rPr>
          <w:rFonts w:ascii="Calibri" w:hAnsi="Calibri" w:cs="Calibri"/>
          <w:sz w:val="22"/>
          <w:szCs w:val="22"/>
        </w:rPr>
        <w:fldChar w:fldCharType="separate"/>
      </w:r>
      <w:r w:rsidR="00D3131C" w:rsidRPr="0061109F">
        <w:rPr>
          <w:rFonts w:ascii="Calibri" w:hAnsi="Calibri" w:cs="Calibri"/>
          <w:noProof/>
          <w:sz w:val="22"/>
          <w:szCs w:val="22"/>
          <w:vertAlign w:val="superscript"/>
        </w:rPr>
        <w:t>28</w:t>
      </w:r>
      <w:r w:rsidR="006B1A57" w:rsidRPr="0061109F">
        <w:rPr>
          <w:rFonts w:ascii="Calibri" w:hAnsi="Calibri" w:cs="Calibri"/>
          <w:sz w:val="22"/>
          <w:szCs w:val="22"/>
        </w:rPr>
        <w:fldChar w:fldCharType="end"/>
      </w:r>
      <w:r w:rsidR="00F76D6A" w:rsidRPr="0061109F">
        <w:rPr>
          <w:rFonts w:ascii="Calibri" w:hAnsi="Calibri" w:cs="Calibri"/>
          <w:sz w:val="22"/>
          <w:szCs w:val="22"/>
        </w:rPr>
        <w:t xml:space="preserve"> </w:t>
      </w:r>
      <w:r w:rsidR="00501926" w:rsidRPr="0061109F">
        <w:rPr>
          <w:rFonts w:ascii="Calibri" w:hAnsi="Calibri" w:cs="Calibri"/>
          <w:sz w:val="22"/>
          <w:szCs w:val="22"/>
        </w:rPr>
        <w:t>We computed the number of ultra-rare damaging and disruptive variants (ddURVs) not observed in the Exome Aggregation Consortium</w:t>
      </w:r>
      <w:r w:rsidR="00604DD4" w:rsidRPr="0061109F">
        <w:rPr>
          <w:rFonts w:ascii="Calibri" w:hAnsi="Calibri" w:cs="Calibri"/>
          <w:sz w:val="22"/>
          <w:szCs w:val="22"/>
        </w:rPr>
        <w:t>,</w:t>
      </w:r>
      <w:r w:rsidR="00501926" w:rsidRPr="0061109F">
        <w:rPr>
          <w:rFonts w:ascii="Calibri" w:hAnsi="Calibri" w:cs="Calibri"/>
          <w:sz w:val="22"/>
          <w:szCs w:val="22"/>
        </w:rPr>
        <w:fldChar w:fldCharType="begin" w:fldLock="1"/>
      </w:r>
      <w:r w:rsidR="000B086A" w:rsidRPr="0061109F">
        <w:rPr>
          <w:rFonts w:ascii="Calibri" w:hAnsi="Calibri" w:cs="Calibri"/>
          <w:sz w:val="22"/>
          <w:szCs w:val="22"/>
        </w:rPr>
        <w:instrText>ADDIN CSL_CITATION {"citationItems":[{"id":"ITEM-1","itemData":{"DOI":"10.1038/nature19057","ISBN":"0000000000000","ISSN":"14764687","PMID":"27535533","abstract":"Large-scale reference data sets of human genetic variation are critical for the medical and functional interpretation of DNA sequence changes. Here we describe the aggregation and analysis of high-quality exome (protein-coding region) sequence data for 60,706 individuals of diverse ethnicities. The resulting catalogue of human genetic diversity has unprecedented resolution, with an average of one variant every eight bases of coding sequence and the presence of widespread mutational recurrence. The deep catalogue of variation provided by the Exome Aggregation Consortium (ExAC) can be used to calculate objective metrics of pathogenicity for sequence variants, and to identify genes subject to strong selection against various classes of mutation; we identify 3,230 genes with near-complete depletion of truncating variants, 79% of which have no currently established human disease phenotype. Finally, we show that these data can be used for the efficient filtering of candidate disease-causing variants, and for the discovery of human knockout variants in protein-coding genes.","author":[{"dropping-particle":"","family":"Lek","given":"Monkol","non-dropping-particle":"","parse-names":false,"suffix":""},{"dropping-particle":"","family":"Karczewski","given":"Konrad J","non-dropping-particle":"","parse-names":false,"suffix":""},{"dropping-particle":"V","family":"Minikel","given":"Eric","non-dropping-particle":"","parse-names":false,"suffix":""},{"dropping-particle":"","family":"Samocha","given":"Kaitlin E","non-dropping-particle":"","parse-names":false,"suffix":""},{"dropping-particle":"","family":"Banks","given":"Eric","non-dropping-particle":"","parse-names":false,"suffix":""},{"dropping-particle":"","family":"Fennell","given":"Timothy","non-dropping-particle":"","parse-names":false,"suffix":""},{"dropping-particle":"","family":"O'Donnell-Luria","given":"Anne H","non-dropping-particle":"","parse-names":false,"suffix":""},{"dropping-particle":"","family":"Ware","given":"James S","non-dropping-particle":"","parse-names":false,"suffix":""},{"dropping-particle":"","family":"Hill","given":"Andrew J","non-dropping-particle":"","parse-names":false,"suffix":""},{"dropping-particle":"","family":"Cummings","given":"Beryl B","non-dropping-particle":"","parse-names":false,"suffix":""},{"dropping-particle":"","family":"Tukiainen","given":"Taru","non-dropping-particle":"","parse-names":false,"suffix":""},{"dropping-particle":"","family":"Birnbaum","given":"Daniel P","non-dropping-particle":"","parse-names":false,"suffix":""},{"dropping-particle":"","family":"Kosmicki","given":"Jack A","non-dropping-particle":"","parse-names":false,"suffix":""},{"dropping-particle":"","family":"Duncan","given":"Laramie E","non-dropping-particle":"","parse-names":false,"suffix":""},{"dropping-particle":"","family":"Estrada","given":"Karol","non-dropping-particle":"","parse-names":false,"suffix":""},{"dropping-particle":"","family":"Zhao","given":"Fengmei","non-dropping-particle":"","parse-names":false,"suffix":""},{"dropping-particle":"","family":"Zou","given":"James","non-dropping-particle":"","parse-names":false,"suffix":""},{"dropping-particle":"","family":"Pierce-Hoffman","given":"Emma","non-dropping-particle":"","parse-names":false,"suffix":""},{"dropping-particle":"","family":"Berghout","given":"Joanne","non-dropping-particle":"","parse-names":false,"suffix":""},{"dropping-particle":"","family":"Cooper","given":"David N","non-dropping-particle":"","parse-names":false,"suffix":""},{"dropping-particle":"","family":"Deflaux","given":"Nicole","non-dropping-particle":"","parse-names":false,"suffix":""},{"dropping-particle":"","family":"DePristo","given":"Mark","non-dropping-particle":"","parse-names":false,"suffix":""},{"dropping-particle":"","family":"Do","given":"Ron","non-dropping-particle":"","parse-names":false,"suffix":""},{"dropping-particle":"","family":"Flannick","given":"Jason","non-dropping-particle":"","parse-names":false,"suffix":""},{"dropping-particle":"","family":"Fromer","given":"Menachem","non-dropping-particle":"","parse-names":false,"suffix":""},{"dropping-particle":"","family":"Gauthier","given":"Laura","non-dropping-particle":"","parse-names":false,"suffix":""},{"dropping-particle":"","family":"Goldstein","given":"Jackie","non-dropping-particle":"","parse-names":false,"suffix":""},{"dropping-particle":"","family":"Gupta","given":"Namrata","non-dropping-particle":"","parse-names":false,"suffix":""},{"dropping-particle":"","family":"Howrigan","given":"Daniel","non-dropping-particle":"","parse-names":false,"suffix":""},{"dropping-particle":"","family":"Kiezun","given":"Adam","non-dropping-particle":"","parse-names":false,"suffix":""},{"dropping-particle":"","family":"Kurki","given":"Mitja I","non-dropping-particle":"","parse-names":false,"suffix":""},{"dropping-particle":"","family":"Moonshine","given":"Ami Levy","non-dropping-particle":"","parse-names":false,"suffix":""},{"dropping-particle":"","family":"Natarajan","given":"Pradeep","non-dropping-particle":"","parse-names":false,"suffix":""},{"dropping-particle":"","family":"Orozco","given":"Lorena","non-dropping-particle":"","parse-names":false,"suffix":""},{"dropping-particle":"","family":"Peloso","given":"Gina M","non-dropping-particle":"","parse-names":false,"suffix":""},{"dropping-particle":"","family":"Poplin","given":"Ryan","non-dropping-particle":"","parse-names":false,"suffix":""},{"dropping-particle":"","family":"Rivas","given":"Manuel A","non-dropping-particle":"","parse-names":false,"suffix":""},{"dropping-particle":"","family":"Ruano-Rubio","given":"Valentin","non-dropping-particle":"","parse-names":false,"suffix":""},{"dropping-particle":"","family":"Rose","given":"Samuel A","non-dropping-particle":"","parse-names":false,"suffix":""},{"dropping-particle":"","family":"Ruderfer","given":"Douglas M","non-dropping-particle":"","parse-names":false,"suffix":""},{"dropping-particle":"","family":"Shakir","given":"Khalid","non-dropping-particle":"","parse-names":false,"suffix":""},{"dropping-particle":"","family":"Stenson","given":"Peter D","non-dropping-particle":"","parse-names":false,"suffix":""},{"dropping-particle":"","family":"Stevens","given":"Christine","non-dropping-particle":"","parse-names":false,"suffix":""},{"dropping-particle":"","family":"Thomas","given":"Brett P","non-dropping-particle":"","parse-names":false,"suffix":""},{"dropping-particle":"","family":"Tiao","given":"Grace","non-dropping-particle":"","parse-names":false,"suffix":""},{"dropping-particle":"","family":"Tusie-Luna","given":"Maria T","non-dropping-particle":"","parse-names":false,"suffix":""},{"dropping-particle":"","family":"Weisburd","given":"Ben","non-dropping-particle":"","parse-names":false,"suffix":""},{"dropping-particle":"","family":"Won","given":"Hong Hee","non-dropping-particle":"","parse-names":false,"suffix":""},{"dropping-particle":"","family":"Yu","given":"Dongmei","non-dropping-particle":"","parse-names":false,"suffix":""},{"dropping-particle":"","family":"Altshuler","given":"David M","non-dropping-particle":"","parse-names":false,"suffix":""},{"dropping-particle":"","family":"Ardissino","given":"Diego","non-dropping-particle":"","parse-names":false,"suffix":""},{"dropping-particle":"","family":"Boehnke","given":"Michael","non-dropping-particle":"","parse-names":false,"suffix":""},{"dropping-particle":"","family":"Danesh","given":"John","non-dropping-particle":"","parse-names":false,"suffix":""},{"dropping-particle":"","family":"Donnelly","given":"Stacey","non-dropping-particle":"","parse-names":false,"suffix":""},{"dropping-particle":"","family":"Elosua","given":"Roberto","non-dropping-particle":"","parse-names":false,"suffix":""},{"dropping-particle":"","family":"Florez","given":"Jose C","non-dropping-particle":"","parse-names":false,"suffix":""},{"dropping-particle":"","family":"Gabriel","given":"Stacey B","non-dropping-particle":"","parse-names":false,"suffix":""},{"dropping-particle":"","family":"Getz","given":"Gad","non-dropping-particle":"","parse-names":false,"suffix":""},{"dropping-particle":"","family":"Glatt","given":"Stephen J","non-dropping-particle":"","parse-names":false,"suffix":""},{"dropping-particle":"","family":"Hultman","given":"Christina M","non-dropping-particle":"","parse-names":false,"suffix":""},{"dropping-particle":"","family":"Kathiresan","given":"Sekar","non-dropping-particle":"","parse-names":false,"suffix":""},{"dropping-particle":"","family":"Laakso","given":"Markku","non-dropping-particle":"","parse-names":false,"suffix":""},{"dropping-particle":"","family":"McCarroll","given":"Steven","non-dropping-particle":"","parse-names":false,"suffix":""},{"dropping-particle":"","family":"McCarthy","given":"Mark I","non-dropping-particle":"","parse-names":false,"suffix":""},{"dropping-particle":"","family":"McGovern","given":"Dermot","non-dropping-particle":"","parse-names":false,"suffix":""},{"dropping-particle":"","family":"McPherson","given":"Ruth","non-dropping-particle":"","parse-names":false,"suffix":""},{"dropping-particle":"","family":"Neale","given":"Benjamin M","non-dropping-particle":"","parse-names":false,"suffix":""},{"dropping-particle":"","family":"Palotie","given":"Aarno","non-dropping-particle":"","parse-names":false,"suffix":""},{"dropping-particle":"","family":"Purcell","given":"Shaun M","non-dropping-particle":"","parse-names":false,"suffix":""},{"dropping-particle":"","family":"Saleheen","given":"Danish","non-dropping-particle":"","parse-names":false,"suffix":""},{"dropping-particle":"","family":"Scharf","given":"Jeremiah M","non-dropping-particle":"","parse-names":false,"suffix":""},{"dropping-particle":"","family":"Sklar","given":"Pamela","non-dropping-particle":"","parse-names":false,"suffix":""},{"dropping-particle":"","family":"Sullivan","given":"Patrick F","non-dropping-particle":"","parse-names":false,"suffix":""},{"dropping-particle":"","family":"Tuomilehto","given":"Jaakko","non-dropping-particle":"","parse-names":false,"suffix":""},{"dropping-particle":"","family":"Tsuang","given":"Ming T","non-dropping-particle":"","parse-names":false,"suffix":""},{"dropping-particle":"","family":"Watkins","given":"Hugh C","non-dropping-particle":"","parse-names":false,"suffix":""},{"dropping-particle":"","family":"Wilson","given":"James G","non-dropping-particle":"","parse-names":false,"suffix":""},{"dropping-particle":"","family":"Daly","given":"Mark J","non-dropping-particle":"","parse-names":false,"suffix":""},{"dropping-particle":"","family":"MacArthur","given":"Daniel G","non-dropping-particle":"","parse-names":false,"suffix":""}],"container-title":"Nature","id":"ITEM-1","issue":"7616","issued":{"date-parts":[["2016","8","18"]]},"page":"285-291","title":"Analysis of protein-coding genetic variation in 60,706 humans","type":"article-journal","volume":"536"},"uris":["http://www.mendeley.com/documents/?uuid=4c49f268-ee9a-33a3-9c99-9967c72a9c91"]}],"mendeley":{"formattedCitation":"&lt;sup&gt;31&lt;/sup&gt;","plainTextFormattedCitation":"31","previouslyFormattedCitation":"&lt;sup&gt;31&lt;/sup&gt;"},"properties":{"noteIndex":0},"schema":"https://github.com/citation-style-language/schema/raw/master/csl-citation.json"}</w:instrText>
      </w:r>
      <w:r w:rsidR="00501926" w:rsidRPr="0061109F">
        <w:rPr>
          <w:rFonts w:ascii="Calibri" w:hAnsi="Calibri" w:cs="Calibri"/>
          <w:sz w:val="22"/>
          <w:szCs w:val="22"/>
        </w:rPr>
        <w:fldChar w:fldCharType="separate"/>
      </w:r>
      <w:r w:rsidR="00D3131C" w:rsidRPr="0061109F">
        <w:rPr>
          <w:rFonts w:ascii="Calibri" w:hAnsi="Calibri" w:cs="Calibri"/>
          <w:noProof/>
          <w:sz w:val="22"/>
          <w:szCs w:val="22"/>
          <w:vertAlign w:val="superscript"/>
        </w:rPr>
        <w:t>31</w:t>
      </w:r>
      <w:r w:rsidR="00501926" w:rsidRPr="0061109F">
        <w:rPr>
          <w:rFonts w:ascii="Calibri" w:hAnsi="Calibri" w:cs="Calibri"/>
          <w:sz w:val="22"/>
          <w:szCs w:val="22"/>
        </w:rPr>
        <w:fldChar w:fldCharType="end"/>
      </w:r>
      <w:r w:rsidR="00604DD4" w:rsidRPr="0061109F">
        <w:rPr>
          <w:rFonts w:ascii="Calibri" w:hAnsi="Calibri" w:cs="Calibri"/>
          <w:sz w:val="22"/>
          <w:szCs w:val="22"/>
        </w:rPr>
        <w:t xml:space="preserve"> and then</w:t>
      </w:r>
      <w:r w:rsidR="00F96789" w:rsidRPr="0061109F">
        <w:rPr>
          <w:rFonts w:ascii="Calibri" w:hAnsi="Calibri" w:cs="Calibri"/>
          <w:sz w:val="22"/>
          <w:szCs w:val="22"/>
        </w:rPr>
        <w:t xml:space="preserve"> values were</w:t>
      </w:r>
      <w:r w:rsidR="00604DD4" w:rsidRPr="0061109F">
        <w:rPr>
          <w:rFonts w:ascii="Calibri" w:hAnsi="Calibri" w:cs="Calibri"/>
          <w:sz w:val="22"/>
          <w:szCs w:val="22"/>
        </w:rPr>
        <w:t xml:space="preserve"> log-transformed.</w:t>
      </w:r>
    </w:p>
    <w:p w14:paraId="19329317" w14:textId="63280CB0" w:rsidR="005328D8" w:rsidRPr="0061109F" w:rsidRDefault="002C6897" w:rsidP="000B086A">
      <w:pPr>
        <w:pStyle w:val="Heading4"/>
        <w:spacing w:line="480" w:lineRule="auto"/>
        <w:rPr>
          <w:b/>
          <w:i w:val="0"/>
          <w:color w:val="auto"/>
          <w:sz w:val="22"/>
          <w:szCs w:val="22"/>
        </w:rPr>
      </w:pPr>
      <w:r w:rsidRPr="0061109F">
        <w:rPr>
          <w:b/>
          <w:i w:val="0"/>
          <w:color w:val="auto"/>
          <w:sz w:val="22"/>
          <w:szCs w:val="22"/>
        </w:rPr>
        <w:t>Somatic mutations associated with clonal hematopoiesis</w:t>
      </w:r>
    </w:p>
    <w:p w14:paraId="5E51FB14" w14:textId="61ADC8B4" w:rsidR="00C62C44" w:rsidRPr="0061109F" w:rsidRDefault="009A7E14" w:rsidP="000B086A">
      <w:pPr>
        <w:spacing w:line="480" w:lineRule="auto"/>
        <w:jc w:val="both"/>
        <w:rPr>
          <w:rFonts w:ascii="Calibri" w:hAnsi="Calibri" w:cs="Calibri"/>
          <w:sz w:val="22"/>
          <w:szCs w:val="22"/>
        </w:rPr>
      </w:pPr>
      <w:r w:rsidRPr="0061109F">
        <w:rPr>
          <w:rFonts w:ascii="Calibri" w:hAnsi="Calibri" w:cs="Calibri"/>
          <w:sz w:val="22"/>
          <w:szCs w:val="22"/>
        </w:rPr>
        <w:t>We identified SCZ cases with somatic mutations associated with clonal hematopoiesis with either candidate or unknown drivers.</w:t>
      </w:r>
      <w:r w:rsidR="008E0940" w:rsidRPr="0061109F">
        <w:rPr>
          <w:rFonts w:ascii="Calibri" w:hAnsi="Calibri" w:cs="Calibri"/>
          <w:sz w:val="22"/>
          <w:szCs w:val="22"/>
        </w:rPr>
        <w:fldChar w:fldCharType="begin" w:fldLock="1"/>
      </w:r>
      <w:r w:rsidR="000B086A" w:rsidRPr="0061109F">
        <w:rPr>
          <w:rFonts w:ascii="Calibri" w:hAnsi="Calibri" w:cs="Calibri"/>
          <w:sz w:val="22"/>
          <w:szCs w:val="22"/>
        </w:rPr>
        <w:instrText>ADDIN CSL_CITATION {"citationItems":[{"id":"ITEM-1","itemData":{"DOI":"10.1056/NEJMoa1409405","ISSN":"15334406","PMID":"25426838","abstract":"Background Cancers arise from multiple acquired mutations, which presumably occur over many years. Early stages in cancer development might be present years before cancers become clinically apparent. METHODS We analyzed data from whole-exome sequencing of DNA in peripheral-blood cells from 12, 380 persons, unselected for cancer or hematologic phenotypes. We identified somatic mutations on the basis of unusual allelic fractions. We used data from Swedish national patient registers to follow health outcomes for 2 to 7 years after DNA sampling. RESULTS Clonal hematopoiesis with somatic mutations was observed in 10% of persons older than 65 years of age but in only 1% of those younger than 50 years of age. Detectable clonal expansions most frequently involved somatic mutations in three genes (DNMT3A, ASXL1, and TET2) that have previously been implicated in hematologic cancers. Clonal hematopoiesis was a strong risk factor for subsequent hematologic cancer (hazard ratio, 12.9; 95% confidence interval, 5.8 to 28.7). Approximately 42% of hematologic cancers in this cohort arose in persons who had clonality at the time of DNA sampling, more than 6 months before a first diagnosis of cancer. Analysis of bone marrow-biopsy specimens obtained from two patients at the time of diagnosis of acute myeloid leukemia revealed that their cancers arose from the earlier clones. CONCLUSIONS Clonal hematopoiesis with somatic mutations is readily detected by means of DNA sequencing, is increasingly common as people age, and is associated with increased risks of hematologic cancer and death. A subset of the genes that are mutated in patients with myeloid cancers is frequently mutated in apparently healthy persons; these mutations may represent characteristic early events in the development of hematologic cancers.","author":[{"dropping-particle":"","family":"Genovese","given":"Giulio","non-dropping-particle":"","parse-names":false,"suffix":""},{"dropping-particle":"","family":"Kähler","given":"Anna K","non-dropping-particle":"","parse-names":false,"suffix":""},{"dropping-particle":"","family":"Handsaker","given":"Robert E","non-dropping-particle":"","parse-names":false,"suffix":""},{"dropping-particle":"","family":"Lindberg","given":"Johan","non-dropping-particle":"","parse-names":false,"suffix":""},{"dropping-particle":"","family":"Rose","given":"Samuel A","non-dropping-particle":"","parse-names":false,"suffix":""},{"dropping-particle":"","family":"Bakhoum","given":"Samuel F","non-dropping-particle":"","parse-names":false,"suffix":""},{"dropping-particle":"","family":"Chambert","given":"Kimberly","non-dropping-particle":"","parse-names":false,"suffix":""},{"dropping-particle":"","family":"Mick","given":"Eran","non-dropping-particle":"","parse-names":false,"suffix":""},{"dropping-particle":"","family":"Neale","given":"Benjamin M","non-dropping-particle":"","parse-names":false,"suffix":""},{"dropping-particle":"","family":"Fromer","given":"Menachem","non-dropping-particle":"","parse-names":false,"suffix":""},{"dropping-particle":"","family":"Purcell","given":"Shaun M","non-dropping-particle":"","parse-names":false,"suffix":""},{"dropping-particle":"","family":"Svantesson","given":"Oscar","non-dropping-particle":"","parse-names":false,"suffix":""},{"dropping-particle":"","family":"Landén","given":"Mikael","non-dropping-particle":"","parse-names":false,"suffix":""},{"dropping-particle":"","family":"Höglund","given":"Martin","non-dropping-particle":"","parse-names":false,"suffix":""},{"dropping-particle":"","family":"Lehmann","given":"Sören","non-dropping-particle":"","parse-names":false,"suffix":""},{"dropping-particle":"","family":"Gabriel","given":"Stacey B","non-dropping-particle":"","parse-names":false,"suffix":""},{"dropping-particle":"","family":"Moran","given":"Jennifer L","non-dropping-particle":"","parse-names":false,"suffix":""},{"dropping-particle":"","family":"Lander","given":"Eric S","non-dropping-particle":"","parse-names":false,"suffix":""},{"dropping-particle":"","family":"Sullivan","given":"Patrick F","non-dropping-particle":"","parse-names":false,"suffix":""},{"dropping-particle":"","family":"Sklar","given":"Pamela","non-dropping-particle":"","parse-names":false,"suffix":""},{"dropping-particle":"","family":"Grönberg","given":"Henrik","non-dropping-particle":"","parse-names":false,"suffix":""},{"dropping-particle":"","family":"Hultman","given":"Christina M","non-dropping-particle":"","parse-names":false,"suffix":""},{"dropping-particle":"","family":"McCarroll","given":"Steven A.","non-dropping-particle":"","parse-names":false,"suffix":""}],"container-title":"New England Journal of Medicine","id":"ITEM-1","issue":"26","issued":{"date-parts":[["2014"]]},"page":"2477-2487","title":"Clonal hematopoiesis and blood-cancer risk inferred from blood DNA sequence","type":"article-journal","volume":"371"},"uris":["http://www.mendeley.com/documents/?uuid=10ac51d1-4694-3398-b370-58b35c9aeb59"]}],"mendeley":{"formattedCitation":"&lt;sup&gt;32&lt;/sup&gt;","plainTextFormattedCitation":"32","previouslyFormattedCitation":"&lt;sup&gt;32&lt;/sup&gt;"},"properties":{"noteIndex":0},"schema":"https://github.com/citation-style-language/schema/raw/master/csl-citation.json"}</w:instrText>
      </w:r>
      <w:r w:rsidR="008E0940" w:rsidRPr="0061109F">
        <w:rPr>
          <w:rFonts w:ascii="Calibri" w:hAnsi="Calibri" w:cs="Calibri"/>
          <w:sz w:val="22"/>
          <w:szCs w:val="22"/>
        </w:rPr>
        <w:fldChar w:fldCharType="separate"/>
      </w:r>
      <w:r w:rsidR="00D3131C" w:rsidRPr="0061109F">
        <w:rPr>
          <w:rFonts w:ascii="Calibri" w:hAnsi="Calibri" w:cs="Calibri"/>
          <w:noProof/>
          <w:sz w:val="22"/>
          <w:szCs w:val="22"/>
          <w:vertAlign w:val="superscript"/>
        </w:rPr>
        <w:t>32</w:t>
      </w:r>
      <w:r w:rsidR="008E0940" w:rsidRPr="0061109F">
        <w:rPr>
          <w:rFonts w:ascii="Calibri" w:hAnsi="Calibri" w:cs="Calibri"/>
          <w:sz w:val="22"/>
          <w:szCs w:val="22"/>
        </w:rPr>
        <w:fldChar w:fldCharType="end"/>
      </w:r>
      <w:r w:rsidR="008E0940" w:rsidRPr="0061109F">
        <w:rPr>
          <w:rFonts w:ascii="Calibri" w:hAnsi="Calibri" w:cs="Calibri"/>
          <w:sz w:val="22"/>
          <w:szCs w:val="22"/>
        </w:rPr>
        <w:t xml:space="preserve"> </w:t>
      </w:r>
      <w:r w:rsidR="002B5F94" w:rsidRPr="0061109F">
        <w:rPr>
          <w:rFonts w:ascii="Calibri" w:hAnsi="Calibri" w:cs="Calibri"/>
          <w:sz w:val="22"/>
          <w:szCs w:val="22"/>
        </w:rPr>
        <w:t xml:space="preserve">Somatic mutations without a candidate driver were defined as alleles with the following criteria: </w:t>
      </w:r>
      <w:r w:rsidR="001354FA" w:rsidRPr="0061109F">
        <w:rPr>
          <w:rFonts w:ascii="Calibri" w:hAnsi="Calibri" w:cs="Calibri"/>
          <w:sz w:val="22"/>
          <w:szCs w:val="22"/>
        </w:rPr>
        <w:t xml:space="preserve">a </w:t>
      </w:r>
      <w:r w:rsidR="002B5F94" w:rsidRPr="0061109F">
        <w:rPr>
          <w:rFonts w:ascii="Calibri" w:hAnsi="Calibri" w:cs="Calibri"/>
          <w:sz w:val="22"/>
          <w:szCs w:val="22"/>
        </w:rPr>
        <w:t>SNP, observed once or twice (MAF &lt;0</w:t>
      </w:r>
      <w:r w:rsidR="000B086A" w:rsidRPr="0061109F">
        <w:rPr>
          <w:rFonts w:ascii="Calibri" w:hAnsi="Calibri" w:cs="Calibri"/>
          <w:sz w:val="22"/>
          <w:szCs w:val="22"/>
        </w:rPr>
        <w:t>.</w:t>
      </w:r>
      <w:r w:rsidR="002B5F94" w:rsidRPr="0061109F">
        <w:rPr>
          <w:rFonts w:ascii="Calibri" w:hAnsi="Calibri" w:cs="Calibri"/>
          <w:sz w:val="22"/>
          <w:szCs w:val="22"/>
        </w:rPr>
        <w:t>01%) in the cohort,</w:t>
      </w:r>
      <w:r w:rsidR="00996449" w:rsidRPr="0061109F">
        <w:rPr>
          <w:rFonts w:ascii="Calibri" w:hAnsi="Calibri" w:cs="Calibri"/>
          <w:sz w:val="22"/>
          <w:szCs w:val="22"/>
        </w:rPr>
        <w:t xml:space="preserve"> </w:t>
      </w:r>
      <w:r w:rsidR="001B05B5" w:rsidRPr="0061109F">
        <w:rPr>
          <w:rFonts w:ascii="Calibri" w:hAnsi="Calibri" w:cs="Calibri"/>
          <w:sz w:val="22"/>
          <w:szCs w:val="22"/>
        </w:rPr>
        <w:t>an</w:t>
      </w:r>
      <w:r w:rsidR="002B5F94" w:rsidRPr="0061109F">
        <w:rPr>
          <w:rFonts w:ascii="Calibri" w:hAnsi="Calibri" w:cs="Calibri"/>
          <w:sz w:val="22"/>
          <w:szCs w:val="22"/>
        </w:rPr>
        <w:t xml:space="preserve"> allelic fraction &gt;10</w:t>
      </w:r>
      <w:r w:rsidR="00996449" w:rsidRPr="0061109F">
        <w:rPr>
          <w:rFonts w:ascii="Calibri" w:hAnsi="Calibri" w:cs="Calibri"/>
          <w:sz w:val="22"/>
          <w:szCs w:val="22"/>
        </w:rPr>
        <w:t>%</w:t>
      </w:r>
      <w:r w:rsidR="002B5F94" w:rsidRPr="0061109F">
        <w:rPr>
          <w:rFonts w:ascii="Calibri" w:hAnsi="Calibri" w:cs="Calibri"/>
          <w:sz w:val="22"/>
          <w:szCs w:val="22"/>
        </w:rPr>
        <w:t>, and did not have a</w:t>
      </w:r>
      <w:r w:rsidR="001354FA" w:rsidRPr="0061109F">
        <w:rPr>
          <w:rFonts w:ascii="Calibri" w:hAnsi="Calibri" w:cs="Calibri"/>
          <w:sz w:val="22"/>
          <w:szCs w:val="22"/>
        </w:rPr>
        <w:t xml:space="preserve"> </w:t>
      </w:r>
      <w:r w:rsidR="002B5F94" w:rsidRPr="0061109F">
        <w:rPr>
          <w:rFonts w:ascii="Calibri" w:hAnsi="Calibri" w:cs="Calibri"/>
          <w:sz w:val="22"/>
          <w:szCs w:val="22"/>
        </w:rPr>
        <w:t>binomial distributed alternate allelic count (with mean 45% with a designed false positive rate of 10</w:t>
      </w:r>
      <w:r w:rsidR="002B5F94" w:rsidRPr="0061109F">
        <w:rPr>
          <w:rFonts w:ascii="Calibri" w:hAnsi="Calibri" w:cs="Calibri"/>
          <w:sz w:val="22"/>
          <w:szCs w:val="22"/>
          <w:vertAlign w:val="superscript"/>
        </w:rPr>
        <w:t>-5</w:t>
      </w:r>
      <w:r w:rsidR="002B5F94" w:rsidRPr="0061109F">
        <w:rPr>
          <w:rFonts w:ascii="Calibri" w:hAnsi="Calibri" w:cs="Calibri"/>
          <w:sz w:val="22"/>
          <w:szCs w:val="22"/>
        </w:rPr>
        <w:t>). Somatic mutations with a candidate driver were defined as those alleles satisfying the following criteria: SNPs or indels of length one or two base pairs, observed ≤6 times (MAF &lt;0</w:t>
      </w:r>
      <w:r w:rsidR="000B086A" w:rsidRPr="0061109F">
        <w:rPr>
          <w:rFonts w:ascii="Calibri" w:hAnsi="Calibri" w:cs="Calibri"/>
          <w:sz w:val="22"/>
          <w:szCs w:val="22"/>
        </w:rPr>
        <w:t>.</w:t>
      </w:r>
      <w:r w:rsidR="002B5F94" w:rsidRPr="0061109F">
        <w:rPr>
          <w:rFonts w:ascii="Calibri" w:hAnsi="Calibri" w:cs="Calibri"/>
          <w:sz w:val="22"/>
          <w:szCs w:val="22"/>
        </w:rPr>
        <w:t xml:space="preserve">025%) in the cohort, an allelic fraction &gt;5%, </w:t>
      </w:r>
      <w:r w:rsidR="000C67CF" w:rsidRPr="0061109F">
        <w:rPr>
          <w:rFonts w:ascii="Calibri" w:hAnsi="Calibri" w:cs="Calibri"/>
          <w:sz w:val="22"/>
          <w:szCs w:val="22"/>
        </w:rPr>
        <w:t xml:space="preserve">and did not have a binomial distributed </w:t>
      </w:r>
      <w:r w:rsidR="002B5F94" w:rsidRPr="0061109F">
        <w:rPr>
          <w:rFonts w:ascii="Calibri" w:hAnsi="Calibri" w:cs="Calibri"/>
          <w:sz w:val="22"/>
          <w:szCs w:val="22"/>
        </w:rPr>
        <w:t xml:space="preserve">alternate allelic </w:t>
      </w:r>
      <w:r w:rsidR="002B5F94" w:rsidRPr="0061109F">
        <w:rPr>
          <w:rFonts w:ascii="Calibri" w:hAnsi="Calibri" w:cs="Calibri"/>
          <w:sz w:val="22"/>
          <w:szCs w:val="22"/>
        </w:rPr>
        <w:lastRenderedPageBreak/>
        <w:t xml:space="preserve">count </w:t>
      </w:r>
      <w:r w:rsidR="000C67CF" w:rsidRPr="0061109F">
        <w:rPr>
          <w:rFonts w:ascii="Calibri" w:hAnsi="Calibri" w:cs="Calibri"/>
          <w:sz w:val="22"/>
          <w:szCs w:val="22"/>
        </w:rPr>
        <w:t>(</w:t>
      </w:r>
      <w:r w:rsidR="002B5F94" w:rsidRPr="0061109F">
        <w:rPr>
          <w:rFonts w:ascii="Calibri" w:hAnsi="Calibri" w:cs="Calibri"/>
          <w:sz w:val="22"/>
          <w:szCs w:val="22"/>
        </w:rPr>
        <w:t>mean</w:t>
      </w:r>
      <w:r w:rsidR="000C67CF" w:rsidRPr="0061109F">
        <w:rPr>
          <w:rFonts w:ascii="Calibri" w:hAnsi="Calibri" w:cs="Calibri"/>
          <w:sz w:val="22"/>
          <w:szCs w:val="22"/>
        </w:rPr>
        <w:t>=</w:t>
      </w:r>
      <w:r w:rsidR="002B5F94" w:rsidRPr="0061109F">
        <w:rPr>
          <w:rFonts w:ascii="Calibri" w:hAnsi="Calibri" w:cs="Calibri"/>
          <w:sz w:val="22"/>
          <w:szCs w:val="22"/>
        </w:rPr>
        <w:t>47% for SNPs and 40% for indels with a false positive rate of 0</w:t>
      </w:r>
      <w:r w:rsidR="000B086A" w:rsidRPr="0061109F">
        <w:rPr>
          <w:rFonts w:ascii="Calibri" w:hAnsi="Calibri" w:cs="Calibri"/>
          <w:sz w:val="22"/>
          <w:szCs w:val="22"/>
        </w:rPr>
        <w:t>.</w:t>
      </w:r>
      <w:r w:rsidR="002B5F94" w:rsidRPr="0061109F">
        <w:rPr>
          <w:rFonts w:ascii="Calibri" w:hAnsi="Calibri" w:cs="Calibri"/>
          <w:sz w:val="22"/>
          <w:szCs w:val="22"/>
        </w:rPr>
        <w:t>01</w:t>
      </w:r>
      <w:r w:rsidR="000C67CF" w:rsidRPr="0061109F">
        <w:rPr>
          <w:rFonts w:ascii="Calibri" w:hAnsi="Calibri" w:cs="Calibri"/>
          <w:sz w:val="22"/>
          <w:szCs w:val="22"/>
        </w:rPr>
        <w:t>).</w:t>
      </w:r>
      <w:r w:rsidR="002B5F94" w:rsidRPr="0061109F">
        <w:rPr>
          <w:rFonts w:ascii="Calibri" w:hAnsi="Calibri" w:cs="Calibri"/>
          <w:sz w:val="22"/>
          <w:szCs w:val="22"/>
        </w:rPr>
        <w:t xml:space="preserve"> </w:t>
      </w:r>
      <w:r w:rsidR="00996449" w:rsidRPr="0061109F">
        <w:rPr>
          <w:rFonts w:ascii="Calibri" w:hAnsi="Calibri" w:cs="Calibri"/>
          <w:sz w:val="22"/>
          <w:szCs w:val="22"/>
        </w:rPr>
        <w:t>In addition, a</w:t>
      </w:r>
      <w:r w:rsidR="008E0940" w:rsidRPr="0061109F">
        <w:rPr>
          <w:rFonts w:ascii="Calibri" w:hAnsi="Calibri" w:cs="Calibri"/>
          <w:sz w:val="22"/>
          <w:szCs w:val="22"/>
        </w:rPr>
        <w:t xml:space="preserve">lleles with candidate driver somatic mutations satisfied the following: disruptive and missense mutations in the </w:t>
      </w:r>
      <w:r w:rsidR="008E0940" w:rsidRPr="0061109F">
        <w:rPr>
          <w:rFonts w:ascii="Calibri" w:hAnsi="Calibri" w:cs="Calibri"/>
          <w:i/>
          <w:sz w:val="22"/>
          <w:szCs w:val="22"/>
        </w:rPr>
        <w:t>DNTMT3A</w:t>
      </w:r>
      <w:r w:rsidR="008E0940" w:rsidRPr="0061109F">
        <w:rPr>
          <w:rFonts w:ascii="Calibri" w:hAnsi="Calibri" w:cs="Calibri"/>
          <w:sz w:val="22"/>
          <w:szCs w:val="22"/>
        </w:rPr>
        <w:t xml:space="preserve"> gene (in exons 7 to 23), disruptive mutations in gene </w:t>
      </w:r>
      <w:r w:rsidR="008E0940" w:rsidRPr="0061109F">
        <w:rPr>
          <w:rFonts w:ascii="Calibri" w:hAnsi="Calibri" w:cs="Calibri"/>
          <w:i/>
          <w:iCs/>
          <w:sz w:val="22"/>
          <w:szCs w:val="22"/>
        </w:rPr>
        <w:t xml:space="preserve">ASXL1 </w:t>
      </w:r>
      <w:r w:rsidR="008E0940" w:rsidRPr="0061109F">
        <w:rPr>
          <w:rFonts w:ascii="Calibri" w:hAnsi="Calibri" w:cs="Calibri"/>
          <w:iCs/>
          <w:sz w:val="22"/>
          <w:szCs w:val="22"/>
        </w:rPr>
        <w:t>(excluding</w:t>
      </w:r>
      <w:r w:rsidR="008E0940" w:rsidRPr="0061109F">
        <w:rPr>
          <w:rFonts w:ascii="Calibri" w:hAnsi="Calibri" w:cs="Calibri"/>
          <w:sz w:val="22"/>
          <w:szCs w:val="22"/>
        </w:rPr>
        <w:t xml:space="preserve"> </w:t>
      </w:r>
      <w:r w:rsidR="008E0940" w:rsidRPr="0061109F">
        <w:rPr>
          <w:rFonts w:ascii="Calibri" w:hAnsi="Calibri" w:cs="Calibri"/>
          <w:i/>
          <w:iCs/>
          <w:sz w:val="22"/>
          <w:szCs w:val="22"/>
        </w:rPr>
        <w:t xml:space="preserve">ASXL1 </w:t>
      </w:r>
      <w:r w:rsidR="008E0940" w:rsidRPr="0061109F">
        <w:rPr>
          <w:rFonts w:ascii="Calibri" w:hAnsi="Calibri" w:cs="Calibri"/>
          <w:sz w:val="22"/>
          <w:szCs w:val="22"/>
        </w:rPr>
        <w:t xml:space="preserve">p.G646fsX12 and p.G645fsX583), disruptive mutations in gene </w:t>
      </w:r>
      <w:r w:rsidR="008E0940" w:rsidRPr="0061109F">
        <w:rPr>
          <w:rFonts w:ascii="Calibri" w:hAnsi="Calibri" w:cs="Calibri"/>
          <w:i/>
          <w:iCs/>
          <w:sz w:val="22"/>
          <w:szCs w:val="22"/>
        </w:rPr>
        <w:t xml:space="preserve">TET2, </w:t>
      </w:r>
      <w:r w:rsidR="008E0940" w:rsidRPr="0061109F">
        <w:rPr>
          <w:rFonts w:ascii="Calibri" w:hAnsi="Calibri" w:cs="Calibri"/>
          <w:iCs/>
          <w:sz w:val="22"/>
          <w:szCs w:val="22"/>
        </w:rPr>
        <w:t>d</w:t>
      </w:r>
      <w:r w:rsidR="008E0940" w:rsidRPr="0061109F">
        <w:rPr>
          <w:rFonts w:ascii="Calibri" w:hAnsi="Calibri" w:cs="Calibri"/>
          <w:sz w:val="22"/>
          <w:szCs w:val="22"/>
        </w:rPr>
        <w:t xml:space="preserve">isruptive mutations in gene </w:t>
      </w:r>
      <w:r w:rsidR="008E0940" w:rsidRPr="0061109F">
        <w:rPr>
          <w:rFonts w:ascii="Calibri" w:hAnsi="Calibri" w:cs="Calibri"/>
          <w:i/>
          <w:iCs/>
          <w:sz w:val="22"/>
          <w:szCs w:val="22"/>
        </w:rPr>
        <w:t xml:space="preserve">PPM1D, </w:t>
      </w:r>
      <w:r w:rsidR="008E0940" w:rsidRPr="0061109F">
        <w:rPr>
          <w:rFonts w:ascii="Calibri" w:hAnsi="Calibri" w:cs="Calibri"/>
          <w:sz w:val="22"/>
          <w:szCs w:val="22"/>
        </w:rPr>
        <w:t xml:space="preserve">missense mutation </w:t>
      </w:r>
      <w:r w:rsidR="008E0940" w:rsidRPr="0061109F">
        <w:rPr>
          <w:rFonts w:ascii="Calibri" w:hAnsi="Calibri" w:cs="Calibri"/>
          <w:i/>
          <w:iCs/>
          <w:sz w:val="22"/>
          <w:szCs w:val="22"/>
        </w:rPr>
        <w:t xml:space="preserve">JAK2 </w:t>
      </w:r>
      <w:r w:rsidR="008E0940" w:rsidRPr="0061109F">
        <w:rPr>
          <w:rFonts w:ascii="Calibri" w:hAnsi="Calibri" w:cs="Calibri"/>
          <w:sz w:val="22"/>
          <w:szCs w:val="22"/>
        </w:rPr>
        <w:t>p.V617F,</w:t>
      </w:r>
      <w:r w:rsidR="002B5F94" w:rsidRPr="0061109F">
        <w:rPr>
          <w:rFonts w:ascii="Calibri" w:hAnsi="Calibri" w:cs="Calibri"/>
          <w:sz w:val="22"/>
          <w:szCs w:val="22"/>
        </w:rPr>
        <w:t xml:space="preserve"> or m</w:t>
      </w:r>
      <w:r w:rsidR="008E0940" w:rsidRPr="0061109F">
        <w:rPr>
          <w:rFonts w:ascii="Calibri" w:hAnsi="Calibri" w:cs="Calibri"/>
          <w:sz w:val="22"/>
          <w:szCs w:val="22"/>
        </w:rPr>
        <w:t xml:space="preserve">utations reported </w:t>
      </w:r>
      <w:r w:rsidR="002B5F94" w:rsidRPr="0061109F">
        <w:rPr>
          <w:rFonts w:ascii="Calibri" w:hAnsi="Calibri" w:cs="Calibri"/>
          <w:sz w:val="22"/>
          <w:szCs w:val="22"/>
        </w:rPr>
        <w:t xml:space="preserve">≥ 7 </w:t>
      </w:r>
      <w:r w:rsidR="008E0940" w:rsidRPr="0061109F">
        <w:rPr>
          <w:rFonts w:ascii="Calibri" w:hAnsi="Calibri" w:cs="Calibri"/>
          <w:sz w:val="22"/>
          <w:szCs w:val="22"/>
        </w:rPr>
        <w:t>times in hematopoietic and lymphoid malignancies using the Catalogue of Somatic Mutations in Cancer</w:t>
      </w:r>
      <w:r w:rsidR="002B5F94" w:rsidRPr="0061109F">
        <w:rPr>
          <w:rFonts w:ascii="Calibri" w:hAnsi="Calibri" w:cs="Calibri"/>
          <w:sz w:val="22"/>
          <w:szCs w:val="22"/>
        </w:rPr>
        <w:fldChar w:fldCharType="begin" w:fldLock="1"/>
      </w:r>
      <w:r w:rsidR="000B086A" w:rsidRPr="0061109F">
        <w:rPr>
          <w:rFonts w:ascii="Calibri" w:hAnsi="Calibri" w:cs="Calibri"/>
          <w:sz w:val="22"/>
          <w:szCs w:val="22"/>
        </w:rPr>
        <w:instrText>ADDIN CSL_CITATION {"citationItems":[{"id":"ITEM-1","itemData":{"DOI":"10.1093/nar/gkq929","ISSN":"1362-4962","PMID":"20952405","abstract":"COSMIC (http://www.sanger.ac.uk/cosmic) curates comprehensive information on somatic mutations in human cancer. Release v48 (July 2010) describes over 136,000 coding mutations in almost 542,000 tumour samples; of the 18,490 genes documented, 4803 (26%) have one or more mutations. Full scientific literature curations are available on 83 major cancer genes and 49 fusion gene pairs (19 new cancer genes and 30 new fusion pairs this year) and this number is continually increasing. Key amongst these is TP53, now available through a collaboration with the IARC p53 database. In addition to data from the Cancer Genome Project (CGP) at the Sanger Institute, UK, and The Cancer Genome Atlas project (TCGA), large systematic screens are also now curated. Major website upgrades now make these data much more mineable, with many new selection filters and graphics. A Biomart is now available allowing more automated data mining and integration with other biological databases. Annotation of genomic features has become a significant focus; COSMIC has begun curating full-genome resequencing experiments, developing new web pages, export formats and graphics styles. With all genomic information recently updated to GRCh37, COSMIC integrates many diverse types of mutation information and is making much closer links with Ensembl and other data resources.","author":[{"dropping-particle":"","family":"Forbes","given":"Simon A","non-dropping-particle":"","parse-names":false,"suffix":""},{"dropping-particle":"","family":"Bindal","given":"Nidhi","non-dropping-particle":"","parse-names":false,"suffix":""},{"dropping-particle":"","family":"Bamford","given":"Sally","non-dropping-particle":"","parse-names":false,"suffix":""},{"dropping-particle":"","family":"Cole","given":"Charlotte","non-dropping-particle":"","parse-names":false,"suffix":""},{"dropping-particle":"","family":"Kok","given":"Chai Yin","non-dropping-particle":"","parse-names":false,"suffix":""},{"dropping-particle":"","family":"Beare","given":"David","non-dropping-particle":"","parse-names":false,"suffix":""},{"dropping-particle":"","family":"Jia","given":"Mingming","non-dropping-particle":"","parse-names":false,"suffix":""},{"dropping-particle":"","family":"Shepherd","given":"Rebecca","non-dropping-particle":"","parse-names":false,"suffix":""},{"dropping-particle":"","family":"Leung","given":"Kenric","non-dropping-particle":"","parse-names":false,"suffix":""},{"dropping-particle":"","family":"Menzies","given":"Andrew","non-dropping-particle":"","parse-names":false,"suffix":""},{"dropping-particle":"","family":"Teague","given":"Jon W","non-dropping-particle":"","parse-names":false,"suffix":""},{"dropping-particle":"","family":"Campbell","given":"Peter J","non-dropping-particle":"","parse-names":false,"suffix":""},{"dropping-particle":"","family":"Stratton","given":"Michael R","non-dropping-particle":"","parse-names":false,"suffix":""},{"dropping-particle":"","family":"Futreal","given":"P Andrew","non-dropping-particle":"","parse-names":false,"suffix":""}],"container-title":"Nucleic acids research","id":"ITEM-1","issue":"Database issue","issued":{"date-parts":[["2011","1"]]},"page":"D945-50","title":"COSMIC: mining complete cancer genomes in the Catalogue of Somatic Mutations in Cancer.","type":"article-journal","volume":"39"},"uris":["http://www.mendeley.com/documents/?uuid=e52c455f-bd79-4221-a10c-85b099f003fd"]}],"mendeley":{"formattedCitation":"&lt;sup&gt;33&lt;/sup&gt;","plainTextFormattedCitation":"33","previouslyFormattedCitation":"&lt;sup&gt;33&lt;/sup&gt;"},"properties":{"noteIndex":0},"schema":"https://github.com/citation-style-language/schema/raw/master/csl-citation.json"}</w:instrText>
      </w:r>
      <w:r w:rsidR="002B5F94" w:rsidRPr="0061109F">
        <w:rPr>
          <w:rFonts w:ascii="Calibri" w:hAnsi="Calibri" w:cs="Calibri"/>
          <w:sz w:val="22"/>
          <w:szCs w:val="22"/>
        </w:rPr>
        <w:fldChar w:fldCharType="separate"/>
      </w:r>
      <w:r w:rsidR="00D3131C" w:rsidRPr="0061109F">
        <w:rPr>
          <w:rFonts w:ascii="Calibri" w:hAnsi="Calibri" w:cs="Calibri"/>
          <w:noProof/>
          <w:sz w:val="22"/>
          <w:szCs w:val="22"/>
          <w:vertAlign w:val="superscript"/>
        </w:rPr>
        <w:t>33</w:t>
      </w:r>
      <w:r w:rsidR="002B5F94" w:rsidRPr="0061109F">
        <w:rPr>
          <w:rFonts w:ascii="Calibri" w:hAnsi="Calibri" w:cs="Calibri"/>
          <w:sz w:val="22"/>
          <w:szCs w:val="22"/>
        </w:rPr>
        <w:fldChar w:fldCharType="end"/>
      </w:r>
      <w:r w:rsidR="008E0940" w:rsidRPr="0061109F">
        <w:rPr>
          <w:rFonts w:ascii="Calibri" w:hAnsi="Calibri" w:cs="Calibri"/>
          <w:sz w:val="22"/>
          <w:szCs w:val="22"/>
        </w:rPr>
        <w:t xml:space="preserve"> </w:t>
      </w:r>
      <w:r w:rsidR="002B5F94" w:rsidRPr="0061109F">
        <w:rPr>
          <w:rFonts w:ascii="Calibri" w:hAnsi="Calibri" w:cs="Calibri"/>
          <w:sz w:val="22"/>
          <w:szCs w:val="22"/>
        </w:rPr>
        <w:t>(and excluding</w:t>
      </w:r>
      <w:r w:rsidR="008E0940" w:rsidRPr="0061109F">
        <w:rPr>
          <w:rFonts w:ascii="Calibri" w:hAnsi="Calibri" w:cs="Calibri"/>
          <w:sz w:val="22"/>
          <w:szCs w:val="22"/>
        </w:rPr>
        <w:t xml:space="preserve"> inherited mutations and potential PCR artifacts</w:t>
      </w:r>
      <w:r w:rsidR="002B5F94" w:rsidRPr="0061109F">
        <w:rPr>
          <w:rFonts w:ascii="Calibri" w:hAnsi="Calibri" w:cs="Calibri"/>
          <w:sz w:val="22"/>
          <w:szCs w:val="22"/>
        </w:rPr>
        <w:t>).</w:t>
      </w:r>
      <w:r w:rsidR="00996449" w:rsidRPr="0061109F">
        <w:rPr>
          <w:rFonts w:ascii="Calibri" w:hAnsi="Calibri" w:cs="Calibri"/>
          <w:sz w:val="22"/>
          <w:szCs w:val="22"/>
        </w:rPr>
        <w:t xml:space="preserve"> Select somatic mutations were also validated using targeted sequencing.</w:t>
      </w:r>
    </w:p>
    <w:p w14:paraId="3DB1E308" w14:textId="77777777" w:rsidR="00C763EA" w:rsidRPr="0061109F" w:rsidRDefault="00C763EA" w:rsidP="000B086A">
      <w:pPr>
        <w:pStyle w:val="Heading4"/>
        <w:spacing w:line="480" w:lineRule="auto"/>
        <w:rPr>
          <w:b/>
          <w:i w:val="0"/>
          <w:color w:val="auto"/>
          <w:sz w:val="22"/>
          <w:szCs w:val="22"/>
        </w:rPr>
      </w:pPr>
      <w:r w:rsidRPr="0061109F">
        <w:rPr>
          <w:b/>
          <w:i w:val="0"/>
          <w:color w:val="auto"/>
          <w:sz w:val="22"/>
          <w:szCs w:val="22"/>
        </w:rPr>
        <w:t>Methylation age estimation</w:t>
      </w:r>
    </w:p>
    <w:p w14:paraId="14FEDA64" w14:textId="2CD6E659" w:rsidR="00F64024" w:rsidRPr="0061109F" w:rsidRDefault="00591C7A" w:rsidP="000B086A">
      <w:pPr>
        <w:spacing w:line="480" w:lineRule="auto"/>
        <w:jc w:val="both"/>
        <w:rPr>
          <w:rFonts w:ascii="Calibri" w:hAnsi="Calibri" w:cs="Calibri"/>
          <w:sz w:val="22"/>
          <w:szCs w:val="22"/>
          <w:lang w:val="en-US"/>
        </w:rPr>
      </w:pPr>
      <w:r w:rsidRPr="0061109F">
        <w:rPr>
          <w:rFonts w:ascii="Calibri" w:hAnsi="Calibri" w:cs="Calibri"/>
          <w:sz w:val="22"/>
          <w:szCs w:val="22"/>
        </w:rPr>
        <w:t>Given the strong association between age and the presence of clonal hematopoiesis associated somatic mutations, and since the most frequent class of these mutations occurs at CpG dinucleotides, we tested whether methylation age acceleration (a biological age predictor) was associated with these somatic mutations. The m</w:t>
      </w:r>
      <w:r w:rsidR="00C763EA" w:rsidRPr="0061109F">
        <w:rPr>
          <w:rFonts w:ascii="Calibri" w:hAnsi="Calibri" w:cs="Calibri"/>
          <w:sz w:val="22"/>
          <w:szCs w:val="22"/>
        </w:rPr>
        <w:t>ethylation data details have been reported.</w:t>
      </w:r>
      <w:r w:rsidR="00C763EA" w:rsidRPr="0061109F">
        <w:rPr>
          <w:rFonts w:ascii="Calibri" w:hAnsi="Calibri" w:cs="Calibri"/>
          <w:sz w:val="22"/>
          <w:szCs w:val="22"/>
        </w:rPr>
        <w:fldChar w:fldCharType="begin" w:fldLock="1"/>
      </w:r>
      <w:r w:rsidR="000B086A" w:rsidRPr="0061109F">
        <w:rPr>
          <w:rFonts w:ascii="Calibri" w:hAnsi="Calibri" w:cs="Calibri"/>
          <w:sz w:val="22"/>
          <w:szCs w:val="22"/>
        </w:rPr>
        <w:instrText>ADDIN CSL_CITATION {"citationItems":[{"id":"ITEM-1","itemData":{"DOI":"10.1038/s41398-019-0489-3","ISSN":"2158-3188","PMID":"31164630","abstract":"Schizophrenia (SCZ) is associated with high mortality. DNA methylation levels vary over the life course, and pre-selected combinations of methylation array probes can be used to estimate \"methylation age\" (mAge). mAge correlates highly with chronological age but when it differs, termed mAge acceleration, it has been previously associated with all-cause mortality. We tested the association between mAge acceleration and mortality in SCZ and controls. We selected 190 SCZ cases and 190 controls from the Sweden Schizophrenia Study. Cases were identified from the Swedish Hospital Discharge Register with ≥5 specialist treatment contacts and ≥5 antipsychotic prescriptions. Controls had no psychotic disorder or antipsychotics. Subjects were selected if they had died or survived during follow-up (2:1 oversampling). Extracted DNA was assayed on the Illumina MethylationEPIC array. mAge was regressed on age at sampling to obtain mAge acceleration. Using Cox proportional hazards regression, the association between mAge acceleration and mortality was tested. After quality control, the following were available: n = 126 SCZ died, 63 SCZ alive, 127 controls died, 62 controls alive. In the primary analyses, we did not find a significant association between mAge acceleration and SCZ mortality (adjusted p &gt; 0.005). Sensitivity analyses excluding SCZ cases with pre-existing cancer demonstrated a significant association between the Hannum mAge acceleration and mortality (hazard ratio = 1.13, 95% confidence interval = 1.04-1.22, p = 0.005). Per our pre-specified criteria, we did not confirm our primary hypothesis that mAge acceleration would predict subsequent mortality in people with SCZ, but we cannot rule out smaller effects or effects in patient subsets.","author":[{"dropping-particle":"","family":"Kowalec","given":"Kaarina","non-dropping-particle":"","parse-names":false,"suffix":""},{"dropping-particle":"","family":"Hannon","given":"Eilis","non-dropping-particle":"","parse-names":false,"suffix":""},{"dropping-particle":"","family":"Mansell","given":"Georgina","non-dropping-particle":"","parse-names":false,"suffix":""},{"dropping-particle":"","family":"Burrage","given":"Joe","non-dropping-particle":"","parse-names":false,"suffix":""},{"dropping-particle":"","family":"Ori","given":"Anil P. S.","non-dropping-particle":"","parse-names":false,"suffix":""},{"dropping-particle":"","family":"Ophoff","given":"Roel A.","non-dropping-particle":"","parse-names":false,"suffix":""},{"dropping-particle":"","family":"Mill","given":"Jonathan","non-dropping-particle":"","parse-names":false,"suffix":""},{"dropping-particle":"","family":"Sullivan","given":"Patrick F.","non-dropping-particle":"","parse-names":false,"suffix":""}],"container-title":"Translational psychiatry","id":"ITEM-1","issue":"1","issued":{"date-parts":[["2019","6","4"]]},"page":"157","title":"Methylation age acceleration does not predict mortality in schizophrenia.","type":"article-journal","volume":"9"},"uris":["http://www.mendeley.com/documents/?uuid=4a19517b-b763-49ee-bcca-748d34da03a6"]}],"mendeley":{"formattedCitation":"&lt;sup&gt;34&lt;/sup&gt;","plainTextFormattedCitation":"34","previouslyFormattedCitation":"&lt;sup&gt;34&lt;/sup&gt;"},"properties":{"noteIndex":0},"schema":"https://github.com/citation-style-language/schema/raw/master/csl-citation.json"}</w:instrText>
      </w:r>
      <w:r w:rsidR="00C763EA" w:rsidRPr="0061109F">
        <w:rPr>
          <w:rFonts w:ascii="Calibri" w:hAnsi="Calibri" w:cs="Calibri"/>
          <w:sz w:val="22"/>
          <w:szCs w:val="22"/>
        </w:rPr>
        <w:fldChar w:fldCharType="separate"/>
      </w:r>
      <w:r w:rsidR="00D3131C" w:rsidRPr="0061109F">
        <w:rPr>
          <w:rFonts w:ascii="Calibri" w:hAnsi="Calibri" w:cs="Calibri"/>
          <w:noProof/>
          <w:sz w:val="22"/>
          <w:szCs w:val="22"/>
          <w:vertAlign w:val="superscript"/>
        </w:rPr>
        <w:t>34</w:t>
      </w:r>
      <w:r w:rsidR="00C763EA" w:rsidRPr="0061109F">
        <w:rPr>
          <w:rFonts w:ascii="Calibri" w:hAnsi="Calibri" w:cs="Calibri"/>
          <w:sz w:val="22"/>
          <w:szCs w:val="22"/>
        </w:rPr>
        <w:fldChar w:fldCharType="end"/>
      </w:r>
      <w:r w:rsidR="00C763EA" w:rsidRPr="0061109F">
        <w:rPr>
          <w:rFonts w:ascii="Calibri" w:hAnsi="Calibri" w:cs="Calibri"/>
          <w:sz w:val="22"/>
          <w:szCs w:val="22"/>
        </w:rPr>
        <w:t xml:space="preserve"> </w:t>
      </w:r>
      <w:r w:rsidRPr="0061109F">
        <w:rPr>
          <w:rFonts w:ascii="Calibri" w:hAnsi="Calibri" w:cs="Calibri"/>
          <w:sz w:val="22"/>
          <w:szCs w:val="22"/>
        </w:rPr>
        <w:t xml:space="preserve">Briefly, </w:t>
      </w:r>
      <w:r w:rsidR="00C763EA" w:rsidRPr="0061109F">
        <w:rPr>
          <w:rFonts w:ascii="Calibri" w:hAnsi="Calibri" w:cs="Calibri"/>
          <w:sz w:val="22"/>
          <w:szCs w:val="22"/>
        </w:rPr>
        <w:t>DNA was extracted from blood samples and DNA methylation was quantified using the Illumina Infinium HumanMethylationEPIC BeadChip (866</w:t>
      </w:r>
      <w:r w:rsidR="00D52887" w:rsidRPr="0061109F">
        <w:rPr>
          <w:rFonts w:ascii="Calibri" w:hAnsi="Calibri" w:cs="Calibri"/>
          <w:sz w:val="22"/>
          <w:szCs w:val="22"/>
        </w:rPr>
        <w:t>,</w:t>
      </w:r>
      <w:r w:rsidR="00C763EA" w:rsidRPr="0061109F">
        <w:rPr>
          <w:rFonts w:ascii="Calibri" w:hAnsi="Calibri" w:cs="Calibri"/>
          <w:sz w:val="22"/>
          <w:szCs w:val="22"/>
        </w:rPr>
        <w:t xml:space="preserve">562 methylation sites across the genome) (Illumina Inc, CA, USA). Methylation probes were removed if &gt;1% of samples have detection </w:t>
      </w:r>
      <w:r w:rsidR="00C763EA" w:rsidRPr="0061109F">
        <w:rPr>
          <w:rFonts w:ascii="Calibri" w:hAnsi="Calibri" w:cs="Calibri"/>
          <w:i/>
          <w:sz w:val="22"/>
          <w:szCs w:val="22"/>
        </w:rPr>
        <w:t>p</w:t>
      </w:r>
      <w:r w:rsidR="00C763EA" w:rsidRPr="0061109F">
        <w:rPr>
          <w:rFonts w:ascii="Calibri" w:hAnsi="Calibri" w:cs="Calibri"/>
          <w:sz w:val="22"/>
          <w:szCs w:val="22"/>
        </w:rPr>
        <w:t xml:space="preserve">-value &lt;0.05 or if &gt;5% of samples had a bead count &lt;3. The methylation data were then quantile-normalized using the dasen function from the </w:t>
      </w:r>
      <w:r w:rsidR="00C763EA" w:rsidRPr="0061109F">
        <w:rPr>
          <w:rFonts w:ascii="Calibri" w:hAnsi="Calibri" w:cs="Calibri"/>
          <w:i/>
          <w:sz w:val="22"/>
          <w:szCs w:val="22"/>
        </w:rPr>
        <w:t>wateRmelon</w:t>
      </w:r>
      <w:r w:rsidR="00C763EA" w:rsidRPr="0061109F">
        <w:rPr>
          <w:rFonts w:ascii="Calibri" w:hAnsi="Calibri" w:cs="Calibri"/>
          <w:sz w:val="22"/>
          <w:szCs w:val="22"/>
        </w:rPr>
        <w:t xml:space="preserve"> R package.</w:t>
      </w:r>
      <w:r w:rsidR="00C763EA" w:rsidRPr="0061109F">
        <w:rPr>
          <w:rFonts w:ascii="Calibri" w:hAnsi="Calibri" w:cs="Calibri"/>
          <w:sz w:val="22"/>
          <w:szCs w:val="22"/>
        </w:rPr>
        <w:fldChar w:fldCharType="begin" w:fldLock="1"/>
      </w:r>
      <w:r w:rsidR="000B086A" w:rsidRPr="0061109F">
        <w:rPr>
          <w:rFonts w:ascii="Calibri" w:hAnsi="Calibri" w:cs="Calibri"/>
          <w:sz w:val="22"/>
          <w:szCs w:val="22"/>
        </w:rPr>
        <w:instrText>ADDIN CSL_CITATION {"citationItems":[{"id":"ITEM-1","itemData":{"DOI":"10.1186/1471-2164-14-293","ISBN":"1471-2164 (Linking)","ISSN":"14712164","PMID":"23631413","abstract":"BACKGROUND: As the most stable and experimentally accessible epigenetic mark, DNA methylation is of great interest to the research community. The landscape of DNA methylation across tissues, through development and in disease pathogenesis is not yet well characterized. Thus there is a need for rapid and cost effective methods for assessing genome-wide levels of DNA methylation. The Illumina Infinium HumanMethylation450 (450K) BeadChip is a very useful addition to the available methods for DNA methylation analysis but its complex design, incorporating two different assay methods, requires careful consideration. Accordingly, several normalization schemes have been published. We have taken advantage of known DNA methylation patterns associated with genomic imprinting and X-chromosome inactivation (XCI), in addition to the performance of SNP genotyping assays present on the array, to derive three independent metrics which we use to test alternative schemes of correction and normalization. These metrics also have potential utility as quality scores for datasets. RESULTS: The standard index of DNA methylation at any specific CpG site is beta = M/(M + U + 100) where M and U are methylated and unmethylated signal intensities, respectively. Betas (betas) calculated from raw signal intensities (the default GenomeStudio behavior) perform well, but using 11 methylomic datasets we demonstrate that quantile normalization methods produce marked improvement, even in highly consistent data, by all three metrics. The commonly used procedure of normalizing betas is inferior to the separate normalization of M and U, and it is also advantageous to normalize Type I and Type II assays separately. More elaborate manipulation of quantiles proves to be counterproductive. CONCLUSIONS: Careful selection of preprocessing steps can minimize variance and thus improve statistical power, especially for the detection of the small absolute DNA methylation changes likely associated with complex disease phenotypes. For the convenience of the research community we have created a user-friendly R software package called wateRmelon, downloadable from bioConductor, compatible with the existing methylumi, minfi and IMA packages, that allows others to utilize the same normalization methods and data quality tests on 450K data.","author":[{"dropping-particle":"","family":"Pidsley","given":"Ruth","non-dropping-particle":"","parse-names":false,"suffix":""},{"dropping-particle":"","family":"Y Wong","given":"Chloe C","non-dropping-particle":"","parse-names":false,"suffix":""},{"dropping-particle":"","family":"Volta","given":"Manuela","non-dropping-particle":"","parse-names":false,"suffix":""},{"dropping-particle":"","family":"Lunnon","given":"Katie","non-dropping-particle":"","parse-names":false,"suffix":""},{"dropping-particle":"","family":"Mill","given":"Jonathan","non-dropping-particle":"","parse-names":false,"suffix":""},{"dropping-particle":"","family":"Schalkwyk","given":"Leonard C","non-dropping-particle":"","parse-names":false,"suffix":""}],"container-title":"BMC Genomics","id":"ITEM-1","issue":"1","issued":{"date-parts":[["2013","5","1"]]},"page":"293","title":"A data-driven approach to preprocessing Illumina 450K methylation array data","type":"article-journal","volume":"14"},"uris":["http://www.mendeley.com/documents/?uuid=74359d67-138d-3b18-9b25-cc5fe6726a34"]}],"mendeley":{"formattedCitation":"&lt;sup&gt;35&lt;/sup&gt;","plainTextFormattedCitation":"35","previouslyFormattedCitation":"&lt;sup&gt;35&lt;/sup&gt;"},"properties":{"noteIndex":0},"schema":"https://github.com/citation-style-language/schema/raw/master/csl-citation.json"}</w:instrText>
      </w:r>
      <w:r w:rsidR="00C763EA" w:rsidRPr="0061109F">
        <w:rPr>
          <w:rFonts w:ascii="Calibri" w:hAnsi="Calibri" w:cs="Calibri"/>
          <w:sz w:val="22"/>
          <w:szCs w:val="22"/>
        </w:rPr>
        <w:fldChar w:fldCharType="separate"/>
      </w:r>
      <w:r w:rsidR="00D3131C" w:rsidRPr="0061109F">
        <w:rPr>
          <w:rFonts w:ascii="Calibri" w:hAnsi="Calibri" w:cs="Calibri"/>
          <w:noProof/>
          <w:sz w:val="22"/>
          <w:szCs w:val="22"/>
          <w:vertAlign w:val="superscript"/>
        </w:rPr>
        <w:t>35</w:t>
      </w:r>
      <w:r w:rsidR="00C763EA" w:rsidRPr="0061109F">
        <w:rPr>
          <w:rFonts w:ascii="Calibri" w:hAnsi="Calibri" w:cs="Calibri"/>
          <w:sz w:val="22"/>
          <w:szCs w:val="22"/>
        </w:rPr>
        <w:fldChar w:fldCharType="end"/>
      </w:r>
      <w:r w:rsidR="00C763EA" w:rsidRPr="0061109F">
        <w:rPr>
          <w:rFonts w:ascii="Calibri" w:hAnsi="Calibri" w:cs="Calibri"/>
          <w:sz w:val="22"/>
          <w:szCs w:val="22"/>
        </w:rPr>
        <w:t xml:space="preserve"> </w:t>
      </w:r>
      <w:r w:rsidR="00C763EA" w:rsidRPr="0061109F">
        <w:rPr>
          <w:rFonts w:ascii="Calibri" w:hAnsi="Calibri" w:cs="Calibri"/>
          <w:sz w:val="22"/>
          <w:szCs w:val="22"/>
          <w:lang w:eastAsia="en-GB"/>
        </w:rPr>
        <w:t xml:space="preserve">One sample whose predicted sex did not match their reported sex was excluded during quality control, leaving a total of </w:t>
      </w:r>
      <w:r w:rsidR="00D27FAE" w:rsidRPr="0061109F">
        <w:rPr>
          <w:rFonts w:ascii="Calibri" w:hAnsi="Calibri" w:cs="Calibri"/>
          <w:sz w:val="22"/>
          <w:szCs w:val="22"/>
          <w:lang w:eastAsia="en-GB"/>
        </w:rPr>
        <w:t>189 SCZ</w:t>
      </w:r>
      <w:r w:rsidR="00C763EA" w:rsidRPr="0061109F">
        <w:rPr>
          <w:rFonts w:ascii="Calibri" w:hAnsi="Calibri" w:cs="Calibri"/>
          <w:sz w:val="22"/>
          <w:szCs w:val="22"/>
          <w:lang w:eastAsia="en-GB"/>
        </w:rPr>
        <w:t xml:space="preserve"> samples and 809</w:t>
      </w:r>
      <w:r w:rsidR="00D52887" w:rsidRPr="0061109F">
        <w:rPr>
          <w:rFonts w:ascii="Calibri" w:hAnsi="Calibri" w:cs="Calibri"/>
          <w:sz w:val="22"/>
          <w:szCs w:val="22"/>
          <w:lang w:eastAsia="en-GB"/>
        </w:rPr>
        <w:t>,</w:t>
      </w:r>
      <w:r w:rsidR="00C763EA" w:rsidRPr="0061109F">
        <w:rPr>
          <w:rFonts w:ascii="Calibri" w:hAnsi="Calibri" w:cs="Calibri"/>
          <w:sz w:val="22"/>
          <w:szCs w:val="22"/>
          <w:lang w:eastAsia="en-GB"/>
        </w:rPr>
        <w:t>996 methylation probes for analysis.</w:t>
      </w:r>
      <w:r w:rsidR="00D27FAE" w:rsidRPr="0061109F">
        <w:rPr>
          <w:rFonts w:ascii="Calibri" w:hAnsi="Calibri" w:cs="Calibri"/>
          <w:sz w:val="22"/>
          <w:szCs w:val="22"/>
        </w:rPr>
        <w:t xml:space="preserve"> Methylation </w:t>
      </w:r>
      <w:r w:rsidR="00D27FAE" w:rsidRPr="0061109F">
        <w:rPr>
          <w:rFonts w:ascii="Calibri" w:hAnsi="Calibri" w:cs="Calibri"/>
          <w:sz w:val="22"/>
          <w:szCs w:val="22"/>
          <w:lang w:val="en-US"/>
        </w:rPr>
        <w:t>age was computed using the Hannum algorithm</w:t>
      </w:r>
      <w:r w:rsidR="000B40F5" w:rsidRPr="0061109F">
        <w:rPr>
          <w:rFonts w:ascii="Calibri" w:hAnsi="Calibri" w:cs="Calibri"/>
          <w:sz w:val="22"/>
          <w:szCs w:val="22"/>
        </w:rPr>
        <w:t>, which is best suited for blood samples</w:t>
      </w:r>
      <w:r w:rsidR="00D27FAE" w:rsidRPr="0061109F">
        <w:rPr>
          <w:rFonts w:ascii="Calibri" w:hAnsi="Calibri" w:cs="Calibri"/>
          <w:sz w:val="22"/>
          <w:szCs w:val="22"/>
          <w:lang w:val="en-US"/>
        </w:rPr>
        <w:t>,</w:t>
      </w:r>
      <w:r w:rsidR="00D27FAE" w:rsidRPr="0061109F">
        <w:rPr>
          <w:rFonts w:ascii="Calibri" w:hAnsi="Calibri" w:cs="Calibri"/>
          <w:sz w:val="22"/>
          <w:szCs w:val="22"/>
          <w:lang w:val="en-US"/>
        </w:rPr>
        <w:fldChar w:fldCharType="begin" w:fldLock="1"/>
      </w:r>
      <w:r w:rsidR="000B086A" w:rsidRPr="0061109F">
        <w:rPr>
          <w:rFonts w:ascii="Calibri" w:hAnsi="Calibri" w:cs="Calibri"/>
          <w:sz w:val="22"/>
          <w:szCs w:val="22"/>
          <w:lang w:val="en-US"/>
        </w:rPr>
        <w:instrText>ADDIN CSL_CITATION {"citationItems":[{"id":"ITEM-1","itemData":{"DOI":"10.1016/j.molcel.2012.10.016","ISBN":"1097-4164 (Electronic)\\n1097-2765 (Linking)","ISSN":"10972765","PMID":"23177740","abstract":"The ability to measure human aging from molecular profiles has practical implications in many fields, including disease prevention and treatment, forensics, and extension of life. Although chronological age has been linked to changes in DNA methylation, the methylome has not yet been used to measure and compare human aging rates. Here, we build a quantitative model of aging using measurements at more than 450,000 CpG markers from the whole blood of 656 human individuals, aged 19 to 101. This model measures the rate at which an individual's methylome ages, which we show is impacted by gender and genetic variants. We also show that differences in aging rates help explain epigenetic drift and are reflected in the transcriptome. Moreover, we show how our aging model is upheld in other human tissues and reveals an advanced aging rate in tumor tissue. Our model highlights specific components of the aging process and provides a quantitative readout for studying the role of methylation in age-related disease. © 2013 Elsevier Inc.","author":[{"dropping-particle":"","family":"Hannum","given":"Gregory","non-dropping-particle":"","parse-names":false,"suffix":""},{"dropping-particle":"","family":"Guinney","given":"Justin","non-dropping-particle":"","parse-names":false,"suffix":""},{"dropping-particle":"","family":"Zhao","given":"Ling","non-dropping-particle":"","parse-names":false,"suffix":""},{"dropping-particle":"","family":"Zhang","given":"Li","non-dropping-particle":"","parse-names":false,"suffix":""},{"dropping-particle":"","family":"Hughes","given":"Guy","non-dropping-particle":"","parse-names":false,"suffix":""},{"dropping-particle":"","family":"Sadda","given":"Srini Vas","non-dropping-particle":"","parse-names":false,"suffix":""},{"dropping-particle":"","family":"Klotzle","given":"Brandy","non-dropping-particle":"","parse-names":false,"suffix":""},{"dropping-particle":"","family":"Bibikova","given":"Marina","non-dropping-particle":"","parse-names":false,"suffix":""},{"dropping-particle":"","family":"Fan","given":"Jian Bing","non-dropping-particle":"","parse-names":false,"suffix":""},{"dropping-particle":"","family":"Gao","given":"Yuan","non-dropping-particle":"","parse-names":false,"suffix":""},{"dropping-particle":"","family":"Deconde","given":"Rob","non-dropping-particle":"","parse-names":false,"suffix":""},{"dropping-particle":"","family":"Chen","given":"Menzies","non-dropping-particle":"","parse-names":false,"suffix":""},{"dropping-particle":"","family":"Rajapakse","given":"Indika","non-dropping-particle":"","parse-names":false,"suffix":""},{"dropping-particle":"","family":"Friend","given":"Stephen","non-dropping-particle":"","parse-names":false,"suffix":""},{"dropping-particle":"","family":"Ideker","given":"Trey","non-dropping-particle":"","parse-names":false,"suffix":""},{"dropping-particle":"","family":"Zhang","given":"Kang","non-dropping-particle":"","parse-names":false,"suffix":""}],"container-title":"Molecular Cell","id":"ITEM-1","issue":"2","issued":{"date-parts":[["2013","1","24"]]},"page":"359-367","title":"Genome-wide Methylation Profiles Reveal Quantitative Views of Human Aging Rates","type":"article-journal","volume":"49"},"uris":["http://www.mendeley.com/documents/?uuid=148e5286-d618-3f18-b9b4-720ae55ab4cf"]}],"mendeley":{"formattedCitation":"&lt;sup&gt;36&lt;/sup&gt;","plainTextFormattedCitation":"36","previouslyFormattedCitation":"&lt;sup&gt;36&lt;/sup&gt;"},"properties":{"noteIndex":0},"schema":"https://github.com/citation-style-language/schema/raw/master/csl-citation.json"}</w:instrText>
      </w:r>
      <w:r w:rsidR="00D27FAE" w:rsidRPr="0061109F">
        <w:rPr>
          <w:rFonts w:ascii="Calibri" w:hAnsi="Calibri" w:cs="Calibri"/>
          <w:sz w:val="22"/>
          <w:szCs w:val="22"/>
          <w:lang w:val="en-US"/>
        </w:rPr>
        <w:fldChar w:fldCharType="separate"/>
      </w:r>
      <w:r w:rsidR="00D3131C" w:rsidRPr="0061109F">
        <w:rPr>
          <w:rFonts w:ascii="Calibri" w:hAnsi="Calibri" w:cs="Calibri"/>
          <w:noProof/>
          <w:sz w:val="22"/>
          <w:szCs w:val="22"/>
          <w:vertAlign w:val="superscript"/>
          <w:lang w:val="en-US"/>
        </w:rPr>
        <w:t>36</w:t>
      </w:r>
      <w:r w:rsidR="00D27FAE" w:rsidRPr="0061109F">
        <w:rPr>
          <w:rFonts w:ascii="Calibri" w:hAnsi="Calibri" w:cs="Calibri"/>
          <w:sz w:val="22"/>
          <w:szCs w:val="22"/>
        </w:rPr>
        <w:fldChar w:fldCharType="end"/>
      </w:r>
      <w:r w:rsidR="00D27FAE" w:rsidRPr="0061109F">
        <w:rPr>
          <w:rFonts w:ascii="Calibri" w:hAnsi="Calibri" w:cs="Calibri"/>
          <w:sz w:val="22"/>
          <w:szCs w:val="22"/>
        </w:rPr>
        <w:t xml:space="preserve"> and is</w:t>
      </w:r>
      <w:r w:rsidR="00D27FAE" w:rsidRPr="0061109F">
        <w:rPr>
          <w:rFonts w:ascii="Calibri" w:hAnsi="Calibri" w:cs="Calibri"/>
          <w:sz w:val="22"/>
          <w:szCs w:val="22"/>
          <w:lang w:val="en-US"/>
        </w:rPr>
        <w:t xml:space="preserve"> based on 71 methylation probes. </w:t>
      </w:r>
      <w:r w:rsidR="00C42F87" w:rsidRPr="0061109F">
        <w:rPr>
          <w:rFonts w:ascii="Calibri" w:hAnsi="Calibri" w:cs="Calibri"/>
          <w:sz w:val="22"/>
          <w:szCs w:val="22"/>
          <w:lang w:val="en-US"/>
        </w:rPr>
        <w:t>We also computed a smoking score (continuous measure) based on DNA methylation sites known to be associated with smoking</w:t>
      </w:r>
      <w:r w:rsidR="00C42F87" w:rsidRPr="0061109F">
        <w:rPr>
          <w:rFonts w:ascii="Calibri" w:hAnsi="Calibri" w:cs="Calibri"/>
          <w:sz w:val="22"/>
          <w:szCs w:val="22"/>
          <w:lang w:val="en-US"/>
        </w:rPr>
        <w:fldChar w:fldCharType="begin" w:fldLock="1"/>
      </w:r>
      <w:r w:rsidR="000B086A" w:rsidRPr="0061109F">
        <w:rPr>
          <w:rFonts w:ascii="Calibri" w:hAnsi="Calibri" w:cs="Calibri"/>
          <w:sz w:val="22"/>
          <w:szCs w:val="22"/>
          <w:lang w:val="en-US"/>
        </w:rPr>
        <w:instrText>ADDIN CSL_CITATION {"citationItems":[{"id":"ITEM-1","itemData":{"DOI":"10.1186/1868-7083-6-4","ISBN":"1868-7075 (Print) 1868-7075 (Linking)","ISSN":"18687083","PMID":"24485148","abstract":"BACKGROUND: DNA methylation is strongly associated with smoking status at multiple sites across the genome. Studies have largely been restricted to European origin individuals yet the greatest increase in smoking is occurring in low income countries, such as the Indian subcontinent. We determined whether there are differences between South Asians and Europeans in smoking related loci, and if a smoking score, combining all smoking related DNA methylation scores, could differentiate smokers from non-smokers. RESULTS: Illumina HM450k BeadChip arrays were performed on 192 samples from the Southall And Brent REvisited (SABRE) cohort. Differential methylation in smokers was identified in 29 individual CpG sites at 18 unique loci. Interaction between smoking status and ethnic group was identified at the AHRR locus. Ethnic differences in DNA methylation were identified in non-smokers at two further loci, 6p21.33 and GNG12. With the exception of GFI1 and MYO1G these differences were largely unaffected by adjustment for cell composition. A smoking score based on methylation profile was constructed. Current smokers were identified with 100% sensitivity and 97% specificity in Europeans and with 80% sensitivity and 95% specificity in South Asians. CONCLUSIONS: Differences in ethnic groups were identified in both single CpG sites and combined smoking score. The smoking score is a valuable tool for identification of true current smoking behaviour. Explanations for ethnic differences in DNA methylation in association with smoking may provide valuable clues to disease pathways.","author":[{"dropping-particle":"","family":"Elliott","given":"Hannah R","non-dropping-particle":"","parse-names":false,"suffix":""},{"dropping-particle":"","family":"Tillin","given":"Therese","non-dropping-particle":"","parse-names":false,"suffix":""},{"dropping-particle":"","family":"McArdle","given":"Wendy L","non-dropping-particle":"","parse-names":false,"suffix":""},{"dropping-particle":"","family":"Ho","given":"Karen","non-dropping-particle":"","parse-names":false,"suffix":""},{"dropping-particle":"","family":"Duggirala","given":"Aparna","non-dropping-particle":"","parse-names":false,"suffix":""},{"dropping-particle":"","family":"Frayling","given":"Tim M","non-dropping-particle":"","parse-names":false,"suffix":""},{"dropping-particle":"","family":"Smith","given":"George Davey","non-dropping-particle":"","parse-names":false,"suffix":""},{"dropping-particle":"","family":"Hughes","given":"Alun D","non-dropping-particle":"","parse-names":false,"suffix":""},{"dropping-particle":"","family":"Chaturvedi","given":"Nish","non-dropping-particle":"","parse-names":false,"suffix":""},{"dropping-particle":"","family":"Relton","given":"Caroline L","non-dropping-particle":"","parse-names":false,"suffix":""}],"container-title":"Clinical Epigenetics","id":"ITEM-1","issue":"1","issued":{"date-parts":[["2014","2","3"]]},"page":"4","title":"Differences in smoking associated DNA methylation patterns in South Asians and Europeans","type":"article-journal","volume":"6"},"uris":["http://www.mendeley.com/documents/?uuid=ebc7e649-e9dd-3539-80de-f297f4626f48"]}],"mendeley":{"formattedCitation":"&lt;sup&gt;37&lt;/sup&gt;","plainTextFormattedCitation":"37","previouslyFormattedCitation":"&lt;sup&gt;37&lt;/sup&gt;"},"properties":{"noteIndex":0},"schema":"https://github.com/citation-style-language/schema/raw/master/csl-citation.json"}</w:instrText>
      </w:r>
      <w:r w:rsidR="00C42F87" w:rsidRPr="0061109F">
        <w:rPr>
          <w:rFonts w:ascii="Calibri" w:hAnsi="Calibri" w:cs="Calibri"/>
          <w:sz w:val="22"/>
          <w:szCs w:val="22"/>
          <w:lang w:val="en-US"/>
        </w:rPr>
        <w:fldChar w:fldCharType="separate"/>
      </w:r>
      <w:r w:rsidR="00D3131C" w:rsidRPr="0061109F">
        <w:rPr>
          <w:rFonts w:ascii="Calibri" w:hAnsi="Calibri" w:cs="Calibri"/>
          <w:noProof/>
          <w:sz w:val="22"/>
          <w:szCs w:val="22"/>
          <w:vertAlign w:val="superscript"/>
          <w:lang w:val="en-US"/>
        </w:rPr>
        <w:t>37</w:t>
      </w:r>
      <w:r w:rsidR="00C42F87" w:rsidRPr="0061109F">
        <w:rPr>
          <w:rFonts w:ascii="Calibri" w:hAnsi="Calibri" w:cs="Calibri"/>
          <w:sz w:val="22"/>
          <w:szCs w:val="22"/>
          <w:lang w:val="en-US"/>
        </w:rPr>
        <w:fldChar w:fldCharType="end"/>
      </w:r>
      <w:r w:rsidR="00C42F87" w:rsidRPr="0061109F">
        <w:rPr>
          <w:rFonts w:ascii="Calibri" w:hAnsi="Calibri" w:cs="Calibri"/>
          <w:sz w:val="22"/>
          <w:szCs w:val="22"/>
          <w:lang w:val="en-US"/>
        </w:rPr>
        <w:t xml:space="preserve"> and to account for methylation differences between cell types, we estimated the cell-type composition of the blood samples using </w:t>
      </w:r>
      <w:r w:rsidR="00C42F87" w:rsidRPr="0061109F">
        <w:rPr>
          <w:rFonts w:ascii="Calibri" w:hAnsi="Calibri" w:cs="Calibri"/>
          <w:i/>
          <w:sz w:val="22"/>
          <w:szCs w:val="22"/>
          <w:lang w:val="en-US"/>
        </w:rPr>
        <w:t>minfi</w:t>
      </w:r>
      <w:r w:rsidR="00C42F87" w:rsidRPr="0061109F">
        <w:rPr>
          <w:rFonts w:ascii="Calibri" w:hAnsi="Calibri" w:cs="Calibri"/>
          <w:sz w:val="22"/>
          <w:szCs w:val="22"/>
          <w:lang w:val="en-US"/>
        </w:rPr>
        <w:t xml:space="preserve"> R package.</w:t>
      </w:r>
      <w:r w:rsidR="00C42F87" w:rsidRPr="0061109F">
        <w:rPr>
          <w:rFonts w:ascii="Calibri" w:hAnsi="Calibri" w:cs="Calibri"/>
          <w:sz w:val="22"/>
          <w:szCs w:val="22"/>
          <w:lang w:val="en-US"/>
        </w:rPr>
        <w:fldChar w:fldCharType="begin" w:fldLock="1"/>
      </w:r>
      <w:r w:rsidR="000B086A" w:rsidRPr="0061109F">
        <w:rPr>
          <w:rFonts w:ascii="Calibri" w:hAnsi="Calibri" w:cs="Calibri"/>
          <w:sz w:val="22"/>
          <w:szCs w:val="22"/>
          <w:lang w:val="en-US"/>
        </w:rPr>
        <w:instrText>ADDIN CSL_CITATION {"citationItems":[{"id":"ITEM-1","itemData":{"DOI":"10.1093/bioinformatics/btw691","ISBN":"1367-4811 (Electronic) 1367-4803 (Linking)","ISSN":"14602059","PMID":"28035024","abstract":"The minfi package is widely used for analyzing Illumina DNA methylation array data. Here we describe modifications to the minfi package required to support the HumanMethylationEPIC (\"EPIC\") array from Illumina. We discuss methods for the joint analysis and normalization of data from the HumanMethylation450 (\"450k\") and EPIC platforms. We also introduce the single-sample Noob method, a normalization procedure suitable for incremental preprocessing of individual HumanMethylation arrays. Our results recommend the single sample Noob method when integrating data from multiple generations of Infinium methylation arrays. Finally, we show how to use reference 450k datasets to estimate cell type composition of samples on EPIC arrays. The cumulative effect of these updates is to ensure that minfi provides the tools to best integrate existing and forthcoming Illumina methylation array data.","author":[{"dropping-particle":"","family":"Fortin","given":"Jean Philippe","non-dropping-particle":"","parse-names":false,"suffix":""},{"dropping-particle":"","family":"Triche","given":"Timothy J","non-dropping-particle":"","parse-names":false,"suffix":""},{"dropping-particle":"","family":"Hansen","given":"Kasper D","non-dropping-particle":"","parse-names":false,"suffix":""}],"container-title":"Bioinformatics","id":"ITEM-1","issue":"4","issued":{"date-parts":[["2017","12","15"]]},"page":"558-560","title":"Preprocessing, normalization and integration of the Illumina HumanMethylationEPIC array with minfi","type":"article-journal","volume":"33"},"uris":["http://www.mendeley.com/documents/?uuid=7d721c18-b875-346e-8cb3-ec36ef4efd47"]}],"mendeley":{"formattedCitation":"&lt;sup&gt;38&lt;/sup&gt;","plainTextFormattedCitation":"38","previouslyFormattedCitation":"&lt;sup&gt;38&lt;/sup&gt;"},"properties":{"noteIndex":0},"schema":"https://github.com/citation-style-language/schema/raw/master/csl-citation.json"}</w:instrText>
      </w:r>
      <w:r w:rsidR="00C42F87" w:rsidRPr="0061109F">
        <w:rPr>
          <w:rFonts w:ascii="Calibri" w:hAnsi="Calibri" w:cs="Calibri"/>
          <w:sz w:val="22"/>
          <w:szCs w:val="22"/>
          <w:lang w:val="en-US"/>
        </w:rPr>
        <w:fldChar w:fldCharType="separate"/>
      </w:r>
      <w:r w:rsidR="00D3131C" w:rsidRPr="0061109F">
        <w:rPr>
          <w:rFonts w:ascii="Calibri" w:hAnsi="Calibri" w:cs="Calibri"/>
          <w:noProof/>
          <w:sz w:val="22"/>
          <w:szCs w:val="22"/>
          <w:vertAlign w:val="superscript"/>
          <w:lang w:val="en-US"/>
        </w:rPr>
        <w:t>38</w:t>
      </w:r>
      <w:r w:rsidR="00C42F87" w:rsidRPr="0061109F">
        <w:rPr>
          <w:rFonts w:ascii="Calibri" w:hAnsi="Calibri" w:cs="Calibri"/>
          <w:sz w:val="22"/>
          <w:szCs w:val="22"/>
          <w:lang w:val="en-US"/>
        </w:rPr>
        <w:fldChar w:fldCharType="end"/>
      </w:r>
      <w:r w:rsidR="00C42F87" w:rsidRPr="0061109F">
        <w:rPr>
          <w:rFonts w:ascii="Calibri" w:hAnsi="Calibri" w:cs="Calibri"/>
          <w:sz w:val="22"/>
          <w:szCs w:val="22"/>
          <w:lang w:val="en-US"/>
        </w:rPr>
        <w:t xml:space="preserve"> </w:t>
      </w:r>
      <w:r w:rsidR="00D27FAE" w:rsidRPr="0061109F">
        <w:rPr>
          <w:rFonts w:ascii="Calibri" w:hAnsi="Calibri" w:cs="Calibri"/>
          <w:sz w:val="22"/>
          <w:szCs w:val="22"/>
          <w:lang w:val="en-US"/>
        </w:rPr>
        <w:t xml:space="preserve">The residuals resulting from a linear regression of </w:t>
      </w:r>
      <w:r w:rsidRPr="0061109F">
        <w:rPr>
          <w:rFonts w:ascii="Calibri" w:hAnsi="Calibri" w:cs="Calibri"/>
          <w:sz w:val="22"/>
          <w:szCs w:val="22"/>
          <w:lang w:val="en-US"/>
        </w:rPr>
        <w:t>methylation age</w:t>
      </w:r>
      <w:r w:rsidR="00D27FAE" w:rsidRPr="0061109F">
        <w:rPr>
          <w:rFonts w:ascii="Calibri" w:hAnsi="Calibri" w:cs="Calibri"/>
          <w:sz w:val="22"/>
          <w:szCs w:val="22"/>
          <w:lang w:val="en-US"/>
        </w:rPr>
        <w:t xml:space="preserve"> on age at sampling were used as the measure of m</w:t>
      </w:r>
      <w:r w:rsidRPr="0061109F">
        <w:rPr>
          <w:rFonts w:ascii="Calibri" w:hAnsi="Calibri" w:cs="Calibri"/>
          <w:sz w:val="22"/>
          <w:szCs w:val="22"/>
          <w:lang w:val="en-US"/>
        </w:rPr>
        <w:t>ethylation a</w:t>
      </w:r>
      <w:r w:rsidR="00D27FAE" w:rsidRPr="0061109F">
        <w:rPr>
          <w:rFonts w:ascii="Calibri" w:hAnsi="Calibri" w:cs="Calibri"/>
          <w:sz w:val="22"/>
          <w:szCs w:val="22"/>
          <w:lang w:val="en-US"/>
        </w:rPr>
        <w:t>ge acceleration.</w:t>
      </w:r>
    </w:p>
    <w:p w14:paraId="1298DDDD" w14:textId="06AF8B14" w:rsidR="00C53580" w:rsidRPr="0061109F" w:rsidRDefault="00C53580" w:rsidP="000B086A">
      <w:pPr>
        <w:pStyle w:val="Heading4"/>
        <w:spacing w:line="480" w:lineRule="auto"/>
        <w:rPr>
          <w:b/>
          <w:i w:val="0"/>
          <w:color w:val="auto"/>
          <w:sz w:val="22"/>
          <w:szCs w:val="22"/>
        </w:rPr>
      </w:pPr>
      <w:r w:rsidRPr="0061109F">
        <w:rPr>
          <w:b/>
          <w:i w:val="0"/>
          <w:color w:val="auto"/>
          <w:sz w:val="22"/>
          <w:szCs w:val="22"/>
        </w:rPr>
        <w:lastRenderedPageBreak/>
        <w:t>Statistical analyses</w:t>
      </w:r>
    </w:p>
    <w:p w14:paraId="5264E8B3" w14:textId="35EF7799" w:rsidR="00CF2E83" w:rsidRPr="0061109F" w:rsidRDefault="00C62C44" w:rsidP="000B086A">
      <w:pPr>
        <w:spacing w:line="480" w:lineRule="auto"/>
        <w:jc w:val="both"/>
        <w:rPr>
          <w:rFonts w:ascii="Calibri" w:hAnsi="Calibri" w:cs="Calibri"/>
          <w:sz w:val="22"/>
          <w:szCs w:val="22"/>
        </w:rPr>
      </w:pPr>
      <w:r w:rsidRPr="0061109F">
        <w:rPr>
          <w:rFonts w:ascii="Calibri" w:hAnsi="Calibri" w:cs="Calibri"/>
          <w:sz w:val="22"/>
          <w:szCs w:val="22"/>
        </w:rPr>
        <w:t>Categorical variables are presented as n, % and continuous are presented as the mean (standard deviation) for Z-score standardization variables or median (interquartile range) for all other continuous variables.</w:t>
      </w:r>
      <w:r w:rsidRPr="0061109F">
        <w:rPr>
          <w:rFonts w:ascii="Calibri" w:hAnsi="Calibri" w:cs="Calibri"/>
          <w:i/>
          <w:sz w:val="22"/>
          <w:szCs w:val="22"/>
        </w:rPr>
        <w:t xml:space="preserve"> </w:t>
      </w:r>
      <w:r w:rsidR="00C53580" w:rsidRPr="0061109F">
        <w:rPr>
          <w:rFonts w:ascii="Calibri" w:hAnsi="Calibri" w:cs="Calibri"/>
          <w:sz w:val="22"/>
          <w:szCs w:val="22"/>
        </w:rPr>
        <w:t>All statistical models included cases with complete data on all exposures and outcomes.</w:t>
      </w:r>
      <w:r w:rsidR="0073354D" w:rsidRPr="0061109F">
        <w:rPr>
          <w:rFonts w:ascii="Calibri" w:hAnsi="Calibri" w:cs="Calibri"/>
          <w:sz w:val="22"/>
          <w:szCs w:val="22"/>
        </w:rPr>
        <w:t xml:space="preserve"> </w:t>
      </w:r>
      <w:r w:rsidR="00FE4CEF" w:rsidRPr="0061109F">
        <w:rPr>
          <w:rFonts w:ascii="Calibri" w:hAnsi="Calibri" w:cs="Calibri"/>
          <w:sz w:val="22"/>
          <w:szCs w:val="22"/>
        </w:rPr>
        <w:t>Specifically,</w:t>
      </w:r>
      <w:r w:rsidR="00572FAF" w:rsidRPr="0061109F">
        <w:rPr>
          <w:rFonts w:ascii="Calibri" w:hAnsi="Calibri" w:cs="Calibri"/>
          <w:sz w:val="22"/>
          <w:szCs w:val="22"/>
        </w:rPr>
        <w:t xml:space="preserve"> for the subset of SCZ cases with methylation data (n=189), w</w:t>
      </w:r>
      <w:r w:rsidR="0073354D" w:rsidRPr="0061109F">
        <w:rPr>
          <w:rFonts w:ascii="Calibri" w:hAnsi="Calibri" w:cs="Calibri"/>
          <w:sz w:val="22"/>
          <w:szCs w:val="22"/>
        </w:rPr>
        <w:t xml:space="preserve">e tested the association between </w:t>
      </w:r>
      <w:r w:rsidR="0073354D" w:rsidRPr="0061109F">
        <w:rPr>
          <w:rFonts w:ascii="Calibri" w:hAnsi="Calibri" w:cs="Calibri"/>
          <w:sz w:val="22"/>
          <w:szCs w:val="22"/>
          <w:lang w:val="en-US"/>
        </w:rPr>
        <w:t>methylation age acceleration and the presence of somatic mutations using a Cox regression model</w:t>
      </w:r>
      <w:r w:rsidR="00C42F87" w:rsidRPr="0061109F">
        <w:rPr>
          <w:rFonts w:ascii="Calibri" w:hAnsi="Calibri" w:cs="Calibri"/>
          <w:sz w:val="22"/>
          <w:szCs w:val="22"/>
          <w:lang w:val="en-US"/>
        </w:rPr>
        <w:t xml:space="preserve"> including blood cell counts and smoking scores as covariates</w:t>
      </w:r>
      <w:r w:rsidR="0073354D" w:rsidRPr="0061109F">
        <w:rPr>
          <w:rFonts w:ascii="Calibri" w:hAnsi="Calibri" w:cs="Calibri"/>
          <w:sz w:val="22"/>
          <w:szCs w:val="22"/>
          <w:lang w:val="en-US"/>
        </w:rPr>
        <w:t>.</w:t>
      </w:r>
      <w:r w:rsidR="00CF2E83" w:rsidRPr="0061109F">
        <w:rPr>
          <w:rFonts w:ascii="Calibri" w:hAnsi="Calibri" w:cs="Calibri"/>
          <w:sz w:val="22"/>
          <w:szCs w:val="22"/>
        </w:rPr>
        <w:br w:type="page"/>
      </w:r>
    </w:p>
    <w:p w14:paraId="6B2486F7" w14:textId="77777777" w:rsidR="000B086A" w:rsidRPr="0061109F" w:rsidRDefault="000B086A" w:rsidP="000B086A">
      <w:pPr>
        <w:spacing w:line="480" w:lineRule="auto"/>
        <w:jc w:val="both"/>
        <w:rPr>
          <w:rFonts w:ascii="Calibri" w:hAnsi="Calibri" w:cs="Calibri"/>
          <w:b/>
          <w:sz w:val="22"/>
          <w:szCs w:val="22"/>
        </w:rPr>
      </w:pPr>
      <w:r w:rsidRPr="0061109F">
        <w:rPr>
          <w:rFonts w:ascii="Calibri" w:hAnsi="Calibri" w:cs="Calibri"/>
          <w:b/>
          <w:sz w:val="22"/>
          <w:szCs w:val="22"/>
        </w:rPr>
        <w:lastRenderedPageBreak/>
        <w:t>Supplementary References</w:t>
      </w:r>
    </w:p>
    <w:p w14:paraId="74DCA267" w14:textId="0A881668" w:rsidR="009A1CF2" w:rsidRPr="009A1CF2" w:rsidRDefault="00191CFF" w:rsidP="009A1CF2">
      <w:pPr>
        <w:widowControl w:val="0"/>
        <w:autoSpaceDE w:val="0"/>
        <w:autoSpaceDN w:val="0"/>
        <w:adjustRightInd w:val="0"/>
        <w:spacing w:line="480" w:lineRule="auto"/>
        <w:ind w:left="640" w:hanging="640"/>
        <w:rPr>
          <w:rFonts w:ascii="Calibri" w:hAnsi="Calibri" w:cs="Calibri"/>
          <w:noProof/>
          <w:sz w:val="22"/>
          <w:lang w:val="en-US"/>
        </w:rPr>
      </w:pPr>
      <w:r w:rsidRPr="0061109F">
        <w:rPr>
          <w:rFonts w:ascii="Calibri" w:hAnsi="Calibri" w:cs="Calibri"/>
          <w:sz w:val="22"/>
          <w:szCs w:val="22"/>
        </w:rPr>
        <w:fldChar w:fldCharType="begin" w:fldLock="1"/>
      </w:r>
      <w:r w:rsidRPr="0061109F">
        <w:rPr>
          <w:rFonts w:ascii="Calibri" w:hAnsi="Calibri" w:cs="Calibri"/>
          <w:sz w:val="22"/>
          <w:szCs w:val="22"/>
        </w:rPr>
        <w:instrText xml:space="preserve">ADDIN Mendeley Bibliography CSL_BIBLIOGRAPHY </w:instrText>
      </w:r>
      <w:r w:rsidRPr="0061109F">
        <w:rPr>
          <w:rFonts w:ascii="Calibri" w:hAnsi="Calibri" w:cs="Calibri"/>
          <w:sz w:val="22"/>
          <w:szCs w:val="22"/>
        </w:rPr>
        <w:fldChar w:fldCharType="separate"/>
      </w:r>
      <w:r w:rsidR="009A1CF2" w:rsidRPr="009A1CF2">
        <w:rPr>
          <w:rFonts w:ascii="Calibri" w:hAnsi="Calibri" w:cs="Calibri"/>
          <w:noProof/>
          <w:sz w:val="22"/>
          <w:lang w:val="en-US"/>
        </w:rPr>
        <w:t xml:space="preserve">1 </w:t>
      </w:r>
      <w:r w:rsidR="009A1CF2" w:rsidRPr="009A1CF2">
        <w:rPr>
          <w:rFonts w:ascii="Calibri" w:hAnsi="Calibri" w:cs="Calibri"/>
          <w:noProof/>
          <w:sz w:val="22"/>
          <w:lang w:val="en-US"/>
        </w:rPr>
        <w:tab/>
        <w:t xml:space="preserve">Ludvigsson JF </w:t>
      </w:r>
      <w:r w:rsidR="009A1CF2" w:rsidRPr="009A1CF2">
        <w:rPr>
          <w:rFonts w:ascii="Calibri" w:hAnsi="Calibri" w:cs="Calibri"/>
          <w:i/>
          <w:iCs/>
          <w:noProof/>
          <w:sz w:val="22"/>
          <w:lang w:val="en-US"/>
        </w:rPr>
        <w:t>et al.</w:t>
      </w:r>
      <w:r w:rsidR="009A1CF2" w:rsidRPr="009A1CF2">
        <w:rPr>
          <w:rFonts w:ascii="Calibri" w:hAnsi="Calibri" w:cs="Calibri"/>
          <w:noProof/>
          <w:sz w:val="22"/>
          <w:lang w:val="en-US"/>
        </w:rPr>
        <w:t xml:space="preserve"> External review and validation of the Swedish national inpatient register. </w:t>
      </w:r>
      <w:r w:rsidR="009A1CF2" w:rsidRPr="009A1CF2">
        <w:rPr>
          <w:rFonts w:ascii="Calibri" w:hAnsi="Calibri" w:cs="Calibri"/>
          <w:i/>
          <w:iCs/>
          <w:noProof/>
          <w:sz w:val="22"/>
          <w:lang w:val="en-US"/>
        </w:rPr>
        <w:t>BMC Public Health</w:t>
      </w:r>
      <w:r w:rsidR="009A1CF2" w:rsidRPr="009A1CF2">
        <w:rPr>
          <w:rFonts w:ascii="Calibri" w:hAnsi="Calibri" w:cs="Calibri"/>
          <w:noProof/>
          <w:sz w:val="22"/>
          <w:lang w:val="en-US"/>
        </w:rPr>
        <w:t xml:space="preserve"> 2011; </w:t>
      </w:r>
      <w:r w:rsidR="009A1CF2" w:rsidRPr="009A1CF2">
        <w:rPr>
          <w:rFonts w:ascii="Calibri" w:hAnsi="Calibri" w:cs="Calibri"/>
          <w:b/>
          <w:bCs/>
          <w:noProof/>
          <w:sz w:val="22"/>
          <w:lang w:val="en-US"/>
        </w:rPr>
        <w:t>11</w:t>
      </w:r>
      <w:r w:rsidR="009A1CF2" w:rsidRPr="009A1CF2">
        <w:rPr>
          <w:rFonts w:ascii="Calibri" w:hAnsi="Calibri" w:cs="Calibri"/>
          <w:noProof/>
          <w:sz w:val="22"/>
          <w:lang w:val="en-US"/>
        </w:rPr>
        <w:t>: 450.</w:t>
      </w:r>
    </w:p>
    <w:p w14:paraId="4F4F3829" w14:textId="77777777" w:rsidR="009A1CF2" w:rsidRPr="009A1CF2" w:rsidRDefault="009A1CF2" w:rsidP="009A1CF2">
      <w:pPr>
        <w:widowControl w:val="0"/>
        <w:autoSpaceDE w:val="0"/>
        <w:autoSpaceDN w:val="0"/>
        <w:adjustRightInd w:val="0"/>
        <w:spacing w:line="480" w:lineRule="auto"/>
        <w:ind w:left="640" w:hanging="640"/>
        <w:rPr>
          <w:rFonts w:ascii="Calibri" w:hAnsi="Calibri" w:cs="Calibri"/>
          <w:noProof/>
          <w:sz w:val="22"/>
          <w:lang w:val="en-US"/>
        </w:rPr>
      </w:pPr>
      <w:r w:rsidRPr="009A1CF2">
        <w:rPr>
          <w:rFonts w:ascii="Calibri" w:hAnsi="Calibri" w:cs="Calibri"/>
          <w:noProof/>
          <w:sz w:val="22"/>
          <w:lang w:val="en-US"/>
        </w:rPr>
        <w:t xml:space="preserve">2 </w:t>
      </w:r>
      <w:r w:rsidRPr="009A1CF2">
        <w:rPr>
          <w:rFonts w:ascii="Calibri" w:hAnsi="Calibri" w:cs="Calibri"/>
          <w:noProof/>
          <w:sz w:val="22"/>
          <w:lang w:val="en-US"/>
        </w:rPr>
        <w:tab/>
        <w:t xml:space="preserve">Kristjansson E, Allebeck P, Wistedt B. Validity of the diagnosis schizophrenia in a psychiatric inpatient register: A retrospective application of DSM-III criteria on ICD-8 diagnoses in Stockholm county. </w:t>
      </w:r>
      <w:r w:rsidRPr="009A1CF2">
        <w:rPr>
          <w:rFonts w:ascii="Calibri" w:hAnsi="Calibri" w:cs="Calibri"/>
          <w:i/>
          <w:iCs/>
          <w:noProof/>
          <w:sz w:val="22"/>
          <w:lang w:val="en-US"/>
        </w:rPr>
        <w:t>Nord Psykiatr Tidsskr</w:t>
      </w:r>
      <w:r w:rsidRPr="009A1CF2">
        <w:rPr>
          <w:rFonts w:ascii="Calibri" w:hAnsi="Calibri" w:cs="Calibri"/>
          <w:noProof/>
          <w:sz w:val="22"/>
          <w:lang w:val="en-US"/>
        </w:rPr>
        <w:t xml:space="preserve"> 1987; </w:t>
      </w:r>
      <w:r w:rsidRPr="009A1CF2">
        <w:rPr>
          <w:rFonts w:ascii="Calibri" w:hAnsi="Calibri" w:cs="Calibri"/>
          <w:b/>
          <w:bCs/>
          <w:noProof/>
          <w:sz w:val="22"/>
          <w:lang w:val="en-US"/>
        </w:rPr>
        <w:t>41</w:t>
      </w:r>
      <w:r w:rsidRPr="009A1CF2">
        <w:rPr>
          <w:rFonts w:ascii="Calibri" w:hAnsi="Calibri" w:cs="Calibri"/>
          <w:noProof/>
          <w:sz w:val="22"/>
          <w:lang w:val="en-US"/>
        </w:rPr>
        <w:t>: 229–234.</w:t>
      </w:r>
    </w:p>
    <w:p w14:paraId="2D2A68B8" w14:textId="77777777" w:rsidR="009A1CF2" w:rsidRPr="009A1CF2" w:rsidRDefault="009A1CF2" w:rsidP="009A1CF2">
      <w:pPr>
        <w:widowControl w:val="0"/>
        <w:autoSpaceDE w:val="0"/>
        <w:autoSpaceDN w:val="0"/>
        <w:adjustRightInd w:val="0"/>
        <w:spacing w:line="480" w:lineRule="auto"/>
        <w:ind w:left="640" w:hanging="640"/>
        <w:rPr>
          <w:rFonts w:ascii="Calibri" w:hAnsi="Calibri" w:cs="Calibri"/>
          <w:noProof/>
          <w:sz w:val="22"/>
          <w:lang w:val="en-US"/>
        </w:rPr>
      </w:pPr>
      <w:r w:rsidRPr="009A1CF2">
        <w:rPr>
          <w:rFonts w:ascii="Calibri" w:hAnsi="Calibri" w:cs="Calibri"/>
          <w:noProof/>
          <w:sz w:val="22"/>
          <w:lang w:val="en-US"/>
        </w:rPr>
        <w:t xml:space="preserve">3 </w:t>
      </w:r>
      <w:r w:rsidRPr="009A1CF2">
        <w:rPr>
          <w:rFonts w:ascii="Calibri" w:hAnsi="Calibri" w:cs="Calibri"/>
          <w:noProof/>
          <w:sz w:val="22"/>
          <w:lang w:val="en-US"/>
        </w:rPr>
        <w:tab/>
        <w:t xml:space="preserve">Dalman C, Broms J, Cullberg J, Allebeck P. Young cases of schizophrenia identified in a national inpatient register. </w:t>
      </w:r>
      <w:r w:rsidRPr="009A1CF2">
        <w:rPr>
          <w:rFonts w:ascii="Calibri" w:hAnsi="Calibri" w:cs="Calibri"/>
          <w:i/>
          <w:iCs/>
          <w:noProof/>
          <w:sz w:val="22"/>
          <w:lang w:val="en-US"/>
        </w:rPr>
        <w:t>Soc Psychiatry Psychiatr Epidemiol</w:t>
      </w:r>
      <w:r w:rsidRPr="009A1CF2">
        <w:rPr>
          <w:rFonts w:ascii="Calibri" w:hAnsi="Calibri" w:cs="Calibri"/>
          <w:noProof/>
          <w:sz w:val="22"/>
          <w:lang w:val="en-US"/>
        </w:rPr>
        <w:t xml:space="preserve"> 2002; </w:t>
      </w:r>
      <w:r w:rsidRPr="009A1CF2">
        <w:rPr>
          <w:rFonts w:ascii="Calibri" w:hAnsi="Calibri" w:cs="Calibri"/>
          <w:b/>
          <w:bCs/>
          <w:noProof/>
          <w:sz w:val="22"/>
          <w:lang w:val="en-US"/>
        </w:rPr>
        <w:t>37</w:t>
      </w:r>
      <w:r w:rsidRPr="009A1CF2">
        <w:rPr>
          <w:rFonts w:ascii="Calibri" w:hAnsi="Calibri" w:cs="Calibri"/>
          <w:noProof/>
          <w:sz w:val="22"/>
          <w:lang w:val="en-US"/>
        </w:rPr>
        <w:t>: 527–531.</w:t>
      </w:r>
    </w:p>
    <w:p w14:paraId="4F001CEE" w14:textId="77777777" w:rsidR="009A1CF2" w:rsidRPr="009A1CF2" w:rsidRDefault="009A1CF2" w:rsidP="009A1CF2">
      <w:pPr>
        <w:widowControl w:val="0"/>
        <w:autoSpaceDE w:val="0"/>
        <w:autoSpaceDN w:val="0"/>
        <w:adjustRightInd w:val="0"/>
        <w:spacing w:line="480" w:lineRule="auto"/>
        <w:ind w:left="640" w:hanging="640"/>
        <w:rPr>
          <w:rFonts w:ascii="Calibri" w:hAnsi="Calibri" w:cs="Calibri"/>
          <w:noProof/>
          <w:sz w:val="22"/>
          <w:lang w:val="en-US"/>
        </w:rPr>
      </w:pPr>
      <w:r w:rsidRPr="009A1CF2">
        <w:rPr>
          <w:rFonts w:ascii="Calibri" w:hAnsi="Calibri" w:cs="Calibri"/>
          <w:noProof/>
          <w:sz w:val="22"/>
          <w:lang w:val="en-US"/>
        </w:rPr>
        <w:t xml:space="preserve">4 </w:t>
      </w:r>
      <w:r w:rsidRPr="009A1CF2">
        <w:rPr>
          <w:rFonts w:ascii="Calibri" w:hAnsi="Calibri" w:cs="Calibri"/>
          <w:noProof/>
          <w:sz w:val="22"/>
          <w:lang w:val="en-US"/>
        </w:rPr>
        <w:tab/>
        <w:t xml:space="preserve">Tiihonen J </w:t>
      </w:r>
      <w:r w:rsidRPr="009A1CF2">
        <w:rPr>
          <w:rFonts w:ascii="Calibri" w:hAnsi="Calibri" w:cs="Calibri"/>
          <w:i/>
          <w:iCs/>
          <w:noProof/>
          <w:sz w:val="22"/>
          <w:lang w:val="en-US"/>
        </w:rPr>
        <w:t>et al.</w:t>
      </w:r>
      <w:r w:rsidRPr="009A1CF2">
        <w:rPr>
          <w:rFonts w:ascii="Calibri" w:hAnsi="Calibri" w:cs="Calibri"/>
          <w:noProof/>
          <w:sz w:val="22"/>
          <w:lang w:val="en-US"/>
        </w:rPr>
        <w:t xml:space="preserve"> 11-year follow-up of mortality in patients with schizophrenia: a population-based cohort study (FIN11 study). </w:t>
      </w:r>
      <w:r w:rsidRPr="009A1CF2">
        <w:rPr>
          <w:rFonts w:ascii="Calibri" w:hAnsi="Calibri" w:cs="Calibri"/>
          <w:i/>
          <w:iCs/>
          <w:noProof/>
          <w:sz w:val="22"/>
          <w:lang w:val="en-US"/>
        </w:rPr>
        <w:t>Lancet</w:t>
      </w:r>
      <w:r w:rsidRPr="009A1CF2">
        <w:rPr>
          <w:rFonts w:ascii="Calibri" w:hAnsi="Calibri" w:cs="Calibri"/>
          <w:noProof/>
          <w:sz w:val="22"/>
          <w:lang w:val="en-US"/>
        </w:rPr>
        <w:t xml:space="preserve"> 2009; </w:t>
      </w:r>
      <w:r w:rsidRPr="009A1CF2">
        <w:rPr>
          <w:rFonts w:ascii="Calibri" w:hAnsi="Calibri" w:cs="Calibri"/>
          <w:b/>
          <w:bCs/>
          <w:noProof/>
          <w:sz w:val="22"/>
          <w:lang w:val="en-US"/>
        </w:rPr>
        <w:t>374</w:t>
      </w:r>
      <w:r w:rsidRPr="009A1CF2">
        <w:rPr>
          <w:rFonts w:ascii="Calibri" w:hAnsi="Calibri" w:cs="Calibri"/>
          <w:noProof/>
          <w:sz w:val="22"/>
          <w:lang w:val="en-US"/>
        </w:rPr>
        <w:t>: 620–627.</w:t>
      </w:r>
    </w:p>
    <w:p w14:paraId="5262B83E" w14:textId="77777777" w:rsidR="009A1CF2" w:rsidRPr="009A1CF2" w:rsidRDefault="009A1CF2" w:rsidP="009A1CF2">
      <w:pPr>
        <w:widowControl w:val="0"/>
        <w:autoSpaceDE w:val="0"/>
        <w:autoSpaceDN w:val="0"/>
        <w:adjustRightInd w:val="0"/>
        <w:spacing w:line="480" w:lineRule="auto"/>
        <w:ind w:left="640" w:hanging="640"/>
        <w:rPr>
          <w:rFonts w:ascii="Calibri" w:hAnsi="Calibri" w:cs="Calibri"/>
          <w:noProof/>
          <w:sz w:val="22"/>
          <w:lang w:val="en-US"/>
        </w:rPr>
      </w:pPr>
      <w:r w:rsidRPr="009A1CF2">
        <w:rPr>
          <w:rFonts w:ascii="Calibri" w:hAnsi="Calibri" w:cs="Calibri"/>
          <w:noProof/>
          <w:sz w:val="22"/>
          <w:lang w:val="en-US"/>
        </w:rPr>
        <w:t xml:space="preserve">5 </w:t>
      </w:r>
      <w:r w:rsidRPr="009A1CF2">
        <w:rPr>
          <w:rFonts w:ascii="Calibri" w:hAnsi="Calibri" w:cs="Calibri"/>
          <w:noProof/>
          <w:sz w:val="22"/>
          <w:lang w:val="en-US"/>
        </w:rPr>
        <w:tab/>
        <w:t xml:space="preserve">Schoepf D, Uppal H, Potluri R, Heun R. Physical comorbidity and its relevance on mortality in schizophrenia: A naturalistic 12-year follow-up in general hospital admissions. </w:t>
      </w:r>
      <w:r w:rsidRPr="009A1CF2">
        <w:rPr>
          <w:rFonts w:ascii="Calibri" w:hAnsi="Calibri" w:cs="Calibri"/>
          <w:i/>
          <w:iCs/>
          <w:noProof/>
          <w:sz w:val="22"/>
          <w:lang w:val="en-US"/>
        </w:rPr>
        <w:t>Eur Arch Psychiatry Clin Neurosci</w:t>
      </w:r>
      <w:r w:rsidRPr="009A1CF2">
        <w:rPr>
          <w:rFonts w:ascii="Calibri" w:hAnsi="Calibri" w:cs="Calibri"/>
          <w:noProof/>
          <w:sz w:val="22"/>
          <w:lang w:val="en-US"/>
        </w:rPr>
        <w:t xml:space="preserve"> 2014; </w:t>
      </w:r>
      <w:r w:rsidRPr="009A1CF2">
        <w:rPr>
          <w:rFonts w:ascii="Calibri" w:hAnsi="Calibri" w:cs="Calibri"/>
          <w:b/>
          <w:bCs/>
          <w:noProof/>
          <w:sz w:val="22"/>
          <w:lang w:val="en-US"/>
        </w:rPr>
        <w:t>264</w:t>
      </w:r>
      <w:r w:rsidRPr="009A1CF2">
        <w:rPr>
          <w:rFonts w:ascii="Calibri" w:hAnsi="Calibri" w:cs="Calibri"/>
          <w:noProof/>
          <w:sz w:val="22"/>
          <w:lang w:val="en-US"/>
        </w:rPr>
        <w:t>: 3–28.</w:t>
      </w:r>
    </w:p>
    <w:p w14:paraId="3042FDF0" w14:textId="77777777" w:rsidR="009A1CF2" w:rsidRPr="009A1CF2" w:rsidRDefault="009A1CF2" w:rsidP="009A1CF2">
      <w:pPr>
        <w:widowControl w:val="0"/>
        <w:autoSpaceDE w:val="0"/>
        <w:autoSpaceDN w:val="0"/>
        <w:adjustRightInd w:val="0"/>
        <w:spacing w:line="480" w:lineRule="auto"/>
        <w:ind w:left="640" w:hanging="640"/>
        <w:rPr>
          <w:rFonts w:ascii="Calibri" w:hAnsi="Calibri" w:cs="Calibri"/>
          <w:noProof/>
          <w:sz w:val="22"/>
          <w:lang w:val="en-US"/>
        </w:rPr>
      </w:pPr>
      <w:r w:rsidRPr="009A1CF2">
        <w:rPr>
          <w:rFonts w:ascii="Calibri" w:hAnsi="Calibri" w:cs="Calibri"/>
          <w:noProof/>
          <w:sz w:val="22"/>
          <w:lang w:val="en-US"/>
        </w:rPr>
        <w:t xml:space="preserve">6 </w:t>
      </w:r>
      <w:r w:rsidRPr="009A1CF2">
        <w:rPr>
          <w:rFonts w:ascii="Calibri" w:hAnsi="Calibri" w:cs="Calibri"/>
          <w:noProof/>
          <w:sz w:val="22"/>
          <w:lang w:val="en-US"/>
        </w:rPr>
        <w:tab/>
        <w:t xml:space="preserve">Limosin F, Loze JY, Philippe A, Casadebaig F, Rouillon F. Ten-year prospective follow-up study of the mortality by suicide in schizophrenic patients. </w:t>
      </w:r>
      <w:r w:rsidRPr="009A1CF2">
        <w:rPr>
          <w:rFonts w:ascii="Calibri" w:hAnsi="Calibri" w:cs="Calibri"/>
          <w:i/>
          <w:iCs/>
          <w:noProof/>
          <w:sz w:val="22"/>
          <w:lang w:val="en-US"/>
        </w:rPr>
        <w:t>Schizophr Res</w:t>
      </w:r>
      <w:r w:rsidRPr="009A1CF2">
        <w:rPr>
          <w:rFonts w:ascii="Calibri" w:hAnsi="Calibri" w:cs="Calibri"/>
          <w:noProof/>
          <w:sz w:val="22"/>
          <w:lang w:val="en-US"/>
        </w:rPr>
        <w:t xml:space="preserve"> 2007; </w:t>
      </w:r>
      <w:r w:rsidRPr="009A1CF2">
        <w:rPr>
          <w:rFonts w:ascii="Calibri" w:hAnsi="Calibri" w:cs="Calibri"/>
          <w:b/>
          <w:bCs/>
          <w:noProof/>
          <w:sz w:val="22"/>
          <w:lang w:val="en-US"/>
        </w:rPr>
        <w:t>94</w:t>
      </w:r>
      <w:r w:rsidRPr="009A1CF2">
        <w:rPr>
          <w:rFonts w:ascii="Calibri" w:hAnsi="Calibri" w:cs="Calibri"/>
          <w:noProof/>
          <w:sz w:val="22"/>
          <w:lang w:val="en-US"/>
        </w:rPr>
        <w:t>: 23–28.</w:t>
      </w:r>
    </w:p>
    <w:p w14:paraId="1514AABE" w14:textId="77777777" w:rsidR="009A1CF2" w:rsidRPr="009A1CF2" w:rsidRDefault="009A1CF2" w:rsidP="009A1CF2">
      <w:pPr>
        <w:widowControl w:val="0"/>
        <w:autoSpaceDE w:val="0"/>
        <w:autoSpaceDN w:val="0"/>
        <w:adjustRightInd w:val="0"/>
        <w:spacing w:line="480" w:lineRule="auto"/>
        <w:ind w:left="640" w:hanging="640"/>
        <w:rPr>
          <w:rFonts w:ascii="Calibri" w:hAnsi="Calibri" w:cs="Calibri"/>
          <w:noProof/>
          <w:sz w:val="22"/>
          <w:lang w:val="en-US"/>
        </w:rPr>
      </w:pPr>
      <w:r w:rsidRPr="009A1CF2">
        <w:rPr>
          <w:rFonts w:ascii="Calibri" w:hAnsi="Calibri" w:cs="Calibri"/>
          <w:noProof/>
          <w:sz w:val="22"/>
          <w:lang w:val="en-US"/>
        </w:rPr>
        <w:t xml:space="preserve">7 </w:t>
      </w:r>
      <w:r w:rsidRPr="009A1CF2">
        <w:rPr>
          <w:rFonts w:ascii="Calibri" w:hAnsi="Calibri" w:cs="Calibri"/>
          <w:noProof/>
          <w:sz w:val="22"/>
          <w:lang w:val="en-US"/>
        </w:rPr>
        <w:tab/>
        <w:t xml:space="preserve">Ripke S </w:t>
      </w:r>
      <w:r w:rsidRPr="009A1CF2">
        <w:rPr>
          <w:rFonts w:ascii="Calibri" w:hAnsi="Calibri" w:cs="Calibri"/>
          <w:i/>
          <w:iCs/>
          <w:noProof/>
          <w:sz w:val="22"/>
          <w:lang w:val="en-US"/>
        </w:rPr>
        <w:t>et al.</w:t>
      </w:r>
      <w:r w:rsidRPr="009A1CF2">
        <w:rPr>
          <w:rFonts w:ascii="Calibri" w:hAnsi="Calibri" w:cs="Calibri"/>
          <w:noProof/>
          <w:sz w:val="22"/>
          <w:lang w:val="en-US"/>
        </w:rPr>
        <w:t xml:space="preserve"> Genome-wide association analysis identifies 13 new risk loci for schizophrenia. </w:t>
      </w:r>
      <w:r w:rsidRPr="009A1CF2">
        <w:rPr>
          <w:rFonts w:ascii="Calibri" w:hAnsi="Calibri" w:cs="Calibri"/>
          <w:i/>
          <w:iCs/>
          <w:noProof/>
          <w:sz w:val="22"/>
          <w:lang w:val="en-US"/>
        </w:rPr>
        <w:t>Nat Genet</w:t>
      </w:r>
      <w:r w:rsidRPr="009A1CF2">
        <w:rPr>
          <w:rFonts w:ascii="Calibri" w:hAnsi="Calibri" w:cs="Calibri"/>
          <w:noProof/>
          <w:sz w:val="22"/>
          <w:lang w:val="en-US"/>
        </w:rPr>
        <w:t xml:space="preserve"> 2013; </w:t>
      </w:r>
      <w:r w:rsidRPr="009A1CF2">
        <w:rPr>
          <w:rFonts w:ascii="Calibri" w:hAnsi="Calibri" w:cs="Calibri"/>
          <w:b/>
          <w:bCs/>
          <w:noProof/>
          <w:sz w:val="22"/>
          <w:lang w:val="en-US"/>
        </w:rPr>
        <w:t>45</w:t>
      </w:r>
      <w:r w:rsidRPr="009A1CF2">
        <w:rPr>
          <w:rFonts w:ascii="Calibri" w:hAnsi="Calibri" w:cs="Calibri"/>
          <w:noProof/>
          <w:sz w:val="22"/>
          <w:lang w:val="en-US"/>
        </w:rPr>
        <w:t>: 1150–9.</w:t>
      </w:r>
    </w:p>
    <w:p w14:paraId="54E70A99" w14:textId="77777777" w:rsidR="009A1CF2" w:rsidRPr="009A1CF2" w:rsidRDefault="009A1CF2" w:rsidP="009A1CF2">
      <w:pPr>
        <w:widowControl w:val="0"/>
        <w:autoSpaceDE w:val="0"/>
        <w:autoSpaceDN w:val="0"/>
        <w:adjustRightInd w:val="0"/>
        <w:spacing w:line="480" w:lineRule="auto"/>
        <w:ind w:left="640" w:hanging="640"/>
        <w:rPr>
          <w:rFonts w:ascii="Calibri" w:hAnsi="Calibri" w:cs="Calibri"/>
          <w:noProof/>
          <w:sz w:val="22"/>
          <w:lang w:val="en-US"/>
        </w:rPr>
      </w:pPr>
      <w:r w:rsidRPr="009A1CF2">
        <w:rPr>
          <w:rFonts w:ascii="Calibri" w:hAnsi="Calibri" w:cs="Calibri"/>
          <w:noProof/>
          <w:sz w:val="22"/>
          <w:lang w:val="en-US"/>
        </w:rPr>
        <w:t xml:space="preserve">8 </w:t>
      </w:r>
      <w:r w:rsidRPr="009A1CF2">
        <w:rPr>
          <w:rFonts w:ascii="Calibri" w:hAnsi="Calibri" w:cs="Calibri"/>
          <w:noProof/>
          <w:sz w:val="22"/>
          <w:lang w:val="en-US"/>
        </w:rPr>
        <w:tab/>
        <w:t xml:space="preserve">Lichtenstein P </w:t>
      </w:r>
      <w:r w:rsidRPr="009A1CF2">
        <w:rPr>
          <w:rFonts w:ascii="Calibri" w:hAnsi="Calibri" w:cs="Calibri"/>
          <w:i/>
          <w:iCs/>
          <w:noProof/>
          <w:sz w:val="22"/>
          <w:lang w:val="en-US"/>
        </w:rPr>
        <w:t>et al.</w:t>
      </w:r>
      <w:r w:rsidRPr="009A1CF2">
        <w:rPr>
          <w:rFonts w:ascii="Calibri" w:hAnsi="Calibri" w:cs="Calibri"/>
          <w:noProof/>
          <w:sz w:val="22"/>
          <w:lang w:val="en-US"/>
        </w:rPr>
        <w:t xml:space="preserve"> Recurrence risks for schizophrenia in a Swedish National Cohort. </w:t>
      </w:r>
      <w:r w:rsidRPr="009A1CF2">
        <w:rPr>
          <w:rFonts w:ascii="Calibri" w:hAnsi="Calibri" w:cs="Calibri"/>
          <w:i/>
          <w:iCs/>
          <w:noProof/>
          <w:sz w:val="22"/>
          <w:lang w:val="en-US"/>
        </w:rPr>
        <w:t>Psychol Med</w:t>
      </w:r>
      <w:r w:rsidRPr="009A1CF2">
        <w:rPr>
          <w:rFonts w:ascii="Calibri" w:hAnsi="Calibri" w:cs="Calibri"/>
          <w:noProof/>
          <w:sz w:val="22"/>
          <w:lang w:val="en-US"/>
        </w:rPr>
        <w:t xml:space="preserve"> 2006; </w:t>
      </w:r>
      <w:r w:rsidRPr="009A1CF2">
        <w:rPr>
          <w:rFonts w:ascii="Calibri" w:hAnsi="Calibri" w:cs="Calibri"/>
          <w:b/>
          <w:bCs/>
          <w:noProof/>
          <w:sz w:val="22"/>
          <w:lang w:val="en-US"/>
        </w:rPr>
        <w:t>36</w:t>
      </w:r>
      <w:r w:rsidRPr="009A1CF2">
        <w:rPr>
          <w:rFonts w:ascii="Calibri" w:hAnsi="Calibri" w:cs="Calibri"/>
          <w:noProof/>
          <w:sz w:val="22"/>
          <w:lang w:val="en-US"/>
        </w:rPr>
        <w:t>: 1417–1425.</w:t>
      </w:r>
    </w:p>
    <w:p w14:paraId="3E8E65AD" w14:textId="77777777" w:rsidR="009A1CF2" w:rsidRPr="009A1CF2" w:rsidRDefault="009A1CF2" w:rsidP="009A1CF2">
      <w:pPr>
        <w:widowControl w:val="0"/>
        <w:autoSpaceDE w:val="0"/>
        <w:autoSpaceDN w:val="0"/>
        <w:adjustRightInd w:val="0"/>
        <w:spacing w:line="480" w:lineRule="auto"/>
        <w:ind w:left="640" w:hanging="640"/>
        <w:rPr>
          <w:rFonts w:ascii="Calibri" w:hAnsi="Calibri" w:cs="Calibri"/>
          <w:noProof/>
          <w:sz w:val="22"/>
          <w:lang w:val="en-US"/>
        </w:rPr>
      </w:pPr>
      <w:r w:rsidRPr="009A1CF2">
        <w:rPr>
          <w:rFonts w:ascii="Calibri" w:hAnsi="Calibri" w:cs="Calibri"/>
          <w:noProof/>
          <w:sz w:val="22"/>
          <w:lang w:val="en-US"/>
        </w:rPr>
        <w:t xml:space="preserve">9 </w:t>
      </w:r>
      <w:r w:rsidRPr="009A1CF2">
        <w:rPr>
          <w:rFonts w:ascii="Calibri" w:hAnsi="Calibri" w:cs="Calibri"/>
          <w:noProof/>
          <w:sz w:val="22"/>
          <w:lang w:val="en-US"/>
        </w:rPr>
        <w:tab/>
        <w:t xml:space="preserve">Schizophrenia Working Group of the Psychiatric Genomics Consortium. Biological insights from 108 schizophrenia-associated genetic loci. </w:t>
      </w:r>
      <w:r w:rsidRPr="009A1CF2">
        <w:rPr>
          <w:rFonts w:ascii="Calibri" w:hAnsi="Calibri" w:cs="Calibri"/>
          <w:i/>
          <w:iCs/>
          <w:noProof/>
          <w:sz w:val="22"/>
          <w:lang w:val="en-US"/>
        </w:rPr>
        <w:t>Nature</w:t>
      </w:r>
      <w:r w:rsidRPr="009A1CF2">
        <w:rPr>
          <w:rFonts w:ascii="Calibri" w:hAnsi="Calibri" w:cs="Calibri"/>
          <w:noProof/>
          <w:sz w:val="22"/>
          <w:lang w:val="en-US"/>
        </w:rPr>
        <w:t xml:space="preserve"> 2014; </w:t>
      </w:r>
      <w:r w:rsidRPr="009A1CF2">
        <w:rPr>
          <w:rFonts w:ascii="Calibri" w:hAnsi="Calibri" w:cs="Calibri"/>
          <w:b/>
          <w:bCs/>
          <w:noProof/>
          <w:sz w:val="22"/>
          <w:lang w:val="en-US"/>
        </w:rPr>
        <w:t>511</w:t>
      </w:r>
      <w:r w:rsidRPr="009A1CF2">
        <w:rPr>
          <w:rFonts w:ascii="Calibri" w:hAnsi="Calibri" w:cs="Calibri"/>
          <w:noProof/>
          <w:sz w:val="22"/>
          <w:lang w:val="en-US"/>
        </w:rPr>
        <w:t>: 421–7.</w:t>
      </w:r>
    </w:p>
    <w:p w14:paraId="77DF6C5F" w14:textId="77777777" w:rsidR="009A1CF2" w:rsidRPr="009A1CF2" w:rsidRDefault="009A1CF2" w:rsidP="009A1CF2">
      <w:pPr>
        <w:widowControl w:val="0"/>
        <w:autoSpaceDE w:val="0"/>
        <w:autoSpaceDN w:val="0"/>
        <w:adjustRightInd w:val="0"/>
        <w:spacing w:line="480" w:lineRule="auto"/>
        <w:ind w:left="640" w:hanging="640"/>
        <w:rPr>
          <w:rFonts w:ascii="Calibri" w:hAnsi="Calibri" w:cs="Calibri"/>
          <w:noProof/>
          <w:sz w:val="22"/>
          <w:lang w:val="en-US"/>
        </w:rPr>
      </w:pPr>
      <w:r w:rsidRPr="009A1CF2">
        <w:rPr>
          <w:rFonts w:ascii="Calibri" w:hAnsi="Calibri" w:cs="Calibri"/>
          <w:noProof/>
          <w:sz w:val="22"/>
          <w:lang w:val="en-US"/>
        </w:rPr>
        <w:t xml:space="preserve">10 </w:t>
      </w:r>
      <w:r w:rsidRPr="009A1CF2">
        <w:rPr>
          <w:rFonts w:ascii="Calibri" w:hAnsi="Calibri" w:cs="Calibri"/>
          <w:noProof/>
          <w:sz w:val="22"/>
          <w:lang w:val="en-US"/>
        </w:rPr>
        <w:tab/>
        <w:t xml:space="preserve">Ekholm B </w:t>
      </w:r>
      <w:r w:rsidRPr="009A1CF2">
        <w:rPr>
          <w:rFonts w:ascii="Calibri" w:hAnsi="Calibri" w:cs="Calibri"/>
          <w:i/>
          <w:iCs/>
          <w:noProof/>
          <w:sz w:val="22"/>
          <w:lang w:val="en-US"/>
        </w:rPr>
        <w:t>et al.</w:t>
      </w:r>
      <w:r w:rsidRPr="009A1CF2">
        <w:rPr>
          <w:rFonts w:ascii="Calibri" w:hAnsi="Calibri" w:cs="Calibri"/>
          <w:noProof/>
          <w:sz w:val="22"/>
          <w:lang w:val="en-US"/>
        </w:rPr>
        <w:t xml:space="preserve"> Evaluation of diagnostic procedures in Swedish patients with schizophrenia and related psychoses. </w:t>
      </w:r>
      <w:r w:rsidRPr="009A1CF2">
        <w:rPr>
          <w:rFonts w:ascii="Calibri" w:hAnsi="Calibri" w:cs="Calibri"/>
          <w:i/>
          <w:iCs/>
          <w:noProof/>
          <w:sz w:val="22"/>
          <w:lang w:val="en-US"/>
        </w:rPr>
        <w:t>Nord J Psychiatry</w:t>
      </w:r>
      <w:r w:rsidRPr="009A1CF2">
        <w:rPr>
          <w:rFonts w:ascii="Calibri" w:hAnsi="Calibri" w:cs="Calibri"/>
          <w:noProof/>
          <w:sz w:val="22"/>
          <w:lang w:val="en-US"/>
        </w:rPr>
        <w:t xml:space="preserve"> 2005; </w:t>
      </w:r>
      <w:r w:rsidRPr="009A1CF2">
        <w:rPr>
          <w:rFonts w:ascii="Calibri" w:hAnsi="Calibri" w:cs="Calibri"/>
          <w:b/>
          <w:bCs/>
          <w:noProof/>
          <w:sz w:val="22"/>
          <w:lang w:val="en-US"/>
        </w:rPr>
        <w:t>59</w:t>
      </w:r>
      <w:r w:rsidRPr="009A1CF2">
        <w:rPr>
          <w:rFonts w:ascii="Calibri" w:hAnsi="Calibri" w:cs="Calibri"/>
          <w:noProof/>
          <w:sz w:val="22"/>
          <w:lang w:val="en-US"/>
        </w:rPr>
        <w:t>: 457–464.</w:t>
      </w:r>
    </w:p>
    <w:p w14:paraId="514D6023" w14:textId="77777777" w:rsidR="009A1CF2" w:rsidRPr="009A1CF2" w:rsidRDefault="009A1CF2" w:rsidP="009A1CF2">
      <w:pPr>
        <w:widowControl w:val="0"/>
        <w:autoSpaceDE w:val="0"/>
        <w:autoSpaceDN w:val="0"/>
        <w:adjustRightInd w:val="0"/>
        <w:spacing w:line="480" w:lineRule="auto"/>
        <w:ind w:left="640" w:hanging="640"/>
        <w:rPr>
          <w:rFonts w:ascii="Calibri" w:hAnsi="Calibri" w:cs="Calibri"/>
          <w:noProof/>
          <w:sz w:val="22"/>
          <w:lang w:val="en-US"/>
        </w:rPr>
      </w:pPr>
      <w:r w:rsidRPr="009A1CF2">
        <w:rPr>
          <w:rFonts w:ascii="Calibri" w:hAnsi="Calibri" w:cs="Calibri"/>
          <w:noProof/>
          <w:sz w:val="22"/>
          <w:lang w:val="en-US"/>
        </w:rPr>
        <w:t xml:space="preserve">11 </w:t>
      </w:r>
      <w:r w:rsidRPr="009A1CF2">
        <w:rPr>
          <w:rFonts w:ascii="Calibri" w:hAnsi="Calibri" w:cs="Calibri"/>
          <w:noProof/>
          <w:sz w:val="22"/>
          <w:lang w:val="en-US"/>
        </w:rPr>
        <w:tab/>
        <w:t xml:space="preserve">Statistics Sweden. Evaluation of the Swedish register of education. http://www.scb.se/statistik </w:t>
      </w:r>
      <w:r w:rsidRPr="009A1CF2">
        <w:rPr>
          <w:rFonts w:ascii="Calibri" w:hAnsi="Calibri" w:cs="Calibri"/>
          <w:noProof/>
          <w:sz w:val="22"/>
          <w:lang w:val="en-US"/>
        </w:rPr>
        <w:lastRenderedPageBreak/>
        <w:t>/_publikationer/BE9999_2006A01_BR _BE96ST0604.pdf (accessed 27 Mar2019).</w:t>
      </w:r>
    </w:p>
    <w:p w14:paraId="206E00A6" w14:textId="77777777" w:rsidR="009A1CF2" w:rsidRPr="009A1CF2" w:rsidRDefault="009A1CF2" w:rsidP="009A1CF2">
      <w:pPr>
        <w:widowControl w:val="0"/>
        <w:autoSpaceDE w:val="0"/>
        <w:autoSpaceDN w:val="0"/>
        <w:adjustRightInd w:val="0"/>
        <w:spacing w:line="480" w:lineRule="auto"/>
        <w:ind w:left="640" w:hanging="640"/>
        <w:rPr>
          <w:rFonts w:ascii="Calibri" w:hAnsi="Calibri" w:cs="Calibri"/>
          <w:noProof/>
          <w:sz w:val="22"/>
          <w:lang w:val="en-US"/>
        </w:rPr>
      </w:pPr>
      <w:r w:rsidRPr="009A1CF2">
        <w:rPr>
          <w:rFonts w:ascii="Calibri" w:hAnsi="Calibri" w:cs="Calibri"/>
          <w:noProof/>
          <w:sz w:val="22"/>
          <w:lang w:val="en-US"/>
        </w:rPr>
        <w:t xml:space="preserve">12 </w:t>
      </w:r>
      <w:r w:rsidRPr="009A1CF2">
        <w:rPr>
          <w:rFonts w:ascii="Calibri" w:hAnsi="Calibri" w:cs="Calibri"/>
          <w:noProof/>
          <w:sz w:val="22"/>
          <w:lang w:val="en-US"/>
        </w:rPr>
        <w:tab/>
        <w:t xml:space="preserve">Wettermark B </w:t>
      </w:r>
      <w:r w:rsidRPr="009A1CF2">
        <w:rPr>
          <w:rFonts w:ascii="Calibri" w:hAnsi="Calibri" w:cs="Calibri"/>
          <w:i/>
          <w:iCs/>
          <w:noProof/>
          <w:sz w:val="22"/>
          <w:lang w:val="en-US"/>
        </w:rPr>
        <w:t>et al.</w:t>
      </w:r>
      <w:r w:rsidRPr="009A1CF2">
        <w:rPr>
          <w:rFonts w:ascii="Calibri" w:hAnsi="Calibri" w:cs="Calibri"/>
          <w:noProof/>
          <w:sz w:val="22"/>
          <w:lang w:val="en-US"/>
        </w:rPr>
        <w:t xml:space="preserve"> The new Swedish Prescribed Drug Register Opportunities for pharmacoepidemiological research and experience from the first six months. </w:t>
      </w:r>
      <w:r w:rsidRPr="009A1CF2">
        <w:rPr>
          <w:rFonts w:ascii="Calibri" w:hAnsi="Calibri" w:cs="Calibri"/>
          <w:i/>
          <w:iCs/>
          <w:noProof/>
          <w:sz w:val="22"/>
          <w:lang w:val="en-US"/>
        </w:rPr>
        <w:t>Pharmacoepidemiol Drug Saf</w:t>
      </w:r>
      <w:r w:rsidRPr="009A1CF2">
        <w:rPr>
          <w:rFonts w:ascii="Calibri" w:hAnsi="Calibri" w:cs="Calibri"/>
          <w:noProof/>
          <w:sz w:val="22"/>
          <w:lang w:val="en-US"/>
        </w:rPr>
        <w:t xml:space="preserve"> 2007; </w:t>
      </w:r>
      <w:r w:rsidRPr="009A1CF2">
        <w:rPr>
          <w:rFonts w:ascii="Calibri" w:hAnsi="Calibri" w:cs="Calibri"/>
          <w:b/>
          <w:bCs/>
          <w:noProof/>
          <w:sz w:val="22"/>
          <w:lang w:val="en-US"/>
        </w:rPr>
        <w:t>16</w:t>
      </w:r>
      <w:r w:rsidRPr="009A1CF2">
        <w:rPr>
          <w:rFonts w:ascii="Calibri" w:hAnsi="Calibri" w:cs="Calibri"/>
          <w:noProof/>
          <w:sz w:val="22"/>
          <w:lang w:val="en-US"/>
        </w:rPr>
        <w:t>: 726–735.</w:t>
      </w:r>
    </w:p>
    <w:p w14:paraId="371BA34B" w14:textId="77777777" w:rsidR="009A1CF2" w:rsidRPr="009A1CF2" w:rsidRDefault="009A1CF2" w:rsidP="009A1CF2">
      <w:pPr>
        <w:widowControl w:val="0"/>
        <w:autoSpaceDE w:val="0"/>
        <w:autoSpaceDN w:val="0"/>
        <w:adjustRightInd w:val="0"/>
        <w:spacing w:line="480" w:lineRule="auto"/>
        <w:ind w:left="640" w:hanging="640"/>
        <w:rPr>
          <w:rFonts w:ascii="Calibri" w:hAnsi="Calibri" w:cs="Calibri"/>
          <w:noProof/>
          <w:sz w:val="22"/>
          <w:lang w:val="en-US"/>
        </w:rPr>
      </w:pPr>
      <w:r w:rsidRPr="009A1CF2">
        <w:rPr>
          <w:rFonts w:ascii="Calibri" w:hAnsi="Calibri" w:cs="Calibri"/>
          <w:noProof/>
          <w:sz w:val="22"/>
          <w:lang w:val="en-US"/>
        </w:rPr>
        <w:t xml:space="preserve">13 </w:t>
      </w:r>
      <w:r w:rsidRPr="009A1CF2">
        <w:rPr>
          <w:rFonts w:ascii="Calibri" w:hAnsi="Calibri" w:cs="Calibri"/>
          <w:noProof/>
          <w:sz w:val="22"/>
          <w:lang w:val="en-US"/>
        </w:rPr>
        <w:tab/>
        <w:t>Ripke S. Ricopili - Rapid Imputation Consortium Pipeline. https://sites.google.com/a/broadinstitute.org/ricopili/home (accessed 14 Aug2017).</w:t>
      </w:r>
    </w:p>
    <w:p w14:paraId="3A54368F" w14:textId="77777777" w:rsidR="009A1CF2" w:rsidRPr="009A1CF2" w:rsidRDefault="009A1CF2" w:rsidP="009A1CF2">
      <w:pPr>
        <w:widowControl w:val="0"/>
        <w:autoSpaceDE w:val="0"/>
        <w:autoSpaceDN w:val="0"/>
        <w:adjustRightInd w:val="0"/>
        <w:spacing w:line="480" w:lineRule="auto"/>
        <w:ind w:left="640" w:hanging="640"/>
        <w:rPr>
          <w:rFonts w:ascii="Calibri" w:hAnsi="Calibri" w:cs="Calibri"/>
          <w:noProof/>
          <w:sz w:val="22"/>
          <w:lang w:val="en-US"/>
        </w:rPr>
      </w:pPr>
      <w:r w:rsidRPr="009A1CF2">
        <w:rPr>
          <w:rFonts w:ascii="Calibri" w:hAnsi="Calibri" w:cs="Calibri"/>
          <w:noProof/>
          <w:sz w:val="22"/>
          <w:lang w:val="en-US"/>
        </w:rPr>
        <w:t xml:space="preserve">14 </w:t>
      </w:r>
      <w:r w:rsidRPr="009A1CF2">
        <w:rPr>
          <w:rFonts w:ascii="Calibri" w:hAnsi="Calibri" w:cs="Calibri"/>
          <w:noProof/>
          <w:sz w:val="22"/>
          <w:lang w:val="en-US"/>
        </w:rPr>
        <w:tab/>
        <w:t xml:space="preserve">Howie BN, Donnelly P, Marchini J. A flexible and accurate genotype imputation method for the next generation of genome-wide association studies. </w:t>
      </w:r>
      <w:r w:rsidRPr="009A1CF2">
        <w:rPr>
          <w:rFonts w:ascii="Calibri" w:hAnsi="Calibri" w:cs="Calibri"/>
          <w:i/>
          <w:iCs/>
          <w:noProof/>
          <w:sz w:val="22"/>
          <w:lang w:val="en-US"/>
        </w:rPr>
        <w:t>PLoS Genet</w:t>
      </w:r>
      <w:r w:rsidRPr="009A1CF2">
        <w:rPr>
          <w:rFonts w:ascii="Calibri" w:hAnsi="Calibri" w:cs="Calibri"/>
          <w:noProof/>
          <w:sz w:val="22"/>
          <w:lang w:val="en-US"/>
        </w:rPr>
        <w:t xml:space="preserve"> 2009; </w:t>
      </w:r>
      <w:r w:rsidRPr="009A1CF2">
        <w:rPr>
          <w:rFonts w:ascii="Calibri" w:hAnsi="Calibri" w:cs="Calibri"/>
          <w:b/>
          <w:bCs/>
          <w:noProof/>
          <w:sz w:val="22"/>
          <w:lang w:val="en-US"/>
        </w:rPr>
        <w:t>5</w:t>
      </w:r>
      <w:r w:rsidRPr="009A1CF2">
        <w:rPr>
          <w:rFonts w:ascii="Calibri" w:hAnsi="Calibri" w:cs="Calibri"/>
          <w:noProof/>
          <w:sz w:val="22"/>
          <w:lang w:val="en-US"/>
        </w:rPr>
        <w:t>: e1000529.</w:t>
      </w:r>
    </w:p>
    <w:p w14:paraId="4BBDDC46" w14:textId="77777777" w:rsidR="009A1CF2" w:rsidRPr="009A1CF2" w:rsidRDefault="009A1CF2" w:rsidP="009A1CF2">
      <w:pPr>
        <w:widowControl w:val="0"/>
        <w:autoSpaceDE w:val="0"/>
        <w:autoSpaceDN w:val="0"/>
        <w:adjustRightInd w:val="0"/>
        <w:spacing w:line="480" w:lineRule="auto"/>
        <w:ind w:left="640" w:hanging="640"/>
        <w:rPr>
          <w:rFonts w:ascii="Calibri" w:hAnsi="Calibri" w:cs="Calibri"/>
          <w:noProof/>
          <w:sz w:val="22"/>
          <w:lang w:val="en-US"/>
        </w:rPr>
      </w:pPr>
      <w:r w:rsidRPr="009A1CF2">
        <w:rPr>
          <w:rFonts w:ascii="Calibri" w:hAnsi="Calibri" w:cs="Calibri"/>
          <w:noProof/>
          <w:sz w:val="22"/>
          <w:lang w:val="en-US"/>
        </w:rPr>
        <w:t xml:space="preserve">15 </w:t>
      </w:r>
      <w:r w:rsidRPr="009A1CF2">
        <w:rPr>
          <w:rFonts w:ascii="Calibri" w:hAnsi="Calibri" w:cs="Calibri"/>
          <w:noProof/>
          <w:sz w:val="22"/>
          <w:lang w:val="en-US"/>
        </w:rPr>
        <w:tab/>
        <w:t xml:space="preserve">Chang CC </w:t>
      </w:r>
      <w:r w:rsidRPr="009A1CF2">
        <w:rPr>
          <w:rFonts w:ascii="Calibri" w:hAnsi="Calibri" w:cs="Calibri"/>
          <w:i/>
          <w:iCs/>
          <w:noProof/>
          <w:sz w:val="22"/>
          <w:lang w:val="en-US"/>
        </w:rPr>
        <w:t>et al.</w:t>
      </w:r>
      <w:r w:rsidRPr="009A1CF2">
        <w:rPr>
          <w:rFonts w:ascii="Calibri" w:hAnsi="Calibri" w:cs="Calibri"/>
          <w:noProof/>
          <w:sz w:val="22"/>
          <w:lang w:val="en-US"/>
        </w:rPr>
        <w:t xml:space="preserve"> Second-generation PLINK: Rising to the challenge of larger and richer datasets. </w:t>
      </w:r>
      <w:r w:rsidRPr="009A1CF2">
        <w:rPr>
          <w:rFonts w:ascii="Calibri" w:hAnsi="Calibri" w:cs="Calibri"/>
          <w:i/>
          <w:iCs/>
          <w:noProof/>
          <w:sz w:val="22"/>
          <w:lang w:val="en-US"/>
        </w:rPr>
        <w:t>Gigascience</w:t>
      </w:r>
      <w:r w:rsidRPr="009A1CF2">
        <w:rPr>
          <w:rFonts w:ascii="Calibri" w:hAnsi="Calibri" w:cs="Calibri"/>
          <w:noProof/>
          <w:sz w:val="22"/>
          <w:lang w:val="en-US"/>
        </w:rPr>
        <w:t xml:space="preserve"> 2015; </w:t>
      </w:r>
      <w:r w:rsidRPr="009A1CF2">
        <w:rPr>
          <w:rFonts w:ascii="Calibri" w:hAnsi="Calibri" w:cs="Calibri"/>
          <w:b/>
          <w:bCs/>
          <w:noProof/>
          <w:sz w:val="22"/>
          <w:lang w:val="en-US"/>
        </w:rPr>
        <w:t>4</w:t>
      </w:r>
      <w:r w:rsidRPr="009A1CF2">
        <w:rPr>
          <w:rFonts w:ascii="Calibri" w:hAnsi="Calibri" w:cs="Calibri"/>
          <w:noProof/>
          <w:sz w:val="22"/>
          <w:lang w:val="en-US"/>
        </w:rPr>
        <w:t>: 7.</w:t>
      </w:r>
    </w:p>
    <w:p w14:paraId="4DB8387B" w14:textId="77777777" w:rsidR="009A1CF2" w:rsidRPr="009A1CF2" w:rsidRDefault="009A1CF2" w:rsidP="009A1CF2">
      <w:pPr>
        <w:widowControl w:val="0"/>
        <w:autoSpaceDE w:val="0"/>
        <w:autoSpaceDN w:val="0"/>
        <w:adjustRightInd w:val="0"/>
        <w:spacing w:line="480" w:lineRule="auto"/>
        <w:ind w:left="640" w:hanging="640"/>
        <w:rPr>
          <w:rFonts w:ascii="Calibri" w:hAnsi="Calibri" w:cs="Calibri"/>
          <w:noProof/>
          <w:sz w:val="22"/>
          <w:lang w:val="en-US"/>
        </w:rPr>
      </w:pPr>
      <w:r w:rsidRPr="009A1CF2">
        <w:rPr>
          <w:rFonts w:ascii="Calibri" w:hAnsi="Calibri" w:cs="Calibri"/>
          <w:noProof/>
          <w:sz w:val="22"/>
          <w:lang w:val="en-US"/>
        </w:rPr>
        <w:t xml:space="preserve">16 </w:t>
      </w:r>
      <w:r w:rsidRPr="009A1CF2">
        <w:rPr>
          <w:rFonts w:ascii="Calibri" w:hAnsi="Calibri" w:cs="Calibri"/>
          <w:noProof/>
          <w:sz w:val="22"/>
          <w:lang w:val="en-US"/>
        </w:rPr>
        <w:tab/>
        <w:t xml:space="preserve">Savage JE </w:t>
      </w:r>
      <w:r w:rsidRPr="009A1CF2">
        <w:rPr>
          <w:rFonts w:ascii="Calibri" w:hAnsi="Calibri" w:cs="Calibri"/>
          <w:i/>
          <w:iCs/>
          <w:noProof/>
          <w:sz w:val="22"/>
          <w:lang w:val="en-US"/>
        </w:rPr>
        <w:t>et al.</w:t>
      </w:r>
      <w:r w:rsidRPr="009A1CF2">
        <w:rPr>
          <w:rFonts w:ascii="Calibri" w:hAnsi="Calibri" w:cs="Calibri"/>
          <w:noProof/>
          <w:sz w:val="22"/>
          <w:lang w:val="en-US"/>
        </w:rPr>
        <w:t xml:space="preserve"> Genome-wide association meta-analysis in 269,867 individuals identifies new genetic and functional links to intelligence. </w:t>
      </w:r>
      <w:r w:rsidRPr="009A1CF2">
        <w:rPr>
          <w:rFonts w:ascii="Calibri" w:hAnsi="Calibri" w:cs="Calibri"/>
          <w:i/>
          <w:iCs/>
          <w:noProof/>
          <w:sz w:val="22"/>
          <w:lang w:val="en-US"/>
        </w:rPr>
        <w:t>Nat Genet</w:t>
      </w:r>
      <w:r w:rsidRPr="009A1CF2">
        <w:rPr>
          <w:rFonts w:ascii="Calibri" w:hAnsi="Calibri" w:cs="Calibri"/>
          <w:noProof/>
          <w:sz w:val="22"/>
          <w:lang w:val="en-US"/>
        </w:rPr>
        <w:t xml:space="preserve"> 2018; </w:t>
      </w:r>
      <w:r w:rsidRPr="009A1CF2">
        <w:rPr>
          <w:rFonts w:ascii="Calibri" w:hAnsi="Calibri" w:cs="Calibri"/>
          <w:b/>
          <w:bCs/>
          <w:noProof/>
          <w:sz w:val="22"/>
          <w:lang w:val="en-US"/>
        </w:rPr>
        <w:t>50</w:t>
      </w:r>
      <w:r w:rsidRPr="009A1CF2">
        <w:rPr>
          <w:rFonts w:ascii="Calibri" w:hAnsi="Calibri" w:cs="Calibri"/>
          <w:noProof/>
          <w:sz w:val="22"/>
          <w:lang w:val="en-US"/>
        </w:rPr>
        <w:t>: 912–919.</w:t>
      </w:r>
    </w:p>
    <w:p w14:paraId="2F5B925D" w14:textId="77777777" w:rsidR="009A1CF2" w:rsidRPr="009A1CF2" w:rsidRDefault="009A1CF2" w:rsidP="009A1CF2">
      <w:pPr>
        <w:widowControl w:val="0"/>
        <w:autoSpaceDE w:val="0"/>
        <w:autoSpaceDN w:val="0"/>
        <w:adjustRightInd w:val="0"/>
        <w:spacing w:line="480" w:lineRule="auto"/>
        <w:ind w:left="640" w:hanging="640"/>
        <w:rPr>
          <w:rFonts w:ascii="Calibri" w:hAnsi="Calibri" w:cs="Calibri"/>
          <w:noProof/>
          <w:sz w:val="22"/>
          <w:lang w:val="en-US"/>
        </w:rPr>
      </w:pPr>
      <w:r w:rsidRPr="009A1CF2">
        <w:rPr>
          <w:rFonts w:ascii="Calibri" w:hAnsi="Calibri" w:cs="Calibri"/>
          <w:noProof/>
          <w:sz w:val="22"/>
          <w:lang w:val="en-US"/>
        </w:rPr>
        <w:t xml:space="preserve">17 </w:t>
      </w:r>
      <w:r w:rsidRPr="009A1CF2">
        <w:rPr>
          <w:rFonts w:ascii="Calibri" w:hAnsi="Calibri" w:cs="Calibri"/>
          <w:noProof/>
          <w:sz w:val="22"/>
          <w:lang w:val="en-US"/>
        </w:rPr>
        <w:tab/>
        <w:t xml:space="preserve">Yengo L </w:t>
      </w:r>
      <w:r w:rsidRPr="009A1CF2">
        <w:rPr>
          <w:rFonts w:ascii="Calibri" w:hAnsi="Calibri" w:cs="Calibri"/>
          <w:i/>
          <w:iCs/>
          <w:noProof/>
          <w:sz w:val="22"/>
          <w:lang w:val="en-US"/>
        </w:rPr>
        <w:t>et al.</w:t>
      </w:r>
      <w:r w:rsidRPr="009A1CF2">
        <w:rPr>
          <w:rFonts w:ascii="Calibri" w:hAnsi="Calibri" w:cs="Calibri"/>
          <w:noProof/>
          <w:sz w:val="22"/>
          <w:lang w:val="en-US"/>
        </w:rPr>
        <w:t xml:space="preserve"> Meta-analysis of genome-wide association studies for height and body mass index in ∼700000 individuals of European ancestry. </w:t>
      </w:r>
      <w:r w:rsidRPr="009A1CF2">
        <w:rPr>
          <w:rFonts w:ascii="Calibri" w:hAnsi="Calibri" w:cs="Calibri"/>
          <w:i/>
          <w:iCs/>
          <w:noProof/>
          <w:sz w:val="22"/>
          <w:lang w:val="en-US"/>
        </w:rPr>
        <w:t>Hum Mol Genet</w:t>
      </w:r>
      <w:r w:rsidRPr="009A1CF2">
        <w:rPr>
          <w:rFonts w:ascii="Calibri" w:hAnsi="Calibri" w:cs="Calibri"/>
          <w:noProof/>
          <w:sz w:val="22"/>
          <w:lang w:val="en-US"/>
        </w:rPr>
        <w:t xml:space="preserve"> 2018; </w:t>
      </w:r>
      <w:r w:rsidRPr="009A1CF2">
        <w:rPr>
          <w:rFonts w:ascii="Calibri" w:hAnsi="Calibri" w:cs="Calibri"/>
          <w:b/>
          <w:bCs/>
          <w:noProof/>
          <w:sz w:val="22"/>
          <w:lang w:val="en-US"/>
        </w:rPr>
        <w:t>27</w:t>
      </w:r>
      <w:r w:rsidRPr="009A1CF2">
        <w:rPr>
          <w:rFonts w:ascii="Calibri" w:hAnsi="Calibri" w:cs="Calibri"/>
          <w:noProof/>
          <w:sz w:val="22"/>
          <w:lang w:val="en-US"/>
        </w:rPr>
        <w:t>: 3641–3649.</w:t>
      </w:r>
    </w:p>
    <w:p w14:paraId="670ABECB" w14:textId="77777777" w:rsidR="009A1CF2" w:rsidRPr="009A1CF2" w:rsidRDefault="009A1CF2" w:rsidP="009A1CF2">
      <w:pPr>
        <w:widowControl w:val="0"/>
        <w:autoSpaceDE w:val="0"/>
        <w:autoSpaceDN w:val="0"/>
        <w:adjustRightInd w:val="0"/>
        <w:spacing w:line="480" w:lineRule="auto"/>
        <w:ind w:left="640" w:hanging="640"/>
        <w:rPr>
          <w:rFonts w:ascii="Calibri" w:hAnsi="Calibri" w:cs="Calibri"/>
          <w:noProof/>
          <w:sz w:val="22"/>
          <w:lang w:val="en-US"/>
        </w:rPr>
      </w:pPr>
      <w:r w:rsidRPr="009A1CF2">
        <w:rPr>
          <w:rFonts w:ascii="Calibri" w:hAnsi="Calibri" w:cs="Calibri"/>
          <w:noProof/>
          <w:sz w:val="22"/>
          <w:lang w:val="en-US"/>
        </w:rPr>
        <w:t xml:space="preserve">18 </w:t>
      </w:r>
      <w:r w:rsidRPr="009A1CF2">
        <w:rPr>
          <w:rFonts w:ascii="Calibri" w:hAnsi="Calibri" w:cs="Calibri"/>
          <w:noProof/>
          <w:sz w:val="22"/>
          <w:lang w:val="en-US"/>
        </w:rPr>
        <w:tab/>
        <w:t xml:space="preserve">Nelson CP </w:t>
      </w:r>
      <w:r w:rsidRPr="009A1CF2">
        <w:rPr>
          <w:rFonts w:ascii="Calibri" w:hAnsi="Calibri" w:cs="Calibri"/>
          <w:i/>
          <w:iCs/>
          <w:noProof/>
          <w:sz w:val="22"/>
          <w:lang w:val="en-US"/>
        </w:rPr>
        <w:t>et al.</w:t>
      </w:r>
      <w:r w:rsidRPr="009A1CF2">
        <w:rPr>
          <w:rFonts w:ascii="Calibri" w:hAnsi="Calibri" w:cs="Calibri"/>
          <w:noProof/>
          <w:sz w:val="22"/>
          <w:lang w:val="en-US"/>
        </w:rPr>
        <w:t xml:space="preserve"> Association analyses based on false discovery rate implicate new loci for coronary artery disease. </w:t>
      </w:r>
      <w:r w:rsidRPr="009A1CF2">
        <w:rPr>
          <w:rFonts w:ascii="Calibri" w:hAnsi="Calibri" w:cs="Calibri"/>
          <w:i/>
          <w:iCs/>
          <w:noProof/>
          <w:sz w:val="22"/>
          <w:lang w:val="en-US"/>
        </w:rPr>
        <w:t>Nat Genet</w:t>
      </w:r>
      <w:r w:rsidRPr="009A1CF2">
        <w:rPr>
          <w:rFonts w:ascii="Calibri" w:hAnsi="Calibri" w:cs="Calibri"/>
          <w:noProof/>
          <w:sz w:val="22"/>
          <w:lang w:val="en-US"/>
        </w:rPr>
        <w:t xml:space="preserve"> 2017; </w:t>
      </w:r>
      <w:r w:rsidRPr="009A1CF2">
        <w:rPr>
          <w:rFonts w:ascii="Calibri" w:hAnsi="Calibri" w:cs="Calibri"/>
          <w:b/>
          <w:bCs/>
          <w:noProof/>
          <w:sz w:val="22"/>
          <w:lang w:val="en-US"/>
        </w:rPr>
        <w:t>49</w:t>
      </w:r>
      <w:r w:rsidRPr="009A1CF2">
        <w:rPr>
          <w:rFonts w:ascii="Calibri" w:hAnsi="Calibri" w:cs="Calibri"/>
          <w:noProof/>
          <w:sz w:val="22"/>
          <w:lang w:val="en-US"/>
        </w:rPr>
        <w:t>: 1385–1391.</w:t>
      </w:r>
    </w:p>
    <w:p w14:paraId="224656C0" w14:textId="77777777" w:rsidR="009A1CF2" w:rsidRPr="009A1CF2" w:rsidRDefault="009A1CF2" w:rsidP="009A1CF2">
      <w:pPr>
        <w:widowControl w:val="0"/>
        <w:autoSpaceDE w:val="0"/>
        <w:autoSpaceDN w:val="0"/>
        <w:adjustRightInd w:val="0"/>
        <w:spacing w:line="480" w:lineRule="auto"/>
        <w:ind w:left="640" w:hanging="640"/>
        <w:rPr>
          <w:rFonts w:ascii="Calibri" w:hAnsi="Calibri" w:cs="Calibri"/>
          <w:noProof/>
          <w:sz w:val="22"/>
          <w:lang w:val="en-US"/>
        </w:rPr>
      </w:pPr>
      <w:r w:rsidRPr="009A1CF2">
        <w:rPr>
          <w:rFonts w:ascii="Calibri" w:hAnsi="Calibri" w:cs="Calibri"/>
          <w:noProof/>
          <w:sz w:val="22"/>
          <w:lang w:val="en-US"/>
        </w:rPr>
        <w:t xml:space="preserve">19 </w:t>
      </w:r>
      <w:r w:rsidRPr="009A1CF2">
        <w:rPr>
          <w:rFonts w:ascii="Calibri" w:hAnsi="Calibri" w:cs="Calibri"/>
          <w:noProof/>
          <w:sz w:val="22"/>
          <w:lang w:val="en-US"/>
        </w:rPr>
        <w:tab/>
        <w:t xml:space="preserve">Willer CJ </w:t>
      </w:r>
      <w:r w:rsidRPr="009A1CF2">
        <w:rPr>
          <w:rFonts w:ascii="Calibri" w:hAnsi="Calibri" w:cs="Calibri"/>
          <w:i/>
          <w:iCs/>
          <w:noProof/>
          <w:sz w:val="22"/>
          <w:lang w:val="en-US"/>
        </w:rPr>
        <w:t>et al.</w:t>
      </w:r>
      <w:r w:rsidRPr="009A1CF2">
        <w:rPr>
          <w:rFonts w:ascii="Calibri" w:hAnsi="Calibri" w:cs="Calibri"/>
          <w:noProof/>
          <w:sz w:val="22"/>
          <w:lang w:val="en-US"/>
        </w:rPr>
        <w:t xml:space="preserve"> Discovery and refinement of loci associated with lipid levels. </w:t>
      </w:r>
      <w:r w:rsidRPr="009A1CF2">
        <w:rPr>
          <w:rFonts w:ascii="Calibri" w:hAnsi="Calibri" w:cs="Calibri"/>
          <w:i/>
          <w:iCs/>
          <w:noProof/>
          <w:sz w:val="22"/>
          <w:lang w:val="en-US"/>
        </w:rPr>
        <w:t>Nat Genet</w:t>
      </w:r>
      <w:r w:rsidRPr="009A1CF2">
        <w:rPr>
          <w:rFonts w:ascii="Calibri" w:hAnsi="Calibri" w:cs="Calibri"/>
          <w:noProof/>
          <w:sz w:val="22"/>
          <w:lang w:val="en-US"/>
        </w:rPr>
        <w:t xml:space="preserve"> 2013; </w:t>
      </w:r>
      <w:r w:rsidRPr="009A1CF2">
        <w:rPr>
          <w:rFonts w:ascii="Calibri" w:hAnsi="Calibri" w:cs="Calibri"/>
          <w:b/>
          <w:bCs/>
          <w:noProof/>
          <w:sz w:val="22"/>
          <w:lang w:val="en-US"/>
        </w:rPr>
        <w:t>45</w:t>
      </w:r>
      <w:r w:rsidRPr="009A1CF2">
        <w:rPr>
          <w:rFonts w:ascii="Calibri" w:hAnsi="Calibri" w:cs="Calibri"/>
          <w:noProof/>
          <w:sz w:val="22"/>
          <w:lang w:val="en-US"/>
        </w:rPr>
        <w:t>: 1274–1285.</w:t>
      </w:r>
    </w:p>
    <w:p w14:paraId="7F7AD7E4" w14:textId="77777777" w:rsidR="009A1CF2" w:rsidRPr="009A1CF2" w:rsidRDefault="009A1CF2" w:rsidP="009A1CF2">
      <w:pPr>
        <w:widowControl w:val="0"/>
        <w:autoSpaceDE w:val="0"/>
        <w:autoSpaceDN w:val="0"/>
        <w:adjustRightInd w:val="0"/>
        <w:spacing w:line="480" w:lineRule="auto"/>
        <w:ind w:left="640" w:hanging="640"/>
        <w:rPr>
          <w:rFonts w:ascii="Calibri" w:hAnsi="Calibri" w:cs="Calibri"/>
          <w:noProof/>
          <w:sz w:val="22"/>
          <w:lang w:val="en-US"/>
        </w:rPr>
      </w:pPr>
      <w:r w:rsidRPr="009A1CF2">
        <w:rPr>
          <w:rFonts w:ascii="Calibri" w:hAnsi="Calibri" w:cs="Calibri"/>
          <w:noProof/>
          <w:sz w:val="22"/>
          <w:lang w:val="en-US"/>
        </w:rPr>
        <w:t xml:space="preserve">20 </w:t>
      </w:r>
      <w:r w:rsidRPr="009A1CF2">
        <w:rPr>
          <w:rFonts w:ascii="Calibri" w:hAnsi="Calibri" w:cs="Calibri"/>
          <w:noProof/>
          <w:sz w:val="22"/>
          <w:lang w:val="en-US"/>
        </w:rPr>
        <w:tab/>
        <w:t xml:space="preserve">Wuttke M </w:t>
      </w:r>
      <w:r w:rsidRPr="009A1CF2">
        <w:rPr>
          <w:rFonts w:ascii="Calibri" w:hAnsi="Calibri" w:cs="Calibri"/>
          <w:i/>
          <w:iCs/>
          <w:noProof/>
          <w:sz w:val="22"/>
          <w:lang w:val="en-US"/>
        </w:rPr>
        <w:t>et al.</w:t>
      </w:r>
      <w:r w:rsidRPr="009A1CF2">
        <w:rPr>
          <w:rFonts w:ascii="Calibri" w:hAnsi="Calibri" w:cs="Calibri"/>
          <w:noProof/>
          <w:sz w:val="22"/>
          <w:lang w:val="en-US"/>
        </w:rPr>
        <w:t xml:space="preserve"> A catalog of genetic loci associated with kidney function from analyses of a million individuals. </w:t>
      </w:r>
      <w:r w:rsidRPr="009A1CF2">
        <w:rPr>
          <w:rFonts w:ascii="Calibri" w:hAnsi="Calibri" w:cs="Calibri"/>
          <w:i/>
          <w:iCs/>
          <w:noProof/>
          <w:sz w:val="22"/>
          <w:lang w:val="en-US"/>
        </w:rPr>
        <w:t>Nat Genet</w:t>
      </w:r>
      <w:r w:rsidRPr="009A1CF2">
        <w:rPr>
          <w:rFonts w:ascii="Calibri" w:hAnsi="Calibri" w:cs="Calibri"/>
          <w:noProof/>
          <w:sz w:val="22"/>
          <w:lang w:val="en-US"/>
        </w:rPr>
        <w:t xml:space="preserve"> 2019; </w:t>
      </w:r>
      <w:r w:rsidRPr="009A1CF2">
        <w:rPr>
          <w:rFonts w:ascii="Calibri" w:hAnsi="Calibri" w:cs="Calibri"/>
          <w:b/>
          <w:bCs/>
          <w:noProof/>
          <w:sz w:val="22"/>
          <w:lang w:val="en-US"/>
        </w:rPr>
        <w:t>51</w:t>
      </w:r>
      <w:r w:rsidRPr="009A1CF2">
        <w:rPr>
          <w:rFonts w:ascii="Calibri" w:hAnsi="Calibri" w:cs="Calibri"/>
          <w:noProof/>
          <w:sz w:val="22"/>
          <w:lang w:val="en-US"/>
        </w:rPr>
        <w:t>: 957–972.</w:t>
      </w:r>
    </w:p>
    <w:p w14:paraId="26B9455C" w14:textId="77777777" w:rsidR="009A1CF2" w:rsidRPr="009A1CF2" w:rsidRDefault="009A1CF2" w:rsidP="009A1CF2">
      <w:pPr>
        <w:widowControl w:val="0"/>
        <w:autoSpaceDE w:val="0"/>
        <w:autoSpaceDN w:val="0"/>
        <w:adjustRightInd w:val="0"/>
        <w:spacing w:line="480" w:lineRule="auto"/>
        <w:ind w:left="640" w:hanging="640"/>
        <w:rPr>
          <w:rFonts w:ascii="Calibri" w:hAnsi="Calibri" w:cs="Calibri"/>
          <w:noProof/>
          <w:sz w:val="22"/>
          <w:lang w:val="en-US"/>
        </w:rPr>
      </w:pPr>
      <w:r w:rsidRPr="009A1CF2">
        <w:rPr>
          <w:rFonts w:ascii="Calibri" w:hAnsi="Calibri" w:cs="Calibri"/>
          <w:noProof/>
          <w:sz w:val="22"/>
          <w:lang w:val="en-US"/>
        </w:rPr>
        <w:t xml:space="preserve">21 </w:t>
      </w:r>
      <w:r w:rsidRPr="009A1CF2">
        <w:rPr>
          <w:rFonts w:ascii="Calibri" w:hAnsi="Calibri" w:cs="Calibri"/>
          <w:noProof/>
          <w:sz w:val="22"/>
          <w:lang w:val="en-US"/>
        </w:rPr>
        <w:tab/>
        <w:t xml:space="preserve">Scott RA </w:t>
      </w:r>
      <w:r w:rsidRPr="009A1CF2">
        <w:rPr>
          <w:rFonts w:ascii="Calibri" w:hAnsi="Calibri" w:cs="Calibri"/>
          <w:i/>
          <w:iCs/>
          <w:noProof/>
          <w:sz w:val="22"/>
          <w:lang w:val="en-US"/>
        </w:rPr>
        <w:t>et al.</w:t>
      </w:r>
      <w:r w:rsidRPr="009A1CF2">
        <w:rPr>
          <w:rFonts w:ascii="Calibri" w:hAnsi="Calibri" w:cs="Calibri"/>
          <w:noProof/>
          <w:sz w:val="22"/>
          <w:lang w:val="en-US"/>
        </w:rPr>
        <w:t xml:space="preserve"> An Expanded Genome-Wide Association Study of Type 2 Diabetes in Europeans. </w:t>
      </w:r>
      <w:r w:rsidRPr="009A1CF2">
        <w:rPr>
          <w:rFonts w:ascii="Calibri" w:hAnsi="Calibri" w:cs="Calibri"/>
          <w:i/>
          <w:iCs/>
          <w:noProof/>
          <w:sz w:val="22"/>
          <w:lang w:val="en-US"/>
        </w:rPr>
        <w:t>Diabetes</w:t>
      </w:r>
      <w:r w:rsidRPr="009A1CF2">
        <w:rPr>
          <w:rFonts w:ascii="Calibri" w:hAnsi="Calibri" w:cs="Calibri"/>
          <w:noProof/>
          <w:sz w:val="22"/>
          <w:lang w:val="en-US"/>
        </w:rPr>
        <w:t xml:space="preserve"> 2017; </w:t>
      </w:r>
      <w:r w:rsidRPr="009A1CF2">
        <w:rPr>
          <w:rFonts w:ascii="Calibri" w:hAnsi="Calibri" w:cs="Calibri"/>
          <w:b/>
          <w:bCs/>
          <w:noProof/>
          <w:sz w:val="22"/>
          <w:lang w:val="en-US"/>
        </w:rPr>
        <w:t>66</w:t>
      </w:r>
      <w:r w:rsidRPr="009A1CF2">
        <w:rPr>
          <w:rFonts w:ascii="Calibri" w:hAnsi="Calibri" w:cs="Calibri"/>
          <w:noProof/>
          <w:sz w:val="22"/>
          <w:lang w:val="en-US"/>
        </w:rPr>
        <w:t>: 2888–2902.</w:t>
      </w:r>
    </w:p>
    <w:p w14:paraId="2CA693E5" w14:textId="77777777" w:rsidR="009A1CF2" w:rsidRPr="009A1CF2" w:rsidRDefault="009A1CF2" w:rsidP="009A1CF2">
      <w:pPr>
        <w:widowControl w:val="0"/>
        <w:autoSpaceDE w:val="0"/>
        <w:autoSpaceDN w:val="0"/>
        <w:adjustRightInd w:val="0"/>
        <w:spacing w:line="480" w:lineRule="auto"/>
        <w:ind w:left="640" w:hanging="640"/>
        <w:rPr>
          <w:rFonts w:ascii="Calibri" w:hAnsi="Calibri" w:cs="Calibri"/>
          <w:noProof/>
          <w:sz w:val="22"/>
          <w:lang w:val="en-US"/>
        </w:rPr>
      </w:pPr>
      <w:r w:rsidRPr="009A1CF2">
        <w:rPr>
          <w:rFonts w:ascii="Calibri" w:hAnsi="Calibri" w:cs="Calibri"/>
          <w:noProof/>
          <w:sz w:val="22"/>
          <w:lang w:val="en-US"/>
        </w:rPr>
        <w:t xml:space="preserve">22 </w:t>
      </w:r>
      <w:r w:rsidRPr="009A1CF2">
        <w:rPr>
          <w:rFonts w:ascii="Calibri" w:hAnsi="Calibri" w:cs="Calibri"/>
          <w:noProof/>
          <w:sz w:val="22"/>
          <w:lang w:val="en-US"/>
        </w:rPr>
        <w:tab/>
        <w:t xml:space="preserve">Liu M </w:t>
      </w:r>
      <w:r w:rsidRPr="009A1CF2">
        <w:rPr>
          <w:rFonts w:ascii="Calibri" w:hAnsi="Calibri" w:cs="Calibri"/>
          <w:i/>
          <w:iCs/>
          <w:noProof/>
          <w:sz w:val="22"/>
          <w:lang w:val="en-US"/>
        </w:rPr>
        <w:t>et al.</w:t>
      </w:r>
      <w:r w:rsidRPr="009A1CF2">
        <w:rPr>
          <w:rFonts w:ascii="Calibri" w:hAnsi="Calibri" w:cs="Calibri"/>
          <w:noProof/>
          <w:sz w:val="22"/>
          <w:lang w:val="en-US"/>
        </w:rPr>
        <w:t xml:space="preserve"> Association studies of up to 1.2 million individuals yield new insights into the genetic etiology of tobacco and alcohol use. Nat. Genet. 2019; </w:t>
      </w:r>
      <w:r w:rsidRPr="009A1CF2">
        <w:rPr>
          <w:rFonts w:ascii="Calibri" w:hAnsi="Calibri" w:cs="Calibri"/>
          <w:b/>
          <w:bCs/>
          <w:noProof/>
          <w:sz w:val="22"/>
          <w:lang w:val="en-US"/>
        </w:rPr>
        <w:t>51</w:t>
      </w:r>
      <w:r w:rsidRPr="009A1CF2">
        <w:rPr>
          <w:rFonts w:ascii="Calibri" w:hAnsi="Calibri" w:cs="Calibri"/>
          <w:noProof/>
          <w:sz w:val="22"/>
          <w:lang w:val="en-US"/>
        </w:rPr>
        <w:t>: 237–244.</w:t>
      </w:r>
    </w:p>
    <w:p w14:paraId="0D8477E2" w14:textId="77777777" w:rsidR="009A1CF2" w:rsidRPr="009A1CF2" w:rsidRDefault="009A1CF2" w:rsidP="009A1CF2">
      <w:pPr>
        <w:widowControl w:val="0"/>
        <w:autoSpaceDE w:val="0"/>
        <w:autoSpaceDN w:val="0"/>
        <w:adjustRightInd w:val="0"/>
        <w:spacing w:line="480" w:lineRule="auto"/>
        <w:ind w:left="640" w:hanging="640"/>
        <w:rPr>
          <w:rFonts w:ascii="Calibri" w:hAnsi="Calibri" w:cs="Calibri"/>
          <w:noProof/>
          <w:sz w:val="22"/>
          <w:lang w:val="en-US"/>
        </w:rPr>
      </w:pPr>
      <w:r w:rsidRPr="009A1CF2">
        <w:rPr>
          <w:rFonts w:ascii="Calibri" w:hAnsi="Calibri" w:cs="Calibri"/>
          <w:noProof/>
          <w:sz w:val="22"/>
          <w:lang w:val="en-US"/>
        </w:rPr>
        <w:lastRenderedPageBreak/>
        <w:t xml:space="preserve">23 </w:t>
      </w:r>
      <w:r w:rsidRPr="009A1CF2">
        <w:rPr>
          <w:rFonts w:ascii="Calibri" w:hAnsi="Calibri" w:cs="Calibri"/>
          <w:noProof/>
          <w:sz w:val="22"/>
          <w:lang w:val="en-US"/>
        </w:rPr>
        <w:tab/>
        <w:t xml:space="preserve">Laursen TM, Munk-Olsen T, Nordentoft M, Mortensen PB. Increased mortality among patients admitted with major psychiatric disorders: A register-based study comparing mortality in unipolar depressive disorder, bipolar affective disorder, schizoaffective disorder, and schizophrenia. </w:t>
      </w:r>
      <w:r w:rsidRPr="009A1CF2">
        <w:rPr>
          <w:rFonts w:ascii="Calibri" w:hAnsi="Calibri" w:cs="Calibri"/>
          <w:i/>
          <w:iCs/>
          <w:noProof/>
          <w:sz w:val="22"/>
          <w:lang w:val="en-US"/>
        </w:rPr>
        <w:t>J Clin Psychiatry</w:t>
      </w:r>
      <w:r w:rsidRPr="009A1CF2">
        <w:rPr>
          <w:rFonts w:ascii="Calibri" w:hAnsi="Calibri" w:cs="Calibri"/>
          <w:noProof/>
          <w:sz w:val="22"/>
          <w:lang w:val="en-US"/>
        </w:rPr>
        <w:t xml:space="preserve"> 2007; </w:t>
      </w:r>
      <w:r w:rsidRPr="009A1CF2">
        <w:rPr>
          <w:rFonts w:ascii="Calibri" w:hAnsi="Calibri" w:cs="Calibri"/>
          <w:b/>
          <w:bCs/>
          <w:noProof/>
          <w:sz w:val="22"/>
          <w:lang w:val="en-US"/>
        </w:rPr>
        <w:t>68</w:t>
      </w:r>
      <w:r w:rsidRPr="009A1CF2">
        <w:rPr>
          <w:rFonts w:ascii="Calibri" w:hAnsi="Calibri" w:cs="Calibri"/>
          <w:noProof/>
          <w:sz w:val="22"/>
          <w:lang w:val="en-US"/>
        </w:rPr>
        <w:t>: 899–907.</w:t>
      </w:r>
    </w:p>
    <w:p w14:paraId="2DF7DBB7" w14:textId="77777777" w:rsidR="009A1CF2" w:rsidRPr="009A1CF2" w:rsidRDefault="009A1CF2" w:rsidP="009A1CF2">
      <w:pPr>
        <w:widowControl w:val="0"/>
        <w:autoSpaceDE w:val="0"/>
        <w:autoSpaceDN w:val="0"/>
        <w:adjustRightInd w:val="0"/>
        <w:spacing w:line="480" w:lineRule="auto"/>
        <w:ind w:left="640" w:hanging="640"/>
        <w:rPr>
          <w:rFonts w:ascii="Calibri" w:hAnsi="Calibri" w:cs="Calibri"/>
          <w:noProof/>
          <w:sz w:val="22"/>
          <w:lang w:val="en-US"/>
        </w:rPr>
      </w:pPr>
      <w:r w:rsidRPr="009A1CF2">
        <w:rPr>
          <w:rFonts w:ascii="Calibri" w:hAnsi="Calibri" w:cs="Calibri"/>
          <w:noProof/>
          <w:sz w:val="22"/>
          <w:lang w:val="en-US"/>
        </w:rPr>
        <w:t xml:space="preserve">24 </w:t>
      </w:r>
      <w:r w:rsidRPr="009A1CF2">
        <w:rPr>
          <w:rFonts w:ascii="Calibri" w:hAnsi="Calibri" w:cs="Calibri"/>
          <w:noProof/>
          <w:sz w:val="22"/>
          <w:lang w:val="en-US"/>
        </w:rPr>
        <w:tab/>
        <w:t xml:space="preserve">Dickerson F </w:t>
      </w:r>
      <w:r w:rsidRPr="009A1CF2">
        <w:rPr>
          <w:rFonts w:ascii="Calibri" w:hAnsi="Calibri" w:cs="Calibri"/>
          <w:i/>
          <w:iCs/>
          <w:noProof/>
          <w:sz w:val="22"/>
          <w:lang w:val="en-US"/>
        </w:rPr>
        <w:t>et al.</w:t>
      </w:r>
      <w:r w:rsidRPr="009A1CF2">
        <w:rPr>
          <w:rFonts w:ascii="Calibri" w:hAnsi="Calibri" w:cs="Calibri"/>
          <w:noProof/>
          <w:sz w:val="22"/>
          <w:lang w:val="en-US"/>
        </w:rPr>
        <w:t xml:space="preserve"> Mortality in Schizophrenia: Clinical and Serological Predictors. </w:t>
      </w:r>
      <w:r w:rsidRPr="009A1CF2">
        <w:rPr>
          <w:rFonts w:ascii="Calibri" w:hAnsi="Calibri" w:cs="Calibri"/>
          <w:i/>
          <w:iCs/>
          <w:noProof/>
          <w:sz w:val="22"/>
          <w:lang w:val="en-US"/>
        </w:rPr>
        <w:t>Schizophr Bull</w:t>
      </w:r>
      <w:r w:rsidRPr="009A1CF2">
        <w:rPr>
          <w:rFonts w:ascii="Calibri" w:hAnsi="Calibri" w:cs="Calibri"/>
          <w:noProof/>
          <w:sz w:val="22"/>
          <w:lang w:val="en-US"/>
        </w:rPr>
        <w:t xml:space="preserve"> 2014; </w:t>
      </w:r>
      <w:r w:rsidRPr="009A1CF2">
        <w:rPr>
          <w:rFonts w:ascii="Calibri" w:hAnsi="Calibri" w:cs="Calibri"/>
          <w:b/>
          <w:bCs/>
          <w:noProof/>
          <w:sz w:val="22"/>
          <w:lang w:val="en-US"/>
        </w:rPr>
        <w:t>40</w:t>
      </w:r>
      <w:r w:rsidRPr="009A1CF2">
        <w:rPr>
          <w:rFonts w:ascii="Calibri" w:hAnsi="Calibri" w:cs="Calibri"/>
          <w:noProof/>
          <w:sz w:val="22"/>
          <w:lang w:val="en-US"/>
        </w:rPr>
        <w:t>: 796–803.</w:t>
      </w:r>
    </w:p>
    <w:p w14:paraId="18B4C151" w14:textId="77777777" w:rsidR="009A1CF2" w:rsidRPr="009A1CF2" w:rsidRDefault="009A1CF2" w:rsidP="009A1CF2">
      <w:pPr>
        <w:widowControl w:val="0"/>
        <w:autoSpaceDE w:val="0"/>
        <w:autoSpaceDN w:val="0"/>
        <w:adjustRightInd w:val="0"/>
        <w:spacing w:line="480" w:lineRule="auto"/>
        <w:ind w:left="640" w:hanging="640"/>
        <w:rPr>
          <w:rFonts w:ascii="Calibri" w:hAnsi="Calibri" w:cs="Calibri"/>
          <w:noProof/>
          <w:sz w:val="22"/>
          <w:lang w:val="en-US"/>
        </w:rPr>
      </w:pPr>
      <w:r w:rsidRPr="009A1CF2">
        <w:rPr>
          <w:rFonts w:ascii="Calibri" w:hAnsi="Calibri" w:cs="Calibri"/>
          <w:noProof/>
          <w:sz w:val="22"/>
          <w:lang w:val="en-US"/>
        </w:rPr>
        <w:t xml:space="preserve">25 </w:t>
      </w:r>
      <w:r w:rsidRPr="009A1CF2">
        <w:rPr>
          <w:rFonts w:ascii="Calibri" w:hAnsi="Calibri" w:cs="Calibri"/>
          <w:noProof/>
          <w:sz w:val="22"/>
          <w:lang w:val="en-US"/>
        </w:rPr>
        <w:tab/>
        <w:t xml:space="preserve">De Gonzalez AB </w:t>
      </w:r>
      <w:r w:rsidRPr="009A1CF2">
        <w:rPr>
          <w:rFonts w:ascii="Calibri" w:hAnsi="Calibri" w:cs="Calibri"/>
          <w:i/>
          <w:iCs/>
          <w:noProof/>
          <w:sz w:val="22"/>
          <w:lang w:val="en-US"/>
        </w:rPr>
        <w:t>et al.</w:t>
      </w:r>
      <w:r w:rsidRPr="009A1CF2">
        <w:rPr>
          <w:rFonts w:ascii="Calibri" w:hAnsi="Calibri" w:cs="Calibri"/>
          <w:noProof/>
          <w:sz w:val="22"/>
          <w:lang w:val="en-US"/>
        </w:rPr>
        <w:t xml:space="preserve"> Body-mass index and mortality among 1.46 million white adults. </w:t>
      </w:r>
      <w:r w:rsidRPr="009A1CF2">
        <w:rPr>
          <w:rFonts w:ascii="Calibri" w:hAnsi="Calibri" w:cs="Calibri"/>
          <w:i/>
          <w:iCs/>
          <w:noProof/>
          <w:sz w:val="22"/>
          <w:lang w:val="en-US"/>
        </w:rPr>
        <w:t>N Engl J Med</w:t>
      </w:r>
      <w:r w:rsidRPr="009A1CF2">
        <w:rPr>
          <w:rFonts w:ascii="Calibri" w:hAnsi="Calibri" w:cs="Calibri"/>
          <w:noProof/>
          <w:sz w:val="22"/>
          <w:lang w:val="en-US"/>
        </w:rPr>
        <w:t xml:space="preserve"> 2010; </w:t>
      </w:r>
      <w:r w:rsidRPr="009A1CF2">
        <w:rPr>
          <w:rFonts w:ascii="Calibri" w:hAnsi="Calibri" w:cs="Calibri"/>
          <w:b/>
          <w:bCs/>
          <w:noProof/>
          <w:sz w:val="22"/>
          <w:lang w:val="en-US"/>
        </w:rPr>
        <w:t>363</w:t>
      </w:r>
      <w:r w:rsidRPr="009A1CF2">
        <w:rPr>
          <w:rFonts w:ascii="Calibri" w:hAnsi="Calibri" w:cs="Calibri"/>
          <w:noProof/>
          <w:sz w:val="22"/>
          <w:lang w:val="en-US"/>
        </w:rPr>
        <w:t>: 2211–2219.</w:t>
      </w:r>
    </w:p>
    <w:p w14:paraId="6968FEFD" w14:textId="77777777" w:rsidR="009A1CF2" w:rsidRPr="009A1CF2" w:rsidRDefault="009A1CF2" w:rsidP="009A1CF2">
      <w:pPr>
        <w:widowControl w:val="0"/>
        <w:autoSpaceDE w:val="0"/>
        <w:autoSpaceDN w:val="0"/>
        <w:adjustRightInd w:val="0"/>
        <w:spacing w:line="480" w:lineRule="auto"/>
        <w:ind w:left="640" w:hanging="640"/>
        <w:rPr>
          <w:rFonts w:ascii="Calibri" w:hAnsi="Calibri" w:cs="Calibri"/>
          <w:noProof/>
          <w:sz w:val="22"/>
          <w:lang w:val="en-US"/>
        </w:rPr>
      </w:pPr>
      <w:r w:rsidRPr="009A1CF2">
        <w:rPr>
          <w:rFonts w:ascii="Calibri" w:hAnsi="Calibri" w:cs="Calibri"/>
          <w:noProof/>
          <w:sz w:val="22"/>
          <w:lang w:val="en-US"/>
        </w:rPr>
        <w:t xml:space="preserve">26 </w:t>
      </w:r>
      <w:r w:rsidRPr="009A1CF2">
        <w:rPr>
          <w:rFonts w:ascii="Calibri" w:hAnsi="Calibri" w:cs="Calibri"/>
          <w:noProof/>
          <w:sz w:val="22"/>
          <w:lang w:val="en-US"/>
        </w:rPr>
        <w:tab/>
        <w:t xml:space="preserve">Szatkiewicz JP </w:t>
      </w:r>
      <w:r w:rsidRPr="009A1CF2">
        <w:rPr>
          <w:rFonts w:ascii="Calibri" w:hAnsi="Calibri" w:cs="Calibri"/>
          <w:i/>
          <w:iCs/>
          <w:noProof/>
          <w:sz w:val="22"/>
          <w:lang w:val="en-US"/>
        </w:rPr>
        <w:t>et al.</w:t>
      </w:r>
      <w:r w:rsidRPr="009A1CF2">
        <w:rPr>
          <w:rFonts w:ascii="Calibri" w:hAnsi="Calibri" w:cs="Calibri"/>
          <w:noProof/>
          <w:sz w:val="22"/>
          <w:lang w:val="en-US"/>
        </w:rPr>
        <w:t xml:space="preserve"> Copy number variation in schizophrenia in Sweden. </w:t>
      </w:r>
      <w:r w:rsidRPr="009A1CF2">
        <w:rPr>
          <w:rFonts w:ascii="Calibri" w:hAnsi="Calibri" w:cs="Calibri"/>
          <w:i/>
          <w:iCs/>
          <w:noProof/>
          <w:sz w:val="22"/>
          <w:lang w:val="en-US"/>
        </w:rPr>
        <w:t>Mol Psychiatry</w:t>
      </w:r>
      <w:r w:rsidRPr="009A1CF2">
        <w:rPr>
          <w:rFonts w:ascii="Calibri" w:hAnsi="Calibri" w:cs="Calibri"/>
          <w:noProof/>
          <w:sz w:val="22"/>
          <w:lang w:val="en-US"/>
        </w:rPr>
        <w:t xml:space="preserve"> 2014; </w:t>
      </w:r>
      <w:r w:rsidRPr="009A1CF2">
        <w:rPr>
          <w:rFonts w:ascii="Calibri" w:hAnsi="Calibri" w:cs="Calibri"/>
          <w:b/>
          <w:bCs/>
          <w:noProof/>
          <w:sz w:val="22"/>
          <w:lang w:val="en-US"/>
        </w:rPr>
        <w:t>19</w:t>
      </w:r>
      <w:r w:rsidRPr="009A1CF2">
        <w:rPr>
          <w:rFonts w:ascii="Calibri" w:hAnsi="Calibri" w:cs="Calibri"/>
          <w:noProof/>
          <w:sz w:val="22"/>
          <w:lang w:val="en-US"/>
        </w:rPr>
        <w:t>: 762–773.</w:t>
      </w:r>
    </w:p>
    <w:p w14:paraId="7C0B2372" w14:textId="77777777" w:rsidR="009A1CF2" w:rsidRPr="009A1CF2" w:rsidRDefault="009A1CF2" w:rsidP="009A1CF2">
      <w:pPr>
        <w:widowControl w:val="0"/>
        <w:autoSpaceDE w:val="0"/>
        <w:autoSpaceDN w:val="0"/>
        <w:adjustRightInd w:val="0"/>
        <w:spacing w:line="480" w:lineRule="auto"/>
        <w:ind w:left="640" w:hanging="640"/>
        <w:rPr>
          <w:rFonts w:ascii="Calibri" w:hAnsi="Calibri" w:cs="Calibri"/>
          <w:noProof/>
          <w:sz w:val="22"/>
          <w:lang w:val="en-US"/>
        </w:rPr>
      </w:pPr>
      <w:r w:rsidRPr="009A1CF2">
        <w:rPr>
          <w:rFonts w:ascii="Calibri" w:hAnsi="Calibri" w:cs="Calibri"/>
          <w:noProof/>
          <w:sz w:val="22"/>
          <w:lang w:val="en-US"/>
        </w:rPr>
        <w:t xml:space="preserve">27 </w:t>
      </w:r>
      <w:r w:rsidRPr="009A1CF2">
        <w:rPr>
          <w:rFonts w:ascii="Calibri" w:hAnsi="Calibri" w:cs="Calibri"/>
          <w:noProof/>
          <w:sz w:val="22"/>
          <w:lang w:val="en-US"/>
        </w:rPr>
        <w:tab/>
        <w:t xml:space="preserve">Korn JM </w:t>
      </w:r>
      <w:r w:rsidRPr="009A1CF2">
        <w:rPr>
          <w:rFonts w:ascii="Calibri" w:hAnsi="Calibri" w:cs="Calibri"/>
          <w:i/>
          <w:iCs/>
          <w:noProof/>
          <w:sz w:val="22"/>
          <w:lang w:val="en-US"/>
        </w:rPr>
        <w:t>et al.</w:t>
      </w:r>
      <w:r w:rsidRPr="009A1CF2">
        <w:rPr>
          <w:rFonts w:ascii="Calibri" w:hAnsi="Calibri" w:cs="Calibri"/>
          <w:noProof/>
          <w:sz w:val="22"/>
          <w:lang w:val="en-US"/>
        </w:rPr>
        <w:t xml:space="preserve"> Integrated genotype calling and association analysis of SNPs, common copy number polymorphisms and rare CNVs. </w:t>
      </w:r>
      <w:r w:rsidRPr="009A1CF2">
        <w:rPr>
          <w:rFonts w:ascii="Calibri" w:hAnsi="Calibri" w:cs="Calibri"/>
          <w:i/>
          <w:iCs/>
          <w:noProof/>
          <w:sz w:val="22"/>
          <w:lang w:val="en-US"/>
        </w:rPr>
        <w:t>Nat Genet 2008 4010</w:t>
      </w:r>
      <w:r w:rsidRPr="009A1CF2">
        <w:rPr>
          <w:rFonts w:ascii="Calibri" w:hAnsi="Calibri" w:cs="Calibri"/>
          <w:noProof/>
          <w:sz w:val="22"/>
          <w:lang w:val="en-US"/>
        </w:rPr>
        <w:t xml:space="preserve"> 2008; </w:t>
      </w:r>
      <w:r w:rsidRPr="009A1CF2">
        <w:rPr>
          <w:rFonts w:ascii="Calibri" w:hAnsi="Calibri" w:cs="Calibri"/>
          <w:b/>
          <w:bCs/>
          <w:noProof/>
          <w:sz w:val="22"/>
          <w:lang w:val="en-US"/>
        </w:rPr>
        <w:t>40</w:t>
      </w:r>
      <w:r w:rsidRPr="009A1CF2">
        <w:rPr>
          <w:rFonts w:ascii="Calibri" w:hAnsi="Calibri" w:cs="Calibri"/>
          <w:noProof/>
          <w:sz w:val="22"/>
          <w:lang w:val="en-US"/>
        </w:rPr>
        <w:t>: 1253.</w:t>
      </w:r>
    </w:p>
    <w:p w14:paraId="525BD010" w14:textId="77777777" w:rsidR="009A1CF2" w:rsidRPr="009A1CF2" w:rsidRDefault="009A1CF2" w:rsidP="009A1CF2">
      <w:pPr>
        <w:widowControl w:val="0"/>
        <w:autoSpaceDE w:val="0"/>
        <w:autoSpaceDN w:val="0"/>
        <w:adjustRightInd w:val="0"/>
        <w:spacing w:line="480" w:lineRule="auto"/>
        <w:ind w:left="640" w:hanging="640"/>
        <w:rPr>
          <w:rFonts w:ascii="Calibri" w:hAnsi="Calibri" w:cs="Calibri"/>
          <w:noProof/>
          <w:sz w:val="22"/>
          <w:lang w:val="en-US"/>
        </w:rPr>
      </w:pPr>
      <w:r w:rsidRPr="009A1CF2">
        <w:rPr>
          <w:rFonts w:ascii="Calibri" w:hAnsi="Calibri" w:cs="Calibri"/>
          <w:noProof/>
          <w:sz w:val="22"/>
          <w:lang w:val="en-US"/>
        </w:rPr>
        <w:t xml:space="preserve">28 </w:t>
      </w:r>
      <w:r w:rsidRPr="009A1CF2">
        <w:rPr>
          <w:rFonts w:ascii="Calibri" w:hAnsi="Calibri" w:cs="Calibri"/>
          <w:noProof/>
          <w:sz w:val="22"/>
          <w:lang w:val="en-US"/>
        </w:rPr>
        <w:tab/>
        <w:t xml:space="preserve">Genovese G </w:t>
      </w:r>
      <w:r w:rsidRPr="009A1CF2">
        <w:rPr>
          <w:rFonts w:ascii="Calibri" w:hAnsi="Calibri" w:cs="Calibri"/>
          <w:i/>
          <w:iCs/>
          <w:noProof/>
          <w:sz w:val="22"/>
          <w:lang w:val="en-US"/>
        </w:rPr>
        <w:t>et al.</w:t>
      </w:r>
      <w:r w:rsidRPr="009A1CF2">
        <w:rPr>
          <w:rFonts w:ascii="Calibri" w:hAnsi="Calibri" w:cs="Calibri"/>
          <w:noProof/>
          <w:sz w:val="22"/>
          <w:lang w:val="en-US"/>
        </w:rPr>
        <w:t xml:space="preserve"> Increased burden of ultra-rare protein-altering variants among 4,877 individuals with schizophrenia. </w:t>
      </w:r>
      <w:r w:rsidRPr="009A1CF2">
        <w:rPr>
          <w:rFonts w:ascii="Calibri" w:hAnsi="Calibri" w:cs="Calibri"/>
          <w:i/>
          <w:iCs/>
          <w:noProof/>
          <w:sz w:val="22"/>
          <w:lang w:val="en-US"/>
        </w:rPr>
        <w:t>Nat Neurosci</w:t>
      </w:r>
      <w:r w:rsidRPr="009A1CF2">
        <w:rPr>
          <w:rFonts w:ascii="Calibri" w:hAnsi="Calibri" w:cs="Calibri"/>
          <w:noProof/>
          <w:sz w:val="22"/>
          <w:lang w:val="en-US"/>
        </w:rPr>
        <w:t xml:space="preserve"> 2016; </w:t>
      </w:r>
      <w:r w:rsidRPr="009A1CF2">
        <w:rPr>
          <w:rFonts w:ascii="Calibri" w:hAnsi="Calibri" w:cs="Calibri"/>
          <w:b/>
          <w:bCs/>
          <w:noProof/>
          <w:sz w:val="22"/>
          <w:lang w:val="en-US"/>
        </w:rPr>
        <w:t>19</w:t>
      </w:r>
      <w:r w:rsidRPr="009A1CF2">
        <w:rPr>
          <w:rFonts w:ascii="Calibri" w:hAnsi="Calibri" w:cs="Calibri"/>
          <w:noProof/>
          <w:sz w:val="22"/>
          <w:lang w:val="en-US"/>
        </w:rPr>
        <w:t>: 1433–1441.</w:t>
      </w:r>
    </w:p>
    <w:p w14:paraId="2749D533" w14:textId="77777777" w:rsidR="009A1CF2" w:rsidRPr="009A1CF2" w:rsidRDefault="009A1CF2" w:rsidP="009A1CF2">
      <w:pPr>
        <w:widowControl w:val="0"/>
        <w:autoSpaceDE w:val="0"/>
        <w:autoSpaceDN w:val="0"/>
        <w:adjustRightInd w:val="0"/>
        <w:spacing w:line="480" w:lineRule="auto"/>
        <w:ind w:left="640" w:hanging="640"/>
        <w:rPr>
          <w:rFonts w:ascii="Calibri" w:hAnsi="Calibri" w:cs="Calibri"/>
          <w:noProof/>
          <w:sz w:val="22"/>
          <w:lang w:val="en-US"/>
        </w:rPr>
      </w:pPr>
      <w:r w:rsidRPr="009A1CF2">
        <w:rPr>
          <w:rFonts w:ascii="Calibri" w:hAnsi="Calibri" w:cs="Calibri"/>
          <w:noProof/>
          <w:sz w:val="22"/>
          <w:lang w:val="en-US"/>
        </w:rPr>
        <w:t xml:space="preserve">29 </w:t>
      </w:r>
      <w:r w:rsidRPr="009A1CF2">
        <w:rPr>
          <w:rFonts w:ascii="Calibri" w:hAnsi="Calibri" w:cs="Calibri"/>
          <w:noProof/>
          <w:sz w:val="22"/>
          <w:lang w:val="en-US"/>
        </w:rPr>
        <w:tab/>
        <w:t xml:space="preserve">Purcell SM </w:t>
      </w:r>
      <w:r w:rsidRPr="009A1CF2">
        <w:rPr>
          <w:rFonts w:ascii="Calibri" w:hAnsi="Calibri" w:cs="Calibri"/>
          <w:i/>
          <w:iCs/>
          <w:noProof/>
          <w:sz w:val="22"/>
          <w:lang w:val="en-US"/>
        </w:rPr>
        <w:t>et al.</w:t>
      </w:r>
      <w:r w:rsidRPr="009A1CF2">
        <w:rPr>
          <w:rFonts w:ascii="Calibri" w:hAnsi="Calibri" w:cs="Calibri"/>
          <w:noProof/>
          <w:sz w:val="22"/>
          <w:lang w:val="en-US"/>
        </w:rPr>
        <w:t xml:space="preserve"> A polygenic burden of rare disruptive mutations in schizophrenia. </w:t>
      </w:r>
      <w:r w:rsidRPr="009A1CF2">
        <w:rPr>
          <w:rFonts w:ascii="Calibri" w:hAnsi="Calibri" w:cs="Calibri"/>
          <w:i/>
          <w:iCs/>
          <w:noProof/>
          <w:sz w:val="22"/>
          <w:lang w:val="en-US"/>
        </w:rPr>
        <w:t>Nature</w:t>
      </w:r>
      <w:r w:rsidRPr="009A1CF2">
        <w:rPr>
          <w:rFonts w:ascii="Calibri" w:hAnsi="Calibri" w:cs="Calibri"/>
          <w:noProof/>
          <w:sz w:val="22"/>
          <w:lang w:val="en-US"/>
        </w:rPr>
        <w:t xml:space="preserve"> 2014; </w:t>
      </w:r>
      <w:r w:rsidRPr="009A1CF2">
        <w:rPr>
          <w:rFonts w:ascii="Calibri" w:hAnsi="Calibri" w:cs="Calibri"/>
          <w:b/>
          <w:bCs/>
          <w:noProof/>
          <w:sz w:val="22"/>
          <w:lang w:val="en-US"/>
        </w:rPr>
        <w:t>506</w:t>
      </w:r>
      <w:r w:rsidRPr="009A1CF2">
        <w:rPr>
          <w:rFonts w:ascii="Calibri" w:hAnsi="Calibri" w:cs="Calibri"/>
          <w:noProof/>
          <w:sz w:val="22"/>
          <w:lang w:val="en-US"/>
        </w:rPr>
        <w:t>: 185–190.</w:t>
      </w:r>
    </w:p>
    <w:p w14:paraId="5684C1C5" w14:textId="77777777" w:rsidR="009A1CF2" w:rsidRPr="009A1CF2" w:rsidRDefault="009A1CF2" w:rsidP="009A1CF2">
      <w:pPr>
        <w:widowControl w:val="0"/>
        <w:autoSpaceDE w:val="0"/>
        <w:autoSpaceDN w:val="0"/>
        <w:adjustRightInd w:val="0"/>
        <w:spacing w:line="480" w:lineRule="auto"/>
        <w:ind w:left="640" w:hanging="640"/>
        <w:rPr>
          <w:rFonts w:ascii="Calibri" w:hAnsi="Calibri" w:cs="Calibri"/>
          <w:noProof/>
          <w:sz w:val="22"/>
          <w:lang w:val="en-US"/>
        </w:rPr>
      </w:pPr>
      <w:r w:rsidRPr="009A1CF2">
        <w:rPr>
          <w:rFonts w:ascii="Calibri" w:hAnsi="Calibri" w:cs="Calibri"/>
          <w:noProof/>
          <w:sz w:val="22"/>
          <w:lang w:val="en-US"/>
        </w:rPr>
        <w:t xml:space="preserve">30 </w:t>
      </w:r>
      <w:r w:rsidRPr="009A1CF2">
        <w:rPr>
          <w:rFonts w:ascii="Calibri" w:hAnsi="Calibri" w:cs="Calibri"/>
          <w:noProof/>
          <w:sz w:val="22"/>
          <w:lang w:val="en-US"/>
        </w:rPr>
        <w:tab/>
        <w:t xml:space="preserve">Poplin R </w:t>
      </w:r>
      <w:r w:rsidRPr="009A1CF2">
        <w:rPr>
          <w:rFonts w:ascii="Calibri" w:hAnsi="Calibri" w:cs="Calibri"/>
          <w:i/>
          <w:iCs/>
          <w:noProof/>
          <w:sz w:val="22"/>
          <w:lang w:val="en-US"/>
        </w:rPr>
        <w:t>et al.</w:t>
      </w:r>
      <w:r w:rsidRPr="009A1CF2">
        <w:rPr>
          <w:rFonts w:ascii="Calibri" w:hAnsi="Calibri" w:cs="Calibri"/>
          <w:noProof/>
          <w:sz w:val="22"/>
          <w:lang w:val="en-US"/>
        </w:rPr>
        <w:t xml:space="preserve"> Scaling accurate genetic variant discovery to tens of thousands of samples. </w:t>
      </w:r>
      <w:r w:rsidRPr="009A1CF2">
        <w:rPr>
          <w:rFonts w:ascii="Calibri" w:hAnsi="Calibri" w:cs="Calibri"/>
          <w:i/>
          <w:iCs/>
          <w:noProof/>
          <w:sz w:val="22"/>
          <w:lang w:val="en-US"/>
        </w:rPr>
        <w:t>bioRxiv</w:t>
      </w:r>
      <w:r w:rsidRPr="009A1CF2">
        <w:rPr>
          <w:rFonts w:ascii="Calibri" w:hAnsi="Calibri" w:cs="Calibri"/>
          <w:noProof/>
          <w:sz w:val="22"/>
          <w:lang w:val="en-US"/>
        </w:rPr>
        <w:t xml:space="preserve"> 2017; : 201178.</w:t>
      </w:r>
    </w:p>
    <w:p w14:paraId="3E0A7DE8" w14:textId="77777777" w:rsidR="009A1CF2" w:rsidRPr="009A1CF2" w:rsidRDefault="009A1CF2" w:rsidP="009A1CF2">
      <w:pPr>
        <w:widowControl w:val="0"/>
        <w:autoSpaceDE w:val="0"/>
        <w:autoSpaceDN w:val="0"/>
        <w:adjustRightInd w:val="0"/>
        <w:spacing w:line="480" w:lineRule="auto"/>
        <w:ind w:left="640" w:hanging="640"/>
        <w:rPr>
          <w:rFonts w:ascii="Calibri" w:hAnsi="Calibri" w:cs="Calibri"/>
          <w:noProof/>
          <w:sz w:val="22"/>
          <w:lang w:val="en-US"/>
        </w:rPr>
      </w:pPr>
      <w:r w:rsidRPr="009A1CF2">
        <w:rPr>
          <w:rFonts w:ascii="Calibri" w:hAnsi="Calibri" w:cs="Calibri"/>
          <w:noProof/>
          <w:sz w:val="22"/>
          <w:lang w:val="en-US"/>
        </w:rPr>
        <w:t xml:space="preserve">31 </w:t>
      </w:r>
      <w:r w:rsidRPr="009A1CF2">
        <w:rPr>
          <w:rFonts w:ascii="Calibri" w:hAnsi="Calibri" w:cs="Calibri"/>
          <w:noProof/>
          <w:sz w:val="22"/>
          <w:lang w:val="en-US"/>
        </w:rPr>
        <w:tab/>
        <w:t xml:space="preserve">Lek M </w:t>
      </w:r>
      <w:r w:rsidRPr="009A1CF2">
        <w:rPr>
          <w:rFonts w:ascii="Calibri" w:hAnsi="Calibri" w:cs="Calibri"/>
          <w:i/>
          <w:iCs/>
          <w:noProof/>
          <w:sz w:val="22"/>
          <w:lang w:val="en-US"/>
        </w:rPr>
        <w:t>et al.</w:t>
      </w:r>
      <w:r w:rsidRPr="009A1CF2">
        <w:rPr>
          <w:rFonts w:ascii="Calibri" w:hAnsi="Calibri" w:cs="Calibri"/>
          <w:noProof/>
          <w:sz w:val="22"/>
          <w:lang w:val="en-US"/>
        </w:rPr>
        <w:t xml:space="preserve"> Analysis of protein-coding genetic variation in 60,706 humans. </w:t>
      </w:r>
      <w:r w:rsidRPr="009A1CF2">
        <w:rPr>
          <w:rFonts w:ascii="Calibri" w:hAnsi="Calibri" w:cs="Calibri"/>
          <w:i/>
          <w:iCs/>
          <w:noProof/>
          <w:sz w:val="22"/>
          <w:lang w:val="en-US"/>
        </w:rPr>
        <w:t>Nature</w:t>
      </w:r>
      <w:r w:rsidRPr="009A1CF2">
        <w:rPr>
          <w:rFonts w:ascii="Calibri" w:hAnsi="Calibri" w:cs="Calibri"/>
          <w:noProof/>
          <w:sz w:val="22"/>
          <w:lang w:val="en-US"/>
        </w:rPr>
        <w:t xml:space="preserve"> 2016; </w:t>
      </w:r>
      <w:r w:rsidRPr="009A1CF2">
        <w:rPr>
          <w:rFonts w:ascii="Calibri" w:hAnsi="Calibri" w:cs="Calibri"/>
          <w:b/>
          <w:bCs/>
          <w:noProof/>
          <w:sz w:val="22"/>
          <w:lang w:val="en-US"/>
        </w:rPr>
        <w:t>536</w:t>
      </w:r>
      <w:r w:rsidRPr="009A1CF2">
        <w:rPr>
          <w:rFonts w:ascii="Calibri" w:hAnsi="Calibri" w:cs="Calibri"/>
          <w:noProof/>
          <w:sz w:val="22"/>
          <w:lang w:val="en-US"/>
        </w:rPr>
        <w:t>: 285–291.</w:t>
      </w:r>
    </w:p>
    <w:p w14:paraId="338CF0DE" w14:textId="77777777" w:rsidR="009A1CF2" w:rsidRPr="009A1CF2" w:rsidRDefault="009A1CF2" w:rsidP="009A1CF2">
      <w:pPr>
        <w:widowControl w:val="0"/>
        <w:autoSpaceDE w:val="0"/>
        <w:autoSpaceDN w:val="0"/>
        <w:adjustRightInd w:val="0"/>
        <w:spacing w:line="480" w:lineRule="auto"/>
        <w:ind w:left="640" w:hanging="640"/>
        <w:rPr>
          <w:rFonts w:ascii="Calibri" w:hAnsi="Calibri" w:cs="Calibri"/>
          <w:noProof/>
          <w:sz w:val="22"/>
          <w:lang w:val="en-US"/>
        </w:rPr>
      </w:pPr>
      <w:r w:rsidRPr="009A1CF2">
        <w:rPr>
          <w:rFonts w:ascii="Calibri" w:hAnsi="Calibri" w:cs="Calibri"/>
          <w:noProof/>
          <w:sz w:val="22"/>
          <w:lang w:val="en-US"/>
        </w:rPr>
        <w:t xml:space="preserve">32 </w:t>
      </w:r>
      <w:r w:rsidRPr="009A1CF2">
        <w:rPr>
          <w:rFonts w:ascii="Calibri" w:hAnsi="Calibri" w:cs="Calibri"/>
          <w:noProof/>
          <w:sz w:val="22"/>
          <w:lang w:val="en-US"/>
        </w:rPr>
        <w:tab/>
        <w:t xml:space="preserve">Genovese G </w:t>
      </w:r>
      <w:r w:rsidRPr="009A1CF2">
        <w:rPr>
          <w:rFonts w:ascii="Calibri" w:hAnsi="Calibri" w:cs="Calibri"/>
          <w:i/>
          <w:iCs/>
          <w:noProof/>
          <w:sz w:val="22"/>
          <w:lang w:val="en-US"/>
        </w:rPr>
        <w:t>et al.</w:t>
      </w:r>
      <w:r w:rsidRPr="009A1CF2">
        <w:rPr>
          <w:rFonts w:ascii="Calibri" w:hAnsi="Calibri" w:cs="Calibri"/>
          <w:noProof/>
          <w:sz w:val="22"/>
          <w:lang w:val="en-US"/>
        </w:rPr>
        <w:t xml:space="preserve"> Clonal hematopoiesis and blood-cancer risk inferred from blood DNA sequence. </w:t>
      </w:r>
      <w:r w:rsidRPr="009A1CF2">
        <w:rPr>
          <w:rFonts w:ascii="Calibri" w:hAnsi="Calibri" w:cs="Calibri"/>
          <w:i/>
          <w:iCs/>
          <w:noProof/>
          <w:sz w:val="22"/>
          <w:lang w:val="en-US"/>
        </w:rPr>
        <w:t>N Engl J Med</w:t>
      </w:r>
      <w:r w:rsidRPr="009A1CF2">
        <w:rPr>
          <w:rFonts w:ascii="Calibri" w:hAnsi="Calibri" w:cs="Calibri"/>
          <w:noProof/>
          <w:sz w:val="22"/>
          <w:lang w:val="en-US"/>
        </w:rPr>
        <w:t xml:space="preserve"> 2014; </w:t>
      </w:r>
      <w:r w:rsidRPr="009A1CF2">
        <w:rPr>
          <w:rFonts w:ascii="Calibri" w:hAnsi="Calibri" w:cs="Calibri"/>
          <w:b/>
          <w:bCs/>
          <w:noProof/>
          <w:sz w:val="22"/>
          <w:lang w:val="en-US"/>
        </w:rPr>
        <w:t>371</w:t>
      </w:r>
      <w:r w:rsidRPr="009A1CF2">
        <w:rPr>
          <w:rFonts w:ascii="Calibri" w:hAnsi="Calibri" w:cs="Calibri"/>
          <w:noProof/>
          <w:sz w:val="22"/>
          <w:lang w:val="en-US"/>
        </w:rPr>
        <w:t>: 2477–2487.</w:t>
      </w:r>
    </w:p>
    <w:p w14:paraId="41014858" w14:textId="77777777" w:rsidR="009A1CF2" w:rsidRPr="009A1CF2" w:rsidRDefault="009A1CF2" w:rsidP="009A1CF2">
      <w:pPr>
        <w:widowControl w:val="0"/>
        <w:autoSpaceDE w:val="0"/>
        <w:autoSpaceDN w:val="0"/>
        <w:adjustRightInd w:val="0"/>
        <w:spacing w:line="480" w:lineRule="auto"/>
        <w:ind w:left="640" w:hanging="640"/>
        <w:rPr>
          <w:rFonts w:ascii="Calibri" w:hAnsi="Calibri" w:cs="Calibri"/>
          <w:noProof/>
          <w:sz w:val="22"/>
          <w:lang w:val="en-US"/>
        </w:rPr>
      </w:pPr>
      <w:r w:rsidRPr="009A1CF2">
        <w:rPr>
          <w:rFonts w:ascii="Calibri" w:hAnsi="Calibri" w:cs="Calibri"/>
          <w:noProof/>
          <w:sz w:val="22"/>
          <w:lang w:val="en-US"/>
        </w:rPr>
        <w:t xml:space="preserve">33 </w:t>
      </w:r>
      <w:r w:rsidRPr="009A1CF2">
        <w:rPr>
          <w:rFonts w:ascii="Calibri" w:hAnsi="Calibri" w:cs="Calibri"/>
          <w:noProof/>
          <w:sz w:val="22"/>
          <w:lang w:val="en-US"/>
        </w:rPr>
        <w:tab/>
        <w:t xml:space="preserve">Forbes SA </w:t>
      </w:r>
      <w:r w:rsidRPr="009A1CF2">
        <w:rPr>
          <w:rFonts w:ascii="Calibri" w:hAnsi="Calibri" w:cs="Calibri"/>
          <w:i/>
          <w:iCs/>
          <w:noProof/>
          <w:sz w:val="22"/>
          <w:lang w:val="en-US"/>
        </w:rPr>
        <w:t>et al.</w:t>
      </w:r>
      <w:r w:rsidRPr="009A1CF2">
        <w:rPr>
          <w:rFonts w:ascii="Calibri" w:hAnsi="Calibri" w:cs="Calibri"/>
          <w:noProof/>
          <w:sz w:val="22"/>
          <w:lang w:val="en-US"/>
        </w:rPr>
        <w:t xml:space="preserve"> COSMIC: mining complete cancer genomes in the Catalogue of Somatic Mutations in Cancer. </w:t>
      </w:r>
      <w:r w:rsidRPr="009A1CF2">
        <w:rPr>
          <w:rFonts w:ascii="Calibri" w:hAnsi="Calibri" w:cs="Calibri"/>
          <w:i/>
          <w:iCs/>
          <w:noProof/>
          <w:sz w:val="22"/>
          <w:lang w:val="en-US"/>
        </w:rPr>
        <w:t>Nucleic Acids Res</w:t>
      </w:r>
      <w:r w:rsidRPr="009A1CF2">
        <w:rPr>
          <w:rFonts w:ascii="Calibri" w:hAnsi="Calibri" w:cs="Calibri"/>
          <w:noProof/>
          <w:sz w:val="22"/>
          <w:lang w:val="en-US"/>
        </w:rPr>
        <w:t xml:space="preserve"> 2011; </w:t>
      </w:r>
      <w:r w:rsidRPr="009A1CF2">
        <w:rPr>
          <w:rFonts w:ascii="Calibri" w:hAnsi="Calibri" w:cs="Calibri"/>
          <w:b/>
          <w:bCs/>
          <w:noProof/>
          <w:sz w:val="22"/>
          <w:lang w:val="en-US"/>
        </w:rPr>
        <w:t>39</w:t>
      </w:r>
      <w:r w:rsidRPr="009A1CF2">
        <w:rPr>
          <w:rFonts w:ascii="Calibri" w:hAnsi="Calibri" w:cs="Calibri"/>
          <w:noProof/>
          <w:sz w:val="22"/>
          <w:lang w:val="en-US"/>
        </w:rPr>
        <w:t>: D945-50.</w:t>
      </w:r>
    </w:p>
    <w:p w14:paraId="69412DAF" w14:textId="77777777" w:rsidR="009A1CF2" w:rsidRPr="009A1CF2" w:rsidRDefault="009A1CF2" w:rsidP="009A1CF2">
      <w:pPr>
        <w:widowControl w:val="0"/>
        <w:autoSpaceDE w:val="0"/>
        <w:autoSpaceDN w:val="0"/>
        <w:adjustRightInd w:val="0"/>
        <w:spacing w:line="480" w:lineRule="auto"/>
        <w:ind w:left="640" w:hanging="640"/>
        <w:rPr>
          <w:rFonts w:ascii="Calibri" w:hAnsi="Calibri" w:cs="Calibri"/>
          <w:noProof/>
          <w:sz w:val="22"/>
          <w:lang w:val="en-US"/>
        </w:rPr>
      </w:pPr>
      <w:r w:rsidRPr="009A1CF2">
        <w:rPr>
          <w:rFonts w:ascii="Calibri" w:hAnsi="Calibri" w:cs="Calibri"/>
          <w:noProof/>
          <w:sz w:val="22"/>
          <w:lang w:val="en-US"/>
        </w:rPr>
        <w:lastRenderedPageBreak/>
        <w:t xml:space="preserve">34 </w:t>
      </w:r>
      <w:r w:rsidRPr="009A1CF2">
        <w:rPr>
          <w:rFonts w:ascii="Calibri" w:hAnsi="Calibri" w:cs="Calibri"/>
          <w:noProof/>
          <w:sz w:val="22"/>
          <w:lang w:val="en-US"/>
        </w:rPr>
        <w:tab/>
        <w:t xml:space="preserve">Kowalec K </w:t>
      </w:r>
      <w:r w:rsidRPr="009A1CF2">
        <w:rPr>
          <w:rFonts w:ascii="Calibri" w:hAnsi="Calibri" w:cs="Calibri"/>
          <w:i/>
          <w:iCs/>
          <w:noProof/>
          <w:sz w:val="22"/>
          <w:lang w:val="en-US"/>
        </w:rPr>
        <w:t>et al.</w:t>
      </w:r>
      <w:r w:rsidRPr="009A1CF2">
        <w:rPr>
          <w:rFonts w:ascii="Calibri" w:hAnsi="Calibri" w:cs="Calibri"/>
          <w:noProof/>
          <w:sz w:val="22"/>
          <w:lang w:val="en-US"/>
        </w:rPr>
        <w:t xml:space="preserve"> Methylation age acceleration does not predict mortality in schizophrenia. </w:t>
      </w:r>
      <w:r w:rsidRPr="009A1CF2">
        <w:rPr>
          <w:rFonts w:ascii="Calibri" w:hAnsi="Calibri" w:cs="Calibri"/>
          <w:i/>
          <w:iCs/>
          <w:noProof/>
          <w:sz w:val="22"/>
          <w:lang w:val="en-US"/>
        </w:rPr>
        <w:t>Transl Psychiatry</w:t>
      </w:r>
      <w:r w:rsidRPr="009A1CF2">
        <w:rPr>
          <w:rFonts w:ascii="Calibri" w:hAnsi="Calibri" w:cs="Calibri"/>
          <w:noProof/>
          <w:sz w:val="22"/>
          <w:lang w:val="en-US"/>
        </w:rPr>
        <w:t xml:space="preserve"> 2019; </w:t>
      </w:r>
      <w:r w:rsidRPr="009A1CF2">
        <w:rPr>
          <w:rFonts w:ascii="Calibri" w:hAnsi="Calibri" w:cs="Calibri"/>
          <w:b/>
          <w:bCs/>
          <w:noProof/>
          <w:sz w:val="22"/>
          <w:lang w:val="en-US"/>
        </w:rPr>
        <w:t>9</w:t>
      </w:r>
      <w:r w:rsidRPr="009A1CF2">
        <w:rPr>
          <w:rFonts w:ascii="Calibri" w:hAnsi="Calibri" w:cs="Calibri"/>
          <w:noProof/>
          <w:sz w:val="22"/>
          <w:lang w:val="en-US"/>
        </w:rPr>
        <w:t>: 157.</w:t>
      </w:r>
    </w:p>
    <w:p w14:paraId="04828AFD" w14:textId="77777777" w:rsidR="009A1CF2" w:rsidRPr="009A1CF2" w:rsidRDefault="009A1CF2" w:rsidP="009A1CF2">
      <w:pPr>
        <w:widowControl w:val="0"/>
        <w:autoSpaceDE w:val="0"/>
        <w:autoSpaceDN w:val="0"/>
        <w:adjustRightInd w:val="0"/>
        <w:spacing w:line="480" w:lineRule="auto"/>
        <w:ind w:left="640" w:hanging="640"/>
        <w:rPr>
          <w:rFonts w:ascii="Calibri" w:hAnsi="Calibri" w:cs="Calibri"/>
          <w:noProof/>
          <w:sz w:val="22"/>
          <w:lang w:val="en-US"/>
        </w:rPr>
      </w:pPr>
      <w:r w:rsidRPr="009A1CF2">
        <w:rPr>
          <w:rFonts w:ascii="Calibri" w:hAnsi="Calibri" w:cs="Calibri"/>
          <w:noProof/>
          <w:sz w:val="22"/>
          <w:lang w:val="en-US"/>
        </w:rPr>
        <w:t xml:space="preserve">35 </w:t>
      </w:r>
      <w:r w:rsidRPr="009A1CF2">
        <w:rPr>
          <w:rFonts w:ascii="Calibri" w:hAnsi="Calibri" w:cs="Calibri"/>
          <w:noProof/>
          <w:sz w:val="22"/>
          <w:lang w:val="en-US"/>
        </w:rPr>
        <w:tab/>
        <w:t xml:space="preserve">Pidsley R </w:t>
      </w:r>
      <w:r w:rsidRPr="009A1CF2">
        <w:rPr>
          <w:rFonts w:ascii="Calibri" w:hAnsi="Calibri" w:cs="Calibri"/>
          <w:i/>
          <w:iCs/>
          <w:noProof/>
          <w:sz w:val="22"/>
          <w:lang w:val="en-US"/>
        </w:rPr>
        <w:t>et al.</w:t>
      </w:r>
      <w:r w:rsidRPr="009A1CF2">
        <w:rPr>
          <w:rFonts w:ascii="Calibri" w:hAnsi="Calibri" w:cs="Calibri"/>
          <w:noProof/>
          <w:sz w:val="22"/>
          <w:lang w:val="en-US"/>
        </w:rPr>
        <w:t xml:space="preserve"> A data-driven approach to preprocessing Illumina 450K methylation array data. </w:t>
      </w:r>
      <w:r w:rsidRPr="009A1CF2">
        <w:rPr>
          <w:rFonts w:ascii="Calibri" w:hAnsi="Calibri" w:cs="Calibri"/>
          <w:i/>
          <w:iCs/>
          <w:noProof/>
          <w:sz w:val="22"/>
          <w:lang w:val="en-US"/>
        </w:rPr>
        <w:t>BMC Genomics</w:t>
      </w:r>
      <w:r w:rsidRPr="009A1CF2">
        <w:rPr>
          <w:rFonts w:ascii="Calibri" w:hAnsi="Calibri" w:cs="Calibri"/>
          <w:noProof/>
          <w:sz w:val="22"/>
          <w:lang w:val="en-US"/>
        </w:rPr>
        <w:t xml:space="preserve"> 2013; </w:t>
      </w:r>
      <w:r w:rsidRPr="009A1CF2">
        <w:rPr>
          <w:rFonts w:ascii="Calibri" w:hAnsi="Calibri" w:cs="Calibri"/>
          <w:b/>
          <w:bCs/>
          <w:noProof/>
          <w:sz w:val="22"/>
          <w:lang w:val="en-US"/>
        </w:rPr>
        <w:t>14</w:t>
      </w:r>
      <w:r w:rsidRPr="009A1CF2">
        <w:rPr>
          <w:rFonts w:ascii="Calibri" w:hAnsi="Calibri" w:cs="Calibri"/>
          <w:noProof/>
          <w:sz w:val="22"/>
          <w:lang w:val="en-US"/>
        </w:rPr>
        <w:t>: 293.</w:t>
      </w:r>
    </w:p>
    <w:p w14:paraId="1F1ABB6B" w14:textId="77777777" w:rsidR="009A1CF2" w:rsidRPr="009A1CF2" w:rsidRDefault="009A1CF2" w:rsidP="009A1CF2">
      <w:pPr>
        <w:widowControl w:val="0"/>
        <w:autoSpaceDE w:val="0"/>
        <w:autoSpaceDN w:val="0"/>
        <w:adjustRightInd w:val="0"/>
        <w:spacing w:line="480" w:lineRule="auto"/>
        <w:ind w:left="640" w:hanging="640"/>
        <w:rPr>
          <w:rFonts w:ascii="Calibri" w:hAnsi="Calibri" w:cs="Calibri"/>
          <w:noProof/>
          <w:sz w:val="22"/>
          <w:lang w:val="en-US"/>
        </w:rPr>
      </w:pPr>
      <w:r w:rsidRPr="009A1CF2">
        <w:rPr>
          <w:rFonts w:ascii="Calibri" w:hAnsi="Calibri" w:cs="Calibri"/>
          <w:noProof/>
          <w:sz w:val="22"/>
          <w:lang w:val="en-US"/>
        </w:rPr>
        <w:t xml:space="preserve">36 </w:t>
      </w:r>
      <w:r w:rsidRPr="009A1CF2">
        <w:rPr>
          <w:rFonts w:ascii="Calibri" w:hAnsi="Calibri" w:cs="Calibri"/>
          <w:noProof/>
          <w:sz w:val="22"/>
          <w:lang w:val="en-US"/>
        </w:rPr>
        <w:tab/>
        <w:t xml:space="preserve">Hannum G </w:t>
      </w:r>
      <w:r w:rsidRPr="009A1CF2">
        <w:rPr>
          <w:rFonts w:ascii="Calibri" w:hAnsi="Calibri" w:cs="Calibri"/>
          <w:i/>
          <w:iCs/>
          <w:noProof/>
          <w:sz w:val="22"/>
          <w:lang w:val="en-US"/>
        </w:rPr>
        <w:t>et al.</w:t>
      </w:r>
      <w:r w:rsidRPr="009A1CF2">
        <w:rPr>
          <w:rFonts w:ascii="Calibri" w:hAnsi="Calibri" w:cs="Calibri"/>
          <w:noProof/>
          <w:sz w:val="22"/>
          <w:lang w:val="en-US"/>
        </w:rPr>
        <w:t xml:space="preserve"> Genome-wide Methylation Profiles Reveal Quantitative Views of Human Aging Rates. </w:t>
      </w:r>
      <w:r w:rsidRPr="009A1CF2">
        <w:rPr>
          <w:rFonts w:ascii="Calibri" w:hAnsi="Calibri" w:cs="Calibri"/>
          <w:i/>
          <w:iCs/>
          <w:noProof/>
          <w:sz w:val="22"/>
          <w:lang w:val="en-US"/>
        </w:rPr>
        <w:t>Mol Cell</w:t>
      </w:r>
      <w:r w:rsidRPr="009A1CF2">
        <w:rPr>
          <w:rFonts w:ascii="Calibri" w:hAnsi="Calibri" w:cs="Calibri"/>
          <w:noProof/>
          <w:sz w:val="22"/>
          <w:lang w:val="en-US"/>
        </w:rPr>
        <w:t xml:space="preserve"> 2013; </w:t>
      </w:r>
      <w:r w:rsidRPr="009A1CF2">
        <w:rPr>
          <w:rFonts w:ascii="Calibri" w:hAnsi="Calibri" w:cs="Calibri"/>
          <w:b/>
          <w:bCs/>
          <w:noProof/>
          <w:sz w:val="22"/>
          <w:lang w:val="en-US"/>
        </w:rPr>
        <w:t>49</w:t>
      </w:r>
      <w:r w:rsidRPr="009A1CF2">
        <w:rPr>
          <w:rFonts w:ascii="Calibri" w:hAnsi="Calibri" w:cs="Calibri"/>
          <w:noProof/>
          <w:sz w:val="22"/>
          <w:lang w:val="en-US"/>
        </w:rPr>
        <w:t>: 359–367.</w:t>
      </w:r>
    </w:p>
    <w:p w14:paraId="5F94B17D" w14:textId="77777777" w:rsidR="009A1CF2" w:rsidRPr="009A1CF2" w:rsidRDefault="009A1CF2" w:rsidP="009A1CF2">
      <w:pPr>
        <w:widowControl w:val="0"/>
        <w:autoSpaceDE w:val="0"/>
        <w:autoSpaceDN w:val="0"/>
        <w:adjustRightInd w:val="0"/>
        <w:spacing w:line="480" w:lineRule="auto"/>
        <w:ind w:left="640" w:hanging="640"/>
        <w:rPr>
          <w:rFonts w:ascii="Calibri" w:hAnsi="Calibri" w:cs="Calibri"/>
          <w:noProof/>
          <w:sz w:val="22"/>
          <w:lang w:val="en-US"/>
        </w:rPr>
      </w:pPr>
      <w:r w:rsidRPr="009A1CF2">
        <w:rPr>
          <w:rFonts w:ascii="Calibri" w:hAnsi="Calibri" w:cs="Calibri"/>
          <w:noProof/>
          <w:sz w:val="22"/>
          <w:lang w:val="en-US"/>
        </w:rPr>
        <w:t xml:space="preserve">37 </w:t>
      </w:r>
      <w:r w:rsidRPr="009A1CF2">
        <w:rPr>
          <w:rFonts w:ascii="Calibri" w:hAnsi="Calibri" w:cs="Calibri"/>
          <w:noProof/>
          <w:sz w:val="22"/>
          <w:lang w:val="en-US"/>
        </w:rPr>
        <w:tab/>
        <w:t xml:space="preserve">Elliott HR </w:t>
      </w:r>
      <w:r w:rsidRPr="009A1CF2">
        <w:rPr>
          <w:rFonts w:ascii="Calibri" w:hAnsi="Calibri" w:cs="Calibri"/>
          <w:i/>
          <w:iCs/>
          <w:noProof/>
          <w:sz w:val="22"/>
          <w:lang w:val="en-US"/>
        </w:rPr>
        <w:t>et al.</w:t>
      </w:r>
      <w:r w:rsidRPr="009A1CF2">
        <w:rPr>
          <w:rFonts w:ascii="Calibri" w:hAnsi="Calibri" w:cs="Calibri"/>
          <w:noProof/>
          <w:sz w:val="22"/>
          <w:lang w:val="en-US"/>
        </w:rPr>
        <w:t xml:space="preserve"> Differences in smoking associated DNA methylation patterns in South Asians and Europeans. </w:t>
      </w:r>
      <w:r w:rsidRPr="009A1CF2">
        <w:rPr>
          <w:rFonts w:ascii="Calibri" w:hAnsi="Calibri" w:cs="Calibri"/>
          <w:i/>
          <w:iCs/>
          <w:noProof/>
          <w:sz w:val="22"/>
          <w:lang w:val="en-US"/>
        </w:rPr>
        <w:t>Clin Epigenetics</w:t>
      </w:r>
      <w:r w:rsidRPr="009A1CF2">
        <w:rPr>
          <w:rFonts w:ascii="Calibri" w:hAnsi="Calibri" w:cs="Calibri"/>
          <w:noProof/>
          <w:sz w:val="22"/>
          <w:lang w:val="en-US"/>
        </w:rPr>
        <w:t xml:space="preserve"> 2014; </w:t>
      </w:r>
      <w:r w:rsidRPr="009A1CF2">
        <w:rPr>
          <w:rFonts w:ascii="Calibri" w:hAnsi="Calibri" w:cs="Calibri"/>
          <w:b/>
          <w:bCs/>
          <w:noProof/>
          <w:sz w:val="22"/>
          <w:lang w:val="en-US"/>
        </w:rPr>
        <w:t>6</w:t>
      </w:r>
      <w:r w:rsidRPr="009A1CF2">
        <w:rPr>
          <w:rFonts w:ascii="Calibri" w:hAnsi="Calibri" w:cs="Calibri"/>
          <w:noProof/>
          <w:sz w:val="22"/>
          <w:lang w:val="en-US"/>
        </w:rPr>
        <w:t>: 4.</w:t>
      </w:r>
    </w:p>
    <w:p w14:paraId="6669FC66" w14:textId="77777777" w:rsidR="009A1CF2" w:rsidRPr="009A1CF2" w:rsidRDefault="009A1CF2" w:rsidP="009A1CF2">
      <w:pPr>
        <w:widowControl w:val="0"/>
        <w:autoSpaceDE w:val="0"/>
        <w:autoSpaceDN w:val="0"/>
        <w:adjustRightInd w:val="0"/>
        <w:spacing w:line="480" w:lineRule="auto"/>
        <w:ind w:left="640" w:hanging="640"/>
        <w:rPr>
          <w:rFonts w:ascii="Calibri" w:hAnsi="Calibri" w:cs="Calibri"/>
          <w:noProof/>
          <w:sz w:val="22"/>
          <w:lang w:val="en-US"/>
        </w:rPr>
      </w:pPr>
      <w:r w:rsidRPr="009A1CF2">
        <w:rPr>
          <w:rFonts w:ascii="Calibri" w:hAnsi="Calibri" w:cs="Calibri"/>
          <w:noProof/>
          <w:sz w:val="22"/>
          <w:lang w:val="en-US"/>
        </w:rPr>
        <w:t xml:space="preserve">38 </w:t>
      </w:r>
      <w:r w:rsidRPr="009A1CF2">
        <w:rPr>
          <w:rFonts w:ascii="Calibri" w:hAnsi="Calibri" w:cs="Calibri"/>
          <w:noProof/>
          <w:sz w:val="22"/>
          <w:lang w:val="en-US"/>
        </w:rPr>
        <w:tab/>
        <w:t xml:space="preserve">Fortin JP, Triche TJ, Hansen KD. Preprocessing, normalization and integration of the Illumina HumanMethylationEPIC array with minfi. </w:t>
      </w:r>
      <w:r w:rsidRPr="009A1CF2">
        <w:rPr>
          <w:rFonts w:ascii="Calibri" w:hAnsi="Calibri" w:cs="Calibri"/>
          <w:i/>
          <w:iCs/>
          <w:noProof/>
          <w:sz w:val="22"/>
          <w:lang w:val="en-US"/>
        </w:rPr>
        <w:t>Bioinformatics</w:t>
      </w:r>
      <w:r w:rsidRPr="009A1CF2">
        <w:rPr>
          <w:rFonts w:ascii="Calibri" w:hAnsi="Calibri" w:cs="Calibri"/>
          <w:noProof/>
          <w:sz w:val="22"/>
          <w:lang w:val="en-US"/>
        </w:rPr>
        <w:t xml:space="preserve"> 2017; </w:t>
      </w:r>
      <w:r w:rsidRPr="009A1CF2">
        <w:rPr>
          <w:rFonts w:ascii="Calibri" w:hAnsi="Calibri" w:cs="Calibri"/>
          <w:b/>
          <w:bCs/>
          <w:noProof/>
          <w:sz w:val="22"/>
          <w:lang w:val="en-US"/>
        </w:rPr>
        <w:t>33</w:t>
      </w:r>
      <w:r w:rsidRPr="009A1CF2">
        <w:rPr>
          <w:rFonts w:ascii="Calibri" w:hAnsi="Calibri" w:cs="Calibri"/>
          <w:noProof/>
          <w:sz w:val="22"/>
          <w:lang w:val="en-US"/>
        </w:rPr>
        <w:t>: 558–560.</w:t>
      </w:r>
    </w:p>
    <w:p w14:paraId="0B04B5CA" w14:textId="77777777" w:rsidR="009A1CF2" w:rsidRPr="009A1CF2" w:rsidRDefault="009A1CF2" w:rsidP="009A1CF2">
      <w:pPr>
        <w:widowControl w:val="0"/>
        <w:autoSpaceDE w:val="0"/>
        <w:autoSpaceDN w:val="0"/>
        <w:adjustRightInd w:val="0"/>
        <w:spacing w:line="480" w:lineRule="auto"/>
        <w:ind w:left="640" w:hanging="640"/>
        <w:rPr>
          <w:rFonts w:ascii="Calibri" w:hAnsi="Calibri" w:cs="Calibri"/>
          <w:noProof/>
          <w:sz w:val="22"/>
          <w:lang w:val="en-US"/>
        </w:rPr>
      </w:pPr>
      <w:r w:rsidRPr="009A1CF2">
        <w:rPr>
          <w:rFonts w:ascii="Calibri" w:hAnsi="Calibri" w:cs="Calibri"/>
          <w:noProof/>
          <w:sz w:val="22"/>
          <w:lang w:val="en-US"/>
        </w:rPr>
        <w:t xml:space="preserve">39 </w:t>
      </w:r>
      <w:r w:rsidRPr="009A1CF2">
        <w:rPr>
          <w:rFonts w:ascii="Calibri" w:hAnsi="Calibri" w:cs="Calibri"/>
          <w:noProof/>
          <w:sz w:val="22"/>
          <w:lang w:val="en-US"/>
        </w:rPr>
        <w:tab/>
        <w:t>World Health Organization. International Statistical Classification of Diseases and Related Health Problems, 10th Ed. 2010.http://www.who.int/classifications/icd/ICD10Volume2_en_2010.pdf (accessed 18 Aug2017).</w:t>
      </w:r>
    </w:p>
    <w:p w14:paraId="4EBECCF7" w14:textId="77777777" w:rsidR="009A1CF2" w:rsidRPr="009A1CF2" w:rsidRDefault="009A1CF2" w:rsidP="009A1CF2">
      <w:pPr>
        <w:widowControl w:val="0"/>
        <w:autoSpaceDE w:val="0"/>
        <w:autoSpaceDN w:val="0"/>
        <w:adjustRightInd w:val="0"/>
        <w:spacing w:line="480" w:lineRule="auto"/>
        <w:ind w:left="640" w:hanging="640"/>
        <w:rPr>
          <w:rFonts w:ascii="Calibri" w:hAnsi="Calibri" w:cs="Calibri"/>
          <w:noProof/>
          <w:sz w:val="22"/>
          <w:lang w:val="en-US"/>
        </w:rPr>
      </w:pPr>
      <w:r w:rsidRPr="009A1CF2">
        <w:rPr>
          <w:rFonts w:ascii="Calibri" w:hAnsi="Calibri" w:cs="Calibri"/>
          <w:noProof/>
          <w:sz w:val="22"/>
          <w:lang w:val="en-US"/>
        </w:rPr>
        <w:t xml:space="preserve">40 </w:t>
      </w:r>
      <w:r w:rsidRPr="009A1CF2">
        <w:rPr>
          <w:rFonts w:ascii="Calibri" w:hAnsi="Calibri" w:cs="Calibri"/>
          <w:noProof/>
          <w:sz w:val="22"/>
          <w:lang w:val="en-US"/>
        </w:rPr>
        <w:tab/>
        <w:t xml:space="preserve">Brooke HL </w:t>
      </w:r>
      <w:r w:rsidRPr="009A1CF2">
        <w:rPr>
          <w:rFonts w:ascii="Calibri" w:hAnsi="Calibri" w:cs="Calibri"/>
          <w:i/>
          <w:iCs/>
          <w:noProof/>
          <w:sz w:val="22"/>
          <w:lang w:val="en-US"/>
        </w:rPr>
        <w:t>et al.</w:t>
      </w:r>
      <w:r w:rsidRPr="009A1CF2">
        <w:rPr>
          <w:rFonts w:ascii="Calibri" w:hAnsi="Calibri" w:cs="Calibri"/>
          <w:noProof/>
          <w:sz w:val="22"/>
          <w:lang w:val="en-US"/>
        </w:rPr>
        <w:t xml:space="preserve"> The Swedish cause of death register. </w:t>
      </w:r>
      <w:r w:rsidRPr="009A1CF2">
        <w:rPr>
          <w:rFonts w:ascii="Calibri" w:hAnsi="Calibri" w:cs="Calibri"/>
          <w:i/>
          <w:iCs/>
          <w:noProof/>
          <w:sz w:val="22"/>
          <w:lang w:val="en-US"/>
        </w:rPr>
        <w:t>Eur J Epidemiol</w:t>
      </w:r>
      <w:r w:rsidRPr="009A1CF2">
        <w:rPr>
          <w:rFonts w:ascii="Calibri" w:hAnsi="Calibri" w:cs="Calibri"/>
          <w:noProof/>
          <w:sz w:val="22"/>
          <w:lang w:val="en-US"/>
        </w:rPr>
        <w:t xml:space="preserve"> 2017; </w:t>
      </w:r>
      <w:r w:rsidRPr="009A1CF2">
        <w:rPr>
          <w:rFonts w:ascii="Calibri" w:hAnsi="Calibri" w:cs="Calibri"/>
          <w:b/>
          <w:bCs/>
          <w:noProof/>
          <w:sz w:val="22"/>
          <w:lang w:val="en-US"/>
        </w:rPr>
        <w:t>32</w:t>
      </w:r>
      <w:r w:rsidRPr="009A1CF2">
        <w:rPr>
          <w:rFonts w:ascii="Calibri" w:hAnsi="Calibri" w:cs="Calibri"/>
          <w:noProof/>
          <w:sz w:val="22"/>
          <w:lang w:val="en-US"/>
        </w:rPr>
        <w:t>: 765–773.</w:t>
      </w:r>
    </w:p>
    <w:p w14:paraId="08C9FD9F" w14:textId="77777777" w:rsidR="009A1CF2" w:rsidRPr="009A1CF2" w:rsidRDefault="009A1CF2" w:rsidP="009A1CF2">
      <w:pPr>
        <w:widowControl w:val="0"/>
        <w:autoSpaceDE w:val="0"/>
        <w:autoSpaceDN w:val="0"/>
        <w:adjustRightInd w:val="0"/>
        <w:spacing w:line="480" w:lineRule="auto"/>
        <w:ind w:left="640" w:hanging="640"/>
        <w:rPr>
          <w:rFonts w:ascii="Calibri" w:hAnsi="Calibri" w:cs="Calibri"/>
          <w:noProof/>
          <w:sz w:val="22"/>
          <w:lang w:val="en-US"/>
        </w:rPr>
      </w:pPr>
      <w:r w:rsidRPr="009A1CF2">
        <w:rPr>
          <w:rFonts w:ascii="Calibri" w:hAnsi="Calibri" w:cs="Calibri"/>
          <w:noProof/>
          <w:sz w:val="22"/>
          <w:lang w:val="en-US"/>
        </w:rPr>
        <w:t xml:space="preserve">41 </w:t>
      </w:r>
      <w:r w:rsidRPr="009A1CF2">
        <w:rPr>
          <w:rFonts w:ascii="Calibri" w:hAnsi="Calibri" w:cs="Calibri"/>
          <w:noProof/>
          <w:sz w:val="22"/>
          <w:lang w:val="en-US"/>
        </w:rPr>
        <w:tab/>
        <w:t xml:space="preserve">Mollazadegan K </w:t>
      </w:r>
      <w:r w:rsidRPr="009A1CF2">
        <w:rPr>
          <w:rFonts w:ascii="Calibri" w:hAnsi="Calibri" w:cs="Calibri"/>
          <w:i/>
          <w:iCs/>
          <w:noProof/>
          <w:sz w:val="22"/>
          <w:lang w:val="en-US"/>
        </w:rPr>
        <w:t>et al.</w:t>
      </w:r>
      <w:r w:rsidRPr="009A1CF2">
        <w:rPr>
          <w:rFonts w:ascii="Calibri" w:hAnsi="Calibri" w:cs="Calibri"/>
          <w:noProof/>
          <w:sz w:val="22"/>
          <w:lang w:val="en-US"/>
        </w:rPr>
        <w:t xml:space="preserve"> A population-based study of the risk of diabetic retinopathy in patients with type 1 diabetes and celiac disease. </w:t>
      </w:r>
      <w:r w:rsidRPr="009A1CF2">
        <w:rPr>
          <w:rFonts w:ascii="Calibri" w:hAnsi="Calibri" w:cs="Calibri"/>
          <w:i/>
          <w:iCs/>
          <w:noProof/>
          <w:sz w:val="22"/>
          <w:lang w:val="en-US"/>
        </w:rPr>
        <w:t>Diabetes Care</w:t>
      </w:r>
      <w:r w:rsidRPr="009A1CF2">
        <w:rPr>
          <w:rFonts w:ascii="Calibri" w:hAnsi="Calibri" w:cs="Calibri"/>
          <w:noProof/>
          <w:sz w:val="22"/>
          <w:lang w:val="en-US"/>
        </w:rPr>
        <w:t xml:space="preserve"> 2013; </w:t>
      </w:r>
      <w:r w:rsidRPr="009A1CF2">
        <w:rPr>
          <w:rFonts w:ascii="Calibri" w:hAnsi="Calibri" w:cs="Calibri"/>
          <w:b/>
          <w:bCs/>
          <w:noProof/>
          <w:sz w:val="22"/>
          <w:lang w:val="en-US"/>
        </w:rPr>
        <w:t>36</w:t>
      </w:r>
      <w:r w:rsidRPr="009A1CF2">
        <w:rPr>
          <w:rFonts w:ascii="Calibri" w:hAnsi="Calibri" w:cs="Calibri"/>
          <w:noProof/>
          <w:sz w:val="22"/>
          <w:lang w:val="en-US"/>
        </w:rPr>
        <w:t>: 316–321.</w:t>
      </w:r>
    </w:p>
    <w:p w14:paraId="481360BA" w14:textId="77777777" w:rsidR="009A1CF2" w:rsidRPr="009A1CF2" w:rsidRDefault="009A1CF2" w:rsidP="009A1CF2">
      <w:pPr>
        <w:widowControl w:val="0"/>
        <w:autoSpaceDE w:val="0"/>
        <w:autoSpaceDN w:val="0"/>
        <w:adjustRightInd w:val="0"/>
        <w:spacing w:line="480" w:lineRule="auto"/>
        <w:ind w:left="640" w:hanging="640"/>
        <w:rPr>
          <w:rFonts w:ascii="Calibri" w:hAnsi="Calibri" w:cs="Calibri"/>
          <w:noProof/>
          <w:sz w:val="22"/>
          <w:lang w:val="en-US"/>
        </w:rPr>
      </w:pPr>
      <w:r w:rsidRPr="009A1CF2">
        <w:rPr>
          <w:rFonts w:ascii="Calibri" w:hAnsi="Calibri" w:cs="Calibri"/>
          <w:noProof/>
          <w:sz w:val="22"/>
          <w:lang w:val="en-US"/>
        </w:rPr>
        <w:t xml:space="preserve">42 </w:t>
      </w:r>
      <w:r w:rsidRPr="009A1CF2">
        <w:rPr>
          <w:rFonts w:ascii="Calibri" w:hAnsi="Calibri" w:cs="Calibri"/>
          <w:noProof/>
          <w:sz w:val="22"/>
          <w:lang w:val="en-US"/>
        </w:rPr>
        <w:tab/>
        <w:t xml:space="preserve">Deleskog A </w:t>
      </w:r>
      <w:r w:rsidRPr="009A1CF2">
        <w:rPr>
          <w:rFonts w:ascii="Calibri" w:hAnsi="Calibri" w:cs="Calibri"/>
          <w:i/>
          <w:iCs/>
          <w:noProof/>
          <w:sz w:val="22"/>
          <w:lang w:val="en-US"/>
        </w:rPr>
        <w:t>et al.</w:t>
      </w:r>
      <w:r w:rsidRPr="009A1CF2">
        <w:rPr>
          <w:rFonts w:ascii="Calibri" w:hAnsi="Calibri" w:cs="Calibri"/>
          <w:noProof/>
          <w:sz w:val="22"/>
          <w:lang w:val="en-US"/>
        </w:rPr>
        <w:t xml:space="preserve"> Severity of depression, anxious distress and the risk of type 2 diabetes - A population-based cohort study in Sweden. </w:t>
      </w:r>
      <w:r w:rsidRPr="009A1CF2">
        <w:rPr>
          <w:rFonts w:ascii="Calibri" w:hAnsi="Calibri" w:cs="Calibri"/>
          <w:i/>
          <w:iCs/>
          <w:noProof/>
          <w:sz w:val="22"/>
          <w:lang w:val="en-US"/>
        </w:rPr>
        <w:t>BMC Public Health</w:t>
      </w:r>
      <w:r w:rsidRPr="009A1CF2">
        <w:rPr>
          <w:rFonts w:ascii="Calibri" w:hAnsi="Calibri" w:cs="Calibri"/>
          <w:noProof/>
          <w:sz w:val="22"/>
          <w:lang w:val="en-US"/>
        </w:rPr>
        <w:t xml:space="preserve"> 2019; </w:t>
      </w:r>
      <w:r w:rsidRPr="009A1CF2">
        <w:rPr>
          <w:rFonts w:ascii="Calibri" w:hAnsi="Calibri" w:cs="Calibri"/>
          <w:b/>
          <w:bCs/>
          <w:noProof/>
          <w:sz w:val="22"/>
          <w:lang w:val="en-US"/>
        </w:rPr>
        <w:t>19</w:t>
      </w:r>
      <w:r w:rsidRPr="009A1CF2">
        <w:rPr>
          <w:rFonts w:ascii="Calibri" w:hAnsi="Calibri" w:cs="Calibri"/>
          <w:noProof/>
          <w:sz w:val="22"/>
          <w:lang w:val="en-US"/>
        </w:rPr>
        <w:t>. doi:10.1186/s12889-019-7322-z.</w:t>
      </w:r>
    </w:p>
    <w:p w14:paraId="2A72A09B" w14:textId="77777777" w:rsidR="009A1CF2" w:rsidRPr="009A1CF2" w:rsidRDefault="009A1CF2" w:rsidP="009A1CF2">
      <w:pPr>
        <w:widowControl w:val="0"/>
        <w:autoSpaceDE w:val="0"/>
        <w:autoSpaceDN w:val="0"/>
        <w:adjustRightInd w:val="0"/>
        <w:spacing w:line="480" w:lineRule="auto"/>
        <w:ind w:left="640" w:hanging="640"/>
        <w:rPr>
          <w:rFonts w:ascii="Calibri" w:hAnsi="Calibri" w:cs="Calibri"/>
          <w:noProof/>
          <w:sz w:val="22"/>
        </w:rPr>
      </w:pPr>
      <w:r w:rsidRPr="009A1CF2">
        <w:rPr>
          <w:rFonts w:ascii="Calibri" w:hAnsi="Calibri" w:cs="Calibri"/>
          <w:noProof/>
          <w:sz w:val="22"/>
          <w:lang w:val="en-US"/>
        </w:rPr>
        <w:t xml:space="preserve">43 </w:t>
      </w:r>
      <w:r w:rsidRPr="009A1CF2">
        <w:rPr>
          <w:rFonts w:ascii="Calibri" w:hAnsi="Calibri" w:cs="Calibri"/>
          <w:noProof/>
          <w:sz w:val="22"/>
          <w:lang w:val="en-US"/>
        </w:rPr>
        <w:tab/>
        <w:t xml:space="preserve">Inghammar M, Engström G, Löfdahl CG, Egesten A. Validation of a COPD diagnosis from the Swedish Inpatient Registry. </w:t>
      </w:r>
      <w:r w:rsidRPr="009A1CF2">
        <w:rPr>
          <w:rFonts w:ascii="Calibri" w:hAnsi="Calibri" w:cs="Calibri"/>
          <w:i/>
          <w:iCs/>
          <w:noProof/>
          <w:sz w:val="22"/>
          <w:lang w:val="en-US"/>
        </w:rPr>
        <w:t>Scand J Public Health</w:t>
      </w:r>
      <w:r w:rsidRPr="009A1CF2">
        <w:rPr>
          <w:rFonts w:ascii="Calibri" w:hAnsi="Calibri" w:cs="Calibri"/>
          <w:noProof/>
          <w:sz w:val="22"/>
          <w:lang w:val="en-US"/>
        </w:rPr>
        <w:t xml:space="preserve"> 2012; </w:t>
      </w:r>
      <w:r w:rsidRPr="009A1CF2">
        <w:rPr>
          <w:rFonts w:ascii="Calibri" w:hAnsi="Calibri" w:cs="Calibri"/>
          <w:b/>
          <w:bCs/>
          <w:noProof/>
          <w:sz w:val="22"/>
          <w:lang w:val="en-US"/>
        </w:rPr>
        <w:t>40</w:t>
      </w:r>
      <w:r w:rsidRPr="009A1CF2">
        <w:rPr>
          <w:rFonts w:ascii="Calibri" w:hAnsi="Calibri" w:cs="Calibri"/>
          <w:noProof/>
          <w:sz w:val="22"/>
          <w:lang w:val="en-US"/>
        </w:rPr>
        <w:t>: 773–776.</w:t>
      </w:r>
    </w:p>
    <w:p w14:paraId="4F3B4CA7" w14:textId="289AFB09" w:rsidR="000B086A" w:rsidRPr="0061109F" w:rsidRDefault="00191CFF" w:rsidP="009A1CF2">
      <w:pPr>
        <w:widowControl w:val="0"/>
        <w:autoSpaceDE w:val="0"/>
        <w:autoSpaceDN w:val="0"/>
        <w:adjustRightInd w:val="0"/>
        <w:spacing w:line="480" w:lineRule="auto"/>
        <w:ind w:left="640" w:hanging="640"/>
        <w:rPr>
          <w:rFonts w:ascii="Calibri" w:hAnsi="Calibri" w:cs="Calibri"/>
          <w:sz w:val="22"/>
          <w:szCs w:val="22"/>
        </w:rPr>
      </w:pPr>
      <w:r w:rsidRPr="0061109F">
        <w:rPr>
          <w:rFonts w:ascii="Calibri" w:hAnsi="Calibri" w:cs="Calibri"/>
          <w:sz w:val="22"/>
          <w:szCs w:val="22"/>
        </w:rPr>
        <w:fldChar w:fldCharType="end"/>
      </w:r>
    </w:p>
    <w:p w14:paraId="2229EC9B" w14:textId="77777777" w:rsidR="000B086A" w:rsidRPr="0061109F" w:rsidRDefault="000B086A">
      <w:pPr>
        <w:rPr>
          <w:rFonts w:ascii="Calibri" w:hAnsi="Calibri" w:cs="Calibri"/>
          <w:sz w:val="22"/>
          <w:szCs w:val="22"/>
        </w:rPr>
      </w:pPr>
      <w:r w:rsidRPr="0061109F">
        <w:rPr>
          <w:rFonts w:ascii="Calibri" w:hAnsi="Calibri" w:cs="Calibri"/>
          <w:sz w:val="22"/>
          <w:szCs w:val="22"/>
        </w:rPr>
        <w:br w:type="page"/>
      </w:r>
    </w:p>
    <w:p w14:paraId="324EC3DF" w14:textId="77777777" w:rsidR="009A1CF2" w:rsidRPr="0061109F" w:rsidRDefault="009A1CF2" w:rsidP="009A1CF2">
      <w:pPr>
        <w:pStyle w:val="Heading4"/>
        <w:spacing w:line="480" w:lineRule="auto"/>
        <w:rPr>
          <w:b/>
          <w:i w:val="0"/>
          <w:color w:val="auto"/>
          <w:sz w:val="22"/>
          <w:szCs w:val="22"/>
        </w:rPr>
      </w:pPr>
      <w:r w:rsidRPr="0061109F">
        <w:rPr>
          <w:b/>
          <w:i w:val="0"/>
          <w:color w:val="auto"/>
          <w:sz w:val="22"/>
          <w:szCs w:val="22"/>
        </w:rPr>
        <w:lastRenderedPageBreak/>
        <w:t>Supplementary figure captions</w:t>
      </w:r>
    </w:p>
    <w:p w14:paraId="12BD0D9E" w14:textId="77777777" w:rsidR="009A1CF2" w:rsidRPr="0061109F" w:rsidRDefault="009A1CF2" w:rsidP="009A1CF2">
      <w:pPr>
        <w:pStyle w:val="Heading4"/>
        <w:spacing w:line="480" w:lineRule="auto"/>
        <w:jc w:val="both"/>
        <w:rPr>
          <w:b/>
          <w:i w:val="0"/>
          <w:color w:val="auto"/>
          <w:sz w:val="22"/>
          <w:szCs w:val="22"/>
        </w:rPr>
      </w:pPr>
      <w:r w:rsidRPr="0061109F">
        <w:rPr>
          <w:b/>
          <w:i w:val="0"/>
          <w:color w:val="auto"/>
          <w:sz w:val="22"/>
          <w:szCs w:val="22"/>
        </w:rPr>
        <w:t xml:space="preserve">Supplementary Figure 1: </w:t>
      </w:r>
      <w:r w:rsidRPr="0061109F">
        <w:rPr>
          <w:i w:val="0"/>
          <w:color w:val="auto"/>
          <w:sz w:val="22"/>
          <w:szCs w:val="22"/>
        </w:rPr>
        <w:t>Cox proportional hazards regression modelling of genomic factors associated with all-cause mortality in Swedish cases of schizophrenia (SCZ) (Genomics subset, N=4,991 SCZ cases). No factors were statistically significantly associated with SCZ mortality. The ancestry principal components adjusted model considers each genomic factor individually and the first 5 ancestry principal components. Three separate models are presented in the full adjusted model: 1) Eight genetic risk scores (GRS) and the first five principal components, 2) Two copy number variant (CNV) measures and the first 5 principal components, and 3) ultra-rare variant (URVs) burden measure, the first principal components and the count of synonymous variants as a technical covariate.</w:t>
      </w:r>
    </w:p>
    <w:p w14:paraId="5CC1CD6B" w14:textId="77777777" w:rsidR="000B086A" w:rsidRPr="0061109F" w:rsidRDefault="000B086A">
      <w:pPr>
        <w:rPr>
          <w:rFonts w:ascii="Calibri" w:eastAsia="Calibri" w:hAnsi="Calibri" w:cs="Calibri"/>
          <w:b/>
          <w:sz w:val="22"/>
          <w:szCs w:val="22"/>
          <w:lang w:val="en-GB"/>
        </w:rPr>
      </w:pPr>
      <w:bookmarkStart w:id="2" w:name="_GoBack"/>
      <w:bookmarkEnd w:id="2"/>
      <w:r w:rsidRPr="0061109F">
        <w:rPr>
          <w:b/>
          <w:i/>
          <w:sz w:val="22"/>
          <w:szCs w:val="22"/>
        </w:rPr>
        <w:br w:type="page"/>
      </w:r>
    </w:p>
    <w:p w14:paraId="3D66CBF4" w14:textId="5D95E5C7" w:rsidR="000B086A" w:rsidRPr="0061109F" w:rsidRDefault="00832826" w:rsidP="000B086A">
      <w:pPr>
        <w:pStyle w:val="Heading4"/>
        <w:spacing w:line="480" w:lineRule="auto"/>
        <w:rPr>
          <w:b/>
          <w:i w:val="0"/>
          <w:color w:val="auto"/>
          <w:sz w:val="22"/>
          <w:szCs w:val="22"/>
        </w:rPr>
      </w:pPr>
      <w:r w:rsidRPr="0061109F">
        <w:rPr>
          <w:b/>
          <w:i w:val="0"/>
          <w:color w:val="auto"/>
          <w:sz w:val="22"/>
          <w:szCs w:val="22"/>
        </w:rPr>
        <w:lastRenderedPageBreak/>
        <w:t xml:space="preserve">Supplementary </w:t>
      </w:r>
      <w:r w:rsidR="000B086A" w:rsidRPr="0061109F">
        <w:rPr>
          <w:b/>
          <w:i w:val="0"/>
          <w:color w:val="auto"/>
          <w:sz w:val="22"/>
          <w:szCs w:val="22"/>
        </w:rPr>
        <w:t xml:space="preserve">Table 1: </w:t>
      </w:r>
      <w:r w:rsidR="000B086A" w:rsidRPr="0061109F">
        <w:rPr>
          <w:i w:val="0"/>
          <w:color w:val="auto"/>
          <w:sz w:val="22"/>
          <w:szCs w:val="22"/>
        </w:rPr>
        <w:t>Classification of diseases and disorders according to the WHO international classification of diseases (ICD) version 8, 9 and 10 utilised in Sweden</w:t>
      </w:r>
    </w:p>
    <w:tbl>
      <w:tblPr>
        <w:tblW w:w="96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3543"/>
        <w:gridCol w:w="3390"/>
      </w:tblGrid>
      <w:tr w:rsidR="0061109F" w:rsidRPr="0061109F" w14:paraId="53946B0E" w14:textId="77777777" w:rsidTr="000B086A">
        <w:tc>
          <w:tcPr>
            <w:tcW w:w="2689" w:type="dxa"/>
            <w:vAlign w:val="center"/>
          </w:tcPr>
          <w:p w14:paraId="2BAB1AB8" w14:textId="77777777" w:rsidR="000B086A" w:rsidRPr="0061109F" w:rsidRDefault="000B086A" w:rsidP="000B086A">
            <w:pPr>
              <w:spacing w:line="480" w:lineRule="auto"/>
              <w:rPr>
                <w:rFonts w:ascii="Calibri" w:hAnsi="Calibri" w:cs="Calibri"/>
                <w:sz w:val="20"/>
                <w:szCs w:val="20"/>
              </w:rPr>
            </w:pPr>
          </w:p>
        </w:tc>
        <w:tc>
          <w:tcPr>
            <w:tcW w:w="3543" w:type="dxa"/>
            <w:vAlign w:val="center"/>
          </w:tcPr>
          <w:p w14:paraId="5E2CDED5" w14:textId="77777777" w:rsidR="000B086A" w:rsidRPr="0061109F" w:rsidRDefault="000B086A" w:rsidP="000B086A">
            <w:pPr>
              <w:spacing w:line="480" w:lineRule="auto"/>
              <w:rPr>
                <w:rFonts w:ascii="Calibri" w:hAnsi="Calibri" w:cs="Calibri"/>
                <w:b/>
                <w:sz w:val="20"/>
                <w:szCs w:val="20"/>
              </w:rPr>
            </w:pPr>
            <w:r w:rsidRPr="0061109F">
              <w:rPr>
                <w:rFonts w:ascii="Calibri" w:hAnsi="Calibri" w:cs="Calibri"/>
                <w:b/>
                <w:sz w:val="20"/>
                <w:szCs w:val="20"/>
              </w:rPr>
              <w:t>ICD-8 and ICD-9</w:t>
            </w:r>
          </w:p>
        </w:tc>
        <w:tc>
          <w:tcPr>
            <w:tcW w:w="3390" w:type="dxa"/>
            <w:vAlign w:val="center"/>
          </w:tcPr>
          <w:p w14:paraId="7A6D70FC" w14:textId="77777777" w:rsidR="000B086A" w:rsidRPr="0061109F" w:rsidRDefault="000B086A" w:rsidP="000B086A">
            <w:pPr>
              <w:spacing w:line="480" w:lineRule="auto"/>
              <w:rPr>
                <w:rFonts w:ascii="Calibri" w:hAnsi="Calibri" w:cs="Calibri"/>
                <w:b/>
                <w:sz w:val="20"/>
                <w:szCs w:val="20"/>
              </w:rPr>
            </w:pPr>
            <w:r w:rsidRPr="0061109F">
              <w:rPr>
                <w:rFonts w:ascii="Calibri" w:hAnsi="Calibri" w:cs="Calibri"/>
                <w:b/>
                <w:sz w:val="20"/>
                <w:szCs w:val="20"/>
              </w:rPr>
              <w:t>ICD-10</w:t>
            </w:r>
          </w:p>
        </w:tc>
      </w:tr>
      <w:tr w:rsidR="0061109F" w:rsidRPr="0061109F" w14:paraId="71898796" w14:textId="77777777" w:rsidTr="000B086A">
        <w:tc>
          <w:tcPr>
            <w:tcW w:w="2689" w:type="dxa"/>
            <w:vAlign w:val="center"/>
          </w:tcPr>
          <w:p w14:paraId="7FDBED7F" w14:textId="77777777" w:rsidR="000B086A" w:rsidRPr="0061109F" w:rsidRDefault="000B086A" w:rsidP="000B086A">
            <w:pPr>
              <w:spacing w:line="480" w:lineRule="auto"/>
              <w:rPr>
                <w:rFonts w:ascii="Calibri" w:hAnsi="Calibri" w:cs="Calibri"/>
                <w:sz w:val="20"/>
                <w:szCs w:val="20"/>
              </w:rPr>
            </w:pPr>
            <w:r w:rsidRPr="0061109F">
              <w:rPr>
                <w:rFonts w:ascii="Calibri" w:hAnsi="Calibri" w:cs="Calibri"/>
                <w:sz w:val="20"/>
                <w:szCs w:val="20"/>
              </w:rPr>
              <w:t>Schizophrenia</w:t>
            </w:r>
            <w:r w:rsidRPr="0061109F">
              <w:rPr>
                <w:rFonts w:ascii="Calibri" w:hAnsi="Calibri" w:cs="Calibri"/>
                <w:sz w:val="20"/>
                <w:szCs w:val="20"/>
              </w:rPr>
              <w:fldChar w:fldCharType="begin" w:fldLock="1"/>
            </w:r>
            <w:r w:rsidRPr="0061109F">
              <w:rPr>
                <w:rFonts w:ascii="Calibri" w:hAnsi="Calibri" w:cs="Calibri"/>
                <w:sz w:val="20"/>
                <w:szCs w:val="20"/>
              </w:rPr>
              <w:instrText>ADDIN CSL_CITATION {"citationItems":[{"id":"ITEM-1","itemData":{"DOI":"10.1038/nature13595","ISBN":"0028-0836","ISSN":"1476-4687","PMID":"25056061","abstract":"Schizophrenia is a highly heritable disorder. Genetic risk is conferred by a large number of alleles, including common alleles of small effect that might be detected by genome-wide association studies. Here we report a multi-stage schizophrenia genome-wide association study of up to 36,989 cases and 113,075 controls. We identify 128 independent associations spanning 108 conservatively defined loci that meet genome-wide significance, 83 of which have not been previously reported. Associations were enriched among genes expressed in brain, providing biological plausibility for the findings. Many findings have the potential to provide entirely new insights into aetiology, but associations at DRD2 and several genes involved in glutamatergic neurotransmission highlight molecules of known and potential therapeutic relevance to schizophrenia, and are consistent with leading pathophysiological hypotheses. Independent of genes expressed in brain, associations were enriched among genes expressed in tissues that have important roles in immunity, providing support for the speculated link between the immune system and schizophrenia.","author":[{"dropping-particle":"","family":"Schizophrenia Working Group of the Psychiatric Genomics Consortium","given":"","non-dropping-particle":"","parse-names":false,"suffix":""}],"container-title":"Nature","id":"ITEM-1","issue":"7510","issued":{"date-parts":[["2014","7","24"]]},"page":"421-7","title":"Biological insights from 108 schizophrenia-associated genetic loci.","type":"article-journal","volume":"511"},"uris":["http://www.mendeley.com/documents/?uuid=273840de-6c98-3d42-8b38-c1ef6c474baf"]},{"id":"ITEM-2","itemData":{"DOI":"10.3109/08039488709103182","ISSN":"0029-1455","author":[{"dropping-particle":"","family":"Kristjansson","given":"Einar","non-dropping-particle":"","parse-names":false,"suffix":""},{"dropping-particle":"","family":"Allebeck","given":"Peter","non-dropping-particle":"","parse-names":false,"suffix":""},{"dropping-particle":"","family":"Wistedt","given":"Börje","non-dropping-particle":"","parse-names":false,"suffix":""}],"container-title":"Nordisk Psykiatrisk Tidsskrift","id":"ITEM-2","issue":"3","issued":{"date-parts":[["1987","1","1"]]},"note":"doi: 10.3109/08039488709103182","page":"229-234","publisher":"Taylor &amp; Francis","title":"Validity of the diagnosis schizophrenia in a psychiatric inpatient register: A retrospective application of DSM-III criteria on ICD-8 diagnoses in Stockholm county","type":"article-journal","volume":"41"},"uris":["http://www.mendeley.com/documents/?uuid=21accf66-592e-445f-91ad-8d007f8d455e"]},{"id":"ITEM-3","itemData":{"DOI":"10.1007/s00127-002-0582-3","ISSN":"1433-9285","abstract":"Background: Psychiatric inpatient registers are often used in research in the Nordic countries. We aimed to investigate the validity of recorded diagnoses of schizophrenia in the Swedish National Inpatient Register, in cases of early age at onset. We also wanted to describe the accuracy of the diagnoses in cities/university clinics and country hospitals as well as in child and adolescent psychiatric clinics and clinics for adults. Method: One hundred cases with a diagnosis of schizophrenia, born 1973–1977, were randomly selected. The psychiatric records were scrutinised according to the criteria of DSM-IV. Results: Eighty-six per cent (95 % CI 78–93 %) fulfilled the DSM-IV criteria of schizophrenia syndrome and 76 % (95 % CI 66–86 %) fulfilled the “narrow” definition. There were no large differences in the accuracy of the diagnoses between regions or clinics. Conclusion: The proportion of “true” cases of schizophrenia is high in the Swedish National Inpatient Register. In addition, the results did not support large differences between clinics or regions although a larger sample size would be needed to test this formally. In comparison with earlier studies from the Nordic countries the validity seems to be quite stable over time, between different ages at onset and between Nordic countries. Thus, the registers are well suited to be used in schizophrenia research.","author":[{"dropping-particle":"","family":"Dalman","given":"Ch.","non-dropping-particle":"","parse-names":false,"suffix":""},{"dropping-particle":"","family":"Broms","given":"J","non-dropping-particle":"","parse-names":false,"suffix":""},{"dropping-particle":"","family":"Cullberg","given":"J","non-dropping-particle":"","parse-names":false,"suffix":""},{"dropping-particle":"","family":"Allebeck","given":"P","non-dropping-particle":"","parse-names":false,"suffix":""}],"container-title":"Social Psychiatry and Psychiatric Epidemiology","id":"ITEM-3","issue":"11","issued":{"date-parts":[["2002"]]},"page":"527-531","title":"Young cases of schizophrenia identified in a national inpatient register","type":"article-journal","volume":"37"},"uris":["http://www.mendeley.com/documents/?uuid=b7634e24-e5e7-4248-b4b7-877f3585086d"]},{"id":"ITEM-4","itemData":{"DOI":"10.1080/08039480500360906","ISSN":"0803-9488 (Print)","PMID":"16316898","abstract":"We aimed to estimate the value of structured interviews, medical records and Swedish register diagnoses for assessing lifetime diagnosis of patients with schizophrenia. Psychiatric records and diagnostic interviews of 143 Swedish patients diagnosed by their treating physician with schizophrenia and related disorders were scrutinized. Based on record analysis only, or a combined record and interview analysis, DSM-IV diagnoses were obtained by the OPCRIT algorithm. Independent of the OPCRIT algorithm, a standard research DSM-IV diagnosis, based on both record and interview analysis, was given by the research psychiatrist. Concordance rates for the different psychosis diagnoses were calculated. DSM-IV diagnoses based on records only, showed a good to excellent agreement with diagnoses based on records and interviews. Swedish register diagnoses displayed generally poor agreement with the research diagnoses. Nevertheless, 94% of subjects sometimes registered with a diagnosis of schizophrenic psychoses (i.e. schizophrenia, schizoaffective psychosis or schizophreniform disorder) displayed a standard research DSM-IV diagnosis of these disorders. For patients in long-term treatment for schizophrenia in Sweden, psychiatric record reviews should be optimal, cost effective and sufficient for assessment of lifetime research diagnoses of schizophrenia. For these patients a research interview adds little new information. The results further indicate that a Swedish register diagnosis of schizophrenic psychoses has a high positive predictive power to a standard research DSM-IV diagnosis of the disorders. It is concluded that for future Swedish large-scale genetic studies focusing on a broad definition of schizophrenia, it would be sufficient to rely on the Swedish register diagnoses of schizophrenic psychosis.","author":[{"dropping-particle":"","family":"Ekholm","given":"Birgit","non-dropping-particle":"","parse-names":false,"suffix":""},{"dropping-particle":"","family":"Ekholm","given":"Andreas","non-dropping-particle":"","parse-names":false,"suffix":""},{"dropping-particle":"","family":"Adolfsson","given":"Rolf","non-dropping-particle":"","parse-names":false,"suffix":""},{"dropping-particle":"","family":"Vares","given":"Maria","non-dropping-particle":"","parse-names":false,"suffix":""},{"dropping-particle":"","family":"Osby","given":"Urban","non-dropping-particle":"","parse-names":false,"suffix":""},{"dropping-particle":"","family":"Sedvall","given":"Goran C","non-dropping-particle":"","parse-names":false,"suffix":""},{"dropping-particle":"","family":"Jonsson","given":"Erik G","non-dropping-particle":"","parse-names":false,"suffix":""}],"container-title":"Nordic journal of psychiatry","id":"ITEM-4","issue":"6","issued":{"date-parts":[["2005"]]},"language":"eng","page":"457-464","publisher-place":"England","title":"Evaluation of diagnostic procedures in Swedish patients with schizophrenia and related psychoses.","type":"article-journal","volume":"59"},"uris":["http://www.mendeley.com/documents/?uuid=c179078f-db27-42fe-b640-5bb7c4b9b911"]}],"mendeley":{"formattedCitation":"&lt;sup&gt;2,3,9,10&lt;/sup&gt;","plainTextFormattedCitation":"2,3,9,10","previouslyFormattedCitation":"&lt;sup&gt;2,3,9,10&lt;/sup&gt;"},"properties":{"noteIndex":0},"schema":"https://github.com/citation-style-language/schema/raw/master/csl-citation.json"}</w:instrText>
            </w:r>
            <w:r w:rsidRPr="0061109F">
              <w:rPr>
                <w:rFonts w:ascii="Calibri" w:hAnsi="Calibri" w:cs="Calibri"/>
                <w:sz w:val="20"/>
                <w:szCs w:val="20"/>
              </w:rPr>
              <w:fldChar w:fldCharType="separate"/>
            </w:r>
            <w:r w:rsidRPr="0061109F">
              <w:rPr>
                <w:rFonts w:ascii="Calibri" w:hAnsi="Calibri" w:cs="Calibri"/>
                <w:noProof/>
                <w:sz w:val="20"/>
                <w:szCs w:val="20"/>
                <w:vertAlign w:val="superscript"/>
              </w:rPr>
              <w:t>2,3,9,10</w:t>
            </w:r>
            <w:r w:rsidRPr="0061109F">
              <w:rPr>
                <w:rFonts w:ascii="Calibri" w:hAnsi="Calibri" w:cs="Calibri"/>
                <w:sz w:val="20"/>
                <w:szCs w:val="20"/>
              </w:rPr>
              <w:fldChar w:fldCharType="end"/>
            </w:r>
          </w:p>
        </w:tc>
        <w:tc>
          <w:tcPr>
            <w:tcW w:w="3543" w:type="dxa"/>
            <w:vAlign w:val="center"/>
          </w:tcPr>
          <w:p w14:paraId="3333132E" w14:textId="46963954" w:rsidR="000B086A" w:rsidRPr="0061109F" w:rsidRDefault="000B086A" w:rsidP="000B086A">
            <w:pPr>
              <w:spacing w:line="480" w:lineRule="auto"/>
              <w:rPr>
                <w:rFonts w:ascii="Calibri" w:hAnsi="Calibri" w:cs="Calibri"/>
                <w:sz w:val="20"/>
                <w:szCs w:val="20"/>
              </w:rPr>
            </w:pPr>
            <w:r w:rsidRPr="0061109F">
              <w:rPr>
                <w:rFonts w:ascii="Calibri" w:hAnsi="Calibri" w:cs="Calibri"/>
                <w:sz w:val="20"/>
                <w:szCs w:val="20"/>
              </w:rPr>
              <w:t>295.0-295.4, 295.6-295.9</w:t>
            </w:r>
          </w:p>
        </w:tc>
        <w:tc>
          <w:tcPr>
            <w:tcW w:w="3390" w:type="dxa"/>
            <w:vAlign w:val="center"/>
          </w:tcPr>
          <w:p w14:paraId="497390DF" w14:textId="77FE3A42" w:rsidR="000B086A" w:rsidRPr="0061109F" w:rsidRDefault="000B086A" w:rsidP="000B086A">
            <w:pPr>
              <w:spacing w:line="480" w:lineRule="auto"/>
              <w:rPr>
                <w:rFonts w:ascii="Calibri" w:hAnsi="Calibri" w:cs="Calibri"/>
                <w:sz w:val="20"/>
                <w:szCs w:val="20"/>
              </w:rPr>
            </w:pPr>
            <w:r w:rsidRPr="0061109F">
              <w:rPr>
                <w:rFonts w:ascii="Calibri" w:hAnsi="Calibri" w:cs="Calibri"/>
                <w:sz w:val="20"/>
                <w:szCs w:val="20"/>
              </w:rPr>
              <w:t>F20, F20.0-F20.6, F20.8, F20.9</w:t>
            </w:r>
          </w:p>
        </w:tc>
      </w:tr>
      <w:tr w:rsidR="0061109F" w:rsidRPr="0061109F" w14:paraId="7DDC0C40" w14:textId="77777777" w:rsidTr="000B086A">
        <w:tc>
          <w:tcPr>
            <w:tcW w:w="2689" w:type="dxa"/>
            <w:vAlign w:val="center"/>
          </w:tcPr>
          <w:p w14:paraId="442377C2" w14:textId="77777777" w:rsidR="000B086A" w:rsidRPr="0061109F" w:rsidRDefault="000B086A" w:rsidP="000B086A">
            <w:pPr>
              <w:spacing w:line="480" w:lineRule="auto"/>
              <w:rPr>
                <w:rFonts w:ascii="Calibri" w:hAnsi="Calibri" w:cs="Calibri"/>
                <w:sz w:val="20"/>
                <w:szCs w:val="20"/>
              </w:rPr>
            </w:pPr>
            <w:r w:rsidRPr="0061109F">
              <w:rPr>
                <w:rFonts w:ascii="Calibri" w:hAnsi="Calibri" w:cs="Calibri"/>
                <w:sz w:val="20"/>
                <w:szCs w:val="20"/>
              </w:rPr>
              <w:t>Schizoaffective disorders</w:t>
            </w:r>
            <w:r w:rsidRPr="0061109F">
              <w:rPr>
                <w:rFonts w:ascii="Calibri" w:hAnsi="Calibri" w:cs="Calibri"/>
                <w:sz w:val="20"/>
                <w:szCs w:val="20"/>
              </w:rPr>
              <w:fldChar w:fldCharType="begin" w:fldLock="1"/>
            </w:r>
            <w:r w:rsidRPr="0061109F">
              <w:rPr>
                <w:rFonts w:ascii="Calibri" w:hAnsi="Calibri" w:cs="Calibri"/>
                <w:sz w:val="20"/>
                <w:szCs w:val="20"/>
              </w:rPr>
              <w:instrText>ADDIN CSL_CITATION {"citationItems":[{"id":"ITEM-1","itemData":{"DOI":"10.1038/nature13595","ISBN":"0028-0836","ISSN":"1476-4687","PMID":"25056061","abstract":"Schizophrenia is a highly heritable disorder. Genetic risk is conferred by a large number of alleles, including common alleles of small effect that might be detected by genome-wide association studies. Here we report a multi-stage schizophrenia genome-wide association study of up to 36,989 cases and 113,075 controls. We identify 128 independent associations spanning 108 conservatively defined loci that meet genome-wide significance, 83 of which have not been previously reported. Associations were enriched among genes expressed in brain, providing biological plausibility for the findings. Many findings have the potential to provide entirely new insights into aetiology, but associations at DRD2 and several genes involved in glutamatergic neurotransmission highlight molecules of known and potential therapeutic relevance to schizophrenia, and are consistent with leading pathophysiological hypotheses. Independent of genes expressed in brain, associations were enriched among genes expressed in tissues that have important roles in immunity, providing support for the speculated link between the immune system and schizophrenia.","author":[{"dropping-particle":"","family":"Schizophrenia Working Group of the Psychiatric Genomics Consortium","given":"","non-dropping-particle":"","parse-names":false,"suffix":""}],"container-title":"Nature","id":"ITEM-1","issue":"7510","issued":{"date-parts":[["2014","7","24"]]},"page":"421-7","title":"Biological insights from 108 schizophrenia-associated genetic loci.","type":"article-journal","volume":"511"},"uris":["http://www.mendeley.com/documents/?uuid=273840de-6c98-3d42-8b38-c1ef6c474baf"]},{"id":"ITEM-2","itemData":{"DOI":"10.3109/08039488709103182","ISSN":"0029-1455","author":[{"dropping-particle":"","family":"Kristjansson","given":"Einar","non-dropping-particle":"","parse-names":false,"suffix":""},{"dropping-particle":"","family":"Allebeck","given":"Peter","non-dropping-particle":"","parse-names":false,"suffix":""},{"dropping-particle":"","family":"Wistedt","given":"Börje","non-dropping-particle":"","parse-names":false,"suffix":""}],"container-title":"Nordisk Psykiatrisk Tidsskrift","id":"ITEM-2","issue":"3","issued":{"date-parts":[["1987","1","1"]]},"note":"doi: 10.3109/08039488709103182","page":"229-234","publisher":"Taylor &amp; Francis","title":"Validity of the diagnosis schizophrenia in a psychiatric inpatient register: A retrospective application of DSM-III criteria on ICD-8 diagnoses in Stockholm county","type":"article-journal","volume":"41"},"uris":["http://www.mendeley.com/documents/?uuid=21accf66-592e-445f-91ad-8d007f8d455e"]},{"id":"ITEM-3","itemData":{"DOI":"10.1007/s00127-002-0582-3","ISSN":"1433-9285","abstract":"Background: Psychiatric inpatient registers are often used in research in the Nordic countries. We aimed to investigate the validity of recorded diagnoses of schizophrenia in the Swedish National Inpatient Register, in cases of early age at onset. We also wanted to describe the accuracy of the diagnoses in cities/university clinics and country hospitals as well as in child and adolescent psychiatric clinics and clinics for adults. Method: One hundred cases with a diagnosis of schizophrenia, born 1973–1977, were randomly selected. The psychiatric records were scrutinised according to the criteria of DSM-IV. Results: Eighty-six per cent (95 % CI 78–93 %) fulfilled the DSM-IV criteria of schizophrenia syndrome and 76 % (95 % CI 66–86 %) fulfilled the “narrow” definition. There were no large differences in the accuracy of the diagnoses between regions or clinics. Conclusion: The proportion of “true” cases of schizophrenia is high in the Swedish National Inpatient Register. In addition, the results did not support large differences between clinics or regions although a larger sample size would be needed to test this formally. In comparison with earlier studies from the Nordic countries the validity seems to be quite stable over time, between different ages at onset and between Nordic countries. Thus, the registers are well suited to be used in schizophrenia research.","author":[{"dropping-particle":"","family":"Dalman","given":"Ch.","non-dropping-particle":"","parse-names":false,"suffix":""},{"dropping-particle":"","family":"Broms","given":"J","non-dropping-particle":"","parse-names":false,"suffix":""},{"dropping-particle":"","family":"Cullberg","given":"J","non-dropping-particle":"","parse-names":false,"suffix":""},{"dropping-particle":"","family":"Allebeck","given":"P","non-dropping-particle":"","parse-names":false,"suffix":""}],"container-title":"Social Psychiatry and Psychiatric Epidemiology","id":"ITEM-3","issue":"11","issued":{"date-parts":[["2002"]]},"page":"527-531","title":"Young cases of schizophrenia identified in a national inpatient register","type":"article-journal","volume":"37"},"uris":["http://www.mendeley.com/documents/?uuid=b7634e24-e5e7-4248-b4b7-877f3585086d"]},{"id":"ITEM-4","itemData":{"DOI":"10.1080/08039480500360906","ISSN":"0803-9488 (Print)","PMID":"16316898","abstract":"We aimed to estimate the value of structured interviews, medical records and Swedish register diagnoses for assessing lifetime diagnosis of patients with schizophrenia. Psychiatric records and diagnostic interviews of 143 Swedish patients diagnosed by their treating physician with schizophrenia and related disorders were scrutinized. Based on record analysis only, or a combined record and interview analysis, DSM-IV diagnoses were obtained by the OPCRIT algorithm. Independent of the OPCRIT algorithm, a standard research DSM-IV diagnosis, based on both record and interview analysis, was given by the research psychiatrist. Concordance rates for the different psychosis diagnoses were calculated. DSM-IV diagnoses based on records only, showed a good to excellent agreement with diagnoses based on records and interviews. Swedish register diagnoses displayed generally poor agreement with the research diagnoses. Nevertheless, 94% of subjects sometimes registered with a diagnosis of schizophrenic psychoses (i.e. schizophrenia, schizoaffective psychosis or schizophreniform disorder) displayed a standard research DSM-IV diagnosis of these disorders. For patients in long-term treatment for schizophrenia in Sweden, psychiatric record reviews should be optimal, cost effective and sufficient for assessment of lifetime research diagnoses of schizophrenia. For these patients a research interview adds little new information. The results further indicate that a Swedish register diagnosis of schizophrenic psychoses has a high positive predictive power to a standard research DSM-IV diagnosis of the disorders. It is concluded that for future Swedish large-scale genetic studies focusing on a broad definition of schizophrenia, it would be sufficient to rely on the Swedish register diagnoses of schizophrenic psychosis.","author":[{"dropping-particle":"","family":"Ekholm","given":"Birgit","non-dropping-particle":"","parse-names":false,"suffix":""},{"dropping-particle":"","family":"Ekholm","given":"Andreas","non-dropping-particle":"","parse-names":false,"suffix":""},{"dropping-particle":"","family":"Adolfsson","given":"Rolf","non-dropping-particle":"","parse-names":false,"suffix":""},{"dropping-particle":"","family":"Vares","given":"Maria","non-dropping-particle":"","parse-names":false,"suffix":""},{"dropping-particle":"","family":"Osby","given":"Urban","non-dropping-particle":"","parse-names":false,"suffix":""},{"dropping-particle":"","family":"Sedvall","given":"Goran C","non-dropping-particle":"","parse-names":false,"suffix":""},{"dropping-particle":"","family":"Jonsson","given":"Erik G","non-dropping-particle":"","parse-names":false,"suffix":""}],"container-title":"Nordic journal of psychiatry","id":"ITEM-4","issue":"6","issued":{"date-parts":[["2005"]]},"language":"eng","page":"457-464","publisher-place":"England","title":"Evaluation of diagnostic procedures in Swedish patients with schizophrenia and related psychoses.","type":"article-journal","volume":"59"},"uris":["http://www.mendeley.com/documents/?uuid=c179078f-db27-42fe-b640-5bb7c4b9b911"]}],"mendeley":{"formattedCitation":"&lt;sup&gt;2,3,9,10&lt;/sup&gt;","plainTextFormattedCitation":"2,3,9,10","previouslyFormattedCitation":"&lt;sup&gt;2,3,9,10&lt;/sup&gt;"},"properties":{"noteIndex":0},"schema":"https://github.com/citation-style-language/schema/raw/master/csl-citation.json"}</w:instrText>
            </w:r>
            <w:r w:rsidRPr="0061109F">
              <w:rPr>
                <w:rFonts w:ascii="Calibri" w:hAnsi="Calibri" w:cs="Calibri"/>
                <w:sz w:val="20"/>
                <w:szCs w:val="20"/>
              </w:rPr>
              <w:fldChar w:fldCharType="separate"/>
            </w:r>
            <w:r w:rsidRPr="0061109F">
              <w:rPr>
                <w:rFonts w:ascii="Calibri" w:hAnsi="Calibri" w:cs="Calibri"/>
                <w:noProof/>
                <w:sz w:val="20"/>
                <w:szCs w:val="20"/>
                <w:vertAlign w:val="superscript"/>
              </w:rPr>
              <w:t>2,3,9,10</w:t>
            </w:r>
            <w:r w:rsidRPr="0061109F">
              <w:rPr>
                <w:rFonts w:ascii="Calibri" w:hAnsi="Calibri" w:cs="Calibri"/>
                <w:sz w:val="20"/>
                <w:szCs w:val="20"/>
              </w:rPr>
              <w:fldChar w:fldCharType="end"/>
            </w:r>
          </w:p>
        </w:tc>
        <w:tc>
          <w:tcPr>
            <w:tcW w:w="3543" w:type="dxa"/>
            <w:vAlign w:val="center"/>
          </w:tcPr>
          <w:p w14:paraId="1FB62778" w14:textId="049620E0" w:rsidR="000B086A" w:rsidRPr="0061109F" w:rsidRDefault="000B086A" w:rsidP="000B086A">
            <w:pPr>
              <w:spacing w:line="480" w:lineRule="auto"/>
              <w:rPr>
                <w:rFonts w:ascii="Calibri" w:hAnsi="Calibri" w:cs="Calibri"/>
                <w:sz w:val="20"/>
                <w:szCs w:val="20"/>
              </w:rPr>
            </w:pPr>
            <w:r w:rsidRPr="0061109F">
              <w:rPr>
                <w:rFonts w:ascii="Calibri" w:hAnsi="Calibri" w:cs="Calibri"/>
                <w:sz w:val="20"/>
                <w:szCs w:val="20"/>
              </w:rPr>
              <w:t>295.7</w:t>
            </w:r>
          </w:p>
        </w:tc>
        <w:tc>
          <w:tcPr>
            <w:tcW w:w="3390" w:type="dxa"/>
            <w:vAlign w:val="center"/>
          </w:tcPr>
          <w:p w14:paraId="2A14DFD7" w14:textId="70B63B8A" w:rsidR="000B086A" w:rsidRPr="0061109F" w:rsidRDefault="000B086A" w:rsidP="000B086A">
            <w:pPr>
              <w:spacing w:line="480" w:lineRule="auto"/>
              <w:rPr>
                <w:rFonts w:ascii="Calibri" w:hAnsi="Calibri" w:cs="Calibri"/>
                <w:sz w:val="20"/>
                <w:szCs w:val="20"/>
              </w:rPr>
            </w:pPr>
            <w:r w:rsidRPr="0061109F">
              <w:rPr>
                <w:rFonts w:ascii="Calibri" w:hAnsi="Calibri" w:cs="Calibri"/>
                <w:sz w:val="20"/>
                <w:szCs w:val="20"/>
              </w:rPr>
              <w:t>F25, F25.0-F25.2, F25.8, F25.9, F23.1, F23.2</w:t>
            </w:r>
          </w:p>
        </w:tc>
      </w:tr>
      <w:tr w:rsidR="0061109F" w:rsidRPr="0061109F" w14:paraId="5681CA31" w14:textId="77777777" w:rsidTr="000B086A">
        <w:tc>
          <w:tcPr>
            <w:tcW w:w="2689" w:type="dxa"/>
            <w:vAlign w:val="center"/>
          </w:tcPr>
          <w:p w14:paraId="7DCEE896" w14:textId="74FE6253" w:rsidR="000B086A" w:rsidRPr="0061109F" w:rsidRDefault="000B086A" w:rsidP="000B086A">
            <w:pPr>
              <w:spacing w:line="480" w:lineRule="auto"/>
              <w:rPr>
                <w:rFonts w:ascii="Calibri" w:hAnsi="Calibri" w:cs="Calibri"/>
                <w:sz w:val="20"/>
                <w:szCs w:val="20"/>
              </w:rPr>
            </w:pPr>
            <w:r w:rsidRPr="0061109F">
              <w:rPr>
                <w:rFonts w:ascii="Calibri" w:hAnsi="Calibri" w:cs="Calibri"/>
                <w:sz w:val="20"/>
                <w:szCs w:val="20"/>
              </w:rPr>
              <w:t>Major depressive disorder</w:t>
            </w:r>
            <w:r w:rsidRPr="0061109F">
              <w:rPr>
                <w:rFonts w:ascii="Calibri" w:hAnsi="Calibri" w:cs="Calibri"/>
                <w:sz w:val="20"/>
                <w:szCs w:val="20"/>
              </w:rPr>
              <w:fldChar w:fldCharType="begin" w:fldLock="1"/>
            </w:r>
            <w:r w:rsidR="009A1CF2">
              <w:rPr>
                <w:rFonts w:ascii="Calibri" w:hAnsi="Calibri" w:cs="Calibri"/>
                <w:sz w:val="20"/>
                <w:szCs w:val="20"/>
              </w:rPr>
              <w:instrText>ADDIN CSL_CITATION {"citationItems":[{"id":"ITEM-1","itemData":{"URL":"http://www.who.int/classifications/icd/ICD10Volume2_en_2010.pdf","accessed":{"date-parts":[["2017","8","18"]]},"author":[{"dropping-particle":"","family":"World Health Organization","given":"","non-dropping-particle":"","parse-names":false,"suffix":""}],"id":"ITEM-1","issued":{"date-parts":[["2010"]]},"title":"International Statistical Classification of Diseases and Related Health Problems, 10th Ed.","type":"webpage"},"uris":["http://www.mendeley.com/documents/?uuid=86956823-8c8e-413d-a7be-5110bc468044"]}],"mendeley":{"formattedCitation":"&lt;sup&gt;39&lt;/sup&gt;","plainTextFormattedCitation":"39","previouslyFormattedCitation":"&lt;sup&gt;39&lt;/sup&gt;"},"properties":{"noteIndex":0},"schema":"https://github.com/citation-style-language/schema/raw/master/csl-citation.json"}</w:instrText>
            </w:r>
            <w:r w:rsidRPr="0061109F">
              <w:rPr>
                <w:rFonts w:ascii="Calibri" w:hAnsi="Calibri" w:cs="Calibri"/>
                <w:sz w:val="20"/>
                <w:szCs w:val="20"/>
              </w:rPr>
              <w:fldChar w:fldCharType="separate"/>
            </w:r>
            <w:r w:rsidRPr="0061109F">
              <w:rPr>
                <w:rFonts w:ascii="Calibri" w:hAnsi="Calibri" w:cs="Calibri"/>
                <w:noProof/>
                <w:sz w:val="20"/>
                <w:szCs w:val="20"/>
                <w:vertAlign w:val="superscript"/>
              </w:rPr>
              <w:t>39</w:t>
            </w:r>
            <w:r w:rsidRPr="0061109F">
              <w:rPr>
                <w:rFonts w:ascii="Calibri" w:hAnsi="Calibri" w:cs="Calibri"/>
                <w:sz w:val="20"/>
                <w:szCs w:val="20"/>
              </w:rPr>
              <w:fldChar w:fldCharType="end"/>
            </w:r>
          </w:p>
        </w:tc>
        <w:tc>
          <w:tcPr>
            <w:tcW w:w="3543" w:type="dxa"/>
            <w:vAlign w:val="center"/>
          </w:tcPr>
          <w:p w14:paraId="05BDADB8" w14:textId="00F8DE95" w:rsidR="000B086A" w:rsidRPr="0061109F" w:rsidRDefault="000B086A" w:rsidP="000B086A">
            <w:pPr>
              <w:spacing w:line="480" w:lineRule="auto"/>
              <w:rPr>
                <w:rFonts w:ascii="Calibri" w:hAnsi="Calibri" w:cs="Calibri"/>
                <w:sz w:val="20"/>
                <w:szCs w:val="20"/>
              </w:rPr>
            </w:pPr>
            <w:r w:rsidRPr="0061109F">
              <w:rPr>
                <w:rFonts w:ascii="Calibri" w:hAnsi="Calibri" w:cs="Calibri"/>
                <w:sz w:val="20"/>
                <w:szCs w:val="20"/>
              </w:rPr>
              <w:t>ICD-8: 300.4</w:t>
            </w:r>
          </w:p>
          <w:p w14:paraId="58BE1C9F" w14:textId="7F65E770" w:rsidR="000B086A" w:rsidRPr="0061109F" w:rsidRDefault="000B086A" w:rsidP="000B086A">
            <w:pPr>
              <w:spacing w:line="480" w:lineRule="auto"/>
              <w:rPr>
                <w:rFonts w:ascii="Calibri" w:hAnsi="Calibri" w:cs="Calibri"/>
                <w:sz w:val="20"/>
                <w:szCs w:val="20"/>
              </w:rPr>
            </w:pPr>
            <w:r w:rsidRPr="0061109F">
              <w:rPr>
                <w:rFonts w:ascii="Calibri" w:hAnsi="Calibri" w:cs="Calibri"/>
                <w:sz w:val="20"/>
                <w:szCs w:val="20"/>
              </w:rPr>
              <w:t>ICD-9: 296.3, 311</w:t>
            </w:r>
          </w:p>
        </w:tc>
        <w:tc>
          <w:tcPr>
            <w:tcW w:w="3390" w:type="dxa"/>
            <w:vAlign w:val="center"/>
          </w:tcPr>
          <w:p w14:paraId="105CE31F" w14:textId="7C40CB2B" w:rsidR="000B086A" w:rsidRPr="0061109F" w:rsidRDefault="000B086A" w:rsidP="000B086A">
            <w:pPr>
              <w:spacing w:line="480" w:lineRule="auto"/>
              <w:rPr>
                <w:rFonts w:ascii="Calibri" w:hAnsi="Calibri" w:cs="Calibri"/>
                <w:sz w:val="20"/>
                <w:szCs w:val="20"/>
              </w:rPr>
            </w:pPr>
            <w:r w:rsidRPr="0061109F">
              <w:rPr>
                <w:rFonts w:ascii="Calibri" w:hAnsi="Calibri" w:cs="Calibri"/>
                <w:sz w:val="20"/>
                <w:szCs w:val="20"/>
              </w:rPr>
              <w:t>F32, F32.0-F32.3, F32.8, F32.9, F33, F33.0-F33.4, F33.8, F33.9, F34.8, F34.9, F38, F38.0, F38.1-F38.8, F39</w:t>
            </w:r>
          </w:p>
        </w:tc>
      </w:tr>
      <w:tr w:rsidR="0061109F" w:rsidRPr="0061109F" w14:paraId="09FEBBE8" w14:textId="77777777" w:rsidTr="000B086A">
        <w:tc>
          <w:tcPr>
            <w:tcW w:w="2689" w:type="dxa"/>
            <w:vAlign w:val="center"/>
          </w:tcPr>
          <w:p w14:paraId="4C36A0E7" w14:textId="43E8CD28" w:rsidR="000B086A" w:rsidRPr="0061109F" w:rsidRDefault="000B086A" w:rsidP="000B086A">
            <w:pPr>
              <w:spacing w:line="480" w:lineRule="auto"/>
              <w:rPr>
                <w:rFonts w:ascii="Calibri" w:hAnsi="Calibri" w:cs="Calibri"/>
                <w:sz w:val="20"/>
                <w:szCs w:val="20"/>
              </w:rPr>
            </w:pPr>
            <w:r w:rsidRPr="0061109F">
              <w:rPr>
                <w:rFonts w:ascii="Calibri" w:hAnsi="Calibri" w:cs="Calibri"/>
                <w:sz w:val="20"/>
                <w:szCs w:val="20"/>
              </w:rPr>
              <w:t>Suicide</w:t>
            </w:r>
            <w:r w:rsidRPr="0061109F">
              <w:rPr>
                <w:rFonts w:ascii="Calibri" w:hAnsi="Calibri" w:cs="Calibri"/>
                <w:sz w:val="20"/>
                <w:szCs w:val="20"/>
              </w:rPr>
              <w:fldChar w:fldCharType="begin" w:fldLock="1"/>
            </w:r>
            <w:r w:rsidR="009A1CF2">
              <w:rPr>
                <w:rFonts w:ascii="Calibri" w:hAnsi="Calibri" w:cs="Calibri"/>
                <w:sz w:val="20"/>
                <w:szCs w:val="20"/>
              </w:rPr>
              <w:instrText>ADDIN CSL_CITATION {"citationItems":[{"id":"ITEM-1","itemData":{"DOI":"10.1007/s10654-017-0316-1","ISSN":"15737284","PMID":"28983736","abstract":"Sweden has a long tradition of recording cause of death data. The Swedish cause of death register is a high quality virtually complete register of all deaths in Sweden since 1952. Although originally created for official statistics, it is a highly important data source for medical research since it can be linked to many other national registers, which contain data on social and health factors in the Swedish population. For the appropriate use of this register, it is fundamental to understand its origins and composition. In this paper we describe the origins and composition of the Swedish cause of death register, set out the key strengths and weaknesses of the register, and present the main causes of death across age groups and over time in Sweden. This paper provides a guide and reference to individuals and organisations interested in data from the Swedish cause of death register.","author":[{"dropping-particle":"","family":"Brooke","given":"Hannah Louise","non-dropping-particle":"","parse-names":false,"suffix":""},{"dropping-particle":"","family":"Talbäck","given":"Mats","non-dropping-particle":"","parse-names":false,"suffix":""},{"dropping-particle":"","family":"Hörnblad","given":"Jesper","non-dropping-particle":"","parse-names":false,"suffix":""},{"dropping-particle":"","family":"Johansson","given":"Lars Age","non-dropping-particle":"","parse-names":false,"suffix":""},{"dropping-particle":"","family":"Ludvigsson","given":"Jonas Filip","non-dropping-particle":"","parse-names":false,"suffix":""},{"dropping-particle":"","family":"Druid","given":"Henrik","non-dropping-particle":"","parse-names":false,"suffix":""},{"dropping-particle":"","family":"Feychting","given":"Maria","non-dropping-particle":"","parse-names":false,"suffix":""},{"dropping-particle":"","family":"Ljung","given":"Rickard","non-dropping-particle":"","parse-names":false,"suffix":""}],"container-title":"European Journal of Epidemiology","id":"ITEM-1","issue":"9","issued":{"date-parts":[["2017","9","5"]]},"page":"765-773","title":"The Swedish cause of death register","type":"article-journal","volume":"32"},"uris":["http://www.mendeley.com/documents/?uuid=177ad53f-7842-4c43-9c1a-78acf7b08ab8"]}],"mendeley":{"formattedCitation":"&lt;sup&gt;40&lt;/sup&gt;","plainTextFormattedCitation":"40","previouslyFormattedCitation":"&lt;sup&gt;40&lt;/sup&gt;"},"properties":{"noteIndex":0},"schema":"https://github.com/citation-style-language/schema/raw/master/csl-citation.json"}</w:instrText>
            </w:r>
            <w:r w:rsidRPr="0061109F">
              <w:rPr>
                <w:rFonts w:ascii="Calibri" w:hAnsi="Calibri" w:cs="Calibri"/>
                <w:sz w:val="20"/>
                <w:szCs w:val="20"/>
              </w:rPr>
              <w:fldChar w:fldCharType="separate"/>
            </w:r>
            <w:r w:rsidRPr="0061109F">
              <w:rPr>
                <w:rFonts w:ascii="Calibri" w:hAnsi="Calibri" w:cs="Calibri"/>
                <w:noProof/>
                <w:sz w:val="20"/>
                <w:szCs w:val="20"/>
                <w:vertAlign w:val="superscript"/>
              </w:rPr>
              <w:t>40</w:t>
            </w:r>
            <w:r w:rsidRPr="0061109F">
              <w:rPr>
                <w:rFonts w:ascii="Calibri" w:hAnsi="Calibri" w:cs="Calibri"/>
                <w:sz w:val="20"/>
                <w:szCs w:val="20"/>
              </w:rPr>
              <w:fldChar w:fldCharType="end"/>
            </w:r>
          </w:p>
        </w:tc>
        <w:tc>
          <w:tcPr>
            <w:tcW w:w="3543" w:type="dxa"/>
            <w:vAlign w:val="center"/>
          </w:tcPr>
          <w:p w14:paraId="66C7955B" w14:textId="77777777" w:rsidR="000B086A" w:rsidRPr="0061109F" w:rsidRDefault="000B086A" w:rsidP="000B086A">
            <w:pPr>
              <w:spacing w:line="480" w:lineRule="auto"/>
              <w:rPr>
                <w:rFonts w:ascii="Calibri" w:hAnsi="Calibri" w:cs="Calibri"/>
                <w:sz w:val="20"/>
                <w:szCs w:val="20"/>
              </w:rPr>
            </w:pPr>
            <w:r w:rsidRPr="0061109F">
              <w:rPr>
                <w:rFonts w:ascii="Calibri" w:hAnsi="Calibri" w:cs="Calibri"/>
                <w:sz w:val="20"/>
                <w:szCs w:val="20"/>
              </w:rPr>
              <w:t>ICD-8: E950-E959</w:t>
            </w:r>
          </w:p>
          <w:p w14:paraId="11B9C34A" w14:textId="77777777" w:rsidR="000B086A" w:rsidRPr="0061109F" w:rsidRDefault="000B086A" w:rsidP="000B086A">
            <w:pPr>
              <w:spacing w:line="480" w:lineRule="auto"/>
              <w:rPr>
                <w:rFonts w:ascii="Calibri" w:hAnsi="Calibri" w:cs="Calibri"/>
                <w:sz w:val="20"/>
                <w:szCs w:val="20"/>
              </w:rPr>
            </w:pPr>
            <w:r w:rsidRPr="0061109F">
              <w:rPr>
                <w:rFonts w:ascii="Calibri" w:hAnsi="Calibri" w:cs="Calibri"/>
                <w:sz w:val="20"/>
                <w:szCs w:val="20"/>
              </w:rPr>
              <w:t>ICD-9: E95A-E95H, E95W, E95X</w:t>
            </w:r>
          </w:p>
        </w:tc>
        <w:tc>
          <w:tcPr>
            <w:tcW w:w="3390" w:type="dxa"/>
            <w:vAlign w:val="center"/>
          </w:tcPr>
          <w:p w14:paraId="1E85B1B2" w14:textId="77777777" w:rsidR="000B086A" w:rsidRPr="0061109F" w:rsidRDefault="000B086A" w:rsidP="000B086A">
            <w:pPr>
              <w:spacing w:line="480" w:lineRule="auto"/>
              <w:rPr>
                <w:rFonts w:ascii="Calibri" w:hAnsi="Calibri" w:cs="Calibri"/>
                <w:sz w:val="20"/>
                <w:szCs w:val="20"/>
              </w:rPr>
            </w:pPr>
            <w:r w:rsidRPr="0061109F">
              <w:rPr>
                <w:rFonts w:ascii="Calibri" w:hAnsi="Calibri" w:cs="Calibri"/>
                <w:sz w:val="20"/>
                <w:szCs w:val="20"/>
              </w:rPr>
              <w:t>X60-X84</w:t>
            </w:r>
          </w:p>
        </w:tc>
      </w:tr>
      <w:tr w:rsidR="0061109F" w:rsidRPr="0061109F" w14:paraId="2E750BD9" w14:textId="77777777" w:rsidTr="000B086A">
        <w:tc>
          <w:tcPr>
            <w:tcW w:w="2689" w:type="dxa"/>
            <w:vAlign w:val="center"/>
          </w:tcPr>
          <w:p w14:paraId="0C7B5647" w14:textId="4F6A7F9D" w:rsidR="000B086A" w:rsidRPr="0061109F" w:rsidRDefault="000B086A" w:rsidP="000B086A">
            <w:pPr>
              <w:spacing w:line="480" w:lineRule="auto"/>
              <w:rPr>
                <w:rFonts w:ascii="Calibri" w:hAnsi="Calibri" w:cs="Calibri"/>
                <w:sz w:val="20"/>
                <w:szCs w:val="20"/>
              </w:rPr>
            </w:pPr>
            <w:r w:rsidRPr="0061109F">
              <w:rPr>
                <w:rFonts w:ascii="Calibri" w:hAnsi="Calibri" w:cs="Calibri"/>
                <w:sz w:val="20"/>
                <w:szCs w:val="20"/>
              </w:rPr>
              <w:t>Substance use disorder</w:t>
            </w:r>
            <w:r w:rsidRPr="0061109F">
              <w:rPr>
                <w:rFonts w:ascii="Calibri" w:hAnsi="Calibri" w:cs="Calibri"/>
                <w:sz w:val="20"/>
                <w:szCs w:val="20"/>
              </w:rPr>
              <w:fldChar w:fldCharType="begin" w:fldLock="1"/>
            </w:r>
            <w:r w:rsidR="009A1CF2">
              <w:rPr>
                <w:rFonts w:ascii="Calibri" w:hAnsi="Calibri" w:cs="Calibri"/>
                <w:sz w:val="20"/>
                <w:szCs w:val="20"/>
              </w:rPr>
              <w:instrText>ADDIN CSL_CITATION {"citationItems":[{"id":"ITEM-1","itemData":{"URL":"http://www.who.int/classifications/icd/ICD10Volume2_en_2010.pdf","accessed":{"date-parts":[["2017","8","18"]]},"author":[{"dropping-particle":"","family":"World Health Organization","given":"","non-dropping-particle":"","parse-names":false,"suffix":""}],"id":"ITEM-1","issued":{"date-parts":[["2010"]]},"title":"International Statistical Classification of Diseases and Related Health Problems, 10th Ed.","type":"webpage"},"uris":["http://www.mendeley.com/documents/?uuid=86956823-8c8e-413d-a7be-5110bc468044"]}],"mendeley":{"formattedCitation":"&lt;sup&gt;39&lt;/sup&gt;","plainTextFormattedCitation":"39","previouslyFormattedCitation":"&lt;sup&gt;39&lt;/sup&gt;"},"properties":{"noteIndex":0},"schema":"https://github.com/citation-style-language/schema/raw/master/csl-citation.json"}</w:instrText>
            </w:r>
            <w:r w:rsidRPr="0061109F">
              <w:rPr>
                <w:rFonts w:ascii="Calibri" w:hAnsi="Calibri" w:cs="Calibri"/>
                <w:sz w:val="20"/>
                <w:szCs w:val="20"/>
              </w:rPr>
              <w:fldChar w:fldCharType="separate"/>
            </w:r>
            <w:r w:rsidRPr="0061109F">
              <w:rPr>
                <w:rFonts w:ascii="Calibri" w:hAnsi="Calibri" w:cs="Calibri"/>
                <w:noProof/>
                <w:sz w:val="20"/>
                <w:szCs w:val="20"/>
                <w:vertAlign w:val="superscript"/>
              </w:rPr>
              <w:t>39</w:t>
            </w:r>
            <w:r w:rsidRPr="0061109F">
              <w:rPr>
                <w:rFonts w:ascii="Calibri" w:hAnsi="Calibri" w:cs="Calibri"/>
                <w:sz w:val="20"/>
                <w:szCs w:val="20"/>
              </w:rPr>
              <w:fldChar w:fldCharType="end"/>
            </w:r>
          </w:p>
        </w:tc>
        <w:tc>
          <w:tcPr>
            <w:tcW w:w="3543" w:type="dxa"/>
            <w:vAlign w:val="center"/>
          </w:tcPr>
          <w:p w14:paraId="72A98E99" w14:textId="4F2364D3" w:rsidR="000B086A" w:rsidRPr="0061109F" w:rsidRDefault="000B086A" w:rsidP="000B086A">
            <w:pPr>
              <w:spacing w:line="480" w:lineRule="auto"/>
              <w:rPr>
                <w:rFonts w:ascii="Calibri" w:hAnsi="Calibri" w:cs="Calibri"/>
                <w:sz w:val="20"/>
                <w:szCs w:val="20"/>
              </w:rPr>
            </w:pPr>
            <w:r w:rsidRPr="0061109F">
              <w:rPr>
                <w:rFonts w:ascii="Calibri" w:hAnsi="Calibri" w:cs="Calibri"/>
                <w:sz w:val="20"/>
                <w:szCs w:val="20"/>
              </w:rPr>
              <w:t>ICD-8: 303, 303.1, 303.2, 303.9, 304, 304.1-304.9</w:t>
            </w:r>
          </w:p>
          <w:p w14:paraId="6DD0753F" w14:textId="77777777" w:rsidR="000B086A" w:rsidRPr="0061109F" w:rsidRDefault="000B086A" w:rsidP="000B086A">
            <w:pPr>
              <w:spacing w:line="480" w:lineRule="auto"/>
              <w:rPr>
                <w:rFonts w:ascii="Calibri" w:hAnsi="Calibri" w:cs="Calibri"/>
                <w:sz w:val="20"/>
                <w:szCs w:val="20"/>
              </w:rPr>
            </w:pPr>
            <w:r w:rsidRPr="0061109F">
              <w:rPr>
                <w:rFonts w:ascii="Calibri" w:hAnsi="Calibri" w:cs="Calibri"/>
                <w:sz w:val="20"/>
                <w:szCs w:val="20"/>
              </w:rPr>
              <w:t>ICD-9: 303, 303A, 303X, 304, 304A-304H, 304W, 304X, 305A, 305X</w:t>
            </w:r>
          </w:p>
        </w:tc>
        <w:tc>
          <w:tcPr>
            <w:tcW w:w="3390" w:type="dxa"/>
            <w:vAlign w:val="center"/>
          </w:tcPr>
          <w:p w14:paraId="712EE0DA" w14:textId="79C27C76" w:rsidR="000B086A" w:rsidRPr="0061109F" w:rsidRDefault="000B086A" w:rsidP="000B086A">
            <w:pPr>
              <w:spacing w:line="480" w:lineRule="auto"/>
              <w:rPr>
                <w:rFonts w:ascii="Calibri" w:hAnsi="Calibri" w:cs="Calibri"/>
                <w:sz w:val="20"/>
                <w:szCs w:val="20"/>
              </w:rPr>
            </w:pPr>
            <w:r w:rsidRPr="0061109F">
              <w:rPr>
                <w:rFonts w:ascii="Calibri" w:hAnsi="Calibri" w:cs="Calibri"/>
                <w:sz w:val="20"/>
                <w:szCs w:val="20"/>
              </w:rPr>
              <w:t>F10, F10.0-F10.9, F11, F11.0-F11.9, F19, F19.0-F19.9</w:t>
            </w:r>
          </w:p>
        </w:tc>
      </w:tr>
      <w:tr w:rsidR="0061109F" w:rsidRPr="0061109F" w14:paraId="004A0364" w14:textId="77777777" w:rsidTr="000B086A">
        <w:tc>
          <w:tcPr>
            <w:tcW w:w="2689" w:type="dxa"/>
            <w:vAlign w:val="center"/>
          </w:tcPr>
          <w:p w14:paraId="5B545906" w14:textId="77777777" w:rsidR="000B086A" w:rsidRPr="0061109F" w:rsidRDefault="000B086A" w:rsidP="000B086A">
            <w:pPr>
              <w:spacing w:line="480" w:lineRule="auto"/>
              <w:rPr>
                <w:rFonts w:ascii="Calibri" w:hAnsi="Calibri" w:cs="Calibri"/>
                <w:sz w:val="20"/>
                <w:szCs w:val="20"/>
              </w:rPr>
            </w:pPr>
            <w:r w:rsidRPr="0061109F">
              <w:rPr>
                <w:rFonts w:ascii="Calibri" w:hAnsi="Calibri" w:cs="Calibri"/>
                <w:sz w:val="20"/>
                <w:szCs w:val="20"/>
              </w:rPr>
              <w:t>Diabetes</w:t>
            </w:r>
            <w:r w:rsidRPr="0061109F">
              <w:rPr>
                <w:rFonts w:ascii="Calibri" w:hAnsi="Calibri" w:cs="Calibri"/>
                <w:sz w:val="20"/>
                <w:szCs w:val="20"/>
              </w:rPr>
              <w:fldChar w:fldCharType="begin" w:fldLock="1"/>
            </w:r>
            <w:r w:rsidRPr="0061109F">
              <w:rPr>
                <w:rFonts w:ascii="Calibri" w:hAnsi="Calibri" w:cs="Calibri"/>
                <w:sz w:val="20"/>
                <w:szCs w:val="20"/>
              </w:rPr>
              <w:instrText>ADDIN CSL_CITATION {"citationItems":[{"id":"ITEM-1","itemData":{"DOI":"10.2337/dc12-0766","ISSN":"01495992","abstract":"OBJECTIVE-Celiac disease (CD) is associated with type 1 diabetes (T1D). In the current study, we examined whether CD affects the risk of diabetic retinopathy (DRP) in patients with T1D. RESEARCH DESIGN AND METHODS-This was a population-based cohort study. Through the Swedish National Patient Register, we identified 41,566 patients diagnosed with diabetes in 1964-2009 and who were #30 years of age at diagnosis. CD was defined as having villous atrophy (Marsh stage 3) according to small intestinal biopsies performed between 1969 and 2008, with biopsy reports obtained from Sweden's 28 pathology departments. During follow-up, 947 T1D patients had a diagnosis of CD. We used Cox regression analysis with CD as a time-dependent covariate to estimate adjusted hazard ratios (aHRs) for DRP in patients with T1D and CD and compared them with patients with T1D but no CD. RESULTS-Duration of CD correlated with the risk of DRP. When results were stratified by time since CD diagnosis, individuals with T1D and CD were at a lower risk of DRP in the first 5 years after CD diagnosis (aHR 0.57 [95% CI 0.36-0.91]), followed by a neutral risk in years 5 to &lt;10 (1.03 [0.68-1.57]). With longer follow-up, coexisting CD was a risk factor for DRP (10 to &lt;15 years of follow-up, aHR 2.83 [95% CI 1.95-4.11]; ≥15 years of follow-up, 3.01 [1.43-6.32]). CONCLUSIONS-Having a diagnosis of CD for &gt;10 years is a risk factor for the development of DRP in T1D. Long-standing CD in patients with T1D merits intense monitoring of DRP.© 2013 by the American Diabetes Association.","author":[{"dropping-particle":"","family":"Mollazadegan","given":"Kaziwe","non-dropping-particle":"","parse-names":false,"suffix":""},{"dropping-particle":"","family":"Kugelberg","given":"Maria","non-dropping-particle":"","parse-names":false,"suffix":""},{"dropping-particle":"","family":"Montgomery","given":"Scott M.","non-dropping-particle":"","parse-names":false,"suffix":""},{"dropping-particle":"","family":"Sanders","given":"David S.","non-dropping-particle":"","parse-names":false,"suffix":""},{"dropping-particle":"","family":"Ludvigsson","given":"Johnny","non-dropping-particle":"","parse-names":false,"suffix":""},{"dropping-particle":"","family":"Ludvigsson","given":"Jonas F.","non-dropping-particle":"","parse-names":false,"suffix":""}],"container-title":"Diabetes Care","id":"ITEM-1","issue":"2","issued":{"date-parts":[["2013","2"]]},"page":"316-321","publisher":"Diabetes Care","title":"A population-based study of the risk of diabetic retinopathy in patients with type 1 diabetes and celiac disease","type":"article-journal","volume":"36"},"uris":["http://www.mendeley.com/documents/?uuid=7fb39786-8004-31d1-b686-80a39d5f4041"]},{"id":"ITEM-2","itemData":{"DOI":"10.1186/s12889-019-7322-z","ISSN":"14712458","abstract":"Background: Previous studies assessing the relationship between depression and diabetes mellitus did not consider the severity of depression. In the present study we assessed the risk of developing type 2 diabetes mellitus (T2DM) among people with various severity of depression. Methods: This prospective longitudinal cohort study included 9,936 individuals residing in Stockholm County, Sweden who responded to the baseline questionnaire in 1998-2000. The participants were followed from 1 year after the baseline up to 2015 for the occurrence of T2DM, using the National Patient Register, Swedish Prescribed Drug Registers, and Cause of Death Register. Depression and anxious distress were assessed using psychiatric rating scales and defined according to the Diagnostic and Statistical Manual of Mental Disorders (DSM-5). Results: Depression was associated with a statistically significant increased risk of T2DM after adjusting for potential confounders (OR 1.48, CI 1.10, 1.99). The strongest association was observed for severe depression (OR 1.72, CI 1.15, 2.59). Further, those with depression, regardless of severity, and with concurrent moderate/severe anxious distress had an increased risk of T2DM (OR 1.73, CI 1.13, 2.63) compared to those with neither depression nor anxious distress. Conclusions: The study adds evidence that depression is associated with a higher risk for developing T2DM, and the association is stronger among people with severe depression.","author":[{"dropping-particle":"","family":"Deleskog","given":"Anna","non-dropping-particle":"","parse-names":false,"suffix":""},{"dropping-particle":"","family":"Ljung","given":"Rickard","non-dropping-particle":"","parse-names":false,"suffix":""},{"dropping-particle":"","family":"Forsell","given":"Yvonne","non-dropping-particle":"","parse-names":false,"suffix":""},{"dropping-particle":"","family":"Nevriana","given":"Alicia","non-dropping-particle":"","parse-names":false,"suffix":""},{"dropping-particle":"","family":"Almas","given":"Aysha","non-dropping-particle":"","parse-names":false,"suffix":""},{"dropping-particle":"","family":"Möller","given":"Jette","non-dropping-particle":"","parse-names":false,"suffix":""}],"container-title":"BMC Public Health","id":"ITEM-2","issue":"1","issued":{"date-parts":[["2019","8","27"]]},"publisher":"BioMed Central Ltd.","title":"Severity of depression, anxious distress and the risk of type 2 diabetes - A population-based cohort study in Sweden","type":"article-journal","volume":"19"},"uris":["http://www.mendeley.com/documents/?uuid=258f2859-7a75-3df0-88d1-d82f2935d567"]}],"mendeley":{"formattedCitation":"&lt;sup&gt;41,42&lt;/sup&gt;","plainTextFormattedCitation":"41,42","previouslyFormattedCitation":"&lt;sup&gt;41,42&lt;/sup&gt;"},"properties":{"noteIndex":0},"schema":"https://github.com/citation-style-language/schema/raw/master/csl-citation.json"}</w:instrText>
            </w:r>
            <w:r w:rsidRPr="0061109F">
              <w:rPr>
                <w:rFonts w:ascii="Calibri" w:hAnsi="Calibri" w:cs="Calibri"/>
                <w:sz w:val="20"/>
                <w:szCs w:val="20"/>
              </w:rPr>
              <w:fldChar w:fldCharType="separate"/>
            </w:r>
            <w:r w:rsidRPr="0061109F">
              <w:rPr>
                <w:rFonts w:ascii="Calibri" w:hAnsi="Calibri" w:cs="Calibri"/>
                <w:noProof/>
                <w:sz w:val="20"/>
                <w:szCs w:val="20"/>
                <w:vertAlign w:val="superscript"/>
              </w:rPr>
              <w:t>41,42</w:t>
            </w:r>
            <w:r w:rsidRPr="0061109F">
              <w:rPr>
                <w:rFonts w:ascii="Calibri" w:hAnsi="Calibri" w:cs="Calibri"/>
                <w:sz w:val="20"/>
                <w:szCs w:val="20"/>
              </w:rPr>
              <w:fldChar w:fldCharType="end"/>
            </w:r>
          </w:p>
        </w:tc>
        <w:tc>
          <w:tcPr>
            <w:tcW w:w="3543" w:type="dxa"/>
            <w:vAlign w:val="center"/>
          </w:tcPr>
          <w:p w14:paraId="4DE8292D" w14:textId="77777777" w:rsidR="000B086A" w:rsidRPr="0061109F" w:rsidRDefault="000B086A" w:rsidP="000B086A">
            <w:pPr>
              <w:spacing w:line="480" w:lineRule="auto"/>
              <w:rPr>
                <w:rFonts w:ascii="Calibri" w:hAnsi="Calibri" w:cs="Calibri"/>
                <w:sz w:val="20"/>
                <w:szCs w:val="20"/>
              </w:rPr>
            </w:pPr>
            <w:r w:rsidRPr="0061109F">
              <w:rPr>
                <w:rFonts w:ascii="Calibri" w:hAnsi="Calibri" w:cs="Calibri"/>
                <w:sz w:val="20"/>
                <w:szCs w:val="20"/>
              </w:rPr>
              <w:t>250</w:t>
            </w:r>
          </w:p>
        </w:tc>
        <w:tc>
          <w:tcPr>
            <w:tcW w:w="3390" w:type="dxa"/>
            <w:vAlign w:val="center"/>
          </w:tcPr>
          <w:p w14:paraId="5E806FB3" w14:textId="77777777" w:rsidR="000B086A" w:rsidRPr="0061109F" w:rsidRDefault="000B086A" w:rsidP="000B086A">
            <w:pPr>
              <w:spacing w:line="480" w:lineRule="auto"/>
              <w:rPr>
                <w:rFonts w:ascii="Calibri" w:hAnsi="Calibri" w:cs="Calibri"/>
                <w:sz w:val="20"/>
                <w:szCs w:val="20"/>
              </w:rPr>
            </w:pPr>
            <w:r w:rsidRPr="0061109F">
              <w:rPr>
                <w:rFonts w:ascii="Calibri" w:hAnsi="Calibri" w:cs="Calibri"/>
                <w:sz w:val="20"/>
                <w:szCs w:val="20"/>
              </w:rPr>
              <w:t>E10, E11</w:t>
            </w:r>
          </w:p>
        </w:tc>
      </w:tr>
      <w:tr w:rsidR="0061109F" w:rsidRPr="0061109F" w14:paraId="171FF674" w14:textId="77777777" w:rsidTr="000B086A">
        <w:tc>
          <w:tcPr>
            <w:tcW w:w="2689" w:type="dxa"/>
            <w:vAlign w:val="center"/>
          </w:tcPr>
          <w:p w14:paraId="3270D33E" w14:textId="77777777" w:rsidR="000B086A" w:rsidRPr="0061109F" w:rsidRDefault="000B086A" w:rsidP="000B086A">
            <w:pPr>
              <w:spacing w:line="480" w:lineRule="auto"/>
              <w:rPr>
                <w:rFonts w:ascii="Calibri" w:hAnsi="Calibri" w:cs="Calibri"/>
                <w:sz w:val="20"/>
                <w:szCs w:val="20"/>
              </w:rPr>
            </w:pPr>
            <w:r w:rsidRPr="0061109F">
              <w:rPr>
                <w:rFonts w:ascii="Calibri" w:hAnsi="Calibri" w:cs="Calibri"/>
                <w:sz w:val="20"/>
                <w:szCs w:val="20"/>
              </w:rPr>
              <w:t>Chronic Obstructive Pulmonary Disease</w:t>
            </w:r>
            <w:r w:rsidRPr="0061109F">
              <w:rPr>
                <w:rFonts w:ascii="Calibri" w:hAnsi="Calibri" w:cs="Calibri"/>
                <w:sz w:val="20"/>
                <w:szCs w:val="20"/>
              </w:rPr>
              <w:fldChar w:fldCharType="begin" w:fldLock="1"/>
            </w:r>
            <w:r w:rsidRPr="0061109F">
              <w:rPr>
                <w:rFonts w:ascii="Calibri" w:hAnsi="Calibri" w:cs="Calibri"/>
                <w:sz w:val="20"/>
                <w:szCs w:val="20"/>
              </w:rPr>
              <w:instrText>ADDIN CSL_CITATION {"citationItems":[{"id":"ITEM-1","itemData":{"DOI":"10.1177/1403494812463172","ISSN":"16511905","abstract":"Aims: The Swedish National Inpatient Registry is an important source of data for numerous epidemiological studies, amongst them studies on chronic obstructive pulmonary disease (COPD). General validation studies indicate that in general 85–95% of diagnoses reported are correct, but this is not true for all groups of diseases, why specific validation studies are of great importance. Methods: Charts from 374 individuals discharged with a COPD diagnosis between 2000–07 from two central hospitals and two university hospitals in the county of Skåne were validated against the original medical files. Criteria for the degree of certainty of the COPD diagnosis were predefined and the association between predictors of diagnostic probability and the level of certainty was assessed using an ordinal logistic regression model. Results: According to the Global Initiative for Chronic Obstructive Lung Disease criteria, 21.7% of the diagnosis were classified as proven COPD, 35.5% were classified as probable, another 34.0% as possible COPD, 2.1% were classified as having an uncertain diagnosis, and 7.0% as an unlikely COPD diagnosis. Age category (adjusted ORs: 60–79 years, 2.6, 95% CI 1.2–5.4; ≥80 years, 1.6, 95% CI 0.7–3.3) and discharge from a non-surgical department (adjusted OR: 1.7, 95% CI 1.1–2.8) were significantly associated with higher level of diagnostic certainty. Conclusions: A COPD diagnoses from the Swedish Inpatient Registry is of acceptable validity for epidemiological research. The degree of certainty of the diagnosis varies but less than 10% were considered as misclassified or having an uncertain COPD diagnosis. © 2012, the Nordic Societies of Public Health. All rights reserved.","author":[{"dropping-particle":"","family":"Inghammar","given":"Malin","non-dropping-particle":"","parse-names":false,"suffix":""},{"dropping-particle":"","family":"Engström","given":"Gunnar","non-dropping-particle":"","parse-names":false,"suffix":""},{"dropping-particle":"","family":"Löfdahl","given":"Claes Göran","non-dropping-particle":"","parse-names":false,"suffix":""},{"dropping-particle":"","family":"Egesten","given":"Arne","non-dropping-particle":"","parse-names":false,"suffix":""}],"container-title":"Scandinavian Journal of Public Health","id":"ITEM-1","issue":"8","issued":{"date-parts":[["2012"]]},"page":"773-776","publisher":"Scand J Public Health","title":"Validation of a COPD diagnosis from the Swedish Inpatient Registry","type":"article-journal","volume":"40"},"uris":["http://www.mendeley.com/documents/?uuid=e678db07-dbd2-376c-bd0a-0ea8c86ca2d3"]}],"mendeley":{"formattedCitation":"&lt;sup&gt;43&lt;/sup&gt;","plainTextFormattedCitation":"43","previouslyFormattedCitation":"&lt;sup&gt;43&lt;/sup&gt;"},"properties":{"noteIndex":0},"schema":"https://github.com/citation-style-language/schema/raw/master/csl-citation.json"}</w:instrText>
            </w:r>
            <w:r w:rsidRPr="0061109F">
              <w:rPr>
                <w:rFonts w:ascii="Calibri" w:hAnsi="Calibri" w:cs="Calibri"/>
                <w:sz w:val="20"/>
                <w:szCs w:val="20"/>
              </w:rPr>
              <w:fldChar w:fldCharType="separate"/>
            </w:r>
            <w:r w:rsidRPr="0061109F">
              <w:rPr>
                <w:rFonts w:ascii="Calibri" w:hAnsi="Calibri" w:cs="Calibri"/>
                <w:noProof/>
                <w:sz w:val="20"/>
                <w:szCs w:val="20"/>
                <w:vertAlign w:val="superscript"/>
              </w:rPr>
              <w:t>43</w:t>
            </w:r>
            <w:r w:rsidRPr="0061109F">
              <w:rPr>
                <w:rFonts w:ascii="Calibri" w:hAnsi="Calibri" w:cs="Calibri"/>
                <w:sz w:val="20"/>
                <w:szCs w:val="20"/>
              </w:rPr>
              <w:fldChar w:fldCharType="end"/>
            </w:r>
          </w:p>
        </w:tc>
        <w:tc>
          <w:tcPr>
            <w:tcW w:w="3543" w:type="dxa"/>
            <w:vAlign w:val="center"/>
          </w:tcPr>
          <w:p w14:paraId="2D64C90B" w14:textId="77777777" w:rsidR="000B086A" w:rsidRPr="0061109F" w:rsidRDefault="000B086A" w:rsidP="000B086A">
            <w:pPr>
              <w:spacing w:line="480" w:lineRule="auto"/>
              <w:rPr>
                <w:rFonts w:ascii="Calibri" w:hAnsi="Calibri" w:cs="Calibri"/>
                <w:sz w:val="20"/>
                <w:szCs w:val="20"/>
              </w:rPr>
            </w:pPr>
            <w:r w:rsidRPr="0061109F">
              <w:rPr>
                <w:rFonts w:ascii="Calibri" w:hAnsi="Calibri" w:cs="Calibri"/>
                <w:sz w:val="20"/>
                <w:szCs w:val="20"/>
              </w:rPr>
              <w:t>491-492, 496</w:t>
            </w:r>
          </w:p>
        </w:tc>
        <w:tc>
          <w:tcPr>
            <w:tcW w:w="3390" w:type="dxa"/>
            <w:vAlign w:val="center"/>
          </w:tcPr>
          <w:p w14:paraId="0E8172DB" w14:textId="77777777" w:rsidR="000B086A" w:rsidRPr="0061109F" w:rsidRDefault="000B086A" w:rsidP="000B086A">
            <w:pPr>
              <w:spacing w:line="480" w:lineRule="auto"/>
              <w:rPr>
                <w:rFonts w:ascii="Calibri" w:hAnsi="Calibri" w:cs="Calibri"/>
                <w:sz w:val="20"/>
                <w:szCs w:val="20"/>
              </w:rPr>
            </w:pPr>
            <w:r w:rsidRPr="0061109F">
              <w:rPr>
                <w:rFonts w:ascii="Calibri" w:hAnsi="Calibri" w:cs="Calibri"/>
                <w:sz w:val="20"/>
                <w:szCs w:val="20"/>
              </w:rPr>
              <w:t>J41–J44</w:t>
            </w:r>
          </w:p>
        </w:tc>
      </w:tr>
    </w:tbl>
    <w:p w14:paraId="403E9123" w14:textId="77777777" w:rsidR="000B086A" w:rsidRPr="0061109F" w:rsidRDefault="000B086A" w:rsidP="000B086A">
      <w:pPr>
        <w:spacing w:line="480" w:lineRule="auto"/>
        <w:rPr>
          <w:rFonts w:ascii="Calibri" w:hAnsi="Calibri" w:cs="Calibri"/>
          <w:sz w:val="22"/>
          <w:szCs w:val="22"/>
        </w:rPr>
      </w:pPr>
      <w:r w:rsidRPr="0061109F">
        <w:rPr>
          <w:rFonts w:ascii="Calibri" w:hAnsi="Calibri" w:cs="Calibri"/>
          <w:sz w:val="22"/>
          <w:szCs w:val="22"/>
        </w:rPr>
        <w:br w:type="page"/>
      </w:r>
    </w:p>
    <w:p w14:paraId="3B52D31E" w14:textId="5CD7B17C" w:rsidR="000B086A" w:rsidRPr="0061109F" w:rsidRDefault="00832826" w:rsidP="000B086A">
      <w:pPr>
        <w:pStyle w:val="Heading4"/>
        <w:spacing w:line="480" w:lineRule="auto"/>
        <w:rPr>
          <w:b/>
          <w:i w:val="0"/>
          <w:color w:val="auto"/>
          <w:sz w:val="22"/>
          <w:szCs w:val="22"/>
        </w:rPr>
      </w:pPr>
      <w:r w:rsidRPr="0061109F">
        <w:rPr>
          <w:b/>
          <w:i w:val="0"/>
          <w:color w:val="auto"/>
          <w:sz w:val="22"/>
          <w:szCs w:val="22"/>
        </w:rPr>
        <w:lastRenderedPageBreak/>
        <w:t xml:space="preserve">Supplementary </w:t>
      </w:r>
      <w:r w:rsidR="000B086A" w:rsidRPr="0061109F">
        <w:rPr>
          <w:b/>
          <w:i w:val="0"/>
          <w:color w:val="auto"/>
          <w:sz w:val="22"/>
          <w:szCs w:val="22"/>
        </w:rPr>
        <w:t xml:space="preserve">Table 2: </w:t>
      </w:r>
      <w:r w:rsidR="000B086A" w:rsidRPr="0061109F">
        <w:rPr>
          <w:i w:val="0"/>
          <w:color w:val="auto"/>
          <w:sz w:val="22"/>
          <w:szCs w:val="22"/>
        </w:rPr>
        <w:t>Classification of causes of death according to the WHO international classification of diseases (ICD) version 8, 9 and 10 utilised in Sweden</w:t>
      </w:r>
      <w:r w:rsidR="000B086A" w:rsidRPr="0061109F">
        <w:rPr>
          <w:i w:val="0"/>
          <w:color w:val="auto"/>
          <w:sz w:val="22"/>
          <w:szCs w:val="22"/>
        </w:rPr>
        <w:fldChar w:fldCharType="begin" w:fldLock="1"/>
      </w:r>
      <w:r w:rsidR="009A1CF2">
        <w:rPr>
          <w:i w:val="0"/>
          <w:color w:val="auto"/>
          <w:sz w:val="22"/>
          <w:szCs w:val="22"/>
        </w:rPr>
        <w:instrText>ADDIN CSL_CITATION {"citationItems":[{"id":"ITEM-1","itemData":{"DOI":"10.1007/s10654-017-0316-1","ISSN":"15737284","PMID":"28983736","abstract":"Sweden has a long tradition of recording cause of death data. The Swedish cause of death register is a high quality virtually complete register of all deaths in Sweden since 1952. Although originally created for official statistics, it is a highly important data source for medical research since it can be linked to many other national registers, which contain data on social and health factors in the Swedish population. For the appropriate use of this register, it is fundamental to understand its origins and composition. In this paper we describe the origins and composition of the Swedish cause of death register, set out the key strengths and weaknesses of the register, and present the main causes of death across age groups and over time in Sweden. This paper provides a guide and reference to individuals and organisations interested in data from the Swedish cause of death register.","author":[{"dropping-particle":"","family":"Brooke","given":"Hannah Louise","non-dropping-particle":"","parse-names":false,"suffix":""},{"dropping-particle":"","family":"Talbäck","given":"Mats","non-dropping-particle":"","parse-names":false,"suffix":""},{"dropping-particle":"","family":"Hörnblad","given":"Jesper","non-dropping-particle":"","parse-names":false,"suffix":""},{"dropping-particle":"","family":"Johansson","given":"Lars Age","non-dropping-particle":"","parse-names":false,"suffix":""},{"dropping-particle":"","family":"Ludvigsson","given":"Jonas Filip","non-dropping-particle":"","parse-names":false,"suffix":""},{"dropping-particle":"","family":"Druid","given":"Henrik","non-dropping-particle":"","parse-names":false,"suffix":""},{"dropping-particle":"","family":"Feychting","given":"Maria","non-dropping-particle":"","parse-names":false,"suffix":""},{"dropping-particle":"","family":"Ljung","given":"Rickard","non-dropping-particle":"","parse-names":false,"suffix":""}],"container-title":"European Journal of Epidemiology","id":"ITEM-1","issue":"9","issued":{"date-parts":[["2017","9","5"]]},"page":"765-773","title":"The Swedish cause of death register","type":"article-journal","volume":"32"},"uris":["http://www.mendeley.com/documents/?uuid=177ad53f-7842-4c43-9c1a-78acf7b08ab8"]}],"mendeley":{"formattedCitation":"&lt;sup&gt;40&lt;/sup&gt;","plainTextFormattedCitation":"40","previouslyFormattedCitation":"&lt;sup&gt;40&lt;/sup&gt;"},"properties":{"noteIndex":0},"schema":"https://github.com/citation-style-language/schema/raw/master/csl-citation.json"}</w:instrText>
      </w:r>
      <w:r w:rsidR="000B086A" w:rsidRPr="0061109F">
        <w:rPr>
          <w:i w:val="0"/>
          <w:color w:val="auto"/>
          <w:sz w:val="22"/>
          <w:szCs w:val="22"/>
        </w:rPr>
        <w:fldChar w:fldCharType="separate"/>
      </w:r>
      <w:r w:rsidR="000B086A" w:rsidRPr="0061109F">
        <w:rPr>
          <w:i w:val="0"/>
          <w:noProof/>
          <w:color w:val="auto"/>
          <w:sz w:val="22"/>
          <w:szCs w:val="22"/>
          <w:vertAlign w:val="superscript"/>
        </w:rPr>
        <w:t>40</w:t>
      </w:r>
      <w:r w:rsidR="000B086A" w:rsidRPr="0061109F">
        <w:rPr>
          <w:i w:val="0"/>
          <w:color w:val="auto"/>
          <w:sz w:val="22"/>
          <w:szCs w:val="22"/>
        </w:rPr>
        <w:fldChar w:fldCharType="end"/>
      </w:r>
    </w:p>
    <w:tbl>
      <w:tblPr>
        <w:tblStyle w:val="TableGrid"/>
        <w:tblW w:w="5000" w:type="pct"/>
        <w:tblLook w:val="04A0" w:firstRow="1" w:lastRow="0" w:firstColumn="1" w:lastColumn="0" w:noHBand="0" w:noVBand="1"/>
      </w:tblPr>
      <w:tblGrid>
        <w:gridCol w:w="1839"/>
        <w:gridCol w:w="4252"/>
        <w:gridCol w:w="3259"/>
      </w:tblGrid>
      <w:tr w:rsidR="0061109F" w:rsidRPr="0061109F" w14:paraId="54E1BF28" w14:textId="77777777" w:rsidTr="000B086A">
        <w:tc>
          <w:tcPr>
            <w:tcW w:w="983" w:type="pct"/>
          </w:tcPr>
          <w:p w14:paraId="7379F2D9" w14:textId="77777777" w:rsidR="000B086A" w:rsidRPr="0061109F" w:rsidRDefault="000B086A" w:rsidP="000B086A">
            <w:pPr>
              <w:spacing w:line="480" w:lineRule="auto"/>
              <w:rPr>
                <w:rFonts w:ascii="Calibri" w:hAnsi="Calibri" w:cs="Calibri"/>
                <w:b/>
                <w:sz w:val="20"/>
                <w:szCs w:val="20"/>
              </w:rPr>
            </w:pPr>
            <w:r w:rsidRPr="0061109F">
              <w:rPr>
                <w:rFonts w:ascii="Calibri" w:hAnsi="Calibri" w:cs="Calibri"/>
                <w:b/>
                <w:sz w:val="20"/>
                <w:szCs w:val="20"/>
              </w:rPr>
              <w:t>Category</w:t>
            </w:r>
          </w:p>
        </w:tc>
        <w:tc>
          <w:tcPr>
            <w:tcW w:w="2274" w:type="pct"/>
          </w:tcPr>
          <w:p w14:paraId="28665D94" w14:textId="77777777" w:rsidR="000B086A" w:rsidRPr="0061109F" w:rsidRDefault="000B086A" w:rsidP="000B086A">
            <w:pPr>
              <w:spacing w:line="480" w:lineRule="auto"/>
              <w:rPr>
                <w:rFonts w:ascii="Calibri" w:hAnsi="Calibri" w:cs="Calibri"/>
                <w:b/>
                <w:sz w:val="20"/>
                <w:szCs w:val="20"/>
              </w:rPr>
            </w:pPr>
            <w:r w:rsidRPr="0061109F">
              <w:rPr>
                <w:rFonts w:ascii="Calibri" w:hAnsi="Calibri" w:cs="Calibri"/>
                <w:b/>
                <w:sz w:val="20"/>
                <w:szCs w:val="20"/>
              </w:rPr>
              <w:t>ICD-8 and ICD-9</w:t>
            </w:r>
          </w:p>
        </w:tc>
        <w:tc>
          <w:tcPr>
            <w:tcW w:w="1743" w:type="pct"/>
          </w:tcPr>
          <w:p w14:paraId="7A20BC39" w14:textId="77777777" w:rsidR="000B086A" w:rsidRPr="0061109F" w:rsidRDefault="000B086A" w:rsidP="000B086A">
            <w:pPr>
              <w:spacing w:line="480" w:lineRule="auto"/>
              <w:rPr>
                <w:rFonts w:ascii="Calibri" w:hAnsi="Calibri" w:cs="Calibri"/>
                <w:b/>
                <w:sz w:val="20"/>
                <w:szCs w:val="20"/>
              </w:rPr>
            </w:pPr>
            <w:r w:rsidRPr="0061109F">
              <w:rPr>
                <w:rFonts w:ascii="Calibri" w:hAnsi="Calibri" w:cs="Calibri"/>
                <w:b/>
                <w:sz w:val="20"/>
                <w:szCs w:val="20"/>
              </w:rPr>
              <w:t>ICD-10</w:t>
            </w:r>
          </w:p>
        </w:tc>
      </w:tr>
      <w:tr w:rsidR="0061109F" w:rsidRPr="0061109F" w14:paraId="45403219" w14:textId="77777777" w:rsidTr="000B086A">
        <w:tc>
          <w:tcPr>
            <w:tcW w:w="983" w:type="pct"/>
          </w:tcPr>
          <w:p w14:paraId="736F4376" w14:textId="77777777" w:rsidR="000B086A" w:rsidRPr="0061109F" w:rsidRDefault="000B086A" w:rsidP="000B086A">
            <w:pPr>
              <w:spacing w:line="480" w:lineRule="auto"/>
              <w:rPr>
                <w:rFonts w:ascii="Calibri" w:hAnsi="Calibri" w:cs="Calibri"/>
                <w:sz w:val="20"/>
                <w:szCs w:val="20"/>
              </w:rPr>
            </w:pPr>
            <w:r w:rsidRPr="0061109F">
              <w:rPr>
                <w:rFonts w:ascii="Calibri" w:hAnsi="Calibri" w:cs="Calibri"/>
                <w:sz w:val="20"/>
                <w:szCs w:val="20"/>
              </w:rPr>
              <w:t>Alcohol</w:t>
            </w:r>
          </w:p>
        </w:tc>
        <w:tc>
          <w:tcPr>
            <w:tcW w:w="2274" w:type="pct"/>
          </w:tcPr>
          <w:p w14:paraId="0E7BEF38" w14:textId="77777777" w:rsidR="000B086A" w:rsidRPr="0061109F" w:rsidRDefault="000B086A" w:rsidP="000B086A">
            <w:pPr>
              <w:pStyle w:val="NormalWeb"/>
              <w:spacing w:line="480" w:lineRule="auto"/>
              <w:rPr>
                <w:rFonts w:ascii="Calibri" w:hAnsi="Calibri" w:cs="Calibri"/>
                <w:sz w:val="20"/>
                <w:szCs w:val="20"/>
              </w:rPr>
            </w:pPr>
            <w:r w:rsidRPr="0061109F">
              <w:rPr>
                <w:rFonts w:ascii="Calibri" w:hAnsi="Calibri" w:cs="Calibri"/>
                <w:sz w:val="20"/>
                <w:szCs w:val="20"/>
              </w:rPr>
              <w:t>305, 291, 303</w:t>
            </w:r>
          </w:p>
        </w:tc>
        <w:tc>
          <w:tcPr>
            <w:tcW w:w="1743" w:type="pct"/>
          </w:tcPr>
          <w:p w14:paraId="4394F9CE" w14:textId="77777777" w:rsidR="000B086A" w:rsidRPr="0061109F" w:rsidRDefault="000B086A" w:rsidP="000B086A">
            <w:pPr>
              <w:spacing w:line="480" w:lineRule="auto"/>
              <w:rPr>
                <w:rFonts w:ascii="Calibri" w:hAnsi="Calibri" w:cs="Calibri"/>
                <w:sz w:val="20"/>
                <w:szCs w:val="20"/>
              </w:rPr>
            </w:pPr>
            <w:r w:rsidRPr="0061109F">
              <w:rPr>
                <w:rFonts w:ascii="Calibri" w:hAnsi="Calibri" w:cs="Calibri"/>
                <w:sz w:val="20"/>
                <w:szCs w:val="20"/>
              </w:rPr>
              <w:t>F10</w:t>
            </w:r>
          </w:p>
        </w:tc>
      </w:tr>
      <w:tr w:rsidR="0061109F" w:rsidRPr="0061109F" w14:paraId="474BD6C8" w14:textId="77777777" w:rsidTr="000B086A">
        <w:tc>
          <w:tcPr>
            <w:tcW w:w="983" w:type="pct"/>
          </w:tcPr>
          <w:p w14:paraId="4ACEAFE4" w14:textId="77777777" w:rsidR="000B086A" w:rsidRPr="0061109F" w:rsidRDefault="000B086A" w:rsidP="000B086A">
            <w:pPr>
              <w:spacing w:line="480" w:lineRule="auto"/>
              <w:rPr>
                <w:rFonts w:ascii="Calibri" w:hAnsi="Calibri" w:cs="Calibri"/>
                <w:sz w:val="20"/>
                <w:szCs w:val="20"/>
              </w:rPr>
            </w:pPr>
            <w:r w:rsidRPr="0061109F">
              <w:rPr>
                <w:rFonts w:ascii="Calibri" w:hAnsi="Calibri" w:cs="Calibri"/>
                <w:sz w:val="20"/>
                <w:szCs w:val="20"/>
              </w:rPr>
              <w:t>Suicide</w:t>
            </w:r>
          </w:p>
        </w:tc>
        <w:tc>
          <w:tcPr>
            <w:tcW w:w="2274" w:type="pct"/>
          </w:tcPr>
          <w:p w14:paraId="763E8A41" w14:textId="77777777" w:rsidR="000B086A" w:rsidRPr="0061109F" w:rsidRDefault="000B086A" w:rsidP="000B086A">
            <w:pPr>
              <w:pStyle w:val="NormalWeb"/>
              <w:spacing w:line="480" w:lineRule="auto"/>
              <w:rPr>
                <w:rFonts w:ascii="Calibri" w:hAnsi="Calibri" w:cs="Calibri"/>
                <w:sz w:val="20"/>
                <w:szCs w:val="20"/>
              </w:rPr>
            </w:pPr>
            <w:r w:rsidRPr="0061109F">
              <w:rPr>
                <w:rFonts w:ascii="Calibri" w:hAnsi="Calibri" w:cs="Calibri"/>
                <w:sz w:val="20"/>
                <w:szCs w:val="20"/>
              </w:rPr>
              <w:t>E950-E959</w:t>
            </w:r>
          </w:p>
        </w:tc>
        <w:tc>
          <w:tcPr>
            <w:tcW w:w="1743" w:type="pct"/>
          </w:tcPr>
          <w:p w14:paraId="584AC3F1" w14:textId="77777777" w:rsidR="000B086A" w:rsidRPr="0061109F" w:rsidRDefault="000B086A" w:rsidP="000B086A">
            <w:pPr>
              <w:pStyle w:val="NormalWeb"/>
              <w:spacing w:line="480" w:lineRule="auto"/>
              <w:rPr>
                <w:rFonts w:ascii="Calibri" w:hAnsi="Calibri" w:cs="Calibri"/>
                <w:sz w:val="20"/>
                <w:szCs w:val="20"/>
              </w:rPr>
            </w:pPr>
            <w:r w:rsidRPr="0061109F">
              <w:rPr>
                <w:rFonts w:ascii="Calibri" w:hAnsi="Calibri" w:cs="Calibri"/>
                <w:sz w:val="20"/>
                <w:szCs w:val="20"/>
              </w:rPr>
              <w:t xml:space="preserve">X60-X84 </w:t>
            </w:r>
          </w:p>
        </w:tc>
      </w:tr>
      <w:tr w:rsidR="0061109F" w:rsidRPr="0061109F" w14:paraId="1A2043AB" w14:textId="77777777" w:rsidTr="000B086A">
        <w:tc>
          <w:tcPr>
            <w:tcW w:w="983" w:type="pct"/>
          </w:tcPr>
          <w:p w14:paraId="437B9584" w14:textId="77777777" w:rsidR="000B086A" w:rsidRPr="0061109F" w:rsidRDefault="000B086A" w:rsidP="000B086A">
            <w:pPr>
              <w:spacing w:line="480" w:lineRule="auto"/>
              <w:rPr>
                <w:rFonts w:ascii="Calibri" w:hAnsi="Calibri" w:cs="Calibri"/>
                <w:sz w:val="20"/>
                <w:szCs w:val="20"/>
              </w:rPr>
            </w:pPr>
            <w:r w:rsidRPr="0061109F">
              <w:rPr>
                <w:rFonts w:ascii="Calibri" w:hAnsi="Calibri" w:cs="Calibri"/>
                <w:sz w:val="20"/>
                <w:szCs w:val="20"/>
              </w:rPr>
              <w:t>Vehicle and other accidents</w:t>
            </w:r>
          </w:p>
        </w:tc>
        <w:tc>
          <w:tcPr>
            <w:tcW w:w="2274" w:type="pct"/>
          </w:tcPr>
          <w:p w14:paraId="7723C124" w14:textId="77777777" w:rsidR="000B086A" w:rsidRPr="0061109F" w:rsidRDefault="000B086A" w:rsidP="000B086A">
            <w:pPr>
              <w:pStyle w:val="NormalWeb"/>
              <w:spacing w:line="480" w:lineRule="auto"/>
              <w:rPr>
                <w:rFonts w:ascii="Calibri" w:hAnsi="Calibri" w:cs="Calibri"/>
                <w:sz w:val="20"/>
                <w:szCs w:val="20"/>
              </w:rPr>
            </w:pPr>
            <w:r w:rsidRPr="0061109F">
              <w:rPr>
                <w:rFonts w:ascii="Calibri" w:hAnsi="Calibri" w:cs="Calibri"/>
                <w:sz w:val="20"/>
                <w:szCs w:val="20"/>
              </w:rPr>
              <w:t>E800-E849</w:t>
            </w:r>
            <w:r w:rsidRPr="0061109F">
              <w:rPr>
                <w:rFonts w:ascii="Calibri" w:hAnsi="Calibri" w:cs="Calibri"/>
                <w:sz w:val="20"/>
                <w:szCs w:val="20"/>
              </w:rPr>
              <w:br/>
              <w:t>E850-E869, E880-E929</w:t>
            </w:r>
          </w:p>
        </w:tc>
        <w:tc>
          <w:tcPr>
            <w:tcW w:w="1743" w:type="pct"/>
          </w:tcPr>
          <w:p w14:paraId="31B57A44" w14:textId="77777777" w:rsidR="000B086A" w:rsidRPr="0061109F" w:rsidRDefault="000B086A" w:rsidP="000B086A">
            <w:pPr>
              <w:pStyle w:val="NormalWeb"/>
              <w:spacing w:line="480" w:lineRule="auto"/>
              <w:rPr>
                <w:rFonts w:ascii="Calibri" w:hAnsi="Calibri" w:cs="Calibri"/>
                <w:sz w:val="20"/>
                <w:szCs w:val="20"/>
              </w:rPr>
            </w:pPr>
            <w:r w:rsidRPr="0061109F">
              <w:rPr>
                <w:rFonts w:ascii="Calibri" w:hAnsi="Calibri" w:cs="Calibri"/>
                <w:sz w:val="20"/>
                <w:szCs w:val="20"/>
              </w:rPr>
              <w:t>V01-V99 W00-X59</w:t>
            </w:r>
          </w:p>
        </w:tc>
      </w:tr>
      <w:tr w:rsidR="0061109F" w:rsidRPr="0061109F" w14:paraId="40447AAC" w14:textId="77777777" w:rsidTr="000B086A">
        <w:tc>
          <w:tcPr>
            <w:tcW w:w="983" w:type="pct"/>
          </w:tcPr>
          <w:p w14:paraId="62D0BD1A" w14:textId="77777777" w:rsidR="000B086A" w:rsidRPr="0061109F" w:rsidRDefault="000B086A" w:rsidP="000B086A">
            <w:pPr>
              <w:spacing w:line="480" w:lineRule="auto"/>
              <w:rPr>
                <w:rFonts w:ascii="Calibri" w:hAnsi="Calibri" w:cs="Calibri"/>
                <w:sz w:val="20"/>
                <w:szCs w:val="20"/>
              </w:rPr>
            </w:pPr>
            <w:r w:rsidRPr="0061109F">
              <w:rPr>
                <w:rFonts w:ascii="Calibri" w:hAnsi="Calibri" w:cs="Calibri"/>
                <w:sz w:val="20"/>
                <w:szCs w:val="20"/>
              </w:rPr>
              <w:t>Cardiovascular disease</w:t>
            </w:r>
          </w:p>
        </w:tc>
        <w:tc>
          <w:tcPr>
            <w:tcW w:w="2274" w:type="pct"/>
          </w:tcPr>
          <w:p w14:paraId="7CF3814F" w14:textId="77777777" w:rsidR="000B086A" w:rsidRPr="0061109F" w:rsidRDefault="000B086A" w:rsidP="000B086A">
            <w:pPr>
              <w:pStyle w:val="NormalWeb"/>
              <w:spacing w:line="480" w:lineRule="auto"/>
              <w:rPr>
                <w:rFonts w:ascii="Calibri" w:hAnsi="Calibri" w:cs="Calibri"/>
                <w:sz w:val="20"/>
                <w:szCs w:val="20"/>
              </w:rPr>
            </w:pPr>
            <w:r w:rsidRPr="0061109F">
              <w:rPr>
                <w:rFonts w:ascii="Calibri" w:hAnsi="Calibri" w:cs="Calibri"/>
                <w:sz w:val="20"/>
                <w:szCs w:val="20"/>
              </w:rPr>
              <w:t>390-429, 440-459</w:t>
            </w:r>
          </w:p>
        </w:tc>
        <w:tc>
          <w:tcPr>
            <w:tcW w:w="1743" w:type="pct"/>
          </w:tcPr>
          <w:p w14:paraId="24B49F00" w14:textId="77777777" w:rsidR="000B086A" w:rsidRPr="0061109F" w:rsidRDefault="000B086A" w:rsidP="000B086A">
            <w:pPr>
              <w:pStyle w:val="NormalWeb"/>
              <w:spacing w:line="480" w:lineRule="auto"/>
              <w:rPr>
                <w:rFonts w:ascii="Calibri" w:hAnsi="Calibri" w:cs="Calibri"/>
                <w:sz w:val="20"/>
                <w:szCs w:val="20"/>
              </w:rPr>
            </w:pPr>
            <w:r w:rsidRPr="0061109F">
              <w:rPr>
                <w:rFonts w:ascii="Calibri" w:hAnsi="Calibri" w:cs="Calibri"/>
                <w:sz w:val="20"/>
                <w:szCs w:val="20"/>
              </w:rPr>
              <w:t xml:space="preserve">I00-I59, I70-I99 </w:t>
            </w:r>
          </w:p>
        </w:tc>
      </w:tr>
      <w:tr w:rsidR="0061109F" w:rsidRPr="0061109F" w14:paraId="13533AF7" w14:textId="77777777" w:rsidTr="000B086A">
        <w:tc>
          <w:tcPr>
            <w:tcW w:w="983" w:type="pct"/>
          </w:tcPr>
          <w:p w14:paraId="1E22F0C1" w14:textId="77777777" w:rsidR="000B086A" w:rsidRPr="0061109F" w:rsidRDefault="000B086A" w:rsidP="000B086A">
            <w:pPr>
              <w:spacing w:line="480" w:lineRule="auto"/>
              <w:rPr>
                <w:rFonts w:ascii="Calibri" w:hAnsi="Calibri" w:cs="Calibri"/>
                <w:sz w:val="20"/>
                <w:szCs w:val="20"/>
              </w:rPr>
            </w:pPr>
            <w:r w:rsidRPr="0061109F">
              <w:rPr>
                <w:rFonts w:ascii="Calibri" w:hAnsi="Calibri" w:cs="Calibri"/>
                <w:sz w:val="20"/>
                <w:szCs w:val="20"/>
              </w:rPr>
              <w:t>Stroke</w:t>
            </w:r>
          </w:p>
        </w:tc>
        <w:tc>
          <w:tcPr>
            <w:tcW w:w="2274" w:type="pct"/>
          </w:tcPr>
          <w:p w14:paraId="3D7ACE8A" w14:textId="77777777" w:rsidR="000B086A" w:rsidRPr="0061109F" w:rsidRDefault="000B086A" w:rsidP="000B086A">
            <w:pPr>
              <w:pStyle w:val="NormalWeb"/>
              <w:spacing w:line="480" w:lineRule="auto"/>
              <w:rPr>
                <w:rFonts w:ascii="Calibri" w:hAnsi="Calibri" w:cs="Calibri"/>
                <w:sz w:val="20"/>
                <w:szCs w:val="20"/>
              </w:rPr>
            </w:pPr>
            <w:r w:rsidRPr="0061109F">
              <w:rPr>
                <w:rFonts w:ascii="Calibri" w:hAnsi="Calibri" w:cs="Calibri"/>
                <w:sz w:val="20"/>
                <w:szCs w:val="20"/>
              </w:rPr>
              <w:t>430-438</w:t>
            </w:r>
          </w:p>
        </w:tc>
        <w:tc>
          <w:tcPr>
            <w:tcW w:w="1743" w:type="pct"/>
          </w:tcPr>
          <w:p w14:paraId="2B526757" w14:textId="77777777" w:rsidR="000B086A" w:rsidRPr="0061109F" w:rsidRDefault="000B086A" w:rsidP="000B086A">
            <w:pPr>
              <w:spacing w:line="480" w:lineRule="auto"/>
              <w:rPr>
                <w:rFonts w:ascii="Calibri" w:hAnsi="Calibri" w:cs="Calibri"/>
                <w:sz w:val="20"/>
                <w:szCs w:val="20"/>
              </w:rPr>
            </w:pPr>
            <w:r w:rsidRPr="0061109F">
              <w:rPr>
                <w:rFonts w:ascii="Calibri" w:hAnsi="Calibri" w:cs="Calibri"/>
                <w:sz w:val="20"/>
                <w:szCs w:val="20"/>
              </w:rPr>
              <w:t>I60-I69</w:t>
            </w:r>
          </w:p>
        </w:tc>
      </w:tr>
      <w:tr w:rsidR="0061109F" w:rsidRPr="0061109F" w14:paraId="5A25796C" w14:textId="77777777" w:rsidTr="000B086A">
        <w:trPr>
          <w:trHeight w:val="227"/>
        </w:trPr>
        <w:tc>
          <w:tcPr>
            <w:tcW w:w="983" w:type="pct"/>
          </w:tcPr>
          <w:p w14:paraId="7B09DEB5" w14:textId="77777777" w:rsidR="000B086A" w:rsidRPr="0061109F" w:rsidRDefault="000B086A" w:rsidP="000B086A">
            <w:pPr>
              <w:spacing w:line="480" w:lineRule="auto"/>
              <w:rPr>
                <w:rFonts w:ascii="Calibri" w:hAnsi="Calibri" w:cs="Calibri"/>
                <w:sz w:val="20"/>
                <w:szCs w:val="20"/>
              </w:rPr>
            </w:pPr>
            <w:r w:rsidRPr="0061109F">
              <w:rPr>
                <w:rFonts w:ascii="Calibri" w:hAnsi="Calibri" w:cs="Calibri"/>
                <w:sz w:val="20"/>
                <w:szCs w:val="20"/>
              </w:rPr>
              <w:t>Prostate/breast cancer</w:t>
            </w:r>
          </w:p>
        </w:tc>
        <w:tc>
          <w:tcPr>
            <w:tcW w:w="2274" w:type="pct"/>
          </w:tcPr>
          <w:p w14:paraId="44B1C2CF" w14:textId="77777777" w:rsidR="000B086A" w:rsidRPr="0061109F" w:rsidRDefault="000B086A" w:rsidP="000B086A">
            <w:pPr>
              <w:pStyle w:val="NormalWeb"/>
              <w:spacing w:before="0" w:beforeAutospacing="0" w:after="0" w:afterAutospacing="0" w:line="480" w:lineRule="auto"/>
              <w:rPr>
                <w:rFonts w:ascii="Calibri" w:hAnsi="Calibri" w:cs="Calibri"/>
                <w:sz w:val="20"/>
                <w:szCs w:val="20"/>
              </w:rPr>
            </w:pPr>
            <w:r w:rsidRPr="0061109F">
              <w:rPr>
                <w:rFonts w:ascii="Calibri" w:hAnsi="Calibri" w:cs="Calibri"/>
                <w:sz w:val="20"/>
                <w:szCs w:val="20"/>
              </w:rPr>
              <w:t>ICD-8: 185 (prostate), 174 (breast)</w:t>
            </w:r>
          </w:p>
          <w:p w14:paraId="728B5F2E" w14:textId="77777777" w:rsidR="000B086A" w:rsidRPr="0061109F" w:rsidRDefault="000B086A" w:rsidP="000B086A">
            <w:pPr>
              <w:pStyle w:val="NormalWeb"/>
              <w:spacing w:before="0" w:beforeAutospacing="0" w:after="0" w:afterAutospacing="0" w:line="480" w:lineRule="auto"/>
              <w:rPr>
                <w:rFonts w:ascii="Calibri" w:hAnsi="Calibri" w:cs="Calibri"/>
                <w:sz w:val="20"/>
                <w:szCs w:val="20"/>
              </w:rPr>
            </w:pPr>
            <w:r w:rsidRPr="0061109F">
              <w:rPr>
                <w:rFonts w:ascii="Calibri" w:hAnsi="Calibri" w:cs="Calibri"/>
                <w:sz w:val="20"/>
                <w:szCs w:val="20"/>
              </w:rPr>
              <w:t>ICD-9: 185 (prostate), 174-175 (breast)</w:t>
            </w:r>
          </w:p>
        </w:tc>
        <w:tc>
          <w:tcPr>
            <w:tcW w:w="1743" w:type="pct"/>
          </w:tcPr>
          <w:p w14:paraId="67CF5BB3" w14:textId="77777777" w:rsidR="000B086A" w:rsidRPr="0061109F" w:rsidRDefault="000B086A" w:rsidP="000B086A">
            <w:pPr>
              <w:pStyle w:val="NormalWeb"/>
              <w:spacing w:before="0" w:beforeAutospacing="0" w:after="0" w:afterAutospacing="0" w:line="480" w:lineRule="auto"/>
              <w:rPr>
                <w:rFonts w:ascii="Calibri" w:hAnsi="Calibri" w:cs="Calibri"/>
                <w:sz w:val="20"/>
                <w:szCs w:val="20"/>
              </w:rPr>
            </w:pPr>
            <w:r w:rsidRPr="0061109F">
              <w:rPr>
                <w:rFonts w:ascii="Calibri" w:hAnsi="Calibri" w:cs="Calibri"/>
                <w:sz w:val="20"/>
                <w:szCs w:val="20"/>
              </w:rPr>
              <w:t>Prostate: C61</w:t>
            </w:r>
          </w:p>
          <w:p w14:paraId="18FDC2C3" w14:textId="77777777" w:rsidR="000B086A" w:rsidRPr="0061109F" w:rsidRDefault="000B086A" w:rsidP="000B086A">
            <w:pPr>
              <w:pStyle w:val="NormalWeb"/>
              <w:spacing w:before="0" w:beforeAutospacing="0" w:after="0" w:afterAutospacing="0" w:line="480" w:lineRule="auto"/>
              <w:rPr>
                <w:rFonts w:ascii="Calibri" w:hAnsi="Calibri" w:cs="Calibri"/>
                <w:sz w:val="20"/>
                <w:szCs w:val="20"/>
              </w:rPr>
            </w:pPr>
            <w:r w:rsidRPr="0061109F">
              <w:rPr>
                <w:rFonts w:ascii="Calibri" w:hAnsi="Calibri" w:cs="Calibri"/>
                <w:sz w:val="20"/>
                <w:szCs w:val="20"/>
              </w:rPr>
              <w:t>Breast: C50</w:t>
            </w:r>
          </w:p>
        </w:tc>
      </w:tr>
      <w:tr w:rsidR="0061109F" w:rsidRPr="0061109F" w14:paraId="030CAF03" w14:textId="77777777" w:rsidTr="000B086A">
        <w:trPr>
          <w:trHeight w:val="427"/>
        </w:trPr>
        <w:tc>
          <w:tcPr>
            <w:tcW w:w="983" w:type="pct"/>
          </w:tcPr>
          <w:p w14:paraId="6AB0021E" w14:textId="77777777" w:rsidR="000B086A" w:rsidRPr="0061109F" w:rsidRDefault="000B086A" w:rsidP="000B086A">
            <w:pPr>
              <w:spacing w:line="480" w:lineRule="auto"/>
              <w:rPr>
                <w:rFonts w:ascii="Calibri" w:hAnsi="Calibri" w:cs="Calibri"/>
                <w:sz w:val="20"/>
                <w:szCs w:val="20"/>
              </w:rPr>
            </w:pPr>
            <w:r w:rsidRPr="0061109F">
              <w:rPr>
                <w:rFonts w:ascii="Calibri" w:hAnsi="Calibri" w:cs="Calibri"/>
                <w:sz w:val="20"/>
                <w:szCs w:val="20"/>
              </w:rPr>
              <w:t>Lung cancer</w:t>
            </w:r>
          </w:p>
        </w:tc>
        <w:tc>
          <w:tcPr>
            <w:tcW w:w="2274" w:type="pct"/>
          </w:tcPr>
          <w:p w14:paraId="7D4E2996" w14:textId="34B3C734" w:rsidR="000B086A" w:rsidRPr="0061109F" w:rsidRDefault="000B086A" w:rsidP="000B086A">
            <w:pPr>
              <w:pStyle w:val="NormalWeb"/>
              <w:spacing w:before="0" w:beforeAutospacing="0" w:after="0" w:afterAutospacing="0" w:line="480" w:lineRule="auto"/>
              <w:rPr>
                <w:rFonts w:ascii="Calibri" w:hAnsi="Calibri" w:cs="Calibri"/>
                <w:sz w:val="20"/>
                <w:szCs w:val="20"/>
              </w:rPr>
            </w:pPr>
            <w:r w:rsidRPr="0061109F">
              <w:rPr>
                <w:rFonts w:ascii="Calibri" w:hAnsi="Calibri" w:cs="Calibri"/>
                <w:sz w:val="20"/>
                <w:szCs w:val="20"/>
              </w:rPr>
              <w:t>ICD-8: 162.1</w:t>
            </w:r>
          </w:p>
          <w:p w14:paraId="3A9E66E3" w14:textId="5F6ED451" w:rsidR="000B086A" w:rsidRPr="0061109F" w:rsidRDefault="000B086A" w:rsidP="000B086A">
            <w:pPr>
              <w:pStyle w:val="NormalWeb"/>
              <w:spacing w:before="0" w:beforeAutospacing="0" w:after="0" w:afterAutospacing="0" w:line="480" w:lineRule="auto"/>
              <w:rPr>
                <w:rFonts w:ascii="Calibri" w:hAnsi="Calibri" w:cs="Calibri"/>
                <w:sz w:val="20"/>
                <w:szCs w:val="20"/>
              </w:rPr>
            </w:pPr>
            <w:r w:rsidRPr="0061109F">
              <w:rPr>
                <w:rFonts w:ascii="Calibri" w:hAnsi="Calibri" w:cs="Calibri"/>
                <w:sz w:val="20"/>
                <w:szCs w:val="20"/>
              </w:rPr>
              <w:t>ICD-9: 162.2-162.9</w:t>
            </w:r>
          </w:p>
        </w:tc>
        <w:tc>
          <w:tcPr>
            <w:tcW w:w="1743" w:type="pct"/>
          </w:tcPr>
          <w:p w14:paraId="69DDF4FE" w14:textId="77777777" w:rsidR="000B086A" w:rsidRPr="0061109F" w:rsidRDefault="000B086A" w:rsidP="000B086A">
            <w:pPr>
              <w:spacing w:line="480" w:lineRule="auto"/>
              <w:rPr>
                <w:rFonts w:ascii="Calibri" w:hAnsi="Calibri" w:cs="Calibri"/>
                <w:sz w:val="20"/>
                <w:szCs w:val="20"/>
              </w:rPr>
            </w:pPr>
            <w:r w:rsidRPr="0061109F">
              <w:rPr>
                <w:rFonts w:ascii="Calibri" w:hAnsi="Calibri" w:cs="Calibri"/>
                <w:sz w:val="20"/>
                <w:szCs w:val="20"/>
              </w:rPr>
              <w:t>C34</w:t>
            </w:r>
          </w:p>
        </w:tc>
      </w:tr>
      <w:tr w:rsidR="0061109F" w:rsidRPr="0061109F" w14:paraId="42DC8A37" w14:textId="77777777" w:rsidTr="000B086A">
        <w:tc>
          <w:tcPr>
            <w:tcW w:w="983" w:type="pct"/>
          </w:tcPr>
          <w:p w14:paraId="18A2A770" w14:textId="77777777" w:rsidR="000B086A" w:rsidRPr="0061109F" w:rsidRDefault="000B086A" w:rsidP="000B086A">
            <w:pPr>
              <w:spacing w:line="480" w:lineRule="auto"/>
              <w:rPr>
                <w:rFonts w:ascii="Calibri" w:hAnsi="Calibri" w:cs="Calibri"/>
                <w:sz w:val="20"/>
                <w:szCs w:val="20"/>
              </w:rPr>
            </w:pPr>
            <w:r w:rsidRPr="0061109F">
              <w:rPr>
                <w:rFonts w:ascii="Calibri" w:hAnsi="Calibri" w:cs="Calibri"/>
                <w:sz w:val="20"/>
                <w:szCs w:val="20"/>
              </w:rPr>
              <w:t>Other cancers</w:t>
            </w:r>
          </w:p>
        </w:tc>
        <w:tc>
          <w:tcPr>
            <w:tcW w:w="2274" w:type="pct"/>
          </w:tcPr>
          <w:p w14:paraId="32FE20A6" w14:textId="77777777" w:rsidR="000B086A" w:rsidRPr="0061109F" w:rsidRDefault="000B086A" w:rsidP="000B086A">
            <w:pPr>
              <w:pStyle w:val="NormalWeb"/>
              <w:spacing w:before="0" w:beforeAutospacing="0" w:after="0" w:afterAutospacing="0" w:line="480" w:lineRule="auto"/>
              <w:rPr>
                <w:rFonts w:ascii="Calibri" w:hAnsi="Calibri" w:cs="Calibri"/>
                <w:sz w:val="20"/>
                <w:szCs w:val="20"/>
              </w:rPr>
            </w:pPr>
            <w:r w:rsidRPr="0061109F">
              <w:rPr>
                <w:rFonts w:ascii="Calibri" w:hAnsi="Calibri" w:cs="Calibri"/>
                <w:sz w:val="20"/>
                <w:szCs w:val="20"/>
              </w:rPr>
              <w:t>ICD-8: 140-161, 163-173, 176-184, 186-239</w:t>
            </w:r>
          </w:p>
          <w:p w14:paraId="5A374A2F" w14:textId="155E1E16" w:rsidR="000B086A" w:rsidRPr="0061109F" w:rsidRDefault="000B086A" w:rsidP="000B086A">
            <w:pPr>
              <w:pStyle w:val="NormalWeb"/>
              <w:spacing w:before="0" w:beforeAutospacing="0" w:after="0" w:afterAutospacing="0" w:line="480" w:lineRule="auto"/>
              <w:rPr>
                <w:rFonts w:ascii="Calibri" w:hAnsi="Calibri" w:cs="Calibri"/>
                <w:sz w:val="20"/>
                <w:szCs w:val="20"/>
              </w:rPr>
            </w:pPr>
            <w:r w:rsidRPr="0061109F">
              <w:rPr>
                <w:rFonts w:ascii="Calibri" w:hAnsi="Calibri" w:cs="Calibri"/>
                <w:sz w:val="20"/>
                <w:szCs w:val="20"/>
              </w:rPr>
              <w:t>ICD-9: 140-162.1, 163-173, 176-184, 186-239</w:t>
            </w:r>
          </w:p>
        </w:tc>
        <w:tc>
          <w:tcPr>
            <w:tcW w:w="1743" w:type="pct"/>
          </w:tcPr>
          <w:p w14:paraId="1625CAAA" w14:textId="77777777" w:rsidR="000B086A" w:rsidRPr="0061109F" w:rsidRDefault="000B086A" w:rsidP="000B086A">
            <w:pPr>
              <w:pStyle w:val="NormalWeb"/>
              <w:spacing w:before="0" w:beforeAutospacing="0" w:after="0" w:afterAutospacing="0" w:line="480" w:lineRule="auto"/>
              <w:rPr>
                <w:rFonts w:ascii="Calibri" w:hAnsi="Calibri" w:cs="Calibri"/>
                <w:sz w:val="20"/>
                <w:szCs w:val="20"/>
              </w:rPr>
            </w:pPr>
            <w:r w:rsidRPr="0061109F">
              <w:rPr>
                <w:rFonts w:ascii="Calibri" w:hAnsi="Calibri" w:cs="Calibri"/>
                <w:sz w:val="20"/>
                <w:szCs w:val="20"/>
              </w:rPr>
              <w:t>C00-C33, C35-C49, C51-C60, C62-C97</w:t>
            </w:r>
          </w:p>
        </w:tc>
      </w:tr>
      <w:tr w:rsidR="000B086A" w:rsidRPr="0061109F" w14:paraId="75DDEA2F" w14:textId="77777777" w:rsidTr="000B086A">
        <w:tc>
          <w:tcPr>
            <w:tcW w:w="983" w:type="pct"/>
          </w:tcPr>
          <w:p w14:paraId="21AF2B23" w14:textId="77777777" w:rsidR="000B086A" w:rsidRPr="0061109F" w:rsidRDefault="000B086A" w:rsidP="000B086A">
            <w:pPr>
              <w:spacing w:line="480" w:lineRule="auto"/>
              <w:rPr>
                <w:rFonts w:ascii="Calibri" w:hAnsi="Calibri" w:cs="Calibri"/>
                <w:sz w:val="20"/>
                <w:szCs w:val="20"/>
              </w:rPr>
            </w:pPr>
            <w:r w:rsidRPr="0061109F">
              <w:rPr>
                <w:rFonts w:ascii="Calibri" w:hAnsi="Calibri" w:cs="Calibri"/>
                <w:sz w:val="20"/>
                <w:szCs w:val="20"/>
              </w:rPr>
              <w:t>Other</w:t>
            </w:r>
          </w:p>
        </w:tc>
        <w:tc>
          <w:tcPr>
            <w:tcW w:w="4017" w:type="pct"/>
            <w:gridSpan w:val="2"/>
          </w:tcPr>
          <w:p w14:paraId="5816984F" w14:textId="77777777" w:rsidR="000B086A" w:rsidRPr="0061109F" w:rsidRDefault="000B086A" w:rsidP="000B086A">
            <w:pPr>
              <w:spacing w:line="480" w:lineRule="auto"/>
              <w:rPr>
                <w:rFonts w:ascii="Calibri" w:hAnsi="Calibri" w:cs="Calibri"/>
                <w:sz w:val="20"/>
                <w:szCs w:val="20"/>
              </w:rPr>
            </w:pPr>
            <w:r w:rsidRPr="0061109F">
              <w:rPr>
                <w:rFonts w:ascii="Calibri" w:hAnsi="Calibri" w:cs="Calibri"/>
                <w:sz w:val="20"/>
                <w:szCs w:val="20"/>
              </w:rPr>
              <w:t>All remaining codes</w:t>
            </w:r>
          </w:p>
        </w:tc>
      </w:tr>
    </w:tbl>
    <w:p w14:paraId="5D6E04F5" w14:textId="77777777" w:rsidR="000B086A" w:rsidRPr="0061109F" w:rsidRDefault="000B086A" w:rsidP="000B086A">
      <w:pPr>
        <w:spacing w:line="480" w:lineRule="auto"/>
        <w:rPr>
          <w:rFonts w:ascii="Calibri" w:hAnsi="Calibri" w:cs="Calibri"/>
          <w:sz w:val="22"/>
          <w:szCs w:val="22"/>
        </w:rPr>
      </w:pPr>
    </w:p>
    <w:p w14:paraId="60C11CD1" w14:textId="77777777" w:rsidR="000B086A" w:rsidRPr="0061109F" w:rsidRDefault="000B086A" w:rsidP="000B086A">
      <w:pPr>
        <w:pStyle w:val="Heading4"/>
        <w:spacing w:line="480" w:lineRule="auto"/>
        <w:rPr>
          <w:b/>
          <w:color w:val="auto"/>
          <w:sz w:val="22"/>
          <w:szCs w:val="22"/>
        </w:rPr>
      </w:pPr>
      <w:r w:rsidRPr="0061109F">
        <w:rPr>
          <w:b/>
          <w:color w:val="auto"/>
          <w:sz w:val="22"/>
          <w:szCs w:val="22"/>
        </w:rPr>
        <w:br w:type="page"/>
      </w:r>
    </w:p>
    <w:p w14:paraId="6B7B7AC1" w14:textId="6271EE13" w:rsidR="000B086A" w:rsidRPr="0061109F" w:rsidRDefault="00C77EC2" w:rsidP="000B086A">
      <w:pPr>
        <w:spacing w:line="480" w:lineRule="auto"/>
        <w:rPr>
          <w:rFonts w:ascii="Calibri" w:hAnsi="Calibri" w:cs="Calibri"/>
          <w:b/>
          <w:sz w:val="22"/>
          <w:szCs w:val="22"/>
        </w:rPr>
      </w:pPr>
      <w:r w:rsidRPr="0061109F">
        <w:rPr>
          <w:rFonts w:ascii="Calibri" w:hAnsi="Calibri" w:cs="Calibri"/>
          <w:b/>
          <w:sz w:val="22"/>
          <w:szCs w:val="22"/>
        </w:rPr>
        <w:lastRenderedPageBreak/>
        <w:t>Supplementary</w:t>
      </w:r>
      <w:r w:rsidRPr="0061109F">
        <w:rPr>
          <w:b/>
          <w:i/>
          <w:sz w:val="22"/>
          <w:szCs w:val="22"/>
        </w:rPr>
        <w:t xml:space="preserve"> </w:t>
      </w:r>
      <w:r w:rsidR="000B086A" w:rsidRPr="0061109F">
        <w:rPr>
          <w:rFonts w:ascii="Calibri" w:hAnsi="Calibri" w:cs="Calibri"/>
          <w:b/>
          <w:sz w:val="22"/>
          <w:szCs w:val="22"/>
        </w:rPr>
        <w:t xml:space="preserve">Table 3: </w:t>
      </w:r>
      <w:r w:rsidR="000B086A" w:rsidRPr="0061109F">
        <w:rPr>
          <w:rFonts w:ascii="Calibri" w:hAnsi="Calibri" w:cs="Calibri"/>
          <w:sz w:val="22"/>
          <w:szCs w:val="22"/>
        </w:rPr>
        <w:t>Multivariable Cox regression analyses of factors associated with mortality in schizophrenia in a Swedish National population-based sample</w:t>
      </w:r>
    </w:p>
    <w:tbl>
      <w:tblPr>
        <w:tblW w:w="4925" w:type="pct"/>
        <w:tblLayout w:type="fixed"/>
        <w:tblLook w:val="0000" w:firstRow="0" w:lastRow="0" w:firstColumn="0" w:lastColumn="0" w:noHBand="0" w:noVBand="0"/>
      </w:tblPr>
      <w:tblGrid>
        <w:gridCol w:w="2828"/>
        <w:gridCol w:w="995"/>
        <w:gridCol w:w="1135"/>
        <w:gridCol w:w="991"/>
        <w:gridCol w:w="991"/>
        <w:gridCol w:w="1277"/>
        <w:gridCol w:w="993"/>
      </w:tblGrid>
      <w:tr w:rsidR="0061109F" w:rsidRPr="0061109F" w14:paraId="4088FCCC" w14:textId="77777777" w:rsidTr="000B086A">
        <w:trPr>
          <w:trHeight w:val="300"/>
        </w:trPr>
        <w:tc>
          <w:tcPr>
            <w:tcW w:w="1535" w:type="pct"/>
            <w:tcBorders>
              <w:top w:val="single" w:sz="4" w:space="0" w:color="auto"/>
              <w:left w:val="single" w:sz="4" w:space="0" w:color="auto"/>
              <w:bottom w:val="single" w:sz="4" w:space="0" w:color="auto"/>
              <w:right w:val="single" w:sz="4" w:space="0" w:color="auto"/>
            </w:tcBorders>
          </w:tcPr>
          <w:p w14:paraId="7B212F7A" w14:textId="77777777" w:rsidR="000B086A" w:rsidRPr="0061109F" w:rsidRDefault="000B086A" w:rsidP="000B086A">
            <w:pPr>
              <w:autoSpaceDE w:val="0"/>
              <w:autoSpaceDN w:val="0"/>
              <w:adjustRightInd w:val="0"/>
              <w:spacing w:line="480" w:lineRule="auto"/>
              <w:rPr>
                <w:rFonts w:ascii="Calibri" w:eastAsiaTheme="minorHAnsi" w:hAnsi="Calibri" w:cs="Calibri"/>
                <w:b/>
                <w:i/>
                <w:sz w:val="20"/>
                <w:szCs w:val="20"/>
                <w:lang w:val="en-US"/>
              </w:rPr>
            </w:pPr>
          </w:p>
        </w:tc>
        <w:tc>
          <w:tcPr>
            <w:tcW w:w="1694" w:type="pct"/>
            <w:gridSpan w:val="3"/>
            <w:tcBorders>
              <w:top w:val="single" w:sz="4" w:space="0" w:color="auto"/>
              <w:left w:val="single" w:sz="4" w:space="0" w:color="auto"/>
              <w:bottom w:val="single" w:sz="4" w:space="0" w:color="auto"/>
              <w:right w:val="single" w:sz="4" w:space="0" w:color="auto"/>
            </w:tcBorders>
          </w:tcPr>
          <w:p w14:paraId="432754C7" w14:textId="286307F8" w:rsidR="00F76209" w:rsidRPr="0061109F" w:rsidRDefault="000B086A" w:rsidP="00247D20">
            <w:pPr>
              <w:autoSpaceDE w:val="0"/>
              <w:autoSpaceDN w:val="0"/>
              <w:adjustRightInd w:val="0"/>
              <w:spacing w:line="480" w:lineRule="auto"/>
              <w:jc w:val="center"/>
              <w:rPr>
                <w:rFonts w:ascii="Calibri" w:eastAsiaTheme="minorHAnsi" w:hAnsi="Calibri" w:cs="Calibri"/>
                <w:b/>
                <w:i/>
                <w:sz w:val="20"/>
                <w:szCs w:val="20"/>
                <w:lang w:val="en-US"/>
              </w:rPr>
            </w:pPr>
            <w:r w:rsidRPr="0061109F">
              <w:rPr>
                <w:rFonts w:ascii="Calibri" w:eastAsiaTheme="minorHAnsi" w:hAnsi="Calibri" w:cs="Calibri"/>
                <w:b/>
                <w:i/>
                <w:sz w:val="20"/>
                <w:szCs w:val="20"/>
                <w:lang w:val="en-US"/>
              </w:rPr>
              <w:t>Unadjusted</w:t>
            </w:r>
          </w:p>
        </w:tc>
        <w:tc>
          <w:tcPr>
            <w:tcW w:w="1770" w:type="pct"/>
            <w:gridSpan w:val="3"/>
            <w:tcBorders>
              <w:top w:val="single" w:sz="4" w:space="0" w:color="auto"/>
              <w:left w:val="single" w:sz="4" w:space="0" w:color="auto"/>
              <w:bottom w:val="single" w:sz="4" w:space="0" w:color="auto"/>
              <w:right w:val="single" w:sz="4" w:space="0" w:color="auto"/>
            </w:tcBorders>
          </w:tcPr>
          <w:p w14:paraId="56EC4111" w14:textId="59338430" w:rsidR="005B3C43" w:rsidRPr="0061109F" w:rsidRDefault="000B086A" w:rsidP="00247D20">
            <w:pPr>
              <w:autoSpaceDE w:val="0"/>
              <w:autoSpaceDN w:val="0"/>
              <w:adjustRightInd w:val="0"/>
              <w:spacing w:line="480" w:lineRule="auto"/>
              <w:jc w:val="center"/>
              <w:rPr>
                <w:rFonts w:ascii="Calibri" w:eastAsiaTheme="minorHAnsi" w:hAnsi="Calibri" w:cs="Calibri"/>
                <w:b/>
                <w:i/>
                <w:sz w:val="20"/>
                <w:szCs w:val="20"/>
                <w:lang w:val="en-US"/>
              </w:rPr>
            </w:pPr>
            <w:r w:rsidRPr="0061109F">
              <w:rPr>
                <w:rFonts w:ascii="Calibri" w:eastAsiaTheme="minorHAnsi" w:hAnsi="Calibri" w:cs="Calibri"/>
                <w:b/>
                <w:i/>
                <w:sz w:val="20"/>
                <w:szCs w:val="20"/>
                <w:lang w:val="en-US"/>
              </w:rPr>
              <w:t>Adjusted</w:t>
            </w:r>
          </w:p>
        </w:tc>
      </w:tr>
      <w:tr w:rsidR="0061109F" w:rsidRPr="0061109F" w14:paraId="410688B8" w14:textId="77777777" w:rsidTr="000B086A">
        <w:trPr>
          <w:trHeight w:val="300"/>
        </w:trPr>
        <w:tc>
          <w:tcPr>
            <w:tcW w:w="1535" w:type="pct"/>
            <w:tcBorders>
              <w:top w:val="single" w:sz="4" w:space="0" w:color="auto"/>
              <w:left w:val="single" w:sz="4" w:space="0" w:color="auto"/>
              <w:bottom w:val="single" w:sz="4" w:space="0" w:color="auto"/>
              <w:right w:val="single" w:sz="4" w:space="0" w:color="auto"/>
            </w:tcBorders>
          </w:tcPr>
          <w:p w14:paraId="6256ECDB" w14:textId="77777777" w:rsidR="000B086A" w:rsidRPr="0061109F" w:rsidRDefault="000B086A" w:rsidP="000B086A">
            <w:pPr>
              <w:autoSpaceDE w:val="0"/>
              <w:autoSpaceDN w:val="0"/>
              <w:adjustRightInd w:val="0"/>
              <w:spacing w:line="480" w:lineRule="auto"/>
              <w:rPr>
                <w:rFonts w:ascii="Calibri" w:eastAsiaTheme="minorHAnsi" w:hAnsi="Calibri" w:cs="Calibri"/>
                <w:b/>
                <w:i/>
                <w:sz w:val="20"/>
                <w:szCs w:val="20"/>
                <w:lang w:val="en-US"/>
              </w:rPr>
            </w:pPr>
            <w:r w:rsidRPr="0061109F">
              <w:rPr>
                <w:rFonts w:ascii="Calibri" w:eastAsiaTheme="minorHAnsi" w:hAnsi="Calibri" w:cs="Calibri"/>
                <w:b/>
                <w:i/>
                <w:sz w:val="20"/>
                <w:szCs w:val="20"/>
                <w:lang w:val="en-US"/>
              </w:rPr>
              <w:t>Characteristic</w:t>
            </w:r>
          </w:p>
        </w:tc>
        <w:tc>
          <w:tcPr>
            <w:tcW w:w="540" w:type="pct"/>
            <w:tcBorders>
              <w:top w:val="single" w:sz="4" w:space="0" w:color="auto"/>
              <w:left w:val="single" w:sz="4" w:space="0" w:color="auto"/>
              <w:bottom w:val="single" w:sz="4" w:space="0" w:color="auto"/>
              <w:right w:val="single" w:sz="4" w:space="0" w:color="auto"/>
            </w:tcBorders>
          </w:tcPr>
          <w:p w14:paraId="3BC98A17" w14:textId="77777777" w:rsidR="000B086A" w:rsidRPr="0061109F" w:rsidRDefault="000B086A" w:rsidP="000B086A">
            <w:pPr>
              <w:autoSpaceDE w:val="0"/>
              <w:autoSpaceDN w:val="0"/>
              <w:adjustRightInd w:val="0"/>
              <w:spacing w:line="480" w:lineRule="auto"/>
              <w:jc w:val="center"/>
              <w:rPr>
                <w:rFonts w:ascii="Calibri" w:eastAsiaTheme="minorHAnsi" w:hAnsi="Calibri" w:cs="Calibri"/>
                <w:b/>
                <w:i/>
                <w:sz w:val="20"/>
                <w:szCs w:val="20"/>
                <w:lang w:val="en-US"/>
              </w:rPr>
            </w:pPr>
            <w:r w:rsidRPr="0061109F">
              <w:rPr>
                <w:rFonts w:ascii="Calibri" w:eastAsiaTheme="minorHAnsi" w:hAnsi="Calibri" w:cs="Calibri"/>
                <w:b/>
                <w:i/>
                <w:sz w:val="20"/>
                <w:szCs w:val="20"/>
                <w:lang w:val="en-US"/>
              </w:rPr>
              <w:t>Hazard Ratio</w:t>
            </w:r>
          </w:p>
        </w:tc>
        <w:tc>
          <w:tcPr>
            <w:tcW w:w="616" w:type="pct"/>
            <w:tcBorders>
              <w:top w:val="single" w:sz="4" w:space="0" w:color="auto"/>
              <w:left w:val="single" w:sz="4" w:space="0" w:color="auto"/>
              <w:bottom w:val="single" w:sz="4" w:space="0" w:color="auto"/>
              <w:right w:val="single" w:sz="4" w:space="0" w:color="auto"/>
            </w:tcBorders>
          </w:tcPr>
          <w:p w14:paraId="3DC369D9" w14:textId="77777777" w:rsidR="000B086A" w:rsidRPr="0061109F" w:rsidRDefault="000B086A" w:rsidP="000B086A">
            <w:pPr>
              <w:autoSpaceDE w:val="0"/>
              <w:autoSpaceDN w:val="0"/>
              <w:adjustRightInd w:val="0"/>
              <w:spacing w:line="480" w:lineRule="auto"/>
              <w:jc w:val="center"/>
              <w:rPr>
                <w:rFonts w:ascii="Calibri" w:eastAsiaTheme="minorHAnsi" w:hAnsi="Calibri" w:cs="Calibri"/>
                <w:b/>
                <w:i/>
                <w:sz w:val="20"/>
                <w:szCs w:val="20"/>
                <w:lang w:val="en-US"/>
              </w:rPr>
            </w:pPr>
            <w:r w:rsidRPr="0061109F">
              <w:rPr>
                <w:rFonts w:ascii="Calibri" w:eastAsiaTheme="minorHAnsi" w:hAnsi="Calibri" w:cs="Calibri"/>
                <w:b/>
                <w:i/>
                <w:sz w:val="20"/>
                <w:szCs w:val="20"/>
                <w:lang w:val="en-US"/>
              </w:rPr>
              <w:t>Lower 95% bound</w:t>
            </w:r>
          </w:p>
        </w:tc>
        <w:tc>
          <w:tcPr>
            <w:tcW w:w="538" w:type="pct"/>
            <w:tcBorders>
              <w:top w:val="single" w:sz="4" w:space="0" w:color="auto"/>
              <w:left w:val="single" w:sz="4" w:space="0" w:color="auto"/>
              <w:bottom w:val="single" w:sz="4" w:space="0" w:color="auto"/>
              <w:right w:val="single" w:sz="4" w:space="0" w:color="auto"/>
            </w:tcBorders>
          </w:tcPr>
          <w:p w14:paraId="0CC08D57" w14:textId="77777777" w:rsidR="000B086A" w:rsidRPr="0061109F" w:rsidRDefault="000B086A" w:rsidP="000B086A">
            <w:pPr>
              <w:autoSpaceDE w:val="0"/>
              <w:autoSpaceDN w:val="0"/>
              <w:adjustRightInd w:val="0"/>
              <w:spacing w:line="480" w:lineRule="auto"/>
              <w:jc w:val="center"/>
              <w:rPr>
                <w:rFonts w:ascii="Calibri" w:eastAsiaTheme="minorHAnsi" w:hAnsi="Calibri" w:cs="Calibri"/>
                <w:b/>
                <w:i/>
                <w:sz w:val="20"/>
                <w:szCs w:val="20"/>
                <w:lang w:val="en-US"/>
              </w:rPr>
            </w:pPr>
            <w:r w:rsidRPr="0061109F">
              <w:rPr>
                <w:rFonts w:ascii="Calibri" w:eastAsiaTheme="minorHAnsi" w:hAnsi="Calibri" w:cs="Calibri"/>
                <w:b/>
                <w:i/>
                <w:sz w:val="20"/>
                <w:szCs w:val="20"/>
                <w:lang w:val="en-US"/>
              </w:rPr>
              <w:t>Upper 95% bound</w:t>
            </w:r>
          </w:p>
        </w:tc>
        <w:tc>
          <w:tcPr>
            <w:tcW w:w="538" w:type="pct"/>
            <w:tcBorders>
              <w:top w:val="single" w:sz="4" w:space="0" w:color="auto"/>
              <w:left w:val="single" w:sz="4" w:space="0" w:color="auto"/>
              <w:bottom w:val="single" w:sz="4" w:space="0" w:color="auto"/>
              <w:right w:val="single" w:sz="4" w:space="0" w:color="auto"/>
            </w:tcBorders>
          </w:tcPr>
          <w:p w14:paraId="51FAFE79" w14:textId="77777777" w:rsidR="000B086A" w:rsidRPr="0061109F" w:rsidRDefault="000B086A" w:rsidP="000B086A">
            <w:pPr>
              <w:autoSpaceDE w:val="0"/>
              <w:autoSpaceDN w:val="0"/>
              <w:adjustRightInd w:val="0"/>
              <w:spacing w:line="480" w:lineRule="auto"/>
              <w:jc w:val="center"/>
              <w:rPr>
                <w:rFonts w:ascii="Calibri" w:eastAsiaTheme="minorHAnsi" w:hAnsi="Calibri" w:cs="Calibri"/>
                <w:b/>
                <w:i/>
                <w:sz w:val="20"/>
                <w:szCs w:val="20"/>
                <w:lang w:val="en-US"/>
              </w:rPr>
            </w:pPr>
            <w:r w:rsidRPr="0061109F">
              <w:rPr>
                <w:rFonts w:ascii="Calibri" w:eastAsiaTheme="minorHAnsi" w:hAnsi="Calibri" w:cs="Calibri"/>
                <w:b/>
                <w:i/>
                <w:sz w:val="20"/>
                <w:szCs w:val="20"/>
                <w:lang w:val="en-US"/>
              </w:rPr>
              <w:t>Hazard Ratio</w:t>
            </w:r>
          </w:p>
        </w:tc>
        <w:tc>
          <w:tcPr>
            <w:tcW w:w="693" w:type="pct"/>
            <w:tcBorders>
              <w:top w:val="single" w:sz="4" w:space="0" w:color="auto"/>
              <w:left w:val="single" w:sz="4" w:space="0" w:color="auto"/>
              <w:bottom w:val="single" w:sz="4" w:space="0" w:color="auto"/>
              <w:right w:val="single" w:sz="4" w:space="0" w:color="auto"/>
            </w:tcBorders>
          </w:tcPr>
          <w:p w14:paraId="250146D1" w14:textId="77777777" w:rsidR="000B086A" w:rsidRPr="0061109F" w:rsidRDefault="000B086A" w:rsidP="000B086A">
            <w:pPr>
              <w:autoSpaceDE w:val="0"/>
              <w:autoSpaceDN w:val="0"/>
              <w:adjustRightInd w:val="0"/>
              <w:spacing w:line="480" w:lineRule="auto"/>
              <w:jc w:val="center"/>
              <w:rPr>
                <w:rFonts w:ascii="Calibri" w:eastAsiaTheme="minorHAnsi" w:hAnsi="Calibri" w:cs="Calibri"/>
                <w:b/>
                <w:i/>
                <w:sz w:val="20"/>
                <w:szCs w:val="20"/>
                <w:lang w:val="en-US"/>
              </w:rPr>
            </w:pPr>
            <w:r w:rsidRPr="0061109F">
              <w:rPr>
                <w:rFonts w:ascii="Calibri" w:eastAsiaTheme="minorHAnsi" w:hAnsi="Calibri" w:cs="Calibri"/>
                <w:b/>
                <w:i/>
                <w:sz w:val="20"/>
                <w:szCs w:val="20"/>
                <w:lang w:val="en-US"/>
              </w:rPr>
              <w:t>Lower 95% bound</w:t>
            </w:r>
          </w:p>
        </w:tc>
        <w:tc>
          <w:tcPr>
            <w:tcW w:w="539" w:type="pct"/>
            <w:tcBorders>
              <w:top w:val="single" w:sz="4" w:space="0" w:color="auto"/>
              <w:left w:val="single" w:sz="4" w:space="0" w:color="auto"/>
              <w:bottom w:val="single" w:sz="4" w:space="0" w:color="auto"/>
              <w:right w:val="single" w:sz="4" w:space="0" w:color="auto"/>
            </w:tcBorders>
          </w:tcPr>
          <w:p w14:paraId="3D06981E" w14:textId="77777777" w:rsidR="000B086A" w:rsidRPr="0061109F" w:rsidRDefault="000B086A" w:rsidP="000B086A">
            <w:pPr>
              <w:autoSpaceDE w:val="0"/>
              <w:autoSpaceDN w:val="0"/>
              <w:adjustRightInd w:val="0"/>
              <w:spacing w:line="480" w:lineRule="auto"/>
              <w:jc w:val="center"/>
              <w:rPr>
                <w:rFonts w:ascii="Calibri" w:eastAsiaTheme="minorHAnsi" w:hAnsi="Calibri" w:cs="Calibri"/>
                <w:b/>
                <w:i/>
                <w:sz w:val="20"/>
                <w:szCs w:val="20"/>
                <w:lang w:val="en-US"/>
              </w:rPr>
            </w:pPr>
            <w:r w:rsidRPr="0061109F">
              <w:rPr>
                <w:rFonts w:ascii="Calibri" w:eastAsiaTheme="minorHAnsi" w:hAnsi="Calibri" w:cs="Calibri"/>
                <w:b/>
                <w:i/>
                <w:sz w:val="20"/>
                <w:szCs w:val="20"/>
                <w:lang w:val="en-US"/>
              </w:rPr>
              <w:t>Upper 95% bound</w:t>
            </w:r>
          </w:p>
        </w:tc>
      </w:tr>
      <w:tr w:rsidR="0061109F" w:rsidRPr="0061109F" w14:paraId="21A0133A" w14:textId="77777777" w:rsidTr="000B086A">
        <w:trPr>
          <w:trHeight w:val="300"/>
        </w:trPr>
        <w:tc>
          <w:tcPr>
            <w:tcW w:w="1535" w:type="pct"/>
            <w:tcBorders>
              <w:top w:val="single" w:sz="4" w:space="0" w:color="auto"/>
              <w:left w:val="single" w:sz="4" w:space="0" w:color="auto"/>
              <w:bottom w:val="single" w:sz="4" w:space="0" w:color="auto"/>
              <w:right w:val="single" w:sz="4" w:space="0" w:color="auto"/>
            </w:tcBorders>
          </w:tcPr>
          <w:p w14:paraId="32B7E22C" w14:textId="77777777" w:rsidR="000B086A" w:rsidRPr="0061109F" w:rsidRDefault="000B086A" w:rsidP="000B086A">
            <w:pPr>
              <w:autoSpaceDE w:val="0"/>
              <w:autoSpaceDN w:val="0"/>
              <w:adjustRightInd w:val="0"/>
              <w:spacing w:line="480" w:lineRule="auto"/>
              <w:rPr>
                <w:rFonts w:ascii="Calibri" w:eastAsiaTheme="minorHAnsi" w:hAnsi="Calibri" w:cs="Calibri"/>
                <w:sz w:val="20"/>
                <w:szCs w:val="20"/>
                <w:lang w:val="en-US"/>
              </w:rPr>
            </w:pPr>
            <w:r w:rsidRPr="0061109F">
              <w:rPr>
                <w:rFonts w:ascii="Calibri" w:eastAsiaTheme="minorHAnsi" w:hAnsi="Calibri" w:cs="Calibri"/>
                <w:sz w:val="20"/>
                <w:szCs w:val="20"/>
                <w:lang w:val="en-US"/>
              </w:rPr>
              <w:t>Male sex</w:t>
            </w:r>
          </w:p>
        </w:tc>
        <w:tc>
          <w:tcPr>
            <w:tcW w:w="540" w:type="pct"/>
            <w:tcBorders>
              <w:top w:val="single" w:sz="4" w:space="0" w:color="auto"/>
              <w:left w:val="single" w:sz="4" w:space="0" w:color="auto"/>
              <w:bottom w:val="single" w:sz="4" w:space="0" w:color="auto"/>
              <w:right w:val="single" w:sz="4" w:space="0" w:color="auto"/>
            </w:tcBorders>
          </w:tcPr>
          <w:p w14:paraId="536C77F7" w14:textId="5D2EF4F9" w:rsidR="000B086A" w:rsidRPr="0061109F" w:rsidRDefault="000B086A" w:rsidP="000B086A">
            <w:pPr>
              <w:autoSpaceDE w:val="0"/>
              <w:autoSpaceDN w:val="0"/>
              <w:adjustRightInd w:val="0"/>
              <w:spacing w:line="480" w:lineRule="auto"/>
              <w:jc w:val="center"/>
              <w:rPr>
                <w:rFonts w:ascii="Calibri" w:eastAsiaTheme="minorHAnsi" w:hAnsi="Calibri" w:cs="Calibri"/>
                <w:b/>
                <w:sz w:val="20"/>
                <w:szCs w:val="20"/>
                <w:lang w:val="en-US"/>
              </w:rPr>
            </w:pPr>
            <w:r w:rsidRPr="0061109F">
              <w:rPr>
                <w:rFonts w:ascii="Calibri" w:eastAsiaTheme="minorHAnsi" w:hAnsi="Calibri" w:cs="Calibri"/>
                <w:b/>
                <w:sz w:val="20"/>
                <w:szCs w:val="20"/>
                <w:lang w:val="en-US"/>
              </w:rPr>
              <w:t>1.46</w:t>
            </w:r>
          </w:p>
        </w:tc>
        <w:tc>
          <w:tcPr>
            <w:tcW w:w="616" w:type="pct"/>
            <w:tcBorders>
              <w:top w:val="single" w:sz="4" w:space="0" w:color="auto"/>
              <w:left w:val="single" w:sz="4" w:space="0" w:color="auto"/>
              <w:bottom w:val="single" w:sz="4" w:space="0" w:color="auto"/>
              <w:right w:val="single" w:sz="4" w:space="0" w:color="auto"/>
            </w:tcBorders>
          </w:tcPr>
          <w:p w14:paraId="03433199" w14:textId="745583F4" w:rsidR="000B086A" w:rsidRPr="0061109F" w:rsidRDefault="000B086A" w:rsidP="000B086A">
            <w:pPr>
              <w:autoSpaceDE w:val="0"/>
              <w:autoSpaceDN w:val="0"/>
              <w:adjustRightInd w:val="0"/>
              <w:spacing w:line="480" w:lineRule="auto"/>
              <w:jc w:val="center"/>
              <w:rPr>
                <w:rFonts w:ascii="Calibri" w:eastAsiaTheme="minorHAnsi" w:hAnsi="Calibri" w:cs="Calibri"/>
                <w:b/>
                <w:sz w:val="20"/>
                <w:szCs w:val="20"/>
                <w:lang w:val="en-US"/>
              </w:rPr>
            </w:pPr>
            <w:r w:rsidRPr="0061109F">
              <w:rPr>
                <w:rFonts w:ascii="Calibri" w:eastAsiaTheme="minorHAnsi" w:hAnsi="Calibri" w:cs="Calibri"/>
                <w:b/>
                <w:sz w:val="20"/>
                <w:szCs w:val="20"/>
                <w:lang w:val="en-US"/>
              </w:rPr>
              <w:t>1.29</w:t>
            </w:r>
          </w:p>
        </w:tc>
        <w:tc>
          <w:tcPr>
            <w:tcW w:w="538" w:type="pct"/>
            <w:tcBorders>
              <w:top w:val="single" w:sz="4" w:space="0" w:color="auto"/>
              <w:left w:val="single" w:sz="4" w:space="0" w:color="auto"/>
              <w:bottom w:val="single" w:sz="4" w:space="0" w:color="auto"/>
              <w:right w:val="single" w:sz="4" w:space="0" w:color="auto"/>
            </w:tcBorders>
          </w:tcPr>
          <w:p w14:paraId="43D27F84" w14:textId="0BC5AE1A" w:rsidR="000B086A" w:rsidRPr="0061109F" w:rsidRDefault="000B086A" w:rsidP="000B086A">
            <w:pPr>
              <w:autoSpaceDE w:val="0"/>
              <w:autoSpaceDN w:val="0"/>
              <w:adjustRightInd w:val="0"/>
              <w:spacing w:line="480" w:lineRule="auto"/>
              <w:jc w:val="center"/>
              <w:rPr>
                <w:rFonts w:ascii="Calibri" w:eastAsiaTheme="minorHAnsi" w:hAnsi="Calibri" w:cs="Calibri"/>
                <w:b/>
                <w:sz w:val="20"/>
                <w:szCs w:val="20"/>
                <w:lang w:val="en-US"/>
              </w:rPr>
            </w:pPr>
            <w:r w:rsidRPr="0061109F">
              <w:rPr>
                <w:rFonts w:ascii="Calibri" w:eastAsiaTheme="minorHAnsi" w:hAnsi="Calibri" w:cs="Calibri"/>
                <w:b/>
                <w:sz w:val="20"/>
                <w:szCs w:val="20"/>
                <w:lang w:val="en-US"/>
              </w:rPr>
              <w:t>1.65</w:t>
            </w:r>
          </w:p>
        </w:tc>
        <w:tc>
          <w:tcPr>
            <w:tcW w:w="538" w:type="pct"/>
            <w:tcBorders>
              <w:top w:val="single" w:sz="4" w:space="0" w:color="auto"/>
              <w:left w:val="single" w:sz="4" w:space="0" w:color="auto"/>
              <w:bottom w:val="single" w:sz="4" w:space="0" w:color="auto"/>
              <w:right w:val="single" w:sz="4" w:space="0" w:color="auto"/>
            </w:tcBorders>
          </w:tcPr>
          <w:p w14:paraId="7D72C8FD" w14:textId="679B6F1B" w:rsidR="000B086A" w:rsidRPr="0061109F" w:rsidRDefault="000B086A" w:rsidP="000B086A">
            <w:pPr>
              <w:autoSpaceDE w:val="0"/>
              <w:autoSpaceDN w:val="0"/>
              <w:adjustRightInd w:val="0"/>
              <w:spacing w:line="480" w:lineRule="auto"/>
              <w:jc w:val="center"/>
              <w:rPr>
                <w:rFonts w:ascii="Calibri" w:eastAsiaTheme="minorHAnsi" w:hAnsi="Calibri" w:cs="Calibri"/>
                <w:b/>
                <w:sz w:val="20"/>
                <w:szCs w:val="20"/>
                <w:lang w:val="en-US"/>
              </w:rPr>
            </w:pPr>
            <w:r w:rsidRPr="0061109F">
              <w:rPr>
                <w:rFonts w:ascii="Calibri" w:eastAsiaTheme="minorHAnsi" w:hAnsi="Calibri" w:cs="Calibri"/>
                <w:b/>
                <w:sz w:val="20"/>
                <w:szCs w:val="20"/>
                <w:lang w:val="en-US"/>
              </w:rPr>
              <w:t>1.32</w:t>
            </w:r>
          </w:p>
        </w:tc>
        <w:tc>
          <w:tcPr>
            <w:tcW w:w="693" w:type="pct"/>
            <w:tcBorders>
              <w:top w:val="single" w:sz="4" w:space="0" w:color="auto"/>
              <w:left w:val="single" w:sz="4" w:space="0" w:color="auto"/>
              <w:bottom w:val="single" w:sz="4" w:space="0" w:color="auto"/>
              <w:right w:val="single" w:sz="4" w:space="0" w:color="auto"/>
            </w:tcBorders>
          </w:tcPr>
          <w:p w14:paraId="3795812E" w14:textId="5D862700" w:rsidR="000B086A" w:rsidRPr="0061109F" w:rsidRDefault="000B086A" w:rsidP="000B086A">
            <w:pPr>
              <w:autoSpaceDE w:val="0"/>
              <w:autoSpaceDN w:val="0"/>
              <w:adjustRightInd w:val="0"/>
              <w:spacing w:line="480" w:lineRule="auto"/>
              <w:jc w:val="center"/>
              <w:rPr>
                <w:rFonts w:ascii="Calibri" w:eastAsiaTheme="minorHAnsi" w:hAnsi="Calibri" w:cs="Calibri"/>
                <w:b/>
                <w:sz w:val="20"/>
                <w:szCs w:val="20"/>
                <w:lang w:val="en-US"/>
              </w:rPr>
            </w:pPr>
            <w:r w:rsidRPr="0061109F">
              <w:rPr>
                <w:rFonts w:ascii="Calibri" w:eastAsiaTheme="minorHAnsi" w:hAnsi="Calibri" w:cs="Calibri"/>
                <w:b/>
                <w:sz w:val="20"/>
                <w:szCs w:val="20"/>
                <w:lang w:val="en-US"/>
              </w:rPr>
              <w:t>1.15</w:t>
            </w:r>
          </w:p>
        </w:tc>
        <w:tc>
          <w:tcPr>
            <w:tcW w:w="539" w:type="pct"/>
            <w:tcBorders>
              <w:top w:val="single" w:sz="4" w:space="0" w:color="auto"/>
              <w:left w:val="single" w:sz="4" w:space="0" w:color="auto"/>
              <w:bottom w:val="single" w:sz="4" w:space="0" w:color="auto"/>
              <w:right w:val="single" w:sz="4" w:space="0" w:color="auto"/>
            </w:tcBorders>
          </w:tcPr>
          <w:p w14:paraId="7D899182" w14:textId="6C273B81" w:rsidR="000B086A" w:rsidRPr="0061109F" w:rsidRDefault="000B086A" w:rsidP="000B086A">
            <w:pPr>
              <w:autoSpaceDE w:val="0"/>
              <w:autoSpaceDN w:val="0"/>
              <w:adjustRightInd w:val="0"/>
              <w:spacing w:line="480" w:lineRule="auto"/>
              <w:jc w:val="center"/>
              <w:rPr>
                <w:rFonts w:ascii="Calibri" w:eastAsiaTheme="minorHAnsi" w:hAnsi="Calibri" w:cs="Calibri"/>
                <w:b/>
                <w:sz w:val="20"/>
                <w:szCs w:val="20"/>
                <w:lang w:val="en-US"/>
              </w:rPr>
            </w:pPr>
            <w:r w:rsidRPr="0061109F">
              <w:rPr>
                <w:rFonts w:ascii="Calibri" w:eastAsiaTheme="minorHAnsi" w:hAnsi="Calibri" w:cs="Calibri"/>
                <w:b/>
                <w:sz w:val="20"/>
                <w:szCs w:val="20"/>
                <w:lang w:val="en-US"/>
              </w:rPr>
              <w:t>1.52</w:t>
            </w:r>
          </w:p>
        </w:tc>
      </w:tr>
      <w:tr w:rsidR="0061109F" w:rsidRPr="0061109F" w14:paraId="2772B890" w14:textId="77777777" w:rsidTr="000B086A">
        <w:trPr>
          <w:trHeight w:val="300"/>
        </w:trPr>
        <w:tc>
          <w:tcPr>
            <w:tcW w:w="1535" w:type="pct"/>
            <w:tcBorders>
              <w:top w:val="single" w:sz="4" w:space="0" w:color="auto"/>
              <w:left w:val="single" w:sz="4" w:space="0" w:color="auto"/>
              <w:bottom w:val="single" w:sz="4" w:space="0" w:color="auto"/>
              <w:right w:val="single" w:sz="4" w:space="0" w:color="auto"/>
            </w:tcBorders>
          </w:tcPr>
          <w:p w14:paraId="150E5A3C" w14:textId="77777777" w:rsidR="000B086A" w:rsidRPr="0061109F" w:rsidRDefault="000B086A" w:rsidP="000B086A">
            <w:pPr>
              <w:autoSpaceDE w:val="0"/>
              <w:autoSpaceDN w:val="0"/>
              <w:adjustRightInd w:val="0"/>
              <w:spacing w:line="480" w:lineRule="auto"/>
              <w:rPr>
                <w:rFonts w:ascii="Calibri" w:eastAsiaTheme="minorHAnsi" w:hAnsi="Calibri" w:cs="Calibri"/>
                <w:sz w:val="20"/>
                <w:szCs w:val="20"/>
                <w:lang w:val="en-US"/>
              </w:rPr>
            </w:pPr>
            <w:r w:rsidRPr="0061109F">
              <w:rPr>
                <w:rFonts w:ascii="Calibri" w:eastAsiaTheme="minorHAnsi" w:hAnsi="Calibri" w:cs="Calibri"/>
                <w:sz w:val="20"/>
                <w:szCs w:val="20"/>
                <w:lang w:val="en-US"/>
              </w:rPr>
              <w:t>Age</w:t>
            </w:r>
          </w:p>
        </w:tc>
        <w:tc>
          <w:tcPr>
            <w:tcW w:w="540" w:type="pct"/>
            <w:tcBorders>
              <w:top w:val="single" w:sz="4" w:space="0" w:color="auto"/>
              <w:left w:val="single" w:sz="4" w:space="0" w:color="auto"/>
              <w:bottom w:val="single" w:sz="4" w:space="0" w:color="auto"/>
              <w:right w:val="single" w:sz="4" w:space="0" w:color="auto"/>
            </w:tcBorders>
          </w:tcPr>
          <w:p w14:paraId="62A8722E" w14:textId="470FC7D7" w:rsidR="000B086A" w:rsidRPr="0061109F" w:rsidRDefault="000B086A" w:rsidP="000B086A">
            <w:pPr>
              <w:autoSpaceDE w:val="0"/>
              <w:autoSpaceDN w:val="0"/>
              <w:adjustRightInd w:val="0"/>
              <w:spacing w:line="480" w:lineRule="auto"/>
              <w:jc w:val="center"/>
              <w:rPr>
                <w:rFonts w:ascii="Calibri" w:eastAsiaTheme="minorHAnsi" w:hAnsi="Calibri" w:cs="Calibri"/>
                <w:b/>
                <w:sz w:val="20"/>
                <w:szCs w:val="20"/>
                <w:lang w:val="en-US"/>
              </w:rPr>
            </w:pPr>
            <w:r w:rsidRPr="0061109F">
              <w:rPr>
                <w:rFonts w:ascii="Calibri" w:eastAsiaTheme="minorHAnsi" w:hAnsi="Calibri" w:cs="Calibri"/>
                <w:b/>
                <w:sz w:val="20"/>
                <w:szCs w:val="20"/>
                <w:lang w:val="en-US"/>
              </w:rPr>
              <w:t>0.85</w:t>
            </w:r>
          </w:p>
        </w:tc>
        <w:tc>
          <w:tcPr>
            <w:tcW w:w="616" w:type="pct"/>
            <w:tcBorders>
              <w:top w:val="single" w:sz="4" w:space="0" w:color="auto"/>
              <w:left w:val="single" w:sz="4" w:space="0" w:color="auto"/>
              <w:bottom w:val="single" w:sz="4" w:space="0" w:color="auto"/>
              <w:right w:val="single" w:sz="4" w:space="0" w:color="auto"/>
            </w:tcBorders>
          </w:tcPr>
          <w:p w14:paraId="73314C5D" w14:textId="15CBFCEF" w:rsidR="000B086A" w:rsidRPr="0061109F" w:rsidRDefault="000B086A" w:rsidP="000B086A">
            <w:pPr>
              <w:autoSpaceDE w:val="0"/>
              <w:autoSpaceDN w:val="0"/>
              <w:adjustRightInd w:val="0"/>
              <w:spacing w:line="480" w:lineRule="auto"/>
              <w:jc w:val="center"/>
              <w:rPr>
                <w:rFonts w:ascii="Calibri" w:eastAsiaTheme="minorHAnsi" w:hAnsi="Calibri" w:cs="Calibri"/>
                <w:b/>
                <w:sz w:val="20"/>
                <w:szCs w:val="20"/>
                <w:lang w:val="en-US"/>
              </w:rPr>
            </w:pPr>
            <w:r w:rsidRPr="0061109F">
              <w:rPr>
                <w:rFonts w:ascii="Calibri" w:eastAsiaTheme="minorHAnsi" w:hAnsi="Calibri" w:cs="Calibri"/>
                <w:b/>
                <w:sz w:val="20"/>
                <w:szCs w:val="20"/>
                <w:lang w:val="en-US"/>
              </w:rPr>
              <w:t>0.85</w:t>
            </w:r>
          </w:p>
        </w:tc>
        <w:tc>
          <w:tcPr>
            <w:tcW w:w="538" w:type="pct"/>
            <w:tcBorders>
              <w:top w:val="single" w:sz="4" w:space="0" w:color="auto"/>
              <w:left w:val="single" w:sz="4" w:space="0" w:color="auto"/>
              <w:bottom w:val="single" w:sz="4" w:space="0" w:color="auto"/>
              <w:right w:val="single" w:sz="4" w:space="0" w:color="auto"/>
            </w:tcBorders>
          </w:tcPr>
          <w:p w14:paraId="454B7D14" w14:textId="6A3763A0" w:rsidR="000B086A" w:rsidRPr="0061109F" w:rsidRDefault="000B086A" w:rsidP="000B086A">
            <w:pPr>
              <w:autoSpaceDE w:val="0"/>
              <w:autoSpaceDN w:val="0"/>
              <w:adjustRightInd w:val="0"/>
              <w:spacing w:line="480" w:lineRule="auto"/>
              <w:jc w:val="center"/>
              <w:rPr>
                <w:rFonts w:ascii="Calibri" w:eastAsiaTheme="minorHAnsi" w:hAnsi="Calibri" w:cs="Calibri"/>
                <w:b/>
                <w:sz w:val="20"/>
                <w:szCs w:val="20"/>
                <w:lang w:val="en-US"/>
              </w:rPr>
            </w:pPr>
            <w:r w:rsidRPr="0061109F">
              <w:rPr>
                <w:rFonts w:ascii="Calibri" w:eastAsiaTheme="minorHAnsi" w:hAnsi="Calibri" w:cs="Calibri"/>
                <w:b/>
                <w:sz w:val="20"/>
                <w:szCs w:val="20"/>
                <w:lang w:val="en-US"/>
              </w:rPr>
              <w:t>0.86</w:t>
            </w:r>
          </w:p>
        </w:tc>
        <w:tc>
          <w:tcPr>
            <w:tcW w:w="538" w:type="pct"/>
            <w:tcBorders>
              <w:top w:val="single" w:sz="4" w:space="0" w:color="auto"/>
              <w:left w:val="single" w:sz="4" w:space="0" w:color="auto"/>
              <w:bottom w:val="single" w:sz="4" w:space="0" w:color="auto"/>
              <w:right w:val="single" w:sz="4" w:space="0" w:color="auto"/>
            </w:tcBorders>
          </w:tcPr>
          <w:p w14:paraId="7C0A3451" w14:textId="175B21AE" w:rsidR="000B086A" w:rsidRPr="0061109F" w:rsidRDefault="000B086A" w:rsidP="000B086A">
            <w:pPr>
              <w:autoSpaceDE w:val="0"/>
              <w:autoSpaceDN w:val="0"/>
              <w:adjustRightInd w:val="0"/>
              <w:spacing w:line="480" w:lineRule="auto"/>
              <w:jc w:val="center"/>
              <w:rPr>
                <w:rFonts w:ascii="Calibri" w:eastAsiaTheme="minorHAnsi" w:hAnsi="Calibri" w:cs="Calibri"/>
                <w:b/>
                <w:sz w:val="20"/>
                <w:szCs w:val="20"/>
                <w:lang w:val="en-US"/>
              </w:rPr>
            </w:pPr>
            <w:r w:rsidRPr="0061109F">
              <w:rPr>
                <w:rFonts w:ascii="Calibri" w:eastAsiaTheme="minorHAnsi" w:hAnsi="Calibri" w:cs="Calibri"/>
                <w:b/>
                <w:sz w:val="20"/>
                <w:szCs w:val="20"/>
                <w:lang w:val="en-US"/>
              </w:rPr>
              <w:t>0.87</w:t>
            </w:r>
          </w:p>
        </w:tc>
        <w:tc>
          <w:tcPr>
            <w:tcW w:w="693" w:type="pct"/>
            <w:tcBorders>
              <w:top w:val="single" w:sz="4" w:space="0" w:color="auto"/>
              <w:left w:val="single" w:sz="4" w:space="0" w:color="auto"/>
              <w:bottom w:val="single" w:sz="4" w:space="0" w:color="auto"/>
              <w:right w:val="single" w:sz="4" w:space="0" w:color="auto"/>
            </w:tcBorders>
          </w:tcPr>
          <w:p w14:paraId="2E85EF47" w14:textId="7634CC7C" w:rsidR="000B086A" w:rsidRPr="0061109F" w:rsidRDefault="000B086A" w:rsidP="000B086A">
            <w:pPr>
              <w:autoSpaceDE w:val="0"/>
              <w:autoSpaceDN w:val="0"/>
              <w:adjustRightInd w:val="0"/>
              <w:spacing w:line="480" w:lineRule="auto"/>
              <w:jc w:val="center"/>
              <w:rPr>
                <w:rFonts w:ascii="Calibri" w:eastAsiaTheme="minorHAnsi" w:hAnsi="Calibri" w:cs="Calibri"/>
                <w:b/>
                <w:sz w:val="20"/>
                <w:szCs w:val="20"/>
                <w:lang w:val="en-US"/>
              </w:rPr>
            </w:pPr>
            <w:r w:rsidRPr="0061109F">
              <w:rPr>
                <w:rFonts w:ascii="Calibri" w:eastAsiaTheme="minorHAnsi" w:hAnsi="Calibri" w:cs="Calibri"/>
                <w:b/>
                <w:sz w:val="20"/>
                <w:szCs w:val="20"/>
                <w:lang w:val="en-US"/>
              </w:rPr>
              <w:t>0.86</w:t>
            </w:r>
          </w:p>
        </w:tc>
        <w:tc>
          <w:tcPr>
            <w:tcW w:w="539" w:type="pct"/>
            <w:tcBorders>
              <w:top w:val="single" w:sz="4" w:space="0" w:color="auto"/>
              <w:left w:val="single" w:sz="4" w:space="0" w:color="auto"/>
              <w:bottom w:val="single" w:sz="4" w:space="0" w:color="auto"/>
              <w:right w:val="single" w:sz="4" w:space="0" w:color="auto"/>
            </w:tcBorders>
          </w:tcPr>
          <w:p w14:paraId="63394757" w14:textId="24F42808" w:rsidR="000B086A" w:rsidRPr="0061109F" w:rsidRDefault="000B086A" w:rsidP="000B086A">
            <w:pPr>
              <w:autoSpaceDE w:val="0"/>
              <w:autoSpaceDN w:val="0"/>
              <w:adjustRightInd w:val="0"/>
              <w:spacing w:line="480" w:lineRule="auto"/>
              <w:jc w:val="center"/>
              <w:rPr>
                <w:rFonts w:ascii="Calibri" w:eastAsiaTheme="minorHAnsi" w:hAnsi="Calibri" w:cs="Calibri"/>
                <w:b/>
                <w:sz w:val="20"/>
                <w:szCs w:val="20"/>
                <w:lang w:val="en-US"/>
              </w:rPr>
            </w:pPr>
            <w:r w:rsidRPr="0061109F">
              <w:rPr>
                <w:rFonts w:ascii="Calibri" w:eastAsiaTheme="minorHAnsi" w:hAnsi="Calibri" w:cs="Calibri"/>
                <w:b/>
                <w:sz w:val="20"/>
                <w:szCs w:val="20"/>
                <w:lang w:val="en-US"/>
              </w:rPr>
              <w:t>0.88</w:t>
            </w:r>
          </w:p>
        </w:tc>
      </w:tr>
      <w:tr w:rsidR="0061109F" w:rsidRPr="0061109F" w14:paraId="417E0713" w14:textId="77777777" w:rsidTr="000B086A">
        <w:trPr>
          <w:trHeight w:val="300"/>
        </w:trPr>
        <w:tc>
          <w:tcPr>
            <w:tcW w:w="1535" w:type="pct"/>
            <w:tcBorders>
              <w:top w:val="single" w:sz="4" w:space="0" w:color="auto"/>
              <w:left w:val="single" w:sz="4" w:space="0" w:color="auto"/>
              <w:bottom w:val="single" w:sz="4" w:space="0" w:color="auto"/>
              <w:right w:val="single" w:sz="4" w:space="0" w:color="auto"/>
            </w:tcBorders>
          </w:tcPr>
          <w:p w14:paraId="771F2BA0" w14:textId="77777777" w:rsidR="000B086A" w:rsidRPr="0061109F" w:rsidRDefault="000B086A" w:rsidP="000B086A">
            <w:pPr>
              <w:autoSpaceDE w:val="0"/>
              <w:autoSpaceDN w:val="0"/>
              <w:adjustRightInd w:val="0"/>
              <w:spacing w:line="480" w:lineRule="auto"/>
              <w:rPr>
                <w:rFonts w:ascii="Calibri" w:eastAsiaTheme="minorHAnsi" w:hAnsi="Calibri" w:cs="Calibri"/>
                <w:sz w:val="20"/>
                <w:szCs w:val="20"/>
                <w:lang w:val="en-US"/>
              </w:rPr>
            </w:pPr>
            <w:r w:rsidRPr="0061109F">
              <w:rPr>
                <w:rFonts w:ascii="Calibri" w:eastAsiaTheme="minorHAnsi" w:hAnsi="Calibri" w:cs="Calibri"/>
                <w:sz w:val="20"/>
                <w:szCs w:val="20"/>
                <w:lang w:val="en-US"/>
              </w:rPr>
              <w:t>Education years, z-score</w:t>
            </w:r>
          </w:p>
        </w:tc>
        <w:tc>
          <w:tcPr>
            <w:tcW w:w="540" w:type="pct"/>
            <w:tcBorders>
              <w:top w:val="single" w:sz="4" w:space="0" w:color="auto"/>
              <w:left w:val="single" w:sz="4" w:space="0" w:color="auto"/>
              <w:bottom w:val="single" w:sz="4" w:space="0" w:color="auto"/>
              <w:right w:val="single" w:sz="4" w:space="0" w:color="auto"/>
            </w:tcBorders>
          </w:tcPr>
          <w:p w14:paraId="01D985A0" w14:textId="1FCBF1A4" w:rsidR="000B086A" w:rsidRPr="0061109F" w:rsidRDefault="000B086A" w:rsidP="000B086A">
            <w:pPr>
              <w:autoSpaceDE w:val="0"/>
              <w:autoSpaceDN w:val="0"/>
              <w:adjustRightInd w:val="0"/>
              <w:spacing w:line="480" w:lineRule="auto"/>
              <w:jc w:val="center"/>
              <w:rPr>
                <w:rFonts w:ascii="Calibri" w:eastAsiaTheme="minorHAnsi" w:hAnsi="Calibri" w:cs="Calibri"/>
                <w:b/>
                <w:sz w:val="20"/>
                <w:szCs w:val="20"/>
                <w:lang w:val="en-US"/>
              </w:rPr>
            </w:pPr>
            <w:r w:rsidRPr="0061109F">
              <w:rPr>
                <w:rFonts w:ascii="Calibri" w:eastAsiaTheme="minorHAnsi" w:hAnsi="Calibri" w:cs="Calibri"/>
                <w:b/>
                <w:sz w:val="20"/>
                <w:szCs w:val="20"/>
                <w:lang w:val="en-US"/>
              </w:rPr>
              <w:t>0.88</w:t>
            </w:r>
          </w:p>
        </w:tc>
        <w:tc>
          <w:tcPr>
            <w:tcW w:w="616" w:type="pct"/>
            <w:tcBorders>
              <w:top w:val="single" w:sz="4" w:space="0" w:color="auto"/>
              <w:left w:val="single" w:sz="4" w:space="0" w:color="auto"/>
              <w:bottom w:val="single" w:sz="4" w:space="0" w:color="auto"/>
              <w:right w:val="single" w:sz="4" w:space="0" w:color="auto"/>
            </w:tcBorders>
          </w:tcPr>
          <w:p w14:paraId="10E7FF34" w14:textId="5B611E85" w:rsidR="000B086A" w:rsidRPr="0061109F" w:rsidRDefault="000B086A" w:rsidP="000B086A">
            <w:pPr>
              <w:autoSpaceDE w:val="0"/>
              <w:autoSpaceDN w:val="0"/>
              <w:adjustRightInd w:val="0"/>
              <w:spacing w:line="480" w:lineRule="auto"/>
              <w:jc w:val="center"/>
              <w:rPr>
                <w:rFonts w:ascii="Calibri" w:eastAsiaTheme="minorHAnsi" w:hAnsi="Calibri" w:cs="Calibri"/>
                <w:b/>
                <w:sz w:val="20"/>
                <w:szCs w:val="20"/>
                <w:lang w:val="en-US"/>
              </w:rPr>
            </w:pPr>
            <w:r w:rsidRPr="0061109F">
              <w:rPr>
                <w:rFonts w:ascii="Calibri" w:eastAsiaTheme="minorHAnsi" w:hAnsi="Calibri" w:cs="Calibri"/>
                <w:b/>
                <w:sz w:val="20"/>
                <w:szCs w:val="20"/>
                <w:lang w:val="en-US"/>
              </w:rPr>
              <w:t>0.82</w:t>
            </w:r>
          </w:p>
        </w:tc>
        <w:tc>
          <w:tcPr>
            <w:tcW w:w="538" w:type="pct"/>
            <w:tcBorders>
              <w:top w:val="single" w:sz="4" w:space="0" w:color="auto"/>
              <w:left w:val="single" w:sz="4" w:space="0" w:color="auto"/>
              <w:bottom w:val="single" w:sz="4" w:space="0" w:color="auto"/>
              <w:right w:val="single" w:sz="4" w:space="0" w:color="auto"/>
            </w:tcBorders>
          </w:tcPr>
          <w:p w14:paraId="2F362A96" w14:textId="279F0B61" w:rsidR="000B086A" w:rsidRPr="0061109F" w:rsidRDefault="000B086A" w:rsidP="000B086A">
            <w:pPr>
              <w:autoSpaceDE w:val="0"/>
              <w:autoSpaceDN w:val="0"/>
              <w:adjustRightInd w:val="0"/>
              <w:spacing w:line="480" w:lineRule="auto"/>
              <w:jc w:val="center"/>
              <w:rPr>
                <w:rFonts w:ascii="Calibri" w:eastAsiaTheme="minorHAnsi" w:hAnsi="Calibri" w:cs="Calibri"/>
                <w:b/>
                <w:sz w:val="20"/>
                <w:szCs w:val="20"/>
                <w:lang w:val="en-US"/>
              </w:rPr>
            </w:pPr>
            <w:r w:rsidRPr="0061109F">
              <w:rPr>
                <w:rFonts w:ascii="Calibri" w:eastAsiaTheme="minorHAnsi" w:hAnsi="Calibri" w:cs="Calibri"/>
                <w:b/>
                <w:sz w:val="20"/>
                <w:szCs w:val="20"/>
                <w:lang w:val="en-US"/>
              </w:rPr>
              <w:t>0.94</w:t>
            </w:r>
          </w:p>
        </w:tc>
        <w:tc>
          <w:tcPr>
            <w:tcW w:w="538" w:type="pct"/>
            <w:tcBorders>
              <w:top w:val="single" w:sz="4" w:space="0" w:color="auto"/>
              <w:left w:val="single" w:sz="4" w:space="0" w:color="auto"/>
              <w:bottom w:val="single" w:sz="4" w:space="0" w:color="auto"/>
              <w:right w:val="single" w:sz="4" w:space="0" w:color="auto"/>
            </w:tcBorders>
          </w:tcPr>
          <w:p w14:paraId="4C0C8BEA" w14:textId="3C975A45" w:rsidR="000B086A" w:rsidRPr="0061109F" w:rsidRDefault="000B086A" w:rsidP="000B086A">
            <w:pPr>
              <w:autoSpaceDE w:val="0"/>
              <w:autoSpaceDN w:val="0"/>
              <w:adjustRightInd w:val="0"/>
              <w:spacing w:line="480" w:lineRule="auto"/>
              <w:jc w:val="center"/>
              <w:rPr>
                <w:rFonts w:ascii="Calibri" w:eastAsiaTheme="minorHAnsi" w:hAnsi="Calibri" w:cs="Calibri"/>
                <w:b/>
                <w:sz w:val="20"/>
                <w:szCs w:val="20"/>
                <w:lang w:val="en-US"/>
              </w:rPr>
            </w:pPr>
            <w:r w:rsidRPr="0061109F">
              <w:rPr>
                <w:rFonts w:ascii="Calibri" w:eastAsiaTheme="minorHAnsi" w:hAnsi="Calibri" w:cs="Calibri"/>
                <w:sz w:val="20"/>
                <w:szCs w:val="20"/>
                <w:lang w:val="en-US"/>
              </w:rPr>
              <w:t>1.04</w:t>
            </w:r>
          </w:p>
        </w:tc>
        <w:tc>
          <w:tcPr>
            <w:tcW w:w="693" w:type="pct"/>
            <w:tcBorders>
              <w:top w:val="single" w:sz="4" w:space="0" w:color="auto"/>
              <w:left w:val="single" w:sz="4" w:space="0" w:color="auto"/>
              <w:bottom w:val="single" w:sz="4" w:space="0" w:color="auto"/>
              <w:right w:val="single" w:sz="4" w:space="0" w:color="auto"/>
            </w:tcBorders>
          </w:tcPr>
          <w:p w14:paraId="18607E88" w14:textId="5BC41BC7" w:rsidR="000B086A" w:rsidRPr="0061109F" w:rsidRDefault="000B086A" w:rsidP="000B086A">
            <w:pPr>
              <w:autoSpaceDE w:val="0"/>
              <w:autoSpaceDN w:val="0"/>
              <w:adjustRightInd w:val="0"/>
              <w:spacing w:line="480" w:lineRule="auto"/>
              <w:jc w:val="center"/>
              <w:rPr>
                <w:rFonts w:ascii="Calibri" w:eastAsiaTheme="minorHAnsi" w:hAnsi="Calibri" w:cs="Calibri"/>
                <w:b/>
                <w:sz w:val="20"/>
                <w:szCs w:val="20"/>
                <w:lang w:val="en-US"/>
              </w:rPr>
            </w:pPr>
            <w:r w:rsidRPr="0061109F">
              <w:rPr>
                <w:rFonts w:ascii="Calibri" w:eastAsiaTheme="minorHAnsi" w:hAnsi="Calibri" w:cs="Calibri"/>
                <w:sz w:val="20"/>
                <w:szCs w:val="20"/>
                <w:lang w:val="en-US"/>
              </w:rPr>
              <w:t>0.97</w:t>
            </w:r>
          </w:p>
        </w:tc>
        <w:tc>
          <w:tcPr>
            <w:tcW w:w="539" w:type="pct"/>
            <w:tcBorders>
              <w:top w:val="single" w:sz="4" w:space="0" w:color="auto"/>
              <w:left w:val="single" w:sz="4" w:space="0" w:color="auto"/>
              <w:bottom w:val="single" w:sz="4" w:space="0" w:color="auto"/>
              <w:right w:val="single" w:sz="4" w:space="0" w:color="auto"/>
            </w:tcBorders>
          </w:tcPr>
          <w:p w14:paraId="48E2D7CF" w14:textId="4A55C9C3" w:rsidR="000B086A" w:rsidRPr="0061109F" w:rsidRDefault="000B086A" w:rsidP="000B086A">
            <w:pPr>
              <w:autoSpaceDE w:val="0"/>
              <w:autoSpaceDN w:val="0"/>
              <w:adjustRightInd w:val="0"/>
              <w:spacing w:line="480" w:lineRule="auto"/>
              <w:jc w:val="center"/>
              <w:rPr>
                <w:rFonts w:ascii="Calibri" w:eastAsiaTheme="minorHAnsi" w:hAnsi="Calibri" w:cs="Calibri"/>
                <w:b/>
                <w:sz w:val="20"/>
                <w:szCs w:val="20"/>
                <w:lang w:val="en-US"/>
              </w:rPr>
            </w:pPr>
            <w:r w:rsidRPr="0061109F">
              <w:rPr>
                <w:rFonts w:ascii="Calibri" w:eastAsiaTheme="minorHAnsi" w:hAnsi="Calibri" w:cs="Calibri"/>
                <w:sz w:val="20"/>
                <w:szCs w:val="20"/>
                <w:lang w:val="en-US"/>
              </w:rPr>
              <w:t>1.12</w:t>
            </w:r>
          </w:p>
        </w:tc>
      </w:tr>
      <w:tr w:rsidR="0061109F" w:rsidRPr="0061109F" w14:paraId="05AA280F" w14:textId="77777777" w:rsidTr="000B086A">
        <w:trPr>
          <w:trHeight w:val="300"/>
        </w:trPr>
        <w:tc>
          <w:tcPr>
            <w:tcW w:w="1535" w:type="pct"/>
            <w:tcBorders>
              <w:top w:val="single" w:sz="4" w:space="0" w:color="auto"/>
              <w:left w:val="single" w:sz="4" w:space="0" w:color="auto"/>
              <w:bottom w:val="single" w:sz="4" w:space="0" w:color="auto"/>
              <w:right w:val="single" w:sz="4" w:space="0" w:color="auto"/>
            </w:tcBorders>
          </w:tcPr>
          <w:p w14:paraId="1AE24CCE" w14:textId="77777777" w:rsidR="000B086A" w:rsidRPr="0061109F" w:rsidRDefault="000B086A" w:rsidP="000B086A">
            <w:pPr>
              <w:autoSpaceDE w:val="0"/>
              <w:autoSpaceDN w:val="0"/>
              <w:adjustRightInd w:val="0"/>
              <w:spacing w:line="480" w:lineRule="auto"/>
              <w:rPr>
                <w:rFonts w:ascii="Calibri" w:eastAsiaTheme="minorHAnsi" w:hAnsi="Calibri" w:cs="Calibri"/>
                <w:sz w:val="20"/>
                <w:szCs w:val="20"/>
                <w:lang w:val="en-US"/>
              </w:rPr>
            </w:pPr>
            <w:r w:rsidRPr="0061109F">
              <w:rPr>
                <w:rFonts w:ascii="Calibri" w:eastAsiaTheme="minorHAnsi" w:hAnsi="Calibri" w:cs="Calibri"/>
                <w:sz w:val="20"/>
                <w:szCs w:val="20"/>
                <w:lang w:val="en-US"/>
              </w:rPr>
              <w:t>SCZ family history score, z-score</w:t>
            </w:r>
          </w:p>
        </w:tc>
        <w:tc>
          <w:tcPr>
            <w:tcW w:w="540" w:type="pct"/>
            <w:tcBorders>
              <w:top w:val="single" w:sz="4" w:space="0" w:color="auto"/>
              <w:left w:val="single" w:sz="4" w:space="0" w:color="auto"/>
              <w:bottom w:val="single" w:sz="4" w:space="0" w:color="auto"/>
              <w:right w:val="single" w:sz="4" w:space="0" w:color="auto"/>
            </w:tcBorders>
          </w:tcPr>
          <w:p w14:paraId="76A939B3" w14:textId="63A72B30" w:rsidR="000B086A" w:rsidRPr="0061109F" w:rsidRDefault="000B086A" w:rsidP="000B086A">
            <w:pPr>
              <w:autoSpaceDE w:val="0"/>
              <w:autoSpaceDN w:val="0"/>
              <w:adjustRightInd w:val="0"/>
              <w:spacing w:line="480" w:lineRule="auto"/>
              <w:jc w:val="center"/>
              <w:rPr>
                <w:rFonts w:ascii="Calibri" w:eastAsiaTheme="minorHAnsi" w:hAnsi="Calibri" w:cs="Calibri"/>
                <w:b/>
                <w:sz w:val="20"/>
                <w:szCs w:val="20"/>
                <w:lang w:val="en-US"/>
              </w:rPr>
            </w:pPr>
            <w:r w:rsidRPr="0061109F">
              <w:rPr>
                <w:rFonts w:ascii="Calibri" w:eastAsiaTheme="minorHAnsi" w:hAnsi="Calibri" w:cs="Calibri"/>
                <w:sz w:val="20"/>
                <w:szCs w:val="20"/>
                <w:lang w:val="en-US"/>
              </w:rPr>
              <w:t>0.98</w:t>
            </w:r>
          </w:p>
        </w:tc>
        <w:tc>
          <w:tcPr>
            <w:tcW w:w="616" w:type="pct"/>
            <w:tcBorders>
              <w:top w:val="single" w:sz="4" w:space="0" w:color="auto"/>
              <w:left w:val="single" w:sz="4" w:space="0" w:color="auto"/>
              <w:bottom w:val="single" w:sz="4" w:space="0" w:color="auto"/>
              <w:right w:val="single" w:sz="4" w:space="0" w:color="auto"/>
            </w:tcBorders>
          </w:tcPr>
          <w:p w14:paraId="55177113" w14:textId="2D9BC271" w:rsidR="000B086A" w:rsidRPr="0061109F" w:rsidRDefault="000B086A" w:rsidP="000B086A">
            <w:pPr>
              <w:autoSpaceDE w:val="0"/>
              <w:autoSpaceDN w:val="0"/>
              <w:adjustRightInd w:val="0"/>
              <w:spacing w:line="480" w:lineRule="auto"/>
              <w:jc w:val="center"/>
              <w:rPr>
                <w:rFonts w:ascii="Calibri" w:eastAsiaTheme="minorHAnsi" w:hAnsi="Calibri" w:cs="Calibri"/>
                <w:b/>
                <w:sz w:val="20"/>
                <w:szCs w:val="20"/>
                <w:lang w:val="en-US"/>
              </w:rPr>
            </w:pPr>
            <w:r w:rsidRPr="0061109F">
              <w:rPr>
                <w:rFonts w:ascii="Calibri" w:eastAsiaTheme="minorHAnsi" w:hAnsi="Calibri" w:cs="Calibri"/>
                <w:sz w:val="20"/>
                <w:szCs w:val="20"/>
                <w:lang w:val="en-US"/>
              </w:rPr>
              <w:t>0.96</w:t>
            </w:r>
          </w:p>
        </w:tc>
        <w:tc>
          <w:tcPr>
            <w:tcW w:w="538" w:type="pct"/>
            <w:tcBorders>
              <w:top w:val="single" w:sz="4" w:space="0" w:color="auto"/>
              <w:left w:val="single" w:sz="4" w:space="0" w:color="auto"/>
              <w:bottom w:val="single" w:sz="4" w:space="0" w:color="auto"/>
              <w:right w:val="single" w:sz="4" w:space="0" w:color="auto"/>
            </w:tcBorders>
          </w:tcPr>
          <w:p w14:paraId="7F59D937" w14:textId="6BE57A1E" w:rsidR="000B086A" w:rsidRPr="0061109F" w:rsidRDefault="000B086A" w:rsidP="000B086A">
            <w:pPr>
              <w:autoSpaceDE w:val="0"/>
              <w:autoSpaceDN w:val="0"/>
              <w:adjustRightInd w:val="0"/>
              <w:spacing w:line="480" w:lineRule="auto"/>
              <w:jc w:val="center"/>
              <w:rPr>
                <w:rFonts w:ascii="Calibri" w:eastAsiaTheme="minorHAnsi" w:hAnsi="Calibri" w:cs="Calibri"/>
                <w:b/>
                <w:sz w:val="20"/>
                <w:szCs w:val="20"/>
                <w:lang w:val="en-US"/>
              </w:rPr>
            </w:pPr>
            <w:r w:rsidRPr="0061109F">
              <w:rPr>
                <w:rFonts w:ascii="Calibri" w:eastAsiaTheme="minorHAnsi" w:hAnsi="Calibri" w:cs="Calibri"/>
                <w:sz w:val="20"/>
                <w:szCs w:val="20"/>
                <w:lang w:val="en-US"/>
              </w:rPr>
              <w:t>1.01</w:t>
            </w:r>
          </w:p>
        </w:tc>
        <w:tc>
          <w:tcPr>
            <w:tcW w:w="538" w:type="pct"/>
            <w:tcBorders>
              <w:top w:val="single" w:sz="4" w:space="0" w:color="auto"/>
              <w:left w:val="single" w:sz="4" w:space="0" w:color="auto"/>
              <w:bottom w:val="single" w:sz="4" w:space="0" w:color="auto"/>
              <w:right w:val="single" w:sz="4" w:space="0" w:color="auto"/>
            </w:tcBorders>
          </w:tcPr>
          <w:p w14:paraId="34EF01BA" w14:textId="317EE474" w:rsidR="000B086A" w:rsidRPr="0061109F" w:rsidRDefault="000B086A" w:rsidP="000B086A">
            <w:pPr>
              <w:autoSpaceDE w:val="0"/>
              <w:autoSpaceDN w:val="0"/>
              <w:adjustRightInd w:val="0"/>
              <w:spacing w:line="480" w:lineRule="auto"/>
              <w:jc w:val="center"/>
              <w:rPr>
                <w:rFonts w:ascii="Calibri" w:eastAsiaTheme="minorHAnsi" w:hAnsi="Calibri" w:cs="Calibri"/>
                <w:b/>
                <w:sz w:val="20"/>
                <w:szCs w:val="20"/>
                <w:lang w:val="en-US"/>
              </w:rPr>
            </w:pPr>
            <w:r w:rsidRPr="0061109F">
              <w:rPr>
                <w:rFonts w:ascii="Calibri" w:eastAsiaTheme="minorHAnsi" w:hAnsi="Calibri" w:cs="Calibri"/>
                <w:sz w:val="20"/>
                <w:szCs w:val="20"/>
                <w:lang w:val="en-US"/>
              </w:rPr>
              <w:t>0.99</w:t>
            </w:r>
          </w:p>
        </w:tc>
        <w:tc>
          <w:tcPr>
            <w:tcW w:w="693" w:type="pct"/>
            <w:tcBorders>
              <w:top w:val="single" w:sz="4" w:space="0" w:color="auto"/>
              <w:left w:val="single" w:sz="4" w:space="0" w:color="auto"/>
              <w:bottom w:val="single" w:sz="4" w:space="0" w:color="auto"/>
              <w:right w:val="single" w:sz="4" w:space="0" w:color="auto"/>
            </w:tcBorders>
          </w:tcPr>
          <w:p w14:paraId="50220207" w14:textId="155B6A99" w:rsidR="000B086A" w:rsidRPr="0061109F" w:rsidRDefault="000B086A" w:rsidP="000B086A">
            <w:pPr>
              <w:autoSpaceDE w:val="0"/>
              <w:autoSpaceDN w:val="0"/>
              <w:adjustRightInd w:val="0"/>
              <w:spacing w:line="480" w:lineRule="auto"/>
              <w:jc w:val="center"/>
              <w:rPr>
                <w:rFonts w:ascii="Calibri" w:eastAsiaTheme="minorHAnsi" w:hAnsi="Calibri" w:cs="Calibri"/>
                <w:b/>
                <w:sz w:val="20"/>
                <w:szCs w:val="20"/>
                <w:lang w:val="en-US"/>
              </w:rPr>
            </w:pPr>
            <w:r w:rsidRPr="0061109F">
              <w:rPr>
                <w:rFonts w:ascii="Calibri" w:eastAsiaTheme="minorHAnsi" w:hAnsi="Calibri" w:cs="Calibri"/>
                <w:sz w:val="20"/>
                <w:szCs w:val="20"/>
                <w:lang w:val="en-US"/>
              </w:rPr>
              <w:t>0.97</w:t>
            </w:r>
          </w:p>
        </w:tc>
        <w:tc>
          <w:tcPr>
            <w:tcW w:w="539" w:type="pct"/>
            <w:tcBorders>
              <w:top w:val="single" w:sz="4" w:space="0" w:color="auto"/>
              <w:left w:val="single" w:sz="4" w:space="0" w:color="auto"/>
              <w:bottom w:val="single" w:sz="4" w:space="0" w:color="auto"/>
              <w:right w:val="single" w:sz="4" w:space="0" w:color="auto"/>
            </w:tcBorders>
          </w:tcPr>
          <w:p w14:paraId="43B4AEFE" w14:textId="17F1D381" w:rsidR="000B086A" w:rsidRPr="0061109F" w:rsidRDefault="000B086A" w:rsidP="000B086A">
            <w:pPr>
              <w:autoSpaceDE w:val="0"/>
              <w:autoSpaceDN w:val="0"/>
              <w:adjustRightInd w:val="0"/>
              <w:spacing w:line="480" w:lineRule="auto"/>
              <w:jc w:val="center"/>
              <w:rPr>
                <w:rFonts w:ascii="Calibri" w:eastAsiaTheme="minorHAnsi" w:hAnsi="Calibri" w:cs="Calibri"/>
                <w:b/>
                <w:sz w:val="20"/>
                <w:szCs w:val="20"/>
                <w:lang w:val="en-US"/>
              </w:rPr>
            </w:pPr>
            <w:r w:rsidRPr="0061109F">
              <w:rPr>
                <w:rFonts w:ascii="Calibri" w:eastAsiaTheme="minorHAnsi" w:hAnsi="Calibri" w:cs="Calibri"/>
                <w:sz w:val="20"/>
                <w:szCs w:val="20"/>
                <w:lang w:val="en-US"/>
              </w:rPr>
              <w:t>1.02</w:t>
            </w:r>
          </w:p>
        </w:tc>
      </w:tr>
      <w:tr w:rsidR="0061109F" w:rsidRPr="0061109F" w14:paraId="1513D824" w14:textId="77777777" w:rsidTr="000B086A">
        <w:trPr>
          <w:trHeight w:val="300"/>
        </w:trPr>
        <w:tc>
          <w:tcPr>
            <w:tcW w:w="1535" w:type="pct"/>
            <w:tcBorders>
              <w:top w:val="single" w:sz="4" w:space="0" w:color="auto"/>
              <w:left w:val="single" w:sz="4" w:space="0" w:color="auto"/>
              <w:bottom w:val="single" w:sz="4" w:space="0" w:color="auto"/>
              <w:right w:val="single" w:sz="4" w:space="0" w:color="auto"/>
            </w:tcBorders>
          </w:tcPr>
          <w:p w14:paraId="6BCF7C7F" w14:textId="77777777" w:rsidR="000B086A" w:rsidRPr="0061109F" w:rsidRDefault="000B086A" w:rsidP="000B086A">
            <w:pPr>
              <w:autoSpaceDE w:val="0"/>
              <w:autoSpaceDN w:val="0"/>
              <w:adjustRightInd w:val="0"/>
              <w:spacing w:line="480" w:lineRule="auto"/>
              <w:rPr>
                <w:rFonts w:ascii="Calibri" w:eastAsiaTheme="minorHAnsi" w:hAnsi="Calibri" w:cs="Calibri"/>
                <w:sz w:val="20"/>
                <w:szCs w:val="20"/>
                <w:lang w:val="en-US"/>
              </w:rPr>
            </w:pPr>
            <w:r w:rsidRPr="0061109F">
              <w:rPr>
                <w:rFonts w:ascii="Calibri" w:eastAsiaTheme="minorHAnsi" w:hAnsi="Calibri" w:cs="Calibri"/>
                <w:sz w:val="20"/>
                <w:szCs w:val="20"/>
                <w:lang w:val="en-US"/>
              </w:rPr>
              <w:t>Number of SCZ outpatient visits</w:t>
            </w:r>
          </w:p>
        </w:tc>
        <w:tc>
          <w:tcPr>
            <w:tcW w:w="540" w:type="pct"/>
            <w:tcBorders>
              <w:top w:val="single" w:sz="4" w:space="0" w:color="auto"/>
              <w:left w:val="single" w:sz="4" w:space="0" w:color="auto"/>
              <w:bottom w:val="single" w:sz="4" w:space="0" w:color="auto"/>
              <w:right w:val="single" w:sz="4" w:space="0" w:color="auto"/>
            </w:tcBorders>
          </w:tcPr>
          <w:p w14:paraId="11E8050F" w14:textId="7C21D0CA" w:rsidR="000B086A" w:rsidRPr="0061109F" w:rsidRDefault="000B086A" w:rsidP="000B086A">
            <w:pPr>
              <w:autoSpaceDE w:val="0"/>
              <w:autoSpaceDN w:val="0"/>
              <w:adjustRightInd w:val="0"/>
              <w:spacing w:line="480" w:lineRule="auto"/>
              <w:jc w:val="center"/>
              <w:rPr>
                <w:rFonts w:ascii="Calibri" w:eastAsiaTheme="minorHAnsi" w:hAnsi="Calibri" w:cs="Calibri"/>
                <w:sz w:val="20"/>
                <w:szCs w:val="20"/>
                <w:lang w:val="en-US"/>
              </w:rPr>
            </w:pPr>
            <w:r w:rsidRPr="0061109F">
              <w:rPr>
                <w:rFonts w:ascii="Calibri" w:eastAsiaTheme="minorHAnsi" w:hAnsi="Calibri" w:cs="Calibri"/>
                <w:b/>
                <w:sz w:val="20"/>
                <w:szCs w:val="20"/>
                <w:lang w:val="en-US"/>
              </w:rPr>
              <w:t>0.57</w:t>
            </w:r>
          </w:p>
        </w:tc>
        <w:tc>
          <w:tcPr>
            <w:tcW w:w="616" w:type="pct"/>
            <w:tcBorders>
              <w:top w:val="single" w:sz="4" w:space="0" w:color="auto"/>
              <w:left w:val="single" w:sz="4" w:space="0" w:color="auto"/>
              <w:bottom w:val="single" w:sz="4" w:space="0" w:color="auto"/>
              <w:right w:val="single" w:sz="4" w:space="0" w:color="auto"/>
            </w:tcBorders>
          </w:tcPr>
          <w:p w14:paraId="0D16B9BD" w14:textId="00500E9C" w:rsidR="000B086A" w:rsidRPr="0061109F" w:rsidRDefault="000B086A" w:rsidP="000B086A">
            <w:pPr>
              <w:autoSpaceDE w:val="0"/>
              <w:autoSpaceDN w:val="0"/>
              <w:adjustRightInd w:val="0"/>
              <w:spacing w:line="480" w:lineRule="auto"/>
              <w:jc w:val="center"/>
              <w:rPr>
                <w:rFonts w:ascii="Calibri" w:eastAsiaTheme="minorHAnsi" w:hAnsi="Calibri" w:cs="Calibri"/>
                <w:sz w:val="20"/>
                <w:szCs w:val="20"/>
                <w:lang w:val="en-US"/>
              </w:rPr>
            </w:pPr>
            <w:r w:rsidRPr="0061109F">
              <w:rPr>
                <w:rFonts w:ascii="Calibri" w:eastAsiaTheme="minorHAnsi" w:hAnsi="Calibri" w:cs="Calibri"/>
                <w:b/>
                <w:sz w:val="20"/>
                <w:szCs w:val="20"/>
                <w:lang w:val="en-US"/>
              </w:rPr>
              <w:t>0.55</w:t>
            </w:r>
          </w:p>
        </w:tc>
        <w:tc>
          <w:tcPr>
            <w:tcW w:w="538" w:type="pct"/>
            <w:tcBorders>
              <w:top w:val="single" w:sz="4" w:space="0" w:color="auto"/>
              <w:left w:val="single" w:sz="4" w:space="0" w:color="auto"/>
              <w:bottom w:val="single" w:sz="4" w:space="0" w:color="auto"/>
              <w:right w:val="single" w:sz="4" w:space="0" w:color="auto"/>
            </w:tcBorders>
          </w:tcPr>
          <w:p w14:paraId="3BE03E5C" w14:textId="1CAD2D1C" w:rsidR="000B086A" w:rsidRPr="0061109F" w:rsidRDefault="000B086A" w:rsidP="000B086A">
            <w:pPr>
              <w:autoSpaceDE w:val="0"/>
              <w:autoSpaceDN w:val="0"/>
              <w:adjustRightInd w:val="0"/>
              <w:spacing w:line="480" w:lineRule="auto"/>
              <w:jc w:val="center"/>
              <w:rPr>
                <w:rFonts w:ascii="Calibri" w:eastAsiaTheme="minorHAnsi" w:hAnsi="Calibri" w:cs="Calibri"/>
                <w:sz w:val="20"/>
                <w:szCs w:val="20"/>
                <w:lang w:val="en-US"/>
              </w:rPr>
            </w:pPr>
            <w:r w:rsidRPr="0061109F">
              <w:rPr>
                <w:rFonts w:ascii="Calibri" w:eastAsiaTheme="minorHAnsi" w:hAnsi="Calibri" w:cs="Calibri"/>
                <w:b/>
                <w:sz w:val="20"/>
                <w:szCs w:val="20"/>
                <w:lang w:val="en-US"/>
              </w:rPr>
              <w:t>0.59</w:t>
            </w:r>
          </w:p>
        </w:tc>
        <w:tc>
          <w:tcPr>
            <w:tcW w:w="538" w:type="pct"/>
            <w:tcBorders>
              <w:top w:val="single" w:sz="4" w:space="0" w:color="auto"/>
              <w:left w:val="single" w:sz="4" w:space="0" w:color="auto"/>
              <w:bottom w:val="single" w:sz="4" w:space="0" w:color="auto"/>
              <w:right w:val="single" w:sz="4" w:space="0" w:color="auto"/>
            </w:tcBorders>
          </w:tcPr>
          <w:p w14:paraId="24C519D4" w14:textId="677F7199" w:rsidR="000B086A" w:rsidRPr="0061109F" w:rsidRDefault="000B086A" w:rsidP="000B086A">
            <w:pPr>
              <w:autoSpaceDE w:val="0"/>
              <w:autoSpaceDN w:val="0"/>
              <w:adjustRightInd w:val="0"/>
              <w:spacing w:line="480" w:lineRule="auto"/>
              <w:jc w:val="center"/>
              <w:rPr>
                <w:rFonts w:ascii="Calibri" w:eastAsiaTheme="minorHAnsi" w:hAnsi="Calibri" w:cs="Calibri"/>
                <w:b/>
                <w:sz w:val="20"/>
                <w:szCs w:val="20"/>
                <w:lang w:val="en-US"/>
              </w:rPr>
            </w:pPr>
            <w:r w:rsidRPr="0061109F">
              <w:rPr>
                <w:rFonts w:ascii="Calibri" w:eastAsiaTheme="minorHAnsi" w:hAnsi="Calibri" w:cs="Calibri"/>
                <w:b/>
                <w:sz w:val="20"/>
                <w:szCs w:val="20"/>
                <w:lang w:val="en-US"/>
              </w:rPr>
              <w:t>0.76</w:t>
            </w:r>
          </w:p>
        </w:tc>
        <w:tc>
          <w:tcPr>
            <w:tcW w:w="693" w:type="pct"/>
            <w:tcBorders>
              <w:top w:val="single" w:sz="4" w:space="0" w:color="auto"/>
              <w:left w:val="single" w:sz="4" w:space="0" w:color="auto"/>
              <w:bottom w:val="single" w:sz="4" w:space="0" w:color="auto"/>
              <w:right w:val="single" w:sz="4" w:space="0" w:color="auto"/>
            </w:tcBorders>
          </w:tcPr>
          <w:p w14:paraId="387C9BA7" w14:textId="71FD240E" w:rsidR="000B086A" w:rsidRPr="0061109F" w:rsidRDefault="000B086A" w:rsidP="000B086A">
            <w:pPr>
              <w:autoSpaceDE w:val="0"/>
              <w:autoSpaceDN w:val="0"/>
              <w:adjustRightInd w:val="0"/>
              <w:spacing w:line="480" w:lineRule="auto"/>
              <w:jc w:val="center"/>
              <w:rPr>
                <w:rFonts w:ascii="Calibri" w:eastAsiaTheme="minorHAnsi" w:hAnsi="Calibri" w:cs="Calibri"/>
                <w:b/>
                <w:sz w:val="20"/>
                <w:szCs w:val="20"/>
                <w:lang w:val="en-US"/>
              </w:rPr>
            </w:pPr>
            <w:r w:rsidRPr="0061109F">
              <w:rPr>
                <w:rFonts w:ascii="Calibri" w:eastAsiaTheme="minorHAnsi" w:hAnsi="Calibri" w:cs="Calibri"/>
                <w:b/>
                <w:sz w:val="20"/>
                <w:szCs w:val="20"/>
                <w:lang w:val="en-US"/>
              </w:rPr>
              <w:t>0.73</w:t>
            </w:r>
          </w:p>
        </w:tc>
        <w:tc>
          <w:tcPr>
            <w:tcW w:w="539" w:type="pct"/>
            <w:tcBorders>
              <w:top w:val="single" w:sz="4" w:space="0" w:color="auto"/>
              <w:left w:val="single" w:sz="4" w:space="0" w:color="auto"/>
              <w:bottom w:val="single" w:sz="4" w:space="0" w:color="auto"/>
              <w:right w:val="single" w:sz="4" w:space="0" w:color="auto"/>
            </w:tcBorders>
          </w:tcPr>
          <w:p w14:paraId="1F6C3401" w14:textId="6AEA5549" w:rsidR="000B086A" w:rsidRPr="0061109F" w:rsidRDefault="000B086A" w:rsidP="000B086A">
            <w:pPr>
              <w:autoSpaceDE w:val="0"/>
              <w:autoSpaceDN w:val="0"/>
              <w:adjustRightInd w:val="0"/>
              <w:spacing w:line="480" w:lineRule="auto"/>
              <w:jc w:val="center"/>
              <w:rPr>
                <w:rFonts w:ascii="Calibri" w:eastAsiaTheme="minorHAnsi" w:hAnsi="Calibri" w:cs="Calibri"/>
                <w:b/>
                <w:sz w:val="20"/>
                <w:szCs w:val="20"/>
                <w:lang w:val="en-US"/>
              </w:rPr>
            </w:pPr>
            <w:r w:rsidRPr="0061109F">
              <w:rPr>
                <w:rFonts w:ascii="Calibri" w:eastAsiaTheme="minorHAnsi" w:hAnsi="Calibri" w:cs="Calibri"/>
                <w:b/>
                <w:sz w:val="20"/>
                <w:szCs w:val="20"/>
                <w:lang w:val="en-US"/>
              </w:rPr>
              <w:t>0.80</w:t>
            </w:r>
          </w:p>
        </w:tc>
      </w:tr>
      <w:tr w:rsidR="0061109F" w:rsidRPr="0061109F" w14:paraId="4E617B0C" w14:textId="77777777" w:rsidTr="000B086A">
        <w:trPr>
          <w:trHeight w:val="300"/>
        </w:trPr>
        <w:tc>
          <w:tcPr>
            <w:tcW w:w="1535" w:type="pct"/>
            <w:tcBorders>
              <w:top w:val="single" w:sz="4" w:space="0" w:color="auto"/>
              <w:left w:val="single" w:sz="4" w:space="0" w:color="auto"/>
              <w:bottom w:val="single" w:sz="4" w:space="0" w:color="auto"/>
              <w:right w:val="single" w:sz="4" w:space="0" w:color="auto"/>
            </w:tcBorders>
          </w:tcPr>
          <w:p w14:paraId="3557A563" w14:textId="77777777" w:rsidR="000B086A" w:rsidRPr="0061109F" w:rsidRDefault="000B086A" w:rsidP="000B086A">
            <w:pPr>
              <w:autoSpaceDE w:val="0"/>
              <w:autoSpaceDN w:val="0"/>
              <w:adjustRightInd w:val="0"/>
              <w:spacing w:line="480" w:lineRule="auto"/>
              <w:rPr>
                <w:rFonts w:ascii="Calibri" w:eastAsiaTheme="minorHAnsi" w:hAnsi="Calibri" w:cs="Calibri"/>
                <w:sz w:val="20"/>
                <w:szCs w:val="20"/>
                <w:lang w:val="en-US"/>
              </w:rPr>
            </w:pPr>
            <w:r w:rsidRPr="0061109F">
              <w:rPr>
                <w:rFonts w:ascii="Calibri" w:eastAsiaTheme="minorHAnsi" w:hAnsi="Calibri" w:cs="Calibri"/>
                <w:sz w:val="20"/>
                <w:szCs w:val="20"/>
                <w:lang w:val="en-US"/>
              </w:rPr>
              <w:t>Number of SCZ inpatient visits</w:t>
            </w:r>
          </w:p>
        </w:tc>
        <w:tc>
          <w:tcPr>
            <w:tcW w:w="540" w:type="pct"/>
            <w:tcBorders>
              <w:top w:val="single" w:sz="4" w:space="0" w:color="auto"/>
              <w:left w:val="single" w:sz="4" w:space="0" w:color="auto"/>
              <w:bottom w:val="single" w:sz="4" w:space="0" w:color="auto"/>
              <w:right w:val="single" w:sz="4" w:space="0" w:color="auto"/>
            </w:tcBorders>
          </w:tcPr>
          <w:p w14:paraId="7E70854D" w14:textId="5B55B944" w:rsidR="000B086A" w:rsidRPr="0061109F" w:rsidRDefault="000B086A" w:rsidP="000B086A">
            <w:pPr>
              <w:autoSpaceDE w:val="0"/>
              <w:autoSpaceDN w:val="0"/>
              <w:adjustRightInd w:val="0"/>
              <w:spacing w:line="480" w:lineRule="auto"/>
              <w:jc w:val="center"/>
              <w:rPr>
                <w:rFonts w:ascii="Calibri" w:eastAsiaTheme="minorHAnsi" w:hAnsi="Calibri" w:cs="Calibri"/>
                <w:sz w:val="20"/>
                <w:szCs w:val="20"/>
                <w:lang w:val="en-US"/>
              </w:rPr>
            </w:pPr>
            <w:r w:rsidRPr="0061109F">
              <w:rPr>
                <w:rFonts w:ascii="Calibri" w:eastAsiaTheme="minorHAnsi" w:hAnsi="Calibri" w:cs="Calibri"/>
                <w:sz w:val="20"/>
                <w:szCs w:val="20"/>
                <w:lang w:val="en-US"/>
              </w:rPr>
              <w:t>0.97</w:t>
            </w:r>
          </w:p>
        </w:tc>
        <w:tc>
          <w:tcPr>
            <w:tcW w:w="616" w:type="pct"/>
            <w:tcBorders>
              <w:top w:val="single" w:sz="4" w:space="0" w:color="auto"/>
              <w:left w:val="single" w:sz="4" w:space="0" w:color="auto"/>
              <w:bottom w:val="single" w:sz="4" w:space="0" w:color="auto"/>
              <w:right w:val="single" w:sz="4" w:space="0" w:color="auto"/>
            </w:tcBorders>
          </w:tcPr>
          <w:p w14:paraId="3DB6DFF9" w14:textId="64A32BE2" w:rsidR="000B086A" w:rsidRPr="0061109F" w:rsidRDefault="000B086A" w:rsidP="000B086A">
            <w:pPr>
              <w:autoSpaceDE w:val="0"/>
              <w:autoSpaceDN w:val="0"/>
              <w:adjustRightInd w:val="0"/>
              <w:spacing w:line="480" w:lineRule="auto"/>
              <w:jc w:val="center"/>
              <w:rPr>
                <w:rFonts w:ascii="Calibri" w:eastAsiaTheme="minorHAnsi" w:hAnsi="Calibri" w:cs="Calibri"/>
                <w:sz w:val="20"/>
                <w:szCs w:val="20"/>
                <w:lang w:val="en-US"/>
              </w:rPr>
            </w:pPr>
            <w:r w:rsidRPr="0061109F">
              <w:rPr>
                <w:rFonts w:ascii="Calibri" w:eastAsiaTheme="minorHAnsi" w:hAnsi="Calibri" w:cs="Calibri"/>
                <w:sz w:val="20"/>
                <w:szCs w:val="20"/>
                <w:lang w:val="en-US"/>
              </w:rPr>
              <w:t>0.93</w:t>
            </w:r>
          </w:p>
        </w:tc>
        <w:tc>
          <w:tcPr>
            <w:tcW w:w="538" w:type="pct"/>
            <w:tcBorders>
              <w:top w:val="single" w:sz="4" w:space="0" w:color="auto"/>
              <w:left w:val="single" w:sz="4" w:space="0" w:color="auto"/>
              <w:bottom w:val="single" w:sz="4" w:space="0" w:color="auto"/>
              <w:right w:val="single" w:sz="4" w:space="0" w:color="auto"/>
            </w:tcBorders>
          </w:tcPr>
          <w:p w14:paraId="2BBB16D2" w14:textId="7B96940E" w:rsidR="000B086A" w:rsidRPr="0061109F" w:rsidRDefault="000B086A" w:rsidP="000B086A">
            <w:pPr>
              <w:autoSpaceDE w:val="0"/>
              <w:autoSpaceDN w:val="0"/>
              <w:adjustRightInd w:val="0"/>
              <w:spacing w:line="480" w:lineRule="auto"/>
              <w:jc w:val="center"/>
              <w:rPr>
                <w:rFonts w:ascii="Calibri" w:eastAsiaTheme="minorHAnsi" w:hAnsi="Calibri" w:cs="Calibri"/>
                <w:sz w:val="20"/>
                <w:szCs w:val="20"/>
                <w:lang w:val="en-US"/>
              </w:rPr>
            </w:pPr>
            <w:r w:rsidRPr="0061109F">
              <w:rPr>
                <w:rFonts w:ascii="Calibri" w:eastAsiaTheme="minorHAnsi" w:hAnsi="Calibri" w:cs="Calibri"/>
                <w:sz w:val="20"/>
                <w:szCs w:val="20"/>
                <w:lang w:val="en-US"/>
              </w:rPr>
              <w:t>1.00</w:t>
            </w:r>
          </w:p>
        </w:tc>
        <w:tc>
          <w:tcPr>
            <w:tcW w:w="538" w:type="pct"/>
            <w:tcBorders>
              <w:top w:val="single" w:sz="4" w:space="0" w:color="auto"/>
              <w:left w:val="single" w:sz="4" w:space="0" w:color="auto"/>
              <w:bottom w:val="single" w:sz="4" w:space="0" w:color="auto"/>
              <w:right w:val="single" w:sz="4" w:space="0" w:color="auto"/>
            </w:tcBorders>
          </w:tcPr>
          <w:p w14:paraId="43673514" w14:textId="4FA55C29" w:rsidR="000B086A" w:rsidRPr="0061109F" w:rsidRDefault="000B086A" w:rsidP="000B086A">
            <w:pPr>
              <w:autoSpaceDE w:val="0"/>
              <w:autoSpaceDN w:val="0"/>
              <w:adjustRightInd w:val="0"/>
              <w:spacing w:line="480" w:lineRule="auto"/>
              <w:jc w:val="center"/>
              <w:rPr>
                <w:rFonts w:ascii="Calibri" w:eastAsiaTheme="minorHAnsi" w:hAnsi="Calibri" w:cs="Calibri"/>
                <w:sz w:val="20"/>
                <w:szCs w:val="20"/>
                <w:lang w:val="en-US"/>
              </w:rPr>
            </w:pPr>
            <w:r w:rsidRPr="0061109F">
              <w:rPr>
                <w:rFonts w:ascii="Calibri" w:eastAsiaTheme="minorHAnsi" w:hAnsi="Calibri" w:cs="Calibri"/>
                <w:sz w:val="20"/>
                <w:szCs w:val="20"/>
                <w:lang w:val="en-US"/>
              </w:rPr>
              <w:t>1.06</w:t>
            </w:r>
          </w:p>
        </w:tc>
        <w:tc>
          <w:tcPr>
            <w:tcW w:w="693" w:type="pct"/>
            <w:tcBorders>
              <w:top w:val="single" w:sz="4" w:space="0" w:color="auto"/>
              <w:left w:val="single" w:sz="4" w:space="0" w:color="auto"/>
              <w:bottom w:val="single" w:sz="4" w:space="0" w:color="auto"/>
              <w:right w:val="single" w:sz="4" w:space="0" w:color="auto"/>
            </w:tcBorders>
          </w:tcPr>
          <w:p w14:paraId="696C2258" w14:textId="77777777" w:rsidR="000B086A" w:rsidRPr="0061109F" w:rsidRDefault="000B086A" w:rsidP="000B086A">
            <w:pPr>
              <w:autoSpaceDE w:val="0"/>
              <w:autoSpaceDN w:val="0"/>
              <w:adjustRightInd w:val="0"/>
              <w:spacing w:line="480" w:lineRule="auto"/>
              <w:jc w:val="center"/>
              <w:rPr>
                <w:rFonts w:ascii="Calibri" w:eastAsiaTheme="minorHAnsi" w:hAnsi="Calibri" w:cs="Calibri"/>
                <w:sz w:val="20"/>
                <w:szCs w:val="20"/>
                <w:lang w:val="en-US"/>
              </w:rPr>
            </w:pPr>
            <w:r w:rsidRPr="0061109F">
              <w:rPr>
                <w:rFonts w:ascii="Calibri" w:eastAsiaTheme="minorHAnsi" w:hAnsi="Calibri" w:cs="Calibri"/>
                <w:sz w:val="20"/>
                <w:szCs w:val="20"/>
                <w:lang w:val="en-US"/>
              </w:rPr>
              <w:t>1.01</w:t>
            </w:r>
          </w:p>
        </w:tc>
        <w:tc>
          <w:tcPr>
            <w:tcW w:w="539" w:type="pct"/>
            <w:tcBorders>
              <w:top w:val="single" w:sz="4" w:space="0" w:color="auto"/>
              <w:left w:val="single" w:sz="4" w:space="0" w:color="auto"/>
              <w:bottom w:val="single" w:sz="4" w:space="0" w:color="auto"/>
              <w:right w:val="single" w:sz="4" w:space="0" w:color="auto"/>
            </w:tcBorders>
          </w:tcPr>
          <w:p w14:paraId="746E8140" w14:textId="0675C999" w:rsidR="000B086A" w:rsidRPr="0061109F" w:rsidRDefault="000B086A" w:rsidP="000B086A">
            <w:pPr>
              <w:autoSpaceDE w:val="0"/>
              <w:autoSpaceDN w:val="0"/>
              <w:adjustRightInd w:val="0"/>
              <w:spacing w:line="480" w:lineRule="auto"/>
              <w:jc w:val="center"/>
              <w:rPr>
                <w:rFonts w:ascii="Calibri" w:eastAsiaTheme="minorHAnsi" w:hAnsi="Calibri" w:cs="Calibri"/>
                <w:sz w:val="20"/>
                <w:szCs w:val="20"/>
                <w:lang w:val="en-US"/>
              </w:rPr>
            </w:pPr>
            <w:r w:rsidRPr="0061109F">
              <w:rPr>
                <w:rFonts w:ascii="Calibri" w:eastAsiaTheme="minorHAnsi" w:hAnsi="Calibri" w:cs="Calibri"/>
                <w:sz w:val="20"/>
                <w:szCs w:val="20"/>
                <w:lang w:val="en-US"/>
              </w:rPr>
              <w:t>1.11</w:t>
            </w:r>
          </w:p>
        </w:tc>
      </w:tr>
      <w:tr w:rsidR="0061109F" w:rsidRPr="0061109F" w14:paraId="26E98C83" w14:textId="77777777" w:rsidTr="000B086A">
        <w:trPr>
          <w:trHeight w:val="300"/>
        </w:trPr>
        <w:tc>
          <w:tcPr>
            <w:tcW w:w="1535" w:type="pct"/>
            <w:tcBorders>
              <w:top w:val="single" w:sz="4" w:space="0" w:color="auto"/>
              <w:left w:val="single" w:sz="4" w:space="0" w:color="auto"/>
              <w:bottom w:val="single" w:sz="4" w:space="0" w:color="auto"/>
              <w:right w:val="single" w:sz="4" w:space="0" w:color="auto"/>
            </w:tcBorders>
          </w:tcPr>
          <w:p w14:paraId="0CBA4C83" w14:textId="77777777" w:rsidR="000B086A" w:rsidRPr="0061109F" w:rsidRDefault="000B086A" w:rsidP="000B086A">
            <w:pPr>
              <w:autoSpaceDE w:val="0"/>
              <w:autoSpaceDN w:val="0"/>
              <w:adjustRightInd w:val="0"/>
              <w:spacing w:line="480" w:lineRule="auto"/>
              <w:rPr>
                <w:rFonts w:ascii="Calibri" w:eastAsiaTheme="minorHAnsi" w:hAnsi="Calibri" w:cs="Calibri"/>
                <w:sz w:val="20"/>
                <w:szCs w:val="20"/>
                <w:lang w:val="en-US"/>
              </w:rPr>
            </w:pPr>
            <w:r w:rsidRPr="0061109F">
              <w:rPr>
                <w:rFonts w:ascii="Calibri" w:eastAsiaTheme="minorHAnsi" w:hAnsi="Calibri" w:cs="Calibri"/>
                <w:sz w:val="20"/>
                <w:szCs w:val="20"/>
                <w:lang w:val="en-US"/>
              </w:rPr>
              <w:t>Any antipsychotic use</w:t>
            </w:r>
          </w:p>
        </w:tc>
        <w:tc>
          <w:tcPr>
            <w:tcW w:w="540" w:type="pct"/>
            <w:tcBorders>
              <w:top w:val="single" w:sz="4" w:space="0" w:color="auto"/>
              <w:left w:val="single" w:sz="4" w:space="0" w:color="auto"/>
              <w:bottom w:val="single" w:sz="4" w:space="0" w:color="auto"/>
              <w:right w:val="single" w:sz="4" w:space="0" w:color="auto"/>
            </w:tcBorders>
          </w:tcPr>
          <w:p w14:paraId="6215E633" w14:textId="4219645A" w:rsidR="000B086A" w:rsidRPr="0061109F" w:rsidRDefault="000B086A" w:rsidP="000B086A">
            <w:pPr>
              <w:autoSpaceDE w:val="0"/>
              <w:autoSpaceDN w:val="0"/>
              <w:adjustRightInd w:val="0"/>
              <w:spacing w:line="480" w:lineRule="auto"/>
              <w:jc w:val="center"/>
              <w:rPr>
                <w:rFonts w:ascii="Calibri" w:eastAsiaTheme="minorHAnsi" w:hAnsi="Calibri" w:cs="Calibri"/>
                <w:b/>
                <w:sz w:val="20"/>
                <w:szCs w:val="20"/>
                <w:lang w:val="en-US"/>
              </w:rPr>
            </w:pPr>
            <w:r w:rsidRPr="0061109F">
              <w:rPr>
                <w:rFonts w:ascii="Calibri" w:eastAsiaTheme="minorHAnsi" w:hAnsi="Calibri" w:cs="Calibri"/>
                <w:b/>
                <w:sz w:val="20"/>
                <w:szCs w:val="20"/>
                <w:lang w:val="en-US"/>
              </w:rPr>
              <w:t>0.08</w:t>
            </w:r>
          </w:p>
        </w:tc>
        <w:tc>
          <w:tcPr>
            <w:tcW w:w="616" w:type="pct"/>
            <w:tcBorders>
              <w:top w:val="single" w:sz="4" w:space="0" w:color="auto"/>
              <w:left w:val="single" w:sz="4" w:space="0" w:color="auto"/>
              <w:bottom w:val="single" w:sz="4" w:space="0" w:color="auto"/>
              <w:right w:val="single" w:sz="4" w:space="0" w:color="auto"/>
            </w:tcBorders>
          </w:tcPr>
          <w:p w14:paraId="7D2D1D99" w14:textId="1BCFEBBD" w:rsidR="000B086A" w:rsidRPr="0061109F" w:rsidRDefault="000B086A" w:rsidP="000B086A">
            <w:pPr>
              <w:autoSpaceDE w:val="0"/>
              <w:autoSpaceDN w:val="0"/>
              <w:adjustRightInd w:val="0"/>
              <w:spacing w:line="480" w:lineRule="auto"/>
              <w:jc w:val="center"/>
              <w:rPr>
                <w:rFonts w:ascii="Calibri" w:eastAsiaTheme="minorHAnsi" w:hAnsi="Calibri" w:cs="Calibri"/>
                <w:b/>
                <w:sz w:val="20"/>
                <w:szCs w:val="20"/>
                <w:lang w:val="en-US"/>
              </w:rPr>
            </w:pPr>
            <w:r w:rsidRPr="0061109F">
              <w:rPr>
                <w:rFonts w:ascii="Calibri" w:eastAsiaTheme="minorHAnsi" w:hAnsi="Calibri" w:cs="Calibri"/>
                <w:b/>
                <w:sz w:val="20"/>
                <w:szCs w:val="20"/>
                <w:lang w:val="en-US"/>
              </w:rPr>
              <w:t>0.08</w:t>
            </w:r>
          </w:p>
        </w:tc>
        <w:tc>
          <w:tcPr>
            <w:tcW w:w="538" w:type="pct"/>
            <w:tcBorders>
              <w:top w:val="single" w:sz="4" w:space="0" w:color="auto"/>
              <w:left w:val="single" w:sz="4" w:space="0" w:color="auto"/>
              <w:bottom w:val="single" w:sz="4" w:space="0" w:color="auto"/>
              <w:right w:val="single" w:sz="4" w:space="0" w:color="auto"/>
            </w:tcBorders>
          </w:tcPr>
          <w:p w14:paraId="46D56613" w14:textId="3E9E1EBA" w:rsidR="000B086A" w:rsidRPr="0061109F" w:rsidRDefault="000B086A" w:rsidP="000B086A">
            <w:pPr>
              <w:autoSpaceDE w:val="0"/>
              <w:autoSpaceDN w:val="0"/>
              <w:adjustRightInd w:val="0"/>
              <w:spacing w:line="480" w:lineRule="auto"/>
              <w:jc w:val="center"/>
              <w:rPr>
                <w:rFonts w:ascii="Calibri" w:eastAsiaTheme="minorHAnsi" w:hAnsi="Calibri" w:cs="Calibri"/>
                <w:b/>
                <w:sz w:val="20"/>
                <w:szCs w:val="20"/>
                <w:lang w:val="en-US"/>
              </w:rPr>
            </w:pPr>
            <w:r w:rsidRPr="0061109F">
              <w:rPr>
                <w:rFonts w:ascii="Calibri" w:eastAsiaTheme="minorHAnsi" w:hAnsi="Calibri" w:cs="Calibri"/>
                <w:b/>
                <w:sz w:val="20"/>
                <w:szCs w:val="20"/>
                <w:lang w:val="en-US"/>
              </w:rPr>
              <w:t>0.10</w:t>
            </w:r>
          </w:p>
        </w:tc>
        <w:tc>
          <w:tcPr>
            <w:tcW w:w="538" w:type="pct"/>
            <w:tcBorders>
              <w:top w:val="single" w:sz="4" w:space="0" w:color="auto"/>
              <w:left w:val="single" w:sz="4" w:space="0" w:color="auto"/>
              <w:bottom w:val="single" w:sz="4" w:space="0" w:color="auto"/>
              <w:right w:val="single" w:sz="4" w:space="0" w:color="auto"/>
            </w:tcBorders>
          </w:tcPr>
          <w:p w14:paraId="03B9CB89" w14:textId="4DCE83A0" w:rsidR="000B086A" w:rsidRPr="0061109F" w:rsidRDefault="000B086A" w:rsidP="000B086A">
            <w:pPr>
              <w:autoSpaceDE w:val="0"/>
              <w:autoSpaceDN w:val="0"/>
              <w:adjustRightInd w:val="0"/>
              <w:spacing w:line="480" w:lineRule="auto"/>
              <w:jc w:val="center"/>
              <w:rPr>
                <w:rFonts w:ascii="Calibri" w:eastAsiaTheme="minorHAnsi" w:hAnsi="Calibri" w:cs="Calibri"/>
                <w:b/>
                <w:sz w:val="20"/>
                <w:szCs w:val="20"/>
                <w:lang w:val="en-US"/>
              </w:rPr>
            </w:pPr>
            <w:r w:rsidRPr="0061109F">
              <w:rPr>
                <w:rFonts w:ascii="Calibri" w:eastAsiaTheme="minorHAnsi" w:hAnsi="Calibri" w:cs="Calibri"/>
                <w:b/>
                <w:sz w:val="20"/>
                <w:szCs w:val="20"/>
                <w:lang w:val="en-US"/>
              </w:rPr>
              <w:t>0.29</w:t>
            </w:r>
          </w:p>
        </w:tc>
        <w:tc>
          <w:tcPr>
            <w:tcW w:w="693" w:type="pct"/>
            <w:tcBorders>
              <w:top w:val="single" w:sz="4" w:space="0" w:color="auto"/>
              <w:left w:val="single" w:sz="4" w:space="0" w:color="auto"/>
              <w:bottom w:val="single" w:sz="4" w:space="0" w:color="auto"/>
              <w:right w:val="single" w:sz="4" w:space="0" w:color="auto"/>
            </w:tcBorders>
          </w:tcPr>
          <w:p w14:paraId="09C1F813" w14:textId="39EE5555" w:rsidR="000B086A" w:rsidRPr="0061109F" w:rsidRDefault="000B086A" w:rsidP="000B086A">
            <w:pPr>
              <w:autoSpaceDE w:val="0"/>
              <w:autoSpaceDN w:val="0"/>
              <w:adjustRightInd w:val="0"/>
              <w:spacing w:line="480" w:lineRule="auto"/>
              <w:jc w:val="center"/>
              <w:rPr>
                <w:rFonts w:ascii="Calibri" w:eastAsiaTheme="minorHAnsi" w:hAnsi="Calibri" w:cs="Calibri"/>
                <w:b/>
                <w:sz w:val="20"/>
                <w:szCs w:val="20"/>
                <w:lang w:val="en-US"/>
              </w:rPr>
            </w:pPr>
            <w:r w:rsidRPr="0061109F">
              <w:rPr>
                <w:rFonts w:ascii="Calibri" w:eastAsiaTheme="minorHAnsi" w:hAnsi="Calibri" w:cs="Calibri"/>
                <w:b/>
                <w:sz w:val="20"/>
                <w:szCs w:val="20"/>
                <w:lang w:val="en-US"/>
              </w:rPr>
              <w:t>0.25</w:t>
            </w:r>
          </w:p>
        </w:tc>
        <w:tc>
          <w:tcPr>
            <w:tcW w:w="539" w:type="pct"/>
            <w:tcBorders>
              <w:top w:val="single" w:sz="4" w:space="0" w:color="auto"/>
              <w:left w:val="single" w:sz="4" w:space="0" w:color="auto"/>
              <w:bottom w:val="single" w:sz="4" w:space="0" w:color="auto"/>
              <w:right w:val="single" w:sz="4" w:space="0" w:color="auto"/>
            </w:tcBorders>
          </w:tcPr>
          <w:p w14:paraId="7156B84E" w14:textId="1D264DAC" w:rsidR="000B086A" w:rsidRPr="0061109F" w:rsidRDefault="000B086A" w:rsidP="000B086A">
            <w:pPr>
              <w:autoSpaceDE w:val="0"/>
              <w:autoSpaceDN w:val="0"/>
              <w:adjustRightInd w:val="0"/>
              <w:spacing w:line="480" w:lineRule="auto"/>
              <w:jc w:val="center"/>
              <w:rPr>
                <w:rFonts w:ascii="Calibri" w:eastAsiaTheme="minorHAnsi" w:hAnsi="Calibri" w:cs="Calibri"/>
                <w:b/>
                <w:sz w:val="20"/>
                <w:szCs w:val="20"/>
                <w:lang w:val="en-US"/>
              </w:rPr>
            </w:pPr>
            <w:r w:rsidRPr="0061109F">
              <w:rPr>
                <w:rFonts w:ascii="Calibri" w:eastAsiaTheme="minorHAnsi" w:hAnsi="Calibri" w:cs="Calibri"/>
                <w:b/>
                <w:sz w:val="20"/>
                <w:szCs w:val="20"/>
                <w:lang w:val="en-US"/>
              </w:rPr>
              <w:t>0.34</w:t>
            </w:r>
          </w:p>
        </w:tc>
      </w:tr>
      <w:tr w:rsidR="0061109F" w:rsidRPr="0061109F" w14:paraId="2D0B72B7" w14:textId="77777777" w:rsidTr="000B086A">
        <w:trPr>
          <w:trHeight w:val="300"/>
        </w:trPr>
        <w:tc>
          <w:tcPr>
            <w:tcW w:w="1535" w:type="pct"/>
            <w:tcBorders>
              <w:top w:val="single" w:sz="4" w:space="0" w:color="auto"/>
              <w:left w:val="single" w:sz="4" w:space="0" w:color="auto"/>
              <w:bottom w:val="single" w:sz="4" w:space="0" w:color="auto"/>
              <w:right w:val="single" w:sz="4" w:space="0" w:color="auto"/>
            </w:tcBorders>
          </w:tcPr>
          <w:p w14:paraId="68C040F3" w14:textId="77777777" w:rsidR="000B086A" w:rsidRPr="0061109F" w:rsidRDefault="000B086A" w:rsidP="000B086A">
            <w:pPr>
              <w:autoSpaceDE w:val="0"/>
              <w:autoSpaceDN w:val="0"/>
              <w:adjustRightInd w:val="0"/>
              <w:spacing w:line="480" w:lineRule="auto"/>
              <w:rPr>
                <w:rFonts w:ascii="Calibri" w:eastAsiaTheme="minorHAnsi" w:hAnsi="Calibri" w:cs="Calibri"/>
                <w:sz w:val="20"/>
                <w:szCs w:val="20"/>
                <w:lang w:val="en-US"/>
              </w:rPr>
            </w:pPr>
            <w:r w:rsidRPr="0061109F">
              <w:rPr>
                <w:rFonts w:ascii="Calibri" w:eastAsiaTheme="minorHAnsi" w:hAnsi="Calibri" w:cs="Calibri"/>
                <w:sz w:val="20"/>
                <w:szCs w:val="20"/>
                <w:lang w:val="en-US"/>
              </w:rPr>
              <w:t>Substance use disorder</w:t>
            </w:r>
          </w:p>
        </w:tc>
        <w:tc>
          <w:tcPr>
            <w:tcW w:w="540" w:type="pct"/>
            <w:tcBorders>
              <w:top w:val="single" w:sz="4" w:space="0" w:color="auto"/>
              <w:left w:val="single" w:sz="4" w:space="0" w:color="auto"/>
              <w:bottom w:val="single" w:sz="4" w:space="0" w:color="auto"/>
              <w:right w:val="single" w:sz="4" w:space="0" w:color="auto"/>
            </w:tcBorders>
          </w:tcPr>
          <w:p w14:paraId="32888F6F" w14:textId="4BFE8E2D" w:rsidR="000B086A" w:rsidRPr="0061109F" w:rsidRDefault="000B086A" w:rsidP="000B086A">
            <w:pPr>
              <w:autoSpaceDE w:val="0"/>
              <w:autoSpaceDN w:val="0"/>
              <w:adjustRightInd w:val="0"/>
              <w:spacing w:line="480" w:lineRule="auto"/>
              <w:jc w:val="center"/>
              <w:rPr>
                <w:rFonts w:ascii="Calibri" w:eastAsiaTheme="minorHAnsi" w:hAnsi="Calibri" w:cs="Calibri"/>
                <w:b/>
                <w:sz w:val="20"/>
                <w:szCs w:val="20"/>
                <w:lang w:val="en-US"/>
              </w:rPr>
            </w:pPr>
            <w:r w:rsidRPr="0061109F">
              <w:rPr>
                <w:rFonts w:ascii="Calibri" w:eastAsiaTheme="minorHAnsi" w:hAnsi="Calibri" w:cs="Calibri"/>
                <w:b/>
                <w:sz w:val="20"/>
                <w:szCs w:val="20"/>
                <w:lang w:val="en-US"/>
              </w:rPr>
              <w:t>1.75</w:t>
            </w:r>
          </w:p>
        </w:tc>
        <w:tc>
          <w:tcPr>
            <w:tcW w:w="616" w:type="pct"/>
            <w:tcBorders>
              <w:top w:val="single" w:sz="4" w:space="0" w:color="auto"/>
              <w:left w:val="single" w:sz="4" w:space="0" w:color="auto"/>
              <w:bottom w:val="single" w:sz="4" w:space="0" w:color="auto"/>
              <w:right w:val="single" w:sz="4" w:space="0" w:color="auto"/>
            </w:tcBorders>
          </w:tcPr>
          <w:p w14:paraId="3BF3510B" w14:textId="6541FB6F" w:rsidR="000B086A" w:rsidRPr="0061109F" w:rsidRDefault="000B086A" w:rsidP="000B086A">
            <w:pPr>
              <w:autoSpaceDE w:val="0"/>
              <w:autoSpaceDN w:val="0"/>
              <w:adjustRightInd w:val="0"/>
              <w:spacing w:line="480" w:lineRule="auto"/>
              <w:jc w:val="center"/>
              <w:rPr>
                <w:rFonts w:ascii="Calibri" w:eastAsiaTheme="minorHAnsi" w:hAnsi="Calibri" w:cs="Calibri"/>
                <w:b/>
                <w:sz w:val="20"/>
                <w:szCs w:val="20"/>
                <w:lang w:val="en-US"/>
              </w:rPr>
            </w:pPr>
            <w:r w:rsidRPr="0061109F">
              <w:rPr>
                <w:rFonts w:ascii="Calibri" w:eastAsiaTheme="minorHAnsi" w:hAnsi="Calibri" w:cs="Calibri"/>
                <w:b/>
                <w:sz w:val="20"/>
                <w:szCs w:val="20"/>
                <w:lang w:val="en-US"/>
              </w:rPr>
              <w:t>1.56</w:t>
            </w:r>
          </w:p>
        </w:tc>
        <w:tc>
          <w:tcPr>
            <w:tcW w:w="538" w:type="pct"/>
            <w:tcBorders>
              <w:top w:val="single" w:sz="4" w:space="0" w:color="auto"/>
              <w:left w:val="single" w:sz="4" w:space="0" w:color="auto"/>
              <w:bottom w:val="single" w:sz="4" w:space="0" w:color="auto"/>
              <w:right w:val="single" w:sz="4" w:space="0" w:color="auto"/>
            </w:tcBorders>
          </w:tcPr>
          <w:p w14:paraId="0078E3EC" w14:textId="569AFEE3" w:rsidR="000B086A" w:rsidRPr="0061109F" w:rsidRDefault="000B086A" w:rsidP="000B086A">
            <w:pPr>
              <w:autoSpaceDE w:val="0"/>
              <w:autoSpaceDN w:val="0"/>
              <w:adjustRightInd w:val="0"/>
              <w:spacing w:line="480" w:lineRule="auto"/>
              <w:jc w:val="center"/>
              <w:rPr>
                <w:rFonts w:ascii="Calibri" w:eastAsiaTheme="minorHAnsi" w:hAnsi="Calibri" w:cs="Calibri"/>
                <w:b/>
                <w:sz w:val="20"/>
                <w:szCs w:val="20"/>
                <w:lang w:val="en-US"/>
              </w:rPr>
            </w:pPr>
            <w:r w:rsidRPr="0061109F">
              <w:rPr>
                <w:rFonts w:ascii="Calibri" w:eastAsiaTheme="minorHAnsi" w:hAnsi="Calibri" w:cs="Calibri"/>
                <w:b/>
                <w:sz w:val="20"/>
                <w:szCs w:val="20"/>
                <w:lang w:val="en-US"/>
              </w:rPr>
              <w:t>1.96</w:t>
            </w:r>
          </w:p>
        </w:tc>
        <w:tc>
          <w:tcPr>
            <w:tcW w:w="538" w:type="pct"/>
            <w:tcBorders>
              <w:top w:val="single" w:sz="4" w:space="0" w:color="auto"/>
              <w:left w:val="single" w:sz="4" w:space="0" w:color="auto"/>
              <w:bottom w:val="single" w:sz="4" w:space="0" w:color="auto"/>
              <w:right w:val="single" w:sz="4" w:space="0" w:color="auto"/>
            </w:tcBorders>
          </w:tcPr>
          <w:p w14:paraId="38CC8ECE" w14:textId="60EE4320" w:rsidR="000B086A" w:rsidRPr="0061109F" w:rsidRDefault="000B086A" w:rsidP="000B086A">
            <w:pPr>
              <w:autoSpaceDE w:val="0"/>
              <w:autoSpaceDN w:val="0"/>
              <w:adjustRightInd w:val="0"/>
              <w:spacing w:line="480" w:lineRule="auto"/>
              <w:jc w:val="center"/>
              <w:rPr>
                <w:rFonts w:ascii="Calibri" w:eastAsiaTheme="minorHAnsi" w:hAnsi="Calibri" w:cs="Calibri"/>
                <w:b/>
                <w:sz w:val="20"/>
                <w:szCs w:val="20"/>
                <w:lang w:val="en-US"/>
              </w:rPr>
            </w:pPr>
            <w:r w:rsidRPr="0061109F">
              <w:rPr>
                <w:rFonts w:ascii="Calibri" w:eastAsiaTheme="minorHAnsi" w:hAnsi="Calibri" w:cs="Calibri"/>
                <w:b/>
                <w:sz w:val="20"/>
                <w:szCs w:val="20"/>
                <w:lang w:val="en-US"/>
              </w:rPr>
              <w:t>1.70</w:t>
            </w:r>
          </w:p>
        </w:tc>
        <w:tc>
          <w:tcPr>
            <w:tcW w:w="693" w:type="pct"/>
            <w:tcBorders>
              <w:top w:val="single" w:sz="4" w:space="0" w:color="auto"/>
              <w:left w:val="single" w:sz="4" w:space="0" w:color="auto"/>
              <w:bottom w:val="single" w:sz="4" w:space="0" w:color="auto"/>
              <w:right w:val="single" w:sz="4" w:space="0" w:color="auto"/>
            </w:tcBorders>
          </w:tcPr>
          <w:p w14:paraId="1A8F45EA" w14:textId="104F9EBB" w:rsidR="000B086A" w:rsidRPr="0061109F" w:rsidRDefault="000B086A" w:rsidP="000B086A">
            <w:pPr>
              <w:autoSpaceDE w:val="0"/>
              <w:autoSpaceDN w:val="0"/>
              <w:adjustRightInd w:val="0"/>
              <w:spacing w:line="480" w:lineRule="auto"/>
              <w:jc w:val="center"/>
              <w:rPr>
                <w:rFonts w:ascii="Calibri" w:eastAsiaTheme="minorHAnsi" w:hAnsi="Calibri" w:cs="Calibri"/>
                <w:b/>
                <w:sz w:val="20"/>
                <w:szCs w:val="20"/>
                <w:lang w:val="en-US"/>
              </w:rPr>
            </w:pPr>
            <w:r w:rsidRPr="0061109F">
              <w:rPr>
                <w:rFonts w:ascii="Calibri" w:eastAsiaTheme="minorHAnsi" w:hAnsi="Calibri" w:cs="Calibri"/>
                <w:b/>
                <w:sz w:val="20"/>
                <w:szCs w:val="20"/>
                <w:lang w:val="en-US"/>
              </w:rPr>
              <w:t>1.49</w:t>
            </w:r>
          </w:p>
        </w:tc>
        <w:tc>
          <w:tcPr>
            <w:tcW w:w="539" w:type="pct"/>
            <w:tcBorders>
              <w:top w:val="single" w:sz="4" w:space="0" w:color="auto"/>
              <w:left w:val="single" w:sz="4" w:space="0" w:color="auto"/>
              <w:bottom w:val="single" w:sz="4" w:space="0" w:color="auto"/>
              <w:right w:val="single" w:sz="4" w:space="0" w:color="auto"/>
            </w:tcBorders>
          </w:tcPr>
          <w:p w14:paraId="0579CF1E" w14:textId="77777777" w:rsidR="000B086A" w:rsidRPr="0061109F" w:rsidRDefault="000B086A" w:rsidP="000B086A">
            <w:pPr>
              <w:autoSpaceDE w:val="0"/>
              <w:autoSpaceDN w:val="0"/>
              <w:adjustRightInd w:val="0"/>
              <w:spacing w:line="480" w:lineRule="auto"/>
              <w:jc w:val="center"/>
              <w:rPr>
                <w:rFonts w:ascii="Calibri" w:eastAsiaTheme="minorHAnsi" w:hAnsi="Calibri" w:cs="Calibri"/>
                <w:b/>
                <w:sz w:val="20"/>
                <w:szCs w:val="20"/>
                <w:lang w:val="en-US"/>
              </w:rPr>
            </w:pPr>
            <w:r w:rsidRPr="0061109F">
              <w:rPr>
                <w:rFonts w:ascii="Calibri" w:eastAsiaTheme="minorHAnsi" w:hAnsi="Calibri" w:cs="Calibri"/>
                <w:b/>
                <w:sz w:val="20"/>
                <w:szCs w:val="20"/>
                <w:lang w:val="en-US"/>
              </w:rPr>
              <w:t>1.94</w:t>
            </w:r>
          </w:p>
        </w:tc>
      </w:tr>
      <w:tr w:rsidR="0061109F" w:rsidRPr="0061109F" w14:paraId="204907E9" w14:textId="77777777" w:rsidTr="000B086A">
        <w:trPr>
          <w:trHeight w:val="300"/>
        </w:trPr>
        <w:tc>
          <w:tcPr>
            <w:tcW w:w="1535" w:type="pct"/>
            <w:tcBorders>
              <w:top w:val="single" w:sz="4" w:space="0" w:color="auto"/>
              <w:left w:val="single" w:sz="4" w:space="0" w:color="auto"/>
              <w:bottom w:val="single" w:sz="4" w:space="0" w:color="auto"/>
              <w:right w:val="single" w:sz="4" w:space="0" w:color="auto"/>
            </w:tcBorders>
          </w:tcPr>
          <w:p w14:paraId="2B3C8E87" w14:textId="0C015D41" w:rsidR="000B086A" w:rsidRPr="0061109F" w:rsidRDefault="000B086A" w:rsidP="000B086A">
            <w:pPr>
              <w:autoSpaceDE w:val="0"/>
              <w:autoSpaceDN w:val="0"/>
              <w:adjustRightInd w:val="0"/>
              <w:spacing w:line="480" w:lineRule="auto"/>
              <w:rPr>
                <w:rFonts w:ascii="Calibri" w:eastAsiaTheme="minorHAnsi" w:hAnsi="Calibri" w:cs="Calibri"/>
                <w:sz w:val="20"/>
                <w:szCs w:val="20"/>
                <w:lang w:val="en-US"/>
              </w:rPr>
            </w:pPr>
            <w:r w:rsidRPr="0061109F">
              <w:rPr>
                <w:rFonts w:ascii="Calibri" w:eastAsiaTheme="minorHAnsi" w:hAnsi="Calibri" w:cs="Calibri"/>
                <w:sz w:val="20"/>
                <w:szCs w:val="20"/>
                <w:lang w:val="en-US"/>
              </w:rPr>
              <w:t>Suicide attempts</w:t>
            </w:r>
          </w:p>
        </w:tc>
        <w:tc>
          <w:tcPr>
            <w:tcW w:w="540" w:type="pct"/>
            <w:tcBorders>
              <w:top w:val="single" w:sz="4" w:space="0" w:color="auto"/>
              <w:left w:val="single" w:sz="4" w:space="0" w:color="auto"/>
              <w:bottom w:val="single" w:sz="4" w:space="0" w:color="auto"/>
              <w:right w:val="single" w:sz="4" w:space="0" w:color="auto"/>
            </w:tcBorders>
          </w:tcPr>
          <w:p w14:paraId="4D34A5C9" w14:textId="7DDA018D" w:rsidR="000B086A" w:rsidRPr="0061109F" w:rsidRDefault="000B086A" w:rsidP="000B086A">
            <w:pPr>
              <w:autoSpaceDE w:val="0"/>
              <w:autoSpaceDN w:val="0"/>
              <w:adjustRightInd w:val="0"/>
              <w:spacing w:line="480" w:lineRule="auto"/>
              <w:jc w:val="center"/>
              <w:rPr>
                <w:rFonts w:ascii="Calibri" w:eastAsiaTheme="minorHAnsi" w:hAnsi="Calibri" w:cs="Calibri"/>
                <w:b/>
                <w:sz w:val="20"/>
                <w:szCs w:val="20"/>
                <w:lang w:val="en-US"/>
              </w:rPr>
            </w:pPr>
            <w:r w:rsidRPr="0061109F">
              <w:rPr>
                <w:rFonts w:ascii="Calibri" w:eastAsiaTheme="minorHAnsi" w:hAnsi="Calibri" w:cs="Calibri"/>
                <w:b/>
                <w:sz w:val="20"/>
                <w:szCs w:val="20"/>
                <w:lang w:val="en-US"/>
              </w:rPr>
              <w:t>1.29</w:t>
            </w:r>
          </w:p>
        </w:tc>
        <w:tc>
          <w:tcPr>
            <w:tcW w:w="616" w:type="pct"/>
            <w:tcBorders>
              <w:top w:val="single" w:sz="4" w:space="0" w:color="auto"/>
              <w:left w:val="single" w:sz="4" w:space="0" w:color="auto"/>
              <w:bottom w:val="single" w:sz="4" w:space="0" w:color="auto"/>
              <w:right w:val="single" w:sz="4" w:space="0" w:color="auto"/>
            </w:tcBorders>
          </w:tcPr>
          <w:p w14:paraId="77C8FA91" w14:textId="0B1CD8A8" w:rsidR="000B086A" w:rsidRPr="0061109F" w:rsidRDefault="000B086A" w:rsidP="000B086A">
            <w:pPr>
              <w:autoSpaceDE w:val="0"/>
              <w:autoSpaceDN w:val="0"/>
              <w:adjustRightInd w:val="0"/>
              <w:spacing w:line="480" w:lineRule="auto"/>
              <w:jc w:val="center"/>
              <w:rPr>
                <w:rFonts w:ascii="Calibri" w:eastAsiaTheme="minorHAnsi" w:hAnsi="Calibri" w:cs="Calibri"/>
                <w:b/>
                <w:sz w:val="20"/>
                <w:szCs w:val="20"/>
                <w:lang w:val="en-US"/>
              </w:rPr>
            </w:pPr>
            <w:r w:rsidRPr="0061109F">
              <w:rPr>
                <w:rFonts w:ascii="Calibri" w:eastAsiaTheme="minorHAnsi" w:hAnsi="Calibri" w:cs="Calibri"/>
                <w:b/>
                <w:sz w:val="20"/>
                <w:szCs w:val="20"/>
                <w:lang w:val="en-US"/>
              </w:rPr>
              <w:t>1.11</w:t>
            </w:r>
          </w:p>
        </w:tc>
        <w:tc>
          <w:tcPr>
            <w:tcW w:w="538" w:type="pct"/>
            <w:tcBorders>
              <w:top w:val="single" w:sz="4" w:space="0" w:color="auto"/>
              <w:left w:val="single" w:sz="4" w:space="0" w:color="auto"/>
              <w:bottom w:val="single" w:sz="4" w:space="0" w:color="auto"/>
              <w:right w:val="single" w:sz="4" w:space="0" w:color="auto"/>
            </w:tcBorders>
          </w:tcPr>
          <w:p w14:paraId="744171C0" w14:textId="44266610" w:rsidR="000B086A" w:rsidRPr="0061109F" w:rsidRDefault="000B086A" w:rsidP="000B086A">
            <w:pPr>
              <w:autoSpaceDE w:val="0"/>
              <w:autoSpaceDN w:val="0"/>
              <w:adjustRightInd w:val="0"/>
              <w:spacing w:line="480" w:lineRule="auto"/>
              <w:jc w:val="center"/>
              <w:rPr>
                <w:rFonts w:ascii="Calibri" w:eastAsiaTheme="minorHAnsi" w:hAnsi="Calibri" w:cs="Calibri"/>
                <w:b/>
                <w:sz w:val="20"/>
                <w:szCs w:val="20"/>
                <w:lang w:val="en-US"/>
              </w:rPr>
            </w:pPr>
            <w:r w:rsidRPr="0061109F">
              <w:rPr>
                <w:rFonts w:ascii="Calibri" w:eastAsiaTheme="minorHAnsi" w:hAnsi="Calibri" w:cs="Calibri"/>
                <w:b/>
                <w:sz w:val="20"/>
                <w:szCs w:val="20"/>
                <w:lang w:val="en-US"/>
              </w:rPr>
              <w:t>1.49</w:t>
            </w:r>
          </w:p>
        </w:tc>
        <w:tc>
          <w:tcPr>
            <w:tcW w:w="538" w:type="pct"/>
            <w:tcBorders>
              <w:top w:val="single" w:sz="4" w:space="0" w:color="auto"/>
              <w:left w:val="single" w:sz="4" w:space="0" w:color="auto"/>
              <w:bottom w:val="single" w:sz="4" w:space="0" w:color="auto"/>
              <w:right w:val="single" w:sz="4" w:space="0" w:color="auto"/>
            </w:tcBorders>
          </w:tcPr>
          <w:p w14:paraId="0DB5D44E" w14:textId="283E9430" w:rsidR="000B086A" w:rsidRPr="0061109F" w:rsidRDefault="000B086A" w:rsidP="000B086A">
            <w:pPr>
              <w:autoSpaceDE w:val="0"/>
              <w:autoSpaceDN w:val="0"/>
              <w:adjustRightInd w:val="0"/>
              <w:spacing w:line="480" w:lineRule="auto"/>
              <w:jc w:val="center"/>
              <w:rPr>
                <w:rFonts w:ascii="Calibri" w:eastAsiaTheme="minorHAnsi" w:hAnsi="Calibri" w:cs="Calibri"/>
                <w:sz w:val="20"/>
                <w:szCs w:val="20"/>
                <w:lang w:val="en-US"/>
              </w:rPr>
            </w:pPr>
            <w:r w:rsidRPr="0061109F">
              <w:rPr>
                <w:rFonts w:ascii="Calibri" w:eastAsiaTheme="minorHAnsi" w:hAnsi="Calibri" w:cs="Calibri"/>
                <w:sz w:val="20"/>
                <w:szCs w:val="20"/>
                <w:lang w:val="en-US"/>
              </w:rPr>
              <w:t>1.21</w:t>
            </w:r>
          </w:p>
        </w:tc>
        <w:tc>
          <w:tcPr>
            <w:tcW w:w="693" w:type="pct"/>
            <w:tcBorders>
              <w:top w:val="single" w:sz="4" w:space="0" w:color="auto"/>
              <w:left w:val="single" w:sz="4" w:space="0" w:color="auto"/>
              <w:bottom w:val="single" w:sz="4" w:space="0" w:color="auto"/>
              <w:right w:val="single" w:sz="4" w:space="0" w:color="auto"/>
            </w:tcBorders>
          </w:tcPr>
          <w:p w14:paraId="139E6A10" w14:textId="1FAD5367" w:rsidR="000B086A" w:rsidRPr="0061109F" w:rsidRDefault="000B086A" w:rsidP="000B086A">
            <w:pPr>
              <w:autoSpaceDE w:val="0"/>
              <w:autoSpaceDN w:val="0"/>
              <w:adjustRightInd w:val="0"/>
              <w:spacing w:line="480" w:lineRule="auto"/>
              <w:jc w:val="center"/>
              <w:rPr>
                <w:rFonts w:ascii="Calibri" w:eastAsiaTheme="minorHAnsi" w:hAnsi="Calibri" w:cs="Calibri"/>
                <w:sz w:val="20"/>
                <w:szCs w:val="20"/>
                <w:lang w:val="en-US"/>
              </w:rPr>
            </w:pPr>
            <w:r w:rsidRPr="0061109F">
              <w:rPr>
                <w:rFonts w:ascii="Calibri" w:eastAsiaTheme="minorHAnsi" w:hAnsi="Calibri" w:cs="Calibri"/>
                <w:sz w:val="20"/>
                <w:szCs w:val="20"/>
                <w:lang w:val="en-US"/>
              </w:rPr>
              <w:t>1.03</w:t>
            </w:r>
          </w:p>
        </w:tc>
        <w:tc>
          <w:tcPr>
            <w:tcW w:w="539" w:type="pct"/>
            <w:tcBorders>
              <w:top w:val="single" w:sz="4" w:space="0" w:color="auto"/>
              <w:left w:val="single" w:sz="4" w:space="0" w:color="auto"/>
              <w:bottom w:val="single" w:sz="4" w:space="0" w:color="auto"/>
              <w:right w:val="single" w:sz="4" w:space="0" w:color="auto"/>
            </w:tcBorders>
          </w:tcPr>
          <w:p w14:paraId="3F57A45B" w14:textId="6790BCAB" w:rsidR="000B086A" w:rsidRPr="0061109F" w:rsidRDefault="000B086A" w:rsidP="000B086A">
            <w:pPr>
              <w:autoSpaceDE w:val="0"/>
              <w:autoSpaceDN w:val="0"/>
              <w:adjustRightInd w:val="0"/>
              <w:spacing w:line="480" w:lineRule="auto"/>
              <w:jc w:val="center"/>
              <w:rPr>
                <w:rFonts w:ascii="Calibri" w:eastAsiaTheme="minorHAnsi" w:hAnsi="Calibri" w:cs="Calibri"/>
                <w:sz w:val="20"/>
                <w:szCs w:val="20"/>
                <w:lang w:val="en-US"/>
              </w:rPr>
            </w:pPr>
            <w:r w:rsidRPr="0061109F">
              <w:rPr>
                <w:rFonts w:ascii="Calibri" w:eastAsiaTheme="minorHAnsi" w:hAnsi="Calibri" w:cs="Calibri"/>
                <w:sz w:val="20"/>
                <w:szCs w:val="20"/>
                <w:lang w:val="en-US"/>
              </w:rPr>
              <w:t>1.43</w:t>
            </w:r>
          </w:p>
        </w:tc>
      </w:tr>
      <w:tr w:rsidR="0061109F" w:rsidRPr="0061109F" w14:paraId="30AABD56" w14:textId="77777777" w:rsidTr="000B086A">
        <w:trPr>
          <w:trHeight w:val="300"/>
        </w:trPr>
        <w:tc>
          <w:tcPr>
            <w:tcW w:w="1535" w:type="pct"/>
            <w:tcBorders>
              <w:top w:val="single" w:sz="4" w:space="0" w:color="auto"/>
              <w:left w:val="single" w:sz="4" w:space="0" w:color="auto"/>
              <w:bottom w:val="single" w:sz="4" w:space="0" w:color="auto"/>
              <w:right w:val="single" w:sz="4" w:space="0" w:color="auto"/>
            </w:tcBorders>
          </w:tcPr>
          <w:p w14:paraId="2CC128BF" w14:textId="77777777" w:rsidR="000B086A" w:rsidRPr="0061109F" w:rsidRDefault="000B086A" w:rsidP="000B086A">
            <w:pPr>
              <w:autoSpaceDE w:val="0"/>
              <w:autoSpaceDN w:val="0"/>
              <w:adjustRightInd w:val="0"/>
              <w:spacing w:line="480" w:lineRule="auto"/>
              <w:rPr>
                <w:rFonts w:ascii="Calibri" w:eastAsiaTheme="minorHAnsi" w:hAnsi="Calibri" w:cs="Calibri"/>
                <w:sz w:val="20"/>
                <w:szCs w:val="20"/>
                <w:lang w:val="en-US"/>
              </w:rPr>
            </w:pPr>
            <w:r w:rsidRPr="0061109F">
              <w:rPr>
                <w:rFonts w:ascii="Calibri" w:eastAsiaTheme="minorHAnsi" w:hAnsi="Calibri" w:cs="Calibri"/>
                <w:sz w:val="20"/>
                <w:szCs w:val="20"/>
                <w:lang w:val="en-US"/>
              </w:rPr>
              <w:t>Major depressive disorder</w:t>
            </w:r>
          </w:p>
        </w:tc>
        <w:tc>
          <w:tcPr>
            <w:tcW w:w="540" w:type="pct"/>
            <w:tcBorders>
              <w:top w:val="single" w:sz="4" w:space="0" w:color="auto"/>
              <w:left w:val="single" w:sz="4" w:space="0" w:color="auto"/>
              <w:bottom w:val="single" w:sz="4" w:space="0" w:color="auto"/>
              <w:right w:val="single" w:sz="4" w:space="0" w:color="auto"/>
            </w:tcBorders>
          </w:tcPr>
          <w:p w14:paraId="0944FC95" w14:textId="1E3238CD" w:rsidR="000B086A" w:rsidRPr="0061109F" w:rsidRDefault="000B086A" w:rsidP="000B086A">
            <w:pPr>
              <w:autoSpaceDE w:val="0"/>
              <w:autoSpaceDN w:val="0"/>
              <w:adjustRightInd w:val="0"/>
              <w:spacing w:line="480" w:lineRule="auto"/>
              <w:jc w:val="center"/>
              <w:rPr>
                <w:rFonts w:ascii="Calibri" w:eastAsiaTheme="minorHAnsi" w:hAnsi="Calibri" w:cs="Calibri"/>
                <w:sz w:val="20"/>
                <w:szCs w:val="20"/>
                <w:lang w:val="en-US"/>
              </w:rPr>
            </w:pPr>
            <w:r w:rsidRPr="0061109F">
              <w:rPr>
                <w:rFonts w:ascii="Calibri" w:eastAsiaTheme="minorHAnsi" w:hAnsi="Calibri" w:cs="Calibri"/>
                <w:sz w:val="20"/>
                <w:szCs w:val="20"/>
                <w:lang w:val="en-US"/>
              </w:rPr>
              <w:t>0.83</w:t>
            </w:r>
          </w:p>
        </w:tc>
        <w:tc>
          <w:tcPr>
            <w:tcW w:w="616" w:type="pct"/>
            <w:tcBorders>
              <w:top w:val="single" w:sz="4" w:space="0" w:color="auto"/>
              <w:left w:val="single" w:sz="4" w:space="0" w:color="auto"/>
              <w:bottom w:val="single" w:sz="4" w:space="0" w:color="auto"/>
              <w:right w:val="single" w:sz="4" w:space="0" w:color="auto"/>
            </w:tcBorders>
          </w:tcPr>
          <w:p w14:paraId="369AA7C3" w14:textId="7C76D4C2" w:rsidR="000B086A" w:rsidRPr="0061109F" w:rsidRDefault="000B086A" w:rsidP="000B086A">
            <w:pPr>
              <w:autoSpaceDE w:val="0"/>
              <w:autoSpaceDN w:val="0"/>
              <w:adjustRightInd w:val="0"/>
              <w:spacing w:line="480" w:lineRule="auto"/>
              <w:jc w:val="center"/>
              <w:rPr>
                <w:rFonts w:ascii="Calibri" w:eastAsiaTheme="minorHAnsi" w:hAnsi="Calibri" w:cs="Calibri"/>
                <w:sz w:val="20"/>
                <w:szCs w:val="20"/>
                <w:lang w:val="en-US"/>
              </w:rPr>
            </w:pPr>
            <w:r w:rsidRPr="0061109F">
              <w:rPr>
                <w:rFonts w:ascii="Calibri" w:eastAsiaTheme="minorHAnsi" w:hAnsi="Calibri" w:cs="Calibri"/>
                <w:sz w:val="20"/>
                <w:szCs w:val="20"/>
                <w:lang w:val="en-US"/>
              </w:rPr>
              <w:t>0.72</w:t>
            </w:r>
          </w:p>
        </w:tc>
        <w:tc>
          <w:tcPr>
            <w:tcW w:w="538" w:type="pct"/>
            <w:tcBorders>
              <w:top w:val="single" w:sz="4" w:space="0" w:color="auto"/>
              <w:left w:val="single" w:sz="4" w:space="0" w:color="auto"/>
              <w:bottom w:val="single" w:sz="4" w:space="0" w:color="auto"/>
              <w:right w:val="single" w:sz="4" w:space="0" w:color="auto"/>
            </w:tcBorders>
          </w:tcPr>
          <w:p w14:paraId="6622B031" w14:textId="55008495" w:rsidR="000B086A" w:rsidRPr="0061109F" w:rsidRDefault="000B086A" w:rsidP="000B086A">
            <w:pPr>
              <w:autoSpaceDE w:val="0"/>
              <w:autoSpaceDN w:val="0"/>
              <w:adjustRightInd w:val="0"/>
              <w:spacing w:line="480" w:lineRule="auto"/>
              <w:jc w:val="center"/>
              <w:rPr>
                <w:rFonts w:ascii="Calibri" w:eastAsiaTheme="minorHAnsi" w:hAnsi="Calibri" w:cs="Calibri"/>
                <w:sz w:val="20"/>
                <w:szCs w:val="20"/>
                <w:lang w:val="en-US"/>
              </w:rPr>
            </w:pPr>
            <w:r w:rsidRPr="0061109F">
              <w:rPr>
                <w:rFonts w:ascii="Calibri" w:eastAsiaTheme="minorHAnsi" w:hAnsi="Calibri" w:cs="Calibri"/>
                <w:sz w:val="20"/>
                <w:szCs w:val="20"/>
                <w:lang w:val="en-US"/>
              </w:rPr>
              <w:t>0.95</w:t>
            </w:r>
          </w:p>
        </w:tc>
        <w:tc>
          <w:tcPr>
            <w:tcW w:w="538" w:type="pct"/>
            <w:tcBorders>
              <w:top w:val="single" w:sz="4" w:space="0" w:color="auto"/>
              <w:left w:val="single" w:sz="4" w:space="0" w:color="auto"/>
              <w:bottom w:val="single" w:sz="4" w:space="0" w:color="auto"/>
              <w:right w:val="single" w:sz="4" w:space="0" w:color="auto"/>
            </w:tcBorders>
          </w:tcPr>
          <w:p w14:paraId="5BCE2529" w14:textId="4B18720A" w:rsidR="000B086A" w:rsidRPr="0061109F" w:rsidRDefault="000B086A" w:rsidP="000B086A">
            <w:pPr>
              <w:autoSpaceDE w:val="0"/>
              <w:autoSpaceDN w:val="0"/>
              <w:adjustRightInd w:val="0"/>
              <w:spacing w:line="480" w:lineRule="auto"/>
              <w:jc w:val="center"/>
              <w:rPr>
                <w:rFonts w:ascii="Calibri" w:eastAsiaTheme="minorHAnsi" w:hAnsi="Calibri" w:cs="Calibri"/>
                <w:sz w:val="20"/>
                <w:szCs w:val="20"/>
                <w:lang w:val="en-US"/>
              </w:rPr>
            </w:pPr>
            <w:r w:rsidRPr="0061109F">
              <w:rPr>
                <w:rFonts w:ascii="Calibri" w:eastAsiaTheme="minorHAnsi" w:hAnsi="Calibri" w:cs="Calibri"/>
                <w:sz w:val="20"/>
                <w:szCs w:val="20"/>
                <w:lang w:val="en-US"/>
              </w:rPr>
              <w:t>0.83</w:t>
            </w:r>
          </w:p>
        </w:tc>
        <w:tc>
          <w:tcPr>
            <w:tcW w:w="693" w:type="pct"/>
            <w:tcBorders>
              <w:top w:val="single" w:sz="4" w:space="0" w:color="auto"/>
              <w:left w:val="single" w:sz="4" w:space="0" w:color="auto"/>
              <w:bottom w:val="single" w:sz="4" w:space="0" w:color="auto"/>
              <w:right w:val="single" w:sz="4" w:space="0" w:color="auto"/>
            </w:tcBorders>
          </w:tcPr>
          <w:p w14:paraId="0E747C2D" w14:textId="2336EFFD" w:rsidR="000B086A" w:rsidRPr="0061109F" w:rsidRDefault="000B086A" w:rsidP="000B086A">
            <w:pPr>
              <w:autoSpaceDE w:val="0"/>
              <w:autoSpaceDN w:val="0"/>
              <w:adjustRightInd w:val="0"/>
              <w:spacing w:line="480" w:lineRule="auto"/>
              <w:jc w:val="center"/>
              <w:rPr>
                <w:rFonts w:ascii="Calibri" w:eastAsiaTheme="minorHAnsi" w:hAnsi="Calibri" w:cs="Calibri"/>
                <w:sz w:val="20"/>
                <w:szCs w:val="20"/>
                <w:lang w:val="en-US"/>
              </w:rPr>
            </w:pPr>
            <w:r w:rsidRPr="0061109F">
              <w:rPr>
                <w:rFonts w:ascii="Calibri" w:eastAsiaTheme="minorHAnsi" w:hAnsi="Calibri" w:cs="Calibri"/>
                <w:sz w:val="20"/>
                <w:szCs w:val="20"/>
                <w:lang w:val="en-US"/>
              </w:rPr>
              <w:t>0.72</w:t>
            </w:r>
          </w:p>
        </w:tc>
        <w:tc>
          <w:tcPr>
            <w:tcW w:w="539" w:type="pct"/>
            <w:tcBorders>
              <w:top w:val="single" w:sz="4" w:space="0" w:color="auto"/>
              <w:left w:val="single" w:sz="4" w:space="0" w:color="auto"/>
              <w:bottom w:val="single" w:sz="4" w:space="0" w:color="auto"/>
              <w:right w:val="single" w:sz="4" w:space="0" w:color="auto"/>
            </w:tcBorders>
          </w:tcPr>
          <w:p w14:paraId="25CC7B81" w14:textId="0A521EBD" w:rsidR="000B086A" w:rsidRPr="0061109F" w:rsidRDefault="000B086A" w:rsidP="000B086A">
            <w:pPr>
              <w:autoSpaceDE w:val="0"/>
              <w:autoSpaceDN w:val="0"/>
              <w:adjustRightInd w:val="0"/>
              <w:spacing w:line="480" w:lineRule="auto"/>
              <w:jc w:val="center"/>
              <w:rPr>
                <w:rFonts w:ascii="Calibri" w:eastAsiaTheme="minorHAnsi" w:hAnsi="Calibri" w:cs="Calibri"/>
                <w:sz w:val="20"/>
                <w:szCs w:val="20"/>
                <w:lang w:val="en-US"/>
              </w:rPr>
            </w:pPr>
            <w:r w:rsidRPr="0061109F">
              <w:rPr>
                <w:rFonts w:ascii="Calibri" w:eastAsiaTheme="minorHAnsi" w:hAnsi="Calibri" w:cs="Calibri"/>
                <w:sz w:val="20"/>
                <w:szCs w:val="20"/>
                <w:lang w:val="en-US"/>
              </w:rPr>
              <w:t>0.98</w:t>
            </w:r>
          </w:p>
        </w:tc>
      </w:tr>
      <w:tr w:rsidR="0061109F" w:rsidRPr="0061109F" w14:paraId="776049F6" w14:textId="77777777" w:rsidTr="000B086A">
        <w:trPr>
          <w:trHeight w:val="300"/>
        </w:trPr>
        <w:tc>
          <w:tcPr>
            <w:tcW w:w="1535" w:type="pct"/>
            <w:tcBorders>
              <w:top w:val="single" w:sz="4" w:space="0" w:color="auto"/>
              <w:left w:val="single" w:sz="4" w:space="0" w:color="auto"/>
              <w:bottom w:val="single" w:sz="4" w:space="0" w:color="auto"/>
              <w:right w:val="single" w:sz="4" w:space="0" w:color="auto"/>
            </w:tcBorders>
          </w:tcPr>
          <w:p w14:paraId="212E4BEF" w14:textId="77777777" w:rsidR="000B086A" w:rsidRPr="0061109F" w:rsidRDefault="000B086A" w:rsidP="000B086A">
            <w:pPr>
              <w:autoSpaceDE w:val="0"/>
              <w:autoSpaceDN w:val="0"/>
              <w:adjustRightInd w:val="0"/>
              <w:spacing w:line="480" w:lineRule="auto"/>
              <w:rPr>
                <w:rFonts w:ascii="Calibri" w:eastAsiaTheme="minorHAnsi" w:hAnsi="Calibri" w:cs="Calibri"/>
                <w:sz w:val="20"/>
                <w:szCs w:val="20"/>
                <w:lang w:val="en-US"/>
              </w:rPr>
            </w:pPr>
            <w:r w:rsidRPr="0061109F">
              <w:rPr>
                <w:rFonts w:ascii="Calibri" w:eastAsiaTheme="minorHAnsi" w:hAnsi="Calibri" w:cs="Calibri"/>
                <w:sz w:val="20"/>
                <w:szCs w:val="20"/>
                <w:lang w:val="en-US"/>
              </w:rPr>
              <w:t>Diabetes</w:t>
            </w:r>
          </w:p>
        </w:tc>
        <w:tc>
          <w:tcPr>
            <w:tcW w:w="540" w:type="pct"/>
            <w:tcBorders>
              <w:top w:val="single" w:sz="4" w:space="0" w:color="auto"/>
              <w:left w:val="single" w:sz="4" w:space="0" w:color="auto"/>
              <w:bottom w:val="single" w:sz="4" w:space="0" w:color="auto"/>
              <w:right w:val="single" w:sz="4" w:space="0" w:color="auto"/>
            </w:tcBorders>
          </w:tcPr>
          <w:p w14:paraId="0823D270" w14:textId="2AE49EC1" w:rsidR="000B086A" w:rsidRPr="0061109F" w:rsidRDefault="000B086A" w:rsidP="000B086A">
            <w:pPr>
              <w:autoSpaceDE w:val="0"/>
              <w:autoSpaceDN w:val="0"/>
              <w:adjustRightInd w:val="0"/>
              <w:spacing w:line="480" w:lineRule="auto"/>
              <w:jc w:val="center"/>
              <w:rPr>
                <w:rFonts w:ascii="Calibri" w:eastAsiaTheme="minorHAnsi" w:hAnsi="Calibri" w:cs="Calibri"/>
                <w:sz w:val="20"/>
                <w:szCs w:val="20"/>
                <w:lang w:val="en-US"/>
              </w:rPr>
            </w:pPr>
            <w:r w:rsidRPr="0061109F">
              <w:rPr>
                <w:rFonts w:ascii="Calibri" w:eastAsiaTheme="minorHAnsi" w:hAnsi="Calibri" w:cs="Calibri"/>
                <w:sz w:val="20"/>
                <w:szCs w:val="20"/>
                <w:lang w:val="en-US"/>
              </w:rPr>
              <w:t>1.11</w:t>
            </w:r>
          </w:p>
        </w:tc>
        <w:tc>
          <w:tcPr>
            <w:tcW w:w="616" w:type="pct"/>
            <w:tcBorders>
              <w:top w:val="single" w:sz="4" w:space="0" w:color="auto"/>
              <w:left w:val="single" w:sz="4" w:space="0" w:color="auto"/>
              <w:bottom w:val="single" w:sz="4" w:space="0" w:color="auto"/>
              <w:right w:val="single" w:sz="4" w:space="0" w:color="auto"/>
            </w:tcBorders>
          </w:tcPr>
          <w:p w14:paraId="614CD885" w14:textId="0066B37F" w:rsidR="000B086A" w:rsidRPr="0061109F" w:rsidRDefault="000B086A" w:rsidP="000B086A">
            <w:pPr>
              <w:autoSpaceDE w:val="0"/>
              <w:autoSpaceDN w:val="0"/>
              <w:adjustRightInd w:val="0"/>
              <w:spacing w:line="480" w:lineRule="auto"/>
              <w:jc w:val="center"/>
              <w:rPr>
                <w:rFonts w:ascii="Calibri" w:eastAsiaTheme="minorHAnsi" w:hAnsi="Calibri" w:cs="Calibri"/>
                <w:sz w:val="20"/>
                <w:szCs w:val="20"/>
                <w:lang w:val="en-US"/>
              </w:rPr>
            </w:pPr>
            <w:r w:rsidRPr="0061109F">
              <w:rPr>
                <w:rFonts w:ascii="Calibri" w:eastAsiaTheme="minorHAnsi" w:hAnsi="Calibri" w:cs="Calibri"/>
                <w:sz w:val="20"/>
                <w:szCs w:val="20"/>
                <w:lang w:val="en-US"/>
              </w:rPr>
              <w:t>0.91</w:t>
            </w:r>
          </w:p>
        </w:tc>
        <w:tc>
          <w:tcPr>
            <w:tcW w:w="538" w:type="pct"/>
            <w:tcBorders>
              <w:top w:val="single" w:sz="4" w:space="0" w:color="auto"/>
              <w:left w:val="single" w:sz="4" w:space="0" w:color="auto"/>
              <w:bottom w:val="single" w:sz="4" w:space="0" w:color="auto"/>
              <w:right w:val="single" w:sz="4" w:space="0" w:color="auto"/>
            </w:tcBorders>
          </w:tcPr>
          <w:p w14:paraId="5C1B4B3E" w14:textId="594E28B1" w:rsidR="000B086A" w:rsidRPr="0061109F" w:rsidRDefault="000B086A" w:rsidP="000B086A">
            <w:pPr>
              <w:autoSpaceDE w:val="0"/>
              <w:autoSpaceDN w:val="0"/>
              <w:adjustRightInd w:val="0"/>
              <w:spacing w:line="480" w:lineRule="auto"/>
              <w:jc w:val="center"/>
              <w:rPr>
                <w:rFonts w:ascii="Calibri" w:eastAsiaTheme="minorHAnsi" w:hAnsi="Calibri" w:cs="Calibri"/>
                <w:sz w:val="20"/>
                <w:szCs w:val="20"/>
                <w:lang w:val="en-US"/>
              </w:rPr>
            </w:pPr>
            <w:r w:rsidRPr="0061109F">
              <w:rPr>
                <w:rFonts w:ascii="Calibri" w:eastAsiaTheme="minorHAnsi" w:hAnsi="Calibri" w:cs="Calibri"/>
                <w:sz w:val="20"/>
                <w:szCs w:val="20"/>
                <w:lang w:val="en-US"/>
              </w:rPr>
              <w:t>1.35</w:t>
            </w:r>
          </w:p>
        </w:tc>
        <w:tc>
          <w:tcPr>
            <w:tcW w:w="538" w:type="pct"/>
            <w:tcBorders>
              <w:top w:val="single" w:sz="4" w:space="0" w:color="auto"/>
              <w:left w:val="single" w:sz="4" w:space="0" w:color="auto"/>
              <w:bottom w:val="single" w:sz="4" w:space="0" w:color="auto"/>
              <w:right w:val="single" w:sz="4" w:space="0" w:color="auto"/>
            </w:tcBorders>
          </w:tcPr>
          <w:p w14:paraId="1E227D11" w14:textId="77777777" w:rsidR="000B086A" w:rsidRPr="0061109F" w:rsidRDefault="000B086A" w:rsidP="000B086A">
            <w:pPr>
              <w:autoSpaceDE w:val="0"/>
              <w:autoSpaceDN w:val="0"/>
              <w:adjustRightInd w:val="0"/>
              <w:spacing w:line="480" w:lineRule="auto"/>
              <w:jc w:val="center"/>
              <w:rPr>
                <w:rFonts w:ascii="Calibri" w:eastAsiaTheme="minorHAnsi" w:hAnsi="Calibri" w:cs="Calibri"/>
                <w:b/>
                <w:sz w:val="20"/>
                <w:szCs w:val="20"/>
                <w:lang w:val="en-US"/>
              </w:rPr>
            </w:pPr>
            <w:r w:rsidRPr="0061109F">
              <w:rPr>
                <w:rFonts w:ascii="Calibri" w:eastAsiaTheme="minorHAnsi" w:hAnsi="Calibri" w:cs="Calibri"/>
                <w:b/>
                <w:sz w:val="20"/>
                <w:szCs w:val="20"/>
                <w:lang w:val="en-US"/>
              </w:rPr>
              <w:t>2.17</w:t>
            </w:r>
          </w:p>
        </w:tc>
        <w:tc>
          <w:tcPr>
            <w:tcW w:w="693" w:type="pct"/>
            <w:tcBorders>
              <w:top w:val="single" w:sz="4" w:space="0" w:color="auto"/>
              <w:left w:val="single" w:sz="4" w:space="0" w:color="auto"/>
              <w:bottom w:val="single" w:sz="4" w:space="0" w:color="auto"/>
              <w:right w:val="single" w:sz="4" w:space="0" w:color="auto"/>
            </w:tcBorders>
          </w:tcPr>
          <w:p w14:paraId="2C24AC1A" w14:textId="7E1D555D" w:rsidR="000B086A" w:rsidRPr="0061109F" w:rsidRDefault="000B086A" w:rsidP="000B086A">
            <w:pPr>
              <w:autoSpaceDE w:val="0"/>
              <w:autoSpaceDN w:val="0"/>
              <w:adjustRightInd w:val="0"/>
              <w:spacing w:line="480" w:lineRule="auto"/>
              <w:jc w:val="center"/>
              <w:rPr>
                <w:rFonts w:ascii="Calibri" w:eastAsiaTheme="minorHAnsi" w:hAnsi="Calibri" w:cs="Calibri"/>
                <w:b/>
                <w:sz w:val="20"/>
                <w:szCs w:val="20"/>
                <w:lang w:val="en-US"/>
              </w:rPr>
            </w:pPr>
            <w:r w:rsidRPr="0061109F">
              <w:rPr>
                <w:rFonts w:ascii="Calibri" w:eastAsiaTheme="minorHAnsi" w:hAnsi="Calibri" w:cs="Calibri"/>
                <w:b/>
                <w:sz w:val="20"/>
                <w:szCs w:val="20"/>
                <w:lang w:val="en-US"/>
              </w:rPr>
              <w:t>1.76</w:t>
            </w:r>
          </w:p>
        </w:tc>
        <w:tc>
          <w:tcPr>
            <w:tcW w:w="539" w:type="pct"/>
            <w:tcBorders>
              <w:top w:val="single" w:sz="4" w:space="0" w:color="auto"/>
              <w:left w:val="single" w:sz="4" w:space="0" w:color="auto"/>
              <w:bottom w:val="single" w:sz="4" w:space="0" w:color="auto"/>
              <w:right w:val="single" w:sz="4" w:space="0" w:color="auto"/>
            </w:tcBorders>
          </w:tcPr>
          <w:p w14:paraId="15EB1A65" w14:textId="09052544" w:rsidR="000B086A" w:rsidRPr="0061109F" w:rsidRDefault="000B086A" w:rsidP="000B086A">
            <w:pPr>
              <w:autoSpaceDE w:val="0"/>
              <w:autoSpaceDN w:val="0"/>
              <w:adjustRightInd w:val="0"/>
              <w:spacing w:line="480" w:lineRule="auto"/>
              <w:jc w:val="center"/>
              <w:rPr>
                <w:rFonts w:ascii="Calibri" w:eastAsiaTheme="minorHAnsi" w:hAnsi="Calibri" w:cs="Calibri"/>
                <w:b/>
                <w:sz w:val="20"/>
                <w:szCs w:val="20"/>
                <w:lang w:val="en-US"/>
              </w:rPr>
            </w:pPr>
            <w:r w:rsidRPr="0061109F">
              <w:rPr>
                <w:rFonts w:ascii="Calibri" w:eastAsiaTheme="minorHAnsi" w:hAnsi="Calibri" w:cs="Calibri"/>
                <w:b/>
                <w:sz w:val="20"/>
                <w:szCs w:val="20"/>
                <w:lang w:val="en-US"/>
              </w:rPr>
              <w:t>2.69</w:t>
            </w:r>
          </w:p>
        </w:tc>
      </w:tr>
      <w:tr w:rsidR="0061109F" w:rsidRPr="0061109F" w14:paraId="494E7AEC" w14:textId="77777777" w:rsidTr="000B086A">
        <w:trPr>
          <w:trHeight w:val="300"/>
        </w:trPr>
        <w:tc>
          <w:tcPr>
            <w:tcW w:w="1535" w:type="pct"/>
            <w:tcBorders>
              <w:top w:val="single" w:sz="4" w:space="0" w:color="auto"/>
              <w:left w:val="single" w:sz="6" w:space="0" w:color="auto"/>
              <w:bottom w:val="single" w:sz="6" w:space="0" w:color="auto"/>
              <w:right w:val="single" w:sz="6" w:space="0" w:color="auto"/>
            </w:tcBorders>
          </w:tcPr>
          <w:p w14:paraId="44026830" w14:textId="77777777" w:rsidR="000B086A" w:rsidRPr="0061109F" w:rsidRDefault="000B086A" w:rsidP="000B086A">
            <w:pPr>
              <w:autoSpaceDE w:val="0"/>
              <w:autoSpaceDN w:val="0"/>
              <w:adjustRightInd w:val="0"/>
              <w:spacing w:line="480" w:lineRule="auto"/>
              <w:rPr>
                <w:rFonts w:ascii="Calibri" w:eastAsiaTheme="minorHAnsi" w:hAnsi="Calibri" w:cs="Calibri"/>
                <w:sz w:val="20"/>
                <w:szCs w:val="20"/>
                <w:lang w:val="en-US"/>
              </w:rPr>
            </w:pPr>
            <w:r w:rsidRPr="0061109F">
              <w:rPr>
                <w:rFonts w:ascii="Calibri" w:eastAsiaTheme="minorHAnsi" w:hAnsi="Calibri" w:cs="Calibri"/>
                <w:sz w:val="20"/>
                <w:szCs w:val="20"/>
                <w:lang w:val="en-US"/>
              </w:rPr>
              <w:t>Chronic obstructive pulmonary disease</w:t>
            </w:r>
          </w:p>
        </w:tc>
        <w:tc>
          <w:tcPr>
            <w:tcW w:w="540" w:type="pct"/>
            <w:tcBorders>
              <w:top w:val="single" w:sz="4" w:space="0" w:color="auto"/>
              <w:left w:val="single" w:sz="6" w:space="0" w:color="auto"/>
              <w:bottom w:val="single" w:sz="6" w:space="0" w:color="auto"/>
              <w:right w:val="single" w:sz="6" w:space="0" w:color="auto"/>
            </w:tcBorders>
          </w:tcPr>
          <w:p w14:paraId="2B63E32A" w14:textId="571E5A49" w:rsidR="000B086A" w:rsidRPr="0061109F" w:rsidRDefault="000B086A" w:rsidP="000B086A">
            <w:pPr>
              <w:autoSpaceDE w:val="0"/>
              <w:autoSpaceDN w:val="0"/>
              <w:adjustRightInd w:val="0"/>
              <w:spacing w:line="480" w:lineRule="auto"/>
              <w:jc w:val="center"/>
              <w:rPr>
                <w:rFonts w:ascii="Calibri" w:eastAsiaTheme="minorHAnsi" w:hAnsi="Calibri" w:cs="Calibri"/>
                <w:sz w:val="20"/>
                <w:szCs w:val="20"/>
                <w:lang w:val="en-US"/>
              </w:rPr>
            </w:pPr>
            <w:r w:rsidRPr="0061109F">
              <w:rPr>
                <w:rFonts w:ascii="Calibri" w:eastAsiaTheme="minorHAnsi" w:hAnsi="Calibri" w:cs="Calibri"/>
                <w:sz w:val="20"/>
                <w:szCs w:val="20"/>
                <w:lang w:val="en-US"/>
              </w:rPr>
              <w:t>1.27</w:t>
            </w:r>
          </w:p>
        </w:tc>
        <w:tc>
          <w:tcPr>
            <w:tcW w:w="616" w:type="pct"/>
            <w:tcBorders>
              <w:top w:val="single" w:sz="4" w:space="0" w:color="auto"/>
              <w:left w:val="single" w:sz="6" w:space="0" w:color="auto"/>
              <w:bottom w:val="single" w:sz="6" w:space="0" w:color="auto"/>
              <w:right w:val="single" w:sz="6" w:space="0" w:color="auto"/>
            </w:tcBorders>
          </w:tcPr>
          <w:p w14:paraId="320E810D" w14:textId="6EF6531E" w:rsidR="000B086A" w:rsidRPr="0061109F" w:rsidRDefault="000B086A" w:rsidP="000B086A">
            <w:pPr>
              <w:autoSpaceDE w:val="0"/>
              <w:autoSpaceDN w:val="0"/>
              <w:adjustRightInd w:val="0"/>
              <w:spacing w:line="480" w:lineRule="auto"/>
              <w:jc w:val="center"/>
              <w:rPr>
                <w:rFonts w:ascii="Calibri" w:eastAsiaTheme="minorHAnsi" w:hAnsi="Calibri" w:cs="Calibri"/>
                <w:sz w:val="20"/>
                <w:szCs w:val="20"/>
                <w:lang w:val="en-US"/>
              </w:rPr>
            </w:pPr>
            <w:r w:rsidRPr="0061109F">
              <w:rPr>
                <w:rFonts w:ascii="Calibri" w:eastAsiaTheme="minorHAnsi" w:hAnsi="Calibri" w:cs="Calibri"/>
                <w:sz w:val="20"/>
                <w:szCs w:val="20"/>
                <w:lang w:val="en-US"/>
              </w:rPr>
              <w:t>0.91</w:t>
            </w:r>
          </w:p>
        </w:tc>
        <w:tc>
          <w:tcPr>
            <w:tcW w:w="538" w:type="pct"/>
            <w:tcBorders>
              <w:top w:val="single" w:sz="4" w:space="0" w:color="auto"/>
              <w:left w:val="single" w:sz="6" w:space="0" w:color="auto"/>
              <w:bottom w:val="single" w:sz="6" w:space="0" w:color="auto"/>
              <w:right w:val="single" w:sz="6" w:space="0" w:color="auto"/>
            </w:tcBorders>
          </w:tcPr>
          <w:p w14:paraId="71798B70" w14:textId="70D46689" w:rsidR="000B086A" w:rsidRPr="0061109F" w:rsidRDefault="000B086A" w:rsidP="000B086A">
            <w:pPr>
              <w:autoSpaceDE w:val="0"/>
              <w:autoSpaceDN w:val="0"/>
              <w:adjustRightInd w:val="0"/>
              <w:spacing w:line="480" w:lineRule="auto"/>
              <w:jc w:val="center"/>
              <w:rPr>
                <w:rFonts w:ascii="Calibri" w:eastAsiaTheme="minorHAnsi" w:hAnsi="Calibri" w:cs="Calibri"/>
                <w:sz w:val="20"/>
                <w:szCs w:val="20"/>
                <w:lang w:val="en-US"/>
              </w:rPr>
            </w:pPr>
            <w:r w:rsidRPr="0061109F">
              <w:rPr>
                <w:rFonts w:ascii="Calibri" w:eastAsiaTheme="minorHAnsi" w:hAnsi="Calibri" w:cs="Calibri"/>
                <w:sz w:val="20"/>
                <w:szCs w:val="20"/>
                <w:lang w:val="en-US"/>
              </w:rPr>
              <w:t>1.76</w:t>
            </w:r>
          </w:p>
        </w:tc>
        <w:tc>
          <w:tcPr>
            <w:tcW w:w="538" w:type="pct"/>
            <w:tcBorders>
              <w:top w:val="single" w:sz="4" w:space="0" w:color="auto"/>
              <w:left w:val="single" w:sz="6" w:space="0" w:color="auto"/>
              <w:bottom w:val="single" w:sz="6" w:space="0" w:color="auto"/>
              <w:right w:val="single" w:sz="6" w:space="0" w:color="auto"/>
            </w:tcBorders>
          </w:tcPr>
          <w:p w14:paraId="5EE73EF9" w14:textId="717937D2" w:rsidR="000B086A" w:rsidRPr="0061109F" w:rsidRDefault="000B086A" w:rsidP="000B086A">
            <w:pPr>
              <w:autoSpaceDE w:val="0"/>
              <w:autoSpaceDN w:val="0"/>
              <w:adjustRightInd w:val="0"/>
              <w:spacing w:line="480" w:lineRule="auto"/>
              <w:jc w:val="center"/>
              <w:rPr>
                <w:rFonts w:ascii="Calibri" w:eastAsiaTheme="minorHAnsi" w:hAnsi="Calibri" w:cs="Calibri"/>
                <w:sz w:val="20"/>
                <w:szCs w:val="20"/>
                <w:lang w:val="en-US"/>
              </w:rPr>
            </w:pPr>
            <w:r w:rsidRPr="0061109F">
              <w:rPr>
                <w:rFonts w:ascii="Calibri" w:eastAsiaTheme="minorHAnsi" w:hAnsi="Calibri" w:cs="Calibri"/>
                <w:sz w:val="20"/>
                <w:szCs w:val="20"/>
                <w:lang w:val="en-US"/>
              </w:rPr>
              <w:t>1.71</w:t>
            </w:r>
          </w:p>
        </w:tc>
        <w:tc>
          <w:tcPr>
            <w:tcW w:w="693" w:type="pct"/>
            <w:tcBorders>
              <w:top w:val="single" w:sz="4" w:space="0" w:color="auto"/>
              <w:left w:val="single" w:sz="6" w:space="0" w:color="auto"/>
              <w:bottom w:val="single" w:sz="6" w:space="0" w:color="auto"/>
              <w:right w:val="single" w:sz="6" w:space="0" w:color="auto"/>
            </w:tcBorders>
          </w:tcPr>
          <w:p w14:paraId="6867B6E3" w14:textId="313DAD59" w:rsidR="000B086A" w:rsidRPr="0061109F" w:rsidRDefault="000B086A" w:rsidP="000B086A">
            <w:pPr>
              <w:autoSpaceDE w:val="0"/>
              <w:autoSpaceDN w:val="0"/>
              <w:adjustRightInd w:val="0"/>
              <w:spacing w:line="480" w:lineRule="auto"/>
              <w:jc w:val="center"/>
              <w:rPr>
                <w:rFonts w:ascii="Calibri" w:eastAsiaTheme="minorHAnsi" w:hAnsi="Calibri" w:cs="Calibri"/>
                <w:sz w:val="20"/>
                <w:szCs w:val="20"/>
                <w:lang w:val="en-US"/>
              </w:rPr>
            </w:pPr>
            <w:r w:rsidRPr="0061109F">
              <w:rPr>
                <w:rFonts w:ascii="Calibri" w:eastAsiaTheme="minorHAnsi" w:hAnsi="Calibri" w:cs="Calibri"/>
                <w:sz w:val="20"/>
                <w:szCs w:val="20"/>
                <w:lang w:val="en-US"/>
              </w:rPr>
              <w:t>1.21</w:t>
            </w:r>
          </w:p>
        </w:tc>
        <w:tc>
          <w:tcPr>
            <w:tcW w:w="539" w:type="pct"/>
            <w:tcBorders>
              <w:top w:val="single" w:sz="4" w:space="0" w:color="auto"/>
              <w:left w:val="single" w:sz="6" w:space="0" w:color="auto"/>
              <w:bottom w:val="single" w:sz="6" w:space="0" w:color="auto"/>
              <w:right w:val="single" w:sz="6" w:space="0" w:color="auto"/>
            </w:tcBorders>
          </w:tcPr>
          <w:p w14:paraId="6DE019E6" w14:textId="1B725372" w:rsidR="000B086A" w:rsidRPr="0061109F" w:rsidRDefault="000B086A" w:rsidP="000B086A">
            <w:pPr>
              <w:autoSpaceDE w:val="0"/>
              <w:autoSpaceDN w:val="0"/>
              <w:adjustRightInd w:val="0"/>
              <w:spacing w:line="480" w:lineRule="auto"/>
              <w:jc w:val="center"/>
              <w:rPr>
                <w:rFonts w:ascii="Calibri" w:eastAsiaTheme="minorHAnsi" w:hAnsi="Calibri" w:cs="Calibri"/>
                <w:sz w:val="20"/>
                <w:szCs w:val="20"/>
                <w:lang w:val="en-US"/>
              </w:rPr>
            </w:pPr>
            <w:r w:rsidRPr="0061109F">
              <w:rPr>
                <w:rFonts w:ascii="Calibri" w:eastAsiaTheme="minorHAnsi" w:hAnsi="Calibri" w:cs="Calibri"/>
                <w:sz w:val="20"/>
                <w:szCs w:val="20"/>
                <w:lang w:val="en-US"/>
              </w:rPr>
              <w:t>2.43</w:t>
            </w:r>
          </w:p>
        </w:tc>
      </w:tr>
    </w:tbl>
    <w:p w14:paraId="62CE9F00" w14:textId="04D2FB8F" w:rsidR="000B086A" w:rsidRPr="0061109F" w:rsidRDefault="000B086A" w:rsidP="000B086A">
      <w:pPr>
        <w:spacing w:line="480" w:lineRule="auto"/>
        <w:rPr>
          <w:rFonts w:ascii="Calibri" w:hAnsi="Calibri" w:cs="Calibri"/>
          <w:sz w:val="22"/>
          <w:szCs w:val="22"/>
        </w:rPr>
      </w:pPr>
      <w:r w:rsidRPr="0061109F">
        <w:rPr>
          <w:rFonts w:ascii="Calibri" w:hAnsi="Calibri" w:cs="Calibri"/>
          <w:sz w:val="22"/>
          <w:szCs w:val="22"/>
        </w:rPr>
        <w:t xml:space="preserve">The information in this table is the same as what is represented in Figure 1. Bolded indicates statistically significant at </w:t>
      </w:r>
      <w:r w:rsidR="00BC31CA" w:rsidRPr="0061109F">
        <w:rPr>
          <w:rFonts w:ascii="Calibri" w:hAnsi="Calibri" w:cs="Calibri"/>
          <w:i/>
          <w:sz w:val="22"/>
          <w:szCs w:val="22"/>
        </w:rPr>
        <w:t>p</w:t>
      </w:r>
      <w:r w:rsidRPr="0061109F">
        <w:rPr>
          <w:rFonts w:ascii="Calibri" w:hAnsi="Calibri" w:cs="Calibri"/>
          <w:sz w:val="22"/>
          <w:szCs w:val="22"/>
        </w:rPr>
        <w:t>≤0.00</w:t>
      </w:r>
      <w:r w:rsidR="00BC31CA" w:rsidRPr="0061109F">
        <w:rPr>
          <w:rFonts w:ascii="Calibri" w:hAnsi="Calibri" w:cs="Calibri"/>
          <w:sz w:val="22"/>
          <w:szCs w:val="22"/>
        </w:rPr>
        <w:t>11</w:t>
      </w:r>
      <w:r w:rsidRPr="0061109F">
        <w:rPr>
          <w:rFonts w:ascii="Calibri" w:hAnsi="Calibri" w:cs="Calibri"/>
          <w:sz w:val="22"/>
          <w:szCs w:val="22"/>
        </w:rPr>
        <w:t xml:space="preserve">. </w:t>
      </w:r>
      <w:r w:rsidR="00B11155" w:rsidRPr="0061109F">
        <w:rPr>
          <w:rFonts w:ascii="Calibri" w:hAnsi="Calibri" w:cs="Calibri"/>
          <w:sz w:val="22"/>
          <w:szCs w:val="22"/>
          <w:lang w:val="en-US"/>
        </w:rPr>
        <w:t xml:space="preserve">Total N for all exposures in the unadjusted model: </w:t>
      </w:r>
      <w:r w:rsidR="00B11155" w:rsidRPr="0061109F">
        <w:rPr>
          <w:rFonts w:ascii="Calibri" w:hAnsi="Calibri" w:cs="Calibri"/>
          <w:sz w:val="22"/>
          <w:szCs w:val="22"/>
        </w:rPr>
        <w:t>13</w:t>
      </w:r>
      <w:r w:rsidR="0022458B" w:rsidRPr="0061109F">
        <w:rPr>
          <w:rFonts w:ascii="Calibri" w:hAnsi="Calibri" w:cs="Calibri"/>
          <w:sz w:val="22"/>
          <w:szCs w:val="22"/>
        </w:rPr>
        <w:t>,</w:t>
      </w:r>
      <w:r w:rsidR="00B11155" w:rsidRPr="0061109F">
        <w:rPr>
          <w:rFonts w:ascii="Calibri" w:hAnsi="Calibri" w:cs="Calibri"/>
          <w:sz w:val="22"/>
          <w:szCs w:val="22"/>
        </w:rPr>
        <w:t>727 SCZ cases (</w:t>
      </w:r>
      <w:r w:rsidR="0022458B" w:rsidRPr="0061109F">
        <w:rPr>
          <w:rFonts w:ascii="Calibri" w:hAnsi="Calibri" w:cs="Calibri"/>
          <w:sz w:val="22"/>
          <w:szCs w:val="22"/>
        </w:rPr>
        <w:t>1,</w:t>
      </w:r>
      <w:r w:rsidR="00B11155" w:rsidRPr="0061109F">
        <w:rPr>
          <w:rFonts w:ascii="Calibri" w:hAnsi="Calibri" w:cs="Calibri"/>
          <w:sz w:val="22"/>
          <w:szCs w:val="22"/>
        </w:rPr>
        <w:t>268 died), except for education years (13</w:t>
      </w:r>
      <w:r w:rsidR="0022458B" w:rsidRPr="0061109F">
        <w:rPr>
          <w:rFonts w:ascii="Calibri" w:hAnsi="Calibri" w:cs="Calibri"/>
          <w:sz w:val="22"/>
          <w:szCs w:val="22"/>
        </w:rPr>
        <w:t>,</w:t>
      </w:r>
      <w:r w:rsidR="00B11155" w:rsidRPr="0061109F">
        <w:rPr>
          <w:rFonts w:ascii="Calibri" w:hAnsi="Calibri" w:cs="Calibri"/>
          <w:sz w:val="22"/>
          <w:szCs w:val="22"/>
        </w:rPr>
        <w:t>375 SCZ cases, 1</w:t>
      </w:r>
      <w:r w:rsidR="0022458B" w:rsidRPr="0061109F">
        <w:rPr>
          <w:rFonts w:ascii="Calibri" w:hAnsi="Calibri" w:cs="Calibri"/>
          <w:sz w:val="22"/>
          <w:szCs w:val="22"/>
        </w:rPr>
        <w:t>,</w:t>
      </w:r>
      <w:r w:rsidR="00B11155" w:rsidRPr="0061109F">
        <w:rPr>
          <w:rFonts w:ascii="Calibri" w:hAnsi="Calibri" w:cs="Calibri"/>
          <w:sz w:val="22"/>
          <w:szCs w:val="22"/>
        </w:rPr>
        <w:t>112 died) and SCZ family history score (13</w:t>
      </w:r>
      <w:r w:rsidR="0022458B" w:rsidRPr="0061109F">
        <w:rPr>
          <w:rFonts w:ascii="Calibri" w:hAnsi="Calibri" w:cs="Calibri"/>
          <w:sz w:val="22"/>
          <w:szCs w:val="22"/>
        </w:rPr>
        <w:t>,</w:t>
      </w:r>
      <w:r w:rsidR="00B11155" w:rsidRPr="0061109F">
        <w:rPr>
          <w:rFonts w:ascii="Calibri" w:hAnsi="Calibri" w:cs="Calibri"/>
          <w:sz w:val="22"/>
          <w:szCs w:val="22"/>
        </w:rPr>
        <w:t>275 SCZ cases, 1</w:t>
      </w:r>
      <w:r w:rsidR="0022458B" w:rsidRPr="0061109F">
        <w:rPr>
          <w:rFonts w:ascii="Calibri" w:hAnsi="Calibri" w:cs="Calibri"/>
          <w:sz w:val="22"/>
          <w:szCs w:val="22"/>
        </w:rPr>
        <w:t>,</w:t>
      </w:r>
      <w:r w:rsidR="00B11155" w:rsidRPr="0061109F">
        <w:rPr>
          <w:rFonts w:ascii="Calibri" w:hAnsi="Calibri" w:cs="Calibri"/>
          <w:sz w:val="22"/>
          <w:szCs w:val="22"/>
        </w:rPr>
        <w:t>179 died). Total N for the adjusted model: 12</w:t>
      </w:r>
      <w:r w:rsidR="0022458B" w:rsidRPr="0061109F">
        <w:rPr>
          <w:rFonts w:ascii="Calibri" w:hAnsi="Calibri" w:cs="Calibri"/>
          <w:sz w:val="22"/>
          <w:szCs w:val="22"/>
        </w:rPr>
        <w:t>,</w:t>
      </w:r>
      <w:r w:rsidR="00B11155" w:rsidRPr="0061109F">
        <w:rPr>
          <w:rFonts w:ascii="Calibri" w:hAnsi="Calibri" w:cs="Calibri"/>
          <w:sz w:val="22"/>
          <w:szCs w:val="22"/>
        </w:rPr>
        <w:t>973 SCZ cases (1</w:t>
      </w:r>
      <w:r w:rsidR="0022458B" w:rsidRPr="0061109F">
        <w:rPr>
          <w:rFonts w:ascii="Calibri" w:hAnsi="Calibri" w:cs="Calibri"/>
          <w:sz w:val="22"/>
          <w:szCs w:val="22"/>
        </w:rPr>
        <w:t>,</w:t>
      </w:r>
      <w:r w:rsidR="00B11155" w:rsidRPr="0061109F">
        <w:rPr>
          <w:rFonts w:ascii="Calibri" w:hAnsi="Calibri" w:cs="Calibri"/>
          <w:sz w:val="22"/>
          <w:szCs w:val="22"/>
        </w:rPr>
        <w:t>064 died)</w:t>
      </w:r>
      <w:r w:rsidR="00B11155" w:rsidRPr="0061109F">
        <w:rPr>
          <w:rFonts w:ascii="Calibri" w:hAnsi="Calibri" w:cs="Calibri"/>
          <w:sz w:val="22"/>
          <w:szCs w:val="22"/>
          <w:lang w:val="en-US"/>
        </w:rPr>
        <w:t xml:space="preserve">. </w:t>
      </w:r>
      <w:r w:rsidRPr="0061109F">
        <w:rPr>
          <w:rFonts w:ascii="Calibri" w:hAnsi="Calibri" w:cs="Calibri"/>
          <w:sz w:val="22"/>
          <w:szCs w:val="22"/>
        </w:rPr>
        <w:t>The adjusted model includes all factors listed.</w:t>
      </w:r>
    </w:p>
    <w:p w14:paraId="2BB6B917" w14:textId="77777777" w:rsidR="000B086A" w:rsidRPr="0061109F" w:rsidRDefault="000B086A" w:rsidP="000B086A">
      <w:pPr>
        <w:spacing w:line="480" w:lineRule="auto"/>
        <w:rPr>
          <w:rFonts w:ascii="Calibri" w:hAnsi="Calibri" w:cs="Calibri"/>
          <w:sz w:val="22"/>
          <w:szCs w:val="22"/>
        </w:rPr>
      </w:pPr>
      <w:r w:rsidRPr="0061109F">
        <w:rPr>
          <w:rFonts w:ascii="Calibri" w:hAnsi="Calibri" w:cs="Calibri"/>
          <w:sz w:val="22"/>
          <w:szCs w:val="22"/>
        </w:rPr>
        <w:br w:type="page"/>
      </w:r>
    </w:p>
    <w:p w14:paraId="1BE76506" w14:textId="10372570" w:rsidR="000B086A" w:rsidRPr="0061109F" w:rsidRDefault="00C77EC2" w:rsidP="000B086A">
      <w:pPr>
        <w:pStyle w:val="Heading4"/>
        <w:spacing w:line="480" w:lineRule="auto"/>
        <w:rPr>
          <w:b/>
          <w:color w:val="auto"/>
          <w:sz w:val="22"/>
          <w:szCs w:val="22"/>
        </w:rPr>
      </w:pPr>
      <w:r w:rsidRPr="0061109F">
        <w:rPr>
          <w:b/>
          <w:i w:val="0"/>
          <w:color w:val="auto"/>
          <w:sz w:val="22"/>
          <w:szCs w:val="22"/>
        </w:rPr>
        <w:lastRenderedPageBreak/>
        <w:t xml:space="preserve">Supplementary </w:t>
      </w:r>
      <w:r w:rsidR="000B086A" w:rsidRPr="0061109F">
        <w:rPr>
          <w:b/>
          <w:i w:val="0"/>
          <w:color w:val="auto"/>
          <w:sz w:val="22"/>
          <w:szCs w:val="22"/>
        </w:rPr>
        <w:t xml:space="preserve">Table 4: </w:t>
      </w:r>
      <w:r w:rsidR="000B086A" w:rsidRPr="0061109F">
        <w:rPr>
          <w:i w:val="0"/>
          <w:color w:val="auto"/>
          <w:sz w:val="22"/>
          <w:szCs w:val="22"/>
        </w:rPr>
        <w:t xml:space="preserve">Genomic </w:t>
      </w:r>
      <w:r w:rsidR="00563040" w:rsidRPr="0061109F">
        <w:rPr>
          <w:i w:val="0"/>
          <w:color w:val="auto"/>
          <w:sz w:val="22"/>
          <w:szCs w:val="22"/>
        </w:rPr>
        <w:t xml:space="preserve">descriptive </w:t>
      </w:r>
      <w:r w:rsidR="000B086A" w:rsidRPr="0061109F">
        <w:rPr>
          <w:i w:val="0"/>
          <w:color w:val="auto"/>
          <w:sz w:val="22"/>
          <w:szCs w:val="22"/>
          <w:lang w:val="en-CA"/>
        </w:rPr>
        <w:t xml:space="preserve">characteristics of schizophrenia cases who did or did not die during the study period from the genomic </w:t>
      </w:r>
      <w:r w:rsidR="0055757D" w:rsidRPr="0061109F">
        <w:rPr>
          <w:i w:val="0"/>
          <w:color w:val="auto"/>
          <w:sz w:val="22"/>
          <w:szCs w:val="22"/>
          <w:lang w:val="en-CA"/>
        </w:rPr>
        <w:t>subset (n=4</w:t>
      </w:r>
      <w:r w:rsidR="00BB1398" w:rsidRPr="0061109F">
        <w:rPr>
          <w:i w:val="0"/>
          <w:color w:val="auto"/>
          <w:sz w:val="22"/>
          <w:szCs w:val="22"/>
          <w:lang w:val="en-CA"/>
        </w:rPr>
        <w:t>,</w:t>
      </w:r>
      <w:r w:rsidR="0055757D" w:rsidRPr="0061109F">
        <w:rPr>
          <w:i w:val="0"/>
          <w:color w:val="auto"/>
          <w:sz w:val="22"/>
          <w:szCs w:val="22"/>
          <w:lang w:val="en-CA"/>
        </w:rPr>
        <w:t>991 SCZ cases)</w:t>
      </w:r>
      <w:r w:rsidR="00004293" w:rsidRPr="0061109F">
        <w:rPr>
          <w:i w:val="0"/>
          <w:color w:val="auto"/>
          <w:sz w:val="22"/>
          <w:szCs w:val="22"/>
          <w:lang w:val="en-CA"/>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957"/>
        <w:gridCol w:w="1842"/>
        <w:gridCol w:w="2551"/>
      </w:tblGrid>
      <w:tr w:rsidR="0061109F" w:rsidRPr="0061109F" w14:paraId="405393C7" w14:textId="77777777" w:rsidTr="000B086A">
        <w:trPr>
          <w:trHeight w:val="379"/>
        </w:trPr>
        <w:tc>
          <w:tcPr>
            <w:tcW w:w="2651" w:type="pct"/>
            <w:vAlign w:val="center"/>
          </w:tcPr>
          <w:p w14:paraId="171B5D77" w14:textId="77777777" w:rsidR="000B086A" w:rsidRPr="0061109F" w:rsidRDefault="000B086A" w:rsidP="000B086A">
            <w:pPr>
              <w:pStyle w:val="Heading4"/>
              <w:spacing w:before="0" w:after="0" w:line="480" w:lineRule="auto"/>
              <w:rPr>
                <w:i w:val="0"/>
                <w:color w:val="auto"/>
                <w:sz w:val="20"/>
                <w:szCs w:val="20"/>
              </w:rPr>
            </w:pPr>
            <w:r w:rsidRPr="0061109F">
              <w:rPr>
                <w:i w:val="0"/>
                <w:color w:val="auto"/>
                <w:sz w:val="20"/>
                <w:szCs w:val="20"/>
              </w:rPr>
              <w:t>Characteristic</w:t>
            </w:r>
          </w:p>
        </w:tc>
        <w:tc>
          <w:tcPr>
            <w:tcW w:w="985" w:type="pct"/>
            <w:vAlign w:val="center"/>
          </w:tcPr>
          <w:p w14:paraId="0FDD603F" w14:textId="77777777" w:rsidR="000B086A" w:rsidRPr="0061109F" w:rsidRDefault="000B086A" w:rsidP="000B086A">
            <w:pPr>
              <w:pStyle w:val="Heading4"/>
              <w:spacing w:before="0" w:after="0" w:line="480" w:lineRule="auto"/>
              <w:jc w:val="center"/>
              <w:rPr>
                <w:b/>
                <w:color w:val="auto"/>
                <w:sz w:val="20"/>
                <w:szCs w:val="20"/>
              </w:rPr>
            </w:pPr>
            <w:r w:rsidRPr="0061109F">
              <w:rPr>
                <w:b/>
                <w:color w:val="auto"/>
                <w:sz w:val="20"/>
                <w:szCs w:val="20"/>
              </w:rPr>
              <w:t>Died</w:t>
            </w:r>
          </w:p>
        </w:tc>
        <w:tc>
          <w:tcPr>
            <w:tcW w:w="1364" w:type="pct"/>
            <w:vAlign w:val="center"/>
          </w:tcPr>
          <w:p w14:paraId="3AC20556" w14:textId="77777777" w:rsidR="000B086A" w:rsidRPr="0061109F" w:rsidRDefault="000B086A" w:rsidP="000B086A">
            <w:pPr>
              <w:pStyle w:val="Heading4"/>
              <w:spacing w:before="0" w:after="0" w:line="480" w:lineRule="auto"/>
              <w:jc w:val="center"/>
              <w:rPr>
                <w:b/>
                <w:color w:val="auto"/>
                <w:sz w:val="20"/>
                <w:szCs w:val="20"/>
              </w:rPr>
            </w:pPr>
            <w:r w:rsidRPr="0061109F">
              <w:rPr>
                <w:b/>
                <w:color w:val="auto"/>
                <w:sz w:val="20"/>
                <w:szCs w:val="20"/>
              </w:rPr>
              <w:t>Did not die</w:t>
            </w:r>
          </w:p>
        </w:tc>
      </w:tr>
      <w:tr w:rsidR="0061109F" w:rsidRPr="0061109F" w14:paraId="4AD2B193" w14:textId="77777777" w:rsidTr="000B086A">
        <w:tc>
          <w:tcPr>
            <w:tcW w:w="2651" w:type="pct"/>
            <w:vAlign w:val="center"/>
          </w:tcPr>
          <w:p w14:paraId="61590378" w14:textId="543DB432" w:rsidR="000B086A" w:rsidRPr="0061109F" w:rsidRDefault="000B086A" w:rsidP="000B086A">
            <w:pPr>
              <w:pStyle w:val="Heading4"/>
              <w:spacing w:before="0" w:after="0" w:line="480" w:lineRule="auto"/>
              <w:rPr>
                <w:i w:val="0"/>
                <w:color w:val="auto"/>
                <w:sz w:val="20"/>
                <w:szCs w:val="20"/>
              </w:rPr>
            </w:pPr>
            <w:r w:rsidRPr="0061109F">
              <w:rPr>
                <w:i w:val="0"/>
                <w:color w:val="auto"/>
                <w:sz w:val="20"/>
                <w:szCs w:val="20"/>
              </w:rPr>
              <w:t>Genetic scores, standardised</w:t>
            </w:r>
            <w:r w:rsidRPr="0061109F">
              <w:rPr>
                <w:i w:val="0"/>
                <w:color w:val="auto"/>
                <w:sz w:val="20"/>
                <w:szCs w:val="20"/>
                <w:vertAlign w:val="superscript"/>
              </w:rPr>
              <w:t xml:space="preserve">1 </w:t>
            </w:r>
            <w:r w:rsidRPr="0061109F">
              <w:rPr>
                <w:i w:val="0"/>
                <w:color w:val="auto"/>
                <w:sz w:val="20"/>
                <w:szCs w:val="20"/>
              </w:rPr>
              <w:t>(N=1</w:t>
            </w:r>
            <w:r w:rsidR="00BB1398" w:rsidRPr="0061109F">
              <w:rPr>
                <w:i w:val="0"/>
                <w:color w:val="auto"/>
                <w:sz w:val="20"/>
                <w:szCs w:val="20"/>
              </w:rPr>
              <w:t>,</w:t>
            </w:r>
            <w:r w:rsidRPr="0061109F">
              <w:rPr>
                <w:i w:val="0"/>
                <w:color w:val="auto"/>
                <w:sz w:val="20"/>
                <w:szCs w:val="20"/>
              </w:rPr>
              <w:t>253/3</w:t>
            </w:r>
            <w:r w:rsidR="00BB1398" w:rsidRPr="0061109F">
              <w:rPr>
                <w:i w:val="0"/>
                <w:color w:val="auto"/>
                <w:sz w:val="20"/>
                <w:szCs w:val="20"/>
              </w:rPr>
              <w:t>,</w:t>
            </w:r>
            <w:r w:rsidRPr="0061109F">
              <w:rPr>
                <w:i w:val="0"/>
                <w:color w:val="auto"/>
                <w:sz w:val="20"/>
                <w:szCs w:val="20"/>
              </w:rPr>
              <w:t>428)</w:t>
            </w:r>
          </w:p>
          <w:p w14:paraId="2EE70C0E" w14:textId="77777777" w:rsidR="000B086A" w:rsidRPr="0061109F" w:rsidRDefault="000B086A" w:rsidP="000B086A">
            <w:pPr>
              <w:pStyle w:val="Heading4"/>
              <w:spacing w:before="0" w:after="0" w:line="480" w:lineRule="auto"/>
              <w:ind w:left="169"/>
              <w:rPr>
                <w:i w:val="0"/>
                <w:color w:val="auto"/>
                <w:sz w:val="20"/>
                <w:szCs w:val="20"/>
              </w:rPr>
            </w:pPr>
            <w:r w:rsidRPr="0061109F">
              <w:rPr>
                <w:i w:val="0"/>
                <w:color w:val="auto"/>
                <w:sz w:val="20"/>
                <w:szCs w:val="20"/>
              </w:rPr>
              <w:t>SCZ</w:t>
            </w:r>
          </w:p>
          <w:p w14:paraId="70C6396B" w14:textId="77777777" w:rsidR="000B086A" w:rsidRPr="0061109F" w:rsidRDefault="000B086A" w:rsidP="000B086A">
            <w:pPr>
              <w:pStyle w:val="Heading4"/>
              <w:spacing w:before="0" w:after="0" w:line="480" w:lineRule="auto"/>
              <w:ind w:left="169"/>
              <w:rPr>
                <w:i w:val="0"/>
                <w:color w:val="auto"/>
                <w:sz w:val="20"/>
                <w:szCs w:val="20"/>
              </w:rPr>
            </w:pPr>
            <w:r w:rsidRPr="0061109F">
              <w:rPr>
                <w:i w:val="0"/>
                <w:color w:val="auto"/>
                <w:sz w:val="20"/>
                <w:szCs w:val="20"/>
              </w:rPr>
              <w:t>Cognitive ability</w:t>
            </w:r>
          </w:p>
          <w:p w14:paraId="7F95B0E2" w14:textId="77777777" w:rsidR="000B086A" w:rsidRPr="0061109F" w:rsidRDefault="000B086A" w:rsidP="000B086A">
            <w:pPr>
              <w:spacing w:line="480" w:lineRule="auto"/>
              <w:ind w:left="169"/>
              <w:rPr>
                <w:rFonts w:ascii="Calibri" w:eastAsia="Calibri" w:hAnsi="Calibri" w:cs="Calibri"/>
                <w:sz w:val="20"/>
                <w:szCs w:val="20"/>
                <w:lang w:val="en-GB"/>
              </w:rPr>
            </w:pPr>
            <w:r w:rsidRPr="0061109F">
              <w:rPr>
                <w:rFonts w:ascii="Calibri" w:eastAsia="Calibri" w:hAnsi="Calibri" w:cs="Calibri"/>
                <w:sz w:val="20"/>
                <w:szCs w:val="20"/>
                <w:lang w:val="en-GB"/>
              </w:rPr>
              <w:t>Body mass index</w:t>
            </w:r>
          </w:p>
          <w:p w14:paraId="2CAFC769" w14:textId="77777777" w:rsidR="000B086A" w:rsidRPr="0061109F" w:rsidRDefault="000B086A" w:rsidP="000B086A">
            <w:pPr>
              <w:pStyle w:val="Heading4"/>
              <w:spacing w:before="0" w:after="0" w:line="480" w:lineRule="auto"/>
              <w:ind w:left="169"/>
              <w:rPr>
                <w:i w:val="0"/>
                <w:color w:val="auto"/>
                <w:sz w:val="20"/>
                <w:szCs w:val="20"/>
              </w:rPr>
            </w:pPr>
            <w:r w:rsidRPr="0061109F">
              <w:rPr>
                <w:i w:val="0"/>
                <w:color w:val="auto"/>
                <w:sz w:val="20"/>
                <w:szCs w:val="20"/>
              </w:rPr>
              <w:t>Coronary artery disease</w:t>
            </w:r>
          </w:p>
          <w:p w14:paraId="6E81E3FA" w14:textId="77777777" w:rsidR="000B086A" w:rsidRPr="0061109F" w:rsidRDefault="000B086A" w:rsidP="000B086A">
            <w:pPr>
              <w:spacing w:line="480" w:lineRule="auto"/>
              <w:ind w:left="169"/>
              <w:rPr>
                <w:rFonts w:ascii="Calibri" w:eastAsia="Calibri" w:hAnsi="Calibri" w:cs="Calibri"/>
                <w:sz w:val="20"/>
                <w:szCs w:val="20"/>
                <w:lang w:val="en-GB"/>
              </w:rPr>
            </w:pPr>
            <w:r w:rsidRPr="0061109F">
              <w:rPr>
                <w:rFonts w:ascii="Calibri" w:eastAsia="Calibri" w:hAnsi="Calibri" w:cs="Calibri"/>
                <w:sz w:val="20"/>
                <w:szCs w:val="20"/>
                <w:lang w:val="en-GB"/>
              </w:rPr>
              <w:t>Total cholesterol</w:t>
            </w:r>
          </w:p>
          <w:p w14:paraId="0813F00D" w14:textId="77777777" w:rsidR="000B086A" w:rsidRPr="0061109F" w:rsidRDefault="000B086A" w:rsidP="000B086A">
            <w:pPr>
              <w:spacing w:line="480" w:lineRule="auto"/>
              <w:ind w:left="169"/>
              <w:rPr>
                <w:rFonts w:ascii="Calibri" w:eastAsia="Calibri" w:hAnsi="Calibri" w:cs="Calibri"/>
                <w:sz w:val="20"/>
                <w:szCs w:val="20"/>
                <w:lang w:val="en-GB"/>
              </w:rPr>
            </w:pPr>
            <w:r w:rsidRPr="0061109F">
              <w:rPr>
                <w:rFonts w:ascii="Calibri" w:eastAsia="Calibri" w:hAnsi="Calibri" w:cs="Calibri"/>
                <w:sz w:val="20"/>
                <w:szCs w:val="20"/>
                <w:lang w:val="en-GB"/>
              </w:rPr>
              <w:t>Chronic kidney disease</w:t>
            </w:r>
          </w:p>
          <w:p w14:paraId="7FECCA82" w14:textId="77777777" w:rsidR="000B086A" w:rsidRPr="0061109F" w:rsidRDefault="000B086A" w:rsidP="000B086A">
            <w:pPr>
              <w:spacing w:line="480" w:lineRule="auto"/>
              <w:ind w:left="169"/>
              <w:rPr>
                <w:rFonts w:ascii="Calibri" w:eastAsia="Calibri" w:hAnsi="Calibri" w:cs="Calibri"/>
                <w:sz w:val="20"/>
                <w:szCs w:val="20"/>
                <w:lang w:val="en-GB"/>
              </w:rPr>
            </w:pPr>
            <w:r w:rsidRPr="0061109F">
              <w:rPr>
                <w:rFonts w:ascii="Calibri" w:eastAsia="Calibri" w:hAnsi="Calibri" w:cs="Calibri"/>
                <w:sz w:val="20"/>
                <w:szCs w:val="20"/>
                <w:lang w:val="en-GB"/>
              </w:rPr>
              <w:t xml:space="preserve">Smoking </w:t>
            </w:r>
          </w:p>
          <w:p w14:paraId="3A21C860" w14:textId="77777777" w:rsidR="000B086A" w:rsidRPr="0061109F" w:rsidRDefault="000B086A" w:rsidP="000B086A">
            <w:pPr>
              <w:spacing w:line="480" w:lineRule="auto"/>
              <w:ind w:left="169"/>
              <w:rPr>
                <w:rFonts w:ascii="Calibri" w:eastAsia="Calibri" w:hAnsi="Calibri" w:cs="Calibri"/>
                <w:sz w:val="20"/>
                <w:szCs w:val="20"/>
                <w:lang w:val="en-GB"/>
              </w:rPr>
            </w:pPr>
            <w:r w:rsidRPr="0061109F">
              <w:rPr>
                <w:rFonts w:ascii="Calibri" w:eastAsia="Calibri" w:hAnsi="Calibri" w:cs="Calibri"/>
                <w:sz w:val="20"/>
                <w:szCs w:val="20"/>
                <w:lang w:val="en-GB"/>
              </w:rPr>
              <w:t>Type 2 diabetes</w:t>
            </w:r>
          </w:p>
        </w:tc>
        <w:tc>
          <w:tcPr>
            <w:tcW w:w="985" w:type="pct"/>
            <w:vAlign w:val="center"/>
          </w:tcPr>
          <w:p w14:paraId="3D10DB20" w14:textId="77777777" w:rsidR="000B086A" w:rsidRPr="0061109F" w:rsidRDefault="000B086A" w:rsidP="000B086A">
            <w:pPr>
              <w:pStyle w:val="Heading4"/>
              <w:spacing w:before="0" w:after="0" w:line="480" w:lineRule="auto"/>
              <w:jc w:val="center"/>
              <w:rPr>
                <w:b/>
                <w:i w:val="0"/>
                <w:color w:val="auto"/>
                <w:sz w:val="20"/>
                <w:szCs w:val="20"/>
              </w:rPr>
            </w:pPr>
          </w:p>
          <w:p w14:paraId="4AB322B5" w14:textId="177183DD" w:rsidR="000B086A" w:rsidRPr="0061109F" w:rsidRDefault="000B086A" w:rsidP="000B086A">
            <w:pPr>
              <w:pStyle w:val="Heading4"/>
              <w:spacing w:before="0" w:after="0" w:line="480" w:lineRule="auto"/>
              <w:jc w:val="center"/>
              <w:rPr>
                <w:i w:val="0"/>
                <w:color w:val="auto"/>
                <w:sz w:val="20"/>
                <w:szCs w:val="20"/>
              </w:rPr>
            </w:pPr>
            <w:r w:rsidRPr="0061109F">
              <w:rPr>
                <w:i w:val="0"/>
                <w:color w:val="auto"/>
                <w:sz w:val="20"/>
                <w:szCs w:val="20"/>
              </w:rPr>
              <w:t>0</w:t>
            </w:r>
            <w:r w:rsidRPr="0061109F">
              <w:rPr>
                <w:color w:val="auto"/>
                <w:sz w:val="20"/>
                <w:szCs w:val="20"/>
              </w:rPr>
              <w:t>.</w:t>
            </w:r>
            <w:r w:rsidRPr="0061109F">
              <w:rPr>
                <w:i w:val="0"/>
                <w:color w:val="auto"/>
                <w:sz w:val="20"/>
                <w:szCs w:val="20"/>
              </w:rPr>
              <w:t>37 (0.90)</w:t>
            </w:r>
          </w:p>
          <w:p w14:paraId="5547498D" w14:textId="146BB9EB" w:rsidR="000B086A" w:rsidRPr="0061109F" w:rsidRDefault="000B086A" w:rsidP="000B086A">
            <w:pPr>
              <w:spacing w:line="480" w:lineRule="auto"/>
              <w:jc w:val="center"/>
              <w:rPr>
                <w:rFonts w:ascii="Calibri" w:hAnsi="Calibri" w:cs="Calibri"/>
                <w:sz w:val="20"/>
                <w:szCs w:val="20"/>
              </w:rPr>
            </w:pPr>
            <w:r w:rsidRPr="0061109F">
              <w:rPr>
                <w:rFonts w:ascii="Calibri" w:hAnsi="Calibri" w:cs="Calibri"/>
                <w:sz w:val="20"/>
                <w:szCs w:val="20"/>
                <w:shd w:val="clear" w:color="auto" w:fill="FCFCFC"/>
              </w:rPr>
              <w:t>-0</w:t>
            </w:r>
            <w:r w:rsidRPr="0061109F">
              <w:rPr>
                <w:rFonts w:ascii="Calibri" w:hAnsi="Calibri" w:cs="Calibri"/>
                <w:sz w:val="20"/>
                <w:szCs w:val="20"/>
              </w:rPr>
              <w:t>.</w:t>
            </w:r>
            <w:r w:rsidRPr="0061109F">
              <w:rPr>
                <w:rFonts w:ascii="Calibri" w:hAnsi="Calibri" w:cs="Calibri"/>
                <w:sz w:val="20"/>
                <w:szCs w:val="20"/>
                <w:shd w:val="clear" w:color="auto" w:fill="FCFCFC"/>
              </w:rPr>
              <w:t>11 (1.01)</w:t>
            </w:r>
          </w:p>
          <w:p w14:paraId="2ADD9139" w14:textId="29BAA211" w:rsidR="000B086A" w:rsidRPr="0061109F" w:rsidRDefault="000B086A" w:rsidP="000B086A">
            <w:pPr>
              <w:spacing w:line="480" w:lineRule="auto"/>
              <w:jc w:val="center"/>
              <w:rPr>
                <w:rFonts w:ascii="Calibri" w:hAnsi="Calibri" w:cs="Calibri"/>
                <w:sz w:val="20"/>
                <w:szCs w:val="20"/>
                <w:lang w:val="en-GB"/>
              </w:rPr>
            </w:pPr>
            <w:r w:rsidRPr="0061109F">
              <w:rPr>
                <w:rFonts w:ascii="Calibri" w:hAnsi="Calibri" w:cs="Calibri"/>
                <w:sz w:val="20"/>
                <w:szCs w:val="20"/>
                <w:lang w:val="en-GB"/>
              </w:rPr>
              <w:t>-0</w:t>
            </w:r>
            <w:r w:rsidRPr="0061109F">
              <w:rPr>
                <w:rFonts w:ascii="Calibri" w:hAnsi="Calibri" w:cs="Calibri"/>
                <w:sz w:val="20"/>
                <w:szCs w:val="20"/>
              </w:rPr>
              <w:t>.</w:t>
            </w:r>
            <w:r w:rsidRPr="0061109F">
              <w:rPr>
                <w:rFonts w:ascii="Calibri" w:hAnsi="Calibri" w:cs="Calibri"/>
                <w:sz w:val="20"/>
                <w:szCs w:val="20"/>
                <w:lang w:val="en-GB"/>
              </w:rPr>
              <w:t>02 (0.99)</w:t>
            </w:r>
          </w:p>
          <w:p w14:paraId="1118F9DF" w14:textId="401CC75D" w:rsidR="000B086A" w:rsidRPr="0061109F" w:rsidRDefault="000B086A" w:rsidP="000B086A">
            <w:pPr>
              <w:spacing w:line="480" w:lineRule="auto"/>
              <w:jc w:val="center"/>
              <w:rPr>
                <w:rFonts w:ascii="Calibri" w:hAnsi="Calibri" w:cs="Calibri"/>
                <w:sz w:val="20"/>
                <w:szCs w:val="20"/>
                <w:shd w:val="clear" w:color="auto" w:fill="FCFCFC"/>
              </w:rPr>
            </w:pPr>
            <w:r w:rsidRPr="0061109F">
              <w:rPr>
                <w:rFonts w:ascii="Calibri" w:hAnsi="Calibri" w:cs="Calibri"/>
                <w:sz w:val="20"/>
                <w:szCs w:val="20"/>
                <w:shd w:val="clear" w:color="auto" w:fill="FCFCFC"/>
              </w:rPr>
              <w:t>-0</w:t>
            </w:r>
            <w:r w:rsidRPr="0061109F">
              <w:rPr>
                <w:rFonts w:ascii="Calibri" w:hAnsi="Calibri" w:cs="Calibri"/>
                <w:sz w:val="20"/>
                <w:szCs w:val="20"/>
              </w:rPr>
              <w:t>.</w:t>
            </w:r>
            <w:r w:rsidRPr="0061109F">
              <w:rPr>
                <w:rFonts w:ascii="Calibri" w:hAnsi="Calibri" w:cs="Calibri"/>
                <w:sz w:val="20"/>
                <w:szCs w:val="20"/>
                <w:shd w:val="clear" w:color="auto" w:fill="FCFCFC"/>
              </w:rPr>
              <w:t>04 (1.03)</w:t>
            </w:r>
          </w:p>
          <w:p w14:paraId="0636A267" w14:textId="7E0ABAD8" w:rsidR="000B086A" w:rsidRPr="0061109F" w:rsidRDefault="000B086A" w:rsidP="000B086A">
            <w:pPr>
              <w:spacing w:line="480" w:lineRule="auto"/>
              <w:jc w:val="center"/>
              <w:rPr>
                <w:rFonts w:ascii="Calibri" w:hAnsi="Calibri" w:cs="Calibri"/>
                <w:sz w:val="20"/>
                <w:szCs w:val="20"/>
              </w:rPr>
            </w:pPr>
            <w:r w:rsidRPr="0061109F">
              <w:rPr>
                <w:rFonts w:ascii="Calibri" w:hAnsi="Calibri" w:cs="Calibri"/>
                <w:sz w:val="20"/>
                <w:szCs w:val="20"/>
              </w:rPr>
              <w:t>0 (1.00)</w:t>
            </w:r>
          </w:p>
          <w:p w14:paraId="7900FA58" w14:textId="12792DBD" w:rsidR="000B086A" w:rsidRPr="0061109F" w:rsidRDefault="000B086A" w:rsidP="000B086A">
            <w:pPr>
              <w:spacing w:line="480" w:lineRule="auto"/>
              <w:jc w:val="center"/>
              <w:rPr>
                <w:rFonts w:ascii="Calibri" w:hAnsi="Calibri" w:cs="Calibri"/>
                <w:sz w:val="20"/>
                <w:szCs w:val="20"/>
                <w:shd w:val="clear" w:color="auto" w:fill="FCFCFC"/>
              </w:rPr>
            </w:pPr>
            <w:r w:rsidRPr="0061109F">
              <w:rPr>
                <w:rFonts w:ascii="Calibri" w:hAnsi="Calibri" w:cs="Calibri"/>
                <w:sz w:val="20"/>
                <w:szCs w:val="20"/>
                <w:shd w:val="clear" w:color="auto" w:fill="FCFCFC"/>
              </w:rPr>
              <w:t>0.01 (1.00)</w:t>
            </w:r>
          </w:p>
          <w:p w14:paraId="3590F343" w14:textId="13A76F49" w:rsidR="000B086A" w:rsidRPr="0061109F" w:rsidRDefault="000B086A" w:rsidP="000B086A">
            <w:pPr>
              <w:spacing w:line="480" w:lineRule="auto"/>
              <w:jc w:val="center"/>
              <w:rPr>
                <w:rFonts w:ascii="Calibri" w:hAnsi="Calibri" w:cs="Calibri"/>
                <w:sz w:val="20"/>
                <w:szCs w:val="20"/>
                <w:shd w:val="clear" w:color="auto" w:fill="FCFCFC"/>
              </w:rPr>
            </w:pPr>
            <w:r w:rsidRPr="0061109F">
              <w:rPr>
                <w:rFonts w:ascii="Calibri" w:hAnsi="Calibri" w:cs="Calibri"/>
                <w:sz w:val="20"/>
                <w:szCs w:val="20"/>
                <w:shd w:val="clear" w:color="auto" w:fill="FCFCFC"/>
              </w:rPr>
              <w:t>-0.06 (1.01)</w:t>
            </w:r>
          </w:p>
          <w:p w14:paraId="14D11D65" w14:textId="6ADFC846" w:rsidR="000B086A" w:rsidRPr="0061109F" w:rsidRDefault="000B086A" w:rsidP="000B086A">
            <w:pPr>
              <w:spacing w:line="480" w:lineRule="auto"/>
              <w:jc w:val="center"/>
              <w:rPr>
                <w:rFonts w:ascii="Calibri" w:hAnsi="Calibri" w:cs="Calibri"/>
                <w:sz w:val="20"/>
                <w:szCs w:val="20"/>
              </w:rPr>
            </w:pPr>
            <w:r w:rsidRPr="0061109F">
              <w:rPr>
                <w:rFonts w:ascii="Calibri" w:hAnsi="Calibri" w:cs="Calibri"/>
                <w:sz w:val="20"/>
                <w:szCs w:val="20"/>
              </w:rPr>
              <w:t>0.04 (1.01)</w:t>
            </w:r>
          </w:p>
        </w:tc>
        <w:tc>
          <w:tcPr>
            <w:tcW w:w="1364" w:type="pct"/>
            <w:vAlign w:val="center"/>
          </w:tcPr>
          <w:p w14:paraId="35616D2E" w14:textId="77777777" w:rsidR="000B086A" w:rsidRPr="0061109F" w:rsidRDefault="000B086A" w:rsidP="000B086A">
            <w:pPr>
              <w:pStyle w:val="Heading4"/>
              <w:spacing w:before="0" w:after="0" w:line="480" w:lineRule="auto"/>
              <w:jc w:val="center"/>
              <w:rPr>
                <w:b/>
                <w:color w:val="auto"/>
                <w:sz w:val="20"/>
                <w:szCs w:val="20"/>
              </w:rPr>
            </w:pPr>
          </w:p>
          <w:p w14:paraId="75A64E1B" w14:textId="5C0E664C" w:rsidR="000B086A" w:rsidRPr="0061109F" w:rsidRDefault="000B086A" w:rsidP="000B086A">
            <w:pPr>
              <w:pStyle w:val="Heading4"/>
              <w:spacing w:before="0" w:after="0" w:line="480" w:lineRule="auto"/>
              <w:jc w:val="center"/>
              <w:rPr>
                <w:i w:val="0"/>
                <w:color w:val="auto"/>
                <w:sz w:val="20"/>
                <w:szCs w:val="20"/>
              </w:rPr>
            </w:pPr>
            <w:r w:rsidRPr="0061109F">
              <w:rPr>
                <w:i w:val="0"/>
                <w:color w:val="auto"/>
                <w:sz w:val="20"/>
                <w:szCs w:val="20"/>
              </w:rPr>
              <w:t>0.43 (0.95)</w:t>
            </w:r>
          </w:p>
          <w:p w14:paraId="080F5E31" w14:textId="38127E5C" w:rsidR="000B086A" w:rsidRPr="0061109F" w:rsidRDefault="000B086A" w:rsidP="000B086A">
            <w:pPr>
              <w:spacing w:line="480" w:lineRule="auto"/>
              <w:jc w:val="center"/>
              <w:rPr>
                <w:rFonts w:ascii="Calibri" w:hAnsi="Calibri" w:cs="Calibri"/>
                <w:sz w:val="20"/>
                <w:szCs w:val="20"/>
              </w:rPr>
            </w:pPr>
            <w:r w:rsidRPr="0061109F">
              <w:rPr>
                <w:rFonts w:ascii="Calibri" w:hAnsi="Calibri" w:cs="Calibri"/>
                <w:sz w:val="20"/>
                <w:szCs w:val="20"/>
                <w:shd w:val="clear" w:color="auto" w:fill="FCFCFC"/>
              </w:rPr>
              <w:t>-0.12 (</w:t>
            </w:r>
            <w:r w:rsidRPr="0061109F">
              <w:rPr>
                <w:rFonts w:ascii="Calibri" w:hAnsi="Calibri" w:cs="Calibri"/>
                <w:sz w:val="20"/>
                <w:szCs w:val="20"/>
                <w:shd w:val="clear" w:color="auto" w:fill="F9F9F9"/>
              </w:rPr>
              <w:t>1.04)</w:t>
            </w:r>
          </w:p>
          <w:p w14:paraId="509D455B" w14:textId="121F65EE" w:rsidR="000B086A" w:rsidRPr="0061109F" w:rsidRDefault="000B086A" w:rsidP="000B086A">
            <w:pPr>
              <w:spacing w:line="480" w:lineRule="auto"/>
              <w:jc w:val="center"/>
              <w:rPr>
                <w:rFonts w:ascii="Calibri" w:hAnsi="Calibri" w:cs="Calibri"/>
                <w:sz w:val="20"/>
                <w:szCs w:val="20"/>
                <w:lang w:val="en-GB"/>
              </w:rPr>
            </w:pPr>
            <w:r w:rsidRPr="0061109F">
              <w:rPr>
                <w:rFonts w:ascii="Calibri" w:hAnsi="Calibri" w:cs="Calibri"/>
                <w:sz w:val="20"/>
                <w:szCs w:val="20"/>
                <w:lang w:val="en-GB"/>
              </w:rPr>
              <w:t>-0.04 (1.01)</w:t>
            </w:r>
          </w:p>
          <w:p w14:paraId="3C7A9FCE" w14:textId="5D7F4596" w:rsidR="000B086A" w:rsidRPr="0061109F" w:rsidRDefault="000B086A" w:rsidP="000B086A">
            <w:pPr>
              <w:spacing w:line="480" w:lineRule="auto"/>
              <w:jc w:val="center"/>
              <w:rPr>
                <w:rFonts w:ascii="Calibri" w:hAnsi="Calibri" w:cs="Calibri"/>
                <w:sz w:val="20"/>
                <w:szCs w:val="20"/>
                <w:shd w:val="clear" w:color="auto" w:fill="FCFCFC"/>
              </w:rPr>
            </w:pPr>
            <w:r w:rsidRPr="0061109F">
              <w:rPr>
                <w:rFonts w:ascii="Calibri" w:hAnsi="Calibri" w:cs="Calibri"/>
                <w:sz w:val="20"/>
                <w:szCs w:val="20"/>
                <w:shd w:val="clear" w:color="auto" w:fill="FCFCFC"/>
              </w:rPr>
              <w:t>-0.06 (1.05)</w:t>
            </w:r>
          </w:p>
          <w:p w14:paraId="47518351" w14:textId="132AB2AE" w:rsidR="000B086A" w:rsidRPr="0061109F" w:rsidRDefault="000B086A" w:rsidP="000B086A">
            <w:pPr>
              <w:spacing w:line="480" w:lineRule="auto"/>
              <w:jc w:val="center"/>
              <w:rPr>
                <w:rFonts w:ascii="Calibri" w:hAnsi="Calibri" w:cs="Calibri"/>
                <w:sz w:val="20"/>
                <w:szCs w:val="20"/>
              </w:rPr>
            </w:pPr>
            <w:r w:rsidRPr="0061109F">
              <w:rPr>
                <w:rFonts w:ascii="Calibri" w:hAnsi="Calibri" w:cs="Calibri"/>
                <w:sz w:val="20"/>
                <w:szCs w:val="20"/>
              </w:rPr>
              <w:t>0 (1.00)</w:t>
            </w:r>
          </w:p>
          <w:p w14:paraId="1D27A055" w14:textId="5E2C316F" w:rsidR="000B086A" w:rsidRPr="0061109F" w:rsidRDefault="000B086A" w:rsidP="000B086A">
            <w:pPr>
              <w:spacing w:line="480" w:lineRule="auto"/>
              <w:jc w:val="center"/>
              <w:rPr>
                <w:rFonts w:ascii="Calibri" w:hAnsi="Calibri" w:cs="Calibri"/>
                <w:sz w:val="20"/>
                <w:szCs w:val="20"/>
                <w:shd w:val="clear" w:color="auto" w:fill="FCFCFC"/>
              </w:rPr>
            </w:pPr>
            <w:r w:rsidRPr="0061109F">
              <w:rPr>
                <w:rFonts w:ascii="Calibri" w:hAnsi="Calibri" w:cs="Calibri"/>
                <w:sz w:val="20"/>
                <w:szCs w:val="20"/>
                <w:shd w:val="clear" w:color="auto" w:fill="FCFCFC"/>
              </w:rPr>
              <w:t>0.04 (1.05)</w:t>
            </w:r>
          </w:p>
          <w:p w14:paraId="143E918E" w14:textId="78F919A7" w:rsidR="000B086A" w:rsidRPr="0061109F" w:rsidRDefault="000B086A" w:rsidP="000B086A">
            <w:pPr>
              <w:spacing w:line="480" w:lineRule="auto"/>
              <w:jc w:val="center"/>
              <w:rPr>
                <w:rFonts w:ascii="Calibri" w:hAnsi="Calibri" w:cs="Calibri"/>
                <w:sz w:val="20"/>
                <w:szCs w:val="20"/>
              </w:rPr>
            </w:pPr>
            <w:r w:rsidRPr="0061109F">
              <w:rPr>
                <w:rFonts w:ascii="Calibri" w:hAnsi="Calibri" w:cs="Calibri"/>
                <w:sz w:val="20"/>
                <w:szCs w:val="20"/>
              </w:rPr>
              <w:t>-0.01 (1.02)</w:t>
            </w:r>
          </w:p>
          <w:p w14:paraId="3F62C2A9" w14:textId="529A3E67" w:rsidR="000B086A" w:rsidRPr="0061109F" w:rsidRDefault="000B086A" w:rsidP="000B086A">
            <w:pPr>
              <w:spacing w:line="480" w:lineRule="auto"/>
              <w:jc w:val="center"/>
              <w:rPr>
                <w:rFonts w:ascii="Calibri" w:hAnsi="Calibri" w:cs="Calibri"/>
                <w:sz w:val="20"/>
                <w:szCs w:val="20"/>
              </w:rPr>
            </w:pPr>
            <w:r w:rsidRPr="0061109F">
              <w:rPr>
                <w:rFonts w:ascii="Calibri" w:hAnsi="Calibri" w:cs="Calibri"/>
                <w:sz w:val="20"/>
                <w:szCs w:val="20"/>
              </w:rPr>
              <w:t>0.07 (1.05)</w:t>
            </w:r>
          </w:p>
        </w:tc>
      </w:tr>
      <w:tr w:rsidR="0061109F" w:rsidRPr="0061109F" w14:paraId="493F519A" w14:textId="77777777" w:rsidTr="000B086A">
        <w:tc>
          <w:tcPr>
            <w:tcW w:w="2651" w:type="pct"/>
            <w:vAlign w:val="center"/>
          </w:tcPr>
          <w:p w14:paraId="0FF328A0" w14:textId="3D42E39A" w:rsidR="000B086A" w:rsidRPr="0061109F" w:rsidRDefault="000B086A" w:rsidP="000B086A">
            <w:pPr>
              <w:pStyle w:val="Heading4"/>
              <w:spacing w:before="0" w:after="0" w:line="480" w:lineRule="auto"/>
              <w:rPr>
                <w:i w:val="0"/>
                <w:color w:val="auto"/>
                <w:sz w:val="20"/>
                <w:szCs w:val="20"/>
              </w:rPr>
            </w:pPr>
            <w:r w:rsidRPr="0061109F">
              <w:rPr>
                <w:i w:val="0"/>
                <w:color w:val="auto"/>
                <w:sz w:val="20"/>
                <w:szCs w:val="20"/>
              </w:rPr>
              <w:t>Copy number variant (CNV) burden (N=1</w:t>
            </w:r>
            <w:r w:rsidR="00BB1398" w:rsidRPr="0061109F">
              <w:rPr>
                <w:i w:val="0"/>
                <w:color w:val="auto"/>
                <w:sz w:val="20"/>
                <w:szCs w:val="20"/>
              </w:rPr>
              <w:t>,</w:t>
            </w:r>
            <w:r w:rsidRPr="0061109F">
              <w:rPr>
                <w:i w:val="0"/>
                <w:color w:val="auto"/>
                <w:sz w:val="20"/>
                <w:szCs w:val="20"/>
              </w:rPr>
              <w:t>172/3</w:t>
            </w:r>
            <w:r w:rsidR="00BB1398" w:rsidRPr="0061109F">
              <w:rPr>
                <w:i w:val="0"/>
                <w:color w:val="auto"/>
                <w:sz w:val="20"/>
                <w:szCs w:val="20"/>
              </w:rPr>
              <w:t>,</w:t>
            </w:r>
            <w:r w:rsidRPr="0061109F">
              <w:rPr>
                <w:i w:val="0"/>
                <w:color w:val="auto"/>
                <w:sz w:val="20"/>
                <w:szCs w:val="20"/>
              </w:rPr>
              <w:t>200)</w:t>
            </w:r>
          </w:p>
          <w:p w14:paraId="7E6A3BE4" w14:textId="77777777" w:rsidR="000B086A" w:rsidRPr="0061109F" w:rsidRDefault="000B086A" w:rsidP="000B086A">
            <w:pPr>
              <w:pStyle w:val="Heading4"/>
              <w:spacing w:before="0" w:after="0" w:line="480" w:lineRule="auto"/>
              <w:ind w:left="169"/>
              <w:rPr>
                <w:i w:val="0"/>
                <w:color w:val="auto"/>
                <w:sz w:val="20"/>
                <w:szCs w:val="20"/>
              </w:rPr>
            </w:pPr>
            <w:r w:rsidRPr="0061109F">
              <w:rPr>
                <w:i w:val="0"/>
                <w:color w:val="auto"/>
                <w:sz w:val="20"/>
                <w:szCs w:val="20"/>
              </w:rPr>
              <w:t>Number of CNVs</w:t>
            </w:r>
          </w:p>
          <w:p w14:paraId="4C889BC1" w14:textId="77777777" w:rsidR="000B086A" w:rsidRPr="0061109F" w:rsidRDefault="000B086A" w:rsidP="000B086A">
            <w:pPr>
              <w:pStyle w:val="Heading4"/>
              <w:spacing w:before="0" w:after="0" w:line="480" w:lineRule="auto"/>
              <w:ind w:left="169"/>
              <w:rPr>
                <w:i w:val="0"/>
                <w:color w:val="auto"/>
                <w:sz w:val="20"/>
                <w:szCs w:val="20"/>
              </w:rPr>
            </w:pPr>
            <w:r w:rsidRPr="0061109F">
              <w:rPr>
                <w:i w:val="0"/>
                <w:color w:val="auto"/>
                <w:sz w:val="20"/>
                <w:szCs w:val="20"/>
              </w:rPr>
              <w:t>Size of CNV (kb)</w:t>
            </w:r>
          </w:p>
        </w:tc>
        <w:tc>
          <w:tcPr>
            <w:tcW w:w="985" w:type="pct"/>
            <w:vAlign w:val="center"/>
          </w:tcPr>
          <w:p w14:paraId="2FCC13C1" w14:textId="77777777" w:rsidR="000B086A" w:rsidRPr="0061109F" w:rsidRDefault="000B086A" w:rsidP="000B086A">
            <w:pPr>
              <w:pStyle w:val="Heading4"/>
              <w:spacing w:before="0" w:after="0" w:line="480" w:lineRule="auto"/>
              <w:jc w:val="center"/>
              <w:rPr>
                <w:i w:val="0"/>
                <w:color w:val="auto"/>
                <w:sz w:val="20"/>
                <w:szCs w:val="20"/>
              </w:rPr>
            </w:pPr>
          </w:p>
          <w:p w14:paraId="431EA862" w14:textId="77777777" w:rsidR="000B086A" w:rsidRPr="0061109F" w:rsidRDefault="000B086A" w:rsidP="000B086A">
            <w:pPr>
              <w:pStyle w:val="Heading4"/>
              <w:spacing w:before="0" w:after="0" w:line="480" w:lineRule="auto"/>
              <w:jc w:val="center"/>
              <w:rPr>
                <w:i w:val="0"/>
                <w:color w:val="auto"/>
                <w:sz w:val="20"/>
                <w:szCs w:val="20"/>
              </w:rPr>
            </w:pPr>
            <w:r w:rsidRPr="0061109F">
              <w:rPr>
                <w:i w:val="0"/>
                <w:color w:val="auto"/>
                <w:sz w:val="20"/>
                <w:szCs w:val="20"/>
              </w:rPr>
              <w:t>1 (0, 1)</w:t>
            </w:r>
          </w:p>
          <w:p w14:paraId="0A2E8634" w14:textId="0FF53BEE" w:rsidR="000B086A" w:rsidRPr="0061109F" w:rsidRDefault="000B086A" w:rsidP="000B086A">
            <w:pPr>
              <w:spacing w:line="480" w:lineRule="auto"/>
              <w:jc w:val="center"/>
              <w:rPr>
                <w:rFonts w:ascii="Calibri" w:hAnsi="Calibri" w:cs="Calibri"/>
                <w:sz w:val="20"/>
                <w:szCs w:val="20"/>
                <w:lang w:val="en-GB"/>
              </w:rPr>
            </w:pPr>
            <w:r w:rsidRPr="0061109F">
              <w:rPr>
                <w:rFonts w:ascii="Calibri" w:hAnsi="Calibri" w:cs="Calibri"/>
                <w:sz w:val="20"/>
                <w:szCs w:val="20"/>
                <w:lang w:val="en-GB"/>
              </w:rPr>
              <w:t>7.04 (0, 8.6)</w:t>
            </w:r>
          </w:p>
        </w:tc>
        <w:tc>
          <w:tcPr>
            <w:tcW w:w="1364" w:type="pct"/>
            <w:vAlign w:val="center"/>
          </w:tcPr>
          <w:p w14:paraId="35DF411F" w14:textId="77777777" w:rsidR="000B086A" w:rsidRPr="0061109F" w:rsidRDefault="000B086A" w:rsidP="000B086A">
            <w:pPr>
              <w:pStyle w:val="Heading4"/>
              <w:spacing w:before="0" w:after="0" w:line="480" w:lineRule="auto"/>
              <w:jc w:val="center"/>
              <w:rPr>
                <w:i w:val="0"/>
                <w:color w:val="auto"/>
                <w:sz w:val="20"/>
                <w:szCs w:val="20"/>
              </w:rPr>
            </w:pPr>
          </w:p>
          <w:p w14:paraId="50D21FFF" w14:textId="77777777" w:rsidR="000B086A" w:rsidRPr="0061109F" w:rsidRDefault="000B086A" w:rsidP="000B086A">
            <w:pPr>
              <w:pStyle w:val="Heading4"/>
              <w:spacing w:before="0" w:after="0" w:line="480" w:lineRule="auto"/>
              <w:jc w:val="center"/>
              <w:rPr>
                <w:i w:val="0"/>
                <w:color w:val="auto"/>
                <w:sz w:val="20"/>
                <w:szCs w:val="20"/>
              </w:rPr>
            </w:pPr>
            <w:r w:rsidRPr="0061109F">
              <w:rPr>
                <w:i w:val="0"/>
                <w:color w:val="auto"/>
                <w:sz w:val="20"/>
                <w:szCs w:val="20"/>
              </w:rPr>
              <w:t>1 (0, 1)</w:t>
            </w:r>
          </w:p>
          <w:p w14:paraId="28225C65" w14:textId="5A7F23F4" w:rsidR="000B086A" w:rsidRPr="0061109F" w:rsidRDefault="000B086A" w:rsidP="000B086A">
            <w:pPr>
              <w:spacing w:line="480" w:lineRule="auto"/>
              <w:jc w:val="center"/>
              <w:rPr>
                <w:rFonts w:ascii="Calibri" w:hAnsi="Calibri" w:cs="Calibri"/>
                <w:sz w:val="20"/>
                <w:szCs w:val="20"/>
                <w:lang w:val="en-GB"/>
              </w:rPr>
            </w:pPr>
            <w:r w:rsidRPr="0061109F">
              <w:rPr>
                <w:rFonts w:ascii="Calibri" w:hAnsi="Calibri" w:cs="Calibri"/>
                <w:sz w:val="20"/>
                <w:szCs w:val="20"/>
                <w:lang w:val="en-GB"/>
              </w:rPr>
              <w:t>7.08 (0, 8.7)</w:t>
            </w:r>
          </w:p>
        </w:tc>
      </w:tr>
      <w:tr w:rsidR="0061109F" w:rsidRPr="0061109F" w14:paraId="4741A67F" w14:textId="77777777" w:rsidTr="000B086A">
        <w:tc>
          <w:tcPr>
            <w:tcW w:w="2651" w:type="pct"/>
            <w:vAlign w:val="center"/>
          </w:tcPr>
          <w:p w14:paraId="1D2A62A7" w14:textId="383FAC2C" w:rsidR="000B086A" w:rsidRPr="0061109F" w:rsidRDefault="000B086A" w:rsidP="000B086A">
            <w:pPr>
              <w:pStyle w:val="Heading4"/>
              <w:spacing w:before="0" w:after="0" w:line="480" w:lineRule="auto"/>
              <w:rPr>
                <w:i w:val="0"/>
                <w:color w:val="auto"/>
                <w:sz w:val="20"/>
                <w:szCs w:val="20"/>
              </w:rPr>
            </w:pPr>
            <w:r w:rsidRPr="0061109F">
              <w:rPr>
                <w:i w:val="0"/>
                <w:color w:val="auto"/>
                <w:sz w:val="20"/>
                <w:szCs w:val="20"/>
              </w:rPr>
              <w:t>Exome burden (N=1</w:t>
            </w:r>
            <w:r w:rsidR="00BB1398" w:rsidRPr="0061109F">
              <w:rPr>
                <w:i w:val="0"/>
                <w:color w:val="auto"/>
                <w:sz w:val="20"/>
                <w:szCs w:val="20"/>
              </w:rPr>
              <w:t>,</w:t>
            </w:r>
            <w:r w:rsidRPr="0061109F">
              <w:rPr>
                <w:i w:val="0"/>
                <w:color w:val="auto"/>
                <w:sz w:val="20"/>
                <w:szCs w:val="20"/>
              </w:rPr>
              <w:t>261/3</w:t>
            </w:r>
            <w:r w:rsidR="00BB1398" w:rsidRPr="0061109F">
              <w:rPr>
                <w:i w:val="0"/>
                <w:color w:val="auto"/>
                <w:sz w:val="20"/>
                <w:szCs w:val="20"/>
              </w:rPr>
              <w:t>,</w:t>
            </w:r>
            <w:r w:rsidRPr="0061109F">
              <w:rPr>
                <w:i w:val="0"/>
                <w:color w:val="auto"/>
                <w:sz w:val="20"/>
                <w:szCs w:val="20"/>
              </w:rPr>
              <w:t>420)</w:t>
            </w:r>
          </w:p>
          <w:p w14:paraId="7E17751C" w14:textId="77777777" w:rsidR="000B086A" w:rsidRPr="0061109F" w:rsidRDefault="000B086A" w:rsidP="000B086A">
            <w:pPr>
              <w:pStyle w:val="Heading4"/>
              <w:spacing w:before="0" w:after="0" w:line="480" w:lineRule="auto"/>
              <w:ind w:left="169"/>
              <w:rPr>
                <w:i w:val="0"/>
                <w:color w:val="auto"/>
                <w:sz w:val="20"/>
                <w:szCs w:val="20"/>
              </w:rPr>
            </w:pPr>
            <w:r w:rsidRPr="0061109F">
              <w:rPr>
                <w:i w:val="0"/>
                <w:color w:val="auto"/>
                <w:sz w:val="20"/>
                <w:szCs w:val="20"/>
              </w:rPr>
              <w:t>Damaging or disruptive ultra-rare variants</w:t>
            </w:r>
          </w:p>
        </w:tc>
        <w:tc>
          <w:tcPr>
            <w:tcW w:w="985" w:type="pct"/>
          </w:tcPr>
          <w:p w14:paraId="64F4A835" w14:textId="77777777" w:rsidR="000B086A" w:rsidRPr="0061109F" w:rsidRDefault="000B086A" w:rsidP="000B086A">
            <w:pPr>
              <w:pStyle w:val="Heading4"/>
              <w:spacing w:before="0" w:after="0" w:line="480" w:lineRule="auto"/>
              <w:jc w:val="center"/>
              <w:rPr>
                <w:i w:val="0"/>
                <w:color w:val="auto"/>
                <w:sz w:val="20"/>
                <w:szCs w:val="20"/>
              </w:rPr>
            </w:pPr>
          </w:p>
          <w:p w14:paraId="18E5EEF8" w14:textId="5D32A00E" w:rsidR="000B086A" w:rsidRPr="0061109F" w:rsidRDefault="000B086A" w:rsidP="000B086A">
            <w:pPr>
              <w:pStyle w:val="Heading4"/>
              <w:spacing w:before="0" w:after="0" w:line="480" w:lineRule="auto"/>
              <w:jc w:val="center"/>
              <w:rPr>
                <w:i w:val="0"/>
                <w:color w:val="auto"/>
                <w:sz w:val="20"/>
                <w:szCs w:val="20"/>
              </w:rPr>
            </w:pPr>
            <w:r w:rsidRPr="0061109F">
              <w:rPr>
                <w:i w:val="0"/>
                <w:color w:val="auto"/>
                <w:sz w:val="20"/>
                <w:szCs w:val="20"/>
              </w:rPr>
              <w:t>3 (2, 3.6)</w:t>
            </w:r>
          </w:p>
        </w:tc>
        <w:tc>
          <w:tcPr>
            <w:tcW w:w="1364" w:type="pct"/>
          </w:tcPr>
          <w:p w14:paraId="480D6148" w14:textId="77777777" w:rsidR="000B086A" w:rsidRPr="0061109F" w:rsidRDefault="000B086A" w:rsidP="000B086A">
            <w:pPr>
              <w:pStyle w:val="Heading4"/>
              <w:spacing w:before="0" w:after="0" w:line="480" w:lineRule="auto"/>
              <w:jc w:val="center"/>
              <w:rPr>
                <w:b/>
                <w:color w:val="auto"/>
                <w:sz w:val="20"/>
                <w:szCs w:val="20"/>
              </w:rPr>
            </w:pPr>
          </w:p>
          <w:p w14:paraId="4459E20B" w14:textId="169D466D" w:rsidR="000B086A" w:rsidRPr="0061109F" w:rsidRDefault="000B086A" w:rsidP="000B086A">
            <w:pPr>
              <w:spacing w:line="480" w:lineRule="auto"/>
              <w:jc w:val="center"/>
              <w:rPr>
                <w:rFonts w:ascii="Calibri" w:hAnsi="Calibri" w:cs="Calibri"/>
                <w:sz w:val="20"/>
                <w:szCs w:val="20"/>
                <w:lang w:val="en-GB"/>
              </w:rPr>
            </w:pPr>
            <w:r w:rsidRPr="0061109F">
              <w:rPr>
                <w:rFonts w:ascii="Calibri" w:hAnsi="Calibri" w:cs="Calibri"/>
                <w:sz w:val="20"/>
                <w:szCs w:val="20"/>
              </w:rPr>
              <w:t>3 (2, 3.6)</w:t>
            </w:r>
          </w:p>
        </w:tc>
      </w:tr>
    </w:tbl>
    <w:p w14:paraId="3C9D428F" w14:textId="181DA7F1" w:rsidR="000B086A" w:rsidRPr="0061109F" w:rsidRDefault="000B086A" w:rsidP="000B086A">
      <w:pPr>
        <w:pStyle w:val="Heading4"/>
        <w:spacing w:line="480" w:lineRule="auto"/>
        <w:rPr>
          <w:i w:val="0"/>
          <w:color w:val="auto"/>
          <w:sz w:val="22"/>
          <w:szCs w:val="22"/>
          <w:lang w:val="en-CA"/>
        </w:rPr>
      </w:pPr>
      <w:r w:rsidRPr="0061109F">
        <w:rPr>
          <w:i w:val="0"/>
          <w:color w:val="auto"/>
          <w:sz w:val="22"/>
          <w:szCs w:val="22"/>
          <w:lang w:val="en-CA"/>
        </w:rPr>
        <w:t xml:space="preserve">Data are </w:t>
      </w:r>
      <w:r w:rsidRPr="0061109F">
        <w:rPr>
          <w:i w:val="0"/>
          <w:color w:val="auto"/>
          <w:sz w:val="22"/>
          <w:szCs w:val="22"/>
          <w:vertAlign w:val="superscript"/>
          <w:lang w:val="en-CA"/>
        </w:rPr>
        <w:t>1</w:t>
      </w:r>
      <w:r w:rsidRPr="0061109F">
        <w:rPr>
          <w:i w:val="0"/>
          <w:color w:val="auto"/>
          <w:sz w:val="22"/>
          <w:szCs w:val="22"/>
          <w:lang w:val="en-CA"/>
        </w:rPr>
        <w:t>mean (SD) or median (interquartile range). N (died/did not die) for genetic scores,</w:t>
      </w:r>
      <w:r w:rsidRPr="0061109F">
        <w:rPr>
          <w:color w:val="auto"/>
          <w:sz w:val="22"/>
          <w:szCs w:val="22"/>
        </w:rPr>
        <w:t xml:space="preserve"> </w:t>
      </w:r>
      <w:r w:rsidRPr="0061109F">
        <w:rPr>
          <w:i w:val="0"/>
          <w:color w:val="auto"/>
          <w:sz w:val="22"/>
          <w:szCs w:val="22"/>
          <w:lang w:val="en-CA"/>
        </w:rPr>
        <w:t>CNV, exome burden.</w:t>
      </w:r>
    </w:p>
    <w:p w14:paraId="780F3B6B" w14:textId="77777777" w:rsidR="000B086A" w:rsidRPr="0061109F" w:rsidRDefault="000B086A" w:rsidP="000B086A">
      <w:pPr>
        <w:spacing w:line="480" w:lineRule="auto"/>
        <w:rPr>
          <w:rFonts w:ascii="Calibri" w:eastAsia="Calibri" w:hAnsi="Calibri" w:cs="Calibri"/>
          <w:sz w:val="22"/>
          <w:szCs w:val="22"/>
        </w:rPr>
      </w:pPr>
      <w:r w:rsidRPr="0061109F">
        <w:rPr>
          <w:rFonts w:ascii="Calibri" w:hAnsi="Calibri" w:cs="Calibri"/>
          <w:i/>
          <w:sz w:val="22"/>
          <w:szCs w:val="22"/>
        </w:rPr>
        <w:br w:type="page"/>
      </w:r>
    </w:p>
    <w:p w14:paraId="7B675F0B" w14:textId="5324F306" w:rsidR="000B086A" w:rsidRPr="0061109F" w:rsidRDefault="00832826" w:rsidP="000B086A">
      <w:pPr>
        <w:pStyle w:val="Heading4"/>
        <w:spacing w:line="480" w:lineRule="auto"/>
        <w:rPr>
          <w:b/>
          <w:i w:val="0"/>
          <w:color w:val="auto"/>
          <w:sz w:val="22"/>
          <w:szCs w:val="22"/>
        </w:rPr>
      </w:pPr>
      <w:r w:rsidRPr="0061109F">
        <w:rPr>
          <w:b/>
          <w:i w:val="0"/>
          <w:color w:val="auto"/>
          <w:sz w:val="22"/>
          <w:szCs w:val="22"/>
        </w:rPr>
        <w:lastRenderedPageBreak/>
        <w:t xml:space="preserve">Supplementary </w:t>
      </w:r>
      <w:r w:rsidR="000B086A" w:rsidRPr="0061109F">
        <w:rPr>
          <w:b/>
          <w:i w:val="0"/>
          <w:color w:val="auto"/>
          <w:sz w:val="22"/>
          <w:szCs w:val="22"/>
        </w:rPr>
        <w:t xml:space="preserve">Table 5: </w:t>
      </w:r>
      <w:r w:rsidR="000B086A" w:rsidRPr="0061109F">
        <w:rPr>
          <w:i w:val="0"/>
          <w:color w:val="auto"/>
          <w:sz w:val="22"/>
          <w:szCs w:val="22"/>
        </w:rPr>
        <w:t>Cox Proportional Hazards modelling of rare somatic mutation measures in association with all-cause mortality in Swedish cases of schizophrenia</w:t>
      </w:r>
      <w:r w:rsidR="00A80AB2" w:rsidRPr="0061109F">
        <w:rPr>
          <w:i w:val="0"/>
          <w:color w:val="auto"/>
          <w:sz w:val="22"/>
          <w:szCs w:val="22"/>
        </w:rPr>
        <w:t xml:space="preserve"> in the genetic subsample (N=4</w:t>
      </w:r>
      <w:r w:rsidR="00BB1398" w:rsidRPr="0061109F">
        <w:rPr>
          <w:i w:val="0"/>
          <w:color w:val="auto"/>
          <w:sz w:val="22"/>
          <w:szCs w:val="22"/>
        </w:rPr>
        <w:t>,</w:t>
      </w:r>
      <w:r w:rsidR="00A80AB2" w:rsidRPr="0061109F">
        <w:rPr>
          <w:i w:val="0"/>
          <w:color w:val="auto"/>
          <w:sz w:val="22"/>
          <w:szCs w:val="22"/>
        </w:rPr>
        <w:t>681)</w:t>
      </w:r>
      <w:r w:rsidR="000B086A" w:rsidRPr="0061109F">
        <w:rPr>
          <w:i w:val="0"/>
          <w:color w:val="auto"/>
          <w:sz w:val="22"/>
          <w:szCs w:val="22"/>
        </w:rPr>
        <w:t>.</w:t>
      </w:r>
    </w:p>
    <w:tbl>
      <w:tblPr>
        <w:tblStyle w:val="TableGrid"/>
        <w:tblW w:w="5000" w:type="pct"/>
        <w:tblLook w:val="04A0" w:firstRow="1" w:lastRow="0" w:firstColumn="1" w:lastColumn="0" w:noHBand="0" w:noVBand="1"/>
      </w:tblPr>
      <w:tblGrid>
        <w:gridCol w:w="3319"/>
        <w:gridCol w:w="1113"/>
        <w:gridCol w:w="1320"/>
        <w:gridCol w:w="1799"/>
        <w:gridCol w:w="1799"/>
      </w:tblGrid>
      <w:tr w:rsidR="0061109F" w:rsidRPr="0061109F" w14:paraId="51024AB5" w14:textId="77777777" w:rsidTr="00BC31CA">
        <w:trPr>
          <w:trHeight w:val="544"/>
        </w:trPr>
        <w:tc>
          <w:tcPr>
            <w:tcW w:w="1775" w:type="pct"/>
            <w:vMerge w:val="restart"/>
          </w:tcPr>
          <w:p w14:paraId="47B62DD8" w14:textId="77777777" w:rsidR="00BC31CA" w:rsidRPr="0061109F" w:rsidRDefault="00BC31CA" w:rsidP="00BC31CA">
            <w:pPr>
              <w:pStyle w:val="Heading4"/>
              <w:spacing w:line="480" w:lineRule="auto"/>
              <w:rPr>
                <w:i w:val="0"/>
                <w:color w:val="auto"/>
                <w:sz w:val="20"/>
                <w:szCs w:val="20"/>
              </w:rPr>
            </w:pPr>
          </w:p>
        </w:tc>
        <w:tc>
          <w:tcPr>
            <w:tcW w:w="595" w:type="pct"/>
            <w:vMerge w:val="restart"/>
          </w:tcPr>
          <w:p w14:paraId="33099342" w14:textId="77777777" w:rsidR="00BC31CA" w:rsidRPr="0061109F" w:rsidRDefault="00BC31CA" w:rsidP="00BC31CA">
            <w:pPr>
              <w:pStyle w:val="Heading4"/>
              <w:spacing w:line="480" w:lineRule="auto"/>
              <w:jc w:val="center"/>
              <w:rPr>
                <w:b/>
                <w:i w:val="0"/>
                <w:color w:val="auto"/>
                <w:sz w:val="20"/>
                <w:szCs w:val="20"/>
              </w:rPr>
            </w:pPr>
            <w:r w:rsidRPr="0061109F">
              <w:rPr>
                <w:b/>
                <w:i w:val="0"/>
                <w:color w:val="auto"/>
                <w:sz w:val="20"/>
                <w:szCs w:val="20"/>
              </w:rPr>
              <w:t>Died</w:t>
            </w:r>
          </w:p>
          <w:p w14:paraId="11631203" w14:textId="563B1962" w:rsidR="00BC31CA" w:rsidRPr="0061109F" w:rsidRDefault="00BC31CA" w:rsidP="00BC31CA">
            <w:pPr>
              <w:pStyle w:val="Heading4"/>
              <w:spacing w:line="480" w:lineRule="auto"/>
              <w:jc w:val="center"/>
              <w:rPr>
                <w:b/>
                <w:i w:val="0"/>
                <w:color w:val="auto"/>
                <w:sz w:val="20"/>
                <w:szCs w:val="20"/>
              </w:rPr>
            </w:pPr>
            <w:r w:rsidRPr="0061109F">
              <w:rPr>
                <w:b/>
                <w:i w:val="0"/>
                <w:color w:val="auto"/>
                <w:sz w:val="20"/>
                <w:szCs w:val="20"/>
              </w:rPr>
              <w:t>(n = 1</w:t>
            </w:r>
            <w:r w:rsidR="00BB1398" w:rsidRPr="0061109F">
              <w:rPr>
                <w:b/>
                <w:i w:val="0"/>
                <w:color w:val="auto"/>
                <w:sz w:val="20"/>
                <w:szCs w:val="20"/>
              </w:rPr>
              <w:t>,</w:t>
            </w:r>
            <w:r w:rsidRPr="0061109F">
              <w:rPr>
                <w:b/>
                <w:i w:val="0"/>
                <w:color w:val="auto"/>
                <w:sz w:val="20"/>
                <w:szCs w:val="20"/>
              </w:rPr>
              <w:t>253)</w:t>
            </w:r>
          </w:p>
        </w:tc>
        <w:tc>
          <w:tcPr>
            <w:tcW w:w="706" w:type="pct"/>
            <w:vMerge w:val="restart"/>
          </w:tcPr>
          <w:p w14:paraId="20B6B810" w14:textId="77777777" w:rsidR="00BC31CA" w:rsidRPr="0061109F" w:rsidRDefault="00BC31CA" w:rsidP="00BC31CA">
            <w:pPr>
              <w:pStyle w:val="Heading4"/>
              <w:spacing w:line="480" w:lineRule="auto"/>
              <w:jc w:val="center"/>
              <w:rPr>
                <w:b/>
                <w:i w:val="0"/>
                <w:color w:val="auto"/>
                <w:sz w:val="20"/>
                <w:szCs w:val="20"/>
              </w:rPr>
            </w:pPr>
            <w:r w:rsidRPr="0061109F">
              <w:rPr>
                <w:b/>
                <w:i w:val="0"/>
                <w:color w:val="auto"/>
                <w:sz w:val="20"/>
                <w:szCs w:val="20"/>
              </w:rPr>
              <w:t>Did not die</w:t>
            </w:r>
          </w:p>
          <w:p w14:paraId="1CBFEF6B" w14:textId="09ABCB91" w:rsidR="00BC31CA" w:rsidRPr="0061109F" w:rsidRDefault="00BC31CA" w:rsidP="00BC31CA">
            <w:pPr>
              <w:pStyle w:val="Heading4"/>
              <w:spacing w:line="480" w:lineRule="auto"/>
              <w:jc w:val="center"/>
              <w:rPr>
                <w:b/>
                <w:i w:val="0"/>
                <w:color w:val="auto"/>
                <w:sz w:val="20"/>
                <w:szCs w:val="20"/>
              </w:rPr>
            </w:pPr>
            <w:r w:rsidRPr="0061109F">
              <w:rPr>
                <w:b/>
                <w:i w:val="0"/>
                <w:color w:val="auto"/>
                <w:sz w:val="20"/>
                <w:szCs w:val="20"/>
              </w:rPr>
              <w:t>(n = 3</w:t>
            </w:r>
            <w:r w:rsidR="00BB1398" w:rsidRPr="0061109F">
              <w:rPr>
                <w:b/>
                <w:i w:val="0"/>
                <w:color w:val="auto"/>
                <w:sz w:val="20"/>
                <w:szCs w:val="20"/>
              </w:rPr>
              <w:t>,</w:t>
            </w:r>
            <w:r w:rsidRPr="0061109F">
              <w:rPr>
                <w:b/>
                <w:i w:val="0"/>
                <w:color w:val="auto"/>
                <w:sz w:val="20"/>
                <w:szCs w:val="20"/>
              </w:rPr>
              <w:t>428)</w:t>
            </w:r>
          </w:p>
        </w:tc>
        <w:tc>
          <w:tcPr>
            <w:tcW w:w="1924" w:type="pct"/>
            <w:gridSpan w:val="2"/>
          </w:tcPr>
          <w:p w14:paraId="0A5098CB" w14:textId="2710AC84" w:rsidR="00BC31CA" w:rsidRPr="0061109F" w:rsidRDefault="00BC31CA" w:rsidP="00C224E6">
            <w:pPr>
              <w:pStyle w:val="Heading4"/>
              <w:spacing w:line="480" w:lineRule="auto"/>
              <w:jc w:val="center"/>
              <w:rPr>
                <w:b/>
                <w:i w:val="0"/>
                <w:color w:val="auto"/>
                <w:sz w:val="20"/>
                <w:szCs w:val="20"/>
              </w:rPr>
            </w:pPr>
            <w:r w:rsidRPr="0061109F">
              <w:rPr>
                <w:b/>
                <w:i w:val="0"/>
                <w:color w:val="auto"/>
                <w:sz w:val="20"/>
                <w:szCs w:val="20"/>
              </w:rPr>
              <w:t>Hazard ratio (95%CI), p-value</w:t>
            </w:r>
          </w:p>
        </w:tc>
      </w:tr>
      <w:tr w:rsidR="0061109F" w:rsidRPr="0061109F" w14:paraId="7285462C" w14:textId="77777777" w:rsidTr="00BC31CA">
        <w:trPr>
          <w:trHeight w:val="544"/>
        </w:trPr>
        <w:tc>
          <w:tcPr>
            <w:tcW w:w="1775" w:type="pct"/>
            <w:vMerge/>
          </w:tcPr>
          <w:p w14:paraId="145B17F5" w14:textId="77777777" w:rsidR="00BC31CA" w:rsidRPr="0061109F" w:rsidRDefault="00BC31CA" w:rsidP="00BC31CA">
            <w:pPr>
              <w:pStyle w:val="Heading4"/>
              <w:spacing w:line="480" w:lineRule="auto"/>
              <w:rPr>
                <w:i w:val="0"/>
                <w:color w:val="auto"/>
                <w:sz w:val="20"/>
                <w:szCs w:val="20"/>
              </w:rPr>
            </w:pPr>
          </w:p>
        </w:tc>
        <w:tc>
          <w:tcPr>
            <w:tcW w:w="595" w:type="pct"/>
            <w:vMerge/>
          </w:tcPr>
          <w:p w14:paraId="05B2C64F" w14:textId="77777777" w:rsidR="00BC31CA" w:rsidRPr="0061109F" w:rsidRDefault="00BC31CA" w:rsidP="00BC31CA">
            <w:pPr>
              <w:pStyle w:val="Heading4"/>
              <w:spacing w:line="480" w:lineRule="auto"/>
              <w:jc w:val="center"/>
              <w:rPr>
                <w:b/>
                <w:i w:val="0"/>
                <w:color w:val="auto"/>
                <w:sz w:val="20"/>
                <w:szCs w:val="20"/>
              </w:rPr>
            </w:pPr>
          </w:p>
        </w:tc>
        <w:tc>
          <w:tcPr>
            <w:tcW w:w="706" w:type="pct"/>
            <w:vMerge/>
          </w:tcPr>
          <w:p w14:paraId="366E6FEF" w14:textId="77777777" w:rsidR="00BC31CA" w:rsidRPr="0061109F" w:rsidRDefault="00BC31CA" w:rsidP="00BC31CA">
            <w:pPr>
              <w:pStyle w:val="Heading4"/>
              <w:spacing w:line="480" w:lineRule="auto"/>
              <w:jc w:val="center"/>
              <w:rPr>
                <w:b/>
                <w:i w:val="0"/>
                <w:color w:val="auto"/>
                <w:sz w:val="20"/>
                <w:szCs w:val="20"/>
              </w:rPr>
            </w:pPr>
          </w:p>
        </w:tc>
        <w:tc>
          <w:tcPr>
            <w:tcW w:w="962" w:type="pct"/>
          </w:tcPr>
          <w:p w14:paraId="45C8F63F" w14:textId="36357B4C" w:rsidR="00BC31CA" w:rsidRPr="0061109F" w:rsidRDefault="00BC31CA" w:rsidP="00BC31CA">
            <w:pPr>
              <w:pStyle w:val="Heading4"/>
              <w:spacing w:line="480" w:lineRule="auto"/>
              <w:jc w:val="center"/>
              <w:rPr>
                <w:b/>
                <w:i w:val="0"/>
                <w:color w:val="auto"/>
                <w:sz w:val="20"/>
                <w:szCs w:val="20"/>
              </w:rPr>
            </w:pPr>
            <w:r w:rsidRPr="0061109F">
              <w:rPr>
                <w:b/>
                <w:i w:val="0"/>
                <w:color w:val="auto"/>
                <w:sz w:val="20"/>
                <w:szCs w:val="20"/>
              </w:rPr>
              <w:t>Unadjusted</w:t>
            </w:r>
          </w:p>
        </w:tc>
        <w:tc>
          <w:tcPr>
            <w:tcW w:w="962" w:type="pct"/>
            <w:vAlign w:val="center"/>
          </w:tcPr>
          <w:p w14:paraId="499BA13C" w14:textId="1D624648" w:rsidR="00BC31CA" w:rsidRPr="0061109F" w:rsidRDefault="00BC31CA" w:rsidP="00BC31CA">
            <w:pPr>
              <w:pStyle w:val="Heading4"/>
              <w:spacing w:line="480" w:lineRule="auto"/>
              <w:jc w:val="center"/>
              <w:rPr>
                <w:b/>
                <w:i w:val="0"/>
                <w:color w:val="auto"/>
                <w:sz w:val="20"/>
                <w:szCs w:val="20"/>
              </w:rPr>
            </w:pPr>
            <w:r w:rsidRPr="0061109F">
              <w:rPr>
                <w:b/>
                <w:i w:val="0"/>
                <w:color w:val="auto"/>
                <w:sz w:val="20"/>
                <w:szCs w:val="20"/>
              </w:rPr>
              <w:t>Adjusted</w:t>
            </w:r>
          </w:p>
        </w:tc>
      </w:tr>
      <w:tr w:rsidR="0061109F" w:rsidRPr="0061109F" w14:paraId="1FB734E0" w14:textId="77777777" w:rsidTr="00C224E6">
        <w:tc>
          <w:tcPr>
            <w:tcW w:w="1775" w:type="pct"/>
            <w:vAlign w:val="center"/>
          </w:tcPr>
          <w:p w14:paraId="019E6E21" w14:textId="372060E4" w:rsidR="00BC31CA" w:rsidRPr="0061109F" w:rsidRDefault="00BC31CA" w:rsidP="00BC31CA">
            <w:pPr>
              <w:spacing w:line="480" w:lineRule="auto"/>
              <w:rPr>
                <w:rFonts w:ascii="Calibri" w:hAnsi="Calibri" w:cs="Calibri"/>
                <w:sz w:val="20"/>
                <w:szCs w:val="20"/>
                <w:lang w:val="en-GB"/>
              </w:rPr>
            </w:pPr>
            <w:r w:rsidRPr="0061109F">
              <w:rPr>
                <w:rFonts w:ascii="Calibri" w:hAnsi="Calibri" w:cs="Calibri"/>
                <w:sz w:val="20"/>
                <w:szCs w:val="20"/>
              </w:rPr>
              <w:t>Clonal hematopoiesis with candidate drivers</w:t>
            </w:r>
          </w:p>
        </w:tc>
        <w:tc>
          <w:tcPr>
            <w:tcW w:w="595" w:type="pct"/>
            <w:vAlign w:val="center"/>
          </w:tcPr>
          <w:p w14:paraId="35F3A668" w14:textId="5BBFE9B6" w:rsidR="00BC31CA" w:rsidRPr="0061109F" w:rsidRDefault="00BC31CA" w:rsidP="00BC31CA">
            <w:pPr>
              <w:pStyle w:val="Heading4"/>
              <w:spacing w:line="480" w:lineRule="auto"/>
              <w:jc w:val="center"/>
              <w:rPr>
                <w:i w:val="0"/>
                <w:color w:val="auto"/>
                <w:sz w:val="20"/>
                <w:szCs w:val="20"/>
                <w:lang w:val="en-CA"/>
              </w:rPr>
            </w:pPr>
            <w:r w:rsidRPr="0061109F">
              <w:rPr>
                <w:i w:val="0"/>
                <w:color w:val="auto"/>
                <w:sz w:val="20"/>
                <w:szCs w:val="20"/>
                <w:lang w:val="en-CA"/>
              </w:rPr>
              <w:t>60 (4</w:t>
            </w:r>
            <w:r w:rsidRPr="0061109F">
              <w:rPr>
                <w:color w:val="auto"/>
                <w:sz w:val="20"/>
                <w:szCs w:val="20"/>
              </w:rPr>
              <w:t>.</w:t>
            </w:r>
            <w:r w:rsidRPr="0061109F">
              <w:rPr>
                <w:i w:val="0"/>
                <w:color w:val="auto"/>
                <w:sz w:val="20"/>
                <w:szCs w:val="20"/>
                <w:lang w:val="en-CA"/>
              </w:rPr>
              <w:t>7%)</w:t>
            </w:r>
          </w:p>
        </w:tc>
        <w:tc>
          <w:tcPr>
            <w:tcW w:w="706" w:type="pct"/>
            <w:vAlign w:val="center"/>
          </w:tcPr>
          <w:p w14:paraId="5F43A305" w14:textId="7F84607B" w:rsidR="00BC31CA" w:rsidRPr="0061109F" w:rsidRDefault="00BC31CA" w:rsidP="00BC31CA">
            <w:pPr>
              <w:pStyle w:val="Heading4"/>
              <w:spacing w:line="480" w:lineRule="auto"/>
              <w:jc w:val="center"/>
              <w:rPr>
                <w:i w:val="0"/>
                <w:color w:val="auto"/>
                <w:sz w:val="20"/>
                <w:szCs w:val="20"/>
                <w:lang w:val="en-CA"/>
              </w:rPr>
            </w:pPr>
            <w:r w:rsidRPr="0061109F">
              <w:rPr>
                <w:i w:val="0"/>
                <w:color w:val="auto"/>
                <w:sz w:val="20"/>
                <w:szCs w:val="20"/>
                <w:lang w:val="en-CA"/>
              </w:rPr>
              <w:t>69 (2</w:t>
            </w:r>
            <w:r w:rsidRPr="0061109F">
              <w:rPr>
                <w:color w:val="auto"/>
                <w:sz w:val="20"/>
                <w:szCs w:val="20"/>
              </w:rPr>
              <w:t>.</w:t>
            </w:r>
            <w:r w:rsidRPr="0061109F">
              <w:rPr>
                <w:i w:val="0"/>
                <w:color w:val="auto"/>
                <w:sz w:val="20"/>
                <w:szCs w:val="20"/>
                <w:lang w:val="en-CA"/>
              </w:rPr>
              <w:t>0%)</w:t>
            </w:r>
          </w:p>
        </w:tc>
        <w:tc>
          <w:tcPr>
            <w:tcW w:w="962" w:type="pct"/>
            <w:vAlign w:val="center"/>
          </w:tcPr>
          <w:tbl>
            <w:tblPr>
              <w:tblW w:w="0" w:type="auto"/>
              <w:shd w:val="clear" w:color="auto" w:fill="FCFCFC"/>
              <w:tblCellMar>
                <w:top w:w="15" w:type="dxa"/>
                <w:left w:w="15" w:type="dxa"/>
                <w:bottom w:w="15" w:type="dxa"/>
                <w:right w:w="15" w:type="dxa"/>
              </w:tblCellMar>
              <w:tblLook w:val="04A0" w:firstRow="1" w:lastRow="0" w:firstColumn="1" w:lastColumn="0" w:noHBand="0" w:noVBand="1"/>
            </w:tblPr>
            <w:tblGrid>
              <w:gridCol w:w="1583"/>
            </w:tblGrid>
            <w:tr w:rsidR="0061109F" w:rsidRPr="0061109F" w14:paraId="7441C5E9" w14:textId="77777777" w:rsidTr="003A017D">
              <w:tc>
                <w:tcPr>
                  <w:tcW w:w="0" w:type="auto"/>
                  <w:shd w:val="clear" w:color="auto" w:fill="FCFCFC"/>
                  <w:tcMar>
                    <w:top w:w="0" w:type="dxa"/>
                    <w:left w:w="0" w:type="dxa"/>
                    <w:bottom w:w="0" w:type="dxa"/>
                    <w:right w:w="0" w:type="dxa"/>
                  </w:tcMar>
                  <w:vAlign w:val="center"/>
                  <w:hideMark/>
                </w:tcPr>
                <w:p w14:paraId="2BA857EC" w14:textId="7D8FFADC" w:rsidR="00BC31CA" w:rsidRPr="0061109F" w:rsidRDefault="00BC31CA" w:rsidP="00BC31CA">
                  <w:pPr>
                    <w:pStyle w:val="Heading4"/>
                    <w:spacing w:line="480" w:lineRule="auto"/>
                    <w:jc w:val="center"/>
                    <w:rPr>
                      <w:b/>
                      <w:i w:val="0"/>
                      <w:color w:val="auto"/>
                      <w:sz w:val="20"/>
                      <w:szCs w:val="20"/>
                      <w:lang w:val="en-CA"/>
                    </w:rPr>
                  </w:pPr>
                  <w:r w:rsidRPr="0061109F">
                    <w:rPr>
                      <w:b/>
                      <w:i w:val="0"/>
                      <w:color w:val="auto"/>
                      <w:sz w:val="20"/>
                      <w:szCs w:val="20"/>
                      <w:lang w:val="en-CA"/>
                    </w:rPr>
                    <w:t>2</w:t>
                  </w:r>
                  <w:r w:rsidRPr="0061109F">
                    <w:rPr>
                      <w:b/>
                      <w:color w:val="auto"/>
                      <w:sz w:val="20"/>
                      <w:szCs w:val="20"/>
                    </w:rPr>
                    <w:t>.</w:t>
                  </w:r>
                  <w:r w:rsidRPr="0061109F">
                    <w:rPr>
                      <w:b/>
                      <w:i w:val="0"/>
                      <w:color w:val="auto"/>
                      <w:sz w:val="20"/>
                      <w:szCs w:val="20"/>
                      <w:lang w:val="en-CA"/>
                    </w:rPr>
                    <w:t>07 (1</w:t>
                  </w:r>
                  <w:r w:rsidRPr="0061109F">
                    <w:rPr>
                      <w:b/>
                      <w:color w:val="auto"/>
                      <w:sz w:val="20"/>
                      <w:szCs w:val="20"/>
                    </w:rPr>
                    <w:t>.</w:t>
                  </w:r>
                  <w:r w:rsidRPr="0061109F">
                    <w:rPr>
                      <w:b/>
                      <w:i w:val="0"/>
                      <w:color w:val="auto"/>
                      <w:sz w:val="20"/>
                      <w:szCs w:val="20"/>
                      <w:lang w:val="en-CA"/>
                    </w:rPr>
                    <w:t>60-2</w:t>
                  </w:r>
                  <w:r w:rsidRPr="0061109F">
                    <w:rPr>
                      <w:b/>
                      <w:color w:val="auto"/>
                      <w:sz w:val="20"/>
                      <w:szCs w:val="20"/>
                    </w:rPr>
                    <w:t>.</w:t>
                  </w:r>
                  <w:r w:rsidRPr="0061109F">
                    <w:rPr>
                      <w:b/>
                      <w:i w:val="0"/>
                      <w:color w:val="auto"/>
                      <w:sz w:val="20"/>
                      <w:szCs w:val="20"/>
                      <w:lang w:val="en-CA"/>
                    </w:rPr>
                    <w:t>69), p</w:t>
                  </w:r>
                  <w:r w:rsidR="00B2363A" w:rsidRPr="0061109F">
                    <w:rPr>
                      <w:b/>
                      <w:i w:val="0"/>
                      <w:color w:val="auto"/>
                      <w:sz w:val="20"/>
                      <w:szCs w:val="20"/>
                      <w:lang w:val="en-CA"/>
                    </w:rPr>
                    <w:t>=4.2x10</w:t>
                  </w:r>
                  <w:r w:rsidR="00B2363A" w:rsidRPr="0061109F">
                    <w:rPr>
                      <w:b/>
                      <w:i w:val="0"/>
                      <w:color w:val="auto"/>
                      <w:sz w:val="20"/>
                      <w:szCs w:val="20"/>
                      <w:vertAlign w:val="superscript"/>
                      <w:lang w:val="en-CA"/>
                    </w:rPr>
                    <w:t>-8</w:t>
                  </w:r>
                </w:p>
              </w:tc>
            </w:tr>
          </w:tbl>
          <w:p w14:paraId="7D5580A3" w14:textId="77777777" w:rsidR="00BC31CA" w:rsidRPr="0061109F" w:rsidRDefault="00BC31CA" w:rsidP="00BC31CA">
            <w:pPr>
              <w:spacing w:line="480" w:lineRule="auto"/>
              <w:jc w:val="center"/>
              <w:rPr>
                <w:rFonts w:ascii="Calibri" w:hAnsi="Calibri" w:cs="Calibri"/>
                <w:b/>
                <w:sz w:val="20"/>
                <w:szCs w:val="20"/>
              </w:rPr>
            </w:pPr>
          </w:p>
        </w:tc>
        <w:tc>
          <w:tcPr>
            <w:tcW w:w="962" w:type="pct"/>
            <w:vAlign w:val="center"/>
          </w:tcPr>
          <w:p w14:paraId="5ADE5D89" w14:textId="6D092A59" w:rsidR="00BC31CA" w:rsidRPr="0061109F" w:rsidRDefault="00BC31CA" w:rsidP="00BC31CA">
            <w:pPr>
              <w:spacing w:line="480" w:lineRule="auto"/>
              <w:jc w:val="center"/>
              <w:rPr>
                <w:rFonts w:ascii="Calibri" w:hAnsi="Calibri" w:cs="Calibri"/>
                <w:sz w:val="20"/>
                <w:szCs w:val="20"/>
              </w:rPr>
            </w:pPr>
            <w:r w:rsidRPr="0061109F">
              <w:rPr>
                <w:rFonts w:ascii="Calibri" w:hAnsi="Calibri" w:cs="Calibri"/>
                <w:sz w:val="20"/>
                <w:szCs w:val="20"/>
              </w:rPr>
              <w:t xml:space="preserve">1.53 (1.18-1.99), </w:t>
            </w:r>
            <w:r w:rsidR="00767815" w:rsidRPr="0061109F">
              <w:rPr>
                <w:rFonts w:ascii="Calibri" w:hAnsi="Calibri" w:cs="Calibri"/>
                <w:sz w:val="20"/>
                <w:szCs w:val="20"/>
              </w:rPr>
              <w:t>p=</w:t>
            </w:r>
            <w:r w:rsidRPr="0061109F">
              <w:rPr>
                <w:rFonts w:ascii="Calibri" w:hAnsi="Calibri" w:cs="Calibri"/>
                <w:sz w:val="20"/>
                <w:szCs w:val="20"/>
              </w:rPr>
              <w:t>0.00</w:t>
            </w:r>
            <w:r w:rsidR="003A017D" w:rsidRPr="0061109F">
              <w:rPr>
                <w:rFonts w:ascii="Calibri" w:hAnsi="Calibri" w:cs="Calibri"/>
                <w:sz w:val="20"/>
                <w:szCs w:val="20"/>
              </w:rPr>
              <w:t>15</w:t>
            </w:r>
          </w:p>
        </w:tc>
      </w:tr>
      <w:tr w:rsidR="0061109F" w:rsidRPr="0061109F" w14:paraId="687BC6A3" w14:textId="77777777" w:rsidTr="00C224E6">
        <w:tc>
          <w:tcPr>
            <w:tcW w:w="1775" w:type="pct"/>
            <w:vAlign w:val="center"/>
          </w:tcPr>
          <w:p w14:paraId="527442A0" w14:textId="7031DD2C" w:rsidR="00BC31CA" w:rsidRPr="0061109F" w:rsidRDefault="00BC31CA" w:rsidP="00BC31CA">
            <w:pPr>
              <w:pStyle w:val="Heading4"/>
              <w:spacing w:line="480" w:lineRule="auto"/>
              <w:rPr>
                <w:i w:val="0"/>
                <w:color w:val="auto"/>
                <w:sz w:val="20"/>
                <w:szCs w:val="20"/>
              </w:rPr>
            </w:pPr>
            <w:r w:rsidRPr="0061109F">
              <w:rPr>
                <w:i w:val="0"/>
                <w:color w:val="auto"/>
                <w:sz w:val="20"/>
                <w:szCs w:val="20"/>
              </w:rPr>
              <w:t>Clonal hematopoiesis with unknown driver</w:t>
            </w:r>
          </w:p>
        </w:tc>
        <w:tc>
          <w:tcPr>
            <w:tcW w:w="595" w:type="pct"/>
            <w:vAlign w:val="center"/>
          </w:tcPr>
          <w:p w14:paraId="512CD861" w14:textId="5018D819" w:rsidR="00BC31CA" w:rsidRPr="0061109F" w:rsidRDefault="00BC31CA" w:rsidP="00BC31CA">
            <w:pPr>
              <w:pStyle w:val="Heading4"/>
              <w:spacing w:line="480" w:lineRule="auto"/>
              <w:jc w:val="center"/>
              <w:rPr>
                <w:i w:val="0"/>
                <w:color w:val="auto"/>
                <w:sz w:val="20"/>
                <w:szCs w:val="20"/>
                <w:lang w:val="en-CA"/>
              </w:rPr>
            </w:pPr>
            <w:r w:rsidRPr="0061109F">
              <w:rPr>
                <w:i w:val="0"/>
                <w:color w:val="auto"/>
                <w:sz w:val="20"/>
                <w:szCs w:val="20"/>
                <w:lang w:val="en-CA"/>
              </w:rPr>
              <w:t>35 (2</w:t>
            </w:r>
            <w:r w:rsidRPr="0061109F">
              <w:rPr>
                <w:color w:val="auto"/>
                <w:sz w:val="20"/>
                <w:szCs w:val="20"/>
              </w:rPr>
              <w:t>.</w:t>
            </w:r>
            <w:r w:rsidRPr="0061109F">
              <w:rPr>
                <w:i w:val="0"/>
                <w:color w:val="auto"/>
                <w:sz w:val="20"/>
                <w:szCs w:val="20"/>
                <w:lang w:val="en-CA"/>
              </w:rPr>
              <w:t>7%)</w:t>
            </w:r>
          </w:p>
        </w:tc>
        <w:tc>
          <w:tcPr>
            <w:tcW w:w="706" w:type="pct"/>
            <w:vAlign w:val="center"/>
          </w:tcPr>
          <w:p w14:paraId="4075DC6D" w14:textId="4B33CEB9" w:rsidR="00BC31CA" w:rsidRPr="0061109F" w:rsidRDefault="00BC31CA" w:rsidP="00BC31CA">
            <w:pPr>
              <w:pStyle w:val="Heading4"/>
              <w:spacing w:line="480" w:lineRule="auto"/>
              <w:jc w:val="center"/>
              <w:rPr>
                <w:i w:val="0"/>
                <w:color w:val="auto"/>
                <w:sz w:val="20"/>
                <w:szCs w:val="20"/>
                <w:lang w:val="en-CA"/>
              </w:rPr>
            </w:pPr>
            <w:r w:rsidRPr="0061109F">
              <w:rPr>
                <w:i w:val="0"/>
                <w:color w:val="auto"/>
                <w:sz w:val="20"/>
                <w:szCs w:val="20"/>
                <w:lang w:val="en-CA"/>
              </w:rPr>
              <w:t>31 (0</w:t>
            </w:r>
            <w:r w:rsidRPr="0061109F">
              <w:rPr>
                <w:color w:val="auto"/>
                <w:sz w:val="20"/>
                <w:szCs w:val="20"/>
              </w:rPr>
              <w:t>.</w:t>
            </w:r>
            <w:r w:rsidRPr="0061109F">
              <w:rPr>
                <w:i w:val="0"/>
                <w:color w:val="auto"/>
                <w:sz w:val="20"/>
                <w:szCs w:val="20"/>
                <w:lang w:val="en-CA"/>
              </w:rPr>
              <w:t>9%)</w:t>
            </w:r>
          </w:p>
        </w:tc>
        <w:tc>
          <w:tcPr>
            <w:tcW w:w="962" w:type="pct"/>
            <w:vAlign w:val="center"/>
          </w:tcPr>
          <w:p w14:paraId="0EAFE62C" w14:textId="7CFAB542" w:rsidR="00BC31CA" w:rsidRPr="0061109F" w:rsidRDefault="00BC31CA" w:rsidP="00BC31CA">
            <w:pPr>
              <w:spacing w:line="480" w:lineRule="auto"/>
              <w:jc w:val="center"/>
              <w:rPr>
                <w:rFonts w:ascii="Calibri" w:hAnsi="Calibri" w:cs="Calibri"/>
                <w:b/>
                <w:sz w:val="20"/>
                <w:szCs w:val="20"/>
              </w:rPr>
            </w:pPr>
            <w:r w:rsidRPr="0061109F">
              <w:rPr>
                <w:rFonts w:ascii="Calibri" w:hAnsi="Calibri" w:cs="Calibri"/>
                <w:b/>
                <w:sz w:val="20"/>
                <w:szCs w:val="20"/>
              </w:rPr>
              <w:t>2.55 (1.83-3.58), p</w:t>
            </w:r>
            <w:r w:rsidR="00B2363A" w:rsidRPr="0061109F">
              <w:rPr>
                <w:rFonts w:ascii="Calibri" w:hAnsi="Calibri" w:cs="Calibri"/>
                <w:b/>
                <w:sz w:val="20"/>
                <w:szCs w:val="20"/>
              </w:rPr>
              <w:t>=8.9x10</w:t>
            </w:r>
            <w:r w:rsidR="00B2363A" w:rsidRPr="0061109F">
              <w:rPr>
                <w:rFonts w:ascii="Calibri" w:hAnsi="Calibri" w:cs="Calibri"/>
                <w:b/>
                <w:sz w:val="20"/>
                <w:szCs w:val="20"/>
                <w:vertAlign w:val="superscript"/>
              </w:rPr>
              <w:t>-8</w:t>
            </w:r>
          </w:p>
        </w:tc>
        <w:tc>
          <w:tcPr>
            <w:tcW w:w="962" w:type="pct"/>
            <w:vAlign w:val="center"/>
          </w:tcPr>
          <w:p w14:paraId="0DFAC59D" w14:textId="13AA87C1" w:rsidR="00BC31CA" w:rsidRPr="0061109F" w:rsidRDefault="00BC31CA" w:rsidP="00BC31CA">
            <w:pPr>
              <w:spacing w:line="480" w:lineRule="auto"/>
              <w:jc w:val="center"/>
              <w:rPr>
                <w:rFonts w:ascii="Calibri" w:hAnsi="Calibri" w:cs="Calibri"/>
                <w:b/>
                <w:sz w:val="20"/>
                <w:szCs w:val="20"/>
              </w:rPr>
            </w:pPr>
            <w:r w:rsidRPr="0061109F">
              <w:rPr>
                <w:rFonts w:ascii="Calibri" w:hAnsi="Calibri" w:cs="Calibri"/>
                <w:b/>
                <w:sz w:val="20"/>
                <w:szCs w:val="20"/>
              </w:rPr>
              <w:t xml:space="preserve">1.77 (1.26-2.49), </w:t>
            </w:r>
            <w:r w:rsidR="00767815" w:rsidRPr="0061109F">
              <w:rPr>
                <w:rFonts w:ascii="Calibri" w:hAnsi="Calibri" w:cs="Calibri"/>
                <w:b/>
                <w:sz w:val="20"/>
                <w:szCs w:val="20"/>
              </w:rPr>
              <w:t>p=</w:t>
            </w:r>
            <w:r w:rsidRPr="0061109F">
              <w:rPr>
                <w:rFonts w:ascii="Calibri" w:hAnsi="Calibri" w:cs="Calibri"/>
                <w:b/>
                <w:sz w:val="20"/>
                <w:szCs w:val="20"/>
              </w:rPr>
              <w:t>0.00</w:t>
            </w:r>
            <w:r w:rsidR="001A7B25" w:rsidRPr="0061109F">
              <w:rPr>
                <w:rFonts w:ascii="Calibri" w:hAnsi="Calibri" w:cs="Calibri"/>
                <w:b/>
                <w:sz w:val="20"/>
                <w:szCs w:val="20"/>
              </w:rPr>
              <w:t>09</w:t>
            </w:r>
          </w:p>
        </w:tc>
      </w:tr>
    </w:tbl>
    <w:p w14:paraId="6F805AAA" w14:textId="2BF0734A" w:rsidR="000B086A" w:rsidRPr="0061109F" w:rsidRDefault="000B086A" w:rsidP="000B086A">
      <w:pPr>
        <w:spacing w:line="480" w:lineRule="auto"/>
        <w:rPr>
          <w:rFonts w:ascii="Calibri" w:hAnsi="Calibri" w:cs="Calibri"/>
          <w:sz w:val="22"/>
          <w:szCs w:val="22"/>
          <w:lang w:val="en-GB"/>
        </w:rPr>
      </w:pPr>
      <w:r w:rsidRPr="0061109F">
        <w:rPr>
          <w:rFonts w:ascii="Calibri" w:hAnsi="Calibri" w:cs="Calibri"/>
          <w:sz w:val="22"/>
          <w:szCs w:val="22"/>
        </w:rPr>
        <w:t>Hazard Ratios (95% confidence interval) are presented. Bolding indicates effect was statistically significant at</w:t>
      </w:r>
      <w:r w:rsidR="00F447AC" w:rsidRPr="0061109F">
        <w:rPr>
          <w:rFonts w:ascii="Calibri" w:hAnsi="Calibri" w:cs="Calibri"/>
          <w:sz w:val="22"/>
          <w:szCs w:val="22"/>
        </w:rPr>
        <w:t xml:space="preserve"> p</w:t>
      </w:r>
      <w:r w:rsidRPr="0061109F">
        <w:rPr>
          <w:rFonts w:ascii="Calibri" w:hAnsi="Calibri" w:cs="Calibri"/>
          <w:sz w:val="22"/>
          <w:szCs w:val="22"/>
        </w:rPr>
        <w:t>≤0.00</w:t>
      </w:r>
      <w:r w:rsidR="00F447AC" w:rsidRPr="0061109F">
        <w:rPr>
          <w:rFonts w:ascii="Calibri" w:hAnsi="Calibri" w:cs="Calibri"/>
          <w:sz w:val="22"/>
          <w:szCs w:val="22"/>
        </w:rPr>
        <w:t>11</w:t>
      </w:r>
      <w:r w:rsidRPr="0061109F">
        <w:rPr>
          <w:rFonts w:ascii="Calibri" w:hAnsi="Calibri" w:cs="Calibri"/>
          <w:sz w:val="22"/>
          <w:szCs w:val="22"/>
        </w:rPr>
        <w:t>. Adjusted model includes the exposure,</w:t>
      </w:r>
      <w:r w:rsidR="002D4FE3" w:rsidRPr="0061109F">
        <w:rPr>
          <w:rFonts w:ascii="Calibri" w:hAnsi="Calibri" w:cs="Calibri"/>
          <w:sz w:val="22"/>
          <w:szCs w:val="22"/>
        </w:rPr>
        <w:t xml:space="preserve"> and</w:t>
      </w:r>
      <w:r w:rsidR="000E2570" w:rsidRPr="0061109F">
        <w:rPr>
          <w:rFonts w:ascii="Calibri" w:hAnsi="Calibri" w:cs="Calibri"/>
          <w:sz w:val="22"/>
          <w:szCs w:val="22"/>
          <w:vertAlign w:val="superscript"/>
        </w:rPr>
        <w:t xml:space="preserve"> </w:t>
      </w:r>
      <w:r w:rsidR="000E2570" w:rsidRPr="0061109F">
        <w:rPr>
          <w:rFonts w:ascii="Calibri" w:hAnsi="Calibri" w:cs="Calibri"/>
          <w:sz w:val="22"/>
          <w:szCs w:val="22"/>
        </w:rPr>
        <w:t>age</w:t>
      </w:r>
      <w:r w:rsidR="002D4FE3" w:rsidRPr="0061109F">
        <w:rPr>
          <w:rFonts w:ascii="Calibri" w:hAnsi="Calibri" w:cs="Calibri"/>
          <w:sz w:val="22"/>
          <w:szCs w:val="22"/>
        </w:rPr>
        <w:t>, sex, and first 5 ancestry principle components</w:t>
      </w:r>
      <w:r w:rsidRPr="0061109F">
        <w:rPr>
          <w:rFonts w:ascii="Calibri" w:hAnsi="Calibri" w:cs="Calibri"/>
          <w:sz w:val="22"/>
          <w:szCs w:val="22"/>
        </w:rPr>
        <w:t>.</w:t>
      </w:r>
    </w:p>
    <w:p w14:paraId="2A232AD6" w14:textId="77777777" w:rsidR="000B086A" w:rsidRPr="0061109F" w:rsidRDefault="000B086A" w:rsidP="000B086A">
      <w:pPr>
        <w:spacing w:line="480" w:lineRule="auto"/>
        <w:rPr>
          <w:rFonts w:ascii="Calibri" w:hAnsi="Calibri" w:cs="Calibri"/>
          <w:sz w:val="22"/>
          <w:szCs w:val="22"/>
          <w:lang w:val="en-GB"/>
        </w:rPr>
      </w:pPr>
      <w:r w:rsidRPr="0061109F">
        <w:rPr>
          <w:rFonts w:ascii="Calibri" w:hAnsi="Calibri" w:cs="Calibri"/>
          <w:sz w:val="22"/>
          <w:szCs w:val="22"/>
          <w:lang w:val="en-GB"/>
        </w:rPr>
        <w:br w:type="page"/>
      </w:r>
    </w:p>
    <w:p w14:paraId="222F2FFB" w14:textId="69CA59B2" w:rsidR="000B086A" w:rsidRPr="0061109F" w:rsidRDefault="00832826" w:rsidP="000B086A">
      <w:pPr>
        <w:pStyle w:val="Heading4"/>
        <w:spacing w:line="480" w:lineRule="auto"/>
        <w:rPr>
          <w:b/>
          <w:i w:val="0"/>
          <w:color w:val="auto"/>
          <w:sz w:val="22"/>
          <w:szCs w:val="22"/>
        </w:rPr>
      </w:pPr>
      <w:r w:rsidRPr="0061109F">
        <w:rPr>
          <w:b/>
          <w:i w:val="0"/>
          <w:color w:val="auto"/>
          <w:sz w:val="22"/>
          <w:szCs w:val="22"/>
        </w:rPr>
        <w:lastRenderedPageBreak/>
        <w:t xml:space="preserve">Supplementary </w:t>
      </w:r>
      <w:r w:rsidR="000B086A" w:rsidRPr="0061109F">
        <w:rPr>
          <w:b/>
          <w:i w:val="0"/>
          <w:color w:val="auto"/>
          <w:sz w:val="22"/>
          <w:szCs w:val="22"/>
        </w:rPr>
        <w:t xml:space="preserve">Table 6: </w:t>
      </w:r>
      <w:r w:rsidR="000B086A" w:rsidRPr="0061109F">
        <w:rPr>
          <w:i w:val="0"/>
          <w:color w:val="auto"/>
          <w:sz w:val="22"/>
          <w:szCs w:val="22"/>
        </w:rPr>
        <w:t>Cox Proportional Hazards modelling of rare mutation measures in association with specific causes of death in Swedish cases of schizophrenia</w:t>
      </w:r>
      <w:r w:rsidR="00D75530" w:rsidRPr="0061109F">
        <w:rPr>
          <w:i w:val="0"/>
          <w:color w:val="auto"/>
          <w:sz w:val="22"/>
          <w:szCs w:val="22"/>
        </w:rPr>
        <w:t xml:space="preserve"> in the genetic subsample</w:t>
      </w:r>
      <w:r w:rsidR="000B086A" w:rsidRPr="0061109F">
        <w:rPr>
          <w:i w:val="0"/>
          <w:color w:val="auto"/>
          <w:sz w:val="22"/>
          <w:szCs w:val="22"/>
        </w:rPr>
        <w:t>.</w:t>
      </w:r>
    </w:p>
    <w:tbl>
      <w:tblPr>
        <w:tblW w:w="9239" w:type="dxa"/>
        <w:tblInd w:w="-30" w:type="dxa"/>
        <w:tblLayout w:type="fixed"/>
        <w:tblLook w:val="0000" w:firstRow="0" w:lastRow="0" w:firstColumn="0" w:lastColumn="0" w:noHBand="0" w:noVBand="0"/>
      </w:tblPr>
      <w:tblGrid>
        <w:gridCol w:w="1726"/>
        <w:gridCol w:w="1134"/>
        <w:gridCol w:w="1418"/>
        <w:gridCol w:w="1559"/>
        <w:gridCol w:w="1701"/>
        <w:gridCol w:w="1701"/>
      </w:tblGrid>
      <w:tr w:rsidR="0061109F" w:rsidRPr="0061109F" w14:paraId="2B95E0AA" w14:textId="77777777" w:rsidTr="000B086A">
        <w:trPr>
          <w:trHeight w:val="585"/>
        </w:trPr>
        <w:tc>
          <w:tcPr>
            <w:tcW w:w="1726" w:type="dxa"/>
            <w:tcBorders>
              <w:top w:val="single" w:sz="4" w:space="0" w:color="auto"/>
              <w:left w:val="single" w:sz="4" w:space="0" w:color="auto"/>
              <w:bottom w:val="single" w:sz="4" w:space="0" w:color="auto"/>
              <w:right w:val="nil"/>
            </w:tcBorders>
          </w:tcPr>
          <w:p w14:paraId="07507AAB" w14:textId="77777777" w:rsidR="000B086A" w:rsidRPr="0061109F" w:rsidRDefault="000B086A" w:rsidP="000B086A">
            <w:pPr>
              <w:autoSpaceDE w:val="0"/>
              <w:autoSpaceDN w:val="0"/>
              <w:adjustRightInd w:val="0"/>
              <w:spacing w:line="480" w:lineRule="auto"/>
              <w:jc w:val="right"/>
              <w:rPr>
                <w:rFonts w:ascii="Calibri" w:hAnsi="Calibri" w:cs="Calibri"/>
                <w:b/>
                <w:bCs/>
                <w:i/>
                <w:sz w:val="20"/>
                <w:szCs w:val="20"/>
              </w:rPr>
            </w:pPr>
          </w:p>
        </w:tc>
        <w:tc>
          <w:tcPr>
            <w:tcW w:w="1134" w:type="dxa"/>
            <w:tcBorders>
              <w:top w:val="single" w:sz="4" w:space="0" w:color="auto"/>
              <w:left w:val="nil"/>
              <w:bottom w:val="single" w:sz="4" w:space="0" w:color="auto"/>
              <w:right w:val="single" w:sz="4" w:space="0" w:color="auto"/>
            </w:tcBorders>
          </w:tcPr>
          <w:p w14:paraId="357E945D" w14:textId="77777777" w:rsidR="000B086A" w:rsidRPr="0061109F" w:rsidRDefault="000B086A" w:rsidP="000B086A">
            <w:pPr>
              <w:autoSpaceDE w:val="0"/>
              <w:autoSpaceDN w:val="0"/>
              <w:adjustRightInd w:val="0"/>
              <w:spacing w:line="480" w:lineRule="auto"/>
              <w:rPr>
                <w:rFonts w:ascii="Calibri" w:hAnsi="Calibri" w:cs="Calibri"/>
                <w:i/>
                <w:sz w:val="20"/>
                <w:szCs w:val="20"/>
              </w:rPr>
            </w:pPr>
          </w:p>
        </w:tc>
        <w:tc>
          <w:tcPr>
            <w:tcW w:w="1418" w:type="dxa"/>
            <w:tcBorders>
              <w:top w:val="single" w:sz="4" w:space="0" w:color="auto"/>
              <w:left w:val="single" w:sz="4" w:space="0" w:color="auto"/>
              <w:bottom w:val="single" w:sz="4" w:space="0" w:color="auto"/>
              <w:right w:val="single" w:sz="4" w:space="0" w:color="auto"/>
            </w:tcBorders>
          </w:tcPr>
          <w:p w14:paraId="540E8DFF" w14:textId="77777777" w:rsidR="000B086A" w:rsidRPr="0061109F" w:rsidRDefault="000B086A" w:rsidP="000B086A">
            <w:pPr>
              <w:autoSpaceDE w:val="0"/>
              <w:autoSpaceDN w:val="0"/>
              <w:adjustRightInd w:val="0"/>
              <w:spacing w:line="480" w:lineRule="auto"/>
              <w:jc w:val="right"/>
              <w:rPr>
                <w:rFonts w:ascii="Calibri" w:hAnsi="Calibri" w:cs="Calibri"/>
                <w:i/>
                <w:sz w:val="20"/>
                <w:szCs w:val="20"/>
              </w:rPr>
            </w:pP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4D6A6426" w14:textId="77777777" w:rsidR="000B086A" w:rsidRPr="0061109F" w:rsidRDefault="000B086A" w:rsidP="000B086A">
            <w:pPr>
              <w:autoSpaceDE w:val="0"/>
              <w:autoSpaceDN w:val="0"/>
              <w:adjustRightInd w:val="0"/>
              <w:spacing w:line="480" w:lineRule="auto"/>
              <w:jc w:val="center"/>
              <w:rPr>
                <w:rFonts w:ascii="Calibri" w:hAnsi="Calibri" w:cs="Calibri"/>
                <w:b/>
                <w:bCs/>
                <w:i/>
                <w:sz w:val="20"/>
                <w:szCs w:val="20"/>
              </w:rPr>
            </w:pPr>
            <w:r w:rsidRPr="0061109F">
              <w:rPr>
                <w:rFonts w:ascii="Calibri" w:hAnsi="Calibri" w:cs="Calibri"/>
                <w:b/>
                <w:bCs/>
                <w:i/>
                <w:sz w:val="20"/>
                <w:szCs w:val="20"/>
              </w:rPr>
              <w:t xml:space="preserve">Model 1: </w:t>
            </w:r>
          </w:p>
          <w:p w14:paraId="0590F0F5" w14:textId="7E082371" w:rsidR="000B086A" w:rsidRPr="0061109F" w:rsidRDefault="000B086A" w:rsidP="000B086A">
            <w:pPr>
              <w:autoSpaceDE w:val="0"/>
              <w:autoSpaceDN w:val="0"/>
              <w:adjustRightInd w:val="0"/>
              <w:spacing w:line="480" w:lineRule="auto"/>
              <w:jc w:val="center"/>
              <w:rPr>
                <w:rFonts w:ascii="Calibri" w:hAnsi="Calibri" w:cs="Calibri"/>
                <w:b/>
                <w:bCs/>
                <w:i/>
                <w:sz w:val="20"/>
                <w:szCs w:val="20"/>
              </w:rPr>
            </w:pPr>
            <w:r w:rsidRPr="0061109F">
              <w:rPr>
                <w:rFonts w:ascii="Calibri" w:hAnsi="Calibri" w:cs="Calibri"/>
                <w:b/>
                <w:bCs/>
                <w:i/>
                <w:sz w:val="20"/>
                <w:szCs w:val="20"/>
              </w:rPr>
              <w:t>Copy number variant (CNV) burden</w:t>
            </w:r>
          </w:p>
        </w:tc>
        <w:tc>
          <w:tcPr>
            <w:tcW w:w="1701" w:type="dxa"/>
            <w:tcBorders>
              <w:top w:val="single" w:sz="4" w:space="0" w:color="auto"/>
              <w:left w:val="single" w:sz="4" w:space="0" w:color="auto"/>
              <w:bottom w:val="single" w:sz="4" w:space="0" w:color="auto"/>
              <w:right w:val="single" w:sz="4" w:space="0" w:color="auto"/>
            </w:tcBorders>
            <w:vAlign w:val="center"/>
          </w:tcPr>
          <w:p w14:paraId="247890BE" w14:textId="77777777" w:rsidR="000B086A" w:rsidRPr="0061109F" w:rsidRDefault="000B086A" w:rsidP="000B086A">
            <w:pPr>
              <w:autoSpaceDE w:val="0"/>
              <w:autoSpaceDN w:val="0"/>
              <w:adjustRightInd w:val="0"/>
              <w:spacing w:line="480" w:lineRule="auto"/>
              <w:jc w:val="center"/>
              <w:rPr>
                <w:rFonts w:ascii="Calibri" w:hAnsi="Calibri" w:cs="Calibri"/>
                <w:b/>
                <w:bCs/>
                <w:i/>
                <w:sz w:val="20"/>
                <w:szCs w:val="20"/>
              </w:rPr>
            </w:pPr>
            <w:r w:rsidRPr="0061109F">
              <w:rPr>
                <w:rFonts w:ascii="Calibri" w:hAnsi="Calibri" w:cs="Calibri"/>
                <w:b/>
                <w:bCs/>
                <w:i/>
                <w:sz w:val="20"/>
                <w:szCs w:val="20"/>
              </w:rPr>
              <w:t xml:space="preserve">Model 2: </w:t>
            </w:r>
          </w:p>
          <w:p w14:paraId="4055832B" w14:textId="55FCE52D" w:rsidR="000B086A" w:rsidRPr="0061109F" w:rsidRDefault="000B086A" w:rsidP="000B086A">
            <w:pPr>
              <w:autoSpaceDE w:val="0"/>
              <w:autoSpaceDN w:val="0"/>
              <w:adjustRightInd w:val="0"/>
              <w:spacing w:line="480" w:lineRule="auto"/>
              <w:jc w:val="center"/>
              <w:rPr>
                <w:rFonts w:ascii="Calibri" w:hAnsi="Calibri" w:cs="Calibri"/>
                <w:b/>
                <w:bCs/>
                <w:i/>
                <w:sz w:val="20"/>
                <w:szCs w:val="20"/>
              </w:rPr>
            </w:pPr>
            <w:r w:rsidRPr="0061109F">
              <w:rPr>
                <w:rFonts w:ascii="Calibri" w:hAnsi="Calibri" w:cs="Calibri"/>
                <w:b/>
                <w:bCs/>
                <w:i/>
                <w:sz w:val="20"/>
                <w:szCs w:val="20"/>
              </w:rPr>
              <w:t>Rare variant burden</w:t>
            </w:r>
          </w:p>
        </w:tc>
      </w:tr>
      <w:tr w:rsidR="0061109F" w:rsidRPr="0061109F" w14:paraId="45ABB4AC" w14:textId="77777777" w:rsidTr="000B086A">
        <w:trPr>
          <w:trHeight w:val="460"/>
        </w:trPr>
        <w:tc>
          <w:tcPr>
            <w:tcW w:w="1726" w:type="dxa"/>
            <w:tcBorders>
              <w:top w:val="single" w:sz="4" w:space="0" w:color="auto"/>
              <w:left w:val="single" w:sz="6" w:space="0" w:color="auto"/>
              <w:bottom w:val="single" w:sz="6" w:space="0" w:color="auto"/>
              <w:right w:val="single" w:sz="6" w:space="0" w:color="auto"/>
            </w:tcBorders>
            <w:vAlign w:val="center"/>
          </w:tcPr>
          <w:p w14:paraId="2FD89DA5" w14:textId="77777777" w:rsidR="000B086A" w:rsidRPr="0061109F" w:rsidRDefault="000B086A" w:rsidP="000B086A">
            <w:pPr>
              <w:autoSpaceDE w:val="0"/>
              <w:autoSpaceDN w:val="0"/>
              <w:adjustRightInd w:val="0"/>
              <w:spacing w:line="480" w:lineRule="auto"/>
              <w:rPr>
                <w:rFonts w:ascii="Calibri" w:hAnsi="Calibri" w:cs="Calibri"/>
                <w:b/>
                <w:i/>
                <w:sz w:val="20"/>
                <w:szCs w:val="20"/>
              </w:rPr>
            </w:pPr>
            <w:r w:rsidRPr="0061109F">
              <w:rPr>
                <w:rFonts w:ascii="Calibri" w:hAnsi="Calibri" w:cs="Calibri"/>
                <w:b/>
                <w:i/>
                <w:sz w:val="20"/>
                <w:szCs w:val="20"/>
              </w:rPr>
              <w:t>Specific Cause of Death</w:t>
            </w:r>
          </w:p>
        </w:tc>
        <w:tc>
          <w:tcPr>
            <w:tcW w:w="1134" w:type="dxa"/>
            <w:tcBorders>
              <w:top w:val="single" w:sz="4" w:space="0" w:color="auto"/>
              <w:left w:val="single" w:sz="6" w:space="0" w:color="auto"/>
              <w:bottom w:val="single" w:sz="6" w:space="0" w:color="auto"/>
              <w:right w:val="single" w:sz="6" w:space="0" w:color="auto"/>
            </w:tcBorders>
            <w:vAlign w:val="center"/>
          </w:tcPr>
          <w:p w14:paraId="24248C26" w14:textId="77777777" w:rsidR="000B086A" w:rsidRPr="0061109F" w:rsidRDefault="000B086A" w:rsidP="000B086A">
            <w:pPr>
              <w:autoSpaceDE w:val="0"/>
              <w:autoSpaceDN w:val="0"/>
              <w:adjustRightInd w:val="0"/>
              <w:spacing w:line="480" w:lineRule="auto"/>
              <w:jc w:val="center"/>
              <w:rPr>
                <w:rFonts w:ascii="Calibri" w:hAnsi="Calibri" w:cs="Calibri"/>
                <w:b/>
                <w:bCs/>
                <w:i/>
                <w:sz w:val="20"/>
                <w:szCs w:val="20"/>
              </w:rPr>
            </w:pPr>
            <w:r w:rsidRPr="0061109F">
              <w:rPr>
                <w:rFonts w:ascii="Calibri" w:hAnsi="Calibri" w:cs="Calibri"/>
                <w:b/>
                <w:bCs/>
                <w:i/>
                <w:sz w:val="20"/>
                <w:szCs w:val="20"/>
              </w:rPr>
              <w:t>Died from specific cause, n</w:t>
            </w:r>
          </w:p>
        </w:tc>
        <w:tc>
          <w:tcPr>
            <w:tcW w:w="1418" w:type="dxa"/>
            <w:tcBorders>
              <w:top w:val="single" w:sz="4" w:space="0" w:color="auto"/>
              <w:left w:val="single" w:sz="6" w:space="0" w:color="auto"/>
              <w:bottom w:val="single" w:sz="6" w:space="0" w:color="auto"/>
              <w:right w:val="single" w:sz="6" w:space="0" w:color="auto"/>
            </w:tcBorders>
            <w:vAlign w:val="center"/>
          </w:tcPr>
          <w:p w14:paraId="2921530A" w14:textId="77777777" w:rsidR="000B086A" w:rsidRPr="0061109F" w:rsidRDefault="000B086A" w:rsidP="000B086A">
            <w:pPr>
              <w:autoSpaceDE w:val="0"/>
              <w:autoSpaceDN w:val="0"/>
              <w:adjustRightInd w:val="0"/>
              <w:spacing w:line="480" w:lineRule="auto"/>
              <w:jc w:val="center"/>
              <w:rPr>
                <w:rFonts w:ascii="Calibri" w:hAnsi="Calibri" w:cs="Calibri"/>
                <w:b/>
                <w:bCs/>
                <w:i/>
                <w:sz w:val="20"/>
                <w:szCs w:val="20"/>
              </w:rPr>
            </w:pPr>
            <w:r w:rsidRPr="0061109F">
              <w:rPr>
                <w:rFonts w:ascii="Calibri" w:hAnsi="Calibri" w:cs="Calibri"/>
                <w:b/>
                <w:bCs/>
                <w:i/>
                <w:sz w:val="20"/>
                <w:szCs w:val="20"/>
              </w:rPr>
              <w:t>Died from other cause, n</w:t>
            </w:r>
          </w:p>
        </w:tc>
        <w:tc>
          <w:tcPr>
            <w:tcW w:w="1559" w:type="dxa"/>
            <w:tcBorders>
              <w:top w:val="single" w:sz="4" w:space="0" w:color="auto"/>
              <w:left w:val="single" w:sz="6" w:space="0" w:color="auto"/>
              <w:bottom w:val="single" w:sz="6" w:space="0" w:color="auto"/>
              <w:right w:val="single" w:sz="6" w:space="0" w:color="auto"/>
            </w:tcBorders>
            <w:vAlign w:val="center"/>
          </w:tcPr>
          <w:p w14:paraId="7E7B7A2D" w14:textId="77777777" w:rsidR="000B086A" w:rsidRPr="0061109F" w:rsidRDefault="000B086A" w:rsidP="000B086A">
            <w:pPr>
              <w:autoSpaceDE w:val="0"/>
              <w:autoSpaceDN w:val="0"/>
              <w:adjustRightInd w:val="0"/>
              <w:spacing w:line="480" w:lineRule="auto"/>
              <w:jc w:val="center"/>
              <w:rPr>
                <w:rFonts w:ascii="Calibri" w:hAnsi="Calibri" w:cs="Calibri"/>
                <w:b/>
                <w:bCs/>
                <w:i/>
                <w:sz w:val="20"/>
                <w:szCs w:val="20"/>
              </w:rPr>
            </w:pPr>
            <w:r w:rsidRPr="0061109F">
              <w:rPr>
                <w:rFonts w:ascii="Calibri" w:hAnsi="Calibri" w:cs="Calibri"/>
                <w:b/>
                <w:bCs/>
                <w:i/>
                <w:sz w:val="20"/>
                <w:szCs w:val="20"/>
              </w:rPr>
              <w:t>CNV size</w:t>
            </w:r>
          </w:p>
        </w:tc>
        <w:tc>
          <w:tcPr>
            <w:tcW w:w="1701" w:type="dxa"/>
            <w:tcBorders>
              <w:top w:val="single" w:sz="4" w:space="0" w:color="auto"/>
              <w:left w:val="single" w:sz="6" w:space="0" w:color="auto"/>
              <w:bottom w:val="single" w:sz="6" w:space="0" w:color="auto"/>
              <w:right w:val="single" w:sz="6" w:space="0" w:color="auto"/>
            </w:tcBorders>
            <w:vAlign w:val="center"/>
          </w:tcPr>
          <w:p w14:paraId="620AFE7E" w14:textId="77777777" w:rsidR="000B086A" w:rsidRPr="0061109F" w:rsidRDefault="000B086A" w:rsidP="000B086A">
            <w:pPr>
              <w:autoSpaceDE w:val="0"/>
              <w:autoSpaceDN w:val="0"/>
              <w:adjustRightInd w:val="0"/>
              <w:spacing w:line="480" w:lineRule="auto"/>
              <w:jc w:val="center"/>
              <w:rPr>
                <w:rFonts w:ascii="Calibri" w:hAnsi="Calibri" w:cs="Calibri"/>
                <w:b/>
                <w:bCs/>
                <w:i/>
                <w:sz w:val="20"/>
                <w:szCs w:val="20"/>
              </w:rPr>
            </w:pPr>
            <w:r w:rsidRPr="0061109F">
              <w:rPr>
                <w:rFonts w:ascii="Calibri" w:hAnsi="Calibri" w:cs="Calibri"/>
                <w:b/>
                <w:bCs/>
                <w:i/>
                <w:sz w:val="20"/>
                <w:szCs w:val="20"/>
              </w:rPr>
              <w:t>Number of CNVs</w:t>
            </w:r>
          </w:p>
        </w:tc>
        <w:tc>
          <w:tcPr>
            <w:tcW w:w="1701" w:type="dxa"/>
            <w:tcBorders>
              <w:top w:val="single" w:sz="4" w:space="0" w:color="auto"/>
              <w:left w:val="single" w:sz="6" w:space="0" w:color="auto"/>
              <w:bottom w:val="single" w:sz="6" w:space="0" w:color="auto"/>
              <w:right w:val="single" w:sz="6" w:space="0" w:color="auto"/>
            </w:tcBorders>
            <w:vAlign w:val="center"/>
          </w:tcPr>
          <w:p w14:paraId="5AD20236" w14:textId="77777777" w:rsidR="000B086A" w:rsidRPr="0061109F" w:rsidRDefault="000B086A" w:rsidP="000B086A">
            <w:pPr>
              <w:autoSpaceDE w:val="0"/>
              <w:autoSpaceDN w:val="0"/>
              <w:adjustRightInd w:val="0"/>
              <w:spacing w:line="480" w:lineRule="auto"/>
              <w:jc w:val="center"/>
              <w:rPr>
                <w:rFonts w:ascii="Calibri" w:hAnsi="Calibri" w:cs="Calibri"/>
                <w:b/>
                <w:bCs/>
                <w:i/>
                <w:sz w:val="20"/>
                <w:szCs w:val="20"/>
              </w:rPr>
            </w:pPr>
            <w:r w:rsidRPr="0061109F">
              <w:rPr>
                <w:rFonts w:ascii="Calibri" w:hAnsi="Calibri" w:cs="Calibri"/>
                <w:b/>
                <w:bCs/>
                <w:i/>
                <w:sz w:val="20"/>
                <w:szCs w:val="20"/>
              </w:rPr>
              <w:t>ddURVs</w:t>
            </w:r>
          </w:p>
        </w:tc>
      </w:tr>
      <w:tr w:rsidR="0061109F" w:rsidRPr="0061109F" w14:paraId="1642BED3" w14:textId="77777777" w:rsidTr="000B086A">
        <w:trPr>
          <w:trHeight w:val="535"/>
        </w:trPr>
        <w:tc>
          <w:tcPr>
            <w:tcW w:w="1726" w:type="dxa"/>
            <w:tcBorders>
              <w:top w:val="single" w:sz="6" w:space="0" w:color="auto"/>
              <w:left w:val="single" w:sz="6" w:space="0" w:color="auto"/>
              <w:bottom w:val="single" w:sz="6" w:space="0" w:color="auto"/>
              <w:right w:val="single" w:sz="6" w:space="0" w:color="auto"/>
            </w:tcBorders>
            <w:vAlign w:val="center"/>
          </w:tcPr>
          <w:p w14:paraId="673F0944" w14:textId="77777777" w:rsidR="000B086A" w:rsidRPr="0061109F" w:rsidRDefault="000B086A" w:rsidP="000B086A">
            <w:pPr>
              <w:autoSpaceDE w:val="0"/>
              <w:autoSpaceDN w:val="0"/>
              <w:adjustRightInd w:val="0"/>
              <w:spacing w:line="480" w:lineRule="auto"/>
              <w:ind w:left="71"/>
              <w:rPr>
                <w:rFonts w:ascii="Calibri" w:hAnsi="Calibri" w:cs="Calibri"/>
                <w:sz w:val="20"/>
                <w:szCs w:val="20"/>
              </w:rPr>
            </w:pPr>
            <w:r w:rsidRPr="0061109F">
              <w:rPr>
                <w:rFonts w:ascii="Calibri" w:hAnsi="Calibri" w:cs="Calibri"/>
                <w:sz w:val="20"/>
                <w:szCs w:val="20"/>
              </w:rPr>
              <w:t>Any cancer</w:t>
            </w:r>
          </w:p>
        </w:tc>
        <w:tc>
          <w:tcPr>
            <w:tcW w:w="1134" w:type="dxa"/>
            <w:tcBorders>
              <w:top w:val="single" w:sz="6" w:space="0" w:color="auto"/>
              <w:left w:val="single" w:sz="6" w:space="0" w:color="auto"/>
              <w:bottom w:val="single" w:sz="6" w:space="0" w:color="auto"/>
              <w:right w:val="single" w:sz="6" w:space="0" w:color="auto"/>
            </w:tcBorders>
            <w:vAlign w:val="center"/>
          </w:tcPr>
          <w:p w14:paraId="78536D49" w14:textId="77777777" w:rsidR="000B086A" w:rsidRPr="0061109F" w:rsidRDefault="000B086A" w:rsidP="000B086A">
            <w:pPr>
              <w:autoSpaceDE w:val="0"/>
              <w:autoSpaceDN w:val="0"/>
              <w:adjustRightInd w:val="0"/>
              <w:spacing w:line="480" w:lineRule="auto"/>
              <w:jc w:val="center"/>
              <w:rPr>
                <w:rFonts w:ascii="Calibri" w:hAnsi="Calibri" w:cs="Calibri"/>
                <w:sz w:val="20"/>
                <w:szCs w:val="20"/>
              </w:rPr>
            </w:pPr>
            <w:r w:rsidRPr="0061109F">
              <w:rPr>
                <w:rFonts w:ascii="Calibri" w:hAnsi="Calibri" w:cs="Calibri"/>
                <w:sz w:val="20"/>
                <w:szCs w:val="20"/>
              </w:rPr>
              <w:t>205/230</w:t>
            </w:r>
          </w:p>
        </w:tc>
        <w:tc>
          <w:tcPr>
            <w:tcW w:w="1418" w:type="dxa"/>
            <w:tcBorders>
              <w:top w:val="single" w:sz="6" w:space="0" w:color="auto"/>
              <w:left w:val="single" w:sz="6" w:space="0" w:color="auto"/>
              <w:bottom w:val="single" w:sz="6" w:space="0" w:color="auto"/>
              <w:right w:val="single" w:sz="6" w:space="0" w:color="auto"/>
            </w:tcBorders>
            <w:vAlign w:val="center"/>
          </w:tcPr>
          <w:p w14:paraId="339485D4" w14:textId="466F5E00" w:rsidR="000B086A" w:rsidRPr="0061109F" w:rsidRDefault="000B086A" w:rsidP="000B086A">
            <w:pPr>
              <w:autoSpaceDE w:val="0"/>
              <w:autoSpaceDN w:val="0"/>
              <w:adjustRightInd w:val="0"/>
              <w:spacing w:line="480" w:lineRule="auto"/>
              <w:jc w:val="center"/>
              <w:rPr>
                <w:rFonts w:ascii="Calibri" w:hAnsi="Calibri" w:cs="Calibri"/>
                <w:sz w:val="20"/>
                <w:szCs w:val="20"/>
              </w:rPr>
            </w:pPr>
            <w:r w:rsidRPr="0061109F">
              <w:rPr>
                <w:rFonts w:ascii="Calibri" w:hAnsi="Calibri" w:cs="Calibri"/>
                <w:sz w:val="20"/>
                <w:szCs w:val="20"/>
              </w:rPr>
              <w:t>940/1</w:t>
            </w:r>
            <w:r w:rsidR="004F4B6E" w:rsidRPr="0061109F">
              <w:rPr>
                <w:rFonts w:ascii="Calibri" w:hAnsi="Calibri" w:cs="Calibri"/>
                <w:sz w:val="20"/>
                <w:szCs w:val="20"/>
              </w:rPr>
              <w:t>,</w:t>
            </w:r>
            <w:r w:rsidRPr="0061109F">
              <w:rPr>
                <w:rFonts w:ascii="Calibri" w:hAnsi="Calibri" w:cs="Calibri"/>
                <w:sz w:val="20"/>
                <w:szCs w:val="20"/>
              </w:rPr>
              <w:t>031</w:t>
            </w:r>
          </w:p>
        </w:tc>
        <w:tc>
          <w:tcPr>
            <w:tcW w:w="1559" w:type="dxa"/>
            <w:tcBorders>
              <w:top w:val="single" w:sz="6" w:space="0" w:color="auto"/>
              <w:left w:val="single" w:sz="6" w:space="0" w:color="auto"/>
              <w:bottom w:val="single" w:sz="6" w:space="0" w:color="auto"/>
              <w:right w:val="single" w:sz="6" w:space="0" w:color="auto"/>
            </w:tcBorders>
            <w:vAlign w:val="center"/>
          </w:tcPr>
          <w:p w14:paraId="63DED6AD" w14:textId="702A76F7" w:rsidR="000B086A" w:rsidRPr="0061109F" w:rsidRDefault="000B086A" w:rsidP="000B086A">
            <w:pPr>
              <w:autoSpaceDE w:val="0"/>
              <w:autoSpaceDN w:val="0"/>
              <w:adjustRightInd w:val="0"/>
              <w:spacing w:line="480" w:lineRule="auto"/>
              <w:jc w:val="center"/>
              <w:rPr>
                <w:rFonts w:ascii="Calibri" w:hAnsi="Calibri" w:cs="Calibri"/>
                <w:sz w:val="20"/>
                <w:szCs w:val="20"/>
              </w:rPr>
            </w:pPr>
            <w:r w:rsidRPr="0061109F">
              <w:rPr>
                <w:rFonts w:ascii="Calibri" w:hAnsi="Calibri" w:cs="Calibri"/>
                <w:sz w:val="20"/>
                <w:szCs w:val="20"/>
              </w:rPr>
              <w:t>0.96 (0.91-1.01)</w:t>
            </w:r>
          </w:p>
        </w:tc>
        <w:tc>
          <w:tcPr>
            <w:tcW w:w="1701" w:type="dxa"/>
            <w:tcBorders>
              <w:top w:val="single" w:sz="6" w:space="0" w:color="auto"/>
              <w:left w:val="single" w:sz="6" w:space="0" w:color="auto"/>
              <w:bottom w:val="single" w:sz="6" w:space="0" w:color="auto"/>
              <w:right w:val="single" w:sz="6" w:space="0" w:color="auto"/>
            </w:tcBorders>
            <w:vAlign w:val="center"/>
          </w:tcPr>
          <w:p w14:paraId="76DEA1AE" w14:textId="1A66E8F7" w:rsidR="000B086A" w:rsidRPr="0061109F" w:rsidRDefault="000B086A" w:rsidP="000B086A">
            <w:pPr>
              <w:autoSpaceDE w:val="0"/>
              <w:autoSpaceDN w:val="0"/>
              <w:adjustRightInd w:val="0"/>
              <w:spacing w:line="480" w:lineRule="auto"/>
              <w:jc w:val="center"/>
              <w:rPr>
                <w:rFonts w:ascii="Calibri" w:hAnsi="Calibri" w:cs="Calibri"/>
                <w:sz w:val="20"/>
                <w:szCs w:val="20"/>
              </w:rPr>
            </w:pPr>
            <w:r w:rsidRPr="0061109F">
              <w:rPr>
                <w:rFonts w:ascii="Calibri" w:hAnsi="Calibri" w:cs="Calibri"/>
                <w:sz w:val="20"/>
                <w:szCs w:val="20"/>
              </w:rPr>
              <w:t>1.09 (0.93-1.26)</w:t>
            </w:r>
          </w:p>
        </w:tc>
        <w:tc>
          <w:tcPr>
            <w:tcW w:w="1701" w:type="dxa"/>
            <w:tcBorders>
              <w:top w:val="single" w:sz="6" w:space="0" w:color="auto"/>
              <w:left w:val="single" w:sz="6" w:space="0" w:color="auto"/>
              <w:bottom w:val="single" w:sz="6" w:space="0" w:color="auto"/>
              <w:right w:val="single" w:sz="6" w:space="0" w:color="auto"/>
            </w:tcBorders>
            <w:vAlign w:val="center"/>
          </w:tcPr>
          <w:p w14:paraId="55ED938F" w14:textId="70D17D31" w:rsidR="000B086A" w:rsidRPr="0061109F" w:rsidRDefault="000B086A" w:rsidP="000B086A">
            <w:pPr>
              <w:autoSpaceDE w:val="0"/>
              <w:autoSpaceDN w:val="0"/>
              <w:adjustRightInd w:val="0"/>
              <w:spacing w:line="480" w:lineRule="auto"/>
              <w:jc w:val="center"/>
              <w:rPr>
                <w:rFonts w:ascii="Calibri" w:hAnsi="Calibri" w:cs="Calibri"/>
                <w:sz w:val="20"/>
                <w:szCs w:val="20"/>
              </w:rPr>
            </w:pPr>
            <w:r w:rsidRPr="0061109F">
              <w:rPr>
                <w:rFonts w:ascii="Calibri" w:hAnsi="Calibri" w:cs="Calibri"/>
                <w:sz w:val="20"/>
                <w:szCs w:val="20"/>
              </w:rPr>
              <w:t>1.01 (0.90-1.14)</w:t>
            </w:r>
          </w:p>
        </w:tc>
      </w:tr>
      <w:tr w:rsidR="0061109F" w:rsidRPr="0061109F" w14:paraId="3F736785" w14:textId="77777777" w:rsidTr="000B086A">
        <w:trPr>
          <w:trHeight w:val="523"/>
        </w:trPr>
        <w:tc>
          <w:tcPr>
            <w:tcW w:w="1726" w:type="dxa"/>
            <w:tcBorders>
              <w:top w:val="single" w:sz="6" w:space="0" w:color="auto"/>
              <w:left w:val="single" w:sz="6" w:space="0" w:color="auto"/>
              <w:bottom w:val="single" w:sz="6" w:space="0" w:color="auto"/>
              <w:right w:val="single" w:sz="6" w:space="0" w:color="auto"/>
            </w:tcBorders>
            <w:vAlign w:val="center"/>
          </w:tcPr>
          <w:p w14:paraId="199F7162" w14:textId="77777777" w:rsidR="000B086A" w:rsidRPr="0061109F" w:rsidRDefault="000B086A" w:rsidP="000B086A">
            <w:pPr>
              <w:autoSpaceDE w:val="0"/>
              <w:autoSpaceDN w:val="0"/>
              <w:adjustRightInd w:val="0"/>
              <w:spacing w:line="480" w:lineRule="auto"/>
              <w:ind w:left="213"/>
              <w:rPr>
                <w:rFonts w:ascii="Calibri" w:hAnsi="Calibri" w:cs="Calibri"/>
                <w:sz w:val="20"/>
                <w:szCs w:val="20"/>
              </w:rPr>
            </w:pPr>
            <w:r w:rsidRPr="0061109F">
              <w:rPr>
                <w:rFonts w:ascii="Calibri" w:hAnsi="Calibri" w:cs="Calibri"/>
                <w:sz w:val="20"/>
                <w:szCs w:val="20"/>
              </w:rPr>
              <w:t>Breast cancer</w:t>
            </w:r>
          </w:p>
        </w:tc>
        <w:tc>
          <w:tcPr>
            <w:tcW w:w="1134" w:type="dxa"/>
            <w:tcBorders>
              <w:top w:val="single" w:sz="6" w:space="0" w:color="auto"/>
              <w:left w:val="single" w:sz="6" w:space="0" w:color="auto"/>
              <w:bottom w:val="single" w:sz="6" w:space="0" w:color="auto"/>
              <w:right w:val="single" w:sz="6" w:space="0" w:color="auto"/>
            </w:tcBorders>
            <w:vAlign w:val="center"/>
          </w:tcPr>
          <w:p w14:paraId="14CD7015" w14:textId="3495B836" w:rsidR="000B086A" w:rsidRPr="0061109F" w:rsidRDefault="000B086A" w:rsidP="000B086A">
            <w:pPr>
              <w:autoSpaceDE w:val="0"/>
              <w:autoSpaceDN w:val="0"/>
              <w:adjustRightInd w:val="0"/>
              <w:spacing w:line="480" w:lineRule="auto"/>
              <w:jc w:val="center"/>
              <w:rPr>
                <w:rFonts w:ascii="Calibri" w:hAnsi="Calibri" w:cs="Calibri"/>
                <w:sz w:val="20"/>
                <w:szCs w:val="20"/>
              </w:rPr>
            </w:pPr>
            <w:r w:rsidRPr="0061109F">
              <w:rPr>
                <w:rFonts w:ascii="Calibri" w:hAnsi="Calibri" w:cs="Calibri"/>
                <w:sz w:val="20"/>
                <w:szCs w:val="20"/>
              </w:rPr>
              <w:t>11/11</w:t>
            </w:r>
          </w:p>
        </w:tc>
        <w:tc>
          <w:tcPr>
            <w:tcW w:w="1418" w:type="dxa"/>
            <w:tcBorders>
              <w:top w:val="single" w:sz="6" w:space="0" w:color="auto"/>
              <w:left w:val="single" w:sz="6" w:space="0" w:color="auto"/>
              <w:bottom w:val="single" w:sz="6" w:space="0" w:color="auto"/>
              <w:right w:val="single" w:sz="6" w:space="0" w:color="auto"/>
            </w:tcBorders>
            <w:vAlign w:val="center"/>
          </w:tcPr>
          <w:p w14:paraId="285180F0" w14:textId="763359C5" w:rsidR="000B086A" w:rsidRPr="0061109F" w:rsidRDefault="000B086A" w:rsidP="000B086A">
            <w:pPr>
              <w:autoSpaceDE w:val="0"/>
              <w:autoSpaceDN w:val="0"/>
              <w:adjustRightInd w:val="0"/>
              <w:spacing w:line="480" w:lineRule="auto"/>
              <w:jc w:val="center"/>
              <w:rPr>
                <w:rFonts w:ascii="Calibri" w:hAnsi="Calibri" w:cs="Calibri"/>
                <w:sz w:val="20"/>
                <w:szCs w:val="20"/>
              </w:rPr>
            </w:pPr>
            <w:r w:rsidRPr="0061109F">
              <w:rPr>
                <w:rFonts w:ascii="Calibri" w:hAnsi="Calibri" w:cs="Calibri"/>
                <w:sz w:val="20"/>
                <w:szCs w:val="20"/>
              </w:rPr>
              <w:t>1</w:t>
            </w:r>
            <w:r w:rsidR="004F4B6E" w:rsidRPr="0061109F">
              <w:rPr>
                <w:rFonts w:ascii="Calibri" w:hAnsi="Calibri" w:cs="Calibri"/>
                <w:sz w:val="20"/>
                <w:szCs w:val="20"/>
              </w:rPr>
              <w:t>,</w:t>
            </w:r>
            <w:r w:rsidRPr="0061109F">
              <w:rPr>
                <w:rFonts w:ascii="Calibri" w:hAnsi="Calibri" w:cs="Calibri"/>
                <w:sz w:val="20"/>
                <w:szCs w:val="20"/>
              </w:rPr>
              <w:t>134/1</w:t>
            </w:r>
            <w:r w:rsidR="004F4B6E" w:rsidRPr="0061109F">
              <w:rPr>
                <w:rFonts w:ascii="Calibri" w:hAnsi="Calibri" w:cs="Calibri"/>
                <w:sz w:val="20"/>
                <w:szCs w:val="20"/>
              </w:rPr>
              <w:t>,</w:t>
            </w:r>
            <w:r w:rsidRPr="0061109F">
              <w:rPr>
                <w:rFonts w:ascii="Calibri" w:hAnsi="Calibri" w:cs="Calibri"/>
                <w:sz w:val="20"/>
                <w:szCs w:val="20"/>
              </w:rPr>
              <w:t>250</w:t>
            </w:r>
          </w:p>
        </w:tc>
        <w:tc>
          <w:tcPr>
            <w:tcW w:w="1559" w:type="dxa"/>
            <w:tcBorders>
              <w:top w:val="single" w:sz="6" w:space="0" w:color="auto"/>
              <w:left w:val="single" w:sz="6" w:space="0" w:color="auto"/>
              <w:bottom w:val="single" w:sz="6" w:space="0" w:color="auto"/>
              <w:right w:val="single" w:sz="6" w:space="0" w:color="auto"/>
            </w:tcBorders>
            <w:vAlign w:val="center"/>
          </w:tcPr>
          <w:p w14:paraId="59CC5093" w14:textId="6199BC12" w:rsidR="000B086A" w:rsidRPr="0061109F" w:rsidRDefault="000B086A" w:rsidP="000B086A">
            <w:pPr>
              <w:autoSpaceDE w:val="0"/>
              <w:autoSpaceDN w:val="0"/>
              <w:adjustRightInd w:val="0"/>
              <w:spacing w:line="480" w:lineRule="auto"/>
              <w:jc w:val="center"/>
              <w:rPr>
                <w:rFonts w:ascii="Calibri" w:hAnsi="Calibri" w:cs="Calibri"/>
                <w:sz w:val="20"/>
                <w:szCs w:val="20"/>
              </w:rPr>
            </w:pPr>
            <w:r w:rsidRPr="0061109F">
              <w:rPr>
                <w:rFonts w:ascii="Calibri" w:hAnsi="Calibri" w:cs="Calibri"/>
                <w:sz w:val="20"/>
                <w:szCs w:val="20"/>
              </w:rPr>
              <w:t>0.80 (0.61-1.05)</w:t>
            </w:r>
          </w:p>
        </w:tc>
        <w:tc>
          <w:tcPr>
            <w:tcW w:w="1701" w:type="dxa"/>
            <w:tcBorders>
              <w:top w:val="single" w:sz="6" w:space="0" w:color="auto"/>
              <w:left w:val="single" w:sz="6" w:space="0" w:color="auto"/>
              <w:bottom w:val="single" w:sz="6" w:space="0" w:color="auto"/>
              <w:right w:val="single" w:sz="6" w:space="0" w:color="auto"/>
            </w:tcBorders>
            <w:vAlign w:val="center"/>
          </w:tcPr>
          <w:p w14:paraId="0E3C0BFE" w14:textId="3296DC44" w:rsidR="000B086A" w:rsidRPr="0061109F" w:rsidRDefault="000B086A" w:rsidP="000B086A">
            <w:pPr>
              <w:autoSpaceDE w:val="0"/>
              <w:autoSpaceDN w:val="0"/>
              <w:adjustRightInd w:val="0"/>
              <w:spacing w:line="480" w:lineRule="auto"/>
              <w:jc w:val="center"/>
              <w:rPr>
                <w:rFonts w:ascii="Calibri" w:hAnsi="Calibri" w:cs="Calibri"/>
                <w:sz w:val="20"/>
                <w:szCs w:val="20"/>
              </w:rPr>
            </w:pPr>
            <w:r w:rsidRPr="0061109F">
              <w:rPr>
                <w:rFonts w:ascii="Calibri" w:hAnsi="Calibri" w:cs="Calibri"/>
                <w:sz w:val="20"/>
                <w:szCs w:val="20"/>
              </w:rPr>
              <w:t>1.57 (0.69-3.56)</w:t>
            </w:r>
          </w:p>
        </w:tc>
        <w:tc>
          <w:tcPr>
            <w:tcW w:w="1701" w:type="dxa"/>
            <w:tcBorders>
              <w:top w:val="single" w:sz="6" w:space="0" w:color="auto"/>
              <w:left w:val="single" w:sz="6" w:space="0" w:color="auto"/>
              <w:bottom w:val="single" w:sz="6" w:space="0" w:color="auto"/>
              <w:right w:val="single" w:sz="6" w:space="0" w:color="auto"/>
            </w:tcBorders>
            <w:vAlign w:val="center"/>
          </w:tcPr>
          <w:p w14:paraId="30A4DB07" w14:textId="36ED33FC" w:rsidR="000B086A" w:rsidRPr="0061109F" w:rsidRDefault="000B086A" w:rsidP="000B086A">
            <w:pPr>
              <w:autoSpaceDE w:val="0"/>
              <w:autoSpaceDN w:val="0"/>
              <w:adjustRightInd w:val="0"/>
              <w:spacing w:line="480" w:lineRule="auto"/>
              <w:jc w:val="center"/>
              <w:rPr>
                <w:rFonts w:ascii="Calibri" w:hAnsi="Calibri" w:cs="Calibri"/>
                <w:sz w:val="20"/>
                <w:szCs w:val="20"/>
              </w:rPr>
            </w:pPr>
            <w:r w:rsidRPr="0061109F">
              <w:rPr>
                <w:rFonts w:ascii="Calibri" w:hAnsi="Calibri" w:cs="Calibri"/>
                <w:sz w:val="20"/>
                <w:szCs w:val="20"/>
              </w:rPr>
              <w:t>1.34 (0.75-2.38)</w:t>
            </w:r>
          </w:p>
        </w:tc>
      </w:tr>
      <w:tr w:rsidR="0061109F" w:rsidRPr="0061109F" w14:paraId="544E15AB" w14:textId="77777777" w:rsidTr="000B086A">
        <w:trPr>
          <w:trHeight w:val="536"/>
        </w:trPr>
        <w:tc>
          <w:tcPr>
            <w:tcW w:w="1726" w:type="dxa"/>
            <w:tcBorders>
              <w:top w:val="single" w:sz="6" w:space="0" w:color="auto"/>
              <w:left w:val="single" w:sz="6" w:space="0" w:color="auto"/>
              <w:bottom w:val="single" w:sz="6" w:space="0" w:color="auto"/>
              <w:right w:val="single" w:sz="6" w:space="0" w:color="auto"/>
            </w:tcBorders>
            <w:vAlign w:val="center"/>
          </w:tcPr>
          <w:p w14:paraId="49573A33" w14:textId="77777777" w:rsidR="000B086A" w:rsidRPr="0061109F" w:rsidRDefault="000B086A" w:rsidP="000B086A">
            <w:pPr>
              <w:autoSpaceDE w:val="0"/>
              <w:autoSpaceDN w:val="0"/>
              <w:adjustRightInd w:val="0"/>
              <w:spacing w:line="480" w:lineRule="auto"/>
              <w:ind w:left="213"/>
              <w:rPr>
                <w:rFonts w:ascii="Calibri" w:hAnsi="Calibri" w:cs="Calibri"/>
                <w:sz w:val="20"/>
                <w:szCs w:val="20"/>
              </w:rPr>
            </w:pPr>
            <w:r w:rsidRPr="0061109F">
              <w:rPr>
                <w:rFonts w:ascii="Calibri" w:hAnsi="Calibri" w:cs="Calibri"/>
                <w:sz w:val="20"/>
                <w:szCs w:val="20"/>
              </w:rPr>
              <w:t>Lung cancer</w:t>
            </w:r>
          </w:p>
        </w:tc>
        <w:tc>
          <w:tcPr>
            <w:tcW w:w="1134" w:type="dxa"/>
            <w:tcBorders>
              <w:top w:val="single" w:sz="6" w:space="0" w:color="auto"/>
              <w:left w:val="single" w:sz="6" w:space="0" w:color="auto"/>
              <w:bottom w:val="single" w:sz="6" w:space="0" w:color="auto"/>
              <w:right w:val="single" w:sz="6" w:space="0" w:color="auto"/>
            </w:tcBorders>
            <w:vAlign w:val="center"/>
          </w:tcPr>
          <w:p w14:paraId="32608B0C" w14:textId="77777777" w:rsidR="000B086A" w:rsidRPr="0061109F" w:rsidRDefault="000B086A" w:rsidP="000B086A">
            <w:pPr>
              <w:autoSpaceDE w:val="0"/>
              <w:autoSpaceDN w:val="0"/>
              <w:adjustRightInd w:val="0"/>
              <w:spacing w:line="480" w:lineRule="auto"/>
              <w:jc w:val="center"/>
              <w:rPr>
                <w:rFonts w:ascii="Calibri" w:hAnsi="Calibri" w:cs="Calibri"/>
                <w:sz w:val="20"/>
                <w:szCs w:val="20"/>
              </w:rPr>
            </w:pPr>
            <w:r w:rsidRPr="0061109F">
              <w:rPr>
                <w:rFonts w:ascii="Calibri" w:hAnsi="Calibri" w:cs="Calibri"/>
                <w:sz w:val="20"/>
                <w:szCs w:val="20"/>
              </w:rPr>
              <w:t>57/67</w:t>
            </w:r>
          </w:p>
        </w:tc>
        <w:tc>
          <w:tcPr>
            <w:tcW w:w="1418" w:type="dxa"/>
            <w:tcBorders>
              <w:top w:val="single" w:sz="6" w:space="0" w:color="auto"/>
              <w:left w:val="single" w:sz="6" w:space="0" w:color="auto"/>
              <w:bottom w:val="single" w:sz="6" w:space="0" w:color="auto"/>
              <w:right w:val="single" w:sz="6" w:space="0" w:color="auto"/>
            </w:tcBorders>
            <w:vAlign w:val="center"/>
          </w:tcPr>
          <w:p w14:paraId="3CC32101" w14:textId="347FF8F0" w:rsidR="000B086A" w:rsidRPr="0061109F" w:rsidRDefault="000B086A" w:rsidP="000B086A">
            <w:pPr>
              <w:autoSpaceDE w:val="0"/>
              <w:autoSpaceDN w:val="0"/>
              <w:adjustRightInd w:val="0"/>
              <w:spacing w:line="480" w:lineRule="auto"/>
              <w:jc w:val="center"/>
              <w:rPr>
                <w:rFonts w:ascii="Calibri" w:hAnsi="Calibri" w:cs="Calibri"/>
                <w:sz w:val="20"/>
                <w:szCs w:val="20"/>
              </w:rPr>
            </w:pPr>
            <w:r w:rsidRPr="0061109F">
              <w:rPr>
                <w:rFonts w:ascii="Calibri" w:hAnsi="Calibri" w:cs="Calibri"/>
                <w:sz w:val="20"/>
                <w:szCs w:val="20"/>
              </w:rPr>
              <w:t>1</w:t>
            </w:r>
            <w:r w:rsidR="004F4B6E" w:rsidRPr="0061109F">
              <w:rPr>
                <w:rFonts w:ascii="Calibri" w:hAnsi="Calibri" w:cs="Calibri"/>
                <w:sz w:val="20"/>
                <w:szCs w:val="20"/>
              </w:rPr>
              <w:t>,</w:t>
            </w:r>
            <w:r w:rsidRPr="0061109F">
              <w:rPr>
                <w:rFonts w:ascii="Calibri" w:hAnsi="Calibri" w:cs="Calibri"/>
                <w:sz w:val="20"/>
                <w:szCs w:val="20"/>
              </w:rPr>
              <w:t>088/1</w:t>
            </w:r>
            <w:r w:rsidR="004F4B6E" w:rsidRPr="0061109F">
              <w:rPr>
                <w:rFonts w:ascii="Calibri" w:hAnsi="Calibri" w:cs="Calibri"/>
                <w:sz w:val="20"/>
                <w:szCs w:val="20"/>
              </w:rPr>
              <w:t>,</w:t>
            </w:r>
            <w:r w:rsidRPr="0061109F">
              <w:rPr>
                <w:rFonts w:ascii="Calibri" w:hAnsi="Calibri" w:cs="Calibri"/>
                <w:sz w:val="20"/>
                <w:szCs w:val="20"/>
              </w:rPr>
              <w:t>194</w:t>
            </w:r>
          </w:p>
        </w:tc>
        <w:tc>
          <w:tcPr>
            <w:tcW w:w="1559" w:type="dxa"/>
            <w:tcBorders>
              <w:top w:val="single" w:sz="6" w:space="0" w:color="auto"/>
              <w:left w:val="single" w:sz="6" w:space="0" w:color="auto"/>
              <w:bottom w:val="single" w:sz="6" w:space="0" w:color="auto"/>
              <w:right w:val="single" w:sz="6" w:space="0" w:color="auto"/>
            </w:tcBorders>
            <w:vAlign w:val="center"/>
          </w:tcPr>
          <w:p w14:paraId="24D5EE72" w14:textId="15E49E50" w:rsidR="000B086A" w:rsidRPr="0061109F" w:rsidRDefault="000B086A" w:rsidP="000B086A">
            <w:pPr>
              <w:autoSpaceDE w:val="0"/>
              <w:autoSpaceDN w:val="0"/>
              <w:adjustRightInd w:val="0"/>
              <w:spacing w:line="480" w:lineRule="auto"/>
              <w:jc w:val="center"/>
              <w:rPr>
                <w:rFonts w:ascii="Calibri" w:hAnsi="Calibri" w:cs="Calibri"/>
                <w:sz w:val="20"/>
                <w:szCs w:val="20"/>
              </w:rPr>
            </w:pPr>
            <w:r w:rsidRPr="0061109F">
              <w:rPr>
                <w:rFonts w:ascii="Calibri" w:hAnsi="Calibri" w:cs="Calibri"/>
                <w:sz w:val="20"/>
                <w:szCs w:val="20"/>
              </w:rPr>
              <w:t>0.99 (0.92-1.04)</w:t>
            </w:r>
          </w:p>
        </w:tc>
        <w:tc>
          <w:tcPr>
            <w:tcW w:w="1701" w:type="dxa"/>
            <w:tcBorders>
              <w:top w:val="single" w:sz="6" w:space="0" w:color="auto"/>
              <w:left w:val="single" w:sz="6" w:space="0" w:color="auto"/>
              <w:bottom w:val="single" w:sz="6" w:space="0" w:color="auto"/>
              <w:right w:val="single" w:sz="6" w:space="0" w:color="auto"/>
            </w:tcBorders>
            <w:vAlign w:val="center"/>
          </w:tcPr>
          <w:p w14:paraId="3E293F0A" w14:textId="7CA25726" w:rsidR="000B086A" w:rsidRPr="0061109F" w:rsidRDefault="000B086A" w:rsidP="000B086A">
            <w:pPr>
              <w:autoSpaceDE w:val="0"/>
              <w:autoSpaceDN w:val="0"/>
              <w:adjustRightInd w:val="0"/>
              <w:spacing w:line="480" w:lineRule="auto"/>
              <w:jc w:val="center"/>
              <w:rPr>
                <w:rFonts w:ascii="Calibri" w:hAnsi="Calibri" w:cs="Calibri"/>
                <w:sz w:val="20"/>
                <w:szCs w:val="20"/>
              </w:rPr>
            </w:pPr>
            <w:r w:rsidRPr="0061109F">
              <w:rPr>
                <w:rFonts w:ascii="Calibri" w:hAnsi="Calibri" w:cs="Calibri"/>
                <w:sz w:val="20"/>
                <w:szCs w:val="20"/>
              </w:rPr>
              <w:t>0.92 (0.69-1.24)</w:t>
            </w:r>
          </w:p>
        </w:tc>
        <w:tc>
          <w:tcPr>
            <w:tcW w:w="1701" w:type="dxa"/>
            <w:tcBorders>
              <w:top w:val="single" w:sz="6" w:space="0" w:color="auto"/>
              <w:left w:val="single" w:sz="6" w:space="0" w:color="auto"/>
              <w:bottom w:val="single" w:sz="6" w:space="0" w:color="auto"/>
              <w:right w:val="single" w:sz="6" w:space="0" w:color="auto"/>
            </w:tcBorders>
            <w:vAlign w:val="center"/>
          </w:tcPr>
          <w:p w14:paraId="4F64423E" w14:textId="33CE50C8" w:rsidR="000B086A" w:rsidRPr="0061109F" w:rsidRDefault="000B086A" w:rsidP="000B086A">
            <w:pPr>
              <w:autoSpaceDE w:val="0"/>
              <w:autoSpaceDN w:val="0"/>
              <w:adjustRightInd w:val="0"/>
              <w:spacing w:line="480" w:lineRule="auto"/>
              <w:jc w:val="center"/>
              <w:rPr>
                <w:rFonts w:ascii="Calibri" w:hAnsi="Calibri" w:cs="Calibri"/>
                <w:sz w:val="20"/>
                <w:szCs w:val="20"/>
              </w:rPr>
            </w:pPr>
            <w:r w:rsidRPr="0061109F">
              <w:rPr>
                <w:rFonts w:ascii="Calibri" w:hAnsi="Calibri" w:cs="Calibri"/>
                <w:sz w:val="20"/>
                <w:szCs w:val="20"/>
              </w:rPr>
              <w:t>1.10 (0.88-1.38)</w:t>
            </w:r>
          </w:p>
        </w:tc>
      </w:tr>
      <w:tr w:rsidR="0061109F" w:rsidRPr="0061109F" w14:paraId="701D02F4" w14:textId="77777777" w:rsidTr="000B086A">
        <w:trPr>
          <w:trHeight w:val="567"/>
        </w:trPr>
        <w:tc>
          <w:tcPr>
            <w:tcW w:w="1726" w:type="dxa"/>
            <w:tcBorders>
              <w:top w:val="single" w:sz="6" w:space="0" w:color="auto"/>
              <w:left w:val="single" w:sz="6" w:space="0" w:color="auto"/>
              <w:bottom w:val="single" w:sz="6" w:space="0" w:color="auto"/>
              <w:right w:val="single" w:sz="6" w:space="0" w:color="auto"/>
            </w:tcBorders>
            <w:vAlign w:val="center"/>
          </w:tcPr>
          <w:p w14:paraId="52A23675" w14:textId="77777777" w:rsidR="000B086A" w:rsidRPr="0061109F" w:rsidRDefault="000B086A" w:rsidP="000B086A">
            <w:pPr>
              <w:autoSpaceDE w:val="0"/>
              <w:autoSpaceDN w:val="0"/>
              <w:adjustRightInd w:val="0"/>
              <w:spacing w:line="480" w:lineRule="auto"/>
              <w:ind w:left="71"/>
              <w:rPr>
                <w:rFonts w:ascii="Calibri" w:hAnsi="Calibri" w:cs="Calibri"/>
                <w:sz w:val="20"/>
                <w:szCs w:val="20"/>
              </w:rPr>
            </w:pPr>
            <w:r w:rsidRPr="0061109F">
              <w:rPr>
                <w:rFonts w:ascii="Calibri" w:hAnsi="Calibri" w:cs="Calibri"/>
                <w:sz w:val="20"/>
                <w:szCs w:val="20"/>
              </w:rPr>
              <w:t>Cardiovascular disease</w:t>
            </w:r>
          </w:p>
        </w:tc>
        <w:tc>
          <w:tcPr>
            <w:tcW w:w="1134" w:type="dxa"/>
            <w:tcBorders>
              <w:top w:val="single" w:sz="6" w:space="0" w:color="auto"/>
              <w:left w:val="single" w:sz="6" w:space="0" w:color="auto"/>
              <w:bottom w:val="single" w:sz="6" w:space="0" w:color="auto"/>
              <w:right w:val="single" w:sz="6" w:space="0" w:color="auto"/>
            </w:tcBorders>
            <w:vAlign w:val="center"/>
          </w:tcPr>
          <w:p w14:paraId="34101194" w14:textId="77777777" w:rsidR="000B086A" w:rsidRPr="0061109F" w:rsidRDefault="000B086A" w:rsidP="000B086A">
            <w:pPr>
              <w:autoSpaceDE w:val="0"/>
              <w:autoSpaceDN w:val="0"/>
              <w:adjustRightInd w:val="0"/>
              <w:spacing w:line="480" w:lineRule="auto"/>
              <w:jc w:val="center"/>
              <w:rPr>
                <w:rFonts w:ascii="Calibri" w:hAnsi="Calibri" w:cs="Calibri"/>
                <w:sz w:val="20"/>
                <w:szCs w:val="20"/>
              </w:rPr>
            </w:pPr>
            <w:r w:rsidRPr="0061109F">
              <w:rPr>
                <w:rFonts w:ascii="Calibri" w:hAnsi="Calibri" w:cs="Calibri"/>
                <w:sz w:val="20"/>
                <w:szCs w:val="20"/>
              </w:rPr>
              <w:t>290/325</w:t>
            </w:r>
          </w:p>
        </w:tc>
        <w:tc>
          <w:tcPr>
            <w:tcW w:w="1418" w:type="dxa"/>
            <w:tcBorders>
              <w:top w:val="single" w:sz="6" w:space="0" w:color="auto"/>
              <w:left w:val="single" w:sz="6" w:space="0" w:color="auto"/>
              <w:bottom w:val="single" w:sz="6" w:space="0" w:color="auto"/>
              <w:right w:val="single" w:sz="6" w:space="0" w:color="auto"/>
            </w:tcBorders>
            <w:vAlign w:val="center"/>
          </w:tcPr>
          <w:p w14:paraId="677F23E5" w14:textId="77777777" w:rsidR="000B086A" w:rsidRPr="0061109F" w:rsidRDefault="000B086A" w:rsidP="000B086A">
            <w:pPr>
              <w:autoSpaceDE w:val="0"/>
              <w:autoSpaceDN w:val="0"/>
              <w:adjustRightInd w:val="0"/>
              <w:spacing w:line="480" w:lineRule="auto"/>
              <w:jc w:val="center"/>
              <w:rPr>
                <w:rFonts w:ascii="Calibri" w:hAnsi="Calibri" w:cs="Calibri"/>
                <w:sz w:val="20"/>
                <w:szCs w:val="20"/>
              </w:rPr>
            </w:pPr>
            <w:r w:rsidRPr="0061109F">
              <w:rPr>
                <w:rFonts w:ascii="Calibri" w:hAnsi="Calibri" w:cs="Calibri"/>
                <w:sz w:val="20"/>
                <w:szCs w:val="20"/>
              </w:rPr>
              <w:t>855/936</w:t>
            </w:r>
          </w:p>
        </w:tc>
        <w:tc>
          <w:tcPr>
            <w:tcW w:w="1559" w:type="dxa"/>
            <w:tcBorders>
              <w:top w:val="single" w:sz="6" w:space="0" w:color="auto"/>
              <w:left w:val="single" w:sz="6" w:space="0" w:color="auto"/>
              <w:bottom w:val="single" w:sz="6" w:space="0" w:color="auto"/>
              <w:right w:val="single" w:sz="6" w:space="0" w:color="auto"/>
            </w:tcBorders>
            <w:vAlign w:val="center"/>
          </w:tcPr>
          <w:p w14:paraId="1390ECD3" w14:textId="2842D823" w:rsidR="000B086A" w:rsidRPr="0061109F" w:rsidRDefault="000B086A" w:rsidP="000B086A">
            <w:pPr>
              <w:autoSpaceDE w:val="0"/>
              <w:autoSpaceDN w:val="0"/>
              <w:adjustRightInd w:val="0"/>
              <w:spacing w:line="480" w:lineRule="auto"/>
              <w:jc w:val="center"/>
              <w:rPr>
                <w:rFonts w:ascii="Calibri" w:hAnsi="Calibri" w:cs="Calibri"/>
                <w:sz w:val="20"/>
                <w:szCs w:val="20"/>
              </w:rPr>
            </w:pPr>
            <w:r w:rsidRPr="0061109F">
              <w:rPr>
                <w:rFonts w:ascii="Calibri" w:hAnsi="Calibri" w:cs="Calibri"/>
                <w:sz w:val="20"/>
                <w:szCs w:val="20"/>
              </w:rPr>
              <w:t>0.98 (0.94-1.03)</w:t>
            </w:r>
          </w:p>
        </w:tc>
        <w:tc>
          <w:tcPr>
            <w:tcW w:w="1701" w:type="dxa"/>
            <w:tcBorders>
              <w:top w:val="single" w:sz="6" w:space="0" w:color="auto"/>
              <w:left w:val="single" w:sz="6" w:space="0" w:color="auto"/>
              <w:bottom w:val="single" w:sz="6" w:space="0" w:color="auto"/>
              <w:right w:val="single" w:sz="6" w:space="0" w:color="auto"/>
            </w:tcBorders>
            <w:vAlign w:val="center"/>
          </w:tcPr>
          <w:p w14:paraId="39DA0BF5" w14:textId="4E8F4E0F" w:rsidR="000B086A" w:rsidRPr="0061109F" w:rsidRDefault="000B086A" w:rsidP="000B086A">
            <w:pPr>
              <w:autoSpaceDE w:val="0"/>
              <w:autoSpaceDN w:val="0"/>
              <w:adjustRightInd w:val="0"/>
              <w:spacing w:line="480" w:lineRule="auto"/>
              <w:jc w:val="center"/>
              <w:rPr>
                <w:rFonts w:ascii="Calibri" w:hAnsi="Calibri" w:cs="Calibri"/>
                <w:sz w:val="20"/>
                <w:szCs w:val="20"/>
              </w:rPr>
            </w:pPr>
            <w:r w:rsidRPr="0061109F">
              <w:rPr>
                <w:rFonts w:ascii="Calibri" w:hAnsi="Calibri" w:cs="Calibri"/>
                <w:sz w:val="20"/>
                <w:szCs w:val="20"/>
              </w:rPr>
              <w:t>1.02 (0.90-1.16)</w:t>
            </w:r>
          </w:p>
        </w:tc>
        <w:tc>
          <w:tcPr>
            <w:tcW w:w="1701" w:type="dxa"/>
            <w:tcBorders>
              <w:top w:val="single" w:sz="6" w:space="0" w:color="auto"/>
              <w:left w:val="single" w:sz="6" w:space="0" w:color="auto"/>
              <w:bottom w:val="single" w:sz="6" w:space="0" w:color="auto"/>
              <w:right w:val="single" w:sz="6" w:space="0" w:color="auto"/>
            </w:tcBorders>
            <w:vAlign w:val="center"/>
          </w:tcPr>
          <w:p w14:paraId="7D097D68" w14:textId="3F5F42DB" w:rsidR="000B086A" w:rsidRPr="0061109F" w:rsidRDefault="000B086A" w:rsidP="000B086A">
            <w:pPr>
              <w:autoSpaceDE w:val="0"/>
              <w:autoSpaceDN w:val="0"/>
              <w:adjustRightInd w:val="0"/>
              <w:spacing w:line="480" w:lineRule="auto"/>
              <w:jc w:val="center"/>
              <w:rPr>
                <w:rFonts w:ascii="Calibri" w:hAnsi="Calibri" w:cs="Calibri"/>
                <w:sz w:val="20"/>
                <w:szCs w:val="20"/>
              </w:rPr>
            </w:pPr>
            <w:r w:rsidRPr="0061109F">
              <w:rPr>
                <w:rFonts w:ascii="Calibri" w:hAnsi="Calibri" w:cs="Calibri"/>
                <w:sz w:val="20"/>
                <w:szCs w:val="20"/>
              </w:rPr>
              <w:t>0.94 (0.86-1.04)</w:t>
            </w:r>
          </w:p>
        </w:tc>
      </w:tr>
      <w:tr w:rsidR="0061109F" w:rsidRPr="0061109F" w14:paraId="2BA5EBE9" w14:textId="77777777" w:rsidTr="000B086A">
        <w:trPr>
          <w:trHeight w:val="500"/>
        </w:trPr>
        <w:tc>
          <w:tcPr>
            <w:tcW w:w="1726" w:type="dxa"/>
            <w:tcBorders>
              <w:top w:val="single" w:sz="6" w:space="0" w:color="auto"/>
              <w:left w:val="single" w:sz="6" w:space="0" w:color="auto"/>
              <w:bottom w:val="single" w:sz="6" w:space="0" w:color="auto"/>
              <w:right w:val="single" w:sz="6" w:space="0" w:color="auto"/>
            </w:tcBorders>
            <w:vAlign w:val="center"/>
          </w:tcPr>
          <w:p w14:paraId="2407345E" w14:textId="77777777" w:rsidR="000B086A" w:rsidRPr="0061109F" w:rsidRDefault="000B086A" w:rsidP="000B086A">
            <w:pPr>
              <w:autoSpaceDE w:val="0"/>
              <w:autoSpaceDN w:val="0"/>
              <w:adjustRightInd w:val="0"/>
              <w:spacing w:line="480" w:lineRule="auto"/>
              <w:ind w:left="71"/>
              <w:rPr>
                <w:rFonts w:ascii="Calibri" w:hAnsi="Calibri" w:cs="Calibri"/>
                <w:sz w:val="20"/>
                <w:szCs w:val="20"/>
              </w:rPr>
            </w:pPr>
            <w:r w:rsidRPr="0061109F">
              <w:rPr>
                <w:rFonts w:ascii="Calibri" w:hAnsi="Calibri" w:cs="Calibri"/>
                <w:sz w:val="20"/>
                <w:szCs w:val="20"/>
              </w:rPr>
              <w:t>Stroke</w:t>
            </w:r>
          </w:p>
        </w:tc>
        <w:tc>
          <w:tcPr>
            <w:tcW w:w="1134" w:type="dxa"/>
            <w:tcBorders>
              <w:top w:val="single" w:sz="6" w:space="0" w:color="auto"/>
              <w:left w:val="single" w:sz="6" w:space="0" w:color="auto"/>
              <w:bottom w:val="single" w:sz="6" w:space="0" w:color="auto"/>
              <w:right w:val="single" w:sz="6" w:space="0" w:color="auto"/>
            </w:tcBorders>
            <w:vAlign w:val="center"/>
          </w:tcPr>
          <w:p w14:paraId="4370B903" w14:textId="77777777" w:rsidR="000B086A" w:rsidRPr="0061109F" w:rsidRDefault="000B086A" w:rsidP="000B086A">
            <w:pPr>
              <w:autoSpaceDE w:val="0"/>
              <w:autoSpaceDN w:val="0"/>
              <w:adjustRightInd w:val="0"/>
              <w:spacing w:line="480" w:lineRule="auto"/>
              <w:jc w:val="center"/>
              <w:rPr>
                <w:rFonts w:ascii="Calibri" w:hAnsi="Calibri" w:cs="Calibri"/>
                <w:sz w:val="20"/>
                <w:szCs w:val="20"/>
              </w:rPr>
            </w:pPr>
            <w:r w:rsidRPr="0061109F">
              <w:rPr>
                <w:rFonts w:ascii="Calibri" w:hAnsi="Calibri" w:cs="Calibri"/>
                <w:sz w:val="20"/>
                <w:szCs w:val="20"/>
              </w:rPr>
              <w:t>56/59</w:t>
            </w:r>
          </w:p>
        </w:tc>
        <w:tc>
          <w:tcPr>
            <w:tcW w:w="1418" w:type="dxa"/>
            <w:tcBorders>
              <w:top w:val="single" w:sz="6" w:space="0" w:color="auto"/>
              <w:left w:val="single" w:sz="6" w:space="0" w:color="auto"/>
              <w:bottom w:val="single" w:sz="6" w:space="0" w:color="auto"/>
              <w:right w:val="single" w:sz="6" w:space="0" w:color="auto"/>
            </w:tcBorders>
            <w:vAlign w:val="center"/>
          </w:tcPr>
          <w:p w14:paraId="56769123" w14:textId="7267721A" w:rsidR="000B086A" w:rsidRPr="0061109F" w:rsidRDefault="000B086A" w:rsidP="000B086A">
            <w:pPr>
              <w:autoSpaceDE w:val="0"/>
              <w:autoSpaceDN w:val="0"/>
              <w:adjustRightInd w:val="0"/>
              <w:spacing w:line="480" w:lineRule="auto"/>
              <w:jc w:val="center"/>
              <w:rPr>
                <w:rFonts w:ascii="Calibri" w:hAnsi="Calibri" w:cs="Calibri"/>
                <w:sz w:val="20"/>
                <w:szCs w:val="20"/>
              </w:rPr>
            </w:pPr>
            <w:r w:rsidRPr="0061109F">
              <w:rPr>
                <w:rFonts w:ascii="Calibri" w:hAnsi="Calibri" w:cs="Calibri"/>
                <w:sz w:val="20"/>
                <w:szCs w:val="20"/>
              </w:rPr>
              <w:t>1</w:t>
            </w:r>
            <w:r w:rsidR="004F4B6E" w:rsidRPr="0061109F">
              <w:rPr>
                <w:rFonts w:ascii="Calibri" w:hAnsi="Calibri" w:cs="Calibri"/>
                <w:sz w:val="20"/>
                <w:szCs w:val="20"/>
              </w:rPr>
              <w:t>,</w:t>
            </w:r>
            <w:r w:rsidRPr="0061109F">
              <w:rPr>
                <w:rFonts w:ascii="Calibri" w:hAnsi="Calibri" w:cs="Calibri"/>
                <w:sz w:val="20"/>
                <w:szCs w:val="20"/>
              </w:rPr>
              <w:t>089/1</w:t>
            </w:r>
            <w:r w:rsidR="004F4B6E" w:rsidRPr="0061109F">
              <w:rPr>
                <w:rFonts w:ascii="Calibri" w:hAnsi="Calibri" w:cs="Calibri"/>
                <w:sz w:val="20"/>
                <w:szCs w:val="20"/>
              </w:rPr>
              <w:t>,</w:t>
            </w:r>
            <w:r w:rsidRPr="0061109F">
              <w:rPr>
                <w:rFonts w:ascii="Calibri" w:hAnsi="Calibri" w:cs="Calibri"/>
                <w:sz w:val="20"/>
                <w:szCs w:val="20"/>
              </w:rPr>
              <w:t>202</w:t>
            </w:r>
          </w:p>
        </w:tc>
        <w:tc>
          <w:tcPr>
            <w:tcW w:w="1559" w:type="dxa"/>
            <w:tcBorders>
              <w:top w:val="single" w:sz="6" w:space="0" w:color="auto"/>
              <w:left w:val="single" w:sz="6" w:space="0" w:color="auto"/>
              <w:bottom w:val="single" w:sz="6" w:space="0" w:color="auto"/>
              <w:right w:val="single" w:sz="6" w:space="0" w:color="auto"/>
            </w:tcBorders>
            <w:vAlign w:val="center"/>
          </w:tcPr>
          <w:p w14:paraId="1DAADEE2" w14:textId="7674C788" w:rsidR="000B086A" w:rsidRPr="0061109F" w:rsidRDefault="000B086A" w:rsidP="000B086A">
            <w:pPr>
              <w:autoSpaceDE w:val="0"/>
              <w:autoSpaceDN w:val="0"/>
              <w:adjustRightInd w:val="0"/>
              <w:spacing w:line="480" w:lineRule="auto"/>
              <w:jc w:val="center"/>
              <w:rPr>
                <w:rFonts w:ascii="Calibri" w:hAnsi="Calibri" w:cs="Calibri"/>
                <w:sz w:val="20"/>
                <w:szCs w:val="20"/>
              </w:rPr>
            </w:pPr>
            <w:r w:rsidRPr="0061109F">
              <w:rPr>
                <w:rFonts w:ascii="Calibri" w:hAnsi="Calibri" w:cs="Calibri"/>
                <w:sz w:val="20"/>
                <w:szCs w:val="20"/>
              </w:rPr>
              <w:t>1.02 (0.94-1.12)</w:t>
            </w:r>
          </w:p>
        </w:tc>
        <w:tc>
          <w:tcPr>
            <w:tcW w:w="1701" w:type="dxa"/>
            <w:tcBorders>
              <w:top w:val="single" w:sz="6" w:space="0" w:color="auto"/>
              <w:left w:val="single" w:sz="6" w:space="0" w:color="auto"/>
              <w:bottom w:val="single" w:sz="6" w:space="0" w:color="auto"/>
              <w:right w:val="single" w:sz="6" w:space="0" w:color="auto"/>
            </w:tcBorders>
            <w:vAlign w:val="center"/>
          </w:tcPr>
          <w:p w14:paraId="3F353E8C" w14:textId="1C94BEC1" w:rsidR="000B086A" w:rsidRPr="0061109F" w:rsidRDefault="000B086A" w:rsidP="000B086A">
            <w:pPr>
              <w:autoSpaceDE w:val="0"/>
              <w:autoSpaceDN w:val="0"/>
              <w:adjustRightInd w:val="0"/>
              <w:spacing w:line="480" w:lineRule="auto"/>
              <w:jc w:val="center"/>
              <w:rPr>
                <w:rFonts w:ascii="Calibri" w:hAnsi="Calibri" w:cs="Calibri"/>
                <w:sz w:val="20"/>
                <w:szCs w:val="20"/>
              </w:rPr>
            </w:pPr>
            <w:r w:rsidRPr="0061109F">
              <w:rPr>
                <w:rFonts w:ascii="Calibri" w:hAnsi="Calibri" w:cs="Calibri"/>
                <w:sz w:val="20"/>
                <w:szCs w:val="20"/>
              </w:rPr>
              <w:t>0.80 (0.58-1.09)</w:t>
            </w:r>
          </w:p>
        </w:tc>
        <w:tc>
          <w:tcPr>
            <w:tcW w:w="1701" w:type="dxa"/>
            <w:tcBorders>
              <w:top w:val="single" w:sz="6" w:space="0" w:color="auto"/>
              <w:left w:val="single" w:sz="6" w:space="0" w:color="auto"/>
              <w:bottom w:val="single" w:sz="6" w:space="0" w:color="auto"/>
              <w:right w:val="single" w:sz="6" w:space="0" w:color="auto"/>
            </w:tcBorders>
            <w:vAlign w:val="center"/>
          </w:tcPr>
          <w:p w14:paraId="78AD4E68" w14:textId="73395EFE" w:rsidR="000B086A" w:rsidRPr="0061109F" w:rsidRDefault="000B086A" w:rsidP="000B086A">
            <w:pPr>
              <w:autoSpaceDE w:val="0"/>
              <w:autoSpaceDN w:val="0"/>
              <w:adjustRightInd w:val="0"/>
              <w:spacing w:line="480" w:lineRule="auto"/>
              <w:jc w:val="center"/>
              <w:rPr>
                <w:rFonts w:ascii="Calibri" w:hAnsi="Calibri" w:cs="Calibri"/>
                <w:sz w:val="20"/>
                <w:szCs w:val="20"/>
              </w:rPr>
            </w:pPr>
            <w:r w:rsidRPr="0061109F">
              <w:rPr>
                <w:rFonts w:ascii="Calibri" w:hAnsi="Calibri" w:cs="Calibri"/>
                <w:sz w:val="20"/>
                <w:szCs w:val="20"/>
              </w:rPr>
              <w:t>1.14 (0.90-1.45)</w:t>
            </w:r>
          </w:p>
        </w:tc>
      </w:tr>
      <w:tr w:rsidR="0061109F" w:rsidRPr="0061109F" w14:paraId="27792077" w14:textId="77777777" w:rsidTr="000B086A">
        <w:trPr>
          <w:trHeight w:val="543"/>
        </w:trPr>
        <w:tc>
          <w:tcPr>
            <w:tcW w:w="1726" w:type="dxa"/>
            <w:tcBorders>
              <w:top w:val="single" w:sz="6" w:space="0" w:color="auto"/>
              <w:left w:val="single" w:sz="6" w:space="0" w:color="auto"/>
              <w:bottom w:val="single" w:sz="6" w:space="0" w:color="auto"/>
              <w:right w:val="single" w:sz="6" w:space="0" w:color="auto"/>
            </w:tcBorders>
            <w:vAlign w:val="center"/>
          </w:tcPr>
          <w:p w14:paraId="17581480" w14:textId="77777777" w:rsidR="000B086A" w:rsidRPr="0061109F" w:rsidRDefault="000B086A" w:rsidP="000B086A">
            <w:pPr>
              <w:autoSpaceDE w:val="0"/>
              <w:autoSpaceDN w:val="0"/>
              <w:adjustRightInd w:val="0"/>
              <w:spacing w:line="480" w:lineRule="auto"/>
              <w:ind w:left="71"/>
              <w:rPr>
                <w:rFonts w:ascii="Calibri" w:hAnsi="Calibri" w:cs="Calibri"/>
                <w:sz w:val="20"/>
                <w:szCs w:val="20"/>
              </w:rPr>
            </w:pPr>
            <w:r w:rsidRPr="0061109F">
              <w:rPr>
                <w:rFonts w:ascii="Calibri" w:hAnsi="Calibri" w:cs="Calibri"/>
                <w:sz w:val="20"/>
                <w:szCs w:val="20"/>
              </w:rPr>
              <w:t>External causes</w:t>
            </w:r>
          </w:p>
        </w:tc>
        <w:tc>
          <w:tcPr>
            <w:tcW w:w="1134" w:type="dxa"/>
            <w:tcBorders>
              <w:top w:val="single" w:sz="6" w:space="0" w:color="auto"/>
              <w:left w:val="single" w:sz="6" w:space="0" w:color="auto"/>
              <w:bottom w:val="single" w:sz="6" w:space="0" w:color="auto"/>
              <w:right w:val="single" w:sz="6" w:space="0" w:color="auto"/>
            </w:tcBorders>
            <w:vAlign w:val="center"/>
          </w:tcPr>
          <w:p w14:paraId="29173796" w14:textId="77777777" w:rsidR="000B086A" w:rsidRPr="0061109F" w:rsidRDefault="000B086A" w:rsidP="000B086A">
            <w:pPr>
              <w:autoSpaceDE w:val="0"/>
              <w:autoSpaceDN w:val="0"/>
              <w:adjustRightInd w:val="0"/>
              <w:spacing w:line="480" w:lineRule="auto"/>
              <w:jc w:val="center"/>
              <w:rPr>
                <w:rFonts w:ascii="Calibri" w:hAnsi="Calibri" w:cs="Calibri"/>
                <w:sz w:val="20"/>
                <w:szCs w:val="20"/>
              </w:rPr>
            </w:pPr>
            <w:r w:rsidRPr="0061109F">
              <w:rPr>
                <w:rFonts w:ascii="Calibri" w:hAnsi="Calibri" w:cs="Calibri"/>
                <w:sz w:val="20"/>
                <w:szCs w:val="20"/>
              </w:rPr>
              <w:t>70/76</w:t>
            </w:r>
          </w:p>
        </w:tc>
        <w:tc>
          <w:tcPr>
            <w:tcW w:w="1418" w:type="dxa"/>
            <w:tcBorders>
              <w:top w:val="single" w:sz="6" w:space="0" w:color="auto"/>
              <w:left w:val="single" w:sz="6" w:space="0" w:color="auto"/>
              <w:bottom w:val="single" w:sz="6" w:space="0" w:color="auto"/>
              <w:right w:val="single" w:sz="6" w:space="0" w:color="auto"/>
            </w:tcBorders>
            <w:vAlign w:val="center"/>
          </w:tcPr>
          <w:p w14:paraId="7ABC3B19" w14:textId="31591442" w:rsidR="000B086A" w:rsidRPr="0061109F" w:rsidRDefault="000B086A" w:rsidP="000B086A">
            <w:pPr>
              <w:autoSpaceDE w:val="0"/>
              <w:autoSpaceDN w:val="0"/>
              <w:adjustRightInd w:val="0"/>
              <w:spacing w:line="480" w:lineRule="auto"/>
              <w:jc w:val="center"/>
              <w:rPr>
                <w:rFonts w:ascii="Calibri" w:hAnsi="Calibri" w:cs="Calibri"/>
                <w:sz w:val="20"/>
                <w:szCs w:val="20"/>
              </w:rPr>
            </w:pPr>
            <w:r w:rsidRPr="0061109F">
              <w:rPr>
                <w:rFonts w:ascii="Calibri" w:hAnsi="Calibri" w:cs="Calibri"/>
                <w:sz w:val="20"/>
                <w:szCs w:val="20"/>
              </w:rPr>
              <w:t>1</w:t>
            </w:r>
            <w:r w:rsidR="004F4B6E" w:rsidRPr="0061109F">
              <w:rPr>
                <w:rFonts w:ascii="Calibri" w:hAnsi="Calibri" w:cs="Calibri"/>
                <w:sz w:val="20"/>
                <w:szCs w:val="20"/>
              </w:rPr>
              <w:t>,</w:t>
            </w:r>
            <w:r w:rsidRPr="0061109F">
              <w:rPr>
                <w:rFonts w:ascii="Calibri" w:hAnsi="Calibri" w:cs="Calibri"/>
                <w:sz w:val="20"/>
                <w:szCs w:val="20"/>
              </w:rPr>
              <w:t>075/1</w:t>
            </w:r>
            <w:r w:rsidR="004F4B6E" w:rsidRPr="0061109F">
              <w:rPr>
                <w:rFonts w:ascii="Calibri" w:hAnsi="Calibri" w:cs="Calibri"/>
                <w:sz w:val="20"/>
                <w:szCs w:val="20"/>
              </w:rPr>
              <w:t>,</w:t>
            </w:r>
            <w:r w:rsidRPr="0061109F">
              <w:rPr>
                <w:rFonts w:ascii="Calibri" w:hAnsi="Calibri" w:cs="Calibri"/>
                <w:sz w:val="20"/>
                <w:szCs w:val="20"/>
              </w:rPr>
              <w:t>185</w:t>
            </w:r>
          </w:p>
        </w:tc>
        <w:tc>
          <w:tcPr>
            <w:tcW w:w="1559" w:type="dxa"/>
            <w:tcBorders>
              <w:top w:val="single" w:sz="6" w:space="0" w:color="auto"/>
              <w:left w:val="single" w:sz="6" w:space="0" w:color="auto"/>
              <w:bottom w:val="single" w:sz="6" w:space="0" w:color="auto"/>
              <w:right w:val="single" w:sz="6" w:space="0" w:color="auto"/>
            </w:tcBorders>
            <w:vAlign w:val="center"/>
          </w:tcPr>
          <w:p w14:paraId="22342479" w14:textId="03965112" w:rsidR="000B086A" w:rsidRPr="0061109F" w:rsidRDefault="000B086A" w:rsidP="000B086A">
            <w:pPr>
              <w:autoSpaceDE w:val="0"/>
              <w:autoSpaceDN w:val="0"/>
              <w:adjustRightInd w:val="0"/>
              <w:spacing w:line="480" w:lineRule="auto"/>
              <w:jc w:val="center"/>
              <w:rPr>
                <w:rFonts w:ascii="Calibri" w:hAnsi="Calibri" w:cs="Calibri"/>
                <w:sz w:val="20"/>
                <w:szCs w:val="20"/>
              </w:rPr>
            </w:pPr>
            <w:r w:rsidRPr="0061109F">
              <w:rPr>
                <w:rFonts w:ascii="Calibri" w:hAnsi="Calibri" w:cs="Calibri"/>
                <w:sz w:val="20"/>
                <w:szCs w:val="20"/>
              </w:rPr>
              <w:t>1.00 (0.92-1.09)</w:t>
            </w:r>
          </w:p>
        </w:tc>
        <w:tc>
          <w:tcPr>
            <w:tcW w:w="1701" w:type="dxa"/>
            <w:tcBorders>
              <w:top w:val="single" w:sz="6" w:space="0" w:color="auto"/>
              <w:left w:val="single" w:sz="6" w:space="0" w:color="auto"/>
              <w:bottom w:val="single" w:sz="6" w:space="0" w:color="auto"/>
              <w:right w:val="single" w:sz="6" w:space="0" w:color="auto"/>
            </w:tcBorders>
            <w:vAlign w:val="center"/>
          </w:tcPr>
          <w:p w14:paraId="4567E922" w14:textId="4007C19E" w:rsidR="000B086A" w:rsidRPr="0061109F" w:rsidRDefault="000B086A" w:rsidP="000B086A">
            <w:pPr>
              <w:autoSpaceDE w:val="0"/>
              <w:autoSpaceDN w:val="0"/>
              <w:adjustRightInd w:val="0"/>
              <w:spacing w:line="480" w:lineRule="auto"/>
              <w:jc w:val="center"/>
              <w:rPr>
                <w:rFonts w:ascii="Calibri" w:hAnsi="Calibri" w:cs="Calibri"/>
                <w:sz w:val="20"/>
                <w:szCs w:val="20"/>
              </w:rPr>
            </w:pPr>
            <w:r w:rsidRPr="0061109F">
              <w:rPr>
                <w:rFonts w:ascii="Calibri" w:hAnsi="Calibri" w:cs="Calibri"/>
                <w:sz w:val="20"/>
                <w:szCs w:val="20"/>
              </w:rPr>
              <w:t>1.07 (0.84-1.36)</w:t>
            </w:r>
          </w:p>
        </w:tc>
        <w:tc>
          <w:tcPr>
            <w:tcW w:w="1701" w:type="dxa"/>
            <w:tcBorders>
              <w:top w:val="single" w:sz="6" w:space="0" w:color="auto"/>
              <w:left w:val="single" w:sz="6" w:space="0" w:color="auto"/>
              <w:bottom w:val="single" w:sz="6" w:space="0" w:color="auto"/>
              <w:right w:val="single" w:sz="6" w:space="0" w:color="auto"/>
            </w:tcBorders>
            <w:vAlign w:val="center"/>
          </w:tcPr>
          <w:p w14:paraId="3E679984" w14:textId="3DBB5C11" w:rsidR="000B086A" w:rsidRPr="0061109F" w:rsidRDefault="000B086A" w:rsidP="000B086A">
            <w:pPr>
              <w:autoSpaceDE w:val="0"/>
              <w:autoSpaceDN w:val="0"/>
              <w:adjustRightInd w:val="0"/>
              <w:spacing w:line="480" w:lineRule="auto"/>
              <w:jc w:val="center"/>
              <w:rPr>
                <w:rFonts w:ascii="Calibri" w:hAnsi="Calibri" w:cs="Calibri"/>
                <w:sz w:val="20"/>
                <w:szCs w:val="20"/>
              </w:rPr>
            </w:pPr>
            <w:r w:rsidRPr="0061109F">
              <w:rPr>
                <w:rFonts w:ascii="Calibri" w:hAnsi="Calibri" w:cs="Calibri"/>
                <w:sz w:val="20"/>
                <w:szCs w:val="20"/>
              </w:rPr>
              <w:t>1.04 (0.84-1.28)</w:t>
            </w:r>
          </w:p>
        </w:tc>
      </w:tr>
      <w:tr w:rsidR="0061109F" w:rsidRPr="0061109F" w14:paraId="0DABDD59" w14:textId="77777777" w:rsidTr="000B086A">
        <w:trPr>
          <w:trHeight w:val="565"/>
        </w:trPr>
        <w:tc>
          <w:tcPr>
            <w:tcW w:w="1726" w:type="dxa"/>
            <w:tcBorders>
              <w:top w:val="single" w:sz="6" w:space="0" w:color="auto"/>
              <w:left w:val="single" w:sz="6" w:space="0" w:color="auto"/>
              <w:bottom w:val="single" w:sz="6" w:space="0" w:color="auto"/>
              <w:right w:val="single" w:sz="6" w:space="0" w:color="auto"/>
            </w:tcBorders>
            <w:vAlign w:val="center"/>
          </w:tcPr>
          <w:p w14:paraId="6CDF41F4" w14:textId="77777777" w:rsidR="000B086A" w:rsidRPr="0061109F" w:rsidRDefault="000B086A" w:rsidP="000B086A">
            <w:pPr>
              <w:autoSpaceDE w:val="0"/>
              <w:autoSpaceDN w:val="0"/>
              <w:adjustRightInd w:val="0"/>
              <w:spacing w:line="480" w:lineRule="auto"/>
              <w:ind w:left="213"/>
              <w:rPr>
                <w:rFonts w:ascii="Calibri" w:hAnsi="Calibri" w:cs="Calibri"/>
                <w:sz w:val="20"/>
                <w:szCs w:val="20"/>
              </w:rPr>
            </w:pPr>
            <w:r w:rsidRPr="0061109F">
              <w:rPr>
                <w:rFonts w:ascii="Calibri" w:hAnsi="Calibri" w:cs="Calibri"/>
                <w:sz w:val="20"/>
                <w:szCs w:val="20"/>
              </w:rPr>
              <w:t>Suicide</w:t>
            </w:r>
          </w:p>
        </w:tc>
        <w:tc>
          <w:tcPr>
            <w:tcW w:w="1134" w:type="dxa"/>
            <w:tcBorders>
              <w:top w:val="single" w:sz="6" w:space="0" w:color="auto"/>
              <w:left w:val="single" w:sz="6" w:space="0" w:color="auto"/>
              <w:bottom w:val="single" w:sz="6" w:space="0" w:color="auto"/>
              <w:right w:val="single" w:sz="6" w:space="0" w:color="auto"/>
            </w:tcBorders>
            <w:vAlign w:val="center"/>
          </w:tcPr>
          <w:p w14:paraId="4BF22DD8" w14:textId="77777777" w:rsidR="000B086A" w:rsidRPr="0061109F" w:rsidRDefault="000B086A" w:rsidP="000B086A">
            <w:pPr>
              <w:autoSpaceDE w:val="0"/>
              <w:autoSpaceDN w:val="0"/>
              <w:adjustRightInd w:val="0"/>
              <w:spacing w:line="480" w:lineRule="auto"/>
              <w:jc w:val="center"/>
              <w:rPr>
                <w:rFonts w:ascii="Calibri" w:hAnsi="Calibri" w:cs="Calibri"/>
                <w:sz w:val="20"/>
                <w:szCs w:val="20"/>
              </w:rPr>
            </w:pPr>
            <w:r w:rsidRPr="0061109F">
              <w:rPr>
                <w:rFonts w:ascii="Calibri" w:hAnsi="Calibri" w:cs="Calibri"/>
                <w:sz w:val="20"/>
                <w:szCs w:val="20"/>
              </w:rPr>
              <w:t>28/30</w:t>
            </w:r>
          </w:p>
        </w:tc>
        <w:tc>
          <w:tcPr>
            <w:tcW w:w="1418" w:type="dxa"/>
            <w:tcBorders>
              <w:top w:val="single" w:sz="6" w:space="0" w:color="auto"/>
              <w:left w:val="single" w:sz="6" w:space="0" w:color="auto"/>
              <w:bottom w:val="single" w:sz="6" w:space="0" w:color="auto"/>
              <w:right w:val="single" w:sz="6" w:space="0" w:color="auto"/>
            </w:tcBorders>
            <w:vAlign w:val="center"/>
          </w:tcPr>
          <w:p w14:paraId="24D58938" w14:textId="7AB9B45E" w:rsidR="000B086A" w:rsidRPr="0061109F" w:rsidRDefault="000B086A" w:rsidP="000B086A">
            <w:pPr>
              <w:autoSpaceDE w:val="0"/>
              <w:autoSpaceDN w:val="0"/>
              <w:adjustRightInd w:val="0"/>
              <w:spacing w:line="480" w:lineRule="auto"/>
              <w:jc w:val="center"/>
              <w:rPr>
                <w:rFonts w:ascii="Calibri" w:hAnsi="Calibri" w:cs="Calibri"/>
                <w:sz w:val="20"/>
                <w:szCs w:val="20"/>
              </w:rPr>
            </w:pPr>
            <w:r w:rsidRPr="0061109F">
              <w:rPr>
                <w:rFonts w:ascii="Calibri" w:hAnsi="Calibri" w:cs="Calibri"/>
                <w:sz w:val="20"/>
                <w:szCs w:val="20"/>
              </w:rPr>
              <w:t>1</w:t>
            </w:r>
            <w:r w:rsidR="004F4B6E" w:rsidRPr="0061109F">
              <w:rPr>
                <w:rFonts w:ascii="Calibri" w:hAnsi="Calibri" w:cs="Calibri"/>
                <w:sz w:val="20"/>
                <w:szCs w:val="20"/>
              </w:rPr>
              <w:t>,</w:t>
            </w:r>
            <w:r w:rsidRPr="0061109F">
              <w:rPr>
                <w:rFonts w:ascii="Calibri" w:hAnsi="Calibri" w:cs="Calibri"/>
                <w:sz w:val="20"/>
                <w:szCs w:val="20"/>
              </w:rPr>
              <w:t>117/1</w:t>
            </w:r>
            <w:r w:rsidR="004F4B6E" w:rsidRPr="0061109F">
              <w:rPr>
                <w:rFonts w:ascii="Calibri" w:hAnsi="Calibri" w:cs="Calibri"/>
                <w:sz w:val="20"/>
                <w:szCs w:val="20"/>
              </w:rPr>
              <w:t>,</w:t>
            </w:r>
            <w:r w:rsidRPr="0061109F">
              <w:rPr>
                <w:rFonts w:ascii="Calibri" w:hAnsi="Calibri" w:cs="Calibri"/>
                <w:sz w:val="20"/>
                <w:szCs w:val="20"/>
              </w:rPr>
              <w:t>231</w:t>
            </w:r>
          </w:p>
        </w:tc>
        <w:tc>
          <w:tcPr>
            <w:tcW w:w="1559" w:type="dxa"/>
            <w:tcBorders>
              <w:top w:val="single" w:sz="6" w:space="0" w:color="auto"/>
              <w:left w:val="single" w:sz="6" w:space="0" w:color="auto"/>
              <w:bottom w:val="single" w:sz="6" w:space="0" w:color="auto"/>
              <w:right w:val="single" w:sz="6" w:space="0" w:color="auto"/>
            </w:tcBorders>
            <w:vAlign w:val="center"/>
          </w:tcPr>
          <w:p w14:paraId="2EFDE357" w14:textId="1B05A36D" w:rsidR="000B086A" w:rsidRPr="0061109F" w:rsidRDefault="000B086A" w:rsidP="000B086A">
            <w:pPr>
              <w:autoSpaceDE w:val="0"/>
              <w:autoSpaceDN w:val="0"/>
              <w:adjustRightInd w:val="0"/>
              <w:spacing w:line="480" w:lineRule="auto"/>
              <w:jc w:val="center"/>
              <w:rPr>
                <w:rFonts w:ascii="Calibri" w:hAnsi="Calibri" w:cs="Calibri"/>
                <w:sz w:val="20"/>
                <w:szCs w:val="20"/>
              </w:rPr>
            </w:pPr>
            <w:r w:rsidRPr="0061109F">
              <w:rPr>
                <w:rFonts w:ascii="Calibri" w:hAnsi="Calibri" w:cs="Calibri"/>
                <w:sz w:val="20"/>
                <w:szCs w:val="20"/>
              </w:rPr>
              <w:t>1.03 (0.90-1.18)</w:t>
            </w:r>
          </w:p>
        </w:tc>
        <w:tc>
          <w:tcPr>
            <w:tcW w:w="1701" w:type="dxa"/>
            <w:tcBorders>
              <w:top w:val="single" w:sz="6" w:space="0" w:color="auto"/>
              <w:left w:val="single" w:sz="6" w:space="0" w:color="auto"/>
              <w:bottom w:val="single" w:sz="6" w:space="0" w:color="auto"/>
              <w:right w:val="single" w:sz="6" w:space="0" w:color="auto"/>
            </w:tcBorders>
            <w:vAlign w:val="center"/>
          </w:tcPr>
          <w:p w14:paraId="5D074AB5" w14:textId="413EE385" w:rsidR="000B086A" w:rsidRPr="0061109F" w:rsidRDefault="000B086A" w:rsidP="000B086A">
            <w:pPr>
              <w:autoSpaceDE w:val="0"/>
              <w:autoSpaceDN w:val="0"/>
              <w:adjustRightInd w:val="0"/>
              <w:spacing w:line="480" w:lineRule="auto"/>
              <w:jc w:val="center"/>
              <w:rPr>
                <w:rFonts w:ascii="Calibri" w:hAnsi="Calibri" w:cs="Calibri"/>
                <w:sz w:val="20"/>
                <w:szCs w:val="20"/>
              </w:rPr>
            </w:pPr>
            <w:r w:rsidRPr="0061109F">
              <w:rPr>
                <w:rFonts w:ascii="Calibri" w:hAnsi="Calibri" w:cs="Calibri"/>
                <w:sz w:val="20"/>
                <w:szCs w:val="20"/>
              </w:rPr>
              <w:t>1.05 (0.73-1.50)</w:t>
            </w:r>
          </w:p>
        </w:tc>
        <w:tc>
          <w:tcPr>
            <w:tcW w:w="1701" w:type="dxa"/>
            <w:tcBorders>
              <w:top w:val="single" w:sz="6" w:space="0" w:color="auto"/>
              <w:left w:val="single" w:sz="6" w:space="0" w:color="auto"/>
              <w:bottom w:val="single" w:sz="6" w:space="0" w:color="auto"/>
              <w:right w:val="single" w:sz="6" w:space="0" w:color="auto"/>
            </w:tcBorders>
            <w:vAlign w:val="center"/>
          </w:tcPr>
          <w:p w14:paraId="7BC9F43E" w14:textId="6F954DB1" w:rsidR="000B086A" w:rsidRPr="0061109F" w:rsidRDefault="000B086A" w:rsidP="000B086A">
            <w:pPr>
              <w:autoSpaceDE w:val="0"/>
              <w:autoSpaceDN w:val="0"/>
              <w:adjustRightInd w:val="0"/>
              <w:spacing w:line="480" w:lineRule="auto"/>
              <w:jc w:val="center"/>
              <w:rPr>
                <w:rFonts w:ascii="Calibri" w:hAnsi="Calibri" w:cs="Calibri"/>
                <w:sz w:val="20"/>
                <w:szCs w:val="20"/>
              </w:rPr>
            </w:pPr>
            <w:r w:rsidRPr="0061109F">
              <w:rPr>
                <w:rFonts w:ascii="Calibri" w:hAnsi="Calibri" w:cs="Calibri"/>
                <w:sz w:val="20"/>
                <w:szCs w:val="20"/>
              </w:rPr>
              <w:t>0.75 (0.55-1.03)</w:t>
            </w:r>
          </w:p>
        </w:tc>
      </w:tr>
      <w:tr w:rsidR="0061109F" w:rsidRPr="0061109F" w14:paraId="239632A9" w14:textId="77777777" w:rsidTr="000B086A">
        <w:trPr>
          <w:trHeight w:val="545"/>
        </w:trPr>
        <w:tc>
          <w:tcPr>
            <w:tcW w:w="1726" w:type="dxa"/>
            <w:tcBorders>
              <w:top w:val="single" w:sz="6" w:space="0" w:color="auto"/>
              <w:left w:val="single" w:sz="6" w:space="0" w:color="auto"/>
              <w:bottom w:val="single" w:sz="6" w:space="0" w:color="auto"/>
              <w:right w:val="single" w:sz="6" w:space="0" w:color="auto"/>
            </w:tcBorders>
            <w:vAlign w:val="center"/>
          </w:tcPr>
          <w:p w14:paraId="15574553" w14:textId="77777777" w:rsidR="000B086A" w:rsidRPr="0061109F" w:rsidRDefault="000B086A" w:rsidP="000B086A">
            <w:pPr>
              <w:autoSpaceDE w:val="0"/>
              <w:autoSpaceDN w:val="0"/>
              <w:adjustRightInd w:val="0"/>
              <w:spacing w:line="480" w:lineRule="auto"/>
              <w:ind w:left="71"/>
              <w:rPr>
                <w:rFonts w:ascii="Calibri" w:hAnsi="Calibri" w:cs="Calibri"/>
                <w:sz w:val="20"/>
                <w:szCs w:val="20"/>
              </w:rPr>
            </w:pPr>
            <w:r w:rsidRPr="0061109F">
              <w:rPr>
                <w:rFonts w:ascii="Calibri" w:hAnsi="Calibri" w:cs="Calibri"/>
                <w:sz w:val="20"/>
                <w:szCs w:val="20"/>
              </w:rPr>
              <w:t>Other causes</w:t>
            </w:r>
          </w:p>
        </w:tc>
        <w:tc>
          <w:tcPr>
            <w:tcW w:w="1134" w:type="dxa"/>
            <w:tcBorders>
              <w:top w:val="single" w:sz="6" w:space="0" w:color="auto"/>
              <w:left w:val="single" w:sz="6" w:space="0" w:color="auto"/>
              <w:bottom w:val="single" w:sz="6" w:space="0" w:color="auto"/>
              <w:right w:val="single" w:sz="6" w:space="0" w:color="auto"/>
            </w:tcBorders>
            <w:vAlign w:val="center"/>
          </w:tcPr>
          <w:p w14:paraId="500B3826" w14:textId="77777777" w:rsidR="000B086A" w:rsidRPr="0061109F" w:rsidRDefault="000B086A" w:rsidP="000B086A">
            <w:pPr>
              <w:autoSpaceDE w:val="0"/>
              <w:autoSpaceDN w:val="0"/>
              <w:adjustRightInd w:val="0"/>
              <w:spacing w:line="480" w:lineRule="auto"/>
              <w:jc w:val="center"/>
              <w:rPr>
                <w:rFonts w:ascii="Calibri" w:hAnsi="Calibri" w:cs="Calibri"/>
                <w:sz w:val="20"/>
                <w:szCs w:val="20"/>
              </w:rPr>
            </w:pPr>
            <w:r w:rsidRPr="0061109F">
              <w:rPr>
                <w:rFonts w:ascii="Calibri" w:hAnsi="Calibri" w:cs="Calibri"/>
                <w:sz w:val="20"/>
                <w:szCs w:val="20"/>
              </w:rPr>
              <w:t>364/395</w:t>
            </w:r>
          </w:p>
        </w:tc>
        <w:tc>
          <w:tcPr>
            <w:tcW w:w="1418" w:type="dxa"/>
            <w:tcBorders>
              <w:top w:val="single" w:sz="6" w:space="0" w:color="auto"/>
              <w:left w:val="single" w:sz="6" w:space="0" w:color="auto"/>
              <w:bottom w:val="single" w:sz="6" w:space="0" w:color="auto"/>
              <w:right w:val="single" w:sz="6" w:space="0" w:color="auto"/>
            </w:tcBorders>
            <w:vAlign w:val="center"/>
          </w:tcPr>
          <w:p w14:paraId="5975F015" w14:textId="77777777" w:rsidR="000B086A" w:rsidRPr="0061109F" w:rsidRDefault="000B086A" w:rsidP="000B086A">
            <w:pPr>
              <w:autoSpaceDE w:val="0"/>
              <w:autoSpaceDN w:val="0"/>
              <w:adjustRightInd w:val="0"/>
              <w:spacing w:line="480" w:lineRule="auto"/>
              <w:jc w:val="center"/>
              <w:rPr>
                <w:rFonts w:ascii="Calibri" w:hAnsi="Calibri" w:cs="Calibri"/>
                <w:sz w:val="20"/>
                <w:szCs w:val="20"/>
              </w:rPr>
            </w:pPr>
            <w:r w:rsidRPr="0061109F">
              <w:rPr>
                <w:rFonts w:ascii="Calibri" w:hAnsi="Calibri" w:cs="Calibri"/>
                <w:sz w:val="20"/>
                <w:szCs w:val="20"/>
              </w:rPr>
              <w:t>781/866</w:t>
            </w:r>
          </w:p>
        </w:tc>
        <w:tc>
          <w:tcPr>
            <w:tcW w:w="1559" w:type="dxa"/>
            <w:tcBorders>
              <w:top w:val="single" w:sz="6" w:space="0" w:color="auto"/>
              <w:left w:val="single" w:sz="6" w:space="0" w:color="auto"/>
              <w:bottom w:val="single" w:sz="6" w:space="0" w:color="auto"/>
              <w:right w:val="single" w:sz="6" w:space="0" w:color="auto"/>
            </w:tcBorders>
            <w:vAlign w:val="center"/>
          </w:tcPr>
          <w:p w14:paraId="1C882D26" w14:textId="237B64C4" w:rsidR="000B086A" w:rsidRPr="0061109F" w:rsidRDefault="000B086A" w:rsidP="000B086A">
            <w:pPr>
              <w:autoSpaceDE w:val="0"/>
              <w:autoSpaceDN w:val="0"/>
              <w:adjustRightInd w:val="0"/>
              <w:spacing w:line="480" w:lineRule="auto"/>
              <w:jc w:val="center"/>
              <w:rPr>
                <w:rFonts w:ascii="Calibri" w:hAnsi="Calibri" w:cs="Calibri"/>
                <w:sz w:val="20"/>
                <w:szCs w:val="20"/>
              </w:rPr>
            </w:pPr>
            <w:r w:rsidRPr="0061109F">
              <w:rPr>
                <w:rFonts w:ascii="Calibri" w:hAnsi="Calibri" w:cs="Calibri"/>
                <w:sz w:val="20"/>
                <w:szCs w:val="20"/>
              </w:rPr>
              <w:t>0.99 (0.95-1.03)</w:t>
            </w:r>
          </w:p>
        </w:tc>
        <w:tc>
          <w:tcPr>
            <w:tcW w:w="1701" w:type="dxa"/>
            <w:tcBorders>
              <w:top w:val="single" w:sz="6" w:space="0" w:color="auto"/>
              <w:left w:val="single" w:sz="6" w:space="0" w:color="auto"/>
              <w:bottom w:val="single" w:sz="6" w:space="0" w:color="auto"/>
              <w:right w:val="single" w:sz="6" w:space="0" w:color="auto"/>
            </w:tcBorders>
            <w:vAlign w:val="center"/>
          </w:tcPr>
          <w:p w14:paraId="2F38C447" w14:textId="4520FFF5" w:rsidR="000B086A" w:rsidRPr="0061109F" w:rsidRDefault="000B086A" w:rsidP="000B086A">
            <w:pPr>
              <w:autoSpaceDE w:val="0"/>
              <w:autoSpaceDN w:val="0"/>
              <w:adjustRightInd w:val="0"/>
              <w:spacing w:line="480" w:lineRule="auto"/>
              <w:jc w:val="center"/>
              <w:rPr>
                <w:rFonts w:ascii="Calibri" w:hAnsi="Calibri" w:cs="Calibri"/>
                <w:sz w:val="20"/>
                <w:szCs w:val="20"/>
              </w:rPr>
            </w:pPr>
            <w:r w:rsidRPr="0061109F">
              <w:rPr>
                <w:rFonts w:ascii="Calibri" w:hAnsi="Calibri" w:cs="Calibri"/>
                <w:sz w:val="20"/>
                <w:szCs w:val="20"/>
              </w:rPr>
              <w:t>0.95 (0.85-1.07)</w:t>
            </w:r>
          </w:p>
        </w:tc>
        <w:tc>
          <w:tcPr>
            <w:tcW w:w="1701" w:type="dxa"/>
            <w:tcBorders>
              <w:top w:val="single" w:sz="6" w:space="0" w:color="auto"/>
              <w:left w:val="single" w:sz="6" w:space="0" w:color="auto"/>
              <w:bottom w:val="single" w:sz="6" w:space="0" w:color="auto"/>
              <w:right w:val="single" w:sz="6" w:space="0" w:color="auto"/>
            </w:tcBorders>
            <w:vAlign w:val="center"/>
          </w:tcPr>
          <w:p w14:paraId="2FCE977C" w14:textId="79E04885" w:rsidR="000B086A" w:rsidRPr="0061109F" w:rsidRDefault="000B086A" w:rsidP="000B086A">
            <w:pPr>
              <w:autoSpaceDE w:val="0"/>
              <w:autoSpaceDN w:val="0"/>
              <w:adjustRightInd w:val="0"/>
              <w:spacing w:line="480" w:lineRule="auto"/>
              <w:jc w:val="center"/>
              <w:rPr>
                <w:rFonts w:ascii="Calibri" w:hAnsi="Calibri" w:cs="Calibri"/>
                <w:sz w:val="20"/>
                <w:szCs w:val="20"/>
              </w:rPr>
            </w:pPr>
            <w:r w:rsidRPr="0061109F">
              <w:rPr>
                <w:rFonts w:ascii="Calibri" w:hAnsi="Calibri" w:cs="Calibri"/>
                <w:sz w:val="20"/>
                <w:szCs w:val="20"/>
              </w:rPr>
              <w:t>1.05 (0.96-1.15)</w:t>
            </w:r>
          </w:p>
        </w:tc>
      </w:tr>
    </w:tbl>
    <w:p w14:paraId="5422433A" w14:textId="4EA63E82" w:rsidR="000B086A" w:rsidRPr="0061109F" w:rsidRDefault="000B086A" w:rsidP="000B086A">
      <w:pPr>
        <w:pStyle w:val="Kaarina"/>
        <w:spacing w:line="480" w:lineRule="auto"/>
        <w:rPr>
          <w:sz w:val="22"/>
          <w:szCs w:val="22"/>
        </w:rPr>
      </w:pPr>
      <w:r w:rsidRPr="0061109F">
        <w:rPr>
          <w:sz w:val="22"/>
          <w:szCs w:val="22"/>
        </w:rPr>
        <w:t>Hazard Ratios (95% confidence interval) are presented. No effects were statistically significant at</w:t>
      </w:r>
      <w:r w:rsidR="004237C5" w:rsidRPr="0061109F">
        <w:rPr>
          <w:sz w:val="22"/>
          <w:szCs w:val="22"/>
        </w:rPr>
        <w:t xml:space="preserve"> </w:t>
      </w:r>
      <w:r w:rsidR="004237C5" w:rsidRPr="0061109F">
        <w:rPr>
          <w:i/>
          <w:sz w:val="22"/>
          <w:szCs w:val="22"/>
        </w:rPr>
        <w:t>p</w:t>
      </w:r>
      <w:r w:rsidRPr="0061109F">
        <w:rPr>
          <w:sz w:val="22"/>
          <w:szCs w:val="22"/>
        </w:rPr>
        <w:t>≤0.00</w:t>
      </w:r>
      <w:r w:rsidR="004237C5" w:rsidRPr="0061109F">
        <w:rPr>
          <w:sz w:val="22"/>
          <w:szCs w:val="22"/>
        </w:rPr>
        <w:t>11</w:t>
      </w:r>
      <w:r w:rsidRPr="0061109F">
        <w:rPr>
          <w:sz w:val="22"/>
          <w:szCs w:val="22"/>
        </w:rPr>
        <w:t xml:space="preserve">. </w:t>
      </w:r>
      <w:r w:rsidRPr="0061109F">
        <w:rPr>
          <w:rStyle w:val="Heading2Char"/>
          <w:rFonts w:ascii="Calibri" w:hAnsi="Calibri" w:cs="Calibri"/>
          <w:color w:val="auto"/>
          <w:sz w:val="22"/>
          <w:szCs w:val="22"/>
        </w:rPr>
        <w:t>N are represented as CNV / Exome burden measures.</w:t>
      </w:r>
      <w:r w:rsidRPr="0061109F">
        <w:rPr>
          <w:sz w:val="22"/>
          <w:szCs w:val="22"/>
          <w:vertAlign w:val="superscript"/>
        </w:rPr>
        <w:t xml:space="preserve"> </w:t>
      </w:r>
      <w:r w:rsidR="00D75530" w:rsidRPr="0061109F">
        <w:rPr>
          <w:sz w:val="22"/>
          <w:szCs w:val="22"/>
        </w:rPr>
        <w:t>Total N for CNV (n=1</w:t>
      </w:r>
      <w:r w:rsidR="004D328D" w:rsidRPr="0061109F">
        <w:rPr>
          <w:sz w:val="22"/>
          <w:szCs w:val="22"/>
        </w:rPr>
        <w:t>,</w:t>
      </w:r>
      <w:r w:rsidR="00D75530" w:rsidRPr="0061109F">
        <w:rPr>
          <w:sz w:val="22"/>
          <w:szCs w:val="22"/>
        </w:rPr>
        <w:t>14</w:t>
      </w:r>
      <w:r w:rsidR="007746CC" w:rsidRPr="0061109F">
        <w:rPr>
          <w:sz w:val="22"/>
          <w:szCs w:val="22"/>
        </w:rPr>
        <w:t>5</w:t>
      </w:r>
      <w:r w:rsidR="00D75530" w:rsidRPr="0061109F">
        <w:rPr>
          <w:sz w:val="22"/>
          <w:szCs w:val="22"/>
        </w:rPr>
        <w:t xml:space="preserve"> SCZ cases who died) and exome burden (n=1</w:t>
      </w:r>
      <w:r w:rsidR="004D328D" w:rsidRPr="0061109F">
        <w:rPr>
          <w:sz w:val="22"/>
          <w:szCs w:val="22"/>
        </w:rPr>
        <w:t>,</w:t>
      </w:r>
      <w:r w:rsidR="00D75530" w:rsidRPr="0061109F">
        <w:rPr>
          <w:sz w:val="22"/>
          <w:szCs w:val="22"/>
        </w:rPr>
        <w:t>261 SCZ cases who died). B</w:t>
      </w:r>
      <w:r w:rsidRPr="0061109F">
        <w:rPr>
          <w:sz w:val="22"/>
          <w:szCs w:val="22"/>
        </w:rPr>
        <w:t xml:space="preserve">oth models contain the listed exposure (Model 1: CNV size and total number of CNVs and Model 2: ddURVs) and the first 5 ancestry principal components. Model 2 additionally contains the count of synonymous variants as a technical covariate. </w:t>
      </w:r>
      <w:r w:rsidRPr="0061109F">
        <w:rPr>
          <w:rStyle w:val="Heading2Char"/>
          <w:rFonts w:ascii="Calibri" w:hAnsi="Calibri" w:cs="Calibri"/>
          <w:color w:val="auto"/>
          <w:sz w:val="22"/>
          <w:szCs w:val="22"/>
        </w:rPr>
        <w:t>CNV: Copy number variant, ddURV: damaging or disruptive ultra-rare variant.</w:t>
      </w:r>
    </w:p>
    <w:p w14:paraId="4179ED00" w14:textId="77777777" w:rsidR="000B086A" w:rsidRPr="0061109F" w:rsidRDefault="000B086A" w:rsidP="000B086A">
      <w:pPr>
        <w:spacing w:line="480" w:lineRule="auto"/>
        <w:rPr>
          <w:rFonts w:ascii="Calibri" w:hAnsi="Calibri" w:cs="Calibri"/>
          <w:sz w:val="22"/>
          <w:szCs w:val="22"/>
        </w:rPr>
      </w:pPr>
      <w:r w:rsidRPr="0061109F">
        <w:rPr>
          <w:rFonts w:ascii="Calibri" w:hAnsi="Calibri" w:cs="Calibri"/>
          <w:sz w:val="22"/>
          <w:szCs w:val="22"/>
        </w:rPr>
        <w:br w:type="page"/>
      </w:r>
    </w:p>
    <w:p w14:paraId="7D85E62C" w14:textId="323C7C13" w:rsidR="000B086A" w:rsidRPr="0061109F" w:rsidRDefault="00C77EC2" w:rsidP="000B086A">
      <w:pPr>
        <w:pStyle w:val="Heading4"/>
        <w:spacing w:line="480" w:lineRule="auto"/>
        <w:rPr>
          <w:b/>
          <w:i w:val="0"/>
          <w:color w:val="auto"/>
          <w:sz w:val="22"/>
          <w:szCs w:val="22"/>
        </w:rPr>
      </w:pPr>
      <w:r w:rsidRPr="0061109F">
        <w:rPr>
          <w:b/>
          <w:i w:val="0"/>
          <w:color w:val="auto"/>
          <w:sz w:val="22"/>
          <w:szCs w:val="22"/>
        </w:rPr>
        <w:lastRenderedPageBreak/>
        <w:t xml:space="preserve">Supplementary </w:t>
      </w:r>
      <w:r w:rsidR="000B086A" w:rsidRPr="0061109F">
        <w:rPr>
          <w:b/>
          <w:i w:val="0"/>
          <w:color w:val="auto"/>
          <w:sz w:val="22"/>
          <w:szCs w:val="22"/>
        </w:rPr>
        <w:t xml:space="preserve">Table 7: </w:t>
      </w:r>
      <w:r w:rsidR="000B086A" w:rsidRPr="0061109F">
        <w:rPr>
          <w:i w:val="0"/>
          <w:color w:val="auto"/>
          <w:sz w:val="22"/>
          <w:szCs w:val="22"/>
        </w:rPr>
        <w:t>Cox Proportional Hazards modelling of clonal hematopoiesis somatic mutations in association with specific causes of death in Swedish cases of schizophrenia (</w:t>
      </w:r>
      <w:r w:rsidR="000149EE" w:rsidRPr="0061109F">
        <w:rPr>
          <w:i w:val="0"/>
          <w:color w:val="auto"/>
          <w:sz w:val="22"/>
          <w:szCs w:val="22"/>
        </w:rPr>
        <w:t xml:space="preserve">genetic subsample, </w:t>
      </w:r>
      <w:r w:rsidR="000B086A" w:rsidRPr="0061109F">
        <w:rPr>
          <w:i w:val="0"/>
          <w:color w:val="auto"/>
          <w:sz w:val="22"/>
          <w:szCs w:val="22"/>
        </w:rPr>
        <w:t>n=1</w:t>
      </w:r>
      <w:r w:rsidR="004D328D" w:rsidRPr="0061109F">
        <w:rPr>
          <w:i w:val="0"/>
          <w:color w:val="auto"/>
          <w:sz w:val="22"/>
          <w:szCs w:val="22"/>
        </w:rPr>
        <w:t>,</w:t>
      </w:r>
      <w:r w:rsidR="000B086A" w:rsidRPr="0061109F">
        <w:rPr>
          <w:i w:val="0"/>
          <w:color w:val="auto"/>
          <w:sz w:val="22"/>
          <w:szCs w:val="22"/>
        </w:rPr>
        <w:t>115).</w:t>
      </w:r>
    </w:p>
    <w:tbl>
      <w:tblPr>
        <w:tblStyle w:val="TableGrid"/>
        <w:tblW w:w="5000" w:type="pct"/>
        <w:tblLook w:val="04A0" w:firstRow="1" w:lastRow="0" w:firstColumn="1" w:lastColumn="0" w:noHBand="0" w:noVBand="1"/>
      </w:tblPr>
      <w:tblGrid>
        <w:gridCol w:w="1935"/>
        <w:gridCol w:w="2061"/>
        <w:gridCol w:w="1702"/>
        <w:gridCol w:w="2085"/>
        <w:gridCol w:w="1541"/>
        <w:gridCol w:w="26"/>
      </w:tblGrid>
      <w:tr w:rsidR="0061109F" w:rsidRPr="0061109F" w14:paraId="7BDC4DC1" w14:textId="42D9F635" w:rsidTr="00C224E6">
        <w:trPr>
          <w:gridAfter w:val="1"/>
          <w:wAfter w:w="14" w:type="pct"/>
        </w:trPr>
        <w:tc>
          <w:tcPr>
            <w:tcW w:w="1035" w:type="pct"/>
            <w:vMerge w:val="restart"/>
            <w:vAlign w:val="center"/>
          </w:tcPr>
          <w:p w14:paraId="14DC29A3" w14:textId="77777777" w:rsidR="004237C5" w:rsidRPr="0061109F" w:rsidRDefault="004237C5" w:rsidP="000B086A">
            <w:pPr>
              <w:pStyle w:val="Heading4"/>
              <w:spacing w:line="480" w:lineRule="auto"/>
              <w:rPr>
                <w:b/>
                <w:color w:val="auto"/>
                <w:sz w:val="20"/>
                <w:szCs w:val="20"/>
              </w:rPr>
            </w:pPr>
            <w:r w:rsidRPr="0061109F">
              <w:rPr>
                <w:b/>
                <w:color w:val="auto"/>
                <w:sz w:val="20"/>
                <w:szCs w:val="20"/>
              </w:rPr>
              <w:t>Specific cause of death</w:t>
            </w:r>
          </w:p>
        </w:tc>
        <w:tc>
          <w:tcPr>
            <w:tcW w:w="2012" w:type="pct"/>
            <w:gridSpan w:val="2"/>
          </w:tcPr>
          <w:p w14:paraId="67A29093" w14:textId="127BB4A6" w:rsidR="004237C5" w:rsidRPr="0061109F" w:rsidRDefault="004237C5" w:rsidP="000B086A">
            <w:pPr>
              <w:pStyle w:val="Heading4"/>
              <w:spacing w:line="480" w:lineRule="auto"/>
              <w:rPr>
                <w:b/>
                <w:color w:val="auto"/>
                <w:sz w:val="20"/>
                <w:szCs w:val="20"/>
              </w:rPr>
            </w:pPr>
            <w:r w:rsidRPr="0061109F">
              <w:rPr>
                <w:b/>
                <w:color w:val="auto"/>
                <w:sz w:val="20"/>
                <w:szCs w:val="20"/>
              </w:rPr>
              <w:t>Clonal hematopoiesis with candidate drivers</w:t>
            </w:r>
          </w:p>
        </w:tc>
        <w:tc>
          <w:tcPr>
            <w:tcW w:w="1939" w:type="pct"/>
            <w:gridSpan w:val="2"/>
          </w:tcPr>
          <w:p w14:paraId="3EC72A38" w14:textId="2ECE0FAF" w:rsidR="004237C5" w:rsidRPr="0061109F" w:rsidRDefault="004237C5" w:rsidP="000B086A">
            <w:pPr>
              <w:pStyle w:val="Heading4"/>
              <w:spacing w:line="480" w:lineRule="auto"/>
              <w:rPr>
                <w:b/>
                <w:color w:val="auto"/>
                <w:sz w:val="20"/>
                <w:szCs w:val="20"/>
              </w:rPr>
            </w:pPr>
            <w:r w:rsidRPr="0061109F">
              <w:rPr>
                <w:b/>
                <w:color w:val="auto"/>
                <w:sz w:val="20"/>
                <w:szCs w:val="20"/>
              </w:rPr>
              <w:t>Clonal hematopoiesis with unknown drivers</w:t>
            </w:r>
          </w:p>
        </w:tc>
      </w:tr>
      <w:tr w:rsidR="0061109F" w:rsidRPr="0061109F" w14:paraId="653F17ED" w14:textId="79AB6D73" w:rsidTr="00C224E6">
        <w:tc>
          <w:tcPr>
            <w:tcW w:w="1035" w:type="pct"/>
            <w:vMerge/>
          </w:tcPr>
          <w:p w14:paraId="4D9FCF23" w14:textId="77777777" w:rsidR="004237C5" w:rsidRPr="0061109F" w:rsidRDefault="004237C5" w:rsidP="000B086A">
            <w:pPr>
              <w:pStyle w:val="Heading4"/>
              <w:spacing w:line="480" w:lineRule="auto"/>
              <w:rPr>
                <w:b/>
                <w:color w:val="auto"/>
                <w:sz w:val="20"/>
                <w:szCs w:val="20"/>
              </w:rPr>
            </w:pPr>
          </w:p>
        </w:tc>
        <w:tc>
          <w:tcPr>
            <w:tcW w:w="1102" w:type="pct"/>
          </w:tcPr>
          <w:p w14:paraId="06DA4C75" w14:textId="77777777" w:rsidR="004237C5" w:rsidRPr="0061109F" w:rsidRDefault="004237C5" w:rsidP="000B086A">
            <w:pPr>
              <w:pStyle w:val="Heading4"/>
              <w:spacing w:line="480" w:lineRule="auto"/>
              <w:rPr>
                <w:b/>
                <w:color w:val="auto"/>
                <w:sz w:val="20"/>
                <w:szCs w:val="20"/>
              </w:rPr>
            </w:pPr>
            <w:r w:rsidRPr="0061109F">
              <w:rPr>
                <w:b/>
                <w:color w:val="auto"/>
                <w:sz w:val="20"/>
                <w:szCs w:val="20"/>
              </w:rPr>
              <w:t>Unadjusted</w:t>
            </w:r>
          </w:p>
        </w:tc>
        <w:tc>
          <w:tcPr>
            <w:tcW w:w="910" w:type="pct"/>
          </w:tcPr>
          <w:p w14:paraId="793A30C0" w14:textId="4B144144" w:rsidR="004237C5" w:rsidRPr="0061109F" w:rsidRDefault="004237C5" w:rsidP="000B086A">
            <w:pPr>
              <w:pStyle w:val="Heading4"/>
              <w:spacing w:line="480" w:lineRule="auto"/>
              <w:rPr>
                <w:b/>
                <w:color w:val="auto"/>
                <w:sz w:val="20"/>
                <w:szCs w:val="20"/>
              </w:rPr>
            </w:pPr>
            <w:r w:rsidRPr="0061109F">
              <w:rPr>
                <w:b/>
                <w:color w:val="auto"/>
                <w:sz w:val="20"/>
                <w:szCs w:val="20"/>
              </w:rPr>
              <w:t>Adjusted</w:t>
            </w:r>
          </w:p>
        </w:tc>
        <w:tc>
          <w:tcPr>
            <w:tcW w:w="1115" w:type="pct"/>
          </w:tcPr>
          <w:p w14:paraId="3140AC0E" w14:textId="62913F67" w:rsidR="004237C5" w:rsidRPr="0061109F" w:rsidRDefault="004237C5" w:rsidP="000B086A">
            <w:pPr>
              <w:pStyle w:val="Heading4"/>
              <w:spacing w:line="480" w:lineRule="auto"/>
              <w:rPr>
                <w:b/>
                <w:color w:val="auto"/>
                <w:sz w:val="20"/>
                <w:szCs w:val="20"/>
              </w:rPr>
            </w:pPr>
            <w:r w:rsidRPr="0061109F">
              <w:rPr>
                <w:b/>
                <w:color w:val="auto"/>
                <w:sz w:val="20"/>
                <w:szCs w:val="20"/>
              </w:rPr>
              <w:t>Unadjusted</w:t>
            </w:r>
          </w:p>
        </w:tc>
        <w:tc>
          <w:tcPr>
            <w:tcW w:w="838" w:type="pct"/>
            <w:gridSpan w:val="2"/>
          </w:tcPr>
          <w:p w14:paraId="4092BD14" w14:textId="3E4387AD" w:rsidR="004237C5" w:rsidRPr="0061109F" w:rsidRDefault="004237C5" w:rsidP="000B086A">
            <w:pPr>
              <w:pStyle w:val="Heading4"/>
              <w:spacing w:line="480" w:lineRule="auto"/>
              <w:rPr>
                <w:b/>
                <w:color w:val="auto"/>
                <w:sz w:val="20"/>
                <w:szCs w:val="20"/>
              </w:rPr>
            </w:pPr>
            <w:r w:rsidRPr="0061109F">
              <w:rPr>
                <w:b/>
                <w:color w:val="auto"/>
                <w:sz w:val="20"/>
                <w:szCs w:val="20"/>
              </w:rPr>
              <w:t>Adjusted</w:t>
            </w:r>
          </w:p>
        </w:tc>
      </w:tr>
      <w:tr w:rsidR="0061109F" w:rsidRPr="0061109F" w14:paraId="37AC21B6" w14:textId="586C7C1C" w:rsidTr="00C224E6">
        <w:tc>
          <w:tcPr>
            <w:tcW w:w="1035" w:type="pct"/>
            <w:vAlign w:val="center"/>
          </w:tcPr>
          <w:p w14:paraId="4085BC3C" w14:textId="77777777" w:rsidR="004237C5" w:rsidRPr="0061109F" w:rsidRDefault="004237C5" w:rsidP="000B086A">
            <w:pPr>
              <w:pStyle w:val="Heading4"/>
              <w:spacing w:line="480" w:lineRule="auto"/>
              <w:ind w:left="28"/>
              <w:jc w:val="both"/>
              <w:rPr>
                <w:i w:val="0"/>
                <w:color w:val="auto"/>
                <w:sz w:val="20"/>
                <w:szCs w:val="20"/>
              </w:rPr>
            </w:pPr>
            <w:r w:rsidRPr="0061109F">
              <w:rPr>
                <w:i w:val="0"/>
                <w:color w:val="auto"/>
                <w:sz w:val="20"/>
                <w:szCs w:val="20"/>
              </w:rPr>
              <w:t>Any cancer</w:t>
            </w:r>
          </w:p>
        </w:tc>
        <w:tc>
          <w:tcPr>
            <w:tcW w:w="1102" w:type="pct"/>
            <w:vAlign w:val="center"/>
          </w:tcPr>
          <w:p w14:paraId="65931B2B" w14:textId="2D80F4BB" w:rsidR="004237C5" w:rsidRPr="0061109F" w:rsidRDefault="004237C5" w:rsidP="00497C70">
            <w:pPr>
              <w:pStyle w:val="Heading4"/>
              <w:spacing w:line="480" w:lineRule="auto"/>
              <w:ind w:left="32"/>
              <w:rPr>
                <w:i w:val="0"/>
                <w:color w:val="auto"/>
                <w:sz w:val="20"/>
                <w:szCs w:val="20"/>
              </w:rPr>
            </w:pPr>
            <w:r w:rsidRPr="0061109F">
              <w:rPr>
                <w:i w:val="0"/>
                <w:color w:val="auto"/>
                <w:sz w:val="20"/>
                <w:szCs w:val="20"/>
                <w:lang w:val="en-CA"/>
              </w:rPr>
              <w:t>1.20 (0.67-2.15)</w:t>
            </w:r>
          </w:p>
        </w:tc>
        <w:tc>
          <w:tcPr>
            <w:tcW w:w="910" w:type="pct"/>
            <w:vAlign w:val="center"/>
          </w:tcPr>
          <w:p w14:paraId="1EECD849" w14:textId="07ADB9AE" w:rsidR="004237C5" w:rsidRPr="0061109F" w:rsidRDefault="004237C5" w:rsidP="00497C70">
            <w:pPr>
              <w:pStyle w:val="Heading4"/>
              <w:spacing w:line="480" w:lineRule="auto"/>
              <w:rPr>
                <w:i w:val="0"/>
                <w:color w:val="auto"/>
                <w:sz w:val="20"/>
                <w:szCs w:val="20"/>
                <w:lang w:val="en-CA"/>
              </w:rPr>
            </w:pPr>
            <w:r w:rsidRPr="0061109F">
              <w:rPr>
                <w:i w:val="0"/>
                <w:color w:val="auto"/>
                <w:sz w:val="20"/>
                <w:szCs w:val="20"/>
                <w:lang w:val="en-CA"/>
              </w:rPr>
              <w:t>1.30 (0.72-2.34)</w:t>
            </w:r>
          </w:p>
        </w:tc>
        <w:tc>
          <w:tcPr>
            <w:tcW w:w="1115" w:type="pct"/>
            <w:vAlign w:val="center"/>
          </w:tcPr>
          <w:tbl>
            <w:tblPr>
              <w:tblW w:w="0" w:type="auto"/>
              <w:shd w:val="clear" w:color="auto" w:fill="FCFCFC"/>
              <w:tblCellMar>
                <w:top w:w="15" w:type="dxa"/>
                <w:left w:w="15" w:type="dxa"/>
                <w:bottom w:w="15" w:type="dxa"/>
                <w:right w:w="15" w:type="dxa"/>
              </w:tblCellMar>
              <w:tblLook w:val="04A0" w:firstRow="1" w:lastRow="0" w:firstColumn="1" w:lastColumn="0" w:noHBand="0" w:noVBand="1"/>
            </w:tblPr>
            <w:tblGrid>
              <w:gridCol w:w="1292"/>
            </w:tblGrid>
            <w:tr w:rsidR="0061109F" w:rsidRPr="0061109F" w14:paraId="548DDEDF" w14:textId="77777777" w:rsidTr="000B086A">
              <w:tc>
                <w:tcPr>
                  <w:tcW w:w="0" w:type="auto"/>
                  <w:shd w:val="clear" w:color="auto" w:fill="FCFCFC"/>
                  <w:tcMar>
                    <w:top w:w="0" w:type="dxa"/>
                    <w:left w:w="0" w:type="dxa"/>
                    <w:bottom w:w="0" w:type="dxa"/>
                    <w:right w:w="0" w:type="dxa"/>
                  </w:tcMar>
                  <w:vAlign w:val="center"/>
                  <w:hideMark/>
                </w:tcPr>
                <w:p w14:paraId="50332135" w14:textId="486D29E4" w:rsidR="004237C5" w:rsidRPr="0061109F" w:rsidRDefault="004237C5" w:rsidP="00497C70">
                  <w:pPr>
                    <w:pStyle w:val="Heading4"/>
                    <w:spacing w:line="480" w:lineRule="auto"/>
                    <w:rPr>
                      <w:i w:val="0"/>
                      <w:color w:val="auto"/>
                      <w:sz w:val="20"/>
                      <w:szCs w:val="20"/>
                      <w:lang w:val="en-CA"/>
                    </w:rPr>
                  </w:pPr>
                  <w:r w:rsidRPr="0061109F">
                    <w:rPr>
                      <w:i w:val="0"/>
                      <w:color w:val="auto"/>
                      <w:sz w:val="20"/>
                      <w:szCs w:val="20"/>
                      <w:lang w:val="en-CA"/>
                    </w:rPr>
                    <w:t>1.14 (0.51-2.57)</w:t>
                  </w:r>
                </w:p>
              </w:tc>
            </w:tr>
          </w:tbl>
          <w:p w14:paraId="61ABEB13" w14:textId="77777777" w:rsidR="004237C5" w:rsidRPr="0061109F" w:rsidRDefault="004237C5" w:rsidP="00497C70">
            <w:pPr>
              <w:pStyle w:val="Heading4"/>
              <w:spacing w:line="480" w:lineRule="auto"/>
              <w:rPr>
                <w:i w:val="0"/>
                <w:color w:val="auto"/>
                <w:sz w:val="20"/>
                <w:szCs w:val="20"/>
              </w:rPr>
            </w:pPr>
          </w:p>
        </w:tc>
        <w:tc>
          <w:tcPr>
            <w:tcW w:w="838" w:type="pct"/>
            <w:gridSpan w:val="2"/>
            <w:vAlign w:val="center"/>
          </w:tcPr>
          <w:p w14:paraId="54E221D3" w14:textId="15E79D31" w:rsidR="004237C5" w:rsidRPr="0061109F" w:rsidRDefault="004237C5" w:rsidP="00497C70">
            <w:pPr>
              <w:spacing w:line="480" w:lineRule="auto"/>
              <w:rPr>
                <w:rFonts w:ascii="Calibri" w:hAnsi="Calibri" w:cs="Calibri"/>
                <w:sz w:val="20"/>
                <w:szCs w:val="20"/>
              </w:rPr>
            </w:pPr>
            <w:r w:rsidRPr="0061109F">
              <w:rPr>
                <w:rFonts w:ascii="Calibri" w:hAnsi="Calibri" w:cs="Calibri"/>
                <w:sz w:val="20"/>
                <w:szCs w:val="20"/>
              </w:rPr>
              <w:t>1.34 (0.59-3.05)</w:t>
            </w:r>
          </w:p>
        </w:tc>
      </w:tr>
      <w:tr w:rsidR="0061109F" w:rsidRPr="0061109F" w14:paraId="591D9745" w14:textId="02388BD3" w:rsidTr="00C224E6">
        <w:tc>
          <w:tcPr>
            <w:tcW w:w="1035" w:type="pct"/>
            <w:vAlign w:val="center"/>
          </w:tcPr>
          <w:p w14:paraId="61961277" w14:textId="77777777" w:rsidR="004237C5" w:rsidRPr="0061109F" w:rsidRDefault="004237C5" w:rsidP="000B086A">
            <w:pPr>
              <w:pStyle w:val="Heading4"/>
              <w:spacing w:line="480" w:lineRule="auto"/>
              <w:ind w:left="28"/>
              <w:jc w:val="both"/>
              <w:rPr>
                <w:i w:val="0"/>
                <w:color w:val="auto"/>
                <w:sz w:val="20"/>
                <w:szCs w:val="20"/>
              </w:rPr>
            </w:pPr>
            <w:r w:rsidRPr="0061109F">
              <w:rPr>
                <w:i w:val="0"/>
                <w:color w:val="auto"/>
                <w:sz w:val="20"/>
                <w:szCs w:val="20"/>
              </w:rPr>
              <w:t>Lung cancer</w:t>
            </w:r>
          </w:p>
        </w:tc>
        <w:tc>
          <w:tcPr>
            <w:tcW w:w="1102" w:type="pct"/>
            <w:vAlign w:val="center"/>
          </w:tcPr>
          <w:p w14:paraId="554F46C8" w14:textId="5515B1DC" w:rsidR="004237C5" w:rsidRPr="0061109F" w:rsidRDefault="004237C5" w:rsidP="00497C70">
            <w:pPr>
              <w:pStyle w:val="Heading4"/>
              <w:spacing w:line="480" w:lineRule="auto"/>
              <w:ind w:left="32"/>
              <w:rPr>
                <w:i w:val="0"/>
                <w:color w:val="auto"/>
                <w:sz w:val="20"/>
                <w:szCs w:val="20"/>
                <w:lang w:val="en-CA"/>
              </w:rPr>
            </w:pPr>
            <w:r w:rsidRPr="0061109F">
              <w:rPr>
                <w:i w:val="0"/>
                <w:color w:val="auto"/>
                <w:sz w:val="20"/>
                <w:szCs w:val="20"/>
                <w:lang w:val="en-CA"/>
              </w:rPr>
              <w:t>1.04 (0.33-3.31)</w:t>
            </w:r>
          </w:p>
        </w:tc>
        <w:tc>
          <w:tcPr>
            <w:tcW w:w="910" w:type="pct"/>
            <w:vAlign w:val="center"/>
          </w:tcPr>
          <w:p w14:paraId="44204C80" w14:textId="44C57752" w:rsidR="004237C5" w:rsidRPr="0061109F" w:rsidRDefault="004237C5" w:rsidP="00497C70">
            <w:pPr>
              <w:pStyle w:val="Heading4"/>
              <w:spacing w:line="480" w:lineRule="auto"/>
              <w:rPr>
                <w:i w:val="0"/>
                <w:color w:val="auto"/>
                <w:sz w:val="20"/>
                <w:szCs w:val="20"/>
                <w:lang w:val="en-CA"/>
              </w:rPr>
            </w:pPr>
            <w:r w:rsidRPr="0061109F">
              <w:rPr>
                <w:i w:val="0"/>
                <w:color w:val="auto"/>
                <w:sz w:val="20"/>
                <w:szCs w:val="20"/>
                <w:lang w:val="en-CA"/>
              </w:rPr>
              <w:t>1.19 (0.37-3.82)</w:t>
            </w:r>
          </w:p>
        </w:tc>
        <w:tc>
          <w:tcPr>
            <w:tcW w:w="1115" w:type="pct"/>
            <w:vAlign w:val="center"/>
          </w:tcPr>
          <w:tbl>
            <w:tblPr>
              <w:tblW w:w="0" w:type="auto"/>
              <w:shd w:val="clear" w:color="auto" w:fill="FCFCFC"/>
              <w:tblCellMar>
                <w:top w:w="15" w:type="dxa"/>
                <w:left w:w="15" w:type="dxa"/>
                <w:bottom w:w="15" w:type="dxa"/>
                <w:right w:w="15" w:type="dxa"/>
              </w:tblCellMar>
              <w:tblLook w:val="04A0" w:firstRow="1" w:lastRow="0" w:firstColumn="1" w:lastColumn="0" w:noHBand="0" w:noVBand="1"/>
            </w:tblPr>
            <w:tblGrid>
              <w:gridCol w:w="1292"/>
            </w:tblGrid>
            <w:tr w:rsidR="0061109F" w:rsidRPr="0061109F" w14:paraId="22B2BE0F" w14:textId="77777777" w:rsidTr="000B086A">
              <w:tc>
                <w:tcPr>
                  <w:tcW w:w="0" w:type="auto"/>
                  <w:shd w:val="clear" w:color="auto" w:fill="FCFCFC"/>
                  <w:tcMar>
                    <w:top w:w="0" w:type="dxa"/>
                    <w:left w:w="0" w:type="dxa"/>
                    <w:bottom w:w="0" w:type="dxa"/>
                    <w:right w:w="0" w:type="dxa"/>
                  </w:tcMar>
                  <w:vAlign w:val="center"/>
                  <w:hideMark/>
                </w:tcPr>
                <w:p w14:paraId="10EE5800" w14:textId="7F3234CB" w:rsidR="004237C5" w:rsidRPr="0061109F" w:rsidRDefault="004237C5" w:rsidP="00497C70">
                  <w:pPr>
                    <w:pStyle w:val="Heading4"/>
                    <w:spacing w:line="480" w:lineRule="auto"/>
                    <w:rPr>
                      <w:i w:val="0"/>
                      <w:color w:val="auto"/>
                      <w:sz w:val="20"/>
                      <w:szCs w:val="20"/>
                      <w:lang w:val="en-CA"/>
                    </w:rPr>
                  </w:pPr>
                  <w:r w:rsidRPr="0061109F">
                    <w:rPr>
                      <w:i w:val="0"/>
                      <w:color w:val="auto"/>
                      <w:sz w:val="20"/>
                      <w:szCs w:val="20"/>
                      <w:lang w:val="en-CA"/>
                    </w:rPr>
                    <w:t>0.66 (0.09-4.75)</w:t>
                  </w:r>
                </w:p>
              </w:tc>
            </w:tr>
          </w:tbl>
          <w:p w14:paraId="3E3218EB" w14:textId="77777777" w:rsidR="004237C5" w:rsidRPr="0061109F" w:rsidRDefault="004237C5" w:rsidP="00497C70">
            <w:pPr>
              <w:pStyle w:val="Heading4"/>
              <w:spacing w:line="480" w:lineRule="auto"/>
              <w:rPr>
                <w:i w:val="0"/>
                <w:color w:val="auto"/>
                <w:sz w:val="20"/>
                <w:szCs w:val="20"/>
              </w:rPr>
            </w:pPr>
          </w:p>
        </w:tc>
        <w:tc>
          <w:tcPr>
            <w:tcW w:w="838" w:type="pct"/>
            <w:gridSpan w:val="2"/>
            <w:vAlign w:val="center"/>
          </w:tcPr>
          <w:p w14:paraId="4E58CDE8" w14:textId="7D20C471" w:rsidR="004237C5" w:rsidRPr="0061109F" w:rsidRDefault="004237C5" w:rsidP="00497C70">
            <w:pPr>
              <w:spacing w:line="480" w:lineRule="auto"/>
              <w:rPr>
                <w:rFonts w:ascii="Calibri" w:hAnsi="Calibri" w:cs="Calibri"/>
                <w:sz w:val="20"/>
                <w:szCs w:val="20"/>
              </w:rPr>
            </w:pPr>
            <w:r w:rsidRPr="0061109F">
              <w:rPr>
                <w:rFonts w:ascii="Calibri" w:hAnsi="Calibri" w:cs="Calibri"/>
                <w:sz w:val="20"/>
                <w:szCs w:val="20"/>
              </w:rPr>
              <w:t>0.84 (0.12-6.15)</w:t>
            </w:r>
          </w:p>
        </w:tc>
      </w:tr>
      <w:tr w:rsidR="0061109F" w:rsidRPr="0061109F" w14:paraId="69213508" w14:textId="3FE01639" w:rsidTr="00C224E6">
        <w:trPr>
          <w:trHeight w:val="916"/>
        </w:trPr>
        <w:tc>
          <w:tcPr>
            <w:tcW w:w="1035" w:type="pct"/>
            <w:vAlign w:val="center"/>
          </w:tcPr>
          <w:p w14:paraId="5F4106CF" w14:textId="77777777" w:rsidR="004237C5" w:rsidRPr="0061109F" w:rsidRDefault="004237C5" w:rsidP="000B086A">
            <w:pPr>
              <w:pStyle w:val="Heading4"/>
              <w:spacing w:line="480" w:lineRule="auto"/>
              <w:ind w:left="28"/>
              <w:jc w:val="both"/>
              <w:rPr>
                <w:i w:val="0"/>
                <w:color w:val="auto"/>
                <w:sz w:val="20"/>
                <w:szCs w:val="20"/>
              </w:rPr>
            </w:pPr>
            <w:r w:rsidRPr="0061109F">
              <w:rPr>
                <w:i w:val="0"/>
                <w:color w:val="auto"/>
                <w:sz w:val="20"/>
                <w:szCs w:val="20"/>
              </w:rPr>
              <w:t>Cardiovascular disease</w:t>
            </w:r>
          </w:p>
        </w:tc>
        <w:tc>
          <w:tcPr>
            <w:tcW w:w="1102" w:type="pct"/>
            <w:vAlign w:val="center"/>
          </w:tcPr>
          <w:tbl>
            <w:tblPr>
              <w:tblW w:w="0" w:type="auto"/>
              <w:shd w:val="clear" w:color="auto" w:fill="FCFCFC"/>
              <w:tblCellMar>
                <w:top w:w="15" w:type="dxa"/>
                <w:left w:w="15" w:type="dxa"/>
                <w:bottom w:w="15" w:type="dxa"/>
                <w:right w:w="15" w:type="dxa"/>
              </w:tblCellMar>
              <w:tblLook w:val="04A0" w:firstRow="1" w:lastRow="0" w:firstColumn="1" w:lastColumn="0" w:noHBand="0" w:noVBand="1"/>
            </w:tblPr>
            <w:tblGrid>
              <w:gridCol w:w="1324"/>
            </w:tblGrid>
            <w:tr w:rsidR="0061109F" w:rsidRPr="0061109F" w14:paraId="45150D77" w14:textId="77777777" w:rsidTr="000B086A">
              <w:tc>
                <w:tcPr>
                  <w:tcW w:w="0" w:type="auto"/>
                  <w:shd w:val="clear" w:color="auto" w:fill="FCFCFC"/>
                  <w:tcMar>
                    <w:top w:w="0" w:type="dxa"/>
                    <w:left w:w="0" w:type="dxa"/>
                    <w:bottom w:w="0" w:type="dxa"/>
                    <w:right w:w="0" w:type="dxa"/>
                  </w:tcMar>
                  <w:vAlign w:val="center"/>
                  <w:hideMark/>
                </w:tcPr>
                <w:p w14:paraId="5CAF1DBF" w14:textId="39F67254" w:rsidR="004237C5" w:rsidRPr="0061109F" w:rsidRDefault="004237C5" w:rsidP="00497C70">
                  <w:pPr>
                    <w:pStyle w:val="Heading4"/>
                    <w:spacing w:line="480" w:lineRule="auto"/>
                    <w:ind w:left="32"/>
                    <w:rPr>
                      <w:i w:val="0"/>
                      <w:color w:val="auto"/>
                      <w:sz w:val="20"/>
                      <w:szCs w:val="20"/>
                      <w:lang w:val="en-CA"/>
                    </w:rPr>
                  </w:pPr>
                  <w:r w:rsidRPr="0061109F">
                    <w:rPr>
                      <w:i w:val="0"/>
                      <w:color w:val="auto"/>
                      <w:sz w:val="20"/>
                      <w:szCs w:val="20"/>
                      <w:lang w:val="en-CA"/>
                    </w:rPr>
                    <w:t>0.68 (0.36-1.27)</w:t>
                  </w:r>
                </w:p>
              </w:tc>
            </w:tr>
          </w:tbl>
          <w:p w14:paraId="53B26958" w14:textId="77777777" w:rsidR="004237C5" w:rsidRPr="0061109F" w:rsidRDefault="004237C5" w:rsidP="00497C70">
            <w:pPr>
              <w:pStyle w:val="Heading4"/>
              <w:spacing w:line="480" w:lineRule="auto"/>
              <w:ind w:left="32"/>
              <w:rPr>
                <w:i w:val="0"/>
                <w:color w:val="auto"/>
                <w:sz w:val="20"/>
                <w:szCs w:val="20"/>
              </w:rPr>
            </w:pPr>
          </w:p>
        </w:tc>
        <w:tc>
          <w:tcPr>
            <w:tcW w:w="910" w:type="pct"/>
            <w:vAlign w:val="center"/>
          </w:tcPr>
          <w:p w14:paraId="42E29291" w14:textId="6E34E104" w:rsidR="004237C5" w:rsidRPr="0061109F" w:rsidRDefault="004237C5" w:rsidP="00497C70">
            <w:pPr>
              <w:pStyle w:val="Heading4"/>
              <w:spacing w:line="480" w:lineRule="auto"/>
              <w:rPr>
                <w:i w:val="0"/>
                <w:color w:val="auto"/>
                <w:sz w:val="20"/>
                <w:szCs w:val="20"/>
                <w:lang w:val="en-CA"/>
              </w:rPr>
            </w:pPr>
            <w:r w:rsidRPr="0061109F">
              <w:rPr>
                <w:i w:val="0"/>
                <w:color w:val="auto"/>
                <w:sz w:val="20"/>
                <w:szCs w:val="20"/>
                <w:lang w:val="en-CA"/>
              </w:rPr>
              <w:t>0.72 (0.38-1.36)</w:t>
            </w:r>
          </w:p>
        </w:tc>
        <w:tc>
          <w:tcPr>
            <w:tcW w:w="1115" w:type="pct"/>
            <w:vAlign w:val="center"/>
          </w:tcPr>
          <w:tbl>
            <w:tblPr>
              <w:tblW w:w="0" w:type="auto"/>
              <w:shd w:val="clear" w:color="auto" w:fill="FCFCFC"/>
              <w:tblCellMar>
                <w:top w:w="15" w:type="dxa"/>
                <w:left w:w="15" w:type="dxa"/>
                <w:bottom w:w="15" w:type="dxa"/>
                <w:right w:w="15" w:type="dxa"/>
              </w:tblCellMar>
              <w:tblLook w:val="04A0" w:firstRow="1" w:lastRow="0" w:firstColumn="1" w:lastColumn="0" w:noHBand="0" w:noVBand="1"/>
            </w:tblPr>
            <w:tblGrid>
              <w:gridCol w:w="1292"/>
            </w:tblGrid>
            <w:tr w:rsidR="0061109F" w:rsidRPr="0061109F" w14:paraId="30DEA78D" w14:textId="77777777" w:rsidTr="000B086A">
              <w:tc>
                <w:tcPr>
                  <w:tcW w:w="0" w:type="auto"/>
                  <w:shd w:val="clear" w:color="auto" w:fill="FCFCFC"/>
                  <w:tcMar>
                    <w:top w:w="0" w:type="dxa"/>
                    <w:left w:w="0" w:type="dxa"/>
                    <w:bottom w:w="0" w:type="dxa"/>
                    <w:right w:w="0" w:type="dxa"/>
                  </w:tcMar>
                  <w:vAlign w:val="center"/>
                  <w:hideMark/>
                </w:tcPr>
                <w:p w14:paraId="15D89527" w14:textId="2623B4FA" w:rsidR="004237C5" w:rsidRPr="0061109F" w:rsidRDefault="004237C5" w:rsidP="00497C70">
                  <w:pPr>
                    <w:pStyle w:val="Heading4"/>
                    <w:spacing w:line="480" w:lineRule="auto"/>
                    <w:rPr>
                      <w:i w:val="0"/>
                      <w:color w:val="auto"/>
                      <w:sz w:val="20"/>
                      <w:szCs w:val="20"/>
                      <w:lang w:val="en-CA"/>
                    </w:rPr>
                  </w:pPr>
                  <w:r w:rsidRPr="0061109F">
                    <w:rPr>
                      <w:i w:val="0"/>
                      <w:color w:val="auto"/>
                      <w:sz w:val="20"/>
                      <w:szCs w:val="20"/>
                      <w:lang w:val="en-CA"/>
                    </w:rPr>
                    <w:t>1.04 (0.52-2.10)</w:t>
                  </w:r>
                </w:p>
              </w:tc>
            </w:tr>
          </w:tbl>
          <w:p w14:paraId="68CE9068" w14:textId="77777777" w:rsidR="004237C5" w:rsidRPr="0061109F" w:rsidRDefault="004237C5" w:rsidP="00497C70">
            <w:pPr>
              <w:pStyle w:val="Heading4"/>
              <w:spacing w:line="480" w:lineRule="auto"/>
              <w:rPr>
                <w:i w:val="0"/>
                <w:color w:val="auto"/>
                <w:sz w:val="20"/>
                <w:szCs w:val="20"/>
              </w:rPr>
            </w:pPr>
          </w:p>
        </w:tc>
        <w:tc>
          <w:tcPr>
            <w:tcW w:w="838" w:type="pct"/>
            <w:gridSpan w:val="2"/>
            <w:vAlign w:val="center"/>
          </w:tcPr>
          <w:p w14:paraId="12C16A7E" w14:textId="52B6673C" w:rsidR="004237C5" w:rsidRPr="0061109F" w:rsidRDefault="004237C5" w:rsidP="00497C70">
            <w:pPr>
              <w:spacing w:line="480" w:lineRule="auto"/>
              <w:rPr>
                <w:rFonts w:ascii="Calibri" w:hAnsi="Calibri" w:cs="Calibri"/>
                <w:sz w:val="20"/>
                <w:szCs w:val="20"/>
              </w:rPr>
            </w:pPr>
            <w:r w:rsidRPr="0061109F">
              <w:rPr>
                <w:rFonts w:ascii="Calibri" w:hAnsi="Calibri" w:cs="Calibri"/>
                <w:sz w:val="20"/>
                <w:szCs w:val="20"/>
              </w:rPr>
              <w:t>1.11 (0.55-2.25)</w:t>
            </w:r>
          </w:p>
        </w:tc>
      </w:tr>
      <w:tr w:rsidR="0061109F" w:rsidRPr="0061109F" w14:paraId="3A9487EC" w14:textId="211F18D3" w:rsidTr="00C224E6">
        <w:tc>
          <w:tcPr>
            <w:tcW w:w="1035" w:type="pct"/>
            <w:vAlign w:val="center"/>
          </w:tcPr>
          <w:p w14:paraId="39FC6F50" w14:textId="77777777" w:rsidR="004237C5" w:rsidRPr="0061109F" w:rsidRDefault="004237C5" w:rsidP="000B086A">
            <w:pPr>
              <w:pStyle w:val="Heading4"/>
              <w:spacing w:line="480" w:lineRule="auto"/>
              <w:ind w:left="28"/>
              <w:jc w:val="both"/>
              <w:rPr>
                <w:i w:val="0"/>
                <w:color w:val="auto"/>
                <w:sz w:val="20"/>
                <w:szCs w:val="20"/>
              </w:rPr>
            </w:pPr>
            <w:r w:rsidRPr="0061109F">
              <w:rPr>
                <w:i w:val="0"/>
                <w:color w:val="auto"/>
                <w:sz w:val="20"/>
                <w:szCs w:val="20"/>
              </w:rPr>
              <w:t>Stroke</w:t>
            </w:r>
          </w:p>
        </w:tc>
        <w:tc>
          <w:tcPr>
            <w:tcW w:w="1102" w:type="pct"/>
            <w:vAlign w:val="center"/>
          </w:tcPr>
          <w:tbl>
            <w:tblPr>
              <w:tblW w:w="0" w:type="auto"/>
              <w:shd w:val="clear" w:color="auto" w:fill="FCFCFC"/>
              <w:tblCellMar>
                <w:top w:w="15" w:type="dxa"/>
                <w:left w:w="15" w:type="dxa"/>
                <w:bottom w:w="15" w:type="dxa"/>
                <w:right w:w="15" w:type="dxa"/>
              </w:tblCellMar>
              <w:tblLook w:val="04A0" w:firstRow="1" w:lastRow="0" w:firstColumn="1" w:lastColumn="0" w:noHBand="0" w:noVBand="1"/>
            </w:tblPr>
            <w:tblGrid>
              <w:gridCol w:w="1324"/>
            </w:tblGrid>
            <w:tr w:rsidR="0061109F" w:rsidRPr="0061109F" w14:paraId="5A0DE9DB" w14:textId="77777777" w:rsidTr="000B086A">
              <w:tc>
                <w:tcPr>
                  <w:tcW w:w="0" w:type="auto"/>
                  <w:shd w:val="clear" w:color="auto" w:fill="FCFCFC"/>
                  <w:tcMar>
                    <w:top w:w="0" w:type="dxa"/>
                    <w:left w:w="0" w:type="dxa"/>
                    <w:bottom w:w="0" w:type="dxa"/>
                    <w:right w:w="0" w:type="dxa"/>
                  </w:tcMar>
                  <w:vAlign w:val="center"/>
                  <w:hideMark/>
                </w:tcPr>
                <w:p w14:paraId="2447301F" w14:textId="23E43BE5" w:rsidR="004237C5" w:rsidRPr="0061109F" w:rsidRDefault="004237C5" w:rsidP="00497C70">
                  <w:pPr>
                    <w:pStyle w:val="Heading4"/>
                    <w:spacing w:line="480" w:lineRule="auto"/>
                    <w:ind w:left="32"/>
                    <w:rPr>
                      <w:i w:val="0"/>
                      <w:color w:val="auto"/>
                      <w:sz w:val="20"/>
                      <w:szCs w:val="20"/>
                      <w:lang w:val="en-CA"/>
                    </w:rPr>
                  </w:pPr>
                  <w:r w:rsidRPr="0061109F">
                    <w:rPr>
                      <w:i w:val="0"/>
                      <w:color w:val="auto"/>
                      <w:sz w:val="20"/>
                      <w:szCs w:val="20"/>
                      <w:lang w:val="en-CA"/>
                    </w:rPr>
                    <w:t>2.71 (1.23-5.96)</w:t>
                  </w:r>
                </w:p>
              </w:tc>
            </w:tr>
          </w:tbl>
          <w:p w14:paraId="62D1532B" w14:textId="77777777" w:rsidR="004237C5" w:rsidRPr="0061109F" w:rsidRDefault="004237C5" w:rsidP="00497C70">
            <w:pPr>
              <w:pStyle w:val="Heading4"/>
              <w:spacing w:line="480" w:lineRule="auto"/>
              <w:ind w:left="32"/>
              <w:rPr>
                <w:i w:val="0"/>
                <w:color w:val="auto"/>
                <w:sz w:val="20"/>
                <w:szCs w:val="20"/>
              </w:rPr>
            </w:pPr>
          </w:p>
        </w:tc>
        <w:tc>
          <w:tcPr>
            <w:tcW w:w="910" w:type="pct"/>
            <w:vAlign w:val="center"/>
          </w:tcPr>
          <w:p w14:paraId="5125F650" w14:textId="7A4C0339" w:rsidR="004237C5" w:rsidRPr="0061109F" w:rsidRDefault="004237C5" w:rsidP="00497C70">
            <w:pPr>
              <w:pStyle w:val="Heading4"/>
              <w:spacing w:line="480" w:lineRule="auto"/>
              <w:rPr>
                <w:i w:val="0"/>
                <w:color w:val="auto"/>
                <w:sz w:val="20"/>
                <w:szCs w:val="20"/>
                <w:lang w:val="en-CA"/>
              </w:rPr>
            </w:pPr>
            <w:r w:rsidRPr="0061109F">
              <w:rPr>
                <w:i w:val="0"/>
                <w:color w:val="auto"/>
                <w:sz w:val="20"/>
                <w:szCs w:val="20"/>
                <w:lang w:val="en-CA"/>
              </w:rPr>
              <w:t>2.24 (1.01-4.98)</w:t>
            </w:r>
          </w:p>
        </w:tc>
        <w:tc>
          <w:tcPr>
            <w:tcW w:w="1115" w:type="pct"/>
            <w:vAlign w:val="center"/>
          </w:tcPr>
          <w:tbl>
            <w:tblPr>
              <w:tblW w:w="0" w:type="auto"/>
              <w:shd w:val="clear" w:color="auto" w:fill="FCFCFC"/>
              <w:tblCellMar>
                <w:top w:w="15" w:type="dxa"/>
                <w:left w:w="15" w:type="dxa"/>
                <w:bottom w:w="15" w:type="dxa"/>
                <w:right w:w="15" w:type="dxa"/>
              </w:tblCellMar>
              <w:tblLook w:val="04A0" w:firstRow="1" w:lastRow="0" w:firstColumn="1" w:lastColumn="0" w:noHBand="0" w:noVBand="1"/>
            </w:tblPr>
            <w:tblGrid>
              <w:gridCol w:w="1292"/>
            </w:tblGrid>
            <w:tr w:rsidR="0061109F" w:rsidRPr="0061109F" w14:paraId="512D1518" w14:textId="77777777" w:rsidTr="000B086A">
              <w:tc>
                <w:tcPr>
                  <w:tcW w:w="0" w:type="auto"/>
                  <w:shd w:val="clear" w:color="auto" w:fill="FCFCFC"/>
                  <w:tcMar>
                    <w:top w:w="0" w:type="dxa"/>
                    <w:left w:w="0" w:type="dxa"/>
                    <w:bottom w:w="0" w:type="dxa"/>
                    <w:right w:w="0" w:type="dxa"/>
                  </w:tcMar>
                  <w:vAlign w:val="center"/>
                  <w:hideMark/>
                </w:tcPr>
                <w:p w14:paraId="5ECF48EA" w14:textId="091DA3EA" w:rsidR="004237C5" w:rsidRPr="0061109F" w:rsidRDefault="004237C5" w:rsidP="00497C70">
                  <w:pPr>
                    <w:pStyle w:val="Heading4"/>
                    <w:spacing w:line="480" w:lineRule="auto"/>
                    <w:rPr>
                      <w:i w:val="0"/>
                      <w:color w:val="auto"/>
                      <w:sz w:val="20"/>
                      <w:szCs w:val="20"/>
                      <w:lang w:val="en-CA"/>
                    </w:rPr>
                  </w:pPr>
                  <w:r w:rsidRPr="0061109F">
                    <w:rPr>
                      <w:i w:val="0"/>
                      <w:color w:val="auto"/>
                      <w:sz w:val="20"/>
                      <w:szCs w:val="20"/>
                      <w:lang w:val="en-CA"/>
                    </w:rPr>
                    <w:t>2.84 (1.03-7.85)</w:t>
                  </w:r>
                </w:p>
              </w:tc>
            </w:tr>
          </w:tbl>
          <w:p w14:paraId="498F1CA0" w14:textId="77777777" w:rsidR="004237C5" w:rsidRPr="0061109F" w:rsidRDefault="004237C5" w:rsidP="00497C70">
            <w:pPr>
              <w:pStyle w:val="Heading4"/>
              <w:spacing w:line="480" w:lineRule="auto"/>
              <w:rPr>
                <w:i w:val="0"/>
                <w:color w:val="auto"/>
                <w:sz w:val="20"/>
                <w:szCs w:val="20"/>
              </w:rPr>
            </w:pPr>
          </w:p>
        </w:tc>
        <w:tc>
          <w:tcPr>
            <w:tcW w:w="838" w:type="pct"/>
            <w:gridSpan w:val="2"/>
            <w:vAlign w:val="center"/>
          </w:tcPr>
          <w:p w14:paraId="41082135" w14:textId="5ECD0BB7" w:rsidR="004237C5" w:rsidRPr="0061109F" w:rsidRDefault="004237C5" w:rsidP="00497C70">
            <w:pPr>
              <w:spacing w:line="480" w:lineRule="auto"/>
              <w:rPr>
                <w:rFonts w:ascii="Calibri" w:hAnsi="Calibri" w:cs="Calibri"/>
                <w:sz w:val="20"/>
                <w:szCs w:val="20"/>
              </w:rPr>
            </w:pPr>
            <w:r w:rsidRPr="0061109F">
              <w:rPr>
                <w:rFonts w:ascii="Calibri" w:hAnsi="Calibri" w:cs="Calibri"/>
                <w:sz w:val="20"/>
                <w:szCs w:val="20"/>
              </w:rPr>
              <w:t>2.00 (0.71-5.60)</w:t>
            </w:r>
          </w:p>
        </w:tc>
      </w:tr>
      <w:tr w:rsidR="0061109F" w:rsidRPr="0061109F" w14:paraId="29944D7C" w14:textId="6FEEBDD3" w:rsidTr="00C224E6">
        <w:tc>
          <w:tcPr>
            <w:tcW w:w="1035" w:type="pct"/>
            <w:vAlign w:val="center"/>
          </w:tcPr>
          <w:p w14:paraId="6F2F3DED" w14:textId="77777777" w:rsidR="004237C5" w:rsidRPr="0061109F" w:rsidRDefault="004237C5" w:rsidP="000B086A">
            <w:pPr>
              <w:pStyle w:val="Heading4"/>
              <w:spacing w:line="480" w:lineRule="auto"/>
              <w:ind w:left="28"/>
              <w:jc w:val="both"/>
              <w:rPr>
                <w:i w:val="0"/>
                <w:color w:val="auto"/>
                <w:sz w:val="20"/>
                <w:szCs w:val="20"/>
              </w:rPr>
            </w:pPr>
            <w:r w:rsidRPr="0061109F">
              <w:rPr>
                <w:i w:val="0"/>
                <w:color w:val="auto"/>
                <w:sz w:val="20"/>
                <w:szCs w:val="20"/>
              </w:rPr>
              <w:t>Other causes</w:t>
            </w:r>
          </w:p>
        </w:tc>
        <w:tc>
          <w:tcPr>
            <w:tcW w:w="1102" w:type="pct"/>
            <w:vAlign w:val="center"/>
          </w:tcPr>
          <w:p w14:paraId="02679B19" w14:textId="4C7CE9A7" w:rsidR="004237C5" w:rsidRPr="0061109F" w:rsidRDefault="004237C5" w:rsidP="00497C70">
            <w:pPr>
              <w:pStyle w:val="Heading4"/>
              <w:spacing w:line="480" w:lineRule="auto"/>
              <w:ind w:left="32"/>
              <w:rPr>
                <w:i w:val="0"/>
                <w:color w:val="auto"/>
                <w:sz w:val="20"/>
                <w:szCs w:val="20"/>
                <w:lang w:val="en-CA"/>
              </w:rPr>
            </w:pPr>
            <w:r w:rsidRPr="0061109F">
              <w:rPr>
                <w:i w:val="0"/>
                <w:color w:val="auto"/>
                <w:sz w:val="20"/>
                <w:szCs w:val="20"/>
                <w:lang w:val="en-CA"/>
              </w:rPr>
              <w:t>1.23 (0.79-1.92)</w:t>
            </w:r>
          </w:p>
        </w:tc>
        <w:tc>
          <w:tcPr>
            <w:tcW w:w="910" w:type="pct"/>
            <w:vAlign w:val="center"/>
          </w:tcPr>
          <w:p w14:paraId="6BDB02C6" w14:textId="76914FAF" w:rsidR="004237C5" w:rsidRPr="0061109F" w:rsidRDefault="004237C5" w:rsidP="00497C70">
            <w:pPr>
              <w:pStyle w:val="Heading4"/>
              <w:spacing w:line="480" w:lineRule="auto"/>
              <w:rPr>
                <w:i w:val="0"/>
                <w:color w:val="auto"/>
                <w:sz w:val="20"/>
                <w:szCs w:val="20"/>
                <w:lang w:val="en-CA"/>
              </w:rPr>
            </w:pPr>
            <w:r w:rsidRPr="0061109F">
              <w:rPr>
                <w:i w:val="0"/>
                <w:color w:val="auto"/>
                <w:sz w:val="20"/>
                <w:szCs w:val="20"/>
                <w:lang w:val="en-CA"/>
              </w:rPr>
              <w:t>1.24 (0.80-1.94)</w:t>
            </w:r>
          </w:p>
        </w:tc>
        <w:tc>
          <w:tcPr>
            <w:tcW w:w="1115" w:type="pct"/>
            <w:vAlign w:val="center"/>
          </w:tcPr>
          <w:tbl>
            <w:tblPr>
              <w:tblW w:w="0" w:type="auto"/>
              <w:shd w:val="clear" w:color="auto" w:fill="FCFCFC"/>
              <w:tblCellMar>
                <w:top w:w="15" w:type="dxa"/>
                <w:left w:w="15" w:type="dxa"/>
                <w:bottom w:w="15" w:type="dxa"/>
                <w:right w:w="15" w:type="dxa"/>
              </w:tblCellMar>
              <w:tblLook w:val="04A0" w:firstRow="1" w:lastRow="0" w:firstColumn="1" w:lastColumn="0" w:noHBand="0" w:noVBand="1"/>
            </w:tblPr>
            <w:tblGrid>
              <w:gridCol w:w="1292"/>
            </w:tblGrid>
            <w:tr w:rsidR="0061109F" w:rsidRPr="0061109F" w14:paraId="329EBBD6" w14:textId="77777777" w:rsidTr="000B086A">
              <w:tc>
                <w:tcPr>
                  <w:tcW w:w="0" w:type="auto"/>
                  <w:shd w:val="clear" w:color="auto" w:fill="FCFCFC"/>
                  <w:tcMar>
                    <w:top w:w="0" w:type="dxa"/>
                    <w:left w:w="0" w:type="dxa"/>
                    <w:bottom w:w="0" w:type="dxa"/>
                    <w:right w:w="0" w:type="dxa"/>
                  </w:tcMar>
                  <w:vAlign w:val="center"/>
                  <w:hideMark/>
                </w:tcPr>
                <w:p w14:paraId="64C9F3E6" w14:textId="38673EA5" w:rsidR="004237C5" w:rsidRPr="0061109F" w:rsidRDefault="004237C5" w:rsidP="00497C70">
                  <w:pPr>
                    <w:pStyle w:val="Heading4"/>
                    <w:spacing w:line="480" w:lineRule="auto"/>
                    <w:rPr>
                      <w:i w:val="0"/>
                      <w:color w:val="auto"/>
                      <w:sz w:val="20"/>
                      <w:szCs w:val="20"/>
                      <w:lang w:val="en-CA"/>
                    </w:rPr>
                  </w:pPr>
                  <w:r w:rsidRPr="0061109F">
                    <w:rPr>
                      <w:i w:val="0"/>
                      <w:color w:val="auto"/>
                      <w:sz w:val="20"/>
                      <w:szCs w:val="20"/>
                      <w:lang w:val="en-CA"/>
                    </w:rPr>
                    <w:t>1.61 (0.94-2.74)</w:t>
                  </w:r>
                </w:p>
              </w:tc>
            </w:tr>
          </w:tbl>
          <w:p w14:paraId="0E98CF32" w14:textId="77777777" w:rsidR="004237C5" w:rsidRPr="0061109F" w:rsidRDefault="004237C5" w:rsidP="00497C70">
            <w:pPr>
              <w:pStyle w:val="Heading4"/>
              <w:spacing w:line="480" w:lineRule="auto"/>
              <w:rPr>
                <w:i w:val="0"/>
                <w:color w:val="auto"/>
                <w:sz w:val="20"/>
                <w:szCs w:val="20"/>
              </w:rPr>
            </w:pPr>
          </w:p>
        </w:tc>
        <w:tc>
          <w:tcPr>
            <w:tcW w:w="838" w:type="pct"/>
            <w:gridSpan w:val="2"/>
            <w:vAlign w:val="center"/>
          </w:tcPr>
          <w:p w14:paraId="34F5441C" w14:textId="292D8DA2" w:rsidR="004237C5" w:rsidRPr="0061109F" w:rsidRDefault="004237C5" w:rsidP="00497C70">
            <w:pPr>
              <w:spacing w:line="480" w:lineRule="auto"/>
              <w:rPr>
                <w:rFonts w:ascii="Calibri" w:hAnsi="Calibri" w:cs="Calibri"/>
                <w:sz w:val="20"/>
                <w:szCs w:val="20"/>
              </w:rPr>
            </w:pPr>
            <w:r w:rsidRPr="0061109F">
              <w:rPr>
                <w:rFonts w:ascii="Calibri" w:hAnsi="Calibri" w:cs="Calibri"/>
                <w:sz w:val="20"/>
                <w:szCs w:val="20"/>
              </w:rPr>
              <w:t>1.66 (0.97-2.84)</w:t>
            </w:r>
          </w:p>
        </w:tc>
      </w:tr>
    </w:tbl>
    <w:p w14:paraId="1C513D30" w14:textId="602CF0D7" w:rsidR="00191CFF" w:rsidRPr="0061109F" w:rsidRDefault="000B086A" w:rsidP="00767ABD">
      <w:pPr>
        <w:spacing w:line="480" w:lineRule="auto"/>
        <w:rPr>
          <w:rFonts w:ascii="Calibri" w:hAnsi="Calibri" w:cs="Calibri"/>
          <w:sz w:val="22"/>
          <w:szCs w:val="22"/>
          <w:lang w:val="en-GB"/>
        </w:rPr>
      </w:pPr>
      <w:r w:rsidRPr="0061109F">
        <w:rPr>
          <w:rFonts w:ascii="Calibri" w:hAnsi="Calibri" w:cs="Calibri"/>
          <w:sz w:val="22"/>
          <w:szCs w:val="22"/>
        </w:rPr>
        <w:t xml:space="preserve">Hazard Ratios (95% confidence interval) are presented. No effects were statistically significant at </w:t>
      </w:r>
      <w:r w:rsidR="004237C5" w:rsidRPr="0061109F">
        <w:rPr>
          <w:rFonts w:ascii="Calibri" w:hAnsi="Calibri" w:cs="Calibri"/>
          <w:i/>
          <w:sz w:val="22"/>
          <w:szCs w:val="22"/>
        </w:rPr>
        <w:t>p</w:t>
      </w:r>
      <w:r w:rsidRPr="0061109F">
        <w:rPr>
          <w:rFonts w:ascii="Calibri" w:hAnsi="Calibri" w:cs="Calibri"/>
          <w:sz w:val="22"/>
          <w:szCs w:val="22"/>
        </w:rPr>
        <w:t>≤0.00</w:t>
      </w:r>
      <w:r w:rsidR="004237C5" w:rsidRPr="0061109F">
        <w:rPr>
          <w:rFonts w:ascii="Calibri" w:hAnsi="Calibri" w:cs="Calibri"/>
          <w:sz w:val="22"/>
          <w:szCs w:val="22"/>
        </w:rPr>
        <w:t>11</w:t>
      </w:r>
      <w:r w:rsidRPr="0061109F">
        <w:rPr>
          <w:rFonts w:ascii="Calibri" w:hAnsi="Calibri" w:cs="Calibri"/>
          <w:sz w:val="22"/>
          <w:szCs w:val="22"/>
        </w:rPr>
        <w:t xml:space="preserve">. Unadjusted model includes only the specified exposure. </w:t>
      </w:r>
      <w:r w:rsidR="00D31BE5" w:rsidRPr="0061109F">
        <w:rPr>
          <w:rFonts w:ascii="Calibri" w:hAnsi="Calibri" w:cs="Calibri"/>
          <w:sz w:val="22"/>
          <w:szCs w:val="22"/>
        </w:rPr>
        <w:t>Adjusted model includes the exposure, and age, sex, and first 5 ancestry principle components</w:t>
      </w:r>
      <w:r w:rsidRPr="0061109F">
        <w:rPr>
          <w:rFonts w:ascii="Calibri" w:hAnsi="Calibri" w:cs="Calibri"/>
          <w:sz w:val="22"/>
          <w:szCs w:val="22"/>
        </w:rPr>
        <w:t>. Deaths from either breast cancer or external causes did not have either measure of somatic mutations.</w:t>
      </w:r>
    </w:p>
    <w:sectPr w:rsidR="00191CFF" w:rsidRPr="0061109F" w:rsidSect="00142756">
      <w:footerReference w:type="even"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20DF6E" w14:textId="77777777" w:rsidR="006F0113" w:rsidRDefault="006F0113" w:rsidP="00CA1A53">
      <w:r>
        <w:separator/>
      </w:r>
    </w:p>
  </w:endnote>
  <w:endnote w:type="continuationSeparator" w:id="0">
    <w:p w14:paraId="1860A42E" w14:textId="77777777" w:rsidR="006F0113" w:rsidRDefault="006F0113" w:rsidP="00CA1A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846532511"/>
      <w:docPartObj>
        <w:docPartGallery w:val="Page Numbers (Bottom of Page)"/>
        <w:docPartUnique/>
      </w:docPartObj>
    </w:sdtPr>
    <w:sdtEndPr>
      <w:rPr>
        <w:rStyle w:val="PageNumber"/>
      </w:rPr>
    </w:sdtEndPr>
    <w:sdtContent>
      <w:p w14:paraId="5C725379" w14:textId="7956D6AA" w:rsidR="00C46970" w:rsidRDefault="00C46970" w:rsidP="00C6583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45E9B23" w14:textId="77777777" w:rsidR="00C46970" w:rsidRDefault="00C46970" w:rsidP="00CA1A5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Fonts w:ascii="Calibri" w:hAnsi="Calibri" w:cs="Calibri"/>
        <w:sz w:val="20"/>
        <w:szCs w:val="20"/>
      </w:rPr>
      <w:id w:val="-23486039"/>
      <w:docPartObj>
        <w:docPartGallery w:val="Page Numbers (Bottom of Page)"/>
        <w:docPartUnique/>
      </w:docPartObj>
    </w:sdtPr>
    <w:sdtEndPr>
      <w:rPr>
        <w:rStyle w:val="PageNumber"/>
      </w:rPr>
    </w:sdtEndPr>
    <w:sdtContent>
      <w:p w14:paraId="7B341082" w14:textId="29B77472" w:rsidR="00C46970" w:rsidRPr="00CA1A53" w:rsidRDefault="00C46970" w:rsidP="00C65835">
        <w:pPr>
          <w:pStyle w:val="Footer"/>
          <w:framePr w:wrap="none" w:vAnchor="text" w:hAnchor="margin" w:xAlign="right" w:y="1"/>
          <w:rPr>
            <w:rStyle w:val="PageNumber"/>
            <w:rFonts w:ascii="Calibri" w:hAnsi="Calibri" w:cs="Calibri"/>
            <w:sz w:val="20"/>
            <w:szCs w:val="20"/>
          </w:rPr>
        </w:pPr>
        <w:r w:rsidRPr="00CA1A53">
          <w:rPr>
            <w:rStyle w:val="PageNumber"/>
            <w:rFonts w:ascii="Calibri" w:hAnsi="Calibri" w:cs="Calibri"/>
            <w:sz w:val="20"/>
            <w:szCs w:val="20"/>
          </w:rPr>
          <w:fldChar w:fldCharType="begin"/>
        </w:r>
        <w:r w:rsidRPr="00CA1A53">
          <w:rPr>
            <w:rStyle w:val="PageNumber"/>
            <w:rFonts w:ascii="Calibri" w:hAnsi="Calibri" w:cs="Calibri"/>
            <w:sz w:val="20"/>
            <w:szCs w:val="20"/>
          </w:rPr>
          <w:instrText xml:space="preserve"> PAGE </w:instrText>
        </w:r>
        <w:r w:rsidRPr="00CA1A53">
          <w:rPr>
            <w:rStyle w:val="PageNumber"/>
            <w:rFonts w:ascii="Calibri" w:hAnsi="Calibri" w:cs="Calibri"/>
            <w:sz w:val="20"/>
            <w:szCs w:val="20"/>
          </w:rPr>
          <w:fldChar w:fldCharType="separate"/>
        </w:r>
        <w:r w:rsidRPr="00CA1A53">
          <w:rPr>
            <w:rStyle w:val="PageNumber"/>
            <w:rFonts w:ascii="Calibri" w:hAnsi="Calibri" w:cs="Calibri"/>
            <w:noProof/>
            <w:sz w:val="20"/>
            <w:szCs w:val="20"/>
          </w:rPr>
          <w:t>1</w:t>
        </w:r>
        <w:r w:rsidRPr="00CA1A53">
          <w:rPr>
            <w:rStyle w:val="PageNumber"/>
            <w:rFonts w:ascii="Calibri" w:hAnsi="Calibri" w:cs="Calibri"/>
            <w:sz w:val="20"/>
            <w:szCs w:val="20"/>
          </w:rPr>
          <w:fldChar w:fldCharType="end"/>
        </w:r>
      </w:p>
    </w:sdtContent>
  </w:sdt>
  <w:p w14:paraId="4187361F" w14:textId="77777777" w:rsidR="00C46970" w:rsidRPr="00CA1A53" w:rsidRDefault="00C46970" w:rsidP="00CA1A53">
    <w:pPr>
      <w:pStyle w:val="Footer"/>
      <w:ind w:right="360"/>
      <w:rPr>
        <w:rFonts w:ascii="Calibri" w:hAnsi="Calibri" w:cs="Calibr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0D1C23" w14:textId="77777777" w:rsidR="006F0113" w:rsidRDefault="006F0113" w:rsidP="00CA1A53">
      <w:r>
        <w:separator/>
      </w:r>
    </w:p>
  </w:footnote>
  <w:footnote w:type="continuationSeparator" w:id="0">
    <w:p w14:paraId="1E1BB79E" w14:textId="77777777" w:rsidR="006F0113" w:rsidRDefault="006F0113" w:rsidP="00CA1A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FE061C"/>
    <w:multiLevelType w:val="hybridMultilevel"/>
    <w:tmpl w:val="E93EAD66"/>
    <w:lvl w:ilvl="0" w:tplc="294CB308">
      <w:start w:val="1"/>
      <w:numFmt w:val="bullet"/>
      <w:lvlText w:val=""/>
      <w:lvlJc w:val="left"/>
      <w:pPr>
        <w:ind w:left="720" w:hanging="360"/>
      </w:pPr>
      <w:rPr>
        <w:rFonts w:ascii="Symbol" w:eastAsiaTheme="minorHAns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D9B"/>
    <w:rsid w:val="00002889"/>
    <w:rsid w:val="00004293"/>
    <w:rsid w:val="00013D69"/>
    <w:rsid w:val="000149EE"/>
    <w:rsid w:val="0001572F"/>
    <w:rsid w:val="00022E5B"/>
    <w:rsid w:val="00040161"/>
    <w:rsid w:val="000437CA"/>
    <w:rsid w:val="000524FB"/>
    <w:rsid w:val="00055D81"/>
    <w:rsid w:val="00066060"/>
    <w:rsid w:val="000734C5"/>
    <w:rsid w:val="00081827"/>
    <w:rsid w:val="00084F7C"/>
    <w:rsid w:val="0008556E"/>
    <w:rsid w:val="00097E18"/>
    <w:rsid w:val="000B086A"/>
    <w:rsid w:val="000B40F5"/>
    <w:rsid w:val="000C67CF"/>
    <w:rsid w:val="000E0E57"/>
    <w:rsid w:val="000E0F20"/>
    <w:rsid w:val="000E2570"/>
    <w:rsid w:val="000E306B"/>
    <w:rsid w:val="000F2658"/>
    <w:rsid w:val="000F324F"/>
    <w:rsid w:val="000F5453"/>
    <w:rsid w:val="000F5F18"/>
    <w:rsid w:val="000F78F2"/>
    <w:rsid w:val="00101ACA"/>
    <w:rsid w:val="001036F4"/>
    <w:rsid w:val="00104DCF"/>
    <w:rsid w:val="00107ED1"/>
    <w:rsid w:val="00120B0C"/>
    <w:rsid w:val="00120D90"/>
    <w:rsid w:val="0012575F"/>
    <w:rsid w:val="0013417E"/>
    <w:rsid w:val="001354FA"/>
    <w:rsid w:val="00140D0C"/>
    <w:rsid w:val="0014188B"/>
    <w:rsid w:val="00142756"/>
    <w:rsid w:val="00153D0E"/>
    <w:rsid w:val="001555A5"/>
    <w:rsid w:val="00176865"/>
    <w:rsid w:val="00180E1E"/>
    <w:rsid w:val="0018410D"/>
    <w:rsid w:val="0018551A"/>
    <w:rsid w:val="00191CFF"/>
    <w:rsid w:val="001938E7"/>
    <w:rsid w:val="00197E76"/>
    <w:rsid w:val="001A65E3"/>
    <w:rsid w:val="001A7B25"/>
    <w:rsid w:val="001B05B5"/>
    <w:rsid w:val="001B1379"/>
    <w:rsid w:val="001B3DFA"/>
    <w:rsid w:val="001C01EF"/>
    <w:rsid w:val="001C3FF6"/>
    <w:rsid w:val="001D0F76"/>
    <w:rsid w:val="001D1A4D"/>
    <w:rsid w:val="001E1177"/>
    <w:rsid w:val="001E4DBA"/>
    <w:rsid w:val="001F37CF"/>
    <w:rsid w:val="001F4750"/>
    <w:rsid w:val="0020299B"/>
    <w:rsid w:val="0021471E"/>
    <w:rsid w:val="0022458B"/>
    <w:rsid w:val="00234172"/>
    <w:rsid w:val="00234DE4"/>
    <w:rsid w:val="00237BE3"/>
    <w:rsid w:val="00247D20"/>
    <w:rsid w:val="00252F3A"/>
    <w:rsid w:val="00253DA2"/>
    <w:rsid w:val="00256FA6"/>
    <w:rsid w:val="002654C5"/>
    <w:rsid w:val="00272187"/>
    <w:rsid w:val="00273CA3"/>
    <w:rsid w:val="002912EB"/>
    <w:rsid w:val="00294252"/>
    <w:rsid w:val="0029466C"/>
    <w:rsid w:val="002A0D6D"/>
    <w:rsid w:val="002B0CE1"/>
    <w:rsid w:val="002B1C41"/>
    <w:rsid w:val="002B5F94"/>
    <w:rsid w:val="002C1C0E"/>
    <w:rsid w:val="002C3678"/>
    <w:rsid w:val="002C46E3"/>
    <w:rsid w:val="002C6897"/>
    <w:rsid w:val="002C713C"/>
    <w:rsid w:val="002D24A0"/>
    <w:rsid w:val="002D4FE3"/>
    <w:rsid w:val="002D7702"/>
    <w:rsid w:val="002E48F4"/>
    <w:rsid w:val="002E60F6"/>
    <w:rsid w:val="002E63EF"/>
    <w:rsid w:val="002F451D"/>
    <w:rsid w:val="003010B1"/>
    <w:rsid w:val="00301876"/>
    <w:rsid w:val="00304214"/>
    <w:rsid w:val="00311AC7"/>
    <w:rsid w:val="00312E95"/>
    <w:rsid w:val="00314357"/>
    <w:rsid w:val="00317078"/>
    <w:rsid w:val="00317FF6"/>
    <w:rsid w:val="00324B61"/>
    <w:rsid w:val="00330DB5"/>
    <w:rsid w:val="003340E2"/>
    <w:rsid w:val="003343EF"/>
    <w:rsid w:val="003349BE"/>
    <w:rsid w:val="0033698D"/>
    <w:rsid w:val="003374D9"/>
    <w:rsid w:val="0034590A"/>
    <w:rsid w:val="00362DA1"/>
    <w:rsid w:val="0036360A"/>
    <w:rsid w:val="00366F0D"/>
    <w:rsid w:val="00367C91"/>
    <w:rsid w:val="00373245"/>
    <w:rsid w:val="0038107F"/>
    <w:rsid w:val="0038166B"/>
    <w:rsid w:val="00395633"/>
    <w:rsid w:val="00396585"/>
    <w:rsid w:val="003A017D"/>
    <w:rsid w:val="003A3096"/>
    <w:rsid w:val="003B55D7"/>
    <w:rsid w:val="003B620B"/>
    <w:rsid w:val="003C55F8"/>
    <w:rsid w:val="003C57B4"/>
    <w:rsid w:val="003D515A"/>
    <w:rsid w:val="003F197B"/>
    <w:rsid w:val="003F68A2"/>
    <w:rsid w:val="0040239B"/>
    <w:rsid w:val="00402DF3"/>
    <w:rsid w:val="00404D17"/>
    <w:rsid w:val="00405956"/>
    <w:rsid w:val="00412263"/>
    <w:rsid w:val="00416201"/>
    <w:rsid w:val="0042072E"/>
    <w:rsid w:val="00421F04"/>
    <w:rsid w:val="004237C5"/>
    <w:rsid w:val="00426267"/>
    <w:rsid w:val="004330CB"/>
    <w:rsid w:val="0043360D"/>
    <w:rsid w:val="00435D85"/>
    <w:rsid w:val="0043716E"/>
    <w:rsid w:val="00442796"/>
    <w:rsid w:val="004442AC"/>
    <w:rsid w:val="00451C6C"/>
    <w:rsid w:val="00454C50"/>
    <w:rsid w:val="00456304"/>
    <w:rsid w:val="00475084"/>
    <w:rsid w:val="004774BE"/>
    <w:rsid w:val="004846A0"/>
    <w:rsid w:val="004868A3"/>
    <w:rsid w:val="004916FE"/>
    <w:rsid w:val="004927AD"/>
    <w:rsid w:val="00497C70"/>
    <w:rsid w:val="004A1707"/>
    <w:rsid w:val="004A482B"/>
    <w:rsid w:val="004A5ADB"/>
    <w:rsid w:val="004B218C"/>
    <w:rsid w:val="004B2219"/>
    <w:rsid w:val="004B26EB"/>
    <w:rsid w:val="004B6001"/>
    <w:rsid w:val="004C0D91"/>
    <w:rsid w:val="004C738F"/>
    <w:rsid w:val="004D0151"/>
    <w:rsid w:val="004D328D"/>
    <w:rsid w:val="004D4C7A"/>
    <w:rsid w:val="004E029A"/>
    <w:rsid w:val="004E365B"/>
    <w:rsid w:val="004E52CA"/>
    <w:rsid w:val="004F4B6E"/>
    <w:rsid w:val="00501926"/>
    <w:rsid w:val="00510764"/>
    <w:rsid w:val="0051141A"/>
    <w:rsid w:val="00531C50"/>
    <w:rsid w:val="005328D8"/>
    <w:rsid w:val="00532AF6"/>
    <w:rsid w:val="00541131"/>
    <w:rsid w:val="005435E3"/>
    <w:rsid w:val="005456AD"/>
    <w:rsid w:val="00545F64"/>
    <w:rsid w:val="00550ECB"/>
    <w:rsid w:val="005529CC"/>
    <w:rsid w:val="00554793"/>
    <w:rsid w:val="0055757D"/>
    <w:rsid w:val="00562DF7"/>
    <w:rsid w:val="00563040"/>
    <w:rsid w:val="00570E0C"/>
    <w:rsid w:val="00572ED2"/>
    <w:rsid w:val="00572FAF"/>
    <w:rsid w:val="00576154"/>
    <w:rsid w:val="00576219"/>
    <w:rsid w:val="0058516F"/>
    <w:rsid w:val="00587E17"/>
    <w:rsid w:val="00591C7A"/>
    <w:rsid w:val="005922F5"/>
    <w:rsid w:val="00594EA3"/>
    <w:rsid w:val="0059688B"/>
    <w:rsid w:val="005B07E7"/>
    <w:rsid w:val="005B2162"/>
    <w:rsid w:val="005B36E0"/>
    <w:rsid w:val="005B3C43"/>
    <w:rsid w:val="005C039B"/>
    <w:rsid w:val="005C28D5"/>
    <w:rsid w:val="005D3087"/>
    <w:rsid w:val="005D7992"/>
    <w:rsid w:val="005E4EE5"/>
    <w:rsid w:val="005E6513"/>
    <w:rsid w:val="005E7051"/>
    <w:rsid w:val="005F1415"/>
    <w:rsid w:val="00604DD4"/>
    <w:rsid w:val="00607FBB"/>
    <w:rsid w:val="00610D9E"/>
    <w:rsid w:val="0061109F"/>
    <w:rsid w:val="0061401F"/>
    <w:rsid w:val="00614DE7"/>
    <w:rsid w:val="00615C67"/>
    <w:rsid w:val="0062053D"/>
    <w:rsid w:val="00620C3D"/>
    <w:rsid w:val="00621B79"/>
    <w:rsid w:val="006303B7"/>
    <w:rsid w:val="00630D7E"/>
    <w:rsid w:val="00632901"/>
    <w:rsid w:val="0066380D"/>
    <w:rsid w:val="00664843"/>
    <w:rsid w:val="006668E4"/>
    <w:rsid w:val="00673D79"/>
    <w:rsid w:val="00680472"/>
    <w:rsid w:val="00682331"/>
    <w:rsid w:val="00691FE4"/>
    <w:rsid w:val="00695351"/>
    <w:rsid w:val="006A1300"/>
    <w:rsid w:val="006B12DA"/>
    <w:rsid w:val="006B1A57"/>
    <w:rsid w:val="006C0902"/>
    <w:rsid w:val="006D396B"/>
    <w:rsid w:val="006D5D43"/>
    <w:rsid w:val="006D708A"/>
    <w:rsid w:val="006D70F4"/>
    <w:rsid w:val="006D736E"/>
    <w:rsid w:val="006F0113"/>
    <w:rsid w:val="006F46E2"/>
    <w:rsid w:val="00704277"/>
    <w:rsid w:val="00705081"/>
    <w:rsid w:val="00707AB9"/>
    <w:rsid w:val="00723A5D"/>
    <w:rsid w:val="00727797"/>
    <w:rsid w:val="0073354D"/>
    <w:rsid w:val="007344DA"/>
    <w:rsid w:val="00743CEB"/>
    <w:rsid w:val="00755E50"/>
    <w:rsid w:val="00762A1E"/>
    <w:rsid w:val="00764302"/>
    <w:rsid w:val="007675F8"/>
    <w:rsid w:val="00767815"/>
    <w:rsid w:val="00767ABD"/>
    <w:rsid w:val="007700C3"/>
    <w:rsid w:val="007744E6"/>
    <w:rsid w:val="007746CC"/>
    <w:rsid w:val="007778C0"/>
    <w:rsid w:val="0078307A"/>
    <w:rsid w:val="00783618"/>
    <w:rsid w:val="0079168E"/>
    <w:rsid w:val="00792324"/>
    <w:rsid w:val="00795761"/>
    <w:rsid w:val="00797FA3"/>
    <w:rsid w:val="007A1C40"/>
    <w:rsid w:val="007A6D63"/>
    <w:rsid w:val="007B1B53"/>
    <w:rsid w:val="007B75D5"/>
    <w:rsid w:val="007C16F8"/>
    <w:rsid w:val="007C18AD"/>
    <w:rsid w:val="007C2B28"/>
    <w:rsid w:val="007C5891"/>
    <w:rsid w:val="007D06A7"/>
    <w:rsid w:val="007D4AE0"/>
    <w:rsid w:val="007D7FB9"/>
    <w:rsid w:val="007E56B0"/>
    <w:rsid w:val="007F2A94"/>
    <w:rsid w:val="00806D74"/>
    <w:rsid w:val="008114CF"/>
    <w:rsid w:val="008165AA"/>
    <w:rsid w:val="0082216C"/>
    <w:rsid w:val="00823D9B"/>
    <w:rsid w:val="00832826"/>
    <w:rsid w:val="0083553F"/>
    <w:rsid w:val="00835C9D"/>
    <w:rsid w:val="00836D3A"/>
    <w:rsid w:val="0084328E"/>
    <w:rsid w:val="00845B7E"/>
    <w:rsid w:val="008559FE"/>
    <w:rsid w:val="00865843"/>
    <w:rsid w:val="00881BF7"/>
    <w:rsid w:val="008838B4"/>
    <w:rsid w:val="00884478"/>
    <w:rsid w:val="00887CAA"/>
    <w:rsid w:val="00890082"/>
    <w:rsid w:val="008948A5"/>
    <w:rsid w:val="008955A3"/>
    <w:rsid w:val="0089771D"/>
    <w:rsid w:val="008A1FA1"/>
    <w:rsid w:val="008B5F94"/>
    <w:rsid w:val="008C4185"/>
    <w:rsid w:val="008D0F67"/>
    <w:rsid w:val="008D13B8"/>
    <w:rsid w:val="008D43F7"/>
    <w:rsid w:val="008D6691"/>
    <w:rsid w:val="008E0940"/>
    <w:rsid w:val="00900999"/>
    <w:rsid w:val="00900BC2"/>
    <w:rsid w:val="00916F27"/>
    <w:rsid w:val="00924C08"/>
    <w:rsid w:val="00925004"/>
    <w:rsid w:val="00925757"/>
    <w:rsid w:val="00931AEA"/>
    <w:rsid w:val="00943D92"/>
    <w:rsid w:val="00960E52"/>
    <w:rsid w:val="00981F63"/>
    <w:rsid w:val="009830FF"/>
    <w:rsid w:val="00985777"/>
    <w:rsid w:val="00996449"/>
    <w:rsid w:val="009A1CF2"/>
    <w:rsid w:val="009A59B6"/>
    <w:rsid w:val="009A6BB4"/>
    <w:rsid w:val="009A7E14"/>
    <w:rsid w:val="009B0859"/>
    <w:rsid w:val="009B752C"/>
    <w:rsid w:val="009C2685"/>
    <w:rsid w:val="009D4118"/>
    <w:rsid w:val="009F0990"/>
    <w:rsid w:val="009F42AF"/>
    <w:rsid w:val="009F44B1"/>
    <w:rsid w:val="00A0375E"/>
    <w:rsid w:val="00A353A4"/>
    <w:rsid w:val="00A41CC7"/>
    <w:rsid w:val="00A52B5C"/>
    <w:rsid w:val="00A53D28"/>
    <w:rsid w:val="00A545B6"/>
    <w:rsid w:val="00A56226"/>
    <w:rsid w:val="00A56845"/>
    <w:rsid w:val="00A640A0"/>
    <w:rsid w:val="00A7049F"/>
    <w:rsid w:val="00A7463E"/>
    <w:rsid w:val="00A75308"/>
    <w:rsid w:val="00A80AB2"/>
    <w:rsid w:val="00A80F68"/>
    <w:rsid w:val="00A93450"/>
    <w:rsid w:val="00AA0A35"/>
    <w:rsid w:val="00AA19B3"/>
    <w:rsid w:val="00AB33F0"/>
    <w:rsid w:val="00AB6A70"/>
    <w:rsid w:val="00AB7432"/>
    <w:rsid w:val="00AC3FB6"/>
    <w:rsid w:val="00AD1D07"/>
    <w:rsid w:val="00AD2620"/>
    <w:rsid w:val="00AD2A1A"/>
    <w:rsid w:val="00AD777B"/>
    <w:rsid w:val="00AE7E61"/>
    <w:rsid w:val="00AF24AB"/>
    <w:rsid w:val="00AF3E6D"/>
    <w:rsid w:val="00AF72A5"/>
    <w:rsid w:val="00B01F83"/>
    <w:rsid w:val="00B02C53"/>
    <w:rsid w:val="00B049DB"/>
    <w:rsid w:val="00B052F2"/>
    <w:rsid w:val="00B10EAF"/>
    <w:rsid w:val="00B11155"/>
    <w:rsid w:val="00B1412B"/>
    <w:rsid w:val="00B1479A"/>
    <w:rsid w:val="00B22E68"/>
    <w:rsid w:val="00B2363A"/>
    <w:rsid w:val="00B30B8C"/>
    <w:rsid w:val="00B325EE"/>
    <w:rsid w:val="00B4061B"/>
    <w:rsid w:val="00B51DC3"/>
    <w:rsid w:val="00B63C3D"/>
    <w:rsid w:val="00B71168"/>
    <w:rsid w:val="00B8339B"/>
    <w:rsid w:val="00B837D0"/>
    <w:rsid w:val="00B936C4"/>
    <w:rsid w:val="00BA1D89"/>
    <w:rsid w:val="00BA231B"/>
    <w:rsid w:val="00BA3000"/>
    <w:rsid w:val="00BA6743"/>
    <w:rsid w:val="00BB1398"/>
    <w:rsid w:val="00BC1F0A"/>
    <w:rsid w:val="00BC30F5"/>
    <w:rsid w:val="00BC31CA"/>
    <w:rsid w:val="00BC5E1B"/>
    <w:rsid w:val="00BC7504"/>
    <w:rsid w:val="00BD1C1F"/>
    <w:rsid w:val="00BD4565"/>
    <w:rsid w:val="00BF3AD4"/>
    <w:rsid w:val="00BF483D"/>
    <w:rsid w:val="00BF5BA4"/>
    <w:rsid w:val="00BF6590"/>
    <w:rsid w:val="00C0236D"/>
    <w:rsid w:val="00C052A8"/>
    <w:rsid w:val="00C13B09"/>
    <w:rsid w:val="00C140EB"/>
    <w:rsid w:val="00C1602E"/>
    <w:rsid w:val="00C224E6"/>
    <w:rsid w:val="00C279ED"/>
    <w:rsid w:val="00C35D73"/>
    <w:rsid w:val="00C41703"/>
    <w:rsid w:val="00C42D45"/>
    <w:rsid w:val="00C42F87"/>
    <w:rsid w:val="00C4641D"/>
    <w:rsid w:val="00C46970"/>
    <w:rsid w:val="00C47D34"/>
    <w:rsid w:val="00C53580"/>
    <w:rsid w:val="00C560A4"/>
    <w:rsid w:val="00C62C44"/>
    <w:rsid w:val="00C64DD4"/>
    <w:rsid w:val="00C65835"/>
    <w:rsid w:val="00C72E8D"/>
    <w:rsid w:val="00C763EA"/>
    <w:rsid w:val="00C76820"/>
    <w:rsid w:val="00C770DF"/>
    <w:rsid w:val="00C77EC2"/>
    <w:rsid w:val="00C837FA"/>
    <w:rsid w:val="00C84ECD"/>
    <w:rsid w:val="00C8506B"/>
    <w:rsid w:val="00C91E0E"/>
    <w:rsid w:val="00CA0EF0"/>
    <w:rsid w:val="00CA1A53"/>
    <w:rsid w:val="00CA695B"/>
    <w:rsid w:val="00CB3C7A"/>
    <w:rsid w:val="00CD020C"/>
    <w:rsid w:val="00CD0F54"/>
    <w:rsid w:val="00CD1227"/>
    <w:rsid w:val="00CD1AE4"/>
    <w:rsid w:val="00CF2E83"/>
    <w:rsid w:val="00CF5779"/>
    <w:rsid w:val="00D01876"/>
    <w:rsid w:val="00D06D0C"/>
    <w:rsid w:val="00D10DF1"/>
    <w:rsid w:val="00D16AA7"/>
    <w:rsid w:val="00D23CF7"/>
    <w:rsid w:val="00D27FAE"/>
    <w:rsid w:val="00D3131C"/>
    <w:rsid w:val="00D31BE5"/>
    <w:rsid w:val="00D35A33"/>
    <w:rsid w:val="00D460EF"/>
    <w:rsid w:val="00D46BC1"/>
    <w:rsid w:val="00D52887"/>
    <w:rsid w:val="00D57A88"/>
    <w:rsid w:val="00D64C36"/>
    <w:rsid w:val="00D65E89"/>
    <w:rsid w:val="00D66C13"/>
    <w:rsid w:val="00D70691"/>
    <w:rsid w:val="00D70B5D"/>
    <w:rsid w:val="00D70EB1"/>
    <w:rsid w:val="00D75530"/>
    <w:rsid w:val="00D75DEB"/>
    <w:rsid w:val="00D83A9F"/>
    <w:rsid w:val="00D83CA9"/>
    <w:rsid w:val="00D860AB"/>
    <w:rsid w:val="00DA5645"/>
    <w:rsid w:val="00DA77CF"/>
    <w:rsid w:val="00DB4515"/>
    <w:rsid w:val="00DB580D"/>
    <w:rsid w:val="00DC315D"/>
    <w:rsid w:val="00DE1776"/>
    <w:rsid w:val="00DE6702"/>
    <w:rsid w:val="00DF1A43"/>
    <w:rsid w:val="00DF3FFC"/>
    <w:rsid w:val="00E055FD"/>
    <w:rsid w:val="00E073D5"/>
    <w:rsid w:val="00E1589A"/>
    <w:rsid w:val="00E20114"/>
    <w:rsid w:val="00E2117D"/>
    <w:rsid w:val="00E21643"/>
    <w:rsid w:val="00E31DE3"/>
    <w:rsid w:val="00E35A35"/>
    <w:rsid w:val="00E42F8C"/>
    <w:rsid w:val="00E445BE"/>
    <w:rsid w:val="00E54B7B"/>
    <w:rsid w:val="00E56C4F"/>
    <w:rsid w:val="00E6089D"/>
    <w:rsid w:val="00E60F2F"/>
    <w:rsid w:val="00E62720"/>
    <w:rsid w:val="00E77399"/>
    <w:rsid w:val="00E7785C"/>
    <w:rsid w:val="00E87907"/>
    <w:rsid w:val="00E9301D"/>
    <w:rsid w:val="00EB1376"/>
    <w:rsid w:val="00EB51E6"/>
    <w:rsid w:val="00EC367C"/>
    <w:rsid w:val="00EC4217"/>
    <w:rsid w:val="00ED7F29"/>
    <w:rsid w:val="00EE0A6E"/>
    <w:rsid w:val="00EE3A6F"/>
    <w:rsid w:val="00EE6198"/>
    <w:rsid w:val="00EF494F"/>
    <w:rsid w:val="00EF6242"/>
    <w:rsid w:val="00F01468"/>
    <w:rsid w:val="00F0185B"/>
    <w:rsid w:val="00F077FF"/>
    <w:rsid w:val="00F21905"/>
    <w:rsid w:val="00F23019"/>
    <w:rsid w:val="00F30551"/>
    <w:rsid w:val="00F30728"/>
    <w:rsid w:val="00F33E10"/>
    <w:rsid w:val="00F41608"/>
    <w:rsid w:val="00F447AC"/>
    <w:rsid w:val="00F45439"/>
    <w:rsid w:val="00F535B3"/>
    <w:rsid w:val="00F56D14"/>
    <w:rsid w:val="00F60D2D"/>
    <w:rsid w:val="00F64024"/>
    <w:rsid w:val="00F6464C"/>
    <w:rsid w:val="00F654F2"/>
    <w:rsid w:val="00F76209"/>
    <w:rsid w:val="00F76D6A"/>
    <w:rsid w:val="00F774B2"/>
    <w:rsid w:val="00F93226"/>
    <w:rsid w:val="00F96789"/>
    <w:rsid w:val="00FA319B"/>
    <w:rsid w:val="00FA477E"/>
    <w:rsid w:val="00FA7986"/>
    <w:rsid w:val="00FB0912"/>
    <w:rsid w:val="00FC184B"/>
    <w:rsid w:val="00FD2293"/>
    <w:rsid w:val="00FD5935"/>
    <w:rsid w:val="00FE07A9"/>
    <w:rsid w:val="00FE4CEF"/>
    <w:rsid w:val="00FF026F"/>
    <w:rsid w:val="00FF5DF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15CAD"/>
  <w15:chartTrackingRefBased/>
  <w15:docId w15:val="{A173AA53-F070-4045-9CD2-6233243DF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31C50"/>
    <w:rPr>
      <w:rFonts w:ascii="Times New Roman" w:eastAsia="Times New Roman" w:hAnsi="Times New Roman" w:cs="Times New Roman"/>
    </w:rPr>
  </w:style>
  <w:style w:type="paragraph" w:styleId="Heading2">
    <w:name w:val="heading 2"/>
    <w:basedOn w:val="Normal"/>
    <w:next w:val="Normal"/>
    <w:link w:val="Heading2Char"/>
    <w:uiPriority w:val="9"/>
    <w:unhideWhenUsed/>
    <w:qFormat/>
    <w:rsid w:val="006F46E2"/>
    <w:pPr>
      <w:keepNext/>
      <w:keepLines/>
      <w:spacing w:before="40"/>
      <w:outlineLvl w:val="1"/>
    </w:pPr>
    <w:rPr>
      <w:rFonts w:asciiTheme="majorHAnsi" w:eastAsiaTheme="majorEastAsia" w:hAnsiTheme="majorHAnsi" w:cstheme="majorBidi"/>
      <w:color w:val="2F5496" w:themeColor="accent1" w:themeShade="BF"/>
      <w:sz w:val="26"/>
      <w:szCs w:val="26"/>
      <w:lang w:val="en-US"/>
    </w:rPr>
  </w:style>
  <w:style w:type="paragraph" w:styleId="Heading3">
    <w:name w:val="heading 3"/>
    <w:basedOn w:val="Normal"/>
    <w:next w:val="Normal"/>
    <w:link w:val="Heading3Char"/>
    <w:uiPriority w:val="9"/>
    <w:unhideWhenUsed/>
    <w:qFormat/>
    <w:rsid w:val="00C763EA"/>
    <w:pPr>
      <w:keepNext/>
      <w:keepLines/>
      <w:spacing w:before="40"/>
      <w:outlineLvl w:val="2"/>
    </w:pPr>
    <w:rPr>
      <w:rFonts w:asciiTheme="majorHAnsi" w:eastAsiaTheme="majorEastAsia" w:hAnsiTheme="majorHAnsi" w:cstheme="majorBidi"/>
      <w:color w:val="1F3763" w:themeColor="accent1" w:themeShade="7F"/>
      <w:lang w:val="en-GB" w:eastAsia="en-GB"/>
    </w:rPr>
  </w:style>
  <w:style w:type="paragraph" w:styleId="Heading4">
    <w:name w:val="heading 4"/>
    <w:basedOn w:val="Normal"/>
    <w:next w:val="Normal"/>
    <w:link w:val="Heading4Char"/>
    <w:uiPriority w:val="9"/>
    <w:unhideWhenUsed/>
    <w:qFormat/>
    <w:rsid w:val="00823D9B"/>
    <w:pPr>
      <w:keepNext/>
      <w:keepLines/>
      <w:spacing w:before="40" w:after="120"/>
      <w:outlineLvl w:val="3"/>
    </w:pPr>
    <w:rPr>
      <w:rFonts w:ascii="Calibri" w:eastAsia="Calibri" w:hAnsi="Calibri" w:cs="Calibri"/>
      <w:i/>
      <w:color w:val="2F549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Kaarina">
    <w:name w:val="Kaarina"/>
    <w:basedOn w:val="Normal"/>
    <w:next w:val="Normal"/>
    <w:qFormat/>
    <w:rsid w:val="000F2658"/>
    <w:pPr>
      <w:spacing w:before="120" w:after="120"/>
    </w:pPr>
    <w:rPr>
      <w:rFonts w:ascii="Calibri" w:eastAsia="Calibri" w:hAnsi="Calibri" w:cs="Calibri"/>
      <w:lang w:val="en-US"/>
    </w:rPr>
  </w:style>
  <w:style w:type="paragraph" w:customStyle="1" w:styleId="NFRF">
    <w:name w:val="NFRF"/>
    <w:basedOn w:val="Normal"/>
    <w:autoRedefine/>
    <w:qFormat/>
    <w:rsid w:val="002D7702"/>
    <w:pPr>
      <w:spacing w:before="40" w:after="40"/>
    </w:pPr>
    <w:rPr>
      <w:rFonts w:ascii="Arial" w:eastAsiaTheme="minorHAnsi" w:hAnsi="Arial" w:cs="Arial"/>
      <w:sz w:val="22"/>
      <w:szCs w:val="22"/>
    </w:rPr>
  </w:style>
  <w:style w:type="character" w:customStyle="1" w:styleId="Heading4Char">
    <w:name w:val="Heading 4 Char"/>
    <w:basedOn w:val="DefaultParagraphFont"/>
    <w:link w:val="Heading4"/>
    <w:uiPriority w:val="9"/>
    <w:rsid w:val="00823D9B"/>
    <w:rPr>
      <w:rFonts w:ascii="Calibri" w:eastAsia="Calibri" w:hAnsi="Calibri" w:cs="Calibri"/>
      <w:i/>
      <w:color w:val="2F5496"/>
      <w:lang w:val="en-GB"/>
    </w:rPr>
  </w:style>
  <w:style w:type="paragraph" w:customStyle="1" w:styleId="KOWALEC-base">
    <w:name w:val="KOWALEC-base"/>
    <w:basedOn w:val="Normal"/>
    <w:autoRedefine/>
    <w:qFormat/>
    <w:rsid w:val="00823D9B"/>
    <w:pPr>
      <w:spacing w:before="120" w:after="120" w:line="480" w:lineRule="auto"/>
    </w:pPr>
    <w:rPr>
      <w:rFonts w:ascii="Calibri" w:eastAsia="Calibri" w:hAnsi="Calibri" w:cs="Arial"/>
      <w:color w:val="000000" w:themeColor="text1"/>
      <w:sz w:val="22"/>
      <w:szCs w:val="22"/>
      <w:lang w:val="en-US"/>
    </w:rPr>
  </w:style>
  <w:style w:type="paragraph" w:styleId="ListParagraph">
    <w:name w:val="List Paragraph"/>
    <w:basedOn w:val="Normal"/>
    <w:uiPriority w:val="34"/>
    <w:qFormat/>
    <w:rsid w:val="00022E5B"/>
    <w:pPr>
      <w:spacing w:after="120"/>
      <w:ind w:left="720"/>
      <w:contextualSpacing/>
    </w:pPr>
    <w:rPr>
      <w:rFonts w:ascii="Calibri" w:eastAsia="Calibri" w:hAnsi="Calibri" w:cs="Calibri"/>
      <w:lang w:val="en-GB"/>
    </w:rPr>
  </w:style>
  <w:style w:type="table" w:styleId="TableGrid">
    <w:name w:val="Table Grid"/>
    <w:basedOn w:val="TableNormal"/>
    <w:uiPriority w:val="39"/>
    <w:rsid w:val="00A568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E029A"/>
    <w:pPr>
      <w:spacing w:before="100" w:beforeAutospacing="1" w:after="100" w:afterAutospacing="1"/>
    </w:pPr>
  </w:style>
  <w:style w:type="paragraph" w:styleId="BalloonText">
    <w:name w:val="Balloon Text"/>
    <w:basedOn w:val="Normal"/>
    <w:link w:val="BalloonTextChar"/>
    <w:uiPriority w:val="99"/>
    <w:semiHidden/>
    <w:unhideWhenUsed/>
    <w:rsid w:val="004D0151"/>
    <w:rPr>
      <w:rFonts w:eastAsia="Calibri"/>
      <w:sz w:val="18"/>
      <w:szCs w:val="18"/>
      <w:lang w:val="en-GB"/>
    </w:rPr>
  </w:style>
  <w:style w:type="character" w:customStyle="1" w:styleId="BalloonTextChar">
    <w:name w:val="Balloon Text Char"/>
    <w:basedOn w:val="DefaultParagraphFont"/>
    <w:link w:val="BalloonText"/>
    <w:uiPriority w:val="99"/>
    <w:semiHidden/>
    <w:rsid w:val="004D0151"/>
    <w:rPr>
      <w:rFonts w:ascii="Times New Roman" w:eastAsia="Calibri" w:hAnsi="Times New Roman" w:cs="Times New Roman"/>
      <w:sz w:val="18"/>
      <w:szCs w:val="18"/>
      <w:lang w:val="en-GB"/>
    </w:rPr>
  </w:style>
  <w:style w:type="character" w:customStyle="1" w:styleId="Heading2Char">
    <w:name w:val="Heading 2 Char"/>
    <w:basedOn w:val="DefaultParagraphFont"/>
    <w:link w:val="Heading2"/>
    <w:uiPriority w:val="9"/>
    <w:rsid w:val="006F46E2"/>
    <w:rPr>
      <w:rFonts w:asciiTheme="majorHAnsi" w:eastAsiaTheme="majorEastAsia" w:hAnsiTheme="majorHAnsi" w:cstheme="majorBidi"/>
      <w:color w:val="2F5496" w:themeColor="accent1" w:themeShade="BF"/>
      <w:sz w:val="26"/>
      <w:szCs w:val="26"/>
      <w:lang w:val="en-US"/>
    </w:rPr>
  </w:style>
  <w:style w:type="character" w:styleId="CommentReference">
    <w:name w:val="annotation reference"/>
    <w:basedOn w:val="DefaultParagraphFont"/>
    <w:uiPriority w:val="99"/>
    <w:semiHidden/>
    <w:unhideWhenUsed/>
    <w:rsid w:val="00B052F2"/>
    <w:rPr>
      <w:sz w:val="16"/>
      <w:szCs w:val="16"/>
    </w:rPr>
  </w:style>
  <w:style w:type="paragraph" w:styleId="CommentText">
    <w:name w:val="annotation text"/>
    <w:basedOn w:val="Normal"/>
    <w:link w:val="CommentTextChar"/>
    <w:uiPriority w:val="99"/>
    <w:semiHidden/>
    <w:unhideWhenUsed/>
    <w:rsid w:val="00B052F2"/>
    <w:rPr>
      <w:sz w:val="20"/>
      <w:szCs w:val="20"/>
    </w:rPr>
  </w:style>
  <w:style w:type="character" w:customStyle="1" w:styleId="CommentTextChar">
    <w:name w:val="Comment Text Char"/>
    <w:basedOn w:val="DefaultParagraphFont"/>
    <w:link w:val="CommentText"/>
    <w:uiPriority w:val="99"/>
    <w:semiHidden/>
    <w:rsid w:val="00B052F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052F2"/>
    <w:rPr>
      <w:b/>
      <w:bCs/>
    </w:rPr>
  </w:style>
  <w:style w:type="character" w:customStyle="1" w:styleId="CommentSubjectChar">
    <w:name w:val="Comment Subject Char"/>
    <w:basedOn w:val="CommentTextChar"/>
    <w:link w:val="CommentSubject"/>
    <w:uiPriority w:val="99"/>
    <w:semiHidden/>
    <w:rsid w:val="00B052F2"/>
    <w:rPr>
      <w:rFonts w:ascii="Times New Roman" w:eastAsia="Times New Roman" w:hAnsi="Times New Roman" w:cs="Times New Roman"/>
      <w:b/>
      <w:bCs/>
      <w:sz w:val="20"/>
      <w:szCs w:val="20"/>
    </w:rPr>
  </w:style>
  <w:style w:type="character" w:customStyle="1" w:styleId="Heading3Char">
    <w:name w:val="Heading 3 Char"/>
    <w:basedOn w:val="DefaultParagraphFont"/>
    <w:link w:val="Heading3"/>
    <w:uiPriority w:val="9"/>
    <w:rsid w:val="00C763EA"/>
    <w:rPr>
      <w:rFonts w:asciiTheme="majorHAnsi" w:eastAsiaTheme="majorEastAsia" w:hAnsiTheme="majorHAnsi" w:cstheme="majorBidi"/>
      <w:color w:val="1F3763" w:themeColor="accent1" w:themeShade="7F"/>
      <w:lang w:val="en-GB" w:eastAsia="en-GB"/>
    </w:rPr>
  </w:style>
  <w:style w:type="character" w:styleId="Hyperlink">
    <w:name w:val="Hyperlink"/>
    <w:basedOn w:val="DefaultParagraphFont"/>
    <w:uiPriority w:val="99"/>
    <w:unhideWhenUsed/>
    <w:rsid w:val="00D27FAE"/>
    <w:rPr>
      <w:color w:val="0563C1" w:themeColor="hyperlink"/>
      <w:u w:val="single"/>
    </w:rPr>
  </w:style>
  <w:style w:type="character" w:styleId="UnresolvedMention">
    <w:name w:val="Unresolved Mention"/>
    <w:basedOn w:val="DefaultParagraphFont"/>
    <w:uiPriority w:val="99"/>
    <w:semiHidden/>
    <w:unhideWhenUsed/>
    <w:rsid w:val="00D27FAE"/>
    <w:rPr>
      <w:color w:val="605E5C"/>
      <w:shd w:val="clear" w:color="auto" w:fill="E1DFDD"/>
    </w:rPr>
  </w:style>
  <w:style w:type="paragraph" w:styleId="Footer">
    <w:name w:val="footer"/>
    <w:basedOn w:val="Normal"/>
    <w:link w:val="FooterChar"/>
    <w:uiPriority w:val="99"/>
    <w:unhideWhenUsed/>
    <w:rsid w:val="00CA1A53"/>
    <w:pPr>
      <w:tabs>
        <w:tab w:val="center" w:pos="4680"/>
        <w:tab w:val="right" w:pos="9360"/>
      </w:tabs>
    </w:pPr>
  </w:style>
  <w:style w:type="character" w:customStyle="1" w:styleId="FooterChar">
    <w:name w:val="Footer Char"/>
    <w:basedOn w:val="DefaultParagraphFont"/>
    <w:link w:val="Footer"/>
    <w:uiPriority w:val="99"/>
    <w:rsid w:val="00CA1A53"/>
    <w:rPr>
      <w:rFonts w:ascii="Times New Roman" w:eastAsia="Times New Roman" w:hAnsi="Times New Roman" w:cs="Times New Roman"/>
    </w:rPr>
  </w:style>
  <w:style w:type="character" w:styleId="PageNumber">
    <w:name w:val="page number"/>
    <w:basedOn w:val="DefaultParagraphFont"/>
    <w:uiPriority w:val="99"/>
    <w:semiHidden/>
    <w:unhideWhenUsed/>
    <w:rsid w:val="00CA1A53"/>
  </w:style>
  <w:style w:type="paragraph" w:styleId="Header">
    <w:name w:val="header"/>
    <w:basedOn w:val="Normal"/>
    <w:link w:val="HeaderChar"/>
    <w:uiPriority w:val="99"/>
    <w:unhideWhenUsed/>
    <w:rsid w:val="00CA1A53"/>
    <w:pPr>
      <w:tabs>
        <w:tab w:val="center" w:pos="4680"/>
        <w:tab w:val="right" w:pos="9360"/>
      </w:tabs>
    </w:pPr>
  </w:style>
  <w:style w:type="character" w:customStyle="1" w:styleId="HeaderChar">
    <w:name w:val="Header Char"/>
    <w:basedOn w:val="DefaultParagraphFont"/>
    <w:link w:val="Header"/>
    <w:uiPriority w:val="99"/>
    <w:rsid w:val="00CA1A53"/>
    <w:rPr>
      <w:rFonts w:ascii="Times New Roman" w:eastAsia="Times New Roman" w:hAnsi="Times New Roman" w:cs="Times New Roman"/>
    </w:rPr>
  </w:style>
  <w:style w:type="paragraph" w:styleId="Revision">
    <w:name w:val="Revision"/>
    <w:hidden/>
    <w:uiPriority w:val="99"/>
    <w:semiHidden/>
    <w:rsid w:val="00C65835"/>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015442">
      <w:bodyDiv w:val="1"/>
      <w:marLeft w:val="0"/>
      <w:marRight w:val="0"/>
      <w:marTop w:val="0"/>
      <w:marBottom w:val="0"/>
      <w:divBdr>
        <w:top w:val="none" w:sz="0" w:space="0" w:color="auto"/>
        <w:left w:val="none" w:sz="0" w:space="0" w:color="auto"/>
        <w:bottom w:val="none" w:sz="0" w:space="0" w:color="auto"/>
        <w:right w:val="none" w:sz="0" w:space="0" w:color="auto"/>
      </w:divBdr>
    </w:div>
    <w:div w:id="62681435">
      <w:bodyDiv w:val="1"/>
      <w:marLeft w:val="0"/>
      <w:marRight w:val="0"/>
      <w:marTop w:val="0"/>
      <w:marBottom w:val="0"/>
      <w:divBdr>
        <w:top w:val="none" w:sz="0" w:space="0" w:color="auto"/>
        <w:left w:val="none" w:sz="0" w:space="0" w:color="auto"/>
        <w:bottom w:val="none" w:sz="0" w:space="0" w:color="auto"/>
        <w:right w:val="none" w:sz="0" w:space="0" w:color="auto"/>
      </w:divBdr>
    </w:div>
    <w:div w:id="104153120">
      <w:bodyDiv w:val="1"/>
      <w:marLeft w:val="0"/>
      <w:marRight w:val="0"/>
      <w:marTop w:val="0"/>
      <w:marBottom w:val="0"/>
      <w:divBdr>
        <w:top w:val="none" w:sz="0" w:space="0" w:color="auto"/>
        <w:left w:val="none" w:sz="0" w:space="0" w:color="auto"/>
        <w:bottom w:val="none" w:sz="0" w:space="0" w:color="auto"/>
        <w:right w:val="none" w:sz="0" w:space="0" w:color="auto"/>
      </w:divBdr>
    </w:div>
    <w:div w:id="219437784">
      <w:bodyDiv w:val="1"/>
      <w:marLeft w:val="0"/>
      <w:marRight w:val="0"/>
      <w:marTop w:val="0"/>
      <w:marBottom w:val="0"/>
      <w:divBdr>
        <w:top w:val="none" w:sz="0" w:space="0" w:color="auto"/>
        <w:left w:val="none" w:sz="0" w:space="0" w:color="auto"/>
        <w:bottom w:val="none" w:sz="0" w:space="0" w:color="auto"/>
        <w:right w:val="none" w:sz="0" w:space="0" w:color="auto"/>
      </w:divBdr>
      <w:divsChild>
        <w:div w:id="1980767551">
          <w:marLeft w:val="0"/>
          <w:marRight w:val="0"/>
          <w:marTop w:val="0"/>
          <w:marBottom w:val="0"/>
          <w:divBdr>
            <w:top w:val="none" w:sz="0" w:space="0" w:color="auto"/>
            <w:left w:val="none" w:sz="0" w:space="0" w:color="auto"/>
            <w:bottom w:val="none" w:sz="0" w:space="0" w:color="auto"/>
            <w:right w:val="none" w:sz="0" w:space="0" w:color="auto"/>
          </w:divBdr>
          <w:divsChild>
            <w:div w:id="1054810010">
              <w:marLeft w:val="0"/>
              <w:marRight w:val="0"/>
              <w:marTop w:val="0"/>
              <w:marBottom w:val="0"/>
              <w:divBdr>
                <w:top w:val="none" w:sz="0" w:space="0" w:color="auto"/>
                <w:left w:val="none" w:sz="0" w:space="0" w:color="auto"/>
                <w:bottom w:val="none" w:sz="0" w:space="0" w:color="auto"/>
                <w:right w:val="none" w:sz="0" w:space="0" w:color="auto"/>
              </w:divBdr>
              <w:divsChild>
                <w:div w:id="184871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725776">
      <w:bodyDiv w:val="1"/>
      <w:marLeft w:val="0"/>
      <w:marRight w:val="0"/>
      <w:marTop w:val="0"/>
      <w:marBottom w:val="0"/>
      <w:divBdr>
        <w:top w:val="none" w:sz="0" w:space="0" w:color="auto"/>
        <w:left w:val="none" w:sz="0" w:space="0" w:color="auto"/>
        <w:bottom w:val="none" w:sz="0" w:space="0" w:color="auto"/>
        <w:right w:val="none" w:sz="0" w:space="0" w:color="auto"/>
      </w:divBdr>
    </w:div>
    <w:div w:id="315307820">
      <w:bodyDiv w:val="1"/>
      <w:marLeft w:val="0"/>
      <w:marRight w:val="0"/>
      <w:marTop w:val="0"/>
      <w:marBottom w:val="0"/>
      <w:divBdr>
        <w:top w:val="none" w:sz="0" w:space="0" w:color="auto"/>
        <w:left w:val="none" w:sz="0" w:space="0" w:color="auto"/>
        <w:bottom w:val="none" w:sz="0" w:space="0" w:color="auto"/>
        <w:right w:val="none" w:sz="0" w:space="0" w:color="auto"/>
      </w:divBdr>
      <w:divsChild>
        <w:div w:id="1272786644">
          <w:marLeft w:val="0"/>
          <w:marRight w:val="0"/>
          <w:marTop w:val="0"/>
          <w:marBottom w:val="0"/>
          <w:divBdr>
            <w:top w:val="none" w:sz="0" w:space="0" w:color="auto"/>
            <w:left w:val="none" w:sz="0" w:space="0" w:color="auto"/>
            <w:bottom w:val="none" w:sz="0" w:space="0" w:color="auto"/>
            <w:right w:val="none" w:sz="0" w:space="0" w:color="auto"/>
          </w:divBdr>
          <w:divsChild>
            <w:div w:id="1046684846">
              <w:marLeft w:val="0"/>
              <w:marRight w:val="0"/>
              <w:marTop w:val="0"/>
              <w:marBottom w:val="0"/>
              <w:divBdr>
                <w:top w:val="none" w:sz="0" w:space="0" w:color="auto"/>
                <w:left w:val="none" w:sz="0" w:space="0" w:color="auto"/>
                <w:bottom w:val="none" w:sz="0" w:space="0" w:color="auto"/>
                <w:right w:val="none" w:sz="0" w:space="0" w:color="auto"/>
              </w:divBdr>
              <w:divsChild>
                <w:div w:id="187939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290345">
      <w:bodyDiv w:val="1"/>
      <w:marLeft w:val="0"/>
      <w:marRight w:val="0"/>
      <w:marTop w:val="0"/>
      <w:marBottom w:val="0"/>
      <w:divBdr>
        <w:top w:val="none" w:sz="0" w:space="0" w:color="auto"/>
        <w:left w:val="none" w:sz="0" w:space="0" w:color="auto"/>
        <w:bottom w:val="none" w:sz="0" w:space="0" w:color="auto"/>
        <w:right w:val="none" w:sz="0" w:space="0" w:color="auto"/>
      </w:divBdr>
      <w:divsChild>
        <w:div w:id="1576427150">
          <w:marLeft w:val="0"/>
          <w:marRight w:val="0"/>
          <w:marTop w:val="0"/>
          <w:marBottom w:val="0"/>
          <w:divBdr>
            <w:top w:val="none" w:sz="0" w:space="0" w:color="auto"/>
            <w:left w:val="none" w:sz="0" w:space="0" w:color="auto"/>
            <w:bottom w:val="none" w:sz="0" w:space="0" w:color="auto"/>
            <w:right w:val="none" w:sz="0" w:space="0" w:color="auto"/>
          </w:divBdr>
          <w:divsChild>
            <w:div w:id="989601823">
              <w:marLeft w:val="0"/>
              <w:marRight w:val="0"/>
              <w:marTop w:val="0"/>
              <w:marBottom w:val="0"/>
              <w:divBdr>
                <w:top w:val="none" w:sz="0" w:space="0" w:color="auto"/>
                <w:left w:val="none" w:sz="0" w:space="0" w:color="auto"/>
                <w:bottom w:val="none" w:sz="0" w:space="0" w:color="auto"/>
                <w:right w:val="none" w:sz="0" w:space="0" w:color="auto"/>
              </w:divBdr>
              <w:divsChild>
                <w:div w:id="886993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0392258">
      <w:bodyDiv w:val="1"/>
      <w:marLeft w:val="0"/>
      <w:marRight w:val="0"/>
      <w:marTop w:val="0"/>
      <w:marBottom w:val="0"/>
      <w:divBdr>
        <w:top w:val="none" w:sz="0" w:space="0" w:color="auto"/>
        <w:left w:val="none" w:sz="0" w:space="0" w:color="auto"/>
        <w:bottom w:val="none" w:sz="0" w:space="0" w:color="auto"/>
        <w:right w:val="none" w:sz="0" w:space="0" w:color="auto"/>
      </w:divBdr>
      <w:divsChild>
        <w:div w:id="784927615">
          <w:marLeft w:val="0"/>
          <w:marRight w:val="0"/>
          <w:marTop w:val="0"/>
          <w:marBottom w:val="0"/>
          <w:divBdr>
            <w:top w:val="none" w:sz="0" w:space="0" w:color="auto"/>
            <w:left w:val="none" w:sz="0" w:space="0" w:color="auto"/>
            <w:bottom w:val="none" w:sz="0" w:space="0" w:color="auto"/>
            <w:right w:val="none" w:sz="0" w:space="0" w:color="auto"/>
          </w:divBdr>
          <w:divsChild>
            <w:div w:id="1763337077">
              <w:marLeft w:val="0"/>
              <w:marRight w:val="0"/>
              <w:marTop w:val="0"/>
              <w:marBottom w:val="0"/>
              <w:divBdr>
                <w:top w:val="none" w:sz="0" w:space="0" w:color="auto"/>
                <w:left w:val="none" w:sz="0" w:space="0" w:color="auto"/>
                <w:bottom w:val="none" w:sz="0" w:space="0" w:color="auto"/>
                <w:right w:val="none" w:sz="0" w:space="0" w:color="auto"/>
              </w:divBdr>
              <w:divsChild>
                <w:div w:id="378674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3238276">
      <w:bodyDiv w:val="1"/>
      <w:marLeft w:val="0"/>
      <w:marRight w:val="0"/>
      <w:marTop w:val="0"/>
      <w:marBottom w:val="0"/>
      <w:divBdr>
        <w:top w:val="none" w:sz="0" w:space="0" w:color="auto"/>
        <w:left w:val="none" w:sz="0" w:space="0" w:color="auto"/>
        <w:bottom w:val="none" w:sz="0" w:space="0" w:color="auto"/>
        <w:right w:val="none" w:sz="0" w:space="0" w:color="auto"/>
      </w:divBdr>
    </w:div>
    <w:div w:id="465053591">
      <w:bodyDiv w:val="1"/>
      <w:marLeft w:val="0"/>
      <w:marRight w:val="0"/>
      <w:marTop w:val="0"/>
      <w:marBottom w:val="0"/>
      <w:divBdr>
        <w:top w:val="none" w:sz="0" w:space="0" w:color="auto"/>
        <w:left w:val="none" w:sz="0" w:space="0" w:color="auto"/>
        <w:bottom w:val="none" w:sz="0" w:space="0" w:color="auto"/>
        <w:right w:val="none" w:sz="0" w:space="0" w:color="auto"/>
      </w:divBdr>
    </w:div>
    <w:div w:id="542522336">
      <w:bodyDiv w:val="1"/>
      <w:marLeft w:val="0"/>
      <w:marRight w:val="0"/>
      <w:marTop w:val="0"/>
      <w:marBottom w:val="0"/>
      <w:divBdr>
        <w:top w:val="none" w:sz="0" w:space="0" w:color="auto"/>
        <w:left w:val="none" w:sz="0" w:space="0" w:color="auto"/>
        <w:bottom w:val="none" w:sz="0" w:space="0" w:color="auto"/>
        <w:right w:val="none" w:sz="0" w:space="0" w:color="auto"/>
      </w:divBdr>
    </w:div>
    <w:div w:id="658340855">
      <w:bodyDiv w:val="1"/>
      <w:marLeft w:val="0"/>
      <w:marRight w:val="0"/>
      <w:marTop w:val="0"/>
      <w:marBottom w:val="0"/>
      <w:divBdr>
        <w:top w:val="none" w:sz="0" w:space="0" w:color="auto"/>
        <w:left w:val="none" w:sz="0" w:space="0" w:color="auto"/>
        <w:bottom w:val="none" w:sz="0" w:space="0" w:color="auto"/>
        <w:right w:val="none" w:sz="0" w:space="0" w:color="auto"/>
      </w:divBdr>
      <w:divsChild>
        <w:div w:id="1006516636">
          <w:marLeft w:val="0"/>
          <w:marRight w:val="0"/>
          <w:marTop w:val="0"/>
          <w:marBottom w:val="0"/>
          <w:divBdr>
            <w:top w:val="none" w:sz="0" w:space="0" w:color="auto"/>
            <w:left w:val="none" w:sz="0" w:space="0" w:color="auto"/>
            <w:bottom w:val="none" w:sz="0" w:space="0" w:color="auto"/>
            <w:right w:val="none" w:sz="0" w:space="0" w:color="auto"/>
          </w:divBdr>
          <w:divsChild>
            <w:div w:id="315883702">
              <w:marLeft w:val="0"/>
              <w:marRight w:val="0"/>
              <w:marTop w:val="0"/>
              <w:marBottom w:val="0"/>
              <w:divBdr>
                <w:top w:val="none" w:sz="0" w:space="0" w:color="auto"/>
                <w:left w:val="none" w:sz="0" w:space="0" w:color="auto"/>
                <w:bottom w:val="none" w:sz="0" w:space="0" w:color="auto"/>
                <w:right w:val="none" w:sz="0" w:space="0" w:color="auto"/>
              </w:divBdr>
              <w:divsChild>
                <w:div w:id="857888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7827560">
      <w:bodyDiv w:val="1"/>
      <w:marLeft w:val="0"/>
      <w:marRight w:val="0"/>
      <w:marTop w:val="0"/>
      <w:marBottom w:val="0"/>
      <w:divBdr>
        <w:top w:val="none" w:sz="0" w:space="0" w:color="auto"/>
        <w:left w:val="none" w:sz="0" w:space="0" w:color="auto"/>
        <w:bottom w:val="none" w:sz="0" w:space="0" w:color="auto"/>
        <w:right w:val="none" w:sz="0" w:space="0" w:color="auto"/>
      </w:divBdr>
    </w:div>
    <w:div w:id="685326643">
      <w:bodyDiv w:val="1"/>
      <w:marLeft w:val="0"/>
      <w:marRight w:val="0"/>
      <w:marTop w:val="0"/>
      <w:marBottom w:val="0"/>
      <w:divBdr>
        <w:top w:val="none" w:sz="0" w:space="0" w:color="auto"/>
        <w:left w:val="none" w:sz="0" w:space="0" w:color="auto"/>
        <w:bottom w:val="none" w:sz="0" w:space="0" w:color="auto"/>
        <w:right w:val="none" w:sz="0" w:space="0" w:color="auto"/>
      </w:divBdr>
    </w:div>
    <w:div w:id="695158674">
      <w:bodyDiv w:val="1"/>
      <w:marLeft w:val="0"/>
      <w:marRight w:val="0"/>
      <w:marTop w:val="0"/>
      <w:marBottom w:val="0"/>
      <w:divBdr>
        <w:top w:val="none" w:sz="0" w:space="0" w:color="auto"/>
        <w:left w:val="none" w:sz="0" w:space="0" w:color="auto"/>
        <w:bottom w:val="none" w:sz="0" w:space="0" w:color="auto"/>
        <w:right w:val="none" w:sz="0" w:space="0" w:color="auto"/>
      </w:divBdr>
    </w:div>
    <w:div w:id="695424701">
      <w:bodyDiv w:val="1"/>
      <w:marLeft w:val="0"/>
      <w:marRight w:val="0"/>
      <w:marTop w:val="0"/>
      <w:marBottom w:val="0"/>
      <w:divBdr>
        <w:top w:val="none" w:sz="0" w:space="0" w:color="auto"/>
        <w:left w:val="none" w:sz="0" w:space="0" w:color="auto"/>
        <w:bottom w:val="none" w:sz="0" w:space="0" w:color="auto"/>
        <w:right w:val="none" w:sz="0" w:space="0" w:color="auto"/>
      </w:divBdr>
    </w:div>
    <w:div w:id="720054485">
      <w:bodyDiv w:val="1"/>
      <w:marLeft w:val="0"/>
      <w:marRight w:val="0"/>
      <w:marTop w:val="0"/>
      <w:marBottom w:val="0"/>
      <w:divBdr>
        <w:top w:val="none" w:sz="0" w:space="0" w:color="auto"/>
        <w:left w:val="none" w:sz="0" w:space="0" w:color="auto"/>
        <w:bottom w:val="none" w:sz="0" w:space="0" w:color="auto"/>
        <w:right w:val="none" w:sz="0" w:space="0" w:color="auto"/>
      </w:divBdr>
    </w:div>
    <w:div w:id="768934706">
      <w:bodyDiv w:val="1"/>
      <w:marLeft w:val="0"/>
      <w:marRight w:val="0"/>
      <w:marTop w:val="0"/>
      <w:marBottom w:val="0"/>
      <w:divBdr>
        <w:top w:val="none" w:sz="0" w:space="0" w:color="auto"/>
        <w:left w:val="none" w:sz="0" w:space="0" w:color="auto"/>
        <w:bottom w:val="none" w:sz="0" w:space="0" w:color="auto"/>
        <w:right w:val="none" w:sz="0" w:space="0" w:color="auto"/>
      </w:divBdr>
    </w:div>
    <w:div w:id="771508674">
      <w:bodyDiv w:val="1"/>
      <w:marLeft w:val="0"/>
      <w:marRight w:val="0"/>
      <w:marTop w:val="0"/>
      <w:marBottom w:val="0"/>
      <w:divBdr>
        <w:top w:val="none" w:sz="0" w:space="0" w:color="auto"/>
        <w:left w:val="none" w:sz="0" w:space="0" w:color="auto"/>
        <w:bottom w:val="none" w:sz="0" w:space="0" w:color="auto"/>
        <w:right w:val="none" w:sz="0" w:space="0" w:color="auto"/>
      </w:divBdr>
      <w:divsChild>
        <w:div w:id="359823520">
          <w:marLeft w:val="0"/>
          <w:marRight w:val="0"/>
          <w:marTop w:val="0"/>
          <w:marBottom w:val="0"/>
          <w:divBdr>
            <w:top w:val="none" w:sz="0" w:space="0" w:color="auto"/>
            <w:left w:val="none" w:sz="0" w:space="0" w:color="auto"/>
            <w:bottom w:val="none" w:sz="0" w:space="0" w:color="auto"/>
            <w:right w:val="none" w:sz="0" w:space="0" w:color="auto"/>
          </w:divBdr>
          <w:divsChild>
            <w:div w:id="501624058">
              <w:marLeft w:val="0"/>
              <w:marRight w:val="0"/>
              <w:marTop w:val="0"/>
              <w:marBottom w:val="0"/>
              <w:divBdr>
                <w:top w:val="none" w:sz="0" w:space="0" w:color="auto"/>
                <w:left w:val="none" w:sz="0" w:space="0" w:color="auto"/>
                <w:bottom w:val="none" w:sz="0" w:space="0" w:color="auto"/>
                <w:right w:val="none" w:sz="0" w:space="0" w:color="auto"/>
              </w:divBdr>
              <w:divsChild>
                <w:div w:id="644970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4638416">
      <w:bodyDiv w:val="1"/>
      <w:marLeft w:val="0"/>
      <w:marRight w:val="0"/>
      <w:marTop w:val="0"/>
      <w:marBottom w:val="0"/>
      <w:divBdr>
        <w:top w:val="none" w:sz="0" w:space="0" w:color="auto"/>
        <w:left w:val="none" w:sz="0" w:space="0" w:color="auto"/>
        <w:bottom w:val="none" w:sz="0" w:space="0" w:color="auto"/>
        <w:right w:val="none" w:sz="0" w:space="0" w:color="auto"/>
      </w:divBdr>
      <w:divsChild>
        <w:div w:id="210308989">
          <w:marLeft w:val="0"/>
          <w:marRight w:val="0"/>
          <w:marTop w:val="0"/>
          <w:marBottom w:val="0"/>
          <w:divBdr>
            <w:top w:val="none" w:sz="0" w:space="0" w:color="auto"/>
            <w:left w:val="none" w:sz="0" w:space="0" w:color="auto"/>
            <w:bottom w:val="none" w:sz="0" w:space="0" w:color="auto"/>
            <w:right w:val="none" w:sz="0" w:space="0" w:color="auto"/>
          </w:divBdr>
          <w:divsChild>
            <w:div w:id="730545790">
              <w:marLeft w:val="0"/>
              <w:marRight w:val="0"/>
              <w:marTop w:val="0"/>
              <w:marBottom w:val="0"/>
              <w:divBdr>
                <w:top w:val="none" w:sz="0" w:space="0" w:color="auto"/>
                <w:left w:val="none" w:sz="0" w:space="0" w:color="auto"/>
                <w:bottom w:val="none" w:sz="0" w:space="0" w:color="auto"/>
                <w:right w:val="none" w:sz="0" w:space="0" w:color="auto"/>
              </w:divBdr>
              <w:divsChild>
                <w:div w:id="209998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3647667">
      <w:bodyDiv w:val="1"/>
      <w:marLeft w:val="0"/>
      <w:marRight w:val="0"/>
      <w:marTop w:val="0"/>
      <w:marBottom w:val="0"/>
      <w:divBdr>
        <w:top w:val="none" w:sz="0" w:space="0" w:color="auto"/>
        <w:left w:val="none" w:sz="0" w:space="0" w:color="auto"/>
        <w:bottom w:val="none" w:sz="0" w:space="0" w:color="auto"/>
        <w:right w:val="none" w:sz="0" w:space="0" w:color="auto"/>
      </w:divBdr>
      <w:divsChild>
        <w:div w:id="1773279678">
          <w:marLeft w:val="0"/>
          <w:marRight w:val="0"/>
          <w:marTop w:val="0"/>
          <w:marBottom w:val="0"/>
          <w:divBdr>
            <w:top w:val="none" w:sz="0" w:space="0" w:color="auto"/>
            <w:left w:val="none" w:sz="0" w:space="0" w:color="auto"/>
            <w:bottom w:val="none" w:sz="0" w:space="0" w:color="auto"/>
            <w:right w:val="none" w:sz="0" w:space="0" w:color="auto"/>
          </w:divBdr>
          <w:divsChild>
            <w:div w:id="2080203025">
              <w:marLeft w:val="0"/>
              <w:marRight w:val="0"/>
              <w:marTop w:val="0"/>
              <w:marBottom w:val="0"/>
              <w:divBdr>
                <w:top w:val="none" w:sz="0" w:space="0" w:color="auto"/>
                <w:left w:val="none" w:sz="0" w:space="0" w:color="auto"/>
                <w:bottom w:val="none" w:sz="0" w:space="0" w:color="auto"/>
                <w:right w:val="none" w:sz="0" w:space="0" w:color="auto"/>
              </w:divBdr>
              <w:divsChild>
                <w:div w:id="206983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075519">
      <w:bodyDiv w:val="1"/>
      <w:marLeft w:val="0"/>
      <w:marRight w:val="0"/>
      <w:marTop w:val="0"/>
      <w:marBottom w:val="0"/>
      <w:divBdr>
        <w:top w:val="none" w:sz="0" w:space="0" w:color="auto"/>
        <w:left w:val="none" w:sz="0" w:space="0" w:color="auto"/>
        <w:bottom w:val="none" w:sz="0" w:space="0" w:color="auto"/>
        <w:right w:val="none" w:sz="0" w:space="0" w:color="auto"/>
      </w:divBdr>
      <w:divsChild>
        <w:div w:id="14157118">
          <w:marLeft w:val="0"/>
          <w:marRight w:val="0"/>
          <w:marTop w:val="0"/>
          <w:marBottom w:val="0"/>
          <w:divBdr>
            <w:top w:val="none" w:sz="0" w:space="0" w:color="auto"/>
            <w:left w:val="none" w:sz="0" w:space="0" w:color="auto"/>
            <w:bottom w:val="none" w:sz="0" w:space="0" w:color="auto"/>
            <w:right w:val="none" w:sz="0" w:space="0" w:color="auto"/>
          </w:divBdr>
          <w:divsChild>
            <w:div w:id="1688750332">
              <w:marLeft w:val="0"/>
              <w:marRight w:val="0"/>
              <w:marTop w:val="0"/>
              <w:marBottom w:val="0"/>
              <w:divBdr>
                <w:top w:val="none" w:sz="0" w:space="0" w:color="auto"/>
                <w:left w:val="none" w:sz="0" w:space="0" w:color="auto"/>
                <w:bottom w:val="none" w:sz="0" w:space="0" w:color="auto"/>
                <w:right w:val="none" w:sz="0" w:space="0" w:color="auto"/>
              </w:divBdr>
              <w:divsChild>
                <w:div w:id="1909683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1071181">
      <w:bodyDiv w:val="1"/>
      <w:marLeft w:val="0"/>
      <w:marRight w:val="0"/>
      <w:marTop w:val="0"/>
      <w:marBottom w:val="0"/>
      <w:divBdr>
        <w:top w:val="none" w:sz="0" w:space="0" w:color="auto"/>
        <w:left w:val="none" w:sz="0" w:space="0" w:color="auto"/>
        <w:bottom w:val="none" w:sz="0" w:space="0" w:color="auto"/>
        <w:right w:val="none" w:sz="0" w:space="0" w:color="auto"/>
      </w:divBdr>
    </w:div>
    <w:div w:id="846098380">
      <w:bodyDiv w:val="1"/>
      <w:marLeft w:val="0"/>
      <w:marRight w:val="0"/>
      <w:marTop w:val="0"/>
      <w:marBottom w:val="0"/>
      <w:divBdr>
        <w:top w:val="none" w:sz="0" w:space="0" w:color="auto"/>
        <w:left w:val="none" w:sz="0" w:space="0" w:color="auto"/>
        <w:bottom w:val="none" w:sz="0" w:space="0" w:color="auto"/>
        <w:right w:val="none" w:sz="0" w:space="0" w:color="auto"/>
      </w:divBdr>
    </w:div>
    <w:div w:id="925840446">
      <w:bodyDiv w:val="1"/>
      <w:marLeft w:val="0"/>
      <w:marRight w:val="0"/>
      <w:marTop w:val="0"/>
      <w:marBottom w:val="0"/>
      <w:divBdr>
        <w:top w:val="none" w:sz="0" w:space="0" w:color="auto"/>
        <w:left w:val="none" w:sz="0" w:space="0" w:color="auto"/>
        <w:bottom w:val="none" w:sz="0" w:space="0" w:color="auto"/>
        <w:right w:val="none" w:sz="0" w:space="0" w:color="auto"/>
      </w:divBdr>
      <w:divsChild>
        <w:div w:id="1504511628">
          <w:marLeft w:val="0"/>
          <w:marRight w:val="0"/>
          <w:marTop w:val="0"/>
          <w:marBottom w:val="0"/>
          <w:divBdr>
            <w:top w:val="none" w:sz="0" w:space="0" w:color="auto"/>
            <w:left w:val="none" w:sz="0" w:space="0" w:color="auto"/>
            <w:bottom w:val="none" w:sz="0" w:space="0" w:color="auto"/>
            <w:right w:val="none" w:sz="0" w:space="0" w:color="auto"/>
          </w:divBdr>
          <w:divsChild>
            <w:div w:id="194664203">
              <w:marLeft w:val="0"/>
              <w:marRight w:val="0"/>
              <w:marTop w:val="0"/>
              <w:marBottom w:val="0"/>
              <w:divBdr>
                <w:top w:val="none" w:sz="0" w:space="0" w:color="auto"/>
                <w:left w:val="none" w:sz="0" w:space="0" w:color="auto"/>
                <w:bottom w:val="none" w:sz="0" w:space="0" w:color="auto"/>
                <w:right w:val="none" w:sz="0" w:space="0" w:color="auto"/>
              </w:divBdr>
              <w:divsChild>
                <w:div w:id="26032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701162">
      <w:bodyDiv w:val="1"/>
      <w:marLeft w:val="0"/>
      <w:marRight w:val="0"/>
      <w:marTop w:val="0"/>
      <w:marBottom w:val="0"/>
      <w:divBdr>
        <w:top w:val="none" w:sz="0" w:space="0" w:color="auto"/>
        <w:left w:val="none" w:sz="0" w:space="0" w:color="auto"/>
        <w:bottom w:val="none" w:sz="0" w:space="0" w:color="auto"/>
        <w:right w:val="none" w:sz="0" w:space="0" w:color="auto"/>
      </w:divBdr>
      <w:divsChild>
        <w:div w:id="1369840773">
          <w:marLeft w:val="0"/>
          <w:marRight w:val="0"/>
          <w:marTop w:val="0"/>
          <w:marBottom w:val="0"/>
          <w:divBdr>
            <w:top w:val="none" w:sz="0" w:space="0" w:color="auto"/>
            <w:left w:val="none" w:sz="0" w:space="0" w:color="auto"/>
            <w:bottom w:val="none" w:sz="0" w:space="0" w:color="auto"/>
            <w:right w:val="none" w:sz="0" w:space="0" w:color="auto"/>
          </w:divBdr>
          <w:divsChild>
            <w:div w:id="2131824987">
              <w:marLeft w:val="0"/>
              <w:marRight w:val="0"/>
              <w:marTop w:val="0"/>
              <w:marBottom w:val="0"/>
              <w:divBdr>
                <w:top w:val="none" w:sz="0" w:space="0" w:color="auto"/>
                <w:left w:val="none" w:sz="0" w:space="0" w:color="auto"/>
                <w:bottom w:val="none" w:sz="0" w:space="0" w:color="auto"/>
                <w:right w:val="none" w:sz="0" w:space="0" w:color="auto"/>
              </w:divBdr>
              <w:divsChild>
                <w:div w:id="120790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657340">
      <w:bodyDiv w:val="1"/>
      <w:marLeft w:val="0"/>
      <w:marRight w:val="0"/>
      <w:marTop w:val="0"/>
      <w:marBottom w:val="0"/>
      <w:divBdr>
        <w:top w:val="none" w:sz="0" w:space="0" w:color="auto"/>
        <w:left w:val="none" w:sz="0" w:space="0" w:color="auto"/>
        <w:bottom w:val="none" w:sz="0" w:space="0" w:color="auto"/>
        <w:right w:val="none" w:sz="0" w:space="0" w:color="auto"/>
      </w:divBdr>
      <w:divsChild>
        <w:div w:id="882137723">
          <w:marLeft w:val="0"/>
          <w:marRight w:val="0"/>
          <w:marTop w:val="0"/>
          <w:marBottom w:val="0"/>
          <w:divBdr>
            <w:top w:val="none" w:sz="0" w:space="0" w:color="auto"/>
            <w:left w:val="none" w:sz="0" w:space="0" w:color="auto"/>
            <w:bottom w:val="none" w:sz="0" w:space="0" w:color="auto"/>
            <w:right w:val="none" w:sz="0" w:space="0" w:color="auto"/>
          </w:divBdr>
          <w:divsChild>
            <w:div w:id="1061098482">
              <w:marLeft w:val="0"/>
              <w:marRight w:val="0"/>
              <w:marTop w:val="0"/>
              <w:marBottom w:val="0"/>
              <w:divBdr>
                <w:top w:val="none" w:sz="0" w:space="0" w:color="auto"/>
                <w:left w:val="none" w:sz="0" w:space="0" w:color="auto"/>
                <w:bottom w:val="none" w:sz="0" w:space="0" w:color="auto"/>
                <w:right w:val="none" w:sz="0" w:space="0" w:color="auto"/>
              </w:divBdr>
              <w:divsChild>
                <w:div w:id="23562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932604">
      <w:bodyDiv w:val="1"/>
      <w:marLeft w:val="0"/>
      <w:marRight w:val="0"/>
      <w:marTop w:val="0"/>
      <w:marBottom w:val="0"/>
      <w:divBdr>
        <w:top w:val="none" w:sz="0" w:space="0" w:color="auto"/>
        <w:left w:val="none" w:sz="0" w:space="0" w:color="auto"/>
        <w:bottom w:val="none" w:sz="0" w:space="0" w:color="auto"/>
        <w:right w:val="none" w:sz="0" w:space="0" w:color="auto"/>
      </w:divBdr>
    </w:div>
    <w:div w:id="1095174724">
      <w:bodyDiv w:val="1"/>
      <w:marLeft w:val="0"/>
      <w:marRight w:val="0"/>
      <w:marTop w:val="0"/>
      <w:marBottom w:val="0"/>
      <w:divBdr>
        <w:top w:val="none" w:sz="0" w:space="0" w:color="auto"/>
        <w:left w:val="none" w:sz="0" w:space="0" w:color="auto"/>
        <w:bottom w:val="none" w:sz="0" w:space="0" w:color="auto"/>
        <w:right w:val="none" w:sz="0" w:space="0" w:color="auto"/>
      </w:divBdr>
    </w:div>
    <w:div w:id="1104032785">
      <w:bodyDiv w:val="1"/>
      <w:marLeft w:val="0"/>
      <w:marRight w:val="0"/>
      <w:marTop w:val="0"/>
      <w:marBottom w:val="0"/>
      <w:divBdr>
        <w:top w:val="none" w:sz="0" w:space="0" w:color="auto"/>
        <w:left w:val="none" w:sz="0" w:space="0" w:color="auto"/>
        <w:bottom w:val="none" w:sz="0" w:space="0" w:color="auto"/>
        <w:right w:val="none" w:sz="0" w:space="0" w:color="auto"/>
      </w:divBdr>
    </w:div>
    <w:div w:id="1116413179">
      <w:bodyDiv w:val="1"/>
      <w:marLeft w:val="0"/>
      <w:marRight w:val="0"/>
      <w:marTop w:val="0"/>
      <w:marBottom w:val="0"/>
      <w:divBdr>
        <w:top w:val="none" w:sz="0" w:space="0" w:color="auto"/>
        <w:left w:val="none" w:sz="0" w:space="0" w:color="auto"/>
        <w:bottom w:val="none" w:sz="0" w:space="0" w:color="auto"/>
        <w:right w:val="none" w:sz="0" w:space="0" w:color="auto"/>
      </w:divBdr>
    </w:div>
    <w:div w:id="1123619922">
      <w:bodyDiv w:val="1"/>
      <w:marLeft w:val="0"/>
      <w:marRight w:val="0"/>
      <w:marTop w:val="0"/>
      <w:marBottom w:val="0"/>
      <w:divBdr>
        <w:top w:val="none" w:sz="0" w:space="0" w:color="auto"/>
        <w:left w:val="none" w:sz="0" w:space="0" w:color="auto"/>
        <w:bottom w:val="none" w:sz="0" w:space="0" w:color="auto"/>
        <w:right w:val="none" w:sz="0" w:space="0" w:color="auto"/>
      </w:divBdr>
      <w:divsChild>
        <w:div w:id="162598064">
          <w:marLeft w:val="0"/>
          <w:marRight w:val="0"/>
          <w:marTop w:val="0"/>
          <w:marBottom w:val="0"/>
          <w:divBdr>
            <w:top w:val="none" w:sz="0" w:space="0" w:color="auto"/>
            <w:left w:val="none" w:sz="0" w:space="0" w:color="auto"/>
            <w:bottom w:val="none" w:sz="0" w:space="0" w:color="auto"/>
            <w:right w:val="none" w:sz="0" w:space="0" w:color="auto"/>
          </w:divBdr>
          <w:divsChild>
            <w:div w:id="2106611228">
              <w:marLeft w:val="0"/>
              <w:marRight w:val="0"/>
              <w:marTop w:val="0"/>
              <w:marBottom w:val="0"/>
              <w:divBdr>
                <w:top w:val="none" w:sz="0" w:space="0" w:color="auto"/>
                <w:left w:val="none" w:sz="0" w:space="0" w:color="auto"/>
                <w:bottom w:val="none" w:sz="0" w:space="0" w:color="auto"/>
                <w:right w:val="none" w:sz="0" w:space="0" w:color="auto"/>
              </w:divBdr>
              <w:divsChild>
                <w:div w:id="2054184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3671517">
      <w:bodyDiv w:val="1"/>
      <w:marLeft w:val="0"/>
      <w:marRight w:val="0"/>
      <w:marTop w:val="0"/>
      <w:marBottom w:val="0"/>
      <w:divBdr>
        <w:top w:val="none" w:sz="0" w:space="0" w:color="auto"/>
        <w:left w:val="none" w:sz="0" w:space="0" w:color="auto"/>
        <w:bottom w:val="none" w:sz="0" w:space="0" w:color="auto"/>
        <w:right w:val="none" w:sz="0" w:space="0" w:color="auto"/>
      </w:divBdr>
    </w:div>
    <w:div w:id="1157765670">
      <w:bodyDiv w:val="1"/>
      <w:marLeft w:val="0"/>
      <w:marRight w:val="0"/>
      <w:marTop w:val="0"/>
      <w:marBottom w:val="0"/>
      <w:divBdr>
        <w:top w:val="none" w:sz="0" w:space="0" w:color="auto"/>
        <w:left w:val="none" w:sz="0" w:space="0" w:color="auto"/>
        <w:bottom w:val="none" w:sz="0" w:space="0" w:color="auto"/>
        <w:right w:val="none" w:sz="0" w:space="0" w:color="auto"/>
      </w:divBdr>
      <w:divsChild>
        <w:div w:id="239293257">
          <w:marLeft w:val="0"/>
          <w:marRight w:val="0"/>
          <w:marTop w:val="0"/>
          <w:marBottom w:val="0"/>
          <w:divBdr>
            <w:top w:val="none" w:sz="0" w:space="0" w:color="auto"/>
            <w:left w:val="none" w:sz="0" w:space="0" w:color="auto"/>
            <w:bottom w:val="none" w:sz="0" w:space="0" w:color="auto"/>
            <w:right w:val="none" w:sz="0" w:space="0" w:color="auto"/>
          </w:divBdr>
          <w:divsChild>
            <w:div w:id="149492267">
              <w:marLeft w:val="0"/>
              <w:marRight w:val="0"/>
              <w:marTop w:val="0"/>
              <w:marBottom w:val="0"/>
              <w:divBdr>
                <w:top w:val="none" w:sz="0" w:space="0" w:color="auto"/>
                <w:left w:val="none" w:sz="0" w:space="0" w:color="auto"/>
                <w:bottom w:val="none" w:sz="0" w:space="0" w:color="auto"/>
                <w:right w:val="none" w:sz="0" w:space="0" w:color="auto"/>
              </w:divBdr>
              <w:divsChild>
                <w:div w:id="105292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921498">
      <w:bodyDiv w:val="1"/>
      <w:marLeft w:val="0"/>
      <w:marRight w:val="0"/>
      <w:marTop w:val="0"/>
      <w:marBottom w:val="0"/>
      <w:divBdr>
        <w:top w:val="none" w:sz="0" w:space="0" w:color="auto"/>
        <w:left w:val="none" w:sz="0" w:space="0" w:color="auto"/>
        <w:bottom w:val="none" w:sz="0" w:space="0" w:color="auto"/>
        <w:right w:val="none" w:sz="0" w:space="0" w:color="auto"/>
      </w:divBdr>
    </w:div>
    <w:div w:id="1224101829">
      <w:bodyDiv w:val="1"/>
      <w:marLeft w:val="0"/>
      <w:marRight w:val="0"/>
      <w:marTop w:val="0"/>
      <w:marBottom w:val="0"/>
      <w:divBdr>
        <w:top w:val="none" w:sz="0" w:space="0" w:color="auto"/>
        <w:left w:val="none" w:sz="0" w:space="0" w:color="auto"/>
        <w:bottom w:val="none" w:sz="0" w:space="0" w:color="auto"/>
        <w:right w:val="none" w:sz="0" w:space="0" w:color="auto"/>
      </w:divBdr>
    </w:div>
    <w:div w:id="1262223615">
      <w:bodyDiv w:val="1"/>
      <w:marLeft w:val="0"/>
      <w:marRight w:val="0"/>
      <w:marTop w:val="0"/>
      <w:marBottom w:val="0"/>
      <w:divBdr>
        <w:top w:val="none" w:sz="0" w:space="0" w:color="auto"/>
        <w:left w:val="none" w:sz="0" w:space="0" w:color="auto"/>
        <w:bottom w:val="none" w:sz="0" w:space="0" w:color="auto"/>
        <w:right w:val="none" w:sz="0" w:space="0" w:color="auto"/>
      </w:divBdr>
      <w:divsChild>
        <w:div w:id="32927747">
          <w:marLeft w:val="0"/>
          <w:marRight w:val="0"/>
          <w:marTop w:val="0"/>
          <w:marBottom w:val="0"/>
          <w:divBdr>
            <w:top w:val="none" w:sz="0" w:space="0" w:color="auto"/>
            <w:left w:val="none" w:sz="0" w:space="0" w:color="auto"/>
            <w:bottom w:val="none" w:sz="0" w:space="0" w:color="auto"/>
            <w:right w:val="none" w:sz="0" w:space="0" w:color="auto"/>
          </w:divBdr>
          <w:divsChild>
            <w:div w:id="1418013218">
              <w:marLeft w:val="0"/>
              <w:marRight w:val="0"/>
              <w:marTop w:val="0"/>
              <w:marBottom w:val="0"/>
              <w:divBdr>
                <w:top w:val="none" w:sz="0" w:space="0" w:color="auto"/>
                <w:left w:val="none" w:sz="0" w:space="0" w:color="auto"/>
                <w:bottom w:val="none" w:sz="0" w:space="0" w:color="auto"/>
                <w:right w:val="none" w:sz="0" w:space="0" w:color="auto"/>
              </w:divBdr>
              <w:divsChild>
                <w:div w:id="24164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335830">
      <w:bodyDiv w:val="1"/>
      <w:marLeft w:val="0"/>
      <w:marRight w:val="0"/>
      <w:marTop w:val="0"/>
      <w:marBottom w:val="0"/>
      <w:divBdr>
        <w:top w:val="none" w:sz="0" w:space="0" w:color="auto"/>
        <w:left w:val="none" w:sz="0" w:space="0" w:color="auto"/>
        <w:bottom w:val="none" w:sz="0" w:space="0" w:color="auto"/>
        <w:right w:val="none" w:sz="0" w:space="0" w:color="auto"/>
      </w:divBdr>
      <w:divsChild>
        <w:div w:id="425080978">
          <w:marLeft w:val="0"/>
          <w:marRight w:val="0"/>
          <w:marTop w:val="0"/>
          <w:marBottom w:val="0"/>
          <w:divBdr>
            <w:top w:val="none" w:sz="0" w:space="0" w:color="auto"/>
            <w:left w:val="none" w:sz="0" w:space="0" w:color="auto"/>
            <w:bottom w:val="none" w:sz="0" w:space="0" w:color="auto"/>
            <w:right w:val="none" w:sz="0" w:space="0" w:color="auto"/>
          </w:divBdr>
          <w:divsChild>
            <w:div w:id="921766580">
              <w:marLeft w:val="0"/>
              <w:marRight w:val="0"/>
              <w:marTop w:val="0"/>
              <w:marBottom w:val="0"/>
              <w:divBdr>
                <w:top w:val="none" w:sz="0" w:space="0" w:color="auto"/>
                <w:left w:val="none" w:sz="0" w:space="0" w:color="auto"/>
                <w:bottom w:val="none" w:sz="0" w:space="0" w:color="auto"/>
                <w:right w:val="none" w:sz="0" w:space="0" w:color="auto"/>
              </w:divBdr>
              <w:divsChild>
                <w:div w:id="1704091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8242773">
      <w:bodyDiv w:val="1"/>
      <w:marLeft w:val="0"/>
      <w:marRight w:val="0"/>
      <w:marTop w:val="0"/>
      <w:marBottom w:val="0"/>
      <w:divBdr>
        <w:top w:val="none" w:sz="0" w:space="0" w:color="auto"/>
        <w:left w:val="none" w:sz="0" w:space="0" w:color="auto"/>
        <w:bottom w:val="none" w:sz="0" w:space="0" w:color="auto"/>
        <w:right w:val="none" w:sz="0" w:space="0" w:color="auto"/>
      </w:divBdr>
    </w:div>
    <w:div w:id="1320041815">
      <w:bodyDiv w:val="1"/>
      <w:marLeft w:val="0"/>
      <w:marRight w:val="0"/>
      <w:marTop w:val="0"/>
      <w:marBottom w:val="0"/>
      <w:divBdr>
        <w:top w:val="none" w:sz="0" w:space="0" w:color="auto"/>
        <w:left w:val="none" w:sz="0" w:space="0" w:color="auto"/>
        <w:bottom w:val="none" w:sz="0" w:space="0" w:color="auto"/>
        <w:right w:val="none" w:sz="0" w:space="0" w:color="auto"/>
      </w:divBdr>
    </w:div>
    <w:div w:id="1351881705">
      <w:bodyDiv w:val="1"/>
      <w:marLeft w:val="0"/>
      <w:marRight w:val="0"/>
      <w:marTop w:val="0"/>
      <w:marBottom w:val="0"/>
      <w:divBdr>
        <w:top w:val="none" w:sz="0" w:space="0" w:color="auto"/>
        <w:left w:val="none" w:sz="0" w:space="0" w:color="auto"/>
        <w:bottom w:val="none" w:sz="0" w:space="0" w:color="auto"/>
        <w:right w:val="none" w:sz="0" w:space="0" w:color="auto"/>
      </w:divBdr>
    </w:div>
    <w:div w:id="1395079573">
      <w:bodyDiv w:val="1"/>
      <w:marLeft w:val="0"/>
      <w:marRight w:val="0"/>
      <w:marTop w:val="0"/>
      <w:marBottom w:val="0"/>
      <w:divBdr>
        <w:top w:val="none" w:sz="0" w:space="0" w:color="auto"/>
        <w:left w:val="none" w:sz="0" w:space="0" w:color="auto"/>
        <w:bottom w:val="none" w:sz="0" w:space="0" w:color="auto"/>
        <w:right w:val="none" w:sz="0" w:space="0" w:color="auto"/>
      </w:divBdr>
      <w:divsChild>
        <w:div w:id="501579613">
          <w:marLeft w:val="0"/>
          <w:marRight w:val="0"/>
          <w:marTop w:val="0"/>
          <w:marBottom w:val="0"/>
          <w:divBdr>
            <w:top w:val="none" w:sz="0" w:space="0" w:color="auto"/>
            <w:left w:val="none" w:sz="0" w:space="0" w:color="auto"/>
            <w:bottom w:val="none" w:sz="0" w:space="0" w:color="auto"/>
            <w:right w:val="none" w:sz="0" w:space="0" w:color="auto"/>
          </w:divBdr>
          <w:divsChild>
            <w:div w:id="209681">
              <w:marLeft w:val="0"/>
              <w:marRight w:val="0"/>
              <w:marTop w:val="0"/>
              <w:marBottom w:val="0"/>
              <w:divBdr>
                <w:top w:val="none" w:sz="0" w:space="0" w:color="auto"/>
                <w:left w:val="none" w:sz="0" w:space="0" w:color="auto"/>
                <w:bottom w:val="none" w:sz="0" w:space="0" w:color="auto"/>
                <w:right w:val="none" w:sz="0" w:space="0" w:color="auto"/>
              </w:divBdr>
              <w:divsChild>
                <w:div w:id="109540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9471692">
      <w:bodyDiv w:val="1"/>
      <w:marLeft w:val="0"/>
      <w:marRight w:val="0"/>
      <w:marTop w:val="0"/>
      <w:marBottom w:val="0"/>
      <w:divBdr>
        <w:top w:val="none" w:sz="0" w:space="0" w:color="auto"/>
        <w:left w:val="none" w:sz="0" w:space="0" w:color="auto"/>
        <w:bottom w:val="none" w:sz="0" w:space="0" w:color="auto"/>
        <w:right w:val="none" w:sz="0" w:space="0" w:color="auto"/>
      </w:divBdr>
      <w:divsChild>
        <w:div w:id="820542605">
          <w:marLeft w:val="0"/>
          <w:marRight w:val="0"/>
          <w:marTop w:val="0"/>
          <w:marBottom w:val="0"/>
          <w:divBdr>
            <w:top w:val="none" w:sz="0" w:space="0" w:color="auto"/>
            <w:left w:val="none" w:sz="0" w:space="0" w:color="auto"/>
            <w:bottom w:val="none" w:sz="0" w:space="0" w:color="auto"/>
            <w:right w:val="none" w:sz="0" w:space="0" w:color="auto"/>
          </w:divBdr>
          <w:divsChild>
            <w:div w:id="2056272357">
              <w:marLeft w:val="0"/>
              <w:marRight w:val="0"/>
              <w:marTop w:val="0"/>
              <w:marBottom w:val="0"/>
              <w:divBdr>
                <w:top w:val="none" w:sz="0" w:space="0" w:color="auto"/>
                <w:left w:val="none" w:sz="0" w:space="0" w:color="auto"/>
                <w:bottom w:val="none" w:sz="0" w:space="0" w:color="auto"/>
                <w:right w:val="none" w:sz="0" w:space="0" w:color="auto"/>
              </w:divBdr>
              <w:divsChild>
                <w:div w:id="302976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1410215">
      <w:bodyDiv w:val="1"/>
      <w:marLeft w:val="0"/>
      <w:marRight w:val="0"/>
      <w:marTop w:val="0"/>
      <w:marBottom w:val="0"/>
      <w:divBdr>
        <w:top w:val="none" w:sz="0" w:space="0" w:color="auto"/>
        <w:left w:val="none" w:sz="0" w:space="0" w:color="auto"/>
        <w:bottom w:val="none" w:sz="0" w:space="0" w:color="auto"/>
        <w:right w:val="none" w:sz="0" w:space="0" w:color="auto"/>
      </w:divBdr>
      <w:divsChild>
        <w:div w:id="862670866">
          <w:marLeft w:val="0"/>
          <w:marRight w:val="0"/>
          <w:marTop w:val="0"/>
          <w:marBottom w:val="0"/>
          <w:divBdr>
            <w:top w:val="none" w:sz="0" w:space="0" w:color="auto"/>
            <w:left w:val="none" w:sz="0" w:space="0" w:color="auto"/>
            <w:bottom w:val="none" w:sz="0" w:space="0" w:color="auto"/>
            <w:right w:val="none" w:sz="0" w:space="0" w:color="auto"/>
          </w:divBdr>
          <w:divsChild>
            <w:div w:id="359013506">
              <w:marLeft w:val="0"/>
              <w:marRight w:val="0"/>
              <w:marTop w:val="0"/>
              <w:marBottom w:val="0"/>
              <w:divBdr>
                <w:top w:val="none" w:sz="0" w:space="0" w:color="auto"/>
                <w:left w:val="none" w:sz="0" w:space="0" w:color="auto"/>
                <w:bottom w:val="none" w:sz="0" w:space="0" w:color="auto"/>
                <w:right w:val="none" w:sz="0" w:space="0" w:color="auto"/>
              </w:divBdr>
              <w:divsChild>
                <w:div w:id="214256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640267">
      <w:bodyDiv w:val="1"/>
      <w:marLeft w:val="0"/>
      <w:marRight w:val="0"/>
      <w:marTop w:val="0"/>
      <w:marBottom w:val="0"/>
      <w:divBdr>
        <w:top w:val="none" w:sz="0" w:space="0" w:color="auto"/>
        <w:left w:val="none" w:sz="0" w:space="0" w:color="auto"/>
        <w:bottom w:val="none" w:sz="0" w:space="0" w:color="auto"/>
        <w:right w:val="none" w:sz="0" w:space="0" w:color="auto"/>
      </w:divBdr>
    </w:div>
    <w:div w:id="1516766666">
      <w:bodyDiv w:val="1"/>
      <w:marLeft w:val="0"/>
      <w:marRight w:val="0"/>
      <w:marTop w:val="0"/>
      <w:marBottom w:val="0"/>
      <w:divBdr>
        <w:top w:val="none" w:sz="0" w:space="0" w:color="auto"/>
        <w:left w:val="none" w:sz="0" w:space="0" w:color="auto"/>
        <w:bottom w:val="none" w:sz="0" w:space="0" w:color="auto"/>
        <w:right w:val="none" w:sz="0" w:space="0" w:color="auto"/>
      </w:divBdr>
      <w:divsChild>
        <w:div w:id="393167645">
          <w:marLeft w:val="0"/>
          <w:marRight w:val="0"/>
          <w:marTop w:val="0"/>
          <w:marBottom w:val="0"/>
          <w:divBdr>
            <w:top w:val="none" w:sz="0" w:space="0" w:color="auto"/>
            <w:left w:val="none" w:sz="0" w:space="0" w:color="auto"/>
            <w:bottom w:val="none" w:sz="0" w:space="0" w:color="auto"/>
            <w:right w:val="none" w:sz="0" w:space="0" w:color="auto"/>
          </w:divBdr>
          <w:divsChild>
            <w:div w:id="1125732518">
              <w:marLeft w:val="0"/>
              <w:marRight w:val="0"/>
              <w:marTop w:val="0"/>
              <w:marBottom w:val="0"/>
              <w:divBdr>
                <w:top w:val="none" w:sz="0" w:space="0" w:color="auto"/>
                <w:left w:val="none" w:sz="0" w:space="0" w:color="auto"/>
                <w:bottom w:val="none" w:sz="0" w:space="0" w:color="auto"/>
                <w:right w:val="none" w:sz="0" w:space="0" w:color="auto"/>
              </w:divBdr>
              <w:divsChild>
                <w:div w:id="3207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9510471">
      <w:bodyDiv w:val="1"/>
      <w:marLeft w:val="0"/>
      <w:marRight w:val="0"/>
      <w:marTop w:val="0"/>
      <w:marBottom w:val="0"/>
      <w:divBdr>
        <w:top w:val="none" w:sz="0" w:space="0" w:color="auto"/>
        <w:left w:val="none" w:sz="0" w:space="0" w:color="auto"/>
        <w:bottom w:val="none" w:sz="0" w:space="0" w:color="auto"/>
        <w:right w:val="none" w:sz="0" w:space="0" w:color="auto"/>
      </w:divBdr>
    </w:div>
    <w:div w:id="1569876304">
      <w:bodyDiv w:val="1"/>
      <w:marLeft w:val="0"/>
      <w:marRight w:val="0"/>
      <w:marTop w:val="0"/>
      <w:marBottom w:val="0"/>
      <w:divBdr>
        <w:top w:val="none" w:sz="0" w:space="0" w:color="auto"/>
        <w:left w:val="none" w:sz="0" w:space="0" w:color="auto"/>
        <w:bottom w:val="none" w:sz="0" w:space="0" w:color="auto"/>
        <w:right w:val="none" w:sz="0" w:space="0" w:color="auto"/>
      </w:divBdr>
      <w:divsChild>
        <w:div w:id="1627421227">
          <w:marLeft w:val="0"/>
          <w:marRight w:val="0"/>
          <w:marTop w:val="0"/>
          <w:marBottom w:val="0"/>
          <w:divBdr>
            <w:top w:val="none" w:sz="0" w:space="0" w:color="auto"/>
            <w:left w:val="none" w:sz="0" w:space="0" w:color="auto"/>
            <w:bottom w:val="none" w:sz="0" w:space="0" w:color="auto"/>
            <w:right w:val="none" w:sz="0" w:space="0" w:color="auto"/>
          </w:divBdr>
          <w:divsChild>
            <w:div w:id="1508515097">
              <w:marLeft w:val="0"/>
              <w:marRight w:val="0"/>
              <w:marTop w:val="0"/>
              <w:marBottom w:val="0"/>
              <w:divBdr>
                <w:top w:val="none" w:sz="0" w:space="0" w:color="auto"/>
                <w:left w:val="none" w:sz="0" w:space="0" w:color="auto"/>
                <w:bottom w:val="none" w:sz="0" w:space="0" w:color="auto"/>
                <w:right w:val="none" w:sz="0" w:space="0" w:color="auto"/>
              </w:divBdr>
              <w:divsChild>
                <w:div w:id="1134831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3807546">
      <w:bodyDiv w:val="1"/>
      <w:marLeft w:val="0"/>
      <w:marRight w:val="0"/>
      <w:marTop w:val="0"/>
      <w:marBottom w:val="0"/>
      <w:divBdr>
        <w:top w:val="none" w:sz="0" w:space="0" w:color="auto"/>
        <w:left w:val="none" w:sz="0" w:space="0" w:color="auto"/>
        <w:bottom w:val="none" w:sz="0" w:space="0" w:color="auto"/>
        <w:right w:val="none" w:sz="0" w:space="0" w:color="auto"/>
      </w:divBdr>
    </w:div>
    <w:div w:id="1647247704">
      <w:bodyDiv w:val="1"/>
      <w:marLeft w:val="0"/>
      <w:marRight w:val="0"/>
      <w:marTop w:val="0"/>
      <w:marBottom w:val="0"/>
      <w:divBdr>
        <w:top w:val="none" w:sz="0" w:space="0" w:color="auto"/>
        <w:left w:val="none" w:sz="0" w:space="0" w:color="auto"/>
        <w:bottom w:val="none" w:sz="0" w:space="0" w:color="auto"/>
        <w:right w:val="none" w:sz="0" w:space="0" w:color="auto"/>
      </w:divBdr>
    </w:div>
    <w:div w:id="1651522876">
      <w:bodyDiv w:val="1"/>
      <w:marLeft w:val="0"/>
      <w:marRight w:val="0"/>
      <w:marTop w:val="0"/>
      <w:marBottom w:val="0"/>
      <w:divBdr>
        <w:top w:val="none" w:sz="0" w:space="0" w:color="auto"/>
        <w:left w:val="none" w:sz="0" w:space="0" w:color="auto"/>
        <w:bottom w:val="none" w:sz="0" w:space="0" w:color="auto"/>
        <w:right w:val="none" w:sz="0" w:space="0" w:color="auto"/>
      </w:divBdr>
    </w:div>
    <w:div w:id="1660304499">
      <w:bodyDiv w:val="1"/>
      <w:marLeft w:val="0"/>
      <w:marRight w:val="0"/>
      <w:marTop w:val="0"/>
      <w:marBottom w:val="0"/>
      <w:divBdr>
        <w:top w:val="none" w:sz="0" w:space="0" w:color="auto"/>
        <w:left w:val="none" w:sz="0" w:space="0" w:color="auto"/>
        <w:bottom w:val="none" w:sz="0" w:space="0" w:color="auto"/>
        <w:right w:val="none" w:sz="0" w:space="0" w:color="auto"/>
      </w:divBdr>
    </w:div>
    <w:div w:id="1673291792">
      <w:bodyDiv w:val="1"/>
      <w:marLeft w:val="0"/>
      <w:marRight w:val="0"/>
      <w:marTop w:val="0"/>
      <w:marBottom w:val="0"/>
      <w:divBdr>
        <w:top w:val="none" w:sz="0" w:space="0" w:color="auto"/>
        <w:left w:val="none" w:sz="0" w:space="0" w:color="auto"/>
        <w:bottom w:val="none" w:sz="0" w:space="0" w:color="auto"/>
        <w:right w:val="none" w:sz="0" w:space="0" w:color="auto"/>
      </w:divBdr>
    </w:div>
    <w:div w:id="1706514630">
      <w:bodyDiv w:val="1"/>
      <w:marLeft w:val="0"/>
      <w:marRight w:val="0"/>
      <w:marTop w:val="0"/>
      <w:marBottom w:val="0"/>
      <w:divBdr>
        <w:top w:val="none" w:sz="0" w:space="0" w:color="auto"/>
        <w:left w:val="none" w:sz="0" w:space="0" w:color="auto"/>
        <w:bottom w:val="none" w:sz="0" w:space="0" w:color="auto"/>
        <w:right w:val="none" w:sz="0" w:space="0" w:color="auto"/>
      </w:divBdr>
    </w:div>
    <w:div w:id="1709336535">
      <w:bodyDiv w:val="1"/>
      <w:marLeft w:val="0"/>
      <w:marRight w:val="0"/>
      <w:marTop w:val="0"/>
      <w:marBottom w:val="0"/>
      <w:divBdr>
        <w:top w:val="none" w:sz="0" w:space="0" w:color="auto"/>
        <w:left w:val="none" w:sz="0" w:space="0" w:color="auto"/>
        <w:bottom w:val="none" w:sz="0" w:space="0" w:color="auto"/>
        <w:right w:val="none" w:sz="0" w:space="0" w:color="auto"/>
      </w:divBdr>
    </w:div>
    <w:div w:id="1723359110">
      <w:bodyDiv w:val="1"/>
      <w:marLeft w:val="0"/>
      <w:marRight w:val="0"/>
      <w:marTop w:val="0"/>
      <w:marBottom w:val="0"/>
      <w:divBdr>
        <w:top w:val="none" w:sz="0" w:space="0" w:color="auto"/>
        <w:left w:val="none" w:sz="0" w:space="0" w:color="auto"/>
        <w:bottom w:val="none" w:sz="0" w:space="0" w:color="auto"/>
        <w:right w:val="none" w:sz="0" w:space="0" w:color="auto"/>
      </w:divBdr>
    </w:div>
    <w:div w:id="1725519410">
      <w:bodyDiv w:val="1"/>
      <w:marLeft w:val="0"/>
      <w:marRight w:val="0"/>
      <w:marTop w:val="0"/>
      <w:marBottom w:val="0"/>
      <w:divBdr>
        <w:top w:val="none" w:sz="0" w:space="0" w:color="auto"/>
        <w:left w:val="none" w:sz="0" w:space="0" w:color="auto"/>
        <w:bottom w:val="none" w:sz="0" w:space="0" w:color="auto"/>
        <w:right w:val="none" w:sz="0" w:space="0" w:color="auto"/>
      </w:divBdr>
    </w:div>
    <w:div w:id="1736780337">
      <w:bodyDiv w:val="1"/>
      <w:marLeft w:val="0"/>
      <w:marRight w:val="0"/>
      <w:marTop w:val="0"/>
      <w:marBottom w:val="0"/>
      <w:divBdr>
        <w:top w:val="none" w:sz="0" w:space="0" w:color="auto"/>
        <w:left w:val="none" w:sz="0" w:space="0" w:color="auto"/>
        <w:bottom w:val="none" w:sz="0" w:space="0" w:color="auto"/>
        <w:right w:val="none" w:sz="0" w:space="0" w:color="auto"/>
      </w:divBdr>
    </w:div>
    <w:div w:id="1766685530">
      <w:bodyDiv w:val="1"/>
      <w:marLeft w:val="0"/>
      <w:marRight w:val="0"/>
      <w:marTop w:val="0"/>
      <w:marBottom w:val="0"/>
      <w:divBdr>
        <w:top w:val="none" w:sz="0" w:space="0" w:color="auto"/>
        <w:left w:val="none" w:sz="0" w:space="0" w:color="auto"/>
        <w:bottom w:val="none" w:sz="0" w:space="0" w:color="auto"/>
        <w:right w:val="none" w:sz="0" w:space="0" w:color="auto"/>
      </w:divBdr>
      <w:divsChild>
        <w:div w:id="523255071">
          <w:marLeft w:val="0"/>
          <w:marRight w:val="0"/>
          <w:marTop w:val="0"/>
          <w:marBottom w:val="0"/>
          <w:divBdr>
            <w:top w:val="none" w:sz="0" w:space="0" w:color="auto"/>
            <w:left w:val="none" w:sz="0" w:space="0" w:color="auto"/>
            <w:bottom w:val="none" w:sz="0" w:space="0" w:color="auto"/>
            <w:right w:val="none" w:sz="0" w:space="0" w:color="auto"/>
          </w:divBdr>
          <w:divsChild>
            <w:div w:id="1174758021">
              <w:marLeft w:val="0"/>
              <w:marRight w:val="0"/>
              <w:marTop w:val="0"/>
              <w:marBottom w:val="0"/>
              <w:divBdr>
                <w:top w:val="none" w:sz="0" w:space="0" w:color="auto"/>
                <w:left w:val="none" w:sz="0" w:space="0" w:color="auto"/>
                <w:bottom w:val="none" w:sz="0" w:space="0" w:color="auto"/>
                <w:right w:val="none" w:sz="0" w:space="0" w:color="auto"/>
              </w:divBdr>
              <w:divsChild>
                <w:div w:id="731000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411449">
      <w:bodyDiv w:val="1"/>
      <w:marLeft w:val="0"/>
      <w:marRight w:val="0"/>
      <w:marTop w:val="0"/>
      <w:marBottom w:val="0"/>
      <w:divBdr>
        <w:top w:val="none" w:sz="0" w:space="0" w:color="auto"/>
        <w:left w:val="none" w:sz="0" w:space="0" w:color="auto"/>
        <w:bottom w:val="none" w:sz="0" w:space="0" w:color="auto"/>
        <w:right w:val="none" w:sz="0" w:space="0" w:color="auto"/>
      </w:divBdr>
    </w:div>
    <w:div w:id="1830753038">
      <w:bodyDiv w:val="1"/>
      <w:marLeft w:val="0"/>
      <w:marRight w:val="0"/>
      <w:marTop w:val="0"/>
      <w:marBottom w:val="0"/>
      <w:divBdr>
        <w:top w:val="none" w:sz="0" w:space="0" w:color="auto"/>
        <w:left w:val="none" w:sz="0" w:space="0" w:color="auto"/>
        <w:bottom w:val="none" w:sz="0" w:space="0" w:color="auto"/>
        <w:right w:val="none" w:sz="0" w:space="0" w:color="auto"/>
      </w:divBdr>
    </w:div>
    <w:div w:id="1844935348">
      <w:bodyDiv w:val="1"/>
      <w:marLeft w:val="0"/>
      <w:marRight w:val="0"/>
      <w:marTop w:val="0"/>
      <w:marBottom w:val="0"/>
      <w:divBdr>
        <w:top w:val="none" w:sz="0" w:space="0" w:color="auto"/>
        <w:left w:val="none" w:sz="0" w:space="0" w:color="auto"/>
        <w:bottom w:val="none" w:sz="0" w:space="0" w:color="auto"/>
        <w:right w:val="none" w:sz="0" w:space="0" w:color="auto"/>
      </w:divBdr>
    </w:div>
    <w:div w:id="1857886553">
      <w:bodyDiv w:val="1"/>
      <w:marLeft w:val="0"/>
      <w:marRight w:val="0"/>
      <w:marTop w:val="0"/>
      <w:marBottom w:val="0"/>
      <w:divBdr>
        <w:top w:val="none" w:sz="0" w:space="0" w:color="auto"/>
        <w:left w:val="none" w:sz="0" w:space="0" w:color="auto"/>
        <w:bottom w:val="none" w:sz="0" w:space="0" w:color="auto"/>
        <w:right w:val="none" w:sz="0" w:space="0" w:color="auto"/>
      </w:divBdr>
      <w:divsChild>
        <w:div w:id="1104770673">
          <w:marLeft w:val="0"/>
          <w:marRight w:val="0"/>
          <w:marTop w:val="0"/>
          <w:marBottom w:val="0"/>
          <w:divBdr>
            <w:top w:val="none" w:sz="0" w:space="0" w:color="auto"/>
            <w:left w:val="none" w:sz="0" w:space="0" w:color="auto"/>
            <w:bottom w:val="none" w:sz="0" w:space="0" w:color="auto"/>
            <w:right w:val="none" w:sz="0" w:space="0" w:color="auto"/>
          </w:divBdr>
          <w:divsChild>
            <w:div w:id="2127576483">
              <w:marLeft w:val="0"/>
              <w:marRight w:val="0"/>
              <w:marTop w:val="0"/>
              <w:marBottom w:val="0"/>
              <w:divBdr>
                <w:top w:val="none" w:sz="0" w:space="0" w:color="auto"/>
                <w:left w:val="none" w:sz="0" w:space="0" w:color="auto"/>
                <w:bottom w:val="none" w:sz="0" w:space="0" w:color="auto"/>
                <w:right w:val="none" w:sz="0" w:space="0" w:color="auto"/>
              </w:divBdr>
              <w:divsChild>
                <w:div w:id="15750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153856">
      <w:bodyDiv w:val="1"/>
      <w:marLeft w:val="0"/>
      <w:marRight w:val="0"/>
      <w:marTop w:val="0"/>
      <w:marBottom w:val="0"/>
      <w:divBdr>
        <w:top w:val="none" w:sz="0" w:space="0" w:color="auto"/>
        <w:left w:val="none" w:sz="0" w:space="0" w:color="auto"/>
        <w:bottom w:val="none" w:sz="0" w:space="0" w:color="auto"/>
        <w:right w:val="none" w:sz="0" w:space="0" w:color="auto"/>
      </w:divBdr>
    </w:div>
    <w:div w:id="1868830092">
      <w:bodyDiv w:val="1"/>
      <w:marLeft w:val="0"/>
      <w:marRight w:val="0"/>
      <w:marTop w:val="0"/>
      <w:marBottom w:val="0"/>
      <w:divBdr>
        <w:top w:val="none" w:sz="0" w:space="0" w:color="auto"/>
        <w:left w:val="none" w:sz="0" w:space="0" w:color="auto"/>
        <w:bottom w:val="none" w:sz="0" w:space="0" w:color="auto"/>
        <w:right w:val="none" w:sz="0" w:space="0" w:color="auto"/>
      </w:divBdr>
      <w:divsChild>
        <w:div w:id="361590995">
          <w:marLeft w:val="0"/>
          <w:marRight w:val="0"/>
          <w:marTop w:val="0"/>
          <w:marBottom w:val="0"/>
          <w:divBdr>
            <w:top w:val="none" w:sz="0" w:space="0" w:color="auto"/>
            <w:left w:val="none" w:sz="0" w:space="0" w:color="auto"/>
            <w:bottom w:val="none" w:sz="0" w:space="0" w:color="auto"/>
            <w:right w:val="none" w:sz="0" w:space="0" w:color="auto"/>
          </w:divBdr>
          <w:divsChild>
            <w:div w:id="731318370">
              <w:marLeft w:val="0"/>
              <w:marRight w:val="0"/>
              <w:marTop w:val="0"/>
              <w:marBottom w:val="0"/>
              <w:divBdr>
                <w:top w:val="none" w:sz="0" w:space="0" w:color="auto"/>
                <w:left w:val="none" w:sz="0" w:space="0" w:color="auto"/>
                <w:bottom w:val="none" w:sz="0" w:space="0" w:color="auto"/>
                <w:right w:val="none" w:sz="0" w:space="0" w:color="auto"/>
              </w:divBdr>
              <w:divsChild>
                <w:div w:id="170447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8542961">
      <w:bodyDiv w:val="1"/>
      <w:marLeft w:val="0"/>
      <w:marRight w:val="0"/>
      <w:marTop w:val="0"/>
      <w:marBottom w:val="0"/>
      <w:divBdr>
        <w:top w:val="none" w:sz="0" w:space="0" w:color="auto"/>
        <w:left w:val="none" w:sz="0" w:space="0" w:color="auto"/>
        <w:bottom w:val="none" w:sz="0" w:space="0" w:color="auto"/>
        <w:right w:val="none" w:sz="0" w:space="0" w:color="auto"/>
      </w:divBdr>
    </w:div>
    <w:div w:id="1923834106">
      <w:bodyDiv w:val="1"/>
      <w:marLeft w:val="0"/>
      <w:marRight w:val="0"/>
      <w:marTop w:val="0"/>
      <w:marBottom w:val="0"/>
      <w:divBdr>
        <w:top w:val="none" w:sz="0" w:space="0" w:color="auto"/>
        <w:left w:val="none" w:sz="0" w:space="0" w:color="auto"/>
        <w:bottom w:val="none" w:sz="0" w:space="0" w:color="auto"/>
        <w:right w:val="none" w:sz="0" w:space="0" w:color="auto"/>
      </w:divBdr>
    </w:div>
    <w:div w:id="1941523052">
      <w:bodyDiv w:val="1"/>
      <w:marLeft w:val="0"/>
      <w:marRight w:val="0"/>
      <w:marTop w:val="0"/>
      <w:marBottom w:val="0"/>
      <w:divBdr>
        <w:top w:val="none" w:sz="0" w:space="0" w:color="auto"/>
        <w:left w:val="none" w:sz="0" w:space="0" w:color="auto"/>
        <w:bottom w:val="none" w:sz="0" w:space="0" w:color="auto"/>
        <w:right w:val="none" w:sz="0" w:space="0" w:color="auto"/>
      </w:divBdr>
    </w:div>
    <w:div w:id="1991981077">
      <w:bodyDiv w:val="1"/>
      <w:marLeft w:val="0"/>
      <w:marRight w:val="0"/>
      <w:marTop w:val="0"/>
      <w:marBottom w:val="0"/>
      <w:divBdr>
        <w:top w:val="none" w:sz="0" w:space="0" w:color="auto"/>
        <w:left w:val="none" w:sz="0" w:space="0" w:color="auto"/>
        <w:bottom w:val="none" w:sz="0" w:space="0" w:color="auto"/>
        <w:right w:val="none" w:sz="0" w:space="0" w:color="auto"/>
      </w:divBdr>
    </w:div>
    <w:div w:id="2115510474">
      <w:bodyDiv w:val="1"/>
      <w:marLeft w:val="0"/>
      <w:marRight w:val="0"/>
      <w:marTop w:val="0"/>
      <w:marBottom w:val="0"/>
      <w:divBdr>
        <w:top w:val="none" w:sz="0" w:space="0" w:color="auto"/>
        <w:left w:val="none" w:sz="0" w:space="0" w:color="auto"/>
        <w:bottom w:val="none" w:sz="0" w:space="0" w:color="auto"/>
        <w:right w:val="none" w:sz="0" w:space="0" w:color="auto"/>
      </w:divBdr>
    </w:div>
    <w:div w:id="2136095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C5BFD1-EFDB-1845-8605-EF89CB0FF4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74842</Words>
  <Characters>426604</Characters>
  <Application>Microsoft Office Word</Application>
  <DocSecurity>0</DocSecurity>
  <Lines>3555</Lines>
  <Paragraphs>1000</Paragraphs>
  <ScaleCrop>false</ScaleCrop>
  <HeadingPairs>
    <vt:vector size="2" baseType="variant">
      <vt:variant>
        <vt:lpstr>Title</vt:lpstr>
      </vt:variant>
      <vt:variant>
        <vt:i4>1</vt:i4>
      </vt:variant>
    </vt:vector>
  </HeadingPairs>
  <TitlesOfParts>
    <vt:vector size="1" baseType="lpstr">
      <vt:lpstr/>
    </vt:vector>
  </TitlesOfParts>
  <Company>University of Manitoba</Company>
  <LinksUpToDate>false</LinksUpToDate>
  <CharactersWithSpaces>500446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Kaarina Kowalec</dc:creator>
  <cp:keywords/>
  <dc:description/>
  <cp:lastModifiedBy>Kaarina Kowalec</cp:lastModifiedBy>
  <cp:revision>4</cp:revision>
  <cp:lastPrinted>2020-09-08T16:46:00Z</cp:lastPrinted>
  <dcterms:created xsi:type="dcterms:W3CDTF">2020-12-23T03:35:00Z</dcterms:created>
  <dcterms:modified xsi:type="dcterms:W3CDTF">2021-01-08T17:18:00Z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b6feb926-bae0-36a0-ac71-03e9bac9b86b</vt:lpwstr>
  </property>
  <property fmtid="{D5CDD505-2E9C-101B-9397-08002B2CF9AE}" pid="4" name="Mendeley Citation Style_1">
    <vt:lpwstr>https://csl.mendeley.com/styles/486307641/nature-publishing-group-vancouver-TranslPsych</vt:lpwstr>
  </property>
  <property fmtid="{D5CDD505-2E9C-101B-9397-08002B2CF9AE}" pid="5" name="Mendeley Recent Style Id 0_1">
    <vt:lpwstr>http://www.zotero.org/styles/modern-language-association</vt:lpwstr>
  </property>
  <property fmtid="{D5CDD505-2E9C-101B-9397-08002B2CF9AE}" pid="6" name="Mendeley Recent Style Name 0_1">
    <vt:lpwstr>Modern Language Association 8th edition</vt:lpwstr>
  </property>
  <property fmtid="{D5CDD505-2E9C-101B-9397-08002B2CF9AE}" pid="7" name="Mendeley Recent Style Id 1_1">
    <vt:lpwstr>http://www.zotero.org/styles/molecular-psychiatry</vt:lpwstr>
  </property>
  <property fmtid="{D5CDD505-2E9C-101B-9397-08002B2CF9AE}" pid="8" name="Mendeley Recent Style Name 1_1">
    <vt:lpwstr>Molecular Psychiatry</vt:lpwstr>
  </property>
  <property fmtid="{D5CDD505-2E9C-101B-9397-08002B2CF9AE}" pid="9" name="Mendeley Recent Style Id 2_1">
    <vt:lpwstr>http://www.zotero.org/styles/multiple-sclerosis-journal</vt:lpwstr>
  </property>
  <property fmtid="{D5CDD505-2E9C-101B-9397-08002B2CF9AE}" pid="10" name="Mendeley Recent Style Name 2_1">
    <vt:lpwstr>Multiple Sclerosis Journal</vt:lpwstr>
  </property>
  <property fmtid="{D5CDD505-2E9C-101B-9397-08002B2CF9AE}" pid="11" name="Mendeley Recent Style Id 3_1">
    <vt:lpwstr>http://www.zotero.org/styles/multiple-sclerosis-and-demyelinating-disorders</vt:lpwstr>
  </property>
  <property fmtid="{D5CDD505-2E9C-101B-9397-08002B2CF9AE}" pid="12" name="Mendeley Recent Style Name 3_1">
    <vt:lpwstr>Multiple Sclerosis and Demyelinating Disorders</vt:lpwstr>
  </property>
  <property fmtid="{D5CDD505-2E9C-101B-9397-08002B2CF9AE}" pid="13" name="Mendeley Recent Style Id 4_1">
    <vt:lpwstr>http://www.zotero.org/styles/multiple-sclerosis-and-related-disorders</vt:lpwstr>
  </property>
  <property fmtid="{D5CDD505-2E9C-101B-9397-08002B2CF9AE}" pid="14" name="Mendeley Recent Style Name 4_1">
    <vt:lpwstr>Multiple Sclerosis and Related Disorders</vt:lpwstr>
  </property>
  <property fmtid="{D5CDD505-2E9C-101B-9397-08002B2CF9AE}" pid="15" name="Mendeley Recent Style Id 5_1">
    <vt:lpwstr>http://www.zotero.org/styles/national-library-of-medicine</vt:lpwstr>
  </property>
  <property fmtid="{D5CDD505-2E9C-101B-9397-08002B2CF9AE}" pid="16" name="Mendeley Recent Style Name 5_1">
    <vt:lpwstr>National Library of Medicine</vt:lpwstr>
  </property>
  <property fmtid="{D5CDD505-2E9C-101B-9397-08002B2CF9AE}" pid="17" name="Mendeley Recent Style Id 6_1">
    <vt:lpwstr>http://www.zotero.org/styles/nature-genetics</vt:lpwstr>
  </property>
  <property fmtid="{D5CDD505-2E9C-101B-9397-08002B2CF9AE}" pid="18" name="Mendeley Recent Style Name 6_1">
    <vt:lpwstr>Nature Genetics</vt:lpwstr>
  </property>
  <property fmtid="{D5CDD505-2E9C-101B-9397-08002B2CF9AE}" pid="19" name="Mendeley Recent Style Id 7_1">
    <vt:lpwstr>http://csl.mendeley.com/styles/486307641/nature-publishing-group-vancouver-TranslPsych</vt:lpwstr>
  </property>
  <property fmtid="{D5CDD505-2E9C-101B-9397-08002B2CF9AE}" pid="20" name="Mendeley Recent Style Name 7_1">
    <vt:lpwstr>Nature Publishing Group - Vancouver - Kaarina Kowalec</vt:lpwstr>
  </property>
  <property fmtid="{D5CDD505-2E9C-101B-9397-08002B2CF9AE}" pid="21" name="Mendeley Recent Style Id 8_1">
    <vt:lpwstr>https://csl.mendeley.com/styles/486307641/nature-publishing-group-vancouver-TranslPsych</vt:lpwstr>
  </property>
  <property fmtid="{D5CDD505-2E9C-101B-9397-08002B2CF9AE}" pid="22" name="Mendeley Recent Style Name 8_1">
    <vt:lpwstr>Nature Publishing Group - Vancouver - Kaarina Kowalec</vt:lpwstr>
  </property>
  <property fmtid="{D5CDD505-2E9C-101B-9397-08002B2CF9AE}" pid="23" name="Mendeley Recent Style Id 9_1">
    <vt:lpwstr>http://www.zotero.org/styles/translational-psychiatry</vt:lpwstr>
  </property>
  <property fmtid="{D5CDD505-2E9C-101B-9397-08002B2CF9AE}" pid="24" name="Mendeley Recent Style Name 9_1">
    <vt:lpwstr>Translational Psychiatry</vt:lpwstr>
  </property>
</Properties>
</file>