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E45E43A" w14:textId="77777777" w:rsidR="00613B13" w:rsidRPr="006C7814" w:rsidRDefault="00613B13" w:rsidP="006263C4">
      <w:pPr>
        <w:jc w:val="both"/>
        <w:rPr>
          <w:b/>
        </w:rPr>
      </w:pPr>
      <w:r w:rsidRPr="006C7814">
        <w:rPr>
          <w:b/>
        </w:rPr>
        <w:t xml:space="preserve">Supplementary </w:t>
      </w:r>
      <w:r w:rsidR="00A90B24" w:rsidRPr="006C7814">
        <w:rPr>
          <w:b/>
        </w:rPr>
        <w:t xml:space="preserve">materials and </w:t>
      </w:r>
      <w:r w:rsidRPr="006C7814">
        <w:rPr>
          <w:b/>
        </w:rPr>
        <w:t>methods</w:t>
      </w:r>
    </w:p>
    <w:p w14:paraId="0A516CD9" w14:textId="77777777" w:rsidR="00613B13" w:rsidRPr="006C7814" w:rsidRDefault="00613B13" w:rsidP="006263C4">
      <w:pPr>
        <w:spacing w:line="480" w:lineRule="auto"/>
        <w:jc w:val="both"/>
        <w:rPr>
          <w:u w:val="single"/>
        </w:rPr>
      </w:pPr>
      <w:r w:rsidRPr="006C7814">
        <w:rPr>
          <w:i/>
          <w:u w:val="single"/>
        </w:rPr>
        <w:t>Cyfip1</w:t>
      </w:r>
      <w:r w:rsidRPr="006C7814">
        <w:rPr>
          <w:u w:val="single"/>
        </w:rPr>
        <w:t xml:space="preserve"> heterozygous knockout mice</w:t>
      </w:r>
    </w:p>
    <w:p w14:paraId="70C98A56" w14:textId="64D26411" w:rsidR="00613B13" w:rsidRPr="006C7814" w:rsidRDefault="00613B13" w:rsidP="006263C4">
      <w:pPr>
        <w:spacing w:line="480" w:lineRule="auto"/>
        <w:jc w:val="both"/>
      </w:pPr>
      <w:r w:rsidRPr="006C7814">
        <w:t>Cyfip1</w:t>
      </w:r>
      <w:r w:rsidRPr="006C7814">
        <w:rPr>
          <w:vertAlign w:val="superscript"/>
        </w:rPr>
        <w:t>tm2a(EUCOMM)</w:t>
      </w:r>
      <w:proofErr w:type="spellStart"/>
      <w:r w:rsidRPr="006C7814">
        <w:rPr>
          <w:vertAlign w:val="superscript"/>
        </w:rPr>
        <w:t>Wtsi</w:t>
      </w:r>
      <w:proofErr w:type="spellEnd"/>
      <w:r w:rsidRPr="006C7814">
        <w:t xml:space="preserve"> animals were obtained from the International Mouse Phenotyping Consortium (Harwell, UK) and maintained </w:t>
      </w:r>
      <w:proofErr w:type="spellStart"/>
      <w:r w:rsidRPr="006C7814">
        <w:t>heterozygously</w:t>
      </w:r>
      <w:proofErr w:type="spellEnd"/>
      <w:r w:rsidR="00F429FF" w:rsidRPr="006C7814">
        <w:t xml:space="preserve"> on a C57</w:t>
      </w:r>
      <w:r w:rsidRPr="006C7814">
        <w:t>BL6</w:t>
      </w:r>
      <w:r w:rsidR="00F429FF" w:rsidRPr="006C7814">
        <w:t>/</w:t>
      </w:r>
      <w:r w:rsidRPr="006C7814">
        <w:t xml:space="preserve">J background. These mice have previously shown to have a significant reduction in brain </w:t>
      </w:r>
      <w:r w:rsidRPr="006C7814">
        <w:rPr>
          <w:i/>
        </w:rPr>
        <w:t>Cyfip1</w:t>
      </w:r>
      <w:r w:rsidRPr="006C7814">
        <w:t xml:space="preserve"> expression</w:t>
      </w:r>
      <w:r w:rsidRPr="006C7814">
        <w:fldChar w:fldCharType="begin" w:fldLock="1"/>
      </w:r>
      <w:r w:rsidR="00E87942">
        <w:instrText>ADDIN CSL_CITATION {"citationItems":[{"id":"ITEM-1","itemData":{"DOI":"10.1038/tp.2014.16","ISSN":"2158-3188","PMID":"24667445","abstract":"Copy number variation (CNV) at the 15q11.2 region has been identified as a significant risk locus for neurological and neuropsychiatric conditions such as schizophrenia (SCZ) and autism spectrum disorder (ASD). However, the individual roles for genes at this locus in nervous system development, function and connectivity remain poorly understood. Haploinsufficiency of one gene in this region, Cyfip1, may provide a model for 15q11.2 CNV-associated neuropsychiatric phenotypes. Here we show that altering CYFIP1 expression levels in neurons both in vitro and in vivo influences dendritic complexity, spine morphology, spine actin dynamics and synaptic α-amino-3-hydroxy-5-methyl-4-isoxazolepropionic acid (AMPA) receptor lateral diffusion. CYFIP1 is highly enriched at synapses and its overexpression in vitro leads to increased dendritic complexity. Neurons derived from Cyfip1 heterozygous animals on the other hand, possess reduced dendritic complexity, increased mobile F-actin and enhanced GluA2-containing AMPA receptor mobility at synapses. Interestingly, Cyfip1 overexpression or haploinsufficiency increased immature spine number, whereas activity-dependent changes in spine volume were occluded in Cyfip1 haploinsufficient neurons. In vivo, Cyfip1 heterozygous animals exhibited deficits in dendritic complexity as well as an altered ratio of immature-to-mature spines in hippocampal CA1 neurons. In summary, we provide evidence that dysregulation of CYFIP1 expression levels leads to pathological changes in CNS maturation and neuronal connectivity, both of which may contribute to the development of the neurological symptoms seen in ASD and SCZ.","author":[{"dropping-particle":"","family":"Pathania","given":"M","non-dropping-particle":"","parse-names":false,"suffix":""},{"dropping-particle":"","family":"Davenport","given":"E C","non-dropping-particle":"","parse-names":false,"suffix":""},{"dropping-particle":"","family":"Muir","given":"J","non-dropping-particle":"","parse-names":false,"suffix":""},{"dropping-particle":"","family":"Sheehan","given":"D F","non-dropping-particle":"","parse-names":false,"suffix":""},{"dropping-particle":"","family":"López-Doménech","given":"G","non-dropping-particle":"","parse-names":false,"suffix":""},{"dropping-particle":"","family":"Kittler","given":"J T","non-dropping-particle":"","parse-names":false,"suffix":""}],"container-title":"Translational Psychiatry","id":"ITEM-1","issue":"3","issued":{"date-parts":[["2014","3","25"]]},"page":"e374-e374","title":"The autism and schizophrenia associated gene CYFIP1 is critical for the maintenance of dendritic complexity and the stabilization of mature spines","type":"article-journal","volume":"4"},"uris":["http://www.mendeley.com/documents/?uuid=f7caf3ba-49bf-392f-9d31-a88735805b1f"]}],"mendeley":{"formattedCitation":"&lt;sup&gt;1&lt;/sup&gt;","plainTextFormattedCitation":"1","previouslyFormattedCitation":"&lt;sup&gt;1&lt;/sup&gt;"},"properties":{"noteIndex":0},"schema":"https://github.com/citation-style-language/schema/raw/master/csl-citation.json"}</w:instrText>
      </w:r>
      <w:r w:rsidRPr="006C7814">
        <w:fldChar w:fldCharType="separate"/>
      </w:r>
      <w:r w:rsidR="005D3B11" w:rsidRPr="006C7814">
        <w:rPr>
          <w:noProof/>
          <w:vertAlign w:val="superscript"/>
        </w:rPr>
        <w:t>1</w:t>
      </w:r>
      <w:r w:rsidRPr="006C7814">
        <w:fldChar w:fldCharType="end"/>
      </w:r>
      <w:r w:rsidRPr="006C7814">
        <w:t xml:space="preserve">. Groups used were of mixed sex.  Animals were genotyped from ear or tail tissue. Genomic DNA was extracted using a Qiagen </w:t>
      </w:r>
      <w:proofErr w:type="spellStart"/>
      <w:r w:rsidRPr="006C7814">
        <w:t>DNeasy</w:t>
      </w:r>
      <w:proofErr w:type="spellEnd"/>
      <w:r w:rsidRPr="006C7814">
        <w:t xml:space="preserve"> Blood &amp; Tissue kit, according to manufacturer’s protocol. Genotyping primers were 5’-TGGAAGTAATGGAACCGAACA, 5’-TCGTGGTATCGTTATGCGCC, and 5’-GTAACTACCTATAATGCAGACCTGAAG. See figure S</w:t>
      </w:r>
      <w:r w:rsidR="00F9116C" w:rsidRPr="006C7814">
        <w:t>1</w:t>
      </w:r>
      <w:r w:rsidRPr="006C7814">
        <w:t xml:space="preserve"> for example of genotyping PCR products. All procedures were carried out according to the UK Animal (Scientific Procedures) Act 1986, Home Office Project Licence PPL 30/3135.</w:t>
      </w:r>
    </w:p>
    <w:p w14:paraId="7ECCE659" w14:textId="77777777" w:rsidR="00613B13" w:rsidRPr="006C7814" w:rsidRDefault="00613B13" w:rsidP="006263C4">
      <w:pPr>
        <w:spacing w:line="480" w:lineRule="auto"/>
        <w:jc w:val="both"/>
        <w:rPr>
          <w:u w:val="single"/>
        </w:rPr>
      </w:pPr>
      <w:proofErr w:type="spellStart"/>
      <w:r w:rsidRPr="006C7814">
        <w:rPr>
          <w:u w:val="single"/>
        </w:rPr>
        <w:t>BrdU</w:t>
      </w:r>
      <w:proofErr w:type="spellEnd"/>
      <w:r w:rsidRPr="006C7814">
        <w:rPr>
          <w:u w:val="single"/>
        </w:rPr>
        <w:t xml:space="preserve"> administration</w:t>
      </w:r>
    </w:p>
    <w:p w14:paraId="15ADCDC2" w14:textId="77777777" w:rsidR="00613B13" w:rsidRPr="006C7814" w:rsidRDefault="00613B13" w:rsidP="006263C4">
      <w:pPr>
        <w:spacing w:line="480" w:lineRule="auto"/>
        <w:jc w:val="both"/>
      </w:pPr>
      <w:r w:rsidRPr="006C7814">
        <w:rPr>
          <w:i/>
        </w:rPr>
        <w:t>Cyfip1</w:t>
      </w:r>
      <w:r w:rsidRPr="006C7814">
        <w:rPr>
          <w:vertAlign w:val="superscript"/>
        </w:rPr>
        <w:t>+/-</w:t>
      </w:r>
      <w:r w:rsidRPr="006C7814">
        <w:t xml:space="preserve"> animals and wildtype littermates were administered 100 mg/kg </w:t>
      </w:r>
      <w:proofErr w:type="spellStart"/>
      <w:r w:rsidRPr="006C7814">
        <w:t>BrdU</w:t>
      </w:r>
      <w:proofErr w:type="spellEnd"/>
      <w:r w:rsidRPr="006C7814">
        <w:t xml:space="preserve"> by IP injection from a 10 mg/ml stock solution in saline. </w:t>
      </w:r>
      <w:proofErr w:type="gramStart"/>
      <w:r w:rsidRPr="006C7814">
        <w:t>8 week old</w:t>
      </w:r>
      <w:proofErr w:type="gramEnd"/>
      <w:r w:rsidRPr="006C7814">
        <w:t xml:space="preserve"> animals were either injected once and sacrificed 6 hour later or received five injections once daily, and sacrificed 30 days following first injection. </w:t>
      </w:r>
    </w:p>
    <w:p w14:paraId="47BB54D5" w14:textId="77777777" w:rsidR="00613B13" w:rsidRPr="006C7814" w:rsidRDefault="00613B13" w:rsidP="006263C4">
      <w:pPr>
        <w:spacing w:line="480" w:lineRule="auto"/>
        <w:jc w:val="both"/>
      </w:pPr>
      <w:r w:rsidRPr="006C7814">
        <w:rPr>
          <w:u w:val="single"/>
        </w:rPr>
        <w:t>Primary hippocampal progenitor culture</w:t>
      </w:r>
    </w:p>
    <w:p w14:paraId="78B2428C" w14:textId="2D64A918" w:rsidR="00613B13" w:rsidRPr="006C7814" w:rsidRDefault="00613B13" w:rsidP="006263C4">
      <w:pPr>
        <w:spacing w:line="480" w:lineRule="auto"/>
        <w:jc w:val="both"/>
      </w:pPr>
      <w:r w:rsidRPr="006C7814">
        <w:t xml:space="preserve">Mixed hippocampal cultures were prepared from P7-P8 </w:t>
      </w:r>
      <w:r w:rsidRPr="006C7814">
        <w:rPr>
          <w:i/>
        </w:rPr>
        <w:t>Cyfip1</w:t>
      </w:r>
      <w:r w:rsidRPr="006C7814">
        <w:rPr>
          <w:vertAlign w:val="superscript"/>
        </w:rPr>
        <w:t>+/-</w:t>
      </w:r>
      <w:r w:rsidRPr="006C7814">
        <w:t xml:space="preserve"> animals and wildtype littermates. Following cervical dislocation and removal of the brain, hippocampi were dissected and stored </w:t>
      </w:r>
      <w:r w:rsidR="005D3B11" w:rsidRPr="006C7814">
        <w:t>o</w:t>
      </w:r>
      <w:r w:rsidRPr="006C7814">
        <w:t xml:space="preserve">n ice cold PBS. Hippocampal tissue from individual animals was disrupted using a McIlwain tissue chopper and dissociated to single cells with 2 mg/ml papain (Sigma-Aldrich P4762) in standard medium (Neurobasal A medium (Thermo Fisher 10888022) containing 2% B27 supplement (Thermo Fisher 17504044), 1% Pen/Strep (Thermo Fisher 15240062) and 50 mM </w:t>
      </w:r>
      <w:proofErr w:type="spellStart"/>
      <w:r w:rsidRPr="006C7814">
        <w:t>Glutamax</w:t>
      </w:r>
      <w:proofErr w:type="spellEnd"/>
      <w:r w:rsidRPr="006C7814">
        <w:t xml:space="preserve"> (Thermo Fisher 35050061)), at 37 °C for 30 minutes. Following trituration in fresh standard medium, </w:t>
      </w:r>
      <w:r w:rsidR="005D3B11" w:rsidRPr="006C7814">
        <w:t xml:space="preserve">the </w:t>
      </w:r>
      <w:r w:rsidRPr="006C7814">
        <w:t xml:space="preserve">cell </w:t>
      </w:r>
      <w:r w:rsidRPr="006C7814">
        <w:lastRenderedPageBreak/>
        <w:t xml:space="preserve">suspension was placed on top of layered 10 and 20% </w:t>
      </w:r>
      <w:proofErr w:type="spellStart"/>
      <w:r w:rsidRPr="006C7814">
        <w:t>Optiprep</w:t>
      </w:r>
      <w:proofErr w:type="spellEnd"/>
      <w:r w:rsidRPr="006C7814">
        <w:t xml:space="preserve"> (Sigma-Aldrich D1556) solutions in standard </w:t>
      </w:r>
      <w:proofErr w:type="gramStart"/>
      <w:r w:rsidRPr="006C7814">
        <w:t>medium, and</w:t>
      </w:r>
      <w:proofErr w:type="gramEnd"/>
      <w:r w:rsidRPr="006C7814">
        <w:t xml:space="preserve"> centrifuged at 600 </w:t>
      </w:r>
      <w:proofErr w:type="spellStart"/>
      <w:r w:rsidRPr="006C7814">
        <w:t>rcf</w:t>
      </w:r>
      <w:proofErr w:type="spellEnd"/>
      <w:r w:rsidRPr="006C7814">
        <w:t xml:space="preserve"> for 15 minutes. </w:t>
      </w:r>
    </w:p>
    <w:p w14:paraId="69AFE686" w14:textId="77777777" w:rsidR="00613B13" w:rsidRPr="006C7814" w:rsidRDefault="00613B13" w:rsidP="006263C4">
      <w:pPr>
        <w:spacing w:line="480" w:lineRule="auto"/>
        <w:jc w:val="both"/>
      </w:pPr>
      <w:r w:rsidRPr="006C7814">
        <w:t xml:space="preserve">The cell layer at the gradient interface was collected, washed in fresh standard medium, centrifuged at 250 </w:t>
      </w:r>
      <w:proofErr w:type="spellStart"/>
      <w:r w:rsidRPr="006C7814">
        <w:t>rcf</w:t>
      </w:r>
      <w:proofErr w:type="spellEnd"/>
      <w:r w:rsidRPr="006C7814">
        <w:t xml:space="preserve"> for 5 minutes, re-suspended in fresh standard medium and plated at 5x10</w:t>
      </w:r>
      <w:r w:rsidRPr="006C7814">
        <w:rPr>
          <w:vertAlign w:val="superscript"/>
        </w:rPr>
        <w:t>4</w:t>
      </w:r>
      <w:r w:rsidRPr="006C7814">
        <w:t xml:space="preserve"> cells on 13 mm glass coverslips, previously coated with 0.01% poly-</w:t>
      </w:r>
      <w:r w:rsidRPr="006C7814">
        <w:rPr>
          <w:smallCaps/>
        </w:rPr>
        <w:t>l</w:t>
      </w:r>
      <w:r w:rsidRPr="006C7814">
        <w:t>-lysine (Sigma-Aldrich P4707) and 10 µg/ml laminin (Sigma-Aldrich L2020). Cells were cultured at 37 °C, 5% CO</w:t>
      </w:r>
      <w:r w:rsidRPr="006C7814">
        <w:rPr>
          <w:vertAlign w:val="subscript"/>
        </w:rPr>
        <w:t>2</w:t>
      </w:r>
      <w:r w:rsidRPr="006C7814">
        <w:t>, 9% O</w:t>
      </w:r>
      <w:r w:rsidRPr="006C7814">
        <w:rPr>
          <w:vertAlign w:val="subscript"/>
        </w:rPr>
        <w:t>2</w:t>
      </w:r>
      <w:r w:rsidRPr="006C7814">
        <w:t xml:space="preserve"> with nitrogen for balance. Two hours following plating, all medium was replaced with fresh standard medium containing 20 ng/ml of both EGF and FGF2 (Sigma-Aldrich E9644 and SRP4037, respectively). Following three days of culture, 2/3rds of medium was replaced with fresh standard medium containing EGF and FGF2. Cultures were fixed at 5 DIV with ice cold 4% PFA for 30 minutes. Cell viability and death was assessed by incubation with 5 µg/ml DAPI (Sigma Aldrich D9542), 10 µg/ml propidium iodide (Sigma-Aldrich P3566) and 1 µM </w:t>
      </w:r>
      <w:proofErr w:type="spellStart"/>
      <w:r w:rsidRPr="006C7814">
        <w:t>MitoTracker</w:t>
      </w:r>
      <w:proofErr w:type="spellEnd"/>
      <w:r w:rsidRPr="006C7814">
        <w:t xml:space="preserve"> Green (Thermo Fisher M7514) for 40 minutes at 37 °C before cells were live-imaged. </w:t>
      </w:r>
    </w:p>
    <w:p w14:paraId="1C2B91A7" w14:textId="77777777" w:rsidR="00613B13" w:rsidRPr="006C7814" w:rsidRDefault="00613B13" w:rsidP="006263C4">
      <w:pPr>
        <w:spacing w:line="480" w:lineRule="auto"/>
        <w:jc w:val="both"/>
        <w:rPr>
          <w:u w:val="single"/>
        </w:rPr>
      </w:pPr>
      <w:r w:rsidRPr="006C7814">
        <w:rPr>
          <w:u w:val="single"/>
        </w:rPr>
        <w:t>Primary microglial culture</w:t>
      </w:r>
    </w:p>
    <w:p w14:paraId="4E7F6785" w14:textId="77777777" w:rsidR="00613B13" w:rsidRPr="006C7814" w:rsidRDefault="00613B13" w:rsidP="006263C4">
      <w:pPr>
        <w:spacing w:line="480" w:lineRule="auto"/>
        <w:jc w:val="both"/>
      </w:pPr>
      <w:r w:rsidRPr="006C7814">
        <w:t xml:space="preserve">Primary microglia from whole brain were prepared from P7-P8 </w:t>
      </w:r>
      <w:r w:rsidRPr="006C7814">
        <w:rPr>
          <w:i/>
        </w:rPr>
        <w:t>Cyfip1</w:t>
      </w:r>
      <w:r w:rsidRPr="006C7814">
        <w:rPr>
          <w:vertAlign w:val="superscript"/>
        </w:rPr>
        <w:t xml:space="preserve">+/- </w:t>
      </w:r>
      <w:r w:rsidRPr="006C7814">
        <w:t xml:space="preserve">animals and wildtype littermates. Following cervical dislocation brains were removed and stored in ice cold PBS. Tissue from individual animals was disrupted using a McIlwain tissue chopper and dissociated to single cells with 0.25% Trypsin with 1 mM EDTA (Thermo Fisher 25200072) at 37 °C for 30 minutes. Dissociation was stopped by addition of glia medium (DMEM/F12 (Thermo Fisher 21331020) containing 10% heat inactivated </w:t>
      </w:r>
      <w:proofErr w:type="spellStart"/>
      <w:r w:rsidRPr="006C7814">
        <w:t>fetal</w:t>
      </w:r>
      <w:proofErr w:type="spellEnd"/>
      <w:r w:rsidRPr="006C7814">
        <w:t xml:space="preserve"> bovine serum (Thermo Fisher 10270106), 1% Pen/Strep and 200 mM </w:t>
      </w:r>
      <w:proofErr w:type="spellStart"/>
      <w:r w:rsidRPr="006C7814">
        <w:t>Glutamax</w:t>
      </w:r>
      <w:proofErr w:type="spellEnd"/>
      <w:r w:rsidRPr="006C7814">
        <w:t xml:space="preserve">), and cells were centrifuged at 250 </w:t>
      </w:r>
      <w:proofErr w:type="spellStart"/>
      <w:r w:rsidRPr="006C7814">
        <w:t>rcf</w:t>
      </w:r>
      <w:proofErr w:type="spellEnd"/>
      <w:r w:rsidRPr="006C7814">
        <w:t xml:space="preserve"> for 5 minutes. </w:t>
      </w:r>
    </w:p>
    <w:p w14:paraId="08B32778" w14:textId="77777777" w:rsidR="00613B13" w:rsidRPr="006C7814" w:rsidRDefault="00613B13" w:rsidP="006263C4">
      <w:pPr>
        <w:spacing w:line="480" w:lineRule="auto"/>
        <w:jc w:val="both"/>
      </w:pPr>
      <w:r w:rsidRPr="006C7814">
        <w:t>Following wash and centrifugation, cells were plated on previously poly-</w:t>
      </w:r>
      <w:r w:rsidRPr="006C7814">
        <w:rPr>
          <w:smallCaps/>
        </w:rPr>
        <w:t>l</w:t>
      </w:r>
      <w:r w:rsidRPr="006C7814">
        <w:t>-lysine coated plastic dishes, with one hemisphere plated on 20 cm</w:t>
      </w:r>
      <w:r w:rsidRPr="006C7814">
        <w:rPr>
          <w:vertAlign w:val="superscript"/>
        </w:rPr>
        <w:t>2</w:t>
      </w:r>
      <w:r w:rsidRPr="006C7814">
        <w:t>. Cells were cultured at 37 °C, 5% CO</w:t>
      </w:r>
      <w:r w:rsidRPr="006C7814">
        <w:rPr>
          <w:vertAlign w:val="subscript"/>
        </w:rPr>
        <w:t>2</w:t>
      </w:r>
      <w:r w:rsidRPr="006C7814">
        <w:t>, 9% O</w:t>
      </w:r>
      <w:r w:rsidRPr="006C7814">
        <w:rPr>
          <w:vertAlign w:val="subscript"/>
        </w:rPr>
        <w:t>2</w:t>
      </w:r>
      <w:r w:rsidRPr="006C7814">
        <w:t xml:space="preserve"> with nitrogen for balance. Medium was changed every third day until mixed glia were confluent at 7-10 days. Microglia </w:t>
      </w:r>
      <w:r w:rsidRPr="006C7814">
        <w:lastRenderedPageBreak/>
        <w:t xml:space="preserve">were isolated by shake off at 250 rpm for 30 </w:t>
      </w:r>
      <w:proofErr w:type="gramStart"/>
      <w:r w:rsidRPr="006C7814">
        <w:t>minutes, and</w:t>
      </w:r>
      <w:proofErr w:type="gramEnd"/>
      <w:r w:rsidRPr="006C7814">
        <w:t xml:space="preserve"> cultured at 5x10</w:t>
      </w:r>
      <w:r w:rsidRPr="006C7814">
        <w:rPr>
          <w:vertAlign w:val="superscript"/>
        </w:rPr>
        <w:t>5</w:t>
      </w:r>
      <w:r w:rsidRPr="006C7814">
        <w:t>/ml on poly-</w:t>
      </w:r>
      <w:r w:rsidRPr="006C7814">
        <w:rPr>
          <w:smallCaps/>
        </w:rPr>
        <w:t>l</w:t>
      </w:r>
      <w:r w:rsidRPr="006C7814">
        <w:t xml:space="preserve">-lysine coated 13 mm glass coverslips or culture plastic as appropriate. </w:t>
      </w:r>
    </w:p>
    <w:p w14:paraId="5BFDEB60" w14:textId="77777777" w:rsidR="00613B13" w:rsidRPr="006C7814" w:rsidRDefault="00613B13" w:rsidP="006263C4">
      <w:pPr>
        <w:spacing w:line="480" w:lineRule="auto"/>
        <w:jc w:val="both"/>
      </w:pPr>
      <w:r w:rsidRPr="006C7814">
        <w:t xml:space="preserve">For production of conditioned medium, 24 hours following plating, microglia were changed to standard progenitor medium without growth factors and incubated for 24 hours. Medium was then collected and stored at -80 °C until use. Conditioned medium of different batches of cells was combined before use, to preclude batch-specific effects. </w:t>
      </w:r>
    </w:p>
    <w:p w14:paraId="091B9BC1" w14:textId="77777777" w:rsidR="00613B13" w:rsidRPr="006C7814" w:rsidRDefault="00613B13" w:rsidP="006263C4">
      <w:pPr>
        <w:spacing w:line="480" w:lineRule="auto"/>
        <w:jc w:val="both"/>
        <w:rPr>
          <w:u w:val="single"/>
        </w:rPr>
      </w:pPr>
      <w:r w:rsidRPr="006C7814">
        <w:rPr>
          <w:u w:val="single"/>
        </w:rPr>
        <w:t xml:space="preserve">Microglia depletion, microglia insert culture, and conditioned medium </w:t>
      </w:r>
      <w:proofErr w:type="gramStart"/>
      <w:r w:rsidRPr="006C7814">
        <w:rPr>
          <w:u w:val="single"/>
        </w:rPr>
        <w:t>experiments</w:t>
      </w:r>
      <w:proofErr w:type="gramEnd"/>
    </w:p>
    <w:p w14:paraId="0332ECCB" w14:textId="77777777" w:rsidR="00613B13" w:rsidRPr="006C7814" w:rsidRDefault="00613B13" w:rsidP="006263C4">
      <w:pPr>
        <w:spacing w:line="480" w:lineRule="auto"/>
        <w:jc w:val="both"/>
      </w:pPr>
      <w:r w:rsidRPr="006C7814">
        <w:t xml:space="preserve">Microglia were depleted from primary cultures by addition of a single dose of 1 </w:t>
      </w:r>
      <w:proofErr w:type="spellStart"/>
      <w:r w:rsidRPr="006C7814">
        <w:t>nM</w:t>
      </w:r>
      <w:proofErr w:type="spellEnd"/>
      <w:r w:rsidRPr="006C7814">
        <w:t xml:space="preserve"> Mac-1-Sap (ATS Bio IT-06) with the medium change at 2 hours following isolation of cells. To study the effects of secreted factors from microglia on progenitor cultures, primary microglia were plated on hanging inserts (0.4 µm pore size </w:t>
      </w:r>
      <w:proofErr w:type="spellStart"/>
      <w:r w:rsidRPr="006C7814">
        <w:t>Millicell</w:t>
      </w:r>
      <w:proofErr w:type="spellEnd"/>
      <w:r w:rsidRPr="006C7814">
        <w:t xml:space="preserve"> inserts, Fisher Scientific PIHT12R48) following shake-off. Following 24 hours of culture in progenitor medium, inserts with 1.5x10</w:t>
      </w:r>
      <w:r w:rsidRPr="006C7814">
        <w:rPr>
          <w:vertAlign w:val="superscript"/>
        </w:rPr>
        <w:t>4</w:t>
      </w:r>
      <w:r w:rsidRPr="006C7814">
        <w:t xml:space="preserve"> microglia were added to progenitor cultures at 2 hours following progenitor isolation, and remained in the cultures until fixation. Control cultures had empty inserts. Microglia conditioned medium was added to progenitor medium at 25% at 2 hours following </w:t>
      </w:r>
      <w:proofErr w:type="gramStart"/>
      <w:r w:rsidRPr="006C7814">
        <w:t>isolation, and</w:t>
      </w:r>
      <w:proofErr w:type="gramEnd"/>
      <w:r w:rsidRPr="006C7814">
        <w:t xml:space="preserve"> was present for the duration of the experiment. Control conditions received 25% unconditioned medium.</w:t>
      </w:r>
    </w:p>
    <w:p w14:paraId="53B2EBA1" w14:textId="77777777" w:rsidR="00613B13" w:rsidRPr="006C7814" w:rsidRDefault="00613B13" w:rsidP="006263C4">
      <w:pPr>
        <w:spacing w:line="480" w:lineRule="auto"/>
        <w:jc w:val="both"/>
        <w:rPr>
          <w:u w:val="single"/>
        </w:rPr>
      </w:pPr>
      <w:r w:rsidRPr="006C7814">
        <w:rPr>
          <w:u w:val="single"/>
        </w:rPr>
        <w:t>Immunocytochemistry</w:t>
      </w:r>
    </w:p>
    <w:p w14:paraId="12066F10" w14:textId="09B7C235" w:rsidR="00613B13" w:rsidRPr="006C7814" w:rsidRDefault="00613B13" w:rsidP="006263C4">
      <w:pPr>
        <w:spacing w:line="480" w:lineRule="auto"/>
        <w:jc w:val="both"/>
      </w:pPr>
      <w:r w:rsidRPr="006C7814">
        <w:t xml:space="preserve">Fixed cultures were blocked and permeabilized with 5% donkey serum and 0.1% Triton X100 in PBS for 30 minutes at room temperature. Primary antibodies were applied in the same solution overnight at 4 °C. Antibodies and detailed in Table S1. Following three washes in PBST, relevant secondary antibodies were applied in PBST for two hours at room temperature. For identification of microglia, Alexa 568 conjugated IB4 (Thermo Fisher I21412) was added to secondary antibody solutions at 2.5 µg/ml.  Cells were washed, counterstained with DAPI, and mounted for microscopy. </w:t>
      </w:r>
    </w:p>
    <w:p w14:paraId="69A21F7A" w14:textId="77777777" w:rsidR="005D3B11" w:rsidRPr="006C7814" w:rsidRDefault="005D3B11" w:rsidP="006263C4">
      <w:pPr>
        <w:spacing w:line="480" w:lineRule="auto"/>
        <w:jc w:val="both"/>
      </w:pP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20"/>
        <w:gridCol w:w="1239"/>
        <w:gridCol w:w="2170"/>
        <w:gridCol w:w="1846"/>
        <w:gridCol w:w="1646"/>
      </w:tblGrid>
      <w:tr w:rsidR="00613B13" w:rsidRPr="006C7814" w14:paraId="65A6206A" w14:textId="77777777" w:rsidTr="005B7B1A">
        <w:trPr>
          <w:trHeight w:val="87"/>
        </w:trPr>
        <w:tc>
          <w:tcPr>
            <w:tcW w:w="9021" w:type="dxa"/>
            <w:gridSpan w:val="5"/>
            <w:tcBorders>
              <w:bottom w:val="single" w:sz="4" w:space="0" w:color="auto"/>
            </w:tcBorders>
            <w:shd w:val="clear" w:color="auto" w:fill="auto"/>
          </w:tcPr>
          <w:p w14:paraId="1BDF6EB0"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lastRenderedPageBreak/>
              <w:t>Table S</w:t>
            </w:r>
            <w:r w:rsidR="00E14B92" w:rsidRPr="006C7814">
              <w:rPr>
                <w:noProof/>
              </w:rPr>
              <w:t>1</w:t>
            </w:r>
            <w:r w:rsidRPr="006C7814">
              <w:rPr>
                <w:noProof/>
              </w:rPr>
              <w:t>: antibodies used in the study</w:t>
            </w:r>
          </w:p>
        </w:tc>
      </w:tr>
      <w:tr w:rsidR="00613B13" w:rsidRPr="006C7814" w14:paraId="76A48303" w14:textId="77777777" w:rsidTr="005B7B1A">
        <w:trPr>
          <w:trHeight w:val="86"/>
        </w:trPr>
        <w:tc>
          <w:tcPr>
            <w:tcW w:w="2120" w:type="dxa"/>
            <w:tcBorders>
              <w:bottom w:val="single" w:sz="12" w:space="0" w:color="auto"/>
            </w:tcBorders>
            <w:shd w:val="clear" w:color="auto" w:fill="D9D9D9"/>
          </w:tcPr>
          <w:p w14:paraId="3136717A" w14:textId="77777777" w:rsidR="00613B13" w:rsidRPr="006C7814" w:rsidRDefault="00613B13" w:rsidP="005B7B1A">
            <w:pPr>
              <w:widowControl w:val="0"/>
              <w:autoSpaceDE w:val="0"/>
              <w:autoSpaceDN w:val="0"/>
              <w:adjustRightInd w:val="0"/>
              <w:spacing w:after="0" w:line="240" w:lineRule="auto"/>
              <w:jc w:val="both"/>
              <w:rPr>
                <w:b/>
                <w:noProof/>
              </w:rPr>
            </w:pPr>
            <w:r w:rsidRPr="006C7814">
              <w:rPr>
                <w:b/>
                <w:noProof/>
              </w:rPr>
              <w:t>Target</w:t>
            </w:r>
          </w:p>
        </w:tc>
        <w:tc>
          <w:tcPr>
            <w:tcW w:w="1239" w:type="dxa"/>
            <w:tcBorders>
              <w:bottom w:val="single" w:sz="12" w:space="0" w:color="auto"/>
            </w:tcBorders>
            <w:shd w:val="clear" w:color="auto" w:fill="D9D9D9"/>
          </w:tcPr>
          <w:p w14:paraId="10AC2F8A" w14:textId="77777777" w:rsidR="00613B13" w:rsidRPr="006C7814" w:rsidRDefault="00613B13" w:rsidP="005B7B1A">
            <w:pPr>
              <w:widowControl w:val="0"/>
              <w:autoSpaceDE w:val="0"/>
              <w:autoSpaceDN w:val="0"/>
              <w:adjustRightInd w:val="0"/>
              <w:spacing w:after="0" w:line="240" w:lineRule="auto"/>
              <w:jc w:val="both"/>
              <w:rPr>
                <w:b/>
                <w:noProof/>
              </w:rPr>
            </w:pPr>
            <w:r w:rsidRPr="006C7814">
              <w:rPr>
                <w:b/>
                <w:noProof/>
              </w:rPr>
              <w:t>Host</w:t>
            </w:r>
          </w:p>
        </w:tc>
        <w:tc>
          <w:tcPr>
            <w:tcW w:w="2170" w:type="dxa"/>
            <w:tcBorders>
              <w:bottom w:val="single" w:sz="12" w:space="0" w:color="auto"/>
            </w:tcBorders>
            <w:shd w:val="clear" w:color="auto" w:fill="D9D9D9"/>
          </w:tcPr>
          <w:p w14:paraId="38A868EC" w14:textId="77777777" w:rsidR="00613B13" w:rsidRPr="006C7814" w:rsidRDefault="00613B13" w:rsidP="005B7B1A">
            <w:pPr>
              <w:widowControl w:val="0"/>
              <w:autoSpaceDE w:val="0"/>
              <w:autoSpaceDN w:val="0"/>
              <w:adjustRightInd w:val="0"/>
              <w:spacing w:after="0" w:line="240" w:lineRule="auto"/>
              <w:jc w:val="both"/>
              <w:rPr>
                <w:b/>
                <w:noProof/>
              </w:rPr>
            </w:pPr>
            <w:r w:rsidRPr="006C7814">
              <w:rPr>
                <w:b/>
                <w:noProof/>
              </w:rPr>
              <w:t>Manufacturer</w:t>
            </w:r>
          </w:p>
        </w:tc>
        <w:tc>
          <w:tcPr>
            <w:tcW w:w="1846" w:type="dxa"/>
            <w:tcBorders>
              <w:bottom w:val="single" w:sz="12" w:space="0" w:color="auto"/>
            </w:tcBorders>
            <w:shd w:val="clear" w:color="auto" w:fill="D9D9D9"/>
          </w:tcPr>
          <w:p w14:paraId="2FCDEA85" w14:textId="77777777" w:rsidR="00613B13" w:rsidRPr="006C7814" w:rsidRDefault="00613B13" w:rsidP="005B7B1A">
            <w:pPr>
              <w:widowControl w:val="0"/>
              <w:autoSpaceDE w:val="0"/>
              <w:autoSpaceDN w:val="0"/>
              <w:adjustRightInd w:val="0"/>
              <w:spacing w:after="0" w:line="240" w:lineRule="auto"/>
              <w:jc w:val="both"/>
              <w:rPr>
                <w:b/>
                <w:noProof/>
              </w:rPr>
            </w:pPr>
            <w:r w:rsidRPr="006C7814">
              <w:rPr>
                <w:b/>
                <w:noProof/>
              </w:rPr>
              <w:t>Catalogue no</w:t>
            </w:r>
          </w:p>
        </w:tc>
        <w:tc>
          <w:tcPr>
            <w:tcW w:w="1646" w:type="dxa"/>
            <w:tcBorders>
              <w:bottom w:val="single" w:sz="12" w:space="0" w:color="auto"/>
            </w:tcBorders>
            <w:shd w:val="clear" w:color="auto" w:fill="D9D9D9"/>
          </w:tcPr>
          <w:p w14:paraId="09AAC06B" w14:textId="77777777" w:rsidR="00613B13" w:rsidRPr="006C7814" w:rsidRDefault="00613B13" w:rsidP="005B7B1A">
            <w:pPr>
              <w:widowControl w:val="0"/>
              <w:autoSpaceDE w:val="0"/>
              <w:autoSpaceDN w:val="0"/>
              <w:adjustRightInd w:val="0"/>
              <w:spacing w:after="0" w:line="240" w:lineRule="auto"/>
              <w:jc w:val="both"/>
              <w:rPr>
                <w:b/>
                <w:noProof/>
              </w:rPr>
            </w:pPr>
            <w:r w:rsidRPr="006C7814">
              <w:rPr>
                <w:b/>
                <w:noProof/>
              </w:rPr>
              <w:t>Dilution</w:t>
            </w:r>
          </w:p>
        </w:tc>
      </w:tr>
      <w:tr w:rsidR="00613B13" w:rsidRPr="006C7814" w14:paraId="3E030200" w14:textId="77777777" w:rsidTr="005B7B1A">
        <w:tc>
          <w:tcPr>
            <w:tcW w:w="2120" w:type="dxa"/>
            <w:tcBorders>
              <w:top w:val="single" w:sz="12" w:space="0" w:color="auto"/>
            </w:tcBorders>
            <w:shd w:val="clear" w:color="auto" w:fill="auto"/>
          </w:tcPr>
          <w:p w14:paraId="2043087F"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BrdU</w:t>
            </w:r>
          </w:p>
        </w:tc>
        <w:tc>
          <w:tcPr>
            <w:tcW w:w="1239" w:type="dxa"/>
            <w:tcBorders>
              <w:top w:val="single" w:sz="12" w:space="0" w:color="auto"/>
            </w:tcBorders>
            <w:shd w:val="clear" w:color="auto" w:fill="auto"/>
          </w:tcPr>
          <w:p w14:paraId="46A9B419"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Rt</w:t>
            </w:r>
          </w:p>
        </w:tc>
        <w:tc>
          <w:tcPr>
            <w:tcW w:w="2170" w:type="dxa"/>
            <w:tcBorders>
              <w:top w:val="single" w:sz="12" w:space="0" w:color="auto"/>
            </w:tcBorders>
            <w:shd w:val="clear" w:color="auto" w:fill="auto"/>
          </w:tcPr>
          <w:p w14:paraId="776EF341"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Rio-Rad</w:t>
            </w:r>
          </w:p>
        </w:tc>
        <w:tc>
          <w:tcPr>
            <w:tcW w:w="1846" w:type="dxa"/>
            <w:tcBorders>
              <w:top w:val="single" w:sz="12" w:space="0" w:color="auto"/>
            </w:tcBorders>
            <w:shd w:val="clear" w:color="auto" w:fill="auto"/>
          </w:tcPr>
          <w:p w14:paraId="7676EC16"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OBT0030</w:t>
            </w:r>
          </w:p>
        </w:tc>
        <w:tc>
          <w:tcPr>
            <w:tcW w:w="1646" w:type="dxa"/>
            <w:tcBorders>
              <w:top w:val="single" w:sz="12" w:space="0" w:color="auto"/>
            </w:tcBorders>
            <w:shd w:val="clear" w:color="auto" w:fill="auto"/>
          </w:tcPr>
          <w:p w14:paraId="4B4C025A"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1:500</w:t>
            </w:r>
          </w:p>
        </w:tc>
      </w:tr>
      <w:tr w:rsidR="00613B13" w:rsidRPr="006C7814" w14:paraId="35053788" w14:textId="77777777" w:rsidTr="005B7B1A">
        <w:tc>
          <w:tcPr>
            <w:tcW w:w="2120" w:type="dxa"/>
            <w:shd w:val="clear" w:color="auto" w:fill="auto"/>
          </w:tcPr>
          <w:p w14:paraId="14708289"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Ki-67</w:t>
            </w:r>
          </w:p>
        </w:tc>
        <w:tc>
          <w:tcPr>
            <w:tcW w:w="1239" w:type="dxa"/>
            <w:shd w:val="clear" w:color="auto" w:fill="auto"/>
          </w:tcPr>
          <w:p w14:paraId="3B4C6EA7"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Rb</w:t>
            </w:r>
          </w:p>
        </w:tc>
        <w:tc>
          <w:tcPr>
            <w:tcW w:w="2170" w:type="dxa"/>
            <w:shd w:val="clear" w:color="auto" w:fill="auto"/>
          </w:tcPr>
          <w:p w14:paraId="7E3DCEF0"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Abcam</w:t>
            </w:r>
          </w:p>
        </w:tc>
        <w:tc>
          <w:tcPr>
            <w:tcW w:w="1846" w:type="dxa"/>
            <w:shd w:val="clear" w:color="auto" w:fill="auto"/>
          </w:tcPr>
          <w:p w14:paraId="2438B7F6"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ab16667</w:t>
            </w:r>
          </w:p>
        </w:tc>
        <w:tc>
          <w:tcPr>
            <w:tcW w:w="1646" w:type="dxa"/>
            <w:shd w:val="clear" w:color="auto" w:fill="auto"/>
          </w:tcPr>
          <w:p w14:paraId="2EF62C10"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1:1,000</w:t>
            </w:r>
          </w:p>
        </w:tc>
      </w:tr>
      <w:tr w:rsidR="00613B13" w:rsidRPr="006C7814" w14:paraId="3A1B430F" w14:textId="77777777" w:rsidTr="005B7B1A">
        <w:tc>
          <w:tcPr>
            <w:tcW w:w="2120" w:type="dxa"/>
            <w:shd w:val="clear" w:color="auto" w:fill="auto"/>
          </w:tcPr>
          <w:p w14:paraId="24302E74"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DCX</w:t>
            </w:r>
          </w:p>
        </w:tc>
        <w:tc>
          <w:tcPr>
            <w:tcW w:w="1239" w:type="dxa"/>
            <w:shd w:val="clear" w:color="auto" w:fill="auto"/>
          </w:tcPr>
          <w:p w14:paraId="6772EE02"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Gp</w:t>
            </w:r>
          </w:p>
        </w:tc>
        <w:tc>
          <w:tcPr>
            <w:tcW w:w="2170" w:type="dxa"/>
            <w:shd w:val="clear" w:color="auto" w:fill="auto"/>
          </w:tcPr>
          <w:p w14:paraId="3F21A2B6"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Millipore</w:t>
            </w:r>
          </w:p>
        </w:tc>
        <w:tc>
          <w:tcPr>
            <w:tcW w:w="1846" w:type="dxa"/>
            <w:shd w:val="clear" w:color="auto" w:fill="auto"/>
          </w:tcPr>
          <w:p w14:paraId="086BEDBF"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AB2253</w:t>
            </w:r>
          </w:p>
        </w:tc>
        <w:tc>
          <w:tcPr>
            <w:tcW w:w="1646" w:type="dxa"/>
            <w:shd w:val="clear" w:color="auto" w:fill="auto"/>
          </w:tcPr>
          <w:p w14:paraId="2F8C72C2"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1:10,000</w:t>
            </w:r>
          </w:p>
        </w:tc>
      </w:tr>
      <w:tr w:rsidR="00613B13" w:rsidRPr="006C7814" w14:paraId="62E61E46" w14:textId="77777777" w:rsidTr="005B7B1A">
        <w:tc>
          <w:tcPr>
            <w:tcW w:w="2120" w:type="dxa"/>
            <w:shd w:val="clear" w:color="auto" w:fill="auto"/>
          </w:tcPr>
          <w:p w14:paraId="42E87456"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NeuN</w:t>
            </w:r>
          </w:p>
        </w:tc>
        <w:tc>
          <w:tcPr>
            <w:tcW w:w="1239" w:type="dxa"/>
            <w:shd w:val="clear" w:color="auto" w:fill="auto"/>
          </w:tcPr>
          <w:p w14:paraId="6AC3D192"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Ms</w:t>
            </w:r>
          </w:p>
        </w:tc>
        <w:tc>
          <w:tcPr>
            <w:tcW w:w="2170" w:type="dxa"/>
            <w:shd w:val="clear" w:color="auto" w:fill="auto"/>
          </w:tcPr>
          <w:p w14:paraId="754BAF11"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Millipore</w:t>
            </w:r>
          </w:p>
        </w:tc>
        <w:tc>
          <w:tcPr>
            <w:tcW w:w="1846" w:type="dxa"/>
            <w:shd w:val="clear" w:color="auto" w:fill="auto"/>
          </w:tcPr>
          <w:p w14:paraId="738827FE"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MAB327</w:t>
            </w:r>
          </w:p>
        </w:tc>
        <w:tc>
          <w:tcPr>
            <w:tcW w:w="1646" w:type="dxa"/>
            <w:shd w:val="clear" w:color="auto" w:fill="auto"/>
          </w:tcPr>
          <w:p w14:paraId="49732F30"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1:300</w:t>
            </w:r>
          </w:p>
        </w:tc>
      </w:tr>
      <w:tr w:rsidR="00613B13" w:rsidRPr="006C7814" w14:paraId="1BC8AD2F" w14:textId="77777777" w:rsidTr="005B7B1A">
        <w:tc>
          <w:tcPr>
            <w:tcW w:w="2120" w:type="dxa"/>
            <w:shd w:val="clear" w:color="auto" w:fill="auto"/>
          </w:tcPr>
          <w:p w14:paraId="31245B77"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Prox1</w:t>
            </w:r>
          </w:p>
        </w:tc>
        <w:tc>
          <w:tcPr>
            <w:tcW w:w="1239" w:type="dxa"/>
            <w:shd w:val="clear" w:color="auto" w:fill="auto"/>
          </w:tcPr>
          <w:p w14:paraId="5AD5BD9E"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Rb</w:t>
            </w:r>
          </w:p>
        </w:tc>
        <w:tc>
          <w:tcPr>
            <w:tcW w:w="2170" w:type="dxa"/>
            <w:shd w:val="clear" w:color="auto" w:fill="auto"/>
          </w:tcPr>
          <w:p w14:paraId="54D84AFC"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Abcam</w:t>
            </w:r>
          </w:p>
        </w:tc>
        <w:tc>
          <w:tcPr>
            <w:tcW w:w="1846" w:type="dxa"/>
            <w:shd w:val="clear" w:color="auto" w:fill="auto"/>
          </w:tcPr>
          <w:p w14:paraId="08C197AB"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ab101851</w:t>
            </w:r>
          </w:p>
        </w:tc>
        <w:tc>
          <w:tcPr>
            <w:tcW w:w="1646" w:type="dxa"/>
            <w:shd w:val="clear" w:color="auto" w:fill="auto"/>
          </w:tcPr>
          <w:p w14:paraId="05E420BD"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1:500</w:t>
            </w:r>
          </w:p>
        </w:tc>
      </w:tr>
      <w:tr w:rsidR="00613B13" w:rsidRPr="006C7814" w14:paraId="52875020" w14:textId="77777777" w:rsidTr="005B7B1A">
        <w:tc>
          <w:tcPr>
            <w:tcW w:w="2120" w:type="dxa"/>
            <w:shd w:val="clear" w:color="auto" w:fill="auto"/>
          </w:tcPr>
          <w:p w14:paraId="7CA8923A"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Nestin</w:t>
            </w:r>
          </w:p>
        </w:tc>
        <w:tc>
          <w:tcPr>
            <w:tcW w:w="1239" w:type="dxa"/>
            <w:shd w:val="clear" w:color="auto" w:fill="auto"/>
          </w:tcPr>
          <w:p w14:paraId="69FEB713"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Ms</w:t>
            </w:r>
          </w:p>
        </w:tc>
        <w:tc>
          <w:tcPr>
            <w:tcW w:w="2170" w:type="dxa"/>
            <w:shd w:val="clear" w:color="auto" w:fill="auto"/>
          </w:tcPr>
          <w:p w14:paraId="6BC2456B"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Millipore</w:t>
            </w:r>
          </w:p>
        </w:tc>
        <w:tc>
          <w:tcPr>
            <w:tcW w:w="1846" w:type="dxa"/>
            <w:shd w:val="clear" w:color="auto" w:fill="auto"/>
          </w:tcPr>
          <w:p w14:paraId="16EDFAD5"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MAB353</w:t>
            </w:r>
          </w:p>
        </w:tc>
        <w:tc>
          <w:tcPr>
            <w:tcW w:w="1646" w:type="dxa"/>
            <w:shd w:val="clear" w:color="auto" w:fill="auto"/>
          </w:tcPr>
          <w:p w14:paraId="42BC72A7"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1:500</w:t>
            </w:r>
          </w:p>
        </w:tc>
      </w:tr>
      <w:tr w:rsidR="00613B13" w:rsidRPr="006C7814" w14:paraId="7277A46A" w14:textId="77777777" w:rsidTr="005B7B1A">
        <w:trPr>
          <w:trHeight w:val="135"/>
        </w:trPr>
        <w:tc>
          <w:tcPr>
            <w:tcW w:w="2120" w:type="dxa"/>
            <w:shd w:val="clear" w:color="auto" w:fill="auto"/>
          </w:tcPr>
          <w:p w14:paraId="2C19C533"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GFAP</w:t>
            </w:r>
          </w:p>
        </w:tc>
        <w:tc>
          <w:tcPr>
            <w:tcW w:w="1239" w:type="dxa"/>
            <w:shd w:val="clear" w:color="auto" w:fill="auto"/>
          </w:tcPr>
          <w:p w14:paraId="73AF0CBE"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Rt</w:t>
            </w:r>
          </w:p>
        </w:tc>
        <w:tc>
          <w:tcPr>
            <w:tcW w:w="2170" w:type="dxa"/>
            <w:shd w:val="clear" w:color="auto" w:fill="auto"/>
          </w:tcPr>
          <w:p w14:paraId="1D88BF59"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Invitrogen</w:t>
            </w:r>
          </w:p>
        </w:tc>
        <w:tc>
          <w:tcPr>
            <w:tcW w:w="1846" w:type="dxa"/>
            <w:shd w:val="clear" w:color="auto" w:fill="auto"/>
          </w:tcPr>
          <w:p w14:paraId="22218995"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13-0300</w:t>
            </w:r>
          </w:p>
        </w:tc>
        <w:tc>
          <w:tcPr>
            <w:tcW w:w="1646" w:type="dxa"/>
            <w:shd w:val="clear" w:color="auto" w:fill="auto"/>
          </w:tcPr>
          <w:p w14:paraId="7BA7E135"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1:1,000</w:t>
            </w:r>
          </w:p>
        </w:tc>
      </w:tr>
      <w:tr w:rsidR="00613B13" w:rsidRPr="006C7814" w14:paraId="5B81F773" w14:textId="77777777" w:rsidTr="005B7B1A">
        <w:trPr>
          <w:trHeight w:val="135"/>
        </w:trPr>
        <w:tc>
          <w:tcPr>
            <w:tcW w:w="2120" w:type="dxa"/>
            <w:shd w:val="clear" w:color="auto" w:fill="auto"/>
          </w:tcPr>
          <w:p w14:paraId="72EB6194"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Cleaved caspase 3</w:t>
            </w:r>
          </w:p>
        </w:tc>
        <w:tc>
          <w:tcPr>
            <w:tcW w:w="1239" w:type="dxa"/>
            <w:shd w:val="clear" w:color="auto" w:fill="auto"/>
          </w:tcPr>
          <w:p w14:paraId="4B0B5A55"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Rb</w:t>
            </w:r>
          </w:p>
        </w:tc>
        <w:tc>
          <w:tcPr>
            <w:tcW w:w="2170" w:type="dxa"/>
            <w:shd w:val="clear" w:color="auto" w:fill="auto"/>
          </w:tcPr>
          <w:p w14:paraId="0D955A8E"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CST</w:t>
            </w:r>
          </w:p>
        </w:tc>
        <w:tc>
          <w:tcPr>
            <w:tcW w:w="1846" w:type="dxa"/>
            <w:shd w:val="clear" w:color="auto" w:fill="auto"/>
          </w:tcPr>
          <w:p w14:paraId="35BFADBD"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9661S</w:t>
            </w:r>
          </w:p>
        </w:tc>
        <w:tc>
          <w:tcPr>
            <w:tcW w:w="1646" w:type="dxa"/>
            <w:shd w:val="clear" w:color="auto" w:fill="auto"/>
          </w:tcPr>
          <w:p w14:paraId="1578EF53"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1:500</w:t>
            </w:r>
          </w:p>
        </w:tc>
      </w:tr>
      <w:tr w:rsidR="00613B13" w:rsidRPr="006C7814" w14:paraId="6B702FAA" w14:textId="77777777" w:rsidTr="005B7B1A">
        <w:trPr>
          <w:trHeight w:val="135"/>
        </w:trPr>
        <w:tc>
          <w:tcPr>
            <w:tcW w:w="2120" w:type="dxa"/>
            <w:shd w:val="clear" w:color="auto" w:fill="auto"/>
          </w:tcPr>
          <w:p w14:paraId="23FEEEBD"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Iba1</w:t>
            </w:r>
          </w:p>
        </w:tc>
        <w:tc>
          <w:tcPr>
            <w:tcW w:w="1239" w:type="dxa"/>
            <w:shd w:val="clear" w:color="auto" w:fill="auto"/>
          </w:tcPr>
          <w:p w14:paraId="06199B16"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Rb</w:t>
            </w:r>
          </w:p>
        </w:tc>
        <w:tc>
          <w:tcPr>
            <w:tcW w:w="2170" w:type="dxa"/>
            <w:shd w:val="clear" w:color="auto" w:fill="auto"/>
          </w:tcPr>
          <w:p w14:paraId="1F5F46FA"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Wako</w:t>
            </w:r>
          </w:p>
        </w:tc>
        <w:tc>
          <w:tcPr>
            <w:tcW w:w="1846" w:type="dxa"/>
            <w:shd w:val="clear" w:color="auto" w:fill="auto"/>
          </w:tcPr>
          <w:p w14:paraId="2532B033"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019-19741</w:t>
            </w:r>
          </w:p>
        </w:tc>
        <w:tc>
          <w:tcPr>
            <w:tcW w:w="1646" w:type="dxa"/>
            <w:shd w:val="clear" w:color="auto" w:fill="auto"/>
          </w:tcPr>
          <w:p w14:paraId="249E6407" w14:textId="77777777" w:rsidR="00613B13" w:rsidRPr="006C7814" w:rsidRDefault="00613B13" w:rsidP="005B7B1A">
            <w:pPr>
              <w:widowControl w:val="0"/>
              <w:autoSpaceDE w:val="0"/>
              <w:autoSpaceDN w:val="0"/>
              <w:adjustRightInd w:val="0"/>
              <w:spacing w:after="0" w:line="240" w:lineRule="auto"/>
              <w:jc w:val="both"/>
              <w:rPr>
                <w:noProof/>
              </w:rPr>
            </w:pPr>
            <w:r w:rsidRPr="006C7814">
              <w:rPr>
                <w:noProof/>
              </w:rPr>
              <w:t>1:2,000</w:t>
            </w:r>
          </w:p>
        </w:tc>
      </w:tr>
    </w:tbl>
    <w:p w14:paraId="7EACEAA4" w14:textId="77777777" w:rsidR="00613B13" w:rsidRPr="006C7814" w:rsidRDefault="00613B13" w:rsidP="006263C4">
      <w:pPr>
        <w:widowControl w:val="0"/>
        <w:autoSpaceDE w:val="0"/>
        <w:autoSpaceDN w:val="0"/>
        <w:adjustRightInd w:val="0"/>
        <w:spacing w:line="240" w:lineRule="auto"/>
        <w:ind w:left="640" w:hanging="640"/>
        <w:jc w:val="both"/>
        <w:rPr>
          <w:b/>
        </w:rPr>
      </w:pPr>
    </w:p>
    <w:p w14:paraId="3F00D8A6" w14:textId="77777777" w:rsidR="00613B13" w:rsidRPr="006C7814" w:rsidRDefault="00613B13" w:rsidP="006263C4">
      <w:pPr>
        <w:spacing w:line="480" w:lineRule="auto"/>
        <w:jc w:val="both"/>
        <w:rPr>
          <w:u w:val="single"/>
        </w:rPr>
      </w:pPr>
      <w:r w:rsidRPr="006C7814">
        <w:rPr>
          <w:u w:val="single"/>
        </w:rPr>
        <w:t>Image analysis</w:t>
      </w:r>
    </w:p>
    <w:p w14:paraId="1E84342B" w14:textId="77777777" w:rsidR="00613B13" w:rsidRPr="006C7814" w:rsidRDefault="00613B13" w:rsidP="006263C4">
      <w:pPr>
        <w:spacing w:line="480" w:lineRule="auto"/>
        <w:jc w:val="both"/>
      </w:pPr>
      <w:r w:rsidRPr="006C7814">
        <w:t>For sections, the entire dentate gyrus was acquired as a single image as a 20x magnification tile-scanned image. Stained cells were manually quantified by a genotype-blinded experimenter, and cell number is expressed as number of cells per mm</w:t>
      </w:r>
      <w:r w:rsidRPr="006C7814">
        <w:rPr>
          <w:vertAlign w:val="superscript"/>
        </w:rPr>
        <w:t>2</w:t>
      </w:r>
      <w:r w:rsidRPr="006C7814">
        <w:t xml:space="preserve"> of dentate gyrus. </w:t>
      </w:r>
    </w:p>
    <w:p w14:paraId="50D2239F" w14:textId="7F967A0C" w:rsidR="00613B13" w:rsidRPr="006C7814" w:rsidRDefault="00613B13" w:rsidP="006263C4">
      <w:pPr>
        <w:spacing w:line="480" w:lineRule="auto"/>
        <w:jc w:val="both"/>
      </w:pPr>
      <w:r w:rsidRPr="006C7814">
        <w:t>For cultures, 8-12 randomly selected 20x fields of view were analysed per condition. Cells were manually quantified by a genotype-blinded experimenter, and cell number is expressed as fraction of total (DAPI</w:t>
      </w:r>
      <w:r w:rsidRPr="006C7814">
        <w:rPr>
          <w:vertAlign w:val="superscript"/>
        </w:rPr>
        <w:t>+</w:t>
      </w:r>
      <w:r w:rsidRPr="006C7814">
        <w:t xml:space="preserve">) cells unless otherwise noted. </w:t>
      </w:r>
    </w:p>
    <w:p w14:paraId="3C84D8DE" w14:textId="77777777" w:rsidR="00613B13" w:rsidRPr="006C7814" w:rsidRDefault="00613B13" w:rsidP="006263C4">
      <w:pPr>
        <w:spacing w:line="480" w:lineRule="auto"/>
        <w:jc w:val="both"/>
        <w:rPr>
          <w:u w:val="single"/>
        </w:rPr>
      </w:pPr>
      <w:r w:rsidRPr="006C7814">
        <w:rPr>
          <w:u w:val="single"/>
        </w:rPr>
        <w:t xml:space="preserve">Statistical analysis and data availability </w:t>
      </w:r>
    </w:p>
    <w:p w14:paraId="4F809BBB" w14:textId="178797F0" w:rsidR="00A31E12" w:rsidRPr="006C7814" w:rsidRDefault="00613B13" w:rsidP="006263C4">
      <w:pPr>
        <w:spacing w:line="480" w:lineRule="auto"/>
        <w:jc w:val="both"/>
      </w:pPr>
      <w:r w:rsidRPr="006C7814">
        <w:t>All n numbers represent individual animals, or cultures derived from individual animals. Group size</w:t>
      </w:r>
      <w:r w:rsidR="00E96EAB" w:rsidRPr="006C7814">
        <w:t>s</w:t>
      </w:r>
      <w:r w:rsidRPr="006C7814">
        <w:t xml:space="preserve"> were determined based on previous experience. Appropriate statistical tests (</w:t>
      </w:r>
      <w:proofErr w:type="gramStart"/>
      <w:r w:rsidRPr="006C7814">
        <w:t>two way</w:t>
      </w:r>
      <w:proofErr w:type="gramEnd"/>
      <w:r w:rsidRPr="006C7814">
        <w:t xml:space="preserve"> Student T-test, one-way ANOVA with Tukey post-hoc test, or two-way ANOVA, as denoted in text) were employed in R, following tests for normality. </w:t>
      </w:r>
      <w:r w:rsidR="0098219A">
        <w:t xml:space="preserve">All assumptions for these tests were met. </w:t>
      </w:r>
      <w:r w:rsidR="00E96EAB" w:rsidRPr="006C7814">
        <w:t xml:space="preserve">All analysis was done by experimenters blinded to genotype. </w:t>
      </w:r>
      <w:r w:rsidRPr="006C7814">
        <w:t xml:space="preserve">Data is displayed as </w:t>
      </w:r>
      <w:proofErr w:type="spellStart"/>
      <w:r w:rsidRPr="006C7814">
        <w:t>mean±SEM</w:t>
      </w:r>
      <w:proofErr w:type="spellEnd"/>
      <w:r w:rsidRPr="006C7814">
        <w:t>. P&lt;0.05 is denoted by *, p&lt;0.01 by ** and p&lt;0.001 by ***. The data that support the findings of this study are available from the corresponding authors upon reasonable request.</w:t>
      </w:r>
    </w:p>
    <w:p w14:paraId="13E34208" w14:textId="77777777" w:rsidR="00A31E12" w:rsidRPr="006C7814" w:rsidRDefault="00A31E12" w:rsidP="006263C4">
      <w:pPr>
        <w:spacing w:after="160" w:line="259" w:lineRule="auto"/>
        <w:jc w:val="both"/>
      </w:pPr>
      <w:r w:rsidRPr="006C7814">
        <w:br w:type="page"/>
      </w:r>
    </w:p>
    <w:p w14:paraId="1068F25E" w14:textId="77777777" w:rsidR="00E114C6" w:rsidRPr="006C7814" w:rsidRDefault="00E114C6" w:rsidP="006263C4">
      <w:pPr>
        <w:spacing w:after="160" w:line="259" w:lineRule="auto"/>
        <w:jc w:val="both"/>
        <w:rPr>
          <w:b/>
        </w:rPr>
      </w:pPr>
      <w:r w:rsidRPr="006C7814">
        <w:rPr>
          <w:b/>
        </w:rPr>
        <w:lastRenderedPageBreak/>
        <w:t>Supplementary results</w:t>
      </w:r>
    </w:p>
    <w:p w14:paraId="4C643345" w14:textId="77777777" w:rsidR="00C57BA9" w:rsidRPr="006C7814" w:rsidRDefault="00C57BA9" w:rsidP="006263C4">
      <w:pPr>
        <w:spacing w:after="160" w:line="259" w:lineRule="auto"/>
        <w:jc w:val="both"/>
        <w:rPr>
          <w:u w:val="single"/>
        </w:rPr>
      </w:pPr>
    </w:p>
    <w:p w14:paraId="37D75E2E" w14:textId="71225001" w:rsidR="00E114C6" w:rsidRPr="006C7814" w:rsidRDefault="00E114C6" w:rsidP="006263C4">
      <w:pPr>
        <w:spacing w:after="160" w:line="259" w:lineRule="auto"/>
        <w:jc w:val="both"/>
        <w:rPr>
          <w:u w:val="single"/>
        </w:rPr>
      </w:pPr>
      <w:r w:rsidRPr="006C7814">
        <w:rPr>
          <w:u w:val="single"/>
        </w:rPr>
        <w:t>No sex differences in neurogenesis phenotype</w:t>
      </w:r>
    </w:p>
    <w:p w14:paraId="5C44D543" w14:textId="0A566D58" w:rsidR="00095210" w:rsidRPr="006C7814" w:rsidRDefault="00860180" w:rsidP="006263C4">
      <w:pPr>
        <w:spacing w:after="160" w:line="480" w:lineRule="auto"/>
        <w:jc w:val="both"/>
      </w:pPr>
      <w:r w:rsidRPr="006C7814">
        <w:t xml:space="preserve">As there have been reports of sexual dimorphism in neurogenesis phenotypes, we split our data by gender to investigate this. Looking at the levels of </w:t>
      </w:r>
      <w:proofErr w:type="spellStart"/>
      <w:r w:rsidRPr="006C7814">
        <w:t>BrdU</w:t>
      </w:r>
      <w:proofErr w:type="spellEnd"/>
      <w:r w:rsidRPr="006C7814">
        <w:t xml:space="preserve"> incorporation </w:t>
      </w:r>
      <w:r w:rsidR="00753C48" w:rsidRPr="006C7814">
        <w:t xml:space="preserve">in the dentate gyrus </w:t>
      </w:r>
      <w:r w:rsidRPr="006C7814">
        <w:t>after a 6 hour pulse</w:t>
      </w:r>
      <w:r w:rsidR="00A27348" w:rsidRPr="006C7814">
        <w:t xml:space="preserve"> (fig S</w:t>
      </w:r>
      <w:r w:rsidR="006A63E2" w:rsidRPr="006C7814">
        <w:t>2</w:t>
      </w:r>
      <w:r w:rsidR="00A27348" w:rsidRPr="006C7814">
        <w:t>A</w:t>
      </w:r>
      <w:r w:rsidR="00753C48" w:rsidRPr="006C7814">
        <w:t>)</w:t>
      </w:r>
      <w:r w:rsidRPr="006C7814">
        <w:t>, there are no significant effects of genotype (</w:t>
      </w:r>
      <w:proofErr w:type="gramStart"/>
      <w:r w:rsidRPr="006C7814">
        <w:t>F</w:t>
      </w:r>
      <w:r w:rsidRPr="006C7814">
        <w:rPr>
          <w:vertAlign w:val="subscript"/>
        </w:rPr>
        <w:t>(</w:t>
      </w:r>
      <w:proofErr w:type="gramEnd"/>
      <w:r w:rsidRPr="006C7814">
        <w:rPr>
          <w:vertAlign w:val="subscript"/>
        </w:rPr>
        <w:t>1,7)</w:t>
      </w:r>
      <w:r w:rsidRPr="006C7814">
        <w:t>=0.68, p=0.45), sex (F</w:t>
      </w:r>
      <w:r w:rsidRPr="006C7814">
        <w:rPr>
          <w:vertAlign w:val="subscript"/>
        </w:rPr>
        <w:t>(1,7)</w:t>
      </w:r>
      <w:r w:rsidRPr="006C7814">
        <w:t>=0.003, p=0.96) or a significant interaction (F</w:t>
      </w:r>
      <w:r w:rsidRPr="006C7814">
        <w:rPr>
          <w:vertAlign w:val="subscript"/>
        </w:rPr>
        <w:t>(1,7)</w:t>
      </w:r>
      <w:r w:rsidRPr="006C7814">
        <w:t>=0, p=0.99). Similarly, there are no effects of genotype (</w:t>
      </w:r>
      <w:proofErr w:type="gramStart"/>
      <w:r w:rsidRPr="006C7814">
        <w:t>F</w:t>
      </w:r>
      <w:r w:rsidRPr="006C7814">
        <w:rPr>
          <w:vertAlign w:val="subscript"/>
        </w:rPr>
        <w:t>(</w:t>
      </w:r>
      <w:proofErr w:type="gramEnd"/>
      <w:r w:rsidRPr="006C7814">
        <w:rPr>
          <w:vertAlign w:val="subscript"/>
        </w:rPr>
        <w:t>1,7)</w:t>
      </w:r>
      <w:r w:rsidRPr="006C7814">
        <w:t>=1.48, p=0.29), sex (F</w:t>
      </w:r>
      <w:r w:rsidRPr="006C7814">
        <w:rPr>
          <w:vertAlign w:val="subscript"/>
        </w:rPr>
        <w:t>(1,7)</w:t>
      </w:r>
      <w:r w:rsidRPr="006C7814">
        <w:t>=0.691, p=0.45) or a significant interaction (F</w:t>
      </w:r>
      <w:r w:rsidRPr="006C7814">
        <w:rPr>
          <w:vertAlign w:val="subscript"/>
        </w:rPr>
        <w:t>(1,7)</w:t>
      </w:r>
      <w:r w:rsidRPr="006C7814">
        <w:t xml:space="preserve">=0.76, p=0.43) on the number of Ki67+ cells. </w:t>
      </w:r>
    </w:p>
    <w:p w14:paraId="57B66147" w14:textId="02A285FF" w:rsidR="00860180" w:rsidRPr="006C7814" w:rsidRDefault="00860180" w:rsidP="006263C4">
      <w:pPr>
        <w:spacing w:after="160" w:line="480" w:lineRule="auto"/>
        <w:jc w:val="both"/>
      </w:pPr>
      <w:r w:rsidRPr="006C7814">
        <w:t>When comparing</w:t>
      </w:r>
      <w:r w:rsidR="006907C7" w:rsidRPr="006C7814">
        <w:t xml:space="preserve"> the density of immature neurons</w:t>
      </w:r>
      <w:r w:rsidR="00A27348" w:rsidRPr="006C7814">
        <w:t xml:space="preserve"> in the dentate gyrus (fig S</w:t>
      </w:r>
      <w:r w:rsidR="006A63E2" w:rsidRPr="006C7814">
        <w:t>2</w:t>
      </w:r>
      <w:r w:rsidR="00A27348" w:rsidRPr="006C7814">
        <w:t>B</w:t>
      </w:r>
      <w:r w:rsidR="00753C48" w:rsidRPr="006C7814">
        <w:t>)</w:t>
      </w:r>
      <w:r w:rsidR="006907C7" w:rsidRPr="006C7814">
        <w:t>, there is a main effect of genotype (</w:t>
      </w:r>
      <w:proofErr w:type="gramStart"/>
      <w:r w:rsidR="006907C7" w:rsidRPr="006C7814">
        <w:t>F</w:t>
      </w:r>
      <w:r w:rsidR="006907C7" w:rsidRPr="006C7814">
        <w:rPr>
          <w:vertAlign w:val="subscript"/>
        </w:rPr>
        <w:t>(</w:t>
      </w:r>
      <w:proofErr w:type="gramEnd"/>
      <w:r w:rsidR="006907C7" w:rsidRPr="006C7814">
        <w:rPr>
          <w:vertAlign w:val="subscript"/>
        </w:rPr>
        <w:t>1,13)</w:t>
      </w:r>
      <w:r w:rsidR="006907C7" w:rsidRPr="006C7814">
        <w:t>=13.05, p=0.005), but no main effect of sex (F</w:t>
      </w:r>
      <w:r w:rsidR="006907C7" w:rsidRPr="006C7814">
        <w:rPr>
          <w:vertAlign w:val="subscript"/>
        </w:rPr>
        <w:t>(1,13)</w:t>
      </w:r>
      <w:r w:rsidR="006907C7" w:rsidRPr="006C7814">
        <w:t>=0.79, p=0.40) or interaction (F</w:t>
      </w:r>
      <w:r w:rsidR="006907C7" w:rsidRPr="006C7814">
        <w:rPr>
          <w:vertAlign w:val="subscript"/>
        </w:rPr>
        <w:t>(1,13)</w:t>
      </w:r>
      <w:r w:rsidR="006907C7" w:rsidRPr="006C7814">
        <w:t xml:space="preserve">=0.025, p=0.89). </w:t>
      </w:r>
      <w:r w:rsidRPr="006C7814">
        <w:t>Lastly</w:t>
      </w:r>
      <w:r w:rsidR="006907C7" w:rsidRPr="006C7814">
        <w:t>, w</w:t>
      </w:r>
      <w:r w:rsidR="00E114C6" w:rsidRPr="006C7814">
        <w:t xml:space="preserve">hen </w:t>
      </w:r>
      <w:r w:rsidR="00095210" w:rsidRPr="006C7814">
        <w:t xml:space="preserve">looking at the </w:t>
      </w:r>
      <w:r w:rsidR="006907C7" w:rsidRPr="006C7814">
        <w:t xml:space="preserve">numbers of </w:t>
      </w:r>
      <w:proofErr w:type="spellStart"/>
      <w:r w:rsidR="00095210" w:rsidRPr="006C7814">
        <w:t>BrdU</w:t>
      </w:r>
      <w:r w:rsidR="006907C7" w:rsidRPr="006C7814">
        <w:t>+NeuN</w:t>
      </w:r>
      <w:proofErr w:type="spellEnd"/>
      <w:r w:rsidR="006907C7" w:rsidRPr="006C7814">
        <w:t>+ following a 30 d pulse-chase protocol</w:t>
      </w:r>
      <w:r w:rsidR="00095210" w:rsidRPr="006C7814">
        <w:t xml:space="preserve"> separated by sex</w:t>
      </w:r>
      <w:r w:rsidR="00753C48" w:rsidRPr="006C7814">
        <w:t xml:space="preserve"> (fig S</w:t>
      </w:r>
      <w:r w:rsidR="006A63E2" w:rsidRPr="006C7814">
        <w:t>2</w:t>
      </w:r>
      <w:r w:rsidR="00A27348" w:rsidRPr="006C7814">
        <w:t>C</w:t>
      </w:r>
      <w:r w:rsidR="00753C48" w:rsidRPr="006C7814">
        <w:t>)</w:t>
      </w:r>
      <w:r w:rsidR="00095210" w:rsidRPr="006C7814">
        <w:t>, there is a main effect of genotype (</w:t>
      </w:r>
      <w:proofErr w:type="gramStart"/>
      <w:r w:rsidR="00095210" w:rsidRPr="006C7814">
        <w:t>F</w:t>
      </w:r>
      <w:r w:rsidR="00095210" w:rsidRPr="006C7814">
        <w:rPr>
          <w:vertAlign w:val="subscript"/>
        </w:rPr>
        <w:t>(</w:t>
      </w:r>
      <w:proofErr w:type="gramEnd"/>
      <w:r w:rsidR="00095210" w:rsidRPr="006C7814">
        <w:rPr>
          <w:vertAlign w:val="subscript"/>
        </w:rPr>
        <w:t>1,12)</w:t>
      </w:r>
      <w:r w:rsidR="00095210" w:rsidRPr="006C7814">
        <w:t>=8.98, p=0.01), but no main effect of sex (F</w:t>
      </w:r>
      <w:r w:rsidR="00095210" w:rsidRPr="006C7814">
        <w:rPr>
          <w:vertAlign w:val="subscript"/>
        </w:rPr>
        <w:t>(1,12)</w:t>
      </w:r>
      <w:r w:rsidR="00095210" w:rsidRPr="006C7814">
        <w:t>=0.004, p=0.95) or interaction (F</w:t>
      </w:r>
      <w:r w:rsidR="00095210" w:rsidRPr="006C7814">
        <w:rPr>
          <w:vertAlign w:val="subscript"/>
        </w:rPr>
        <w:t>(1,12)</w:t>
      </w:r>
      <w:r w:rsidR="00095210" w:rsidRPr="006C7814">
        <w:t>=0.07, p=0.80).</w:t>
      </w:r>
    </w:p>
    <w:p w14:paraId="5ABE63AC" w14:textId="77777777" w:rsidR="006A63E2" w:rsidRPr="006C7814" w:rsidRDefault="006A63E2" w:rsidP="006A63E2">
      <w:pPr>
        <w:spacing w:after="160" w:line="480" w:lineRule="auto"/>
        <w:jc w:val="both"/>
        <w:rPr>
          <w:u w:val="single"/>
        </w:rPr>
      </w:pPr>
      <w:r w:rsidRPr="006C7814">
        <w:rPr>
          <w:i/>
          <w:u w:val="single"/>
        </w:rPr>
        <w:t>In vitro</w:t>
      </w:r>
      <w:r w:rsidRPr="006C7814">
        <w:rPr>
          <w:b/>
          <w:u w:val="single"/>
        </w:rPr>
        <w:t xml:space="preserve"> </w:t>
      </w:r>
      <w:r w:rsidRPr="006C7814">
        <w:rPr>
          <w:u w:val="single"/>
        </w:rPr>
        <w:t xml:space="preserve">proliferation is unaffected by </w:t>
      </w:r>
      <w:r w:rsidRPr="006C7814">
        <w:rPr>
          <w:i/>
          <w:u w:val="single"/>
        </w:rPr>
        <w:t>Cyfip1</w:t>
      </w:r>
      <w:r w:rsidRPr="006C7814">
        <w:rPr>
          <w:u w:val="single"/>
        </w:rPr>
        <w:t xml:space="preserve"> </w:t>
      </w:r>
      <w:proofErr w:type="gramStart"/>
      <w:r w:rsidRPr="006C7814">
        <w:rPr>
          <w:u w:val="single"/>
        </w:rPr>
        <w:t>haploinsufficiency</w:t>
      </w:r>
      <w:proofErr w:type="gramEnd"/>
      <w:r w:rsidRPr="006C7814">
        <w:rPr>
          <w:u w:val="single"/>
        </w:rPr>
        <w:t xml:space="preserve"> </w:t>
      </w:r>
    </w:p>
    <w:p w14:paraId="55029A8B" w14:textId="77B19070" w:rsidR="006A63E2" w:rsidRPr="006C7814" w:rsidRDefault="006A63E2" w:rsidP="006A63E2">
      <w:pPr>
        <w:spacing w:after="160" w:line="480" w:lineRule="auto"/>
        <w:jc w:val="both"/>
      </w:pPr>
      <w:r w:rsidRPr="006C7814">
        <w:t xml:space="preserve">In order to check if the lack of difference in proliferation seen in the hippocampus extends to our primary culture model system, we pulsed cultures with the nucleotide analogue </w:t>
      </w:r>
      <w:proofErr w:type="spellStart"/>
      <w:r w:rsidRPr="006C7814">
        <w:t>EdU</w:t>
      </w:r>
      <w:proofErr w:type="spellEnd"/>
      <w:r w:rsidRPr="006C7814">
        <w:t xml:space="preserve"> for 6 </w:t>
      </w:r>
      <w:proofErr w:type="gramStart"/>
      <w:r w:rsidRPr="006C7814">
        <w:t>hours, and</w:t>
      </w:r>
      <w:proofErr w:type="gramEnd"/>
      <w:r w:rsidRPr="006C7814">
        <w:t xml:space="preserve"> stained for Ki67 (fig S3A). There were no differences in the total number of Ki67+ cells in the cell cycle (78.7±1.7% vs 77.8±2.7%, </w:t>
      </w:r>
      <w:proofErr w:type="gramStart"/>
      <w:r w:rsidRPr="006C7814">
        <w:t>t</w:t>
      </w:r>
      <w:r w:rsidRPr="006C7814">
        <w:rPr>
          <w:vertAlign w:val="subscript"/>
        </w:rPr>
        <w:t>(</w:t>
      </w:r>
      <w:proofErr w:type="gramEnd"/>
      <w:r w:rsidRPr="006C7814">
        <w:rPr>
          <w:vertAlign w:val="subscript"/>
        </w:rPr>
        <w:t>22)</w:t>
      </w:r>
      <w:r w:rsidRPr="006C7814">
        <w:t xml:space="preserve">=0.31 p=0.76) or the number of cells taking up </w:t>
      </w:r>
      <w:proofErr w:type="spellStart"/>
      <w:r w:rsidRPr="006C7814">
        <w:t>EdU</w:t>
      </w:r>
      <w:proofErr w:type="spellEnd"/>
      <w:r w:rsidRPr="006C7814">
        <w:t xml:space="preserve"> (36.7±1.0% vs 36.8±1.7%, t</w:t>
      </w:r>
      <w:r w:rsidRPr="006C7814">
        <w:rPr>
          <w:vertAlign w:val="subscript"/>
        </w:rPr>
        <w:t>(22)</w:t>
      </w:r>
      <w:r w:rsidRPr="006C7814">
        <w:t xml:space="preserve">=0.07 p=0.94) during the 6 hour pulse (fig S3B). </w:t>
      </w:r>
    </w:p>
    <w:p w14:paraId="6125E343" w14:textId="77777777" w:rsidR="006A63E2" w:rsidRPr="006C7814" w:rsidRDefault="006A63E2" w:rsidP="006263C4">
      <w:pPr>
        <w:spacing w:after="160" w:line="480" w:lineRule="auto"/>
        <w:jc w:val="both"/>
        <w:rPr>
          <w:u w:val="single"/>
        </w:rPr>
      </w:pPr>
    </w:p>
    <w:p w14:paraId="517AF0FD" w14:textId="71FF106C" w:rsidR="004A0F96" w:rsidRPr="006C7814" w:rsidRDefault="00860180" w:rsidP="006263C4">
      <w:pPr>
        <w:spacing w:after="160" w:line="480" w:lineRule="auto"/>
        <w:jc w:val="both"/>
        <w:rPr>
          <w:u w:val="single"/>
        </w:rPr>
      </w:pPr>
      <w:r w:rsidRPr="006C7814">
        <w:rPr>
          <w:u w:val="single"/>
        </w:rPr>
        <w:t>No sex differences in primary cultures</w:t>
      </w:r>
    </w:p>
    <w:p w14:paraId="747C0188" w14:textId="77777777" w:rsidR="003B7A7E" w:rsidRPr="006C7814" w:rsidRDefault="00CF1161" w:rsidP="006263C4">
      <w:pPr>
        <w:spacing w:after="160" w:line="480" w:lineRule="auto"/>
        <w:jc w:val="both"/>
      </w:pPr>
      <w:r w:rsidRPr="006C7814">
        <w:t xml:space="preserve">Numbers of immature DCX+ cells remain significantly increased </w:t>
      </w:r>
      <w:proofErr w:type="gramStart"/>
      <w:r w:rsidRPr="006C7814">
        <w:t xml:space="preserve">in </w:t>
      </w:r>
      <w:r w:rsidRPr="006C7814">
        <w:rPr>
          <w:i/>
        </w:rPr>
        <w:t xml:space="preserve"> Cyfip</w:t>
      </w:r>
      <w:proofErr w:type="gramEnd"/>
      <w:r w:rsidRPr="006C7814">
        <w:rPr>
          <w:i/>
        </w:rPr>
        <w:t>1</w:t>
      </w:r>
      <w:r w:rsidRPr="006C7814">
        <w:rPr>
          <w:vertAlign w:val="superscript"/>
        </w:rPr>
        <w:t>+/-</w:t>
      </w:r>
      <w:r w:rsidRPr="006C7814">
        <w:t xml:space="preserve"> animals when data is split by sex</w:t>
      </w:r>
      <w:r w:rsidR="003B7A7E" w:rsidRPr="006C7814">
        <w:t xml:space="preserve"> (fig S</w:t>
      </w:r>
      <w:r w:rsidR="00753C48" w:rsidRPr="006C7814">
        <w:t>4</w:t>
      </w:r>
      <w:r w:rsidR="00A27348" w:rsidRPr="006C7814">
        <w:t>A</w:t>
      </w:r>
      <w:r w:rsidRPr="006C7814">
        <w:t>, with a significant effect of genotype (F</w:t>
      </w:r>
      <w:r w:rsidRPr="006C7814">
        <w:rPr>
          <w:vertAlign w:val="subscript"/>
        </w:rPr>
        <w:t>(1,12)</w:t>
      </w:r>
      <w:r w:rsidRPr="006C7814">
        <w:t>=7.59, p=0.012) and no significant effects of sex (F</w:t>
      </w:r>
      <w:r w:rsidRPr="006C7814">
        <w:rPr>
          <w:vertAlign w:val="subscript"/>
        </w:rPr>
        <w:t>(1,12)</w:t>
      </w:r>
      <w:r w:rsidRPr="006C7814">
        <w:t>=0.43, p=0.52) or a significant interaction (F</w:t>
      </w:r>
      <w:r w:rsidRPr="006C7814">
        <w:rPr>
          <w:vertAlign w:val="subscript"/>
        </w:rPr>
        <w:t>(1,12)</w:t>
      </w:r>
      <w:r w:rsidRPr="006C7814">
        <w:t xml:space="preserve">=0.64, p=0.44). </w:t>
      </w:r>
      <w:r w:rsidR="004A0F96" w:rsidRPr="006C7814">
        <w:t xml:space="preserve">The fraction of GFAP+ </w:t>
      </w:r>
      <w:proofErr w:type="spellStart"/>
      <w:r w:rsidR="004A0F96" w:rsidRPr="006C7814">
        <w:t>nestin</w:t>
      </w:r>
      <w:proofErr w:type="spellEnd"/>
      <w:r w:rsidR="004A0F96" w:rsidRPr="006C7814">
        <w:t xml:space="preserve">+ </w:t>
      </w:r>
      <w:r w:rsidR="004A0F96" w:rsidRPr="006C7814">
        <w:lastRenderedPageBreak/>
        <w:t>Type 1</w:t>
      </w:r>
      <w:r w:rsidR="00CF59BA" w:rsidRPr="006C7814">
        <w:t>/2a</w:t>
      </w:r>
      <w:r w:rsidR="004A0F96" w:rsidRPr="006C7814">
        <w:t xml:space="preserve"> cells showed no sexual dimorphism</w:t>
      </w:r>
      <w:r w:rsidR="003B7A7E" w:rsidRPr="006C7814">
        <w:t xml:space="preserve"> (fig S</w:t>
      </w:r>
      <w:r w:rsidR="00753C48" w:rsidRPr="006C7814">
        <w:t>4</w:t>
      </w:r>
      <w:r w:rsidR="00A27348" w:rsidRPr="006C7814">
        <w:t>B</w:t>
      </w:r>
      <w:r w:rsidR="003B7A7E" w:rsidRPr="006C7814">
        <w:t>)</w:t>
      </w:r>
      <w:r w:rsidR="004A0F96" w:rsidRPr="006C7814">
        <w:t>, with no significant effects of sex (</w:t>
      </w:r>
      <w:proofErr w:type="gramStart"/>
      <w:r w:rsidR="004A0F96" w:rsidRPr="006C7814">
        <w:t>F</w:t>
      </w:r>
      <w:r w:rsidR="004A0F96" w:rsidRPr="006C7814">
        <w:rPr>
          <w:vertAlign w:val="subscript"/>
        </w:rPr>
        <w:t>(</w:t>
      </w:r>
      <w:proofErr w:type="gramEnd"/>
      <w:r w:rsidR="004A0F96" w:rsidRPr="006C7814">
        <w:rPr>
          <w:vertAlign w:val="subscript"/>
        </w:rPr>
        <w:t>1,32)</w:t>
      </w:r>
      <w:r w:rsidR="004A0F96" w:rsidRPr="006C7814">
        <w:t>=0.79, p=0.38), genotype (F</w:t>
      </w:r>
      <w:r w:rsidR="004A0F96" w:rsidRPr="006C7814">
        <w:rPr>
          <w:vertAlign w:val="subscript"/>
        </w:rPr>
        <w:t>(1,32)</w:t>
      </w:r>
      <w:r w:rsidR="004A0F96" w:rsidRPr="006C7814">
        <w:t>=0.15, p=0.71) or a significant interaction (F</w:t>
      </w:r>
      <w:r w:rsidR="004A0F96" w:rsidRPr="006C7814">
        <w:rPr>
          <w:vertAlign w:val="subscript"/>
        </w:rPr>
        <w:t>(1,34)</w:t>
      </w:r>
      <w:r w:rsidR="004A0F96" w:rsidRPr="006C7814">
        <w:t xml:space="preserve">=0.02, p=0.88). Likewise, there were no sex differences in the fraction of GFAP- </w:t>
      </w:r>
      <w:proofErr w:type="spellStart"/>
      <w:r w:rsidR="004A0F96" w:rsidRPr="006C7814">
        <w:t>nestin</w:t>
      </w:r>
      <w:proofErr w:type="spellEnd"/>
      <w:r w:rsidR="004A0F96" w:rsidRPr="006C7814">
        <w:t>+ cells</w:t>
      </w:r>
      <w:r w:rsidR="003B7A7E" w:rsidRPr="006C7814">
        <w:t xml:space="preserve"> </w:t>
      </w:r>
      <w:r w:rsidR="00CF59BA" w:rsidRPr="006C7814">
        <w:t xml:space="preserve">Type 2b </w:t>
      </w:r>
      <w:r w:rsidR="003B7A7E" w:rsidRPr="006C7814">
        <w:t>(fig S</w:t>
      </w:r>
      <w:r w:rsidR="00753C48" w:rsidRPr="006C7814">
        <w:t>4</w:t>
      </w:r>
      <w:r w:rsidR="00A27348" w:rsidRPr="006C7814">
        <w:t>C</w:t>
      </w:r>
      <w:proofErr w:type="gramStart"/>
      <w:r w:rsidR="003B7A7E" w:rsidRPr="006C7814">
        <w:t xml:space="preserve">) </w:t>
      </w:r>
      <w:r w:rsidR="004A0F96" w:rsidRPr="006C7814">
        <w:t>,</w:t>
      </w:r>
      <w:proofErr w:type="gramEnd"/>
      <w:r w:rsidR="004A0F96" w:rsidRPr="006C7814">
        <w:t xml:space="preserve"> </w:t>
      </w:r>
      <w:r w:rsidR="00BD0B04" w:rsidRPr="006C7814">
        <w:t>with no significant effects of sex (F</w:t>
      </w:r>
      <w:r w:rsidR="00BD0B04" w:rsidRPr="006C7814">
        <w:rPr>
          <w:vertAlign w:val="subscript"/>
        </w:rPr>
        <w:t>(1,32)</w:t>
      </w:r>
      <w:r w:rsidR="00BD0B04" w:rsidRPr="006C7814">
        <w:t>=0, p=0.98), genotype (F</w:t>
      </w:r>
      <w:r w:rsidR="00BD0B04" w:rsidRPr="006C7814">
        <w:rPr>
          <w:vertAlign w:val="subscript"/>
        </w:rPr>
        <w:t>(1,32)</w:t>
      </w:r>
      <w:r w:rsidR="00BD0B04" w:rsidRPr="006C7814">
        <w:t>=0.43, p=0.52) or a significant interaction (F</w:t>
      </w:r>
      <w:r w:rsidR="00BD0B04" w:rsidRPr="006C7814">
        <w:rPr>
          <w:vertAlign w:val="subscript"/>
        </w:rPr>
        <w:t>(1,34)</w:t>
      </w:r>
      <w:r w:rsidR="00BD0B04" w:rsidRPr="006C7814">
        <w:t>=0.06, p=0.81).</w:t>
      </w:r>
    </w:p>
    <w:p w14:paraId="5453C6A0" w14:textId="77777777" w:rsidR="00BF7925" w:rsidRPr="006C7814" w:rsidRDefault="003B7A7E" w:rsidP="006263C4">
      <w:pPr>
        <w:spacing w:after="160" w:line="480" w:lineRule="auto"/>
        <w:jc w:val="both"/>
      </w:pPr>
      <w:r w:rsidRPr="006C7814">
        <w:t xml:space="preserve">As seen previously, there were no sex differences in cell </w:t>
      </w:r>
      <w:proofErr w:type="gramStart"/>
      <w:r w:rsidRPr="006C7814">
        <w:t>viability  (</w:t>
      </w:r>
      <w:proofErr w:type="gramEnd"/>
      <w:r w:rsidRPr="006C7814">
        <w:t>fig S</w:t>
      </w:r>
      <w:r w:rsidR="00753C48" w:rsidRPr="006C7814">
        <w:t>4</w:t>
      </w:r>
      <w:r w:rsidR="00286FD0" w:rsidRPr="006C7814">
        <w:t>D</w:t>
      </w:r>
      <w:r w:rsidRPr="006C7814">
        <w:t>), showing a significant effect of genotype (F</w:t>
      </w:r>
      <w:r w:rsidRPr="006C7814">
        <w:rPr>
          <w:vertAlign w:val="subscript"/>
        </w:rPr>
        <w:t>(1,10)</w:t>
      </w:r>
      <w:r w:rsidRPr="006C7814">
        <w:t>=13.33, p=0.004), but not of sex F</w:t>
      </w:r>
      <w:r w:rsidRPr="006C7814">
        <w:rPr>
          <w:vertAlign w:val="subscript"/>
        </w:rPr>
        <w:t>(1,10)</w:t>
      </w:r>
      <w:r w:rsidRPr="006C7814">
        <w:t>=0.55, p=0.47, or a significant interaction (F</w:t>
      </w:r>
      <w:r w:rsidRPr="006C7814">
        <w:rPr>
          <w:vertAlign w:val="subscript"/>
        </w:rPr>
        <w:t>(1,10)</w:t>
      </w:r>
      <w:r w:rsidRPr="006C7814">
        <w:t>=0.14, p=0.71). Similarly, the number of dead/dying cells marked by PI</w:t>
      </w:r>
      <w:r w:rsidR="00753C48" w:rsidRPr="006C7814">
        <w:t xml:space="preserve"> (fig S4</w:t>
      </w:r>
      <w:r w:rsidR="00286FD0" w:rsidRPr="006C7814">
        <w:t>E</w:t>
      </w:r>
      <w:r w:rsidR="00753C48" w:rsidRPr="006C7814">
        <w:t>)</w:t>
      </w:r>
      <w:r w:rsidRPr="006C7814">
        <w:t xml:space="preserve"> is significantly affected by genotype (</w:t>
      </w:r>
      <w:proofErr w:type="gramStart"/>
      <w:r w:rsidRPr="006C7814">
        <w:t>F</w:t>
      </w:r>
      <w:r w:rsidRPr="006C7814">
        <w:rPr>
          <w:vertAlign w:val="subscript"/>
        </w:rPr>
        <w:t>(</w:t>
      </w:r>
      <w:proofErr w:type="gramEnd"/>
      <w:r w:rsidRPr="006C7814">
        <w:rPr>
          <w:vertAlign w:val="subscript"/>
        </w:rPr>
        <w:t>1,11)</w:t>
      </w:r>
      <w:r w:rsidRPr="006C7814">
        <w:t>=</w:t>
      </w:r>
      <w:r w:rsidR="008B60A8" w:rsidRPr="006C7814">
        <w:t>8.59, p=0.014</w:t>
      </w:r>
      <w:r w:rsidRPr="006C7814">
        <w:t>), but not sex (</w:t>
      </w:r>
      <w:r w:rsidR="008B60A8" w:rsidRPr="006C7814">
        <w:t>F</w:t>
      </w:r>
      <w:r w:rsidR="008B60A8" w:rsidRPr="006C7814">
        <w:rPr>
          <w:vertAlign w:val="subscript"/>
        </w:rPr>
        <w:t>(1,11)</w:t>
      </w:r>
      <w:r w:rsidR="008B60A8" w:rsidRPr="006C7814">
        <w:t>=2.18, p=0.17</w:t>
      </w:r>
      <w:r w:rsidRPr="006C7814">
        <w:t>), without any significant interaction (</w:t>
      </w:r>
      <w:r w:rsidR="008B60A8" w:rsidRPr="006C7814">
        <w:t>F</w:t>
      </w:r>
      <w:r w:rsidR="008B60A8" w:rsidRPr="006C7814">
        <w:rPr>
          <w:vertAlign w:val="subscript"/>
        </w:rPr>
        <w:t>(1,11)</w:t>
      </w:r>
      <w:r w:rsidR="008B60A8" w:rsidRPr="006C7814">
        <w:t>=0.30, p=0.60).</w:t>
      </w:r>
      <w:r w:rsidR="001539E2" w:rsidRPr="006C7814">
        <w:t xml:space="preserve"> Lastly, the fraction of DCX+ cells which are apoptotic </w:t>
      </w:r>
      <w:r w:rsidR="00753C48" w:rsidRPr="006C7814">
        <w:t>(fig S4</w:t>
      </w:r>
      <w:r w:rsidR="00286FD0" w:rsidRPr="006C7814">
        <w:t>F</w:t>
      </w:r>
      <w:r w:rsidR="00753C48" w:rsidRPr="006C7814">
        <w:t xml:space="preserve">) </w:t>
      </w:r>
      <w:r w:rsidR="001539E2" w:rsidRPr="006C7814">
        <w:t>is also unaffected by sex (</w:t>
      </w:r>
      <w:proofErr w:type="gramStart"/>
      <w:r w:rsidR="00115839" w:rsidRPr="006C7814">
        <w:t>F</w:t>
      </w:r>
      <w:r w:rsidR="00115839" w:rsidRPr="006C7814">
        <w:rPr>
          <w:vertAlign w:val="subscript"/>
        </w:rPr>
        <w:t>(</w:t>
      </w:r>
      <w:proofErr w:type="gramEnd"/>
      <w:r w:rsidR="00115839" w:rsidRPr="006C7814">
        <w:rPr>
          <w:vertAlign w:val="subscript"/>
        </w:rPr>
        <w:t>1,13)</w:t>
      </w:r>
      <w:r w:rsidR="00115839" w:rsidRPr="006C7814">
        <w:t>=0.32, p=0.58</w:t>
      </w:r>
      <w:r w:rsidR="001539E2" w:rsidRPr="006C7814">
        <w:t xml:space="preserve">), </w:t>
      </w:r>
      <w:r w:rsidR="00115839" w:rsidRPr="006C7814">
        <w:t>but is significantly affected genotype (F</w:t>
      </w:r>
      <w:r w:rsidR="00115839" w:rsidRPr="006C7814">
        <w:rPr>
          <w:vertAlign w:val="subscript"/>
        </w:rPr>
        <w:t>(1,13)</w:t>
      </w:r>
      <w:r w:rsidR="00115839" w:rsidRPr="006C7814">
        <w:t>=4.91, p=0.04), in the absence of an interaction effect (F</w:t>
      </w:r>
      <w:r w:rsidR="00115839" w:rsidRPr="006C7814">
        <w:rPr>
          <w:vertAlign w:val="subscript"/>
        </w:rPr>
        <w:t>(1,13)</w:t>
      </w:r>
      <w:r w:rsidR="00115839" w:rsidRPr="006C7814">
        <w:t xml:space="preserve">=0.03, p=0.87). </w:t>
      </w:r>
    </w:p>
    <w:p w14:paraId="4C643BD2" w14:textId="6FF3C618" w:rsidR="00141B48" w:rsidRPr="006C7814" w:rsidRDefault="00141B48" w:rsidP="006263C4">
      <w:pPr>
        <w:spacing w:after="160" w:line="480" w:lineRule="auto"/>
        <w:jc w:val="both"/>
        <w:rPr>
          <w:u w:val="single"/>
        </w:rPr>
      </w:pPr>
      <w:r w:rsidRPr="006C7814">
        <w:rPr>
          <w:u w:val="single"/>
        </w:rPr>
        <w:t xml:space="preserve">Effects of </w:t>
      </w:r>
      <w:r w:rsidRPr="006C7814">
        <w:rPr>
          <w:i/>
          <w:u w:val="single"/>
        </w:rPr>
        <w:t>Cyfip1</w:t>
      </w:r>
      <w:r w:rsidRPr="006C7814">
        <w:rPr>
          <w:u w:val="single"/>
        </w:rPr>
        <w:t xml:space="preserve"> on microglia </w:t>
      </w:r>
    </w:p>
    <w:p w14:paraId="3C57BB49" w14:textId="4AFB5670" w:rsidR="00141B48" w:rsidRPr="006C7814" w:rsidRDefault="006A63E2" w:rsidP="00BD0AAB">
      <w:pPr>
        <w:spacing w:after="160" w:line="480" w:lineRule="auto"/>
        <w:jc w:val="both"/>
      </w:pPr>
      <w:r w:rsidRPr="006C7814">
        <w:t>We</w:t>
      </w:r>
      <w:r w:rsidR="00AD5345" w:rsidRPr="006C7814">
        <w:t xml:space="preserve"> established there were no genotype differences</w:t>
      </w:r>
      <w:r w:rsidR="006B367F" w:rsidRPr="006C7814">
        <w:t xml:space="preserve"> in microglia density</w:t>
      </w:r>
      <w:r w:rsidR="00AD5345" w:rsidRPr="006C7814">
        <w:t xml:space="preserve"> in the dentate gyrus, (177.1±4.1 vs 162.9±8.7, </w:t>
      </w:r>
      <w:proofErr w:type="gramStart"/>
      <w:r w:rsidR="00AD5345" w:rsidRPr="006C7814">
        <w:t>t</w:t>
      </w:r>
      <w:r w:rsidR="00AD5345" w:rsidRPr="006C7814">
        <w:rPr>
          <w:vertAlign w:val="subscript"/>
        </w:rPr>
        <w:t>(</w:t>
      </w:r>
      <w:proofErr w:type="gramEnd"/>
      <w:r w:rsidR="00AD5345" w:rsidRPr="006C7814">
        <w:rPr>
          <w:vertAlign w:val="subscript"/>
        </w:rPr>
        <w:t>12)</w:t>
      </w:r>
      <w:r w:rsidR="00AD5345" w:rsidRPr="006C7814">
        <w:t>=1.22, p=0.25, fig S5A,B). We found no effect of sex (fig S4C), with no main effects of sex (</w:t>
      </w:r>
      <w:proofErr w:type="gramStart"/>
      <w:r w:rsidR="00AD5345" w:rsidRPr="006C7814">
        <w:t>F</w:t>
      </w:r>
      <w:r w:rsidR="00AD5345" w:rsidRPr="006C7814">
        <w:rPr>
          <w:vertAlign w:val="subscript"/>
        </w:rPr>
        <w:t>(</w:t>
      </w:r>
      <w:proofErr w:type="gramEnd"/>
      <w:r w:rsidR="00AD5345" w:rsidRPr="006C7814">
        <w:rPr>
          <w:vertAlign w:val="subscript"/>
        </w:rPr>
        <w:t>1,12)</w:t>
      </w:r>
      <w:r w:rsidR="00AD5345" w:rsidRPr="006C7814">
        <w:t>=0.35 p=0.59), genotype (F</w:t>
      </w:r>
      <w:r w:rsidR="00AD5345" w:rsidRPr="006C7814">
        <w:rPr>
          <w:vertAlign w:val="subscript"/>
        </w:rPr>
        <w:t>(1,12)</w:t>
      </w:r>
      <w:r w:rsidR="00AD5345" w:rsidRPr="006C7814">
        <w:t>=1.05 p=0.332) or a significant interaction (F</w:t>
      </w:r>
      <w:r w:rsidR="00AD5345" w:rsidRPr="006C7814">
        <w:rPr>
          <w:vertAlign w:val="subscript"/>
        </w:rPr>
        <w:t>(1,12)</w:t>
      </w:r>
      <w:r w:rsidR="00AD5345" w:rsidRPr="006C7814">
        <w:t>=0.05 p=0.83). Secondly, we showed that there is also no difference in the density of microglia in primary hippocampal cultures (fig S5</w:t>
      </w:r>
      <w:proofErr w:type="gramStart"/>
      <w:r w:rsidR="00AD5345" w:rsidRPr="006C7814">
        <w:t>D,E</w:t>
      </w:r>
      <w:proofErr w:type="gramEnd"/>
      <w:r w:rsidR="00AD5345" w:rsidRPr="006C7814">
        <w:t xml:space="preserve">). </w:t>
      </w:r>
      <w:r w:rsidR="00456D5B" w:rsidRPr="006C7814">
        <w:t xml:space="preserve">We proceeded to prepare primary microglia cultures from wild-type and </w:t>
      </w:r>
      <w:r w:rsidR="00456D5B" w:rsidRPr="006C7814">
        <w:rPr>
          <w:i/>
          <w:iCs/>
        </w:rPr>
        <w:t>Cyfip1</w:t>
      </w:r>
      <w:r w:rsidR="00456D5B" w:rsidRPr="006C7814">
        <w:rPr>
          <w:i/>
          <w:iCs/>
          <w:vertAlign w:val="superscript"/>
        </w:rPr>
        <w:t>+/-</w:t>
      </w:r>
      <w:r w:rsidR="00456D5B" w:rsidRPr="006C7814">
        <w:rPr>
          <w:i/>
          <w:iCs/>
        </w:rPr>
        <w:t xml:space="preserve"> </w:t>
      </w:r>
      <w:r w:rsidR="00456D5B" w:rsidRPr="006C7814">
        <w:t>animals</w:t>
      </w:r>
      <w:r w:rsidR="00BD0AAB" w:rsidRPr="006C7814">
        <w:t xml:space="preserve"> and </w:t>
      </w:r>
      <w:r w:rsidR="00456D5B" w:rsidRPr="006C7814">
        <w:t>showed there was no difference in purity of the prepared microglia (fig S5F</w:t>
      </w:r>
      <w:r w:rsidR="006B367F" w:rsidRPr="006C7814">
        <w:t xml:space="preserve"> and G)</w:t>
      </w:r>
      <w:r w:rsidR="00456D5B" w:rsidRPr="006C7814">
        <w:t>, 98.0±0.7% and 97.1±1.7% Iba1</w:t>
      </w:r>
      <w:r w:rsidR="00456D5B" w:rsidRPr="006C7814">
        <w:rPr>
          <w:vertAlign w:val="superscript"/>
        </w:rPr>
        <w:t>+</w:t>
      </w:r>
      <w:r w:rsidR="00456D5B" w:rsidRPr="006C7814">
        <w:t xml:space="preserve">, respectively). </w:t>
      </w:r>
    </w:p>
    <w:p w14:paraId="73B1221B" w14:textId="77777777" w:rsidR="006A63E2" w:rsidRPr="006C7814" w:rsidRDefault="006A63E2" w:rsidP="006263C4">
      <w:pPr>
        <w:spacing w:after="160" w:line="259" w:lineRule="auto"/>
        <w:jc w:val="both"/>
        <w:rPr>
          <w:b/>
        </w:rPr>
      </w:pPr>
    </w:p>
    <w:p w14:paraId="733CC6F0" w14:textId="77777777" w:rsidR="006A63E2" w:rsidRPr="006C7814" w:rsidRDefault="006A63E2" w:rsidP="006263C4">
      <w:pPr>
        <w:spacing w:after="160" w:line="259" w:lineRule="auto"/>
        <w:jc w:val="both"/>
        <w:rPr>
          <w:b/>
        </w:rPr>
      </w:pPr>
    </w:p>
    <w:p w14:paraId="4F54EC0F" w14:textId="77777777" w:rsidR="00CF6827" w:rsidRPr="006C7814" w:rsidRDefault="00CF6827" w:rsidP="006263C4">
      <w:pPr>
        <w:spacing w:after="160" w:line="259" w:lineRule="auto"/>
        <w:jc w:val="both"/>
        <w:rPr>
          <w:b/>
        </w:rPr>
      </w:pPr>
    </w:p>
    <w:p w14:paraId="3B3C4030" w14:textId="77777777" w:rsidR="00CF6827" w:rsidRPr="006C7814" w:rsidRDefault="00CF6827" w:rsidP="006263C4">
      <w:pPr>
        <w:spacing w:after="160" w:line="259" w:lineRule="auto"/>
        <w:jc w:val="both"/>
        <w:rPr>
          <w:b/>
        </w:rPr>
      </w:pPr>
    </w:p>
    <w:p w14:paraId="27566290" w14:textId="77777777" w:rsidR="00CF6827" w:rsidRPr="006C7814" w:rsidRDefault="00CF6827" w:rsidP="006263C4">
      <w:pPr>
        <w:spacing w:after="160" w:line="259" w:lineRule="auto"/>
        <w:jc w:val="both"/>
        <w:rPr>
          <w:b/>
        </w:rPr>
      </w:pPr>
    </w:p>
    <w:p w14:paraId="585805E2" w14:textId="77777777" w:rsidR="00CF6827" w:rsidRPr="006C7814" w:rsidRDefault="00CF6827" w:rsidP="006263C4">
      <w:pPr>
        <w:spacing w:after="160" w:line="259" w:lineRule="auto"/>
        <w:jc w:val="both"/>
        <w:rPr>
          <w:b/>
        </w:rPr>
      </w:pPr>
    </w:p>
    <w:p w14:paraId="237B4950" w14:textId="15B04159" w:rsidR="00F429FF" w:rsidRPr="006C7814" w:rsidRDefault="00CF6827" w:rsidP="00E87942">
      <w:pPr>
        <w:spacing w:after="0" w:line="240" w:lineRule="auto"/>
        <w:jc w:val="both"/>
        <w:rPr>
          <w:b/>
        </w:rPr>
      </w:pPr>
      <w:r w:rsidRPr="006C7814">
        <w:rPr>
          <w:b/>
        </w:rPr>
        <w:br w:type="page"/>
      </w:r>
      <w:r w:rsidR="00F429FF" w:rsidRPr="006C7814">
        <w:rPr>
          <w:b/>
        </w:rPr>
        <w:lastRenderedPageBreak/>
        <w:t>Supplementary reference</w:t>
      </w:r>
    </w:p>
    <w:p w14:paraId="046DD455" w14:textId="7472C757" w:rsidR="00E87942" w:rsidRPr="00E87942" w:rsidRDefault="00F429FF" w:rsidP="00E87942">
      <w:pPr>
        <w:widowControl w:val="0"/>
        <w:autoSpaceDE w:val="0"/>
        <w:autoSpaceDN w:val="0"/>
        <w:adjustRightInd w:val="0"/>
        <w:spacing w:after="160" w:line="480" w:lineRule="auto"/>
        <w:ind w:left="640" w:hanging="640"/>
        <w:jc w:val="both"/>
        <w:rPr>
          <w:rFonts w:cs="Calibri"/>
          <w:noProof/>
        </w:rPr>
      </w:pPr>
      <w:r w:rsidRPr="006C7814">
        <w:fldChar w:fldCharType="begin" w:fldLock="1"/>
      </w:r>
      <w:r w:rsidRPr="006C7814">
        <w:instrText xml:space="preserve">ADDIN Mendeley Bibliography CSL_BIBLIOGRAPHY </w:instrText>
      </w:r>
      <w:r w:rsidRPr="006C7814">
        <w:fldChar w:fldCharType="separate"/>
      </w:r>
      <w:r w:rsidR="00E87942" w:rsidRPr="00E87942">
        <w:rPr>
          <w:rFonts w:cs="Calibri"/>
          <w:noProof/>
          <w:szCs w:val="24"/>
        </w:rPr>
        <w:t xml:space="preserve">1 </w:t>
      </w:r>
      <w:r w:rsidR="00E87942" w:rsidRPr="00E87942">
        <w:rPr>
          <w:rFonts w:cs="Calibri"/>
          <w:noProof/>
          <w:szCs w:val="24"/>
        </w:rPr>
        <w:tab/>
        <w:t xml:space="preserve">Pathania M </w:t>
      </w:r>
      <w:r w:rsidR="00E87942" w:rsidRPr="00E87942">
        <w:rPr>
          <w:rFonts w:cs="Calibri"/>
          <w:i/>
          <w:iCs/>
          <w:noProof/>
          <w:szCs w:val="24"/>
        </w:rPr>
        <w:t>et al.</w:t>
      </w:r>
      <w:r w:rsidR="00E87942" w:rsidRPr="00E87942">
        <w:rPr>
          <w:rFonts w:cs="Calibri"/>
          <w:noProof/>
          <w:szCs w:val="24"/>
        </w:rPr>
        <w:t xml:space="preserve"> The autism and schizophrenia associated gene CYFIP1 is critical for the maintenance of dendritic complexity and the stabilization of mature spines. </w:t>
      </w:r>
      <w:r w:rsidR="00E87942" w:rsidRPr="00E87942">
        <w:rPr>
          <w:rFonts w:cs="Calibri"/>
          <w:i/>
          <w:iCs/>
          <w:noProof/>
          <w:szCs w:val="24"/>
        </w:rPr>
        <w:t>Transl Psychiatry</w:t>
      </w:r>
      <w:r w:rsidR="00E87942" w:rsidRPr="00E87942">
        <w:rPr>
          <w:rFonts w:cs="Calibri"/>
          <w:noProof/>
          <w:szCs w:val="24"/>
        </w:rPr>
        <w:t xml:space="preserve"> 2014; </w:t>
      </w:r>
      <w:r w:rsidR="00E87942" w:rsidRPr="00E87942">
        <w:rPr>
          <w:rFonts w:cs="Calibri"/>
          <w:b/>
          <w:bCs/>
          <w:noProof/>
          <w:szCs w:val="24"/>
        </w:rPr>
        <w:t>4</w:t>
      </w:r>
      <w:r w:rsidR="00E87942" w:rsidRPr="00E87942">
        <w:rPr>
          <w:rFonts w:cs="Calibri"/>
          <w:noProof/>
          <w:szCs w:val="24"/>
        </w:rPr>
        <w:t>: e374–e374.</w:t>
      </w:r>
    </w:p>
    <w:p w14:paraId="7A4BA2DB" w14:textId="77777777" w:rsidR="00F429FF" w:rsidRPr="006C7814" w:rsidRDefault="00F429FF" w:rsidP="00E87942">
      <w:pPr>
        <w:spacing w:after="160" w:line="480" w:lineRule="auto"/>
        <w:jc w:val="both"/>
      </w:pPr>
      <w:r w:rsidRPr="006C7814">
        <w:fldChar w:fldCharType="end"/>
      </w:r>
      <w:r w:rsidRPr="006C7814">
        <w:br w:type="page"/>
      </w:r>
    </w:p>
    <w:p w14:paraId="2FDA8D4B" w14:textId="0A08A074" w:rsidR="0073734F" w:rsidRPr="006C7814" w:rsidRDefault="0073734F" w:rsidP="00344E48">
      <w:pPr>
        <w:spacing w:line="480" w:lineRule="auto"/>
        <w:jc w:val="both"/>
      </w:pPr>
      <w:r w:rsidRPr="006C7814">
        <w:lastRenderedPageBreak/>
        <w:t xml:space="preserve">Figure S1: </w:t>
      </w:r>
      <w:r w:rsidRPr="006C7814">
        <w:rPr>
          <w:i/>
          <w:iCs/>
        </w:rPr>
        <w:t>Representative genotyping for wildtype and Cyfip1</w:t>
      </w:r>
      <w:r w:rsidRPr="006C7814">
        <w:rPr>
          <w:i/>
          <w:iCs/>
          <w:vertAlign w:val="superscript"/>
        </w:rPr>
        <w:t>+/-</w:t>
      </w:r>
      <w:r w:rsidRPr="006C7814">
        <w:rPr>
          <w:i/>
          <w:iCs/>
        </w:rPr>
        <w:t xml:space="preserve"> animals</w:t>
      </w:r>
    </w:p>
    <w:p w14:paraId="3FC8470F" w14:textId="58CA7B8E" w:rsidR="00344E48" w:rsidRPr="006C7814" w:rsidRDefault="00344E48" w:rsidP="00344E48">
      <w:pPr>
        <w:spacing w:line="480" w:lineRule="auto"/>
        <w:jc w:val="both"/>
      </w:pPr>
      <w:r w:rsidRPr="006C7814">
        <w:t>Figure S</w:t>
      </w:r>
      <w:r w:rsidR="00515C84" w:rsidRPr="006C7814">
        <w:t>2</w:t>
      </w:r>
      <w:r w:rsidRPr="006C7814">
        <w:t xml:space="preserve">: </w:t>
      </w:r>
      <w:r w:rsidRPr="006C7814">
        <w:rPr>
          <w:i/>
          <w:iCs/>
        </w:rPr>
        <w:t xml:space="preserve">In vivo </w:t>
      </w:r>
      <w:r w:rsidRPr="006C7814">
        <w:rPr>
          <w:i/>
        </w:rPr>
        <w:t>neurogenesis phenotype split by sex</w:t>
      </w:r>
      <w:r w:rsidRPr="006C7814">
        <w:t xml:space="preserve">. </w:t>
      </w:r>
      <w:r w:rsidR="008F1061" w:rsidRPr="006C7814">
        <w:t>A</w:t>
      </w:r>
      <w:r w:rsidRPr="006C7814">
        <w:t xml:space="preserve">) Analysis of proliferation indexed by a 6 h </w:t>
      </w:r>
      <w:proofErr w:type="spellStart"/>
      <w:r w:rsidRPr="006C7814">
        <w:t>BrdU</w:t>
      </w:r>
      <w:proofErr w:type="spellEnd"/>
      <w:r w:rsidRPr="006C7814">
        <w:t xml:space="preserve"> pulse with Ki67 immunohistochemistry show no effects of sex or genotype. </w:t>
      </w:r>
      <w:r w:rsidR="008F1061" w:rsidRPr="006C7814">
        <w:t>B</w:t>
      </w:r>
      <w:r w:rsidRPr="006C7814">
        <w:t xml:space="preserve">) Immunohistochemistry for the immature neuronal marker DCX show a significant effect of genotype in the absence of any effects of sex. </w:t>
      </w:r>
      <w:r w:rsidR="008F1061" w:rsidRPr="006C7814">
        <w:t>C</w:t>
      </w:r>
      <w:r w:rsidRPr="006C7814">
        <w:t xml:space="preserve">) Analysis of mature adult born neurons, by </w:t>
      </w:r>
      <w:proofErr w:type="spellStart"/>
      <w:r w:rsidRPr="006C7814">
        <w:t>NeuN</w:t>
      </w:r>
      <w:proofErr w:type="spellEnd"/>
      <w:r w:rsidRPr="006C7814">
        <w:t xml:space="preserve"> immunohistochemistry 30 days after </w:t>
      </w:r>
      <w:proofErr w:type="spellStart"/>
      <w:r w:rsidRPr="006C7814">
        <w:t>BrdU</w:t>
      </w:r>
      <w:proofErr w:type="spellEnd"/>
      <w:r w:rsidRPr="006C7814">
        <w:t xml:space="preserve"> pulsing, showed a significant effect of genotype, again in the absence of any sex effects. </w:t>
      </w:r>
    </w:p>
    <w:p w14:paraId="7F22286B" w14:textId="710503D0" w:rsidR="00120CBE" w:rsidRPr="006C7814" w:rsidRDefault="00120CBE" w:rsidP="006263C4">
      <w:pPr>
        <w:spacing w:line="480" w:lineRule="auto"/>
        <w:jc w:val="both"/>
      </w:pPr>
      <w:r w:rsidRPr="006C7814">
        <w:t>Figure S</w:t>
      </w:r>
      <w:r w:rsidR="00515C84" w:rsidRPr="006C7814">
        <w:t>3</w:t>
      </w:r>
      <w:r w:rsidRPr="006C7814">
        <w:t xml:space="preserve">: </w:t>
      </w:r>
      <w:r w:rsidRPr="006C7814">
        <w:rPr>
          <w:i/>
        </w:rPr>
        <w:t>Proliferation in primary hippocampal cultures</w:t>
      </w:r>
      <w:r w:rsidRPr="006C7814">
        <w:t xml:space="preserve">. </w:t>
      </w:r>
      <w:r w:rsidR="008F1061" w:rsidRPr="006C7814">
        <w:t>A</w:t>
      </w:r>
      <w:r w:rsidRPr="006C7814">
        <w:t xml:space="preserve">) Following withdrawal of growth factors, cells were given a 6 h </w:t>
      </w:r>
      <w:proofErr w:type="spellStart"/>
      <w:r w:rsidRPr="006C7814">
        <w:t>EdU</w:t>
      </w:r>
      <w:proofErr w:type="spellEnd"/>
      <w:r w:rsidRPr="006C7814">
        <w:t xml:space="preserve"> pulse and stained for Ki67. </w:t>
      </w:r>
      <w:r w:rsidR="008F1061" w:rsidRPr="006C7814">
        <w:t>B</w:t>
      </w:r>
      <w:r w:rsidRPr="006C7814">
        <w:t xml:space="preserve">) As seen following the </w:t>
      </w:r>
      <w:r w:rsidRPr="006C7814">
        <w:rPr>
          <w:i/>
          <w:iCs/>
        </w:rPr>
        <w:t>in vivo</w:t>
      </w:r>
      <w:r w:rsidRPr="006C7814">
        <w:t xml:space="preserve"> </w:t>
      </w:r>
      <w:proofErr w:type="spellStart"/>
      <w:r w:rsidRPr="006C7814">
        <w:t>BrdU</w:t>
      </w:r>
      <w:proofErr w:type="spellEnd"/>
      <w:r w:rsidRPr="006C7814">
        <w:t xml:space="preserve"> pulse experiments, there are no differences in the total number of Ki67+ cells in the cell cycle or the fraction that had undergone cell division (</w:t>
      </w:r>
      <w:proofErr w:type="spellStart"/>
      <w:r w:rsidRPr="006C7814">
        <w:t>EdU</w:t>
      </w:r>
      <w:proofErr w:type="spellEnd"/>
      <w:r w:rsidRPr="006C7814">
        <w:t xml:space="preserve">+). </w:t>
      </w:r>
    </w:p>
    <w:p w14:paraId="237B813F" w14:textId="076A0CE8" w:rsidR="00804FCB" w:rsidRPr="006C7814" w:rsidRDefault="00804FCB" w:rsidP="006263C4">
      <w:pPr>
        <w:spacing w:line="480" w:lineRule="auto"/>
        <w:jc w:val="both"/>
      </w:pPr>
      <w:r w:rsidRPr="006C7814">
        <w:t>Figure S4:</w:t>
      </w:r>
      <w:r w:rsidRPr="006C7814">
        <w:rPr>
          <w:i/>
          <w:iCs/>
        </w:rPr>
        <w:t xml:space="preserve"> No sex effect in primary hippocampal cultures</w:t>
      </w:r>
      <w:r w:rsidRPr="006C7814">
        <w:t xml:space="preserve"> </w:t>
      </w:r>
      <w:r w:rsidR="008F1061" w:rsidRPr="006C7814">
        <w:t>A</w:t>
      </w:r>
      <w:r w:rsidRPr="006C7814">
        <w:t xml:space="preserve">) Number of DCX+ immature neurons </w:t>
      </w:r>
      <w:proofErr w:type="gramStart"/>
      <w:r w:rsidRPr="006C7814">
        <w:t>was</w:t>
      </w:r>
      <w:proofErr w:type="gramEnd"/>
      <w:r w:rsidRPr="006C7814">
        <w:t xml:space="preserve"> increased in </w:t>
      </w:r>
      <w:r w:rsidRPr="006C7814">
        <w:rPr>
          <w:i/>
          <w:iCs/>
        </w:rPr>
        <w:t>Cyfip1</w:t>
      </w:r>
      <w:r w:rsidRPr="006C7814">
        <w:rPr>
          <w:vertAlign w:val="superscript"/>
        </w:rPr>
        <w:t>+/-</w:t>
      </w:r>
      <w:r w:rsidRPr="006C7814">
        <w:t xml:space="preserve"> cultures, regardless of the sex of the animals. </w:t>
      </w:r>
      <w:r w:rsidR="00A85D3E" w:rsidRPr="006C7814">
        <w:t xml:space="preserve">There were no differences in the </w:t>
      </w:r>
      <w:r w:rsidR="0043715E" w:rsidRPr="006C7814">
        <w:t>proportions</w:t>
      </w:r>
      <w:r w:rsidR="00A85D3E" w:rsidRPr="006C7814">
        <w:t xml:space="preserve"> of GFAP</w:t>
      </w:r>
      <w:r w:rsidR="00A85D3E" w:rsidRPr="006C7814">
        <w:rPr>
          <w:vertAlign w:val="superscript"/>
        </w:rPr>
        <w:t xml:space="preserve">+ </w:t>
      </w:r>
      <w:proofErr w:type="spellStart"/>
      <w:r w:rsidR="00A85D3E" w:rsidRPr="006C7814">
        <w:t>nestin</w:t>
      </w:r>
      <w:proofErr w:type="spellEnd"/>
      <w:r w:rsidR="00A85D3E" w:rsidRPr="006C7814">
        <w:rPr>
          <w:vertAlign w:val="superscript"/>
        </w:rPr>
        <w:t>+</w:t>
      </w:r>
      <w:r w:rsidR="00A85D3E" w:rsidRPr="006C7814">
        <w:t xml:space="preserve"> early progenitors </w:t>
      </w:r>
      <w:r w:rsidR="008F1061" w:rsidRPr="006C7814">
        <w:t>(C</w:t>
      </w:r>
      <w:r w:rsidR="00A85D3E" w:rsidRPr="006C7814">
        <w:t>), or GFAP</w:t>
      </w:r>
      <w:r w:rsidR="00A85D3E" w:rsidRPr="006C7814">
        <w:rPr>
          <w:vertAlign w:val="superscript"/>
        </w:rPr>
        <w:t xml:space="preserve">- </w:t>
      </w:r>
      <w:proofErr w:type="spellStart"/>
      <w:r w:rsidR="00A85D3E" w:rsidRPr="006C7814">
        <w:t>nestin</w:t>
      </w:r>
      <w:proofErr w:type="spellEnd"/>
      <w:r w:rsidR="00A85D3E" w:rsidRPr="006C7814">
        <w:rPr>
          <w:vertAlign w:val="superscript"/>
        </w:rPr>
        <w:t>+</w:t>
      </w:r>
      <w:r w:rsidR="00A85D3E" w:rsidRPr="006C7814">
        <w:t xml:space="preserve"> intermediate progenitors (</w:t>
      </w:r>
      <w:r w:rsidR="008F1061" w:rsidRPr="006C7814">
        <w:t>D</w:t>
      </w:r>
      <w:r w:rsidR="00A85D3E" w:rsidRPr="006C7814">
        <w:t xml:space="preserve">). </w:t>
      </w:r>
      <w:r w:rsidR="008F1061" w:rsidRPr="006C7814">
        <w:t>E</w:t>
      </w:r>
      <w:r w:rsidR="00A85D3E" w:rsidRPr="006C7814">
        <w:t xml:space="preserve">) Cell viability, as indexed by </w:t>
      </w:r>
      <w:proofErr w:type="spellStart"/>
      <w:r w:rsidR="00A85D3E" w:rsidRPr="006C7814">
        <w:t>MitoTracker</w:t>
      </w:r>
      <w:proofErr w:type="spellEnd"/>
      <w:r w:rsidR="00A85D3E" w:rsidRPr="006C7814">
        <w:t xml:space="preserve"> reactivity was affected by genotype, but not sex. </w:t>
      </w:r>
      <w:r w:rsidR="008F1061" w:rsidRPr="006C7814">
        <w:t>F</w:t>
      </w:r>
      <w:r w:rsidR="00A85D3E" w:rsidRPr="006C7814">
        <w:t xml:space="preserve">) Numbers of necrotic cells, labelled with PI, were significantly decreased in </w:t>
      </w:r>
      <w:r w:rsidR="00A85D3E" w:rsidRPr="006C7814">
        <w:rPr>
          <w:i/>
          <w:iCs/>
        </w:rPr>
        <w:t>Cyfip1</w:t>
      </w:r>
      <w:r w:rsidR="00A85D3E" w:rsidRPr="006C7814">
        <w:rPr>
          <w:vertAlign w:val="superscript"/>
        </w:rPr>
        <w:t>+/-</w:t>
      </w:r>
      <w:r w:rsidR="00A85D3E" w:rsidRPr="006C7814">
        <w:t xml:space="preserve"> cultures, irrespective of sex. </w:t>
      </w:r>
      <w:r w:rsidR="008F1061" w:rsidRPr="006C7814">
        <w:t>G</w:t>
      </w:r>
      <w:r w:rsidR="00A85D3E" w:rsidRPr="006C7814">
        <w:t xml:space="preserve">) </w:t>
      </w:r>
      <w:r w:rsidR="00A06E7E" w:rsidRPr="006C7814">
        <w:t>The proportion</w:t>
      </w:r>
      <w:r w:rsidR="00A85D3E" w:rsidRPr="006C7814">
        <w:t xml:space="preserve"> of apoptotic neurons w</w:t>
      </w:r>
      <w:r w:rsidR="00A06E7E" w:rsidRPr="006C7814">
        <w:t>as</w:t>
      </w:r>
      <w:r w:rsidR="00A85D3E" w:rsidRPr="006C7814">
        <w:t xml:space="preserve"> also significantly decreased in both male and female </w:t>
      </w:r>
      <w:r w:rsidR="00A85D3E" w:rsidRPr="006C7814">
        <w:rPr>
          <w:i/>
          <w:iCs/>
        </w:rPr>
        <w:t>Cyfip1</w:t>
      </w:r>
      <w:r w:rsidR="00A85D3E" w:rsidRPr="006C7814">
        <w:rPr>
          <w:vertAlign w:val="superscript"/>
        </w:rPr>
        <w:t>+/-</w:t>
      </w:r>
      <w:r w:rsidR="00A85D3E" w:rsidRPr="006C7814">
        <w:t xml:space="preserve"> cultures.</w:t>
      </w:r>
    </w:p>
    <w:p w14:paraId="0BC27703" w14:textId="25062387" w:rsidR="00515C84" w:rsidRPr="006C7814" w:rsidRDefault="00120CBE" w:rsidP="008F1061">
      <w:pPr>
        <w:shd w:val="clear" w:color="auto" w:fill="FFFFFF" w:themeFill="background1"/>
        <w:spacing w:line="480" w:lineRule="auto"/>
        <w:jc w:val="both"/>
      </w:pPr>
      <w:r w:rsidRPr="006C7814">
        <w:t>Figure S</w:t>
      </w:r>
      <w:r w:rsidR="00515C84" w:rsidRPr="006C7814">
        <w:t>5</w:t>
      </w:r>
      <w:r w:rsidR="00141B48" w:rsidRPr="006C7814">
        <w:t>:</w:t>
      </w:r>
      <w:r w:rsidR="00141B48" w:rsidRPr="006C7814">
        <w:rPr>
          <w:i/>
        </w:rPr>
        <w:t xml:space="preserve"> Effects of </w:t>
      </w:r>
      <w:proofErr w:type="spellStart"/>
      <w:r w:rsidR="00515C84" w:rsidRPr="006C7814">
        <w:rPr>
          <w:i/>
        </w:rPr>
        <w:t>Cyfip</w:t>
      </w:r>
      <w:proofErr w:type="spellEnd"/>
      <w:r w:rsidR="00515C84" w:rsidRPr="006C7814">
        <w:rPr>
          <w:i/>
        </w:rPr>
        <w:t xml:space="preserve"> haploinsufficiency</w:t>
      </w:r>
      <w:r w:rsidR="00141B48" w:rsidRPr="006C7814">
        <w:rPr>
          <w:i/>
        </w:rPr>
        <w:t xml:space="preserve"> on microglia. </w:t>
      </w:r>
      <w:r w:rsidR="008F1061" w:rsidRPr="006C7814">
        <w:t>A</w:t>
      </w:r>
      <w:r w:rsidR="00515C84" w:rsidRPr="006C7814">
        <w:t xml:space="preserve">) </w:t>
      </w:r>
      <w:proofErr w:type="spellStart"/>
      <w:r w:rsidR="00515C84" w:rsidRPr="006C7814">
        <w:t>Immunocytochemisty</w:t>
      </w:r>
      <w:proofErr w:type="spellEnd"/>
      <w:r w:rsidR="00515C84" w:rsidRPr="006C7814">
        <w:t xml:space="preserve"> for Iba1 shows the numbers of microglia in the dentate gyrus. </w:t>
      </w:r>
      <w:r w:rsidR="008F1061" w:rsidRPr="006C7814">
        <w:t>B</w:t>
      </w:r>
      <w:r w:rsidR="00515C84" w:rsidRPr="006C7814">
        <w:t xml:space="preserve">) Quantification shows no effects of genotype on the density or microglia.  </w:t>
      </w:r>
      <w:r w:rsidR="008F1061" w:rsidRPr="006C7814">
        <w:t>C</w:t>
      </w:r>
      <w:r w:rsidR="00515C84" w:rsidRPr="006C7814">
        <w:t xml:space="preserve">) Density of microglia in the dentate gyrus of the hippocampus is unaffected by </w:t>
      </w:r>
      <w:r w:rsidR="008F1061" w:rsidRPr="006C7814">
        <w:t>sex</w:t>
      </w:r>
      <w:r w:rsidR="00515C84" w:rsidRPr="006C7814">
        <w:t xml:space="preserve">. </w:t>
      </w:r>
      <w:r w:rsidR="00264E3C" w:rsidRPr="006C7814">
        <w:t>d</w:t>
      </w:r>
      <w:r w:rsidR="00515C84" w:rsidRPr="006C7814">
        <w:t xml:space="preserve">) Iba1 immunocytochemistry in primary hippocampal cultures shows low propositions of microglia present. </w:t>
      </w:r>
      <w:r w:rsidR="008F1061" w:rsidRPr="006C7814">
        <w:t>E</w:t>
      </w:r>
      <w:r w:rsidR="00515C84" w:rsidRPr="006C7814">
        <w:t xml:space="preserve">) There </w:t>
      </w:r>
      <w:proofErr w:type="gramStart"/>
      <w:r w:rsidR="00515C84" w:rsidRPr="006C7814">
        <w:t>are</w:t>
      </w:r>
      <w:proofErr w:type="gramEnd"/>
      <w:r w:rsidR="00515C84" w:rsidRPr="006C7814">
        <w:t xml:space="preserve"> no significant difference between genotypes in the Iba1</w:t>
      </w:r>
      <w:r w:rsidR="00264E3C" w:rsidRPr="006C7814">
        <w:t>+</w:t>
      </w:r>
      <w:r w:rsidR="00515C84" w:rsidRPr="006C7814">
        <w:t xml:space="preserve"> proportions. </w:t>
      </w:r>
      <w:r w:rsidR="008F1061" w:rsidRPr="006C7814">
        <w:t>F)</w:t>
      </w:r>
      <w:r w:rsidR="00264E3C" w:rsidRPr="006C7814">
        <w:t xml:space="preserve"> Shake-off cultures result in high numbers of Iba1+ microglia. </w:t>
      </w:r>
      <w:r w:rsidR="008F1061" w:rsidRPr="006C7814">
        <w:t>G</w:t>
      </w:r>
      <w:r w:rsidR="00264E3C" w:rsidRPr="006C7814">
        <w:t>) Genotype does not affect the purity</w:t>
      </w:r>
      <w:r w:rsidR="008F1061" w:rsidRPr="006C7814">
        <w:t>.</w:t>
      </w:r>
      <w:r w:rsidR="00264E3C" w:rsidRPr="006C7814">
        <w:t xml:space="preserve"> </w:t>
      </w:r>
    </w:p>
    <w:p w14:paraId="5906F64D" w14:textId="680D9E07" w:rsidR="00344E48" w:rsidRPr="006C7814" w:rsidRDefault="00344E48" w:rsidP="00344E48">
      <w:pPr>
        <w:spacing w:after="160" w:line="480" w:lineRule="auto"/>
        <w:jc w:val="both"/>
        <w:rPr>
          <w:u w:val="single"/>
        </w:rPr>
      </w:pPr>
      <w:r w:rsidRPr="006C7814">
        <w:lastRenderedPageBreak/>
        <w:t>Figure S</w:t>
      </w:r>
      <w:r w:rsidR="00515C84" w:rsidRPr="006C7814">
        <w:t>6</w:t>
      </w:r>
      <w:r w:rsidRPr="006C7814">
        <w:t xml:space="preserve">: </w:t>
      </w:r>
      <w:r w:rsidRPr="006C7814">
        <w:rPr>
          <w:i/>
          <w:iCs/>
        </w:rPr>
        <w:t>Distribution of adult born neurons is different in Cyfip1</w:t>
      </w:r>
      <w:r w:rsidRPr="006C7814">
        <w:rPr>
          <w:i/>
          <w:iCs/>
          <w:vertAlign w:val="superscript"/>
        </w:rPr>
        <w:t>+/-</w:t>
      </w:r>
      <w:r w:rsidRPr="006C7814">
        <w:rPr>
          <w:i/>
          <w:iCs/>
        </w:rPr>
        <w:t xml:space="preserve"> animals. </w:t>
      </w:r>
      <w:r w:rsidRPr="006C7814">
        <w:t xml:space="preserve">When dividing the thickness of the dentate gyrus into four equal quartiles, </w:t>
      </w:r>
      <w:proofErr w:type="spellStart"/>
      <w:r w:rsidRPr="006C7814">
        <w:t>NeuN</w:t>
      </w:r>
      <w:proofErr w:type="spellEnd"/>
      <w:r w:rsidRPr="006C7814">
        <w:t>+/</w:t>
      </w:r>
      <w:proofErr w:type="spellStart"/>
      <w:r w:rsidRPr="006C7814">
        <w:t>BrdU</w:t>
      </w:r>
      <w:proofErr w:type="spellEnd"/>
      <w:r w:rsidRPr="006C7814">
        <w:t xml:space="preserve">+ cells in </w:t>
      </w:r>
      <w:proofErr w:type="spellStart"/>
      <w:r w:rsidRPr="006C7814">
        <w:rPr>
          <w:i/>
          <w:iCs/>
        </w:rPr>
        <w:t>Cyfip</w:t>
      </w:r>
      <w:proofErr w:type="spellEnd"/>
      <w:r w:rsidRPr="006C7814">
        <w:rPr>
          <w:vertAlign w:val="superscript"/>
        </w:rPr>
        <w:t>+/-</w:t>
      </w:r>
      <w:r w:rsidRPr="006C7814">
        <w:t xml:space="preserve"> animals were significantly more likely to be found in the two quartiles proximal to the SGZ, compared to the more even distribution in wildtype littermates. </w:t>
      </w:r>
    </w:p>
    <w:p w14:paraId="14696485" w14:textId="7B23D836" w:rsidR="00344E48" w:rsidRPr="006C7814" w:rsidRDefault="00344E48" w:rsidP="006263C4">
      <w:pPr>
        <w:spacing w:line="480" w:lineRule="auto"/>
        <w:jc w:val="both"/>
      </w:pPr>
    </w:p>
    <w:p w14:paraId="03FBDF98" w14:textId="25467360" w:rsidR="009E67BA" w:rsidRDefault="009E67BA" w:rsidP="009E67BA">
      <w:pPr>
        <w:spacing w:after="160" w:line="480" w:lineRule="auto"/>
        <w:jc w:val="both"/>
      </w:pPr>
      <w:r w:rsidRPr="006C7814">
        <w:t>Figure S</w:t>
      </w:r>
      <w:r w:rsidR="00515C84" w:rsidRPr="006C7814">
        <w:t>7</w:t>
      </w:r>
      <w:r w:rsidRPr="006C7814">
        <w:t xml:space="preserve">: </w:t>
      </w:r>
      <w:r w:rsidRPr="006C7814">
        <w:rPr>
          <w:i/>
        </w:rPr>
        <w:t>Model for effects of Cyfip1 haploinsufficiency</w:t>
      </w:r>
      <w:r w:rsidRPr="006C7814">
        <w:t xml:space="preserve">. Progression of cells through the different stages of neurogenesis is unaltered though the early radial glial and intermediate progenitor stages, with no changes in number of </w:t>
      </w:r>
      <w:proofErr w:type="gramStart"/>
      <w:r w:rsidRPr="006C7814">
        <w:t>proliferation</w:t>
      </w:r>
      <w:proofErr w:type="gramEnd"/>
      <w:r w:rsidRPr="006C7814">
        <w:t xml:space="preserve">. However, when the doublecortin positive stage of development is reached, there is a failure of </w:t>
      </w:r>
      <w:r w:rsidRPr="006C7814">
        <w:rPr>
          <w:i/>
          <w:iCs/>
        </w:rPr>
        <w:t>Cyfip1</w:t>
      </w:r>
      <w:r w:rsidRPr="006C7814">
        <w:rPr>
          <w:vertAlign w:val="superscript"/>
        </w:rPr>
        <w:t>+/-</w:t>
      </w:r>
      <w:r w:rsidRPr="006C7814">
        <w:t xml:space="preserve"> microglia to induce neuronal apoptosis, as takes place in wild-type animals. This leads to the survival of a significantly larger number of immature neurons into maturity.</w:t>
      </w:r>
      <w:r w:rsidRPr="00845B6E">
        <w:t xml:space="preserve"> </w:t>
      </w:r>
    </w:p>
    <w:p w14:paraId="0856C623" w14:textId="77777777" w:rsidR="009E67BA" w:rsidRPr="006263C4" w:rsidRDefault="009E67BA" w:rsidP="006263C4">
      <w:pPr>
        <w:spacing w:line="480" w:lineRule="auto"/>
        <w:jc w:val="both"/>
      </w:pPr>
    </w:p>
    <w:sectPr w:rsidR="009E67BA" w:rsidRPr="006263C4" w:rsidSect="00947936">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C2C7D"/>
    <w:rsid w:val="00035413"/>
    <w:rsid w:val="00075E1A"/>
    <w:rsid w:val="00095210"/>
    <w:rsid w:val="00114C6C"/>
    <w:rsid w:val="00115839"/>
    <w:rsid w:val="00120CBE"/>
    <w:rsid w:val="00122025"/>
    <w:rsid w:val="00141B48"/>
    <w:rsid w:val="001539E2"/>
    <w:rsid w:val="001C0DCB"/>
    <w:rsid w:val="00264E3C"/>
    <w:rsid w:val="00286FD0"/>
    <w:rsid w:val="002C0553"/>
    <w:rsid w:val="00306905"/>
    <w:rsid w:val="00344E48"/>
    <w:rsid w:val="003B7A7E"/>
    <w:rsid w:val="0043715E"/>
    <w:rsid w:val="00456D5B"/>
    <w:rsid w:val="004A0F96"/>
    <w:rsid w:val="004A4B38"/>
    <w:rsid w:val="00515C84"/>
    <w:rsid w:val="005871DF"/>
    <w:rsid w:val="005B7B1A"/>
    <w:rsid w:val="005D3B11"/>
    <w:rsid w:val="00613B13"/>
    <w:rsid w:val="006263C4"/>
    <w:rsid w:val="00674D12"/>
    <w:rsid w:val="006907C7"/>
    <w:rsid w:val="00691611"/>
    <w:rsid w:val="006A63E2"/>
    <w:rsid w:val="006B2F9A"/>
    <w:rsid w:val="006B367F"/>
    <w:rsid w:val="006C2FD3"/>
    <w:rsid w:val="006C7814"/>
    <w:rsid w:val="006D178A"/>
    <w:rsid w:val="006F391B"/>
    <w:rsid w:val="0073734F"/>
    <w:rsid w:val="00753C48"/>
    <w:rsid w:val="007B1093"/>
    <w:rsid w:val="00804FCB"/>
    <w:rsid w:val="00817A6A"/>
    <w:rsid w:val="0082680E"/>
    <w:rsid w:val="00860180"/>
    <w:rsid w:val="008B60A8"/>
    <w:rsid w:val="008F1061"/>
    <w:rsid w:val="00906914"/>
    <w:rsid w:val="00947936"/>
    <w:rsid w:val="0097375A"/>
    <w:rsid w:val="0098219A"/>
    <w:rsid w:val="009E2D1C"/>
    <w:rsid w:val="009E67BA"/>
    <w:rsid w:val="009F40E7"/>
    <w:rsid w:val="00A06E7E"/>
    <w:rsid w:val="00A27348"/>
    <w:rsid w:val="00A31E12"/>
    <w:rsid w:val="00A620C4"/>
    <w:rsid w:val="00A62AA4"/>
    <w:rsid w:val="00A85D3E"/>
    <w:rsid w:val="00A90B24"/>
    <w:rsid w:val="00AA361A"/>
    <w:rsid w:val="00AC2F19"/>
    <w:rsid w:val="00AC5E79"/>
    <w:rsid w:val="00AD5345"/>
    <w:rsid w:val="00BC663A"/>
    <w:rsid w:val="00BD0AAB"/>
    <w:rsid w:val="00BD0B04"/>
    <w:rsid w:val="00BF4504"/>
    <w:rsid w:val="00BF7925"/>
    <w:rsid w:val="00C32A33"/>
    <w:rsid w:val="00C57BA9"/>
    <w:rsid w:val="00CF1161"/>
    <w:rsid w:val="00CF59BA"/>
    <w:rsid w:val="00CF6827"/>
    <w:rsid w:val="00D722E5"/>
    <w:rsid w:val="00DE16FF"/>
    <w:rsid w:val="00E114C6"/>
    <w:rsid w:val="00E14B92"/>
    <w:rsid w:val="00E628C3"/>
    <w:rsid w:val="00E87942"/>
    <w:rsid w:val="00E96EAB"/>
    <w:rsid w:val="00EC2C7D"/>
    <w:rsid w:val="00F429FF"/>
    <w:rsid w:val="00F44B91"/>
    <w:rsid w:val="00F51DA8"/>
    <w:rsid w:val="00F9116C"/>
    <w:rsid w:val="00FC580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CDAF84"/>
  <w15:chartTrackingRefBased/>
  <w15:docId w15:val="{66BB4785-0279-4337-800A-6EC67FE959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C7D"/>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C2C7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722E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722E5"/>
    <w:rPr>
      <w:rFonts w:ascii="Segoe UI"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65042881">
      <w:bodyDiv w:val="1"/>
      <w:marLeft w:val="0"/>
      <w:marRight w:val="0"/>
      <w:marTop w:val="0"/>
      <w:marBottom w:val="0"/>
      <w:divBdr>
        <w:top w:val="none" w:sz="0" w:space="0" w:color="auto"/>
        <w:left w:val="none" w:sz="0" w:space="0" w:color="auto"/>
        <w:bottom w:val="none" w:sz="0" w:space="0" w:color="auto"/>
        <w:right w:val="none" w:sz="0" w:space="0" w:color="auto"/>
      </w:divBdr>
    </w:div>
    <w:div w:id="562378048">
      <w:bodyDiv w:val="1"/>
      <w:marLeft w:val="0"/>
      <w:marRight w:val="0"/>
      <w:marTop w:val="0"/>
      <w:marBottom w:val="0"/>
      <w:divBdr>
        <w:top w:val="none" w:sz="0" w:space="0" w:color="auto"/>
        <w:left w:val="none" w:sz="0" w:space="0" w:color="auto"/>
        <w:bottom w:val="none" w:sz="0" w:space="0" w:color="auto"/>
        <w:right w:val="none" w:sz="0" w:space="0" w:color="auto"/>
      </w:divBdr>
    </w:div>
    <w:div w:id="731932345">
      <w:bodyDiv w:val="1"/>
      <w:marLeft w:val="0"/>
      <w:marRight w:val="0"/>
      <w:marTop w:val="0"/>
      <w:marBottom w:val="0"/>
      <w:divBdr>
        <w:top w:val="none" w:sz="0" w:space="0" w:color="auto"/>
        <w:left w:val="none" w:sz="0" w:space="0" w:color="auto"/>
        <w:bottom w:val="none" w:sz="0" w:space="0" w:color="auto"/>
        <w:right w:val="none" w:sz="0" w:space="0" w:color="auto"/>
      </w:divBdr>
    </w:div>
    <w:div w:id="1172336747">
      <w:bodyDiv w:val="1"/>
      <w:marLeft w:val="0"/>
      <w:marRight w:val="0"/>
      <w:marTop w:val="0"/>
      <w:marBottom w:val="0"/>
      <w:divBdr>
        <w:top w:val="none" w:sz="0" w:space="0" w:color="auto"/>
        <w:left w:val="none" w:sz="0" w:space="0" w:color="auto"/>
        <w:bottom w:val="none" w:sz="0" w:space="0" w:color="auto"/>
        <w:right w:val="none" w:sz="0" w:space="0" w:color="auto"/>
      </w:divBdr>
    </w:div>
    <w:div w:id="1476529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C40519D-F094-4060-94BE-ECC8F3D0D6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42</TotalTime>
  <Pages>9</Pages>
  <Words>2669</Words>
  <Characters>15216</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Cardiff University</Company>
  <LinksUpToDate>false</LinksUpToDate>
  <CharactersWithSpaces>17850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insrv</dc:creator>
  <cp:keywords/>
  <dc:description/>
  <cp:lastModifiedBy>Niels Haan</cp:lastModifiedBy>
  <cp:revision>14</cp:revision>
  <cp:lastPrinted>2020-07-14T09:55:00Z</cp:lastPrinted>
  <dcterms:created xsi:type="dcterms:W3CDTF">2021-01-05T12:21:00Z</dcterms:created>
  <dcterms:modified xsi:type="dcterms:W3CDTF">2021-05-03T11:34:00Z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f362f288-2212-3b74-803e-1ef82f25ff0f</vt:lpwstr>
  </property>
  <property fmtid="{D5CDD505-2E9C-101B-9397-08002B2CF9AE}" pid="4" name="Mendeley Citation Style_1">
    <vt:lpwstr>http://csl.mendeley.com/styles/511071201/nature-publishing-group-vancouver</vt:lpwstr>
  </property>
  <property fmtid="{D5CDD505-2E9C-101B-9397-08002B2CF9AE}" pid="5" name="Mendeley Recent Style Id 0_1">
    <vt:lpwstr>http://www.zotero.org/styles/american-sociological-association</vt:lpwstr>
  </property>
  <property fmtid="{D5CDD505-2E9C-101B-9397-08002B2CF9AE}" pid="6" name="Mendeley Recent Style Name 0_1">
    <vt:lpwstr>American Sociological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http://www.zotero.org/styles/current-biology</vt:lpwstr>
  </property>
  <property fmtid="{D5CDD505-2E9C-101B-9397-08002B2CF9AE}" pid="12" name="Mendeley Recent Style Name 3_1">
    <vt:lpwstr>Current Biology</vt:lpwstr>
  </property>
  <property fmtid="{D5CDD505-2E9C-101B-9397-08002B2CF9AE}" pid="13" name="Mendeley Recent Style Id 4_1">
    <vt:lpwstr>http://csl.mendeley.com/styles/511071201/Grant-minimal</vt:lpwstr>
  </property>
  <property fmtid="{D5CDD505-2E9C-101B-9397-08002B2CF9AE}" pid="14" name="Mendeley Recent Style Name 4_1">
    <vt:lpwstr>Grant minimal</vt:lpwstr>
  </property>
  <property fmtid="{D5CDD505-2E9C-101B-9397-08002B2CF9AE}" pid="15" name="Mendeley Recent Style Id 5_1">
    <vt:lpwstr>http://www.zotero.org/styles/nature</vt:lpwstr>
  </property>
  <property fmtid="{D5CDD505-2E9C-101B-9397-08002B2CF9AE}" pid="16" name="Mendeley Recent Style Name 5_1">
    <vt:lpwstr>Nature</vt:lpwstr>
  </property>
  <property fmtid="{D5CDD505-2E9C-101B-9397-08002B2CF9AE}" pid="17" name="Mendeley Recent Style Id 6_1">
    <vt:lpwstr>http://csl.mendeley.com/styles/511071201/nature-publishing-group-vancouver</vt:lpwstr>
  </property>
  <property fmtid="{D5CDD505-2E9C-101B-9397-08002B2CF9AE}" pid="18" name="Mendeley Recent Style Name 6_1">
    <vt:lpwstr>Nature Publishing Group - Vancouver - Niels Haan</vt:lpwstr>
  </property>
  <property fmtid="{D5CDD505-2E9C-101B-9397-08002B2CF9AE}" pid="19" name="Mendeley Recent Style Id 7_1">
    <vt:lpwstr>https://csl.mendeley.com/styles/511071201/nature-publishing-group-vancouver</vt:lpwstr>
  </property>
  <property fmtid="{D5CDD505-2E9C-101B-9397-08002B2CF9AE}" pid="20" name="Mendeley Recent Style Name 7_1">
    <vt:lpwstr>Nature Publishing Group - Vancouver - Niels Haan</vt:lpwstr>
  </property>
  <property fmtid="{D5CDD505-2E9C-101B-9397-08002B2CF9AE}" pid="21" name="Mendeley Recent Style Id 8_1">
    <vt:lpwstr>http://www.zotero.org/styles/translational-psychiatry</vt:lpwstr>
  </property>
  <property fmtid="{D5CDD505-2E9C-101B-9397-08002B2CF9AE}" pid="22" name="Mendeley Recent Style Name 8_1">
    <vt:lpwstr>Translational Psychiatry</vt:lpwstr>
  </property>
  <property fmtid="{D5CDD505-2E9C-101B-9397-08002B2CF9AE}" pid="23" name="Mendeley Recent Style Id 9_1">
    <vt:lpwstr>http://www.zotero.org/styles/vancouver</vt:lpwstr>
  </property>
  <property fmtid="{D5CDD505-2E9C-101B-9397-08002B2CF9AE}" pid="24" name="Mendeley Recent Style Name 9_1">
    <vt:lpwstr>Vancouver</vt:lpwstr>
  </property>
</Properties>
</file>