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D7843" w14:textId="77777777" w:rsidR="005634A1" w:rsidRDefault="005634A1" w:rsidP="005634A1">
      <w:pPr>
        <w:rPr>
          <w:color w:val="000000" w:themeColor="text1"/>
        </w:rPr>
      </w:pPr>
    </w:p>
    <w:p w14:paraId="07BB5B70" w14:textId="77777777" w:rsidR="005634A1" w:rsidRDefault="005634A1" w:rsidP="005634A1">
      <w:pPr>
        <w:rPr>
          <w:color w:val="000000" w:themeColor="text1"/>
        </w:rPr>
      </w:pPr>
    </w:p>
    <w:p w14:paraId="39AF9AE6" w14:textId="77777777" w:rsidR="005634A1" w:rsidRPr="005C7249" w:rsidRDefault="005634A1" w:rsidP="005634A1">
      <w:pPr>
        <w:rPr>
          <w:b/>
          <w:color w:val="000000" w:themeColor="text1"/>
          <w:sz w:val="48"/>
          <w:szCs w:val="48"/>
        </w:rPr>
      </w:pPr>
      <w:r w:rsidRPr="005C7249">
        <w:rPr>
          <w:b/>
          <w:color w:val="000000" w:themeColor="text1"/>
          <w:sz w:val="48"/>
          <w:szCs w:val="48"/>
        </w:rPr>
        <w:t>Supplement</w:t>
      </w:r>
    </w:p>
    <w:p w14:paraId="20D640C6" w14:textId="77777777" w:rsidR="005634A1" w:rsidRDefault="005634A1" w:rsidP="005634A1">
      <w:pPr>
        <w:rPr>
          <w:color w:val="000000" w:themeColor="text1"/>
        </w:rPr>
      </w:pPr>
    </w:p>
    <w:p w14:paraId="6C8A52B0" w14:textId="2BA55727" w:rsidR="005634A1" w:rsidRDefault="005634A1" w:rsidP="005634A1">
      <w:pPr>
        <w:rPr>
          <w:color w:val="000000" w:themeColor="text1"/>
        </w:rPr>
      </w:pPr>
    </w:p>
    <w:p w14:paraId="11930B0C" w14:textId="0FD1674A" w:rsidR="005634A1" w:rsidRPr="002B460E" w:rsidRDefault="006636C7" w:rsidP="005634A1">
      <w:pPr>
        <w:rPr>
          <w:b/>
          <w:color w:val="000000" w:themeColor="text1"/>
        </w:rPr>
      </w:pPr>
      <w:r>
        <w:rPr>
          <w:b/>
          <w:color w:val="000000" w:themeColor="text1"/>
        </w:rPr>
        <w:t>1.</w:t>
      </w:r>
      <w:r w:rsidR="001808CC">
        <w:rPr>
          <w:b/>
          <w:color w:val="000000" w:themeColor="text1"/>
        </w:rPr>
        <w:tab/>
      </w:r>
      <w:r w:rsidR="00480949">
        <w:rPr>
          <w:b/>
          <w:color w:val="000000" w:themeColor="text1"/>
        </w:rPr>
        <w:t>F</w:t>
      </w:r>
      <w:r w:rsidR="00480949" w:rsidRPr="00513951">
        <w:rPr>
          <w:rFonts w:cs="Arial"/>
          <w:b/>
          <w:bCs/>
          <w:color w:val="000000"/>
        </w:rPr>
        <w:t>MRI Preprocessing and Connectome Generation</w:t>
      </w:r>
    </w:p>
    <w:p w14:paraId="48A07C9D" w14:textId="5333887D" w:rsidR="00C446F2" w:rsidRDefault="00C446F2" w:rsidP="00EF35FA">
      <w:pPr>
        <w:rPr>
          <w:color w:val="000000" w:themeColor="text1"/>
        </w:rPr>
      </w:pPr>
    </w:p>
    <w:p w14:paraId="22FFD3CA" w14:textId="1AC7C0B8" w:rsidR="00F33070" w:rsidRDefault="00F33070" w:rsidP="00F33070">
      <w:pPr>
        <w:rPr>
          <w:rStyle w:val="aromatexttrue"/>
          <w:rFonts w:cstheme="minorHAnsi"/>
          <w:color w:val="000000" w:themeColor="text1"/>
        </w:rPr>
      </w:pPr>
      <w:r>
        <w:rPr>
          <w:rFonts w:cstheme="minorHAnsi"/>
          <w:color w:val="000000" w:themeColor="text1"/>
        </w:rPr>
        <w:t>Preprocessing was</w:t>
      </w:r>
      <w:r w:rsidRPr="00B371FC">
        <w:rPr>
          <w:rFonts w:cstheme="minorHAnsi"/>
          <w:color w:val="000000" w:themeColor="text1"/>
        </w:rPr>
        <w:t xml:space="preserve"> performed using </w:t>
      </w:r>
      <w:proofErr w:type="spellStart"/>
      <w:r>
        <w:rPr>
          <w:rFonts w:cstheme="minorHAnsi"/>
          <w:color w:val="000000" w:themeColor="text1"/>
        </w:rPr>
        <w:t>f</w:t>
      </w:r>
      <w:r w:rsidRPr="00B371FC">
        <w:rPr>
          <w:rFonts w:cstheme="minorHAnsi"/>
          <w:color w:val="000000" w:themeColor="text1"/>
        </w:rPr>
        <w:t>MRIP</w:t>
      </w:r>
      <w:r>
        <w:rPr>
          <w:rFonts w:cstheme="minorHAnsi"/>
          <w:color w:val="000000" w:themeColor="text1"/>
        </w:rPr>
        <w:t>rep</w:t>
      </w:r>
      <w:proofErr w:type="spellEnd"/>
      <w:r w:rsidRPr="00B371FC">
        <w:rPr>
          <w:rFonts w:cstheme="minorHAnsi"/>
          <w:color w:val="000000" w:themeColor="text1"/>
        </w:rPr>
        <w:t xml:space="preserve"> version </w:t>
      </w:r>
      <w:r>
        <w:rPr>
          <w:rFonts w:cstheme="minorHAnsi"/>
          <w:color w:val="000000" w:themeColor="text1"/>
        </w:rPr>
        <w:t xml:space="preserve">1.5.0 </w:t>
      </w:r>
      <w:r>
        <w:rPr>
          <w:rFonts w:cstheme="minorHAnsi"/>
          <w:color w:val="000000" w:themeColor="text1"/>
        </w:rPr>
        <w:fldChar w:fldCharType="begin"/>
      </w:r>
      <w:r w:rsidR="0094155F">
        <w:rPr>
          <w:rFonts w:cstheme="minorHAnsi"/>
          <w:color w:val="000000" w:themeColor="text1"/>
        </w:rPr>
        <w:instrText xml:space="preserve"> ADDIN ZOTERO_ITEM CSL_CITATION {"citationID":"a2mbqj8ikb7","properties":{"formattedCitation":"(1)","plainCitation":"(1)","noteIndex":0},"citationItems":[{"id":7033,"uris":["http://zotero.org/users/715749/items/AWMIVHUX"],"uri":["http://zotero.org/users/715749/items/AWMIVHUX"],"itemData":{"id":7033,"type":"article-journal","container-title":"Nature methods","issue":"1","page":"111","title":"fMRIPrep: a robust preprocessing pipeline for functional MRI","volume":"16","author":[{"family":"Esteban","given":"Oscar"},{"family":"Markiewicz","given":"Christopher J."},{"family":"Blair","given":"Ross W."},{"family":"Moodie","given":"Craig A."},{"family":"Isik","given":"A. Ilkay"},{"family":"Erramuzpe","given":"Asier"},{"family":"Kent","given":"James D."},{"family":"Goncalves","given":"Mathias"},{"family":"DuPre","given":"Elizabeth"},{"family":"Snyder","given":"Madeleine"}],"issued":{"date-parts":[["2019"]]}}}],"schema":"https://github.com/citation-style-language/schema/raw/master/csl-citation.json"} </w:instrText>
      </w:r>
      <w:r>
        <w:rPr>
          <w:rFonts w:cstheme="minorHAnsi"/>
          <w:color w:val="000000" w:themeColor="text1"/>
        </w:rPr>
        <w:fldChar w:fldCharType="separate"/>
      </w:r>
      <w:r w:rsidR="0094155F">
        <w:rPr>
          <w:rFonts w:ascii="Calibri" w:cs="Calibri"/>
          <w:color w:val="000000"/>
        </w:rPr>
        <w:t>(1)</w:t>
      </w:r>
      <w:r>
        <w:rPr>
          <w:rFonts w:cstheme="minorHAnsi"/>
          <w:color w:val="000000" w:themeColor="text1"/>
        </w:rPr>
        <w:fldChar w:fldCharType="end"/>
      </w:r>
      <w:r>
        <w:rPr>
          <w:rFonts w:cstheme="minorHAnsi"/>
          <w:color w:val="000000" w:themeColor="text1"/>
        </w:rPr>
        <w:t xml:space="preserve">, </w:t>
      </w:r>
      <w:r w:rsidRPr="00B371FC">
        <w:rPr>
          <w:rFonts w:cstheme="minorHAnsi"/>
          <w:color w:val="000000" w:themeColor="text1"/>
        </w:rPr>
        <w:t xml:space="preserve">a </w:t>
      </w:r>
      <w:proofErr w:type="spellStart"/>
      <w:r w:rsidRPr="00B371FC">
        <w:rPr>
          <w:rFonts w:cstheme="minorHAnsi"/>
          <w:color w:val="000000" w:themeColor="text1"/>
        </w:rPr>
        <w:t>Nipype</w:t>
      </w:r>
      <w:proofErr w:type="spellEnd"/>
      <w:r>
        <w:rPr>
          <w:rFonts w:cstheme="minorHAnsi"/>
          <w:color w:val="000000" w:themeColor="text1"/>
        </w:rPr>
        <w:t xml:space="preserve"> </w:t>
      </w:r>
      <w:r>
        <w:rPr>
          <w:rFonts w:cstheme="minorHAnsi"/>
          <w:color w:val="000000" w:themeColor="text1"/>
        </w:rPr>
        <w:fldChar w:fldCharType="begin"/>
      </w:r>
      <w:r w:rsidR="0094155F">
        <w:rPr>
          <w:rFonts w:cstheme="minorHAnsi"/>
          <w:color w:val="000000" w:themeColor="text1"/>
        </w:rPr>
        <w:instrText xml:space="preserve"> ADDIN ZOTERO_ITEM CSL_CITATION {"citationID":"a81ppvipv0","properties":{"formattedCitation":"(2)","plainCitation":"(2)","noteIndex":0},"citationItems":[{"id":7671,"uris":["http://zotero.org/users/715749/items/E9ZMU5ZC"],"uri":["http://zotero.org/users/715749/items/E9ZMU5ZC"],"itemData":{"id":7671,"type":"article-journal","container-title":"Frontiers in neuroinformatics","page":"13","title":"Nipype: a flexible, lightweight and extensible neuroimaging data processing framework in python","volume":"5","author":[{"family":"Gorgolewski","given":"Krzysztof"},{"family":"Burns","given":"Christopher D."},{"family":"Madison","given":"Cindee"},{"family":"Clark","given":"Dav"},{"family":"Halchenko","given":"Yaroslav O."},{"family":"Waskom","given":"Michael L."},{"family":"Ghosh","given":"Satrajit S."}],"issued":{"date-parts":[["2011"]]}}}],"schema":"https://github.com/citation-style-language/schema/raw/master/csl-citation.json"} </w:instrText>
      </w:r>
      <w:r>
        <w:rPr>
          <w:rFonts w:cstheme="minorHAnsi"/>
          <w:color w:val="000000" w:themeColor="text1"/>
        </w:rPr>
        <w:fldChar w:fldCharType="separate"/>
      </w:r>
      <w:r w:rsidR="0094155F">
        <w:rPr>
          <w:rFonts w:ascii="Calibri" w:cs="Calibri"/>
          <w:color w:val="000000"/>
        </w:rPr>
        <w:t>(2)</w:t>
      </w:r>
      <w:r>
        <w:rPr>
          <w:rFonts w:cstheme="minorHAnsi"/>
          <w:color w:val="000000" w:themeColor="text1"/>
        </w:rPr>
        <w:fldChar w:fldCharType="end"/>
      </w:r>
      <w:r w:rsidRPr="00B371FC">
        <w:rPr>
          <w:rFonts w:cstheme="minorHAnsi"/>
          <w:color w:val="000000" w:themeColor="text1"/>
        </w:rPr>
        <w:t xml:space="preserve"> based tool. </w:t>
      </w:r>
      <w:r>
        <w:rPr>
          <w:rFonts w:cstheme="minorHAnsi"/>
          <w:color w:val="000000" w:themeColor="text1"/>
        </w:rPr>
        <w:t xml:space="preserve">Full details of the </w:t>
      </w:r>
      <w:proofErr w:type="spellStart"/>
      <w:r>
        <w:rPr>
          <w:rFonts w:cstheme="minorHAnsi"/>
          <w:color w:val="000000" w:themeColor="text1"/>
        </w:rPr>
        <w:t>fMRIPrep</w:t>
      </w:r>
      <w:proofErr w:type="spellEnd"/>
      <w:r>
        <w:rPr>
          <w:rFonts w:cstheme="minorHAnsi"/>
          <w:color w:val="000000" w:themeColor="text1"/>
        </w:rPr>
        <w:t xml:space="preserve"> analysis can be found in supplemental materials. Briefly, T1-weighted (T1w) and T2-weighted images were run through recon-all using </w:t>
      </w:r>
      <w:proofErr w:type="spellStart"/>
      <w:r>
        <w:rPr>
          <w:rFonts w:cstheme="minorHAnsi"/>
          <w:color w:val="000000" w:themeColor="text1"/>
        </w:rPr>
        <w:t>FreeSurfer</w:t>
      </w:r>
      <w:proofErr w:type="spellEnd"/>
      <w:r>
        <w:rPr>
          <w:rFonts w:cstheme="minorHAnsi"/>
          <w:color w:val="000000" w:themeColor="text1"/>
        </w:rPr>
        <w:t xml:space="preserve"> v6.0.1. T1w images were also spatially normalized nonlinearly to MNI152NLin6Asym space using ANTs 2.2.0. Each functional run was corrected for </w:t>
      </w:r>
      <w:proofErr w:type="spellStart"/>
      <w:r>
        <w:rPr>
          <w:rFonts w:cstheme="minorHAnsi"/>
          <w:color w:val="000000" w:themeColor="text1"/>
        </w:rPr>
        <w:t>fieldmap</w:t>
      </w:r>
      <w:proofErr w:type="spellEnd"/>
      <w:r>
        <w:rPr>
          <w:rFonts w:cstheme="minorHAnsi"/>
          <w:color w:val="000000" w:themeColor="text1"/>
        </w:rPr>
        <w:t xml:space="preserve"> distortions, rigidly coregistered to the T1, motion corrected, and normalized to standard space. ICA-AROMA was run to generate aggressive noise regressors. Anatomical </w:t>
      </w:r>
      <w:proofErr w:type="spellStart"/>
      <w:r>
        <w:rPr>
          <w:rFonts w:cstheme="minorHAnsi"/>
          <w:color w:val="000000" w:themeColor="text1"/>
        </w:rPr>
        <w:t>CompCor</w:t>
      </w:r>
      <w:proofErr w:type="spellEnd"/>
      <w:r>
        <w:rPr>
          <w:rFonts w:cstheme="minorHAnsi"/>
          <w:color w:val="000000" w:themeColor="text1"/>
        </w:rPr>
        <w:t xml:space="preserve"> was run and the top 5 principal components of both CSF and white matter were retained. Functional data were transformed to CIFTI space using HCP’s Connectome Workbench</w:t>
      </w:r>
      <w:r>
        <w:t>.</w:t>
      </w:r>
      <w:r>
        <w:rPr>
          <w:rFonts w:cstheme="minorHAnsi"/>
          <w:color w:val="000000" w:themeColor="text1"/>
        </w:rPr>
        <w:t xml:space="preserve"> </w:t>
      </w:r>
      <w:r>
        <w:rPr>
          <w:rStyle w:val="aromatexttrue"/>
          <w:rFonts w:cstheme="minorHAnsi"/>
          <w:color w:val="000000" w:themeColor="text1"/>
        </w:rPr>
        <w:t>All preprocessed data were visually inspected at two separate stages to ensure only high-quality data was included: After co-registration of the functional data to the structural data and after registration of the functional data to MNI template space.</w:t>
      </w:r>
    </w:p>
    <w:p w14:paraId="4B6CACF8" w14:textId="77777777" w:rsidR="00F33070" w:rsidRDefault="00F33070" w:rsidP="00F33070">
      <w:pPr>
        <w:rPr>
          <w:rStyle w:val="aromatexttrue"/>
          <w:rFonts w:eastAsia="Times New Roman"/>
        </w:rPr>
      </w:pPr>
    </w:p>
    <w:p w14:paraId="233495F7" w14:textId="08BFED30" w:rsidR="00F33070" w:rsidRDefault="00F33070" w:rsidP="00F33070">
      <w:pPr>
        <w:rPr>
          <w:rStyle w:val="aromatexttrue"/>
          <w:rFonts w:eastAsia="Times New Roman"/>
        </w:rPr>
      </w:pPr>
      <w:r>
        <w:rPr>
          <w:rStyle w:val="aromatexttrue"/>
          <w:rFonts w:eastAsia="Times New Roman"/>
        </w:rPr>
        <w:t xml:space="preserve">Connectomes were generated for each functional run using the Gordon 333 parcel atlas </w:t>
      </w:r>
      <w:r>
        <w:rPr>
          <w:rStyle w:val="aromatexttrue"/>
          <w:rFonts w:eastAsia="Times New Roman"/>
        </w:rPr>
        <w:fldChar w:fldCharType="begin"/>
      </w:r>
      <w:r w:rsidR="0094155F">
        <w:rPr>
          <w:rStyle w:val="aromatexttrue"/>
          <w:rFonts w:eastAsia="Times New Roman"/>
        </w:rPr>
        <w:instrText xml:space="preserve"> ADDIN ZOTERO_ITEM CSL_CITATION {"citationID":"a494bcgl53","properties":{"formattedCitation":"(3)","plainCitation":"(3)","noteIndex":0},"citationItems":[{"id":7068,"uris":["http://zotero.org/users/715749/items/XVF56Z6B"],"uri":["http://zotero.org/users/715749/items/XVF56Z6B"],"itemData":{"id":7068,"type":"article-journal","abstract":"The cortical surface is organized into a large number of cortical areas; however, these areas have not been comprehensively mapped in the human. Abrupt transitions in resting-state functional connectivity (RSFC) patterns can noninvasively identify locations of putative borders between cortical areas (RSFC-boundary mapping; Cohen et al. 2008). Here we describe a technique for using RSFC-boundary maps to define parcels that represent putative cortical areas. These parcels had highly homogenous RSFC patterns, indicating that they contained one unique RSFC signal; furthermore, the parcels were much more homogenous than a null model matched for parcel size when tested in two separate datasets. Several alternative parcellation schemes were tested this way, and no other parcellation was as homogenous as or had as large a difference compared with its null model. The boundary map-derived parcellation contained parcels that overlapped with architectonic mapping of areas 17, 2, 3, and 4. These parcels had a network structure similar to the known network structure of the brain, and their connectivity patterns were reliable across individual subjects. These observations suggest that RSFC-boundary map-derived parcels provide information about the location and extent of human cortical areas. A parcellation generated using this method is available at http://www.nil.wustl.edu/labs/petersen/Resources.html.","container-title":"Cerebral Cortex (New York, N.Y.: 1991)","DOI":"10.1093/cercor/bhu239","ISSN":"1460-2199","issue":"1","journalAbbreviation":"Cereb. Cortex","language":"eng","note":"PMID: 25316338\nPMCID: PMC4677978","page":"288-303","source":"PubMed","title":"Generation and Evaluation of a Cortical Area Parcellation from Resting-State Correlations","volume":"26","author":[{"family":"Gordon","given":"Evan M."},{"family":"Laumann","given":"Timothy O."},{"family":"Adeyemo","given":"Babatunde"},{"family":"Huckins","given":"Jeremy F."},{"family":"Kelley","given":"William M."},{"family":"Petersen","given":"Steven E."}],"issued":{"date-parts":[["2016",1]]}}}],"schema":"https://github.com/citation-style-language/schema/raw/master/csl-citation.json"} </w:instrText>
      </w:r>
      <w:r>
        <w:rPr>
          <w:rStyle w:val="aromatexttrue"/>
          <w:rFonts w:eastAsia="Times New Roman"/>
        </w:rPr>
        <w:fldChar w:fldCharType="separate"/>
      </w:r>
      <w:r w:rsidR="0094155F">
        <w:rPr>
          <w:rFonts w:ascii="Calibri" w:cs="Calibri"/>
        </w:rPr>
        <w:t>(3)</w:t>
      </w:r>
      <w:r>
        <w:rPr>
          <w:rStyle w:val="aromatexttrue"/>
          <w:rFonts w:eastAsia="Times New Roman"/>
        </w:rPr>
        <w:fldChar w:fldCharType="end"/>
      </w:r>
      <w:r>
        <w:rPr>
          <w:rStyle w:val="aromatexttrue"/>
          <w:rFonts w:eastAsia="Times New Roman"/>
        </w:rPr>
        <w:t xml:space="preserve">, augmented with parcels from high-resolution subcortical </w:t>
      </w:r>
      <w:r>
        <w:rPr>
          <w:rStyle w:val="aromatexttrue"/>
          <w:rFonts w:eastAsia="Times New Roman"/>
        </w:rPr>
        <w:fldChar w:fldCharType="begin"/>
      </w:r>
      <w:r w:rsidR="0094155F">
        <w:rPr>
          <w:rStyle w:val="aromatexttrue"/>
          <w:rFonts w:eastAsia="Times New Roman"/>
        </w:rPr>
        <w:instrText xml:space="preserve"> ADDIN ZOTERO_ITEM CSL_CITATION {"citationID":"aaamid25t7","properties":{"formattedCitation":"(4)","plainCitation":"(4)","noteIndex":0},"citationItems":[{"id":7676,"uris":["http://zotero.org/users/715749/items/C8XIICGA"],"uri":["http://zotero.org/users/715749/items/C8XIICGA"],"itemData":{"id":7676,"type":"article-journal","container-title":"bioRxiv","title":"Hierarchical organization of the human subcortex unveiled with functional connectivity gradients","author":[{"family":"Tian","given":"Ye"},{"family":"Margulies","given":"Daniel S."},{"family":"Breakspear","given":"Michael"},{"family":"Zalesky","given":"Andrew"}],"issued":{"date-parts":[["2020"]]}}}],"schema":"https://github.com/citation-style-language/schema/raw/master/csl-citation.json"} </w:instrText>
      </w:r>
      <w:r>
        <w:rPr>
          <w:rStyle w:val="aromatexttrue"/>
          <w:rFonts w:eastAsia="Times New Roman"/>
        </w:rPr>
        <w:fldChar w:fldCharType="separate"/>
      </w:r>
      <w:r w:rsidR="0094155F">
        <w:rPr>
          <w:rFonts w:ascii="Calibri" w:cs="Calibri"/>
        </w:rPr>
        <w:t>(4)</w:t>
      </w:r>
      <w:r>
        <w:rPr>
          <w:rStyle w:val="aromatexttrue"/>
          <w:rFonts w:eastAsia="Times New Roman"/>
        </w:rPr>
        <w:fldChar w:fldCharType="end"/>
      </w:r>
      <w:r>
        <w:rPr>
          <w:rStyle w:val="aromatexttrue"/>
          <w:rFonts w:eastAsia="Times New Roman"/>
        </w:rPr>
        <w:t xml:space="preserve"> and cerebellar </w:t>
      </w:r>
      <w:r>
        <w:rPr>
          <w:rStyle w:val="aromatexttrue"/>
          <w:rFonts w:eastAsia="Times New Roman"/>
        </w:rPr>
        <w:fldChar w:fldCharType="begin"/>
      </w:r>
      <w:r w:rsidR="0094155F">
        <w:rPr>
          <w:rStyle w:val="aromatexttrue"/>
          <w:rFonts w:eastAsia="Times New Roman"/>
        </w:rPr>
        <w:instrText xml:space="preserve"> ADDIN ZOTERO_ITEM CSL_CITATION {"citationID":"a26pgt10b0k","properties":{"formattedCitation":"(5)","plainCitation":"(5)","noteIndex":0},"citationItems":[{"id":7677,"uris":["http://zotero.org/users/715749/items/PB6VXA94"],"uri":["http://zotero.org/users/715749/items/PB6VXA94"],"itemData":{"id":7677,"type":"article-journal","container-title":"Neuroimage","issue":"3","page":"1786-1794","title":"Imaging the deep cerebellar nuclei: a probabilistic atlas and normalization procedure","volume":"54","author":[{"family":"Diedrichsen","given":"Jörn"},{"family":"Maderwald","given":"Stefan"},{"family":"Küper","given":"M."},{"family":"Thürling","given":"M."},{"family":"Rabe","given":"K."},{"family":"Gizewski","given":"E. R."},{"family":"Ladd","given":"Mark E."},{"family":"Timmann","given":"Dagmar"}],"issued":{"date-parts":[["2011"]]}}}],"schema":"https://github.com/citation-style-language/schema/raw/master/csl-citation.json"} </w:instrText>
      </w:r>
      <w:r>
        <w:rPr>
          <w:rStyle w:val="aromatexttrue"/>
          <w:rFonts w:eastAsia="Times New Roman"/>
        </w:rPr>
        <w:fldChar w:fldCharType="separate"/>
      </w:r>
      <w:r w:rsidR="0094155F">
        <w:rPr>
          <w:rFonts w:ascii="Calibri" w:cs="Calibri"/>
        </w:rPr>
        <w:t>(5)</w:t>
      </w:r>
      <w:r>
        <w:rPr>
          <w:rStyle w:val="aromatexttrue"/>
          <w:rFonts w:eastAsia="Times New Roman"/>
        </w:rPr>
        <w:fldChar w:fldCharType="end"/>
      </w:r>
      <w:r>
        <w:rPr>
          <w:rStyle w:val="aromatexttrue"/>
          <w:rFonts w:eastAsia="Times New Roman"/>
        </w:rPr>
        <w:t xml:space="preserve"> atlases. Volumes exceeding a framewise displacement threshold of 0.5mm were marked to be censored. Covariates were regressed out of the time series in a single step </w:t>
      </w:r>
      <w:r>
        <w:rPr>
          <w:rStyle w:val="aromatexttrue"/>
          <w:rFonts w:eastAsia="Times New Roman"/>
        </w:rPr>
        <w:fldChar w:fldCharType="begin"/>
      </w:r>
      <w:r w:rsidR="0094155F">
        <w:rPr>
          <w:rStyle w:val="aromatexttrue"/>
          <w:rFonts w:eastAsia="Times New Roman"/>
        </w:rPr>
        <w:instrText xml:space="preserve"> ADDIN ZOTERO_ITEM CSL_CITATION {"citationID":"CxJjx83i","properties":{"formattedCitation":"(6)","plainCitation":"(6)","noteIndex":0},"citationItems":[{"id":7073,"uris":["http://zotero.org/users/715749/items/BEKY5EMY"],"uri":["http://zotero.org/users/715749/items/BEKY5EMY"],"itemData":{"id":7073,"type":"article-journal","container-title":"Human brain mapping","issue":"8","page":"2358-2376","title":"Modular preprocessing pipelines can reintroduce artifacts into fMRI data","volume":"40","author":[{"family":"Lindquist","given":"Martin A."},{"family":"Geuter","given":"Stephan"},{"family":"Wager","given":"Tor D."},{"family":"Caffo","given":"Brian S."}],"issued":{"date-parts":[["2019"]]}}}],"schema":"https://github.com/citation-style-language/schema/raw/master/csl-citation.json"} </w:instrText>
      </w:r>
      <w:r>
        <w:rPr>
          <w:rStyle w:val="aromatexttrue"/>
          <w:rFonts w:eastAsia="Times New Roman"/>
        </w:rPr>
        <w:fldChar w:fldCharType="separate"/>
      </w:r>
      <w:r w:rsidR="0094155F">
        <w:rPr>
          <w:rFonts w:ascii="Calibri" w:cs="Calibri"/>
        </w:rPr>
        <w:t>(6)</w:t>
      </w:r>
      <w:r>
        <w:rPr>
          <w:rStyle w:val="aromatexttrue"/>
          <w:rFonts w:eastAsia="Times New Roman"/>
        </w:rPr>
        <w:fldChar w:fldCharType="end"/>
      </w:r>
      <w:r>
        <w:rPr>
          <w:rStyle w:val="aromatexttrue"/>
          <w:rFonts w:eastAsia="Times New Roman"/>
        </w:rPr>
        <w:t xml:space="preserve">, including: linear trend, 24 motion parameters (original translations/rotations + derivatives + quadratics), </w:t>
      </w:r>
      <w:proofErr w:type="spellStart"/>
      <w:r>
        <w:rPr>
          <w:rStyle w:val="aromatexttrue"/>
          <w:rFonts w:eastAsia="Times New Roman"/>
        </w:rPr>
        <w:t>aCompCorr</w:t>
      </w:r>
      <w:proofErr w:type="spellEnd"/>
      <w:r>
        <w:rPr>
          <w:rStyle w:val="aromatexttrue"/>
          <w:rFonts w:eastAsia="Times New Roman"/>
        </w:rPr>
        <w:t xml:space="preserve"> 5 CSF and 5 WM components and ICA-AROMA aggressive components, high pass filtering at 0.008Hz, and censored volumes. Next, correlation matrices were calculated for each run (Pearson’s correlations for the main analyses, partial correlations for a specific analysis described below). Each matrix was then Fisher r-to-z transformed, and then averaged across runs for each subject yielding their final connectome. </w:t>
      </w:r>
    </w:p>
    <w:p w14:paraId="3369DF7A" w14:textId="77777777" w:rsidR="00F33070" w:rsidRPr="00EC6CDD" w:rsidRDefault="00F33070" w:rsidP="00F33070">
      <w:pPr>
        <w:rPr>
          <w:rStyle w:val="aromatexttrue"/>
          <w:rFonts w:eastAsia="Times New Roman"/>
          <w:sz w:val="16"/>
          <w:szCs w:val="16"/>
        </w:rPr>
      </w:pPr>
    </w:p>
    <w:p w14:paraId="7B080B55" w14:textId="7EA7B99B" w:rsidR="00F33070" w:rsidRDefault="00F33070" w:rsidP="00EF35FA">
      <w:pPr>
        <w:rPr>
          <w:color w:val="000000" w:themeColor="text1"/>
        </w:rPr>
      </w:pPr>
    </w:p>
    <w:p w14:paraId="038867B9" w14:textId="77777777" w:rsidR="00F33070" w:rsidRDefault="00F33070" w:rsidP="00EF35FA">
      <w:pPr>
        <w:rPr>
          <w:color w:val="000000" w:themeColor="text1"/>
        </w:rPr>
      </w:pPr>
    </w:p>
    <w:p w14:paraId="60FC5886" w14:textId="23CD114C" w:rsidR="00C446F2" w:rsidRDefault="003B341F" w:rsidP="00EF35FA">
      <w:pPr>
        <w:rPr>
          <w:color w:val="000000" w:themeColor="text1"/>
        </w:rPr>
      </w:pPr>
      <w:r w:rsidRPr="003B341F">
        <w:rPr>
          <w:noProof/>
          <w:color w:val="000000" w:themeColor="text1"/>
        </w:rPr>
        <w:drawing>
          <wp:inline distT="0" distB="0" distL="0" distR="0" wp14:anchorId="0D1D4E81" wp14:editId="493ADBBA">
            <wp:extent cx="2619153" cy="186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632273" cy="1869870"/>
                    </a:xfrm>
                    <a:prstGeom prst="rect">
                      <a:avLst/>
                    </a:prstGeom>
                  </pic:spPr>
                </pic:pic>
              </a:graphicData>
            </a:graphic>
          </wp:inline>
        </w:drawing>
      </w:r>
    </w:p>
    <w:p w14:paraId="7561A407" w14:textId="7E1D6D96" w:rsidR="00C446F2" w:rsidRPr="00496844" w:rsidRDefault="00FF0DB5" w:rsidP="00EF35FA">
      <w:pPr>
        <w:rPr>
          <w:b/>
          <w:i/>
          <w:color w:val="000000" w:themeColor="text1"/>
        </w:rPr>
      </w:pPr>
      <w:r w:rsidRPr="00496844">
        <w:rPr>
          <w:b/>
          <w:i/>
          <w:color w:val="000000" w:themeColor="text1"/>
        </w:rPr>
        <w:t>Figure S1: Quality Control-Resting State Functional Connectivity Plot</w:t>
      </w:r>
    </w:p>
    <w:p w14:paraId="649A796E" w14:textId="77777777" w:rsidR="00FF0DB5" w:rsidRDefault="00FF0DB5" w:rsidP="00EF35FA">
      <w:pPr>
        <w:rPr>
          <w:color w:val="000000" w:themeColor="text1"/>
        </w:rPr>
      </w:pPr>
    </w:p>
    <w:p w14:paraId="158B375C" w14:textId="2A31E136" w:rsidR="00892966" w:rsidRDefault="00892966" w:rsidP="00EF35FA">
      <w:pPr>
        <w:rPr>
          <w:color w:val="000000" w:themeColor="text1"/>
        </w:rPr>
      </w:pPr>
      <w:r>
        <w:rPr>
          <w:color w:val="000000" w:themeColor="text1"/>
        </w:rPr>
        <w:t xml:space="preserve">We used multiple procedures </w:t>
      </w:r>
      <w:r w:rsidR="00F33070">
        <w:rPr>
          <w:color w:val="000000" w:themeColor="text1"/>
        </w:rPr>
        <w:t xml:space="preserve">listed above </w:t>
      </w:r>
      <w:r>
        <w:rPr>
          <w:color w:val="000000" w:themeColor="text1"/>
        </w:rPr>
        <w:t xml:space="preserve">to </w:t>
      </w:r>
      <w:r w:rsidR="0074130E">
        <w:rPr>
          <w:color w:val="000000" w:themeColor="text1"/>
        </w:rPr>
        <w:t xml:space="preserve">control the effect of head motion on brain-behavior relationships. To assess the effectiveness of these procedures, we </w:t>
      </w:r>
      <w:r w:rsidR="00EF35FA">
        <w:rPr>
          <w:color w:val="000000" w:themeColor="text1"/>
        </w:rPr>
        <w:t>produced a</w:t>
      </w:r>
      <w:r w:rsidRPr="00892966">
        <w:rPr>
          <w:color w:val="000000" w:themeColor="text1"/>
        </w:rPr>
        <w:t xml:space="preserve"> </w:t>
      </w:r>
      <w:r w:rsidR="00732D87" w:rsidRPr="00892966">
        <w:rPr>
          <w:color w:val="000000" w:themeColor="text1"/>
        </w:rPr>
        <w:t xml:space="preserve">quality control </w:t>
      </w:r>
      <w:r w:rsidRPr="00892966">
        <w:rPr>
          <w:color w:val="000000" w:themeColor="text1"/>
        </w:rPr>
        <w:t xml:space="preserve">resting state functional connectivity </w:t>
      </w:r>
      <w:r w:rsidR="00CB2E74" w:rsidRPr="00CB2E74">
        <w:rPr>
          <w:color w:val="000000" w:themeColor="text1"/>
        </w:rPr>
        <w:t>(</w:t>
      </w:r>
      <w:r w:rsidR="00732D87" w:rsidRPr="00CB2E74">
        <w:rPr>
          <w:color w:val="000000" w:themeColor="text1"/>
        </w:rPr>
        <w:t>QC</w:t>
      </w:r>
      <w:r w:rsidR="00732D87">
        <w:rPr>
          <w:color w:val="000000" w:themeColor="text1"/>
        </w:rPr>
        <w:t>-</w:t>
      </w:r>
      <w:r w:rsidR="00CB2E74" w:rsidRPr="00CB2E74">
        <w:rPr>
          <w:color w:val="000000" w:themeColor="text1"/>
        </w:rPr>
        <w:t>RSFC)</w:t>
      </w:r>
      <w:r w:rsidR="00CB2E74" w:rsidRPr="002B460E">
        <w:rPr>
          <w:b/>
          <w:color w:val="000000" w:themeColor="text1"/>
        </w:rPr>
        <w:t xml:space="preserve"> </w:t>
      </w:r>
      <w:r w:rsidRPr="00892966">
        <w:rPr>
          <w:color w:val="000000" w:themeColor="text1"/>
        </w:rPr>
        <w:t>plo</w:t>
      </w:r>
      <w:r w:rsidR="00F40837">
        <w:rPr>
          <w:color w:val="000000" w:themeColor="text1"/>
        </w:rPr>
        <w:t>t</w:t>
      </w:r>
      <w:r w:rsidR="00E344B5">
        <w:rPr>
          <w:color w:val="000000" w:themeColor="text1"/>
        </w:rPr>
        <w:t xml:space="preserve"> </w:t>
      </w:r>
      <w:r w:rsidR="00F40837">
        <w:rPr>
          <w:color w:val="000000" w:themeColor="text1"/>
        </w:rPr>
        <w:fldChar w:fldCharType="begin"/>
      </w:r>
      <w:r w:rsidR="0094155F">
        <w:rPr>
          <w:color w:val="000000" w:themeColor="text1"/>
        </w:rPr>
        <w:instrText xml:space="preserve"> ADDIN ZOTERO_ITEM CSL_CITATION {"citationID":"KQQaFufa","properties":{"formattedCitation":"(7, 8)","plainCitation":"(7, 8)","noteIndex":0},"citationItems":[{"id":5247,"uris":["http://zotero.org/users/715749/items/8VRCQN2G"],"uri":["http://zotero.org/users/715749/items/8VRCQN2G"],"itemData":{"id":5247,"type":"article-journal","abstract":"Head motion systematically alters correlations in resting state functional connectivity fMRI (RSFC). In this report we examine impact of motion on signal intensity and RSFC correlations. We find that motion-induced signal changes (1) are often complex and variable waveforms, (2) are often shared across nearly all brain voxels, and (3) often persist more than 10s after motion ceases. These signal changes, both during and after motion, increase observed RSFC correlations in a distance-dependent manner. Motion-related signal changes are not removed by a variety of motion-based regressors, but are effectively reduced by global signal regression. We link several measures of data quality to motion, changes in signal intensity, and changes in RSFC correlations. We demonstrate that improvements in data quality measures during processing may represent cosmetic improvements rather than true correction of the data. We demonstrate a within-subject, censoring-based artifact removal strategy based on volume censoring that reduces group differences due to motion to chance levels. We note conditions under which group-level regressions do and do not correct motion-related effects.","container-title":"NeuroImage","DOI":"10.1016/j.neuroimage.2013.08.048","ISSN":"1095-9572","journalAbbreviation":"Neuroimage","language":"eng","note":"PMID: 23994314\nPMCID: PMC3849338","page":"320-341","source":"PubMed","title":"Methods to detect, characterize, and remove motion artifact in resting state fMRI","volume":"84","author":[{"family":"Power","given":"Jonathan D."},{"family":"Mitra","given":"Anish"},{"family":"Laumann","given":"Timothy O."},{"family":"Snyder","given":"Abraham Z."},{"family":"Schlaggar","given":"Bradley L."},{"family":"Petersen","given":"Steven E."}],"issued":{"date-parts":[["2014",1,1]]}},"label":"page"},{"id":5245,"uris":["http://zotero.org/users/715749/items/5SMPD7DS"],"uri":["http://zotero.org/users/715749/items/5SMPD7DS"],"itemData":{"id":5245,"type":"article-journal","abstract":"The purpose of this review is to communicate and synthesize recent findings related to motion artifact in resting state fMRI. In 2011, three groups reported that small head movements produced spurious but structured noise in brain scans, causing distance-dependent changes in signal correlations. This finding has prompted both methods development and the re-examination of prior findings with more stringent motion correction. Since 2011, over a dozen papers have been published specifically on motion artifact in resting state fMRI. We will attempt to distill these papers to their most essential content. We will point out some aspects of motion artifact that are easily or often overlooked. Throughout the review, we will highlight gaps in current knowledge and avenues for future research.","container-title":"NeuroImage","DOI":"10.1016/j.neuroimage.2014.10.044","ISSN":"1095-9572","journalAbbreviation":"Neuroimage","language":"eng","note":"PMID: 25462692\nPMCID: PMC4262543","page":"536-551","source":"PubMed","title":"Recent progress and outstanding issues in motion correction in resting state fMRI","volume":"105","author":[{"family":"Power","given":"Jonathan D."},{"family":"Schlaggar","given":"Bradley L."},{"family":"Petersen","given":"Steven E."}],"issued":{"date-parts":[["2015",1,15]]}},"label":"page"}],"schema":"https://github.com/citation-style-language/schema/raw/master/csl-citation.json"} </w:instrText>
      </w:r>
      <w:r w:rsidR="00F40837">
        <w:rPr>
          <w:color w:val="000000" w:themeColor="text1"/>
        </w:rPr>
        <w:fldChar w:fldCharType="separate"/>
      </w:r>
      <w:r w:rsidR="0094155F">
        <w:rPr>
          <w:rFonts w:ascii="Calibri" w:cs="Calibri"/>
          <w:color w:val="000000"/>
        </w:rPr>
        <w:t>(7, 8)</w:t>
      </w:r>
      <w:r w:rsidR="00F40837">
        <w:rPr>
          <w:color w:val="000000" w:themeColor="text1"/>
        </w:rPr>
        <w:fldChar w:fldCharType="end"/>
      </w:r>
      <w:r w:rsidRPr="00892966">
        <w:rPr>
          <w:color w:val="000000" w:themeColor="text1"/>
        </w:rPr>
        <w:t>. Th</w:t>
      </w:r>
      <w:r w:rsidR="00AA3171">
        <w:rPr>
          <w:color w:val="000000" w:themeColor="text1"/>
        </w:rPr>
        <w:t>is</w:t>
      </w:r>
      <w:r w:rsidRPr="00892966">
        <w:rPr>
          <w:color w:val="000000" w:themeColor="text1"/>
        </w:rPr>
        <w:t xml:space="preserve"> plot </w:t>
      </w:r>
      <w:r w:rsidR="00AA3171">
        <w:rPr>
          <w:color w:val="000000" w:themeColor="text1"/>
        </w:rPr>
        <w:t xml:space="preserve">shows the </w:t>
      </w:r>
      <w:r w:rsidR="009162A3">
        <w:rPr>
          <w:color w:val="000000" w:themeColor="text1"/>
        </w:rPr>
        <w:t xml:space="preserve">relationship between mean framewise displacement and connectivity for edges binned by distance. Motion effects produce a sloped line (distance-dependent artifact), while a flat line is indicative of minimal motion-related effects. </w:t>
      </w:r>
      <w:r w:rsidR="002A521C">
        <w:rPr>
          <w:color w:val="000000" w:themeColor="text1"/>
        </w:rPr>
        <w:t xml:space="preserve">The RSFC-QC plot for our ABCD resting state data </w:t>
      </w:r>
      <w:r w:rsidRPr="00892966">
        <w:rPr>
          <w:color w:val="000000" w:themeColor="text1"/>
        </w:rPr>
        <w:t xml:space="preserve">showed </w:t>
      </w:r>
      <w:r w:rsidR="002A521C">
        <w:rPr>
          <w:color w:val="000000" w:themeColor="text1"/>
        </w:rPr>
        <w:t>a flat line, providing additional evidence that our stringent motion correction strategies were effective</w:t>
      </w:r>
      <w:r w:rsidRPr="00892966">
        <w:rPr>
          <w:color w:val="000000" w:themeColor="text1"/>
        </w:rPr>
        <w:t>.</w:t>
      </w:r>
    </w:p>
    <w:p w14:paraId="39EF2A28" w14:textId="77777777" w:rsidR="005634A1" w:rsidRDefault="005634A1" w:rsidP="005634A1">
      <w:pPr>
        <w:rPr>
          <w:color w:val="000000" w:themeColor="text1"/>
        </w:rPr>
      </w:pPr>
    </w:p>
    <w:p w14:paraId="43F8E38C" w14:textId="13F748EB" w:rsidR="00EB201F" w:rsidRDefault="006636C7" w:rsidP="005634A1">
      <w:pPr>
        <w:rPr>
          <w:b/>
          <w:color w:val="000000" w:themeColor="text1"/>
        </w:rPr>
      </w:pPr>
      <w:r>
        <w:rPr>
          <w:b/>
          <w:color w:val="000000" w:themeColor="text1"/>
        </w:rPr>
        <w:t>2.</w:t>
      </w:r>
      <w:r w:rsidR="001808CC">
        <w:rPr>
          <w:b/>
          <w:color w:val="000000" w:themeColor="text1"/>
        </w:rPr>
        <w:tab/>
      </w:r>
      <w:r w:rsidR="003310E9">
        <w:rPr>
          <w:b/>
          <w:color w:val="000000" w:themeColor="text1"/>
        </w:rPr>
        <w:t>Bifactor Model of the ABCD Neurocognitive Battery</w:t>
      </w:r>
    </w:p>
    <w:p w14:paraId="4FB40C27" w14:textId="37548A43" w:rsidR="00B9763A" w:rsidRDefault="00B9763A" w:rsidP="00EB201F">
      <w:pPr>
        <w:rPr>
          <w:rFonts w:cstheme="minorHAnsi"/>
        </w:rPr>
      </w:pPr>
    </w:p>
    <w:p w14:paraId="52AD62CA" w14:textId="47E2C947" w:rsidR="00860771" w:rsidRDefault="00860771" w:rsidP="00860771">
      <w:pPr>
        <w:rPr>
          <w:rFonts w:eastAsia="Times New Roman" w:cstheme="minorHAnsi"/>
        </w:rPr>
      </w:pPr>
      <w:r w:rsidRPr="00522785">
        <w:rPr>
          <w:rFonts w:eastAsia="Times New Roman" w:cstheme="minorHAnsi"/>
        </w:rPr>
        <w:t xml:space="preserve">Preliminary exploratory factor analyses (EFA) were first conducted </w:t>
      </w:r>
      <w:r>
        <w:rPr>
          <w:rFonts w:eastAsia="Times New Roman" w:cstheme="minorHAnsi"/>
        </w:rPr>
        <w:t>(</w:t>
      </w:r>
      <w:r w:rsidRPr="00522785">
        <w:rPr>
          <w:rFonts w:eastAsia="Times New Roman" w:cstheme="minorHAnsi"/>
        </w:rPr>
        <w:t xml:space="preserve">maximum likelihood estimation with oblique </w:t>
      </w:r>
      <w:proofErr w:type="spellStart"/>
      <w:r w:rsidRPr="00522785">
        <w:rPr>
          <w:rFonts w:eastAsia="Times New Roman" w:cstheme="minorHAnsi"/>
        </w:rPr>
        <w:t>geomin</w:t>
      </w:r>
      <w:proofErr w:type="spellEnd"/>
      <w:r w:rsidRPr="00522785">
        <w:rPr>
          <w:rFonts w:eastAsia="Times New Roman" w:cstheme="minorHAnsi"/>
        </w:rPr>
        <w:t xml:space="preserve"> rotation</w:t>
      </w:r>
      <w:r>
        <w:rPr>
          <w:rFonts w:eastAsia="Times New Roman" w:cstheme="minorHAnsi"/>
        </w:rPr>
        <w:t xml:space="preserve">) </w:t>
      </w:r>
      <w:r w:rsidRPr="00522785">
        <w:rPr>
          <w:rFonts w:eastAsia="Times New Roman" w:cstheme="minorHAnsi"/>
        </w:rPr>
        <w:t xml:space="preserve">to </w:t>
      </w:r>
      <w:r>
        <w:rPr>
          <w:rFonts w:eastAsia="Times New Roman" w:cstheme="minorHAnsi"/>
        </w:rPr>
        <w:t>explore the latent structure</w:t>
      </w:r>
      <w:r w:rsidRPr="00522785">
        <w:rPr>
          <w:rFonts w:eastAsia="Times New Roman" w:cstheme="minorHAnsi"/>
        </w:rPr>
        <w:t xml:space="preserve"> of </w:t>
      </w:r>
      <w:r>
        <w:rPr>
          <w:rFonts w:eastAsia="Times New Roman" w:cstheme="minorHAnsi"/>
        </w:rPr>
        <w:t>the 11</w:t>
      </w:r>
      <w:r w:rsidRPr="00522785">
        <w:rPr>
          <w:rFonts w:eastAsia="Times New Roman" w:cstheme="minorHAnsi"/>
        </w:rPr>
        <w:t xml:space="preserve"> </w:t>
      </w:r>
      <w:r>
        <w:rPr>
          <w:rFonts w:eastAsia="Times New Roman" w:cstheme="minorHAnsi"/>
        </w:rPr>
        <w:t>ABCD cognitive</w:t>
      </w:r>
      <w:r w:rsidRPr="00522785">
        <w:rPr>
          <w:rFonts w:eastAsia="Times New Roman" w:cstheme="minorHAnsi"/>
        </w:rPr>
        <w:t xml:space="preserve"> tasks. </w:t>
      </w:r>
      <w:r w:rsidRPr="001571CE">
        <w:rPr>
          <w:rFonts w:eastAsia="Times New Roman" w:cstheme="minorHAnsi"/>
        </w:rPr>
        <w:t>The scree plot, patterns of factor loadings, and a parallel analysis (with 1,000 random draws) together suggested that a three-factor solution was optimal here</w:t>
      </w:r>
      <w:r>
        <w:rPr>
          <w:rFonts w:eastAsia="Times New Roman" w:cstheme="minorHAnsi"/>
        </w:rPr>
        <w:t>, where the three factors were moderately correlated. A subsequent bifactor model showed very good fit by conventional standards (</w:t>
      </w:r>
      <w:r>
        <w:rPr>
          <w:rFonts w:ascii="Symbol" w:hAnsi="Symbol"/>
          <w:color w:val="000000" w:themeColor="text1"/>
        </w:rPr>
        <w:t></w:t>
      </w:r>
      <w:r>
        <w:rPr>
          <w:rFonts w:ascii="Symbol" w:hAnsi="Symbol"/>
          <w:color w:val="000000" w:themeColor="text1"/>
          <w:vertAlign w:val="superscript"/>
        </w:rPr>
        <w:t></w:t>
      </w:r>
      <w:r>
        <w:rPr>
          <w:rFonts w:eastAsia="Times New Roman" w:cstheme="minorHAnsi"/>
        </w:rPr>
        <w:t xml:space="preserve"> (34)=443.16, </w:t>
      </w:r>
      <w:r w:rsidRPr="00980CB0">
        <w:rPr>
          <w:rFonts w:eastAsia="Times New Roman" w:cstheme="minorHAnsi"/>
          <w:i/>
        </w:rPr>
        <w:t>p</w:t>
      </w:r>
      <w:r>
        <w:rPr>
          <w:rFonts w:eastAsia="Times New Roman" w:cstheme="minorHAnsi"/>
        </w:rPr>
        <w:t>&lt;0.001, RMSEA=</w:t>
      </w:r>
      <w:r w:rsidRPr="00A47AAE">
        <w:rPr>
          <w:rFonts w:eastAsia="Times New Roman" w:cstheme="minorHAnsi"/>
        </w:rPr>
        <w:t>0.03</w:t>
      </w:r>
      <w:r>
        <w:rPr>
          <w:rFonts w:eastAsia="Times New Roman" w:cstheme="minorHAnsi"/>
        </w:rPr>
        <w:t xml:space="preserve">, CFI=0.99, TLI=0.98, SRMR=0.02), with the general factor </w:t>
      </w:r>
      <w:r>
        <w:rPr>
          <w:rFonts w:cstheme="minorHAnsi"/>
          <w:color w:val="000000" w:themeColor="text1"/>
        </w:rPr>
        <w:t xml:space="preserve">capturing 75% of the variation in task scores [coefficient </w:t>
      </w:r>
      <w:r>
        <w:rPr>
          <w:rFonts w:ascii="Symbol" w:hAnsi="Symbol" w:cstheme="minorHAnsi"/>
          <w:color w:val="000000" w:themeColor="text1"/>
        </w:rPr>
        <w:t></w:t>
      </w:r>
      <w:r>
        <w:rPr>
          <w:rFonts w:cstheme="minorHAnsi"/>
          <w:color w:val="000000" w:themeColor="text1"/>
        </w:rPr>
        <w:t xml:space="preserve"> hierarchical </w:t>
      </w:r>
      <w:r>
        <w:rPr>
          <w:rFonts w:cstheme="minorHAnsi"/>
          <w:color w:val="000000" w:themeColor="text1"/>
        </w:rPr>
        <w:fldChar w:fldCharType="begin"/>
      </w:r>
      <w:r w:rsidR="0094155F">
        <w:rPr>
          <w:rFonts w:cstheme="minorHAnsi"/>
          <w:color w:val="000000" w:themeColor="text1"/>
        </w:rPr>
        <w:instrText xml:space="preserve"> ADDIN ZOTERO_ITEM CSL_CITATION {"citationID":"ZVqylXad","properties":{"formattedCitation":"(9)","plainCitation":"(9)","noteIndex":0},"citationItems":[{"id":6630,"uris":["http://zotero.org/users/715749/items/NCB8B3UC"],"uri":["http://zotero.org/users/715749/items/NCB8B3UC"],"itemData":{"id":6630,"type":"article-journal","container-title":"psychometrika","issue":"1","page":"123-133","title":"Cronbach’s α, Revelle’s β, and McDonald’s ω H: Their relations with each other and two alternative conceptualizations of reliability","volume":"70","author":[{"family":"Zinbarg","given":"Richard E."},{"family":"Revelle","given":"William"},{"family":"Yovel","given":"Iftah"},{"family":"Li","given":"Wen"}],"issued":{"date-parts":[["2005"]]}}}],"schema":"https://github.com/citation-style-language/schema/raw/master/csl-citation.json"} </w:instrText>
      </w:r>
      <w:r>
        <w:rPr>
          <w:rFonts w:cstheme="minorHAnsi"/>
          <w:color w:val="000000" w:themeColor="text1"/>
        </w:rPr>
        <w:fldChar w:fldCharType="separate"/>
      </w:r>
      <w:r w:rsidR="0094155F">
        <w:rPr>
          <w:rFonts w:ascii="Calibri" w:cs="Calibri"/>
          <w:color w:val="000000"/>
        </w:rPr>
        <w:t>(9)</w:t>
      </w:r>
      <w:r>
        <w:rPr>
          <w:rFonts w:cstheme="minorHAnsi"/>
          <w:color w:val="000000" w:themeColor="text1"/>
        </w:rPr>
        <w:fldChar w:fldCharType="end"/>
      </w:r>
      <w:r>
        <w:rPr>
          <w:rFonts w:cstheme="minorHAnsi"/>
          <w:color w:val="000000" w:themeColor="text1"/>
        </w:rPr>
        <w:t>],</w:t>
      </w:r>
      <w:r>
        <w:rPr>
          <w:rFonts w:cstheme="minorHAnsi"/>
        </w:rPr>
        <w:t xml:space="preserve"> and three domain-specific factors together accounting for 13% </w:t>
      </w:r>
      <w:r>
        <w:rPr>
          <w:rFonts w:cstheme="minorHAnsi"/>
          <w:color w:val="000000" w:themeColor="text1"/>
        </w:rPr>
        <w:t>of the variation in task scores (see Figure S2). Of note, when performing cross-validation (see below), we re-estimated the bifactor model in the train dataset exclusively and applied the model to generate factor scores for test dataset subjects, thus preserving complete separation of train and test datasets.</w:t>
      </w:r>
    </w:p>
    <w:p w14:paraId="60B3C9B4" w14:textId="77777777" w:rsidR="00860771" w:rsidRDefault="00860771" w:rsidP="00860771"/>
    <w:p w14:paraId="41490BCC" w14:textId="77777777" w:rsidR="00860771" w:rsidRDefault="00860771" w:rsidP="00EB201F">
      <w:pPr>
        <w:rPr>
          <w:rFonts w:cstheme="minorHAnsi"/>
        </w:rPr>
      </w:pPr>
    </w:p>
    <w:p w14:paraId="775DDE86" w14:textId="56892547" w:rsidR="00EB201F" w:rsidRDefault="00DC49D4" w:rsidP="005634A1">
      <w:pPr>
        <w:rPr>
          <w:b/>
          <w:color w:val="000000" w:themeColor="text1"/>
        </w:rPr>
      </w:pPr>
      <w:r w:rsidRPr="00DC49D4">
        <w:rPr>
          <w:b/>
          <w:noProof/>
          <w:color w:val="000000" w:themeColor="text1"/>
        </w:rPr>
        <w:lastRenderedPageBreak/>
        <w:drawing>
          <wp:inline distT="0" distB="0" distL="0" distR="0" wp14:anchorId="6667F78C" wp14:editId="76356BF0">
            <wp:extent cx="5943600" cy="3460115"/>
            <wp:effectExtent l="0" t="0" r="0" b="0"/>
            <wp:docPr id="3" name="Picture 3"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diagram&#10;&#10;Description automatically generated"/>
                    <pic:cNvPicPr/>
                  </pic:nvPicPr>
                  <pic:blipFill>
                    <a:blip r:embed="rId5"/>
                    <a:stretch>
                      <a:fillRect/>
                    </a:stretch>
                  </pic:blipFill>
                  <pic:spPr>
                    <a:xfrm>
                      <a:off x="0" y="0"/>
                      <a:ext cx="5943600" cy="3460115"/>
                    </a:xfrm>
                    <a:prstGeom prst="rect">
                      <a:avLst/>
                    </a:prstGeom>
                  </pic:spPr>
                </pic:pic>
              </a:graphicData>
            </a:graphic>
          </wp:inline>
        </w:drawing>
      </w:r>
    </w:p>
    <w:p w14:paraId="547B1DD0" w14:textId="77777777" w:rsidR="00936813" w:rsidRDefault="00936813" w:rsidP="00496844">
      <w:pPr>
        <w:rPr>
          <w:b/>
          <w:i/>
          <w:color w:val="000000" w:themeColor="text1"/>
        </w:rPr>
      </w:pPr>
    </w:p>
    <w:p w14:paraId="5E27EE14" w14:textId="77777777" w:rsidR="00D01E13" w:rsidRPr="00E33793" w:rsidRDefault="00FF0DB5" w:rsidP="00D01E13">
      <w:pPr>
        <w:rPr>
          <w:i/>
          <w:color w:val="000000" w:themeColor="text1"/>
        </w:rPr>
      </w:pPr>
      <w:r w:rsidRPr="00496844">
        <w:rPr>
          <w:b/>
          <w:i/>
          <w:color w:val="000000" w:themeColor="text1"/>
        </w:rPr>
        <w:t xml:space="preserve">Figure S2: </w:t>
      </w:r>
      <w:r w:rsidR="00496844" w:rsidRPr="00496844">
        <w:rPr>
          <w:b/>
          <w:i/>
          <w:color w:val="000000" w:themeColor="text1"/>
        </w:rPr>
        <w:t>Bifactor Model of the ABCD Neurocognitive Battery</w:t>
      </w:r>
      <w:r w:rsidR="00747825">
        <w:rPr>
          <w:b/>
          <w:i/>
          <w:color w:val="000000" w:themeColor="text1"/>
        </w:rPr>
        <w:t>.</w:t>
      </w:r>
      <w:r w:rsidR="00E33793">
        <w:rPr>
          <w:i/>
          <w:color w:val="000000" w:themeColor="text1"/>
        </w:rPr>
        <w:t xml:space="preserve"> </w:t>
      </w:r>
      <w:r w:rsidR="00D01E13">
        <w:rPr>
          <w:i/>
          <w:color w:val="000000" w:themeColor="text1"/>
        </w:rPr>
        <w:t>We fit a bifactor model that included a general cognitive ability factor (GCA) and three specific factors: verbal/spatial (VS), speed/flexibility (S/F), and learning memory (L/M). Path estimates reflect standardized factor loadings.</w:t>
      </w:r>
    </w:p>
    <w:p w14:paraId="4579B072" w14:textId="7295741A" w:rsidR="00B9763A" w:rsidRDefault="00B9763A" w:rsidP="005634A1">
      <w:pPr>
        <w:rPr>
          <w:b/>
          <w:color w:val="000000" w:themeColor="text1"/>
        </w:rPr>
      </w:pPr>
    </w:p>
    <w:p w14:paraId="6E26601F" w14:textId="56FC700B" w:rsidR="001808CC" w:rsidRPr="00513951" w:rsidRDefault="001808CC" w:rsidP="001808CC">
      <w:pPr>
        <w:rPr>
          <w:rFonts w:cs="Times New Roman"/>
        </w:rPr>
      </w:pPr>
      <w:r>
        <w:rPr>
          <w:rFonts w:cs="Arial"/>
          <w:b/>
          <w:bCs/>
          <w:color w:val="000000"/>
        </w:rPr>
        <w:t>3.</w:t>
      </w:r>
      <w:r>
        <w:rPr>
          <w:rFonts w:cs="Arial"/>
          <w:b/>
          <w:bCs/>
          <w:color w:val="000000"/>
        </w:rPr>
        <w:tab/>
      </w:r>
      <w:r w:rsidRPr="00513951">
        <w:rPr>
          <w:rFonts w:cs="Arial"/>
          <w:b/>
          <w:bCs/>
          <w:color w:val="000000"/>
        </w:rPr>
        <w:t>Inclusion/Exclusion</w:t>
      </w:r>
    </w:p>
    <w:p w14:paraId="6A93EC6C" w14:textId="5142822B" w:rsidR="001808CC" w:rsidRDefault="001808CC" w:rsidP="005634A1">
      <w:pPr>
        <w:rPr>
          <w:b/>
          <w:color w:val="000000" w:themeColor="text1"/>
        </w:rPr>
      </w:pPr>
    </w:p>
    <w:p w14:paraId="78ECFD4D" w14:textId="42238129" w:rsidR="0047329D" w:rsidRDefault="0047329D" w:rsidP="0047329D">
      <w:pPr>
        <w:rPr>
          <w:rFonts w:cs="Arial"/>
          <w:color w:val="000000"/>
        </w:rPr>
      </w:pPr>
      <w:r w:rsidRPr="007648D3">
        <w:rPr>
          <w:rFonts w:cs="Arial"/>
          <w:color w:val="000000"/>
        </w:rPr>
        <w:t xml:space="preserve">Screening was initially done using ABCD raw QC to limit to subjects with 2 or more good runs of resting data as well as a good T1 and T2 image (QC score, protocol compliance score, and complete all =1). This resulted in 9598 subjects with 2 or more runs that entered preprocessing. Each run was subsequently visually inspected for registration </w:t>
      </w:r>
      <w:r>
        <w:rPr>
          <w:rFonts w:cs="Arial"/>
          <w:color w:val="000000"/>
        </w:rPr>
        <w:t>as well as for</w:t>
      </w:r>
      <w:r w:rsidRPr="007648D3">
        <w:rPr>
          <w:rFonts w:cs="Arial"/>
          <w:color w:val="000000"/>
        </w:rPr>
        <w:t xml:space="preserve"> warping quality, and only those subjects who still had 2 or more good runs were retained (N=8858). After connectome generation, runs were excluded if they had less than 4 minutes of uncensored data, and next subjects were retained only if they had 2 or more good runs (N=6568). Next, sites with fewer than 75 subjects were dropped. This left us with N=6449 subjects across 19 sites </w:t>
      </w:r>
      <w:r>
        <w:rPr>
          <w:rFonts w:cs="Arial"/>
          <w:color w:val="000000"/>
        </w:rPr>
        <w:t xml:space="preserve">to enter PCA. Finally, </w:t>
      </w:r>
      <w:r w:rsidRPr="006B4D79">
        <w:rPr>
          <w:rFonts w:cs="Arial"/>
          <w:color w:val="000000"/>
        </w:rPr>
        <w:t xml:space="preserve">subjects with missing </w:t>
      </w:r>
      <w:r>
        <w:rPr>
          <w:rFonts w:cs="Arial"/>
          <w:color w:val="000000"/>
        </w:rPr>
        <w:t xml:space="preserve">values for neurocognitive scores or </w:t>
      </w:r>
      <w:r w:rsidRPr="006B4D79">
        <w:rPr>
          <w:rFonts w:cs="Arial"/>
          <w:color w:val="000000"/>
        </w:rPr>
        <w:t xml:space="preserve">nuisance </w:t>
      </w:r>
      <w:r>
        <w:rPr>
          <w:rFonts w:cs="Arial"/>
          <w:color w:val="000000"/>
        </w:rPr>
        <w:t>covariates were</w:t>
      </w:r>
      <w:r w:rsidRPr="006B4D79">
        <w:rPr>
          <w:rFonts w:cs="Arial"/>
          <w:color w:val="000000"/>
        </w:rPr>
        <w:t xml:space="preserve"> excluded</w:t>
      </w:r>
      <w:r>
        <w:rPr>
          <w:rFonts w:cs="Arial"/>
          <w:color w:val="000000"/>
        </w:rPr>
        <w:t xml:space="preserve">. This left 5937 subjects to enter our main BBS predictive modeling analysis. </w:t>
      </w:r>
    </w:p>
    <w:p w14:paraId="4C9B47B9" w14:textId="7C1B598C" w:rsidR="00560E29" w:rsidRDefault="00560E29" w:rsidP="0047329D">
      <w:pPr>
        <w:rPr>
          <w:rFonts w:cs="Arial"/>
          <w:color w:val="000000"/>
        </w:rPr>
      </w:pPr>
    </w:p>
    <w:p w14:paraId="278C7CC3" w14:textId="77777777" w:rsidR="00560E29" w:rsidRPr="0070648B" w:rsidRDefault="00560E29" w:rsidP="00560E29">
      <w:pPr>
        <w:rPr>
          <w:rFonts w:cs="Times New Roman"/>
        </w:rPr>
      </w:pPr>
      <w:r>
        <w:rPr>
          <w:rFonts w:cs="Arial"/>
          <w:b/>
          <w:bCs/>
          <w:color w:val="000000"/>
        </w:rPr>
        <w:t>4.</w:t>
      </w:r>
      <w:r>
        <w:rPr>
          <w:rFonts w:cs="Arial"/>
          <w:b/>
          <w:bCs/>
          <w:color w:val="000000"/>
        </w:rPr>
        <w:tab/>
        <w:t>Principal Component Regression Predictive Modeling</w:t>
      </w:r>
    </w:p>
    <w:p w14:paraId="40C73CB9" w14:textId="539B00B5" w:rsidR="001808CC" w:rsidRDefault="001808CC" w:rsidP="005634A1">
      <w:pPr>
        <w:rPr>
          <w:b/>
          <w:color w:val="000000" w:themeColor="text1"/>
        </w:rPr>
      </w:pPr>
    </w:p>
    <w:p w14:paraId="06613EF2" w14:textId="2E248A6F" w:rsidR="00560E29" w:rsidRDefault="00560E29" w:rsidP="00560E29">
      <w:pPr>
        <w:rPr>
          <w:rFonts w:cs="Arial"/>
          <w:color w:val="000000"/>
        </w:rPr>
      </w:pPr>
      <w:r>
        <w:rPr>
          <w:rFonts w:cs="Arial"/>
          <w:color w:val="000000"/>
        </w:rPr>
        <w:t xml:space="preserve">We implemented principal component regression (PCR) </w:t>
      </w:r>
      <w:r>
        <w:rPr>
          <w:rFonts w:cstheme="minorHAnsi"/>
          <w:color w:val="000000"/>
        </w:rPr>
        <w:fldChar w:fldCharType="begin"/>
      </w:r>
      <w:r w:rsidR="0094155F">
        <w:rPr>
          <w:rFonts w:cstheme="minorHAnsi"/>
          <w:color w:val="000000"/>
        </w:rPr>
        <w:instrText xml:space="preserve"> ADDIN ZOTERO_ITEM CSL_CITATION {"citationID":"a2dob6tm602","properties":{"formattedCitation":"(10)","plainCitation":"(10)","noteIndex":0},"citationItems":[{"id":6797,"uris":["http://zotero.org/users/715749/items/9D9INTNG"],"uri":["http://zotero.org/users/715749/items/9D9INTNG"],"itemData":{"id":6797,"type":"article-journal","container-title":"Applied Statistics","issue":"3","page":"300-303","title":"A note on the use of principal components in regression","volume":"31","author":[{"family":"Jolliffe","given":"Ian T."}],"issued":{"date-parts":[["1982"]]}}}],"schema":"https://github.com/citation-style-language/schema/raw/master/csl-citation.json"} </w:instrText>
      </w:r>
      <w:r>
        <w:rPr>
          <w:rFonts w:cstheme="minorHAnsi"/>
          <w:color w:val="000000"/>
        </w:rPr>
        <w:fldChar w:fldCharType="separate"/>
      </w:r>
      <w:r w:rsidR="0094155F">
        <w:rPr>
          <w:rFonts w:ascii="Calibri" w:cs="Calibri"/>
          <w:color w:val="000000"/>
        </w:rPr>
        <w:t>(10)</w:t>
      </w:r>
      <w:r>
        <w:rPr>
          <w:rFonts w:cstheme="minorHAnsi"/>
          <w:color w:val="000000"/>
        </w:rPr>
        <w:fldChar w:fldCharType="end"/>
      </w:r>
      <w:r>
        <w:rPr>
          <w:rFonts w:cstheme="minorHAnsi"/>
          <w:color w:val="000000"/>
        </w:rPr>
        <w:t xml:space="preserve"> </w:t>
      </w:r>
      <w:r>
        <w:rPr>
          <w:rFonts w:cs="Arial"/>
          <w:color w:val="000000"/>
        </w:rPr>
        <w:t>as</w:t>
      </w:r>
      <w:r w:rsidRPr="00513951">
        <w:rPr>
          <w:rFonts w:cs="Arial"/>
          <w:color w:val="000000"/>
        </w:rPr>
        <w:t xml:space="preserve"> a </w:t>
      </w:r>
      <w:r>
        <w:rPr>
          <w:rFonts w:cs="Arial"/>
          <w:color w:val="000000"/>
        </w:rPr>
        <w:t xml:space="preserve">multivariate predictive modeling </w:t>
      </w:r>
      <w:r w:rsidRPr="00513951">
        <w:rPr>
          <w:rFonts w:cs="Arial"/>
          <w:color w:val="000000"/>
        </w:rPr>
        <w:t xml:space="preserve">method </w:t>
      </w:r>
      <w:r>
        <w:rPr>
          <w:rFonts w:cs="Arial"/>
          <w:color w:val="000000"/>
        </w:rPr>
        <w:t xml:space="preserve">for identifying brain behavior relationships </w:t>
      </w:r>
      <w:r w:rsidRPr="009B23BF">
        <w:rPr>
          <w:rFonts w:cstheme="minorHAnsi"/>
          <w:color w:val="000000"/>
        </w:rPr>
        <w:fldChar w:fldCharType="begin"/>
      </w:r>
      <w:r w:rsidR="0094155F">
        <w:rPr>
          <w:rFonts w:cstheme="minorHAnsi"/>
          <w:color w:val="000000"/>
        </w:rPr>
        <w:instrText xml:space="preserve"> ADDIN ZOTERO_ITEM CSL_CITATION {"citationID":"a2qdgtnu0ts","properties":{"unsorted":true,"formattedCitation":"(11)","plainCitation":"(11)","noteIndex":0},"citationItems":[{"id":6883,"uris":["http://zotero.org/users/715749/items/GSAUGN2H"],"uri":["http://zotero.org/users/715749/items/GSAUGN2H"],"itemData":{"id":6883,"type":"article-journal","abstract":"Resting state functional connectomes are massive and complex. It is an open question, however, whether connectomes differ across individuals in a correspondingly massive number of ways, or whether most differences take a small number of characteristic forms. We systematically investigated this question and found clear evidence of low-rank structure in which a modest number of connectomic components, around 50–150, account for a sizable portion of inter-individual connectomic variation. This number was convergently arrived at with multiple methods including estimation of intrinsic dimensionality and assessment of reconstruction of out-of-sample data. In addition, we show that these connectomic components enable prediction of a broad array of neurocognitive and clinical symptom variables at levels comparable to a leading method that is trained on the whole connectome. Qualitative observation reveals that these connectomic components exhibit extensive community structure reflecting interrelationships between intrinsic connectivity networks. We provide quantitative validation of this observation using novel stochastic block model-based methods. We propose that these connectivity components form an effective basis set for quantifying and interpreting inter-individual connectomic differences, and for predicting behavioral/clinical phenotypes.","container-title":"Scientific Reports","DOI":"10.1038/s41598-018-38406-5","ISSN":"2045-2322","issue":"1","journalAbbreviation":"Scientific Reports","page":"1900","title":"Basic Units of Inter-Individual Variation in Resting State Connectomes","volume":"9","author":[{"family":"Sripada","given":"Chandra"},{"family":"Angstadt","given":"Mike"},{"family":"Rutherford","given":"Saige"},{"family":"Kessler","given":"Daniel"},{"family":"Kim","given":"Yura"},{"family":"Yee","given":"Mike"},{"family":"Levina","given":"Elizaveta"}],"issued":{"date-parts":[["2019",2,13]]}},"label":"page"}],"schema":"https://github.com/citation-style-language/schema/raw/master/csl-citation.json"} </w:instrText>
      </w:r>
      <w:r w:rsidRPr="009B23BF">
        <w:rPr>
          <w:rFonts w:cstheme="minorHAnsi"/>
          <w:color w:val="000000"/>
        </w:rPr>
        <w:fldChar w:fldCharType="separate"/>
      </w:r>
      <w:r w:rsidR="0094155F">
        <w:rPr>
          <w:rFonts w:ascii="Calibri" w:cs="Calibri"/>
          <w:color w:val="000000"/>
        </w:rPr>
        <w:t>(11)</w:t>
      </w:r>
      <w:r w:rsidRPr="009B23BF">
        <w:rPr>
          <w:rFonts w:cstheme="minorHAnsi"/>
          <w:color w:val="000000"/>
        </w:rPr>
        <w:fldChar w:fldCharType="end"/>
      </w:r>
      <w:r>
        <w:rPr>
          <w:rFonts w:cstheme="minorHAnsi"/>
          <w:color w:val="000000"/>
        </w:rPr>
        <w:t xml:space="preserve"> (see Figure 1). The method involves two key steps: 1) Use principal components analysis (PCA) to find a set of components </w:t>
      </w:r>
      <w:r>
        <w:rPr>
          <w:rFonts w:cstheme="minorHAnsi"/>
          <w:color w:val="000000"/>
        </w:rPr>
        <w:lastRenderedPageBreak/>
        <w:t xml:space="preserve">that capture </w:t>
      </w:r>
      <w:r w:rsidRPr="00FA1BEF">
        <w:rPr>
          <w:rFonts w:cstheme="minorHAnsi"/>
          <w:i/>
          <w:iCs/>
          <w:color w:val="000000"/>
        </w:rPr>
        <w:t>inter-individual</w:t>
      </w:r>
      <w:r>
        <w:rPr>
          <w:rFonts w:cstheme="minorHAnsi"/>
          <w:color w:val="000000"/>
        </w:rPr>
        <w:t xml:space="preserve"> differences in brain features; 2) Use multiple regression in a cross-validation framework to link expression scores for these components to phenotypes of interest. In previous work, we often used the more general name brain basis set (BBS) for this approach to capture commonalities with work by our group and others that use alternative methods for step 1 (e.g., independent component analysis </w:t>
      </w:r>
      <w:r>
        <w:rPr>
          <w:rFonts w:cstheme="minorHAnsi"/>
          <w:color w:val="000000"/>
        </w:rPr>
        <w:fldChar w:fldCharType="begin"/>
      </w:r>
      <w:r w:rsidR="0094155F">
        <w:rPr>
          <w:rFonts w:cstheme="minorHAnsi"/>
          <w:color w:val="000000"/>
        </w:rPr>
        <w:instrText xml:space="preserve"> ADDIN ZOTERO_ITEM CSL_CITATION {"citationID":"a24n2vl72n4","properties":{"formattedCitation":"(12, 13)","plainCitation":"(12, 13)","noteIndex":0},"citationItems":[{"id":5448,"uris":["http://zotero.org/users/715749/items/JZJ3T6JC"],"uri":["http://zotero.org/users/715749/items/JZJ3T6JC"],"itemData":{"id":5448,"type":"article-journal","container-title":"JAMA Psychiatry","issue":"5","note":"PMID:    27076193","page":"481-489","title":"Brain Network Growth Charting and the Identification of Attention Impairment in Youth","volume":"73","author":[{"family":"Kessler","given":"Daniel"},{"family":"Angstadt","given":"Michael"},{"family":"Sripada","given":"Chandra"}],"issued":{"date-parts":[["2016"]]}},"label":"page"},{"id":4363,"uris":["http://zotero.org/users/715749/items/524NMUGN"],"uri":["http://zotero.org/users/715749/items/524NMUGN"],"itemData":{"id":4363,"type":"article-journal","container-title":"Journal of Neuroscience","issue":"50","page":"16555-16566","title":"Modality-spanning deficits in attention-deficit/hyperactivity disorder in functional networks, gray matter, and white matter.","volume":"34","author":[{"family":"Kessler","given":"Daniel"},{"family":"Angstadt","given":"Michael"},{"family":"Welsh","given":"Robert C"},{"family":"Sripada","given":"Chandra"}],"issued":{"date-parts":[["2014",12,10]]}},"label":"page"}],"schema":"https://github.com/citation-style-language/schema/raw/master/csl-citation.json"} </w:instrText>
      </w:r>
      <w:r>
        <w:rPr>
          <w:rFonts w:cstheme="minorHAnsi"/>
          <w:color w:val="000000"/>
        </w:rPr>
        <w:fldChar w:fldCharType="separate"/>
      </w:r>
      <w:r w:rsidR="0094155F">
        <w:rPr>
          <w:rFonts w:ascii="Calibri" w:cs="Calibri"/>
          <w:color w:val="000000"/>
        </w:rPr>
        <w:t>(12, 13)</w:t>
      </w:r>
      <w:r>
        <w:rPr>
          <w:rFonts w:cstheme="minorHAnsi"/>
          <w:color w:val="000000"/>
        </w:rPr>
        <w:fldChar w:fldCharType="end"/>
      </w:r>
      <w:r>
        <w:rPr>
          <w:rFonts w:cstheme="minorHAnsi"/>
          <w:color w:val="000000"/>
        </w:rPr>
        <w:t xml:space="preserve"> or community detection </w:t>
      </w:r>
      <w:r>
        <w:rPr>
          <w:rFonts w:cstheme="minorHAnsi"/>
          <w:color w:val="000000"/>
        </w:rPr>
        <w:fldChar w:fldCharType="begin"/>
      </w:r>
      <w:r w:rsidR="0094155F">
        <w:rPr>
          <w:rFonts w:cstheme="minorHAnsi"/>
          <w:color w:val="000000"/>
        </w:rPr>
        <w:instrText xml:space="preserve"> ADDIN ZOTERO_ITEM CSL_CITATION {"citationID":"asg3hspo2r","properties":{"unsorted":true,"formattedCitation":"(14, 15)","plainCitation":"(14, 15)","noteIndex":0},"citationItems":[{"id":7134,"uris":["http://zotero.org/users/715749/items/DXWEEACC"],"uri":["http://zotero.org/users/715749/items/DXWEEACC"],"itemData":{"id":7134,"type":"article-journal","container-title":"arXiv preprint arXiv:1906.10026","title":"Inference for multiple heterogeneous networks with a common invariant subspace","author":[{"family":"Arroyo","given":"Jesús"},{"family":"Athreya","given":"Avanti"},{"family":"Cape","given":"Joshua"},{"family":"Chen","given":"Guodong"},{"family":"Priebe","given":"Carey E."},{"family":"Vogelstein","given":"Joshua T."}],"issued":{"date-parts":[["2019"]]}},"label":"page"},{"id":7135,"uris":["http://zotero.org/users/715749/items/YHBEVFTP"],"uri":["http://zotero.org/users/715749/items/YHBEVFTP"],"itemData":{"id":7135,"type":"article-journal","container-title":"arXiv preprint arXiv:1906.07265","title":"Recovering low-rank structure from multiple networks with unknown edge distributions","author":[{"family":"Levin","given":"Keith"},{"family":"Lodhia","given":"Asad"},{"family":"Levina","given":"Elizaveta"}],"issued":{"date-parts":[["2019"]]}},"label":"page"}],"schema":"https://github.com/citation-style-language/schema/raw/master/csl-citation.json"} </w:instrText>
      </w:r>
      <w:r>
        <w:rPr>
          <w:rFonts w:cstheme="minorHAnsi"/>
          <w:color w:val="000000"/>
        </w:rPr>
        <w:fldChar w:fldCharType="separate"/>
      </w:r>
      <w:r w:rsidR="0094155F">
        <w:rPr>
          <w:rFonts w:ascii="Calibri" w:cs="Calibri"/>
          <w:color w:val="000000"/>
        </w:rPr>
        <w:t>(14, 15)</w:t>
      </w:r>
      <w:r>
        <w:rPr>
          <w:rFonts w:cstheme="minorHAnsi"/>
          <w:color w:val="000000"/>
        </w:rPr>
        <w:fldChar w:fldCharType="end"/>
      </w:r>
      <w:r>
        <w:rPr>
          <w:rFonts w:cstheme="minorHAnsi"/>
          <w:color w:val="000000"/>
        </w:rPr>
        <w:t xml:space="preserve">). We chose the PCR approach for this study because our previous work showed it has high test-retest reliability </w:t>
      </w:r>
      <w:r>
        <w:rPr>
          <w:rFonts w:cstheme="minorHAnsi"/>
          <w:color w:val="000000"/>
        </w:rPr>
        <w:fldChar w:fldCharType="begin"/>
      </w:r>
      <w:r w:rsidR="0094155F">
        <w:rPr>
          <w:rFonts w:cstheme="minorHAnsi"/>
          <w:color w:val="000000"/>
        </w:rPr>
        <w:instrText xml:space="preserve"> ADDIN ZOTERO_ITEM CSL_CITATION {"citationID":"a1oog8lin4u","properties":{"formattedCitation":"(16)","plainCitation":"(16)","noteIndex":0},"citationItems":[{"id":7554,"uris":["http://zotero.org/users/715749/items/RZ5SHKF7"],"uri":["http://zotero.org/users/715749/items/RZ5SHKF7"],"itemData":{"id":7554,"type":"article-journal","container-title":"Cerebral Cortex","issue":"6","page":"2822–2833","title":"Boost in Test-Retest Reliability in Resting State fMRI with Predictive Modeling","volume":"31","author":[{"family":"Taxali","given":"Aman"},{"family":"Angstadt","given":"Mike"},{"family":"Rutherford","given":"Saige"},{"family":"Sripada","given":"Chandra"}],"issued":{"date-parts":[["2021"]]}}}],"schema":"https://github.com/citation-style-language/schema/raw/master/csl-citation.json"} </w:instrText>
      </w:r>
      <w:r>
        <w:rPr>
          <w:rFonts w:cstheme="minorHAnsi"/>
          <w:color w:val="000000"/>
        </w:rPr>
        <w:fldChar w:fldCharType="separate"/>
      </w:r>
      <w:r w:rsidR="0094155F">
        <w:rPr>
          <w:rFonts w:ascii="Calibri" w:cs="Calibri"/>
          <w:color w:val="000000"/>
        </w:rPr>
        <w:t>(16)</w:t>
      </w:r>
      <w:r>
        <w:rPr>
          <w:rFonts w:cstheme="minorHAnsi"/>
          <w:color w:val="000000"/>
        </w:rPr>
        <w:fldChar w:fldCharType="end"/>
      </w:r>
      <w:r>
        <w:rPr>
          <w:rFonts w:cstheme="minorHAnsi"/>
          <w:color w:val="000000"/>
        </w:rPr>
        <w:t xml:space="preserve"> and predictive accuracy </w:t>
      </w:r>
      <w:r>
        <w:rPr>
          <w:rFonts w:cstheme="minorHAnsi"/>
          <w:color w:val="000000"/>
        </w:rPr>
        <w:fldChar w:fldCharType="begin"/>
      </w:r>
      <w:r w:rsidR="0094155F">
        <w:rPr>
          <w:rFonts w:cstheme="minorHAnsi"/>
          <w:color w:val="000000"/>
        </w:rPr>
        <w:instrText xml:space="preserve"> ADDIN ZOTERO_ITEM CSL_CITATION {"citationID":"ah4g2i28gh","properties":{"formattedCitation":"(17, 18)","plainCitation":"(17, 18)","noteIndex":0},"citationItems":[{"id":6973,"uris":["http://zotero.org/users/715749/items/KPEIRA9T"],"uri":["http://zotero.org/users/715749/items/KPEIRA9T"],"itemData":{"id":6973,"type":"article-journal","abstract":"Difficulties with higher-order cognitive functions in youth are a potentially important vulnerability factor for the emergence of problematic behaviors and a range of psychopathologies. This study examined 2,103 9-10 year olds in the first data release from the Adolescent Brain Cognitive Development 21-site consortium study in order to identify resting state functional connectivity patterns that predict individual-differences in three domains of higher-order cognitive functions: General Ability, Speed/Flexibility, and Learning/Memory. We found that connectivity patterns involving task control networks and default mode network were prominently implicated in predicting individual differences across participants across all three domains. In addition, for General Ability scores specifically, we observed consistent cross-site generalizability, with statistically significant predictions in 14 out of 15 held-out sites. These findings demonstrate that resting state connectivity can be leveraged to produce generalizable markers of neurocognitive functioning. Additionally, they highlight the importance of task control-default mode network inter-connections as a major locus of individual differences in cognitive functioning in early adolescence.","container-title":"Molecular Psychiatry","page":"3413–3421","title":"Prediction of Neurocognition in Youth From Resting State fMRI","volume":"25","author":[{"family":"Sripada","given":"Chandra"},{"family":"Rutherford","given":"Saige"},{"family":"Angstadt","given":"Mike"},{"family":"Thompson","given":"Wesley K"},{"family":"Luciana","given":"Monica"},{"family":"Weigard","given":"Alex"},{"family":"Hyde","given":"Luke"},{"family":"Heitzeg","given":"Mary"}],"issued":{"date-parts":[["2020"]]}},"label":"page"},{"id":7382,"uris":["http://zotero.org/users/715749/items/8HRM3BXY"],"uri":["http://zotero.org/users/715749/items/8HRM3BXY"],"itemData":{"id":7382,"type":"article-journal","container-title":"Human Brain Mapping","title":"Toward a “treadmill test” for cognition: Improved prediction of general cognitive ability from the task activated brain","author":[{"family":"Sripada","given":"Chandra"},{"family":"Angstadt","given":"Mike"},{"family":"Rutherford","given":"Saige"},{"family":"Taxali","given":"Aman"},{"family":"Shedden","given":"Kerby"}],"issued":{"date-parts":[["2020"]]}},"label":"page"}],"schema":"https://github.com/citation-style-language/schema/raw/master/csl-citation.json"} </w:instrText>
      </w:r>
      <w:r>
        <w:rPr>
          <w:rFonts w:cstheme="minorHAnsi"/>
          <w:color w:val="000000"/>
        </w:rPr>
        <w:fldChar w:fldCharType="separate"/>
      </w:r>
      <w:r w:rsidR="0094155F">
        <w:rPr>
          <w:rFonts w:ascii="Calibri" w:cs="Calibri"/>
          <w:color w:val="000000"/>
        </w:rPr>
        <w:t>(17, 18)</w:t>
      </w:r>
      <w:r>
        <w:rPr>
          <w:rFonts w:cstheme="minorHAnsi"/>
          <w:color w:val="000000"/>
        </w:rPr>
        <w:fldChar w:fldCharType="end"/>
      </w:r>
      <w:r>
        <w:rPr>
          <w:rFonts w:cs="Arial"/>
          <w:color w:val="000000"/>
        </w:rPr>
        <w:t xml:space="preserve">, and generally performs as well or better than alternative methods such as support vector regression and ridge regression </w:t>
      </w:r>
      <w:r>
        <w:rPr>
          <w:rFonts w:cstheme="minorHAnsi"/>
          <w:color w:val="000000"/>
        </w:rPr>
        <w:fldChar w:fldCharType="begin"/>
      </w:r>
      <w:r w:rsidR="0094155F">
        <w:rPr>
          <w:rFonts w:cstheme="minorHAnsi"/>
          <w:color w:val="000000"/>
        </w:rPr>
        <w:instrText xml:space="preserve"> ADDIN ZOTERO_ITEM CSL_CITATION {"citationID":"W2ZLjeNx","properties":{"formattedCitation":"(16)","plainCitation":"(16)","noteIndex":0},"citationItems":[{"id":7554,"uris":["http://zotero.org/users/715749/items/RZ5SHKF7"],"uri":["http://zotero.org/users/715749/items/RZ5SHKF7"],"itemData":{"id":7554,"type":"article-journal","container-title":"Cerebral Cortex","issue":"6","page":"2822–2833","title":"Boost in Test-Retest Reliability in Resting State fMRI with Predictive Modeling","volume":"31","author":[{"family":"Taxali","given":"Aman"},{"family":"Angstadt","given":"Mike"},{"family":"Rutherford","given":"Saige"},{"family":"Sripada","given":"Chandra"}],"issued":{"date-parts":[["2021"]]}}}],"schema":"https://github.com/citation-style-language/schema/raw/master/csl-citation.json"} </w:instrText>
      </w:r>
      <w:r>
        <w:rPr>
          <w:rFonts w:cstheme="minorHAnsi"/>
          <w:color w:val="000000"/>
        </w:rPr>
        <w:fldChar w:fldCharType="separate"/>
      </w:r>
      <w:r w:rsidR="0094155F">
        <w:rPr>
          <w:rFonts w:ascii="Calibri" w:cs="Calibri"/>
          <w:color w:val="000000"/>
        </w:rPr>
        <w:t>(16)</w:t>
      </w:r>
      <w:r>
        <w:rPr>
          <w:rFonts w:cstheme="minorHAnsi"/>
          <w:color w:val="000000"/>
        </w:rPr>
        <w:fldChar w:fldCharType="end"/>
      </w:r>
      <w:r>
        <w:rPr>
          <w:rFonts w:cs="Arial"/>
          <w:color w:val="000000"/>
        </w:rPr>
        <w:t xml:space="preserve">.  </w:t>
      </w:r>
    </w:p>
    <w:p w14:paraId="7C76FE9C" w14:textId="77777777" w:rsidR="00560E29" w:rsidRDefault="00560E29" w:rsidP="005634A1">
      <w:pPr>
        <w:rPr>
          <w:b/>
          <w:color w:val="000000" w:themeColor="text1"/>
        </w:rPr>
      </w:pPr>
    </w:p>
    <w:p w14:paraId="7F05A0B6" w14:textId="4EFCFF05" w:rsidR="00855900" w:rsidRDefault="00560E29" w:rsidP="00264C6C">
      <w:pPr>
        <w:rPr>
          <w:rFonts w:cs="Arial"/>
          <w:b/>
          <w:color w:val="000000"/>
        </w:rPr>
      </w:pPr>
      <w:r>
        <w:rPr>
          <w:rFonts w:cs="Arial"/>
          <w:b/>
          <w:color w:val="000000"/>
        </w:rPr>
        <w:t>5</w:t>
      </w:r>
      <w:r w:rsidR="00855900">
        <w:rPr>
          <w:rFonts w:cs="Arial"/>
          <w:b/>
          <w:color w:val="000000"/>
        </w:rPr>
        <w:t>.</w:t>
      </w:r>
      <w:r w:rsidR="001808CC">
        <w:rPr>
          <w:rFonts w:cs="Arial"/>
          <w:b/>
          <w:color w:val="000000"/>
        </w:rPr>
        <w:tab/>
      </w:r>
      <w:r w:rsidR="00C11553" w:rsidRPr="00C11553">
        <w:rPr>
          <w:rFonts w:cs="Arial"/>
          <w:b/>
          <w:color w:val="000000"/>
        </w:rPr>
        <w:t>Accounting for Covariates in Cross-Validation Framework</w:t>
      </w:r>
    </w:p>
    <w:p w14:paraId="36CE5C58" w14:textId="18ACEBA0" w:rsidR="00855900" w:rsidRDefault="00855900" w:rsidP="00264C6C">
      <w:pPr>
        <w:rPr>
          <w:rFonts w:cs="Arial"/>
          <w:b/>
          <w:color w:val="000000"/>
        </w:rPr>
      </w:pPr>
    </w:p>
    <w:p w14:paraId="3CD8136B" w14:textId="1FC2D276" w:rsidR="00C11553" w:rsidRPr="004543AB" w:rsidRDefault="000218F9" w:rsidP="00264C6C">
      <w:pPr>
        <w:rPr>
          <w:rFonts w:cs="Arial"/>
          <w:b/>
          <w:color w:val="000000"/>
        </w:rPr>
      </w:pPr>
      <w:r>
        <w:t xml:space="preserve">We accounted for the effect of covariates in a cross-validation framework that </w:t>
      </w:r>
      <w:r w:rsidR="0096610D">
        <w:t>maintain</w:t>
      </w:r>
      <w:r>
        <w:t>ed</w:t>
      </w:r>
      <w:r w:rsidR="0096610D">
        <w:t xml:space="preserve"> strict separation between training and test datasets</w:t>
      </w:r>
      <w:r w:rsidR="000E349E">
        <w:t>.</w:t>
      </w:r>
      <w:r w:rsidR="0096610D">
        <w:t xml:space="preserve"> </w:t>
      </w:r>
      <w:r>
        <w:t>R</w:t>
      </w:r>
      <w:r w:rsidR="0096610D">
        <w:t xml:space="preserve">egression coefficients for </w:t>
      </w:r>
      <w:r w:rsidR="00A916D1">
        <w:t>nuisance</w:t>
      </w:r>
      <w:r w:rsidR="0096610D">
        <w:t xml:space="preserve"> covariates learned from the training sample </w:t>
      </w:r>
      <w:r w:rsidR="000F7C3B">
        <w:t>were</w:t>
      </w:r>
      <w:r w:rsidR="0096610D">
        <w:t xml:space="preserve"> applied to the test sample, and the variance they explain </w:t>
      </w:r>
      <w:r w:rsidR="0086654A">
        <w:t xml:space="preserve">in the outcome variable </w:t>
      </w:r>
      <w:r w:rsidR="00051A69">
        <w:t>was</w:t>
      </w:r>
      <w:r w:rsidR="0096610D">
        <w:t xml:space="preserve"> subtracted away</w:t>
      </w:r>
      <w:r w:rsidR="00762466">
        <w:t>, yielding</w:t>
      </w:r>
      <w:r w:rsidR="00936813">
        <w:t xml:space="preserve"> a covariate-adjusted outcome variable, </w:t>
      </w:r>
      <w:proofErr w:type="spellStart"/>
      <w:r w:rsidR="005548FD">
        <w:t>Y</w:t>
      </w:r>
      <w:r w:rsidR="00762466" w:rsidRPr="005548FD">
        <w:rPr>
          <w:vertAlign w:val="subscript"/>
        </w:rPr>
        <w:t>adjusted</w:t>
      </w:r>
      <w:proofErr w:type="spellEnd"/>
      <w:r w:rsidR="0096610D">
        <w:t xml:space="preserve">. This procedure, described in detail in our previous publication </w:t>
      </w:r>
      <w:r w:rsidR="0096610D">
        <w:fldChar w:fldCharType="begin"/>
      </w:r>
      <w:r w:rsidR="0094155F">
        <w:instrText xml:space="preserve"> ADDIN ZOTERO_ITEM CSL_CITATION {"citationID":"9G1t8HLH","properties":{"formattedCitation":"(18)","plainCitation":"(18)","noteIndex":0},"citationItems":[{"id":7382,"uris":["http://zotero.org/users/715749/items/8HRM3BXY"],"uri":["http://zotero.org/users/715749/items/8HRM3BXY"],"itemData":{"id":7382,"type":"article-journal","container-title":"Human Brain Mapping","title":"Toward a “treadmill test” for cognition: Improved prediction of general cognitive ability from the task activated brain","author":[{"family":"Sripada","given":"Chandra"},{"family":"Angstadt","given":"Mike"},{"family":"Rutherford","given":"Saige"},{"family":"Taxali","given":"Aman"},{"family":"Shedden","given":"Kerby"}],"issued":{"date-parts":[["2020"]]}}}],"schema":"https://github.com/citation-style-language/schema/raw/master/csl-citation.json"} </w:instrText>
      </w:r>
      <w:r w:rsidR="0096610D">
        <w:fldChar w:fldCharType="separate"/>
      </w:r>
      <w:r w:rsidR="0094155F">
        <w:rPr>
          <w:rFonts w:ascii="Calibri" w:cs="Calibri"/>
        </w:rPr>
        <w:t>(18)</w:t>
      </w:r>
      <w:r w:rsidR="0096610D">
        <w:fldChar w:fldCharType="end"/>
      </w:r>
      <w:r w:rsidR="0096610D">
        <w:t xml:space="preserve">, </w:t>
      </w:r>
      <w:r w:rsidR="00EB7499">
        <w:t>allows us to</w:t>
      </w:r>
      <w:r w:rsidR="0096610D">
        <w:t xml:space="preserve"> estimate the contribution of brain components alone in predicting test subject</w:t>
      </w:r>
      <w:r w:rsidR="0098633E">
        <w:t>s’</w:t>
      </w:r>
      <w:r w:rsidR="0096610D">
        <w:t xml:space="preserve"> </w:t>
      </w:r>
      <w:r w:rsidR="0098633E">
        <w:t>GCA scores</w:t>
      </w:r>
      <w:r w:rsidR="0096610D">
        <w:t>, excluding the contribution of the nuisance covariates.</w:t>
      </w:r>
      <w:r w:rsidR="00C858B1">
        <w:t xml:space="preserve"> </w:t>
      </w:r>
      <w:r w:rsidR="002E78C4">
        <w:t xml:space="preserve">In particular, in the test set, we </w:t>
      </w:r>
      <w:r w:rsidR="008F62BE">
        <w:t>calculate</w:t>
      </w:r>
      <w:r w:rsidR="00936813">
        <w:t xml:space="preserve"> predicted values for the outcome variable, </w:t>
      </w:r>
      <w:proofErr w:type="spellStart"/>
      <w:r w:rsidR="008F62BE">
        <w:t>Y</w:t>
      </w:r>
      <w:r w:rsidR="008F62BE" w:rsidRPr="008F62BE">
        <w:rPr>
          <w:vertAlign w:val="subscript"/>
        </w:rPr>
        <w:t>predicted</w:t>
      </w:r>
      <w:proofErr w:type="spellEnd"/>
      <w:r w:rsidR="00936813">
        <w:t xml:space="preserve">, </w:t>
      </w:r>
      <w:r w:rsidR="008F62BE">
        <w:t>by multiplying</w:t>
      </w:r>
      <w:r w:rsidR="00830E3E">
        <w:t xml:space="preserve"> brain component expression scores </w:t>
      </w:r>
      <w:r w:rsidR="002426CE">
        <w:t xml:space="preserve">for the test set </w:t>
      </w:r>
      <w:r w:rsidR="008F62BE">
        <w:t xml:space="preserve">with their </w:t>
      </w:r>
      <w:r w:rsidR="002205FF">
        <w:t xml:space="preserve">associated beta weights </w:t>
      </w:r>
      <w:r w:rsidR="00830E3E">
        <w:t xml:space="preserve">learned from the train dataset. </w:t>
      </w:r>
      <w:r w:rsidR="00C858B1">
        <w:t>Pearson</w:t>
      </w:r>
      <w:r w:rsidR="002E4E1D">
        <w:t xml:space="preserve">’s </w:t>
      </w:r>
      <w:proofErr w:type="spellStart"/>
      <w:r w:rsidR="002E4E1D">
        <w:t>correlation</w:t>
      </w:r>
      <w:r w:rsidR="009C25C4" w:rsidRPr="009C25C4">
        <w:rPr>
          <w:vertAlign w:val="subscript"/>
        </w:rPr>
        <w:t>cross</w:t>
      </w:r>
      <w:proofErr w:type="spellEnd"/>
      <w:r w:rsidR="009C25C4" w:rsidRPr="009C25C4">
        <w:rPr>
          <w:vertAlign w:val="subscript"/>
        </w:rPr>
        <w:t>-validated</w:t>
      </w:r>
      <w:r w:rsidR="002E4E1D" w:rsidRPr="009C25C4">
        <w:rPr>
          <w:vertAlign w:val="subscript"/>
        </w:rPr>
        <w:t xml:space="preserve"> </w:t>
      </w:r>
      <w:r w:rsidR="002E4E1D">
        <w:t xml:space="preserve">was calculated </w:t>
      </w:r>
      <w:r w:rsidR="005548FD">
        <w:t xml:space="preserve">in the test set </w:t>
      </w:r>
      <w:r w:rsidR="002E4E1D">
        <w:t>as th</w:t>
      </w:r>
      <w:r w:rsidR="005548FD">
        <w:t xml:space="preserve">e correlation between </w:t>
      </w:r>
      <w:proofErr w:type="spellStart"/>
      <w:r w:rsidR="005548FD">
        <w:t>Y</w:t>
      </w:r>
      <w:r w:rsidR="005548FD" w:rsidRPr="005548FD">
        <w:rPr>
          <w:vertAlign w:val="subscript"/>
        </w:rPr>
        <w:t>adjusted</w:t>
      </w:r>
      <w:proofErr w:type="spellEnd"/>
      <w:r w:rsidR="005548FD">
        <w:t xml:space="preserve"> and </w:t>
      </w:r>
      <w:proofErr w:type="spellStart"/>
      <w:r w:rsidR="008F62BE">
        <w:t>Y</w:t>
      </w:r>
      <w:r w:rsidR="008F62BE" w:rsidRPr="008F62BE">
        <w:rPr>
          <w:vertAlign w:val="subscript"/>
        </w:rPr>
        <w:t>predicted</w:t>
      </w:r>
      <w:proofErr w:type="spellEnd"/>
      <w:r w:rsidR="006B713C">
        <w:t>. P</w:t>
      </w:r>
      <w:r w:rsidR="004543AB">
        <w:t xml:space="preserve">artial </w:t>
      </w:r>
      <w:r w:rsidR="00823C40">
        <w:rPr>
          <w:rFonts w:ascii="Symbol" w:hAnsi="Symbol"/>
        </w:rPr>
        <w:t>h</w:t>
      </w:r>
      <w:r w:rsidR="00823C40" w:rsidRPr="00A500BC">
        <w:rPr>
          <w:vertAlign w:val="superscript"/>
        </w:rPr>
        <w:t>2</w:t>
      </w:r>
      <w:r w:rsidR="00823C40" w:rsidRPr="00C70056">
        <w:rPr>
          <w:rFonts w:cs="Arial"/>
          <w:color w:val="000000"/>
          <w:vertAlign w:val="subscript"/>
        </w:rPr>
        <w:t>cross-validated</w:t>
      </w:r>
      <w:r w:rsidR="00823C40">
        <w:rPr>
          <w:rFonts w:cs="Arial"/>
          <w:color w:val="000000"/>
        </w:rPr>
        <w:t xml:space="preserve"> was calculated as</w:t>
      </w:r>
      <w:r w:rsidR="00936813">
        <w:rPr>
          <w:rFonts w:cs="Arial"/>
          <w:color w:val="000000"/>
        </w:rPr>
        <w:t xml:space="preserve"> partial</w:t>
      </w:r>
      <w:r w:rsidR="00823C40">
        <w:rPr>
          <w:rFonts w:cs="Arial"/>
          <w:color w:val="000000"/>
        </w:rPr>
        <w:t xml:space="preserve"> </w:t>
      </w:r>
      <w:r w:rsidR="00DE0C13">
        <w:rPr>
          <w:rFonts w:ascii="Symbol" w:hAnsi="Symbol"/>
        </w:rPr>
        <w:t>h</w:t>
      </w:r>
      <w:r w:rsidR="00DE0C13" w:rsidRPr="00DE0C13">
        <w:rPr>
          <w:vertAlign w:val="superscript"/>
        </w:rPr>
        <w:t>2</w:t>
      </w:r>
      <w:r w:rsidR="00DE0C13">
        <w:t xml:space="preserve"> </w:t>
      </w:r>
      <w:r w:rsidR="008F62BE">
        <w:t xml:space="preserve">for </w:t>
      </w:r>
      <w:r w:rsidR="00E007DE">
        <w:t xml:space="preserve">a </w:t>
      </w:r>
      <w:r w:rsidR="002426CE">
        <w:t xml:space="preserve">regression model with </w:t>
      </w:r>
      <w:proofErr w:type="spellStart"/>
      <w:r w:rsidR="008F62BE">
        <w:t>Y</w:t>
      </w:r>
      <w:r w:rsidR="008F62BE" w:rsidRPr="005548FD">
        <w:rPr>
          <w:vertAlign w:val="subscript"/>
        </w:rPr>
        <w:t>adjusted</w:t>
      </w:r>
      <w:proofErr w:type="spellEnd"/>
      <w:r w:rsidR="008F62BE">
        <w:t xml:space="preserve"> </w:t>
      </w:r>
      <w:r w:rsidR="002426CE">
        <w:t xml:space="preserve">as </w:t>
      </w:r>
      <w:r w:rsidR="006A0F4E">
        <w:t xml:space="preserve">the </w:t>
      </w:r>
      <w:r w:rsidR="002426CE">
        <w:t xml:space="preserve">outcome and </w:t>
      </w:r>
      <w:proofErr w:type="spellStart"/>
      <w:r w:rsidR="008F62BE">
        <w:t>Y</w:t>
      </w:r>
      <w:r w:rsidR="008F62BE" w:rsidRPr="008F62BE">
        <w:rPr>
          <w:vertAlign w:val="subscript"/>
        </w:rPr>
        <w:t>predicted</w:t>
      </w:r>
      <w:proofErr w:type="spellEnd"/>
      <w:r w:rsidR="002426CE">
        <w:t xml:space="preserve"> as the predictor</w:t>
      </w:r>
      <w:r w:rsidR="00936813">
        <w:t xml:space="preserve"> (note that with a single predictor, </w:t>
      </w:r>
      <w:r w:rsidR="00936813">
        <w:rPr>
          <w:rFonts w:cs="Arial"/>
          <w:color w:val="000000"/>
        </w:rPr>
        <w:t xml:space="preserve">partial </w:t>
      </w:r>
      <w:r w:rsidR="00936813">
        <w:rPr>
          <w:rFonts w:ascii="Symbol" w:hAnsi="Symbol"/>
        </w:rPr>
        <w:t>h</w:t>
      </w:r>
      <w:r w:rsidR="00936813" w:rsidRPr="00DE0C13">
        <w:rPr>
          <w:vertAlign w:val="superscript"/>
        </w:rPr>
        <w:t>2</w:t>
      </w:r>
      <w:r w:rsidR="00936813">
        <w:t xml:space="preserve"> and </w:t>
      </w:r>
      <w:r w:rsidR="00936813">
        <w:rPr>
          <w:rFonts w:ascii="Symbol" w:hAnsi="Symbol"/>
        </w:rPr>
        <w:t>h</w:t>
      </w:r>
      <w:r w:rsidR="00936813" w:rsidRPr="00DE0C13">
        <w:rPr>
          <w:vertAlign w:val="superscript"/>
        </w:rPr>
        <w:t>2</w:t>
      </w:r>
      <w:r w:rsidR="00936813">
        <w:t xml:space="preserve"> will be identical)</w:t>
      </w:r>
      <w:r w:rsidR="002426CE">
        <w:t>.</w:t>
      </w:r>
    </w:p>
    <w:p w14:paraId="38B1C7D7" w14:textId="77777777" w:rsidR="00C11553" w:rsidRDefault="00C11553" w:rsidP="00264C6C">
      <w:pPr>
        <w:rPr>
          <w:rFonts w:cs="Arial"/>
          <w:b/>
          <w:color w:val="000000"/>
        </w:rPr>
      </w:pPr>
    </w:p>
    <w:p w14:paraId="2E125670" w14:textId="7FAE61FA" w:rsidR="00264C6C" w:rsidRDefault="00560E29" w:rsidP="00264C6C">
      <w:pPr>
        <w:rPr>
          <w:rFonts w:cs="Arial"/>
          <w:color w:val="000000"/>
        </w:rPr>
      </w:pPr>
      <w:r>
        <w:rPr>
          <w:rFonts w:cs="Arial"/>
          <w:b/>
          <w:color w:val="000000"/>
        </w:rPr>
        <w:t>6</w:t>
      </w:r>
      <w:r w:rsidR="0090489E">
        <w:rPr>
          <w:rFonts w:cs="Arial"/>
          <w:b/>
          <w:color w:val="000000"/>
        </w:rPr>
        <w:t>.</w:t>
      </w:r>
      <w:r w:rsidR="00EB4E0F">
        <w:rPr>
          <w:rFonts w:cs="Arial"/>
          <w:b/>
          <w:color w:val="000000"/>
        </w:rPr>
        <w:tab/>
      </w:r>
      <w:r w:rsidR="00264C6C" w:rsidRPr="00F647F0">
        <w:rPr>
          <w:rFonts w:cs="Arial"/>
          <w:b/>
          <w:color w:val="000000"/>
        </w:rPr>
        <w:t>Permutation Framework</w:t>
      </w:r>
    </w:p>
    <w:p w14:paraId="108ADAFC" w14:textId="552056C7" w:rsidR="00264C6C" w:rsidRPr="00513951" w:rsidRDefault="00264C6C" w:rsidP="00264C6C">
      <w:pPr>
        <w:rPr>
          <w:rFonts w:cs="Times New Roman"/>
        </w:rPr>
      </w:pPr>
      <w:r w:rsidRPr="00513951">
        <w:rPr>
          <w:rFonts w:cs="Arial"/>
          <w:color w:val="000000"/>
        </w:rPr>
        <w:t xml:space="preserve">The distribution under chance of correlations between </w:t>
      </w:r>
      <w:r w:rsidR="00B55171">
        <w:rPr>
          <w:rFonts w:cs="Arial"/>
          <w:color w:val="000000"/>
        </w:rPr>
        <w:t>PCR regression</w:t>
      </w:r>
      <w:r w:rsidRPr="00513951">
        <w:rPr>
          <w:rFonts w:cs="Arial"/>
          <w:color w:val="000000"/>
        </w:rPr>
        <w:t xml:space="preserve"> predictions of neurocognitive scores and observed neurocognitive scores was generated by randomly permuting the </w:t>
      </w:r>
      <w:r>
        <w:rPr>
          <w:rFonts w:cs="Arial"/>
          <w:color w:val="000000"/>
        </w:rPr>
        <w:t>5,</w:t>
      </w:r>
      <w:r w:rsidR="00835F4D">
        <w:rPr>
          <w:rFonts w:cs="Arial"/>
          <w:color w:val="000000"/>
        </w:rPr>
        <w:t>937</w:t>
      </w:r>
      <w:r>
        <w:rPr>
          <w:rFonts w:cs="Arial"/>
          <w:color w:val="000000"/>
        </w:rPr>
        <w:t xml:space="preserve"> </w:t>
      </w:r>
      <w:r w:rsidRPr="00513951">
        <w:rPr>
          <w:rFonts w:cs="Arial"/>
          <w:color w:val="000000"/>
        </w:rPr>
        <w:t xml:space="preserve">subjects’ </w:t>
      </w:r>
      <w:r w:rsidR="0018294A">
        <w:rPr>
          <w:rFonts w:cs="Arial"/>
          <w:color w:val="000000"/>
        </w:rPr>
        <w:t xml:space="preserve">neurocognitive </w:t>
      </w:r>
      <w:r w:rsidRPr="00513951">
        <w:rPr>
          <w:rFonts w:cs="Arial"/>
          <w:color w:val="000000"/>
        </w:rPr>
        <w:t xml:space="preserve">scores 10,000 times. At each iteration, we performed the leave-one-site out cross validation procedure described </w:t>
      </w:r>
      <w:r>
        <w:rPr>
          <w:rFonts w:cs="Arial"/>
          <w:color w:val="000000"/>
        </w:rPr>
        <w:t xml:space="preserve">in the main manuscript, including </w:t>
      </w:r>
      <w:r w:rsidRPr="00513951">
        <w:rPr>
          <w:rFonts w:cs="Arial"/>
          <w:color w:val="000000"/>
        </w:rPr>
        <w:t xml:space="preserve">refitting </w:t>
      </w:r>
      <w:r w:rsidR="00B55171">
        <w:rPr>
          <w:rFonts w:cs="Arial"/>
          <w:color w:val="000000"/>
        </w:rPr>
        <w:t>PCR regression</w:t>
      </w:r>
      <w:r w:rsidR="00B55171" w:rsidRPr="00513951">
        <w:rPr>
          <w:rFonts w:cs="Arial"/>
          <w:color w:val="000000"/>
        </w:rPr>
        <w:t xml:space="preserve"> </w:t>
      </w:r>
      <w:r w:rsidRPr="00513951">
        <w:rPr>
          <w:rFonts w:cs="Arial"/>
          <w:color w:val="000000"/>
        </w:rPr>
        <w:t>models at ea</w:t>
      </w:r>
      <w:r>
        <w:rPr>
          <w:rFonts w:cs="Arial"/>
          <w:color w:val="000000"/>
        </w:rPr>
        <w:t>ch fold of the cross-validation</w:t>
      </w:r>
      <w:r w:rsidRPr="00513951">
        <w:rPr>
          <w:rFonts w:cs="Arial"/>
          <w:color w:val="000000"/>
        </w:rPr>
        <w:t xml:space="preserve">. We then recalculated the average correlation across folds between predicted versus actual </w:t>
      </w:r>
      <w:r w:rsidR="00BA163D">
        <w:rPr>
          <w:rFonts w:cs="Arial"/>
          <w:color w:val="000000"/>
        </w:rPr>
        <w:t>neurocognitive</w:t>
      </w:r>
      <w:r w:rsidRPr="00513951">
        <w:rPr>
          <w:rFonts w:cs="Arial"/>
          <w:color w:val="000000"/>
        </w:rPr>
        <w:t xml:space="preserve"> scores. The average correlation across folds that was actually observed was located in this null distribution in terms of rank, and statistical significance was set as this rank value divided by 10,000. </w:t>
      </w:r>
    </w:p>
    <w:p w14:paraId="39FFB649" w14:textId="77777777" w:rsidR="00264C6C" w:rsidRPr="00513951" w:rsidRDefault="00264C6C" w:rsidP="00264C6C">
      <w:pPr>
        <w:rPr>
          <w:rFonts w:cs="Times New Roman"/>
        </w:rPr>
      </w:pPr>
      <w:r w:rsidRPr="00513951">
        <w:rPr>
          <w:rFonts w:cs="Arial"/>
          <w:color w:val="000000"/>
        </w:rPr>
        <w:t xml:space="preserve"> </w:t>
      </w:r>
    </w:p>
    <w:p w14:paraId="19C03BE3" w14:textId="6481E486" w:rsidR="00EC0226" w:rsidRPr="00EC0226" w:rsidRDefault="00264C6C" w:rsidP="00EC0226">
      <w:r w:rsidRPr="00513951">
        <w:rPr>
          <w:rFonts w:cs="Arial"/>
          <w:color w:val="000000"/>
        </w:rPr>
        <w:t xml:space="preserve">Since the </w:t>
      </w:r>
      <w:r w:rsidR="00B55171">
        <w:rPr>
          <w:rFonts w:cs="Arial"/>
          <w:color w:val="000000"/>
        </w:rPr>
        <w:t>PCR regression</w:t>
      </w:r>
      <w:r w:rsidR="00B55171" w:rsidRPr="00513951">
        <w:rPr>
          <w:rFonts w:cs="Arial"/>
          <w:color w:val="000000"/>
        </w:rPr>
        <w:t xml:space="preserve"> </w:t>
      </w:r>
      <w:r w:rsidRPr="00513951">
        <w:rPr>
          <w:rFonts w:cs="Arial"/>
          <w:color w:val="000000"/>
        </w:rPr>
        <w:t>models fit at each iteration of the permutation test included covariates</w:t>
      </w:r>
      <w:r>
        <w:rPr>
          <w:rFonts w:cs="Arial"/>
          <w:color w:val="000000"/>
        </w:rPr>
        <w:t>,</w:t>
      </w:r>
      <w:r w:rsidRPr="00513951">
        <w:rPr>
          <w:rFonts w:cs="Arial"/>
          <w:color w:val="000000"/>
        </w:rPr>
        <w:t xml:space="preserve"> the procedure of Freedman and Lane</w:t>
      </w:r>
      <w:r w:rsidR="00B06AE7">
        <w:rPr>
          <w:rFonts w:cs="Arial"/>
          <w:color w:val="000000"/>
        </w:rPr>
        <w:t xml:space="preserve"> </w:t>
      </w:r>
      <w:r>
        <w:rPr>
          <w:rFonts w:cs="Arial"/>
          <w:color w:val="000000"/>
        </w:rPr>
        <w:fldChar w:fldCharType="begin"/>
      </w:r>
      <w:r w:rsidR="0094155F">
        <w:rPr>
          <w:rFonts w:cs="Arial"/>
          <w:color w:val="000000"/>
        </w:rPr>
        <w:instrText xml:space="preserve"> ADDIN ZOTERO_ITEM CSL_CITATION {"citationID":"euRQadRu","properties":{"formattedCitation":"(19)","plainCitation":"(19)","noteIndex":0},"citationItems":[{"id":3623,"uris":["http://zotero.org/users/715749/items/Q2WPRZA5"],"uri":["http://zotero.org/users/715749/items/Q2WPRZA5"],"itemData":{"id":3623,"type":"article-journal","abstract":"Tests of significance are often made in situations where the standard assumptions underlying the probability calculations do not hold. As a result, the reported significance levels become difficult to interpret. This article sketches an alternative interpretation of a reported significance level, valid in considerable generality. This level locates the given data set within the spectrum of other data sets derived from the given one by an appropriate class of transformations. If the null hypothesis being tested holds, the derived data sets should be equivalent to the original one. Thus, a small reported significance level indicates an unusual data set. This development parallels that of randomization tests, but there is a crucial technical difference: our approach involves permuting observed residuals; the classical randomization approach involves permuting unobservable, or perhaps nonexistent, stochastic disturbance terms.","container-title":"Journal of Business &amp; Economic Statistics","DOI":"10.1080/07350015.1983.10509354","ISSN":"0735-0015","issue":"4","page":"292-298","source":"Taylor and Francis+NEJM","title":"A Nonstochastic Interpretation of Reported Significance Levels","volume":"1","author":[{"family":"Freedman","given":"David"},{"family":"Lane","given":"David"}],"issued":{"date-parts":[["1983"]]}}}],"schema":"https://github.com/citation-style-language/schema/raw/master/csl-citation.json"} </w:instrText>
      </w:r>
      <w:r>
        <w:rPr>
          <w:rFonts w:cs="Arial"/>
          <w:color w:val="000000"/>
        </w:rPr>
        <w:fldChar w:fldCharType="separate"/>
      </w:r>
      <w:r w:rsidR="0094155F">
        <w:rPr>
          <w:rFonts w:ascii="Calibri" w:cs="Times New Roman"/>
          <w:color w:val="000000"/>
        </w:rPr>
        <w:t>(19)</w:t>
      </w:r>
      <w:r>
        <w:rPr>
          <w:rFonts w:cs="Arial"/>
          <w:color w:val="000000"/>
        </w:rPr>
        <w:fldChar w:fldCharType="end"/>
      </w:r>
      <w:r w:rsidRPr="00513951">
        <w:rPr>
          <w:rFonts w:cs="Arial"/>
          <w:color w:val="000000"/>
        </w:rPr>
        <w:t xml:space="preserve"> was followed. </w:t>
      </w:r>
      <w:r w:rsidR="00EC0226" w:rsidRPr="004D0750">
        <w:rPr>
          <w:color w:val="000000"/>
        </w:rPr>
        <w:t xml:space="preserve">Since subjects were nested within families and site, exchangeability blocks </w:t>
      </w:r>
      <w:r w:rsidR="00EC0226" w:rsidRPr="004D0750">
        <w:rPr>
          <w:color w:val="000000"/>
        </w:rPr>
        <w:fldChar w:fldCharType="begin"/>
      </w:r>
      <w:r w:rsidR="0094155F">
        <w:rPr>
          <w:color w:val="000000"/>
        </w:rPr>
        <w:instrText xml:space="preserve"> ADDIN ZOTERO_ITEM CSL_CITATION {"citationID":"uEfAhsiJ","properties":{"formattedCitation":"(20)","plainCitation":"(20)","noteIndex":0},"citationItems":[{"id":7749,"uris":["http://zotero.org/users/715749/items/R5XW5DT3"],"uri":["http://zotero.org/users/715749/items/R5XW5DT3"],"itemData":{"id":7749,"type":"article-journal","container-title":"Neuroimage","page":"381-397","title":"Permutation inference for the general linear model","volume":"92","author":[{"family":"Winkler","given":"Anderson M."},{"family":"Ridgway","given":"Gerard R."},{"family":"Webster","given":"Matthew A."},{"family":"Smith","given":"Stephen M."},{"family":"Nichols","given":"Thomas E."}],"issued":{"date-parts":[["2014"]]}}}],"schema":"https://github.com/citation-style-language/schema/raw/master/csl-citation.json"} </w:instrText>
      </w:r>
      <w:r w:rsidR="00EC0226" w:rsidRPr="004D0750">
        <w:rPr>
          <w:color w:val="000000"/>
        </w:rPr>
        <w:fldChar w:fldCharType="separate"/>
      </w:r>
      <w:r w:rsidR="0094155F">
        <w:rPr>
          <w:rFonts w:ascii="Calibri" w:cs="Times New Roman"/>
          <w:color w:val="000000"/>
        </w:rPr>
        <w:t>(20)</w:t>
      </w:r>
      <w:r w:rsidR="00EC0226" w:rsidRPr="004D0750">
        <w:rPr>
          <w:color w:val="000000"/>
        </w:rPr>
        <w:fldChar w:fldCharType="end"/>
      </w:r>
      <w:r w:rsidR="00EC0226" w:rsidRPr="004D0750">
        <w:rPr>
          <w:color w:val="000000"/>
        </w:rPr>
        <w:t xml:space="preserve"> were generated and entered into FSL’s </w:t>
      </w:r>
      <w:r w:rsidR="00EC0226" w:rsidRPr="002D05AE">
        <w:rPr>
          <w:rFonts w:cs="Arial"/>
          <w:color w:val="000000"/>
        </w:rPr>
        <w:t>Permutation Analysis of Linear Models</w:t>
      </w:r>
      <w:r w:rsidR="00EC0226">
        <w:rPr>
          <w:rFonts w:cs="Arial"/>
          <w:color w:val="000000"/>
        </w:rPr>
        <w:t xml:space="preserve"> (</w:t>
      </w:r>
      <w:r w:rsidR="00EC0226" w:rsidRPr="004D0750">
        <w:rPr>
          <w:color w:val="000000"/>
        </w:rPr>
        <w:t>PALM</w:t>
      </w:r>
      <w:r w:rsidR="00EC0226">
        <w:rPr>
          <w:color w:val="000000"/>
        </w:rPr>
        <w:t>)</w:t>
      </w:r>
      <w:r w:rsidR="00EC0226" w:rsidRPr="004D0750">
        <w:rPr>
          <w:color w:val="000000"/>
        </w:rPr>
        <w:t xml:space="preserve"> tool (</w:t>
      </w:r>
      <w:hyperlink r:id="rId6" w:history="1">
        <w:r w:rsidR="00EC0226" w:rsidRPr="004D0750">
          <w:rPr>
            <w:rStyle w:val="Hyperlink"/>
          </w:rPr>
          <w:t>https://fsl.fmrib.ox.ac.uk/fsl/fslwiki/PALM</w:t>
        </w:r>
      </w:hyperlink>
      <w:r w:rsidR="00EC0226" w:rsidRPr="004D0750">
        <w:rPr>
          <w:color w:val="000000"/>
        </w:rPr>
        <w:t xml:space="preserve">) to generate 10,000 permutation orderings. At each iteration, we first fit the </w:t>
      </w:r>
      <w:r w:rsidR="00EC0226">
        <w:rPr>
          <w:color w:val="000000"/>
        </w:rPr>
        <w:t>outcome</w:t>
      </w:r>
      <w:r w:rsidR="00EC0226" w:rsidRPr="004D0750">
        <w:rPr>
          <w:color w:val="000000"/>
        </w:rPr>
        <w:t xml:space="preserve"> variable</w:t>
      </w:r>
      <w:r w:rsidR="00EC0226">
        <w:rPr>
          <w:color w:val="000000"/>
        </w:rPr>
        <w:t>s</w:t>
      </w:r>
      <w:r w:rsidR="00EC0226" w:rsidRPr="004D0750">
        <w:rPr>
          <w:color w:val="000000"/>
        </w:rPr>
        <w:t xml:space="preserve"> (i.e., </w:t>
      </w:r>
      <w:r w:rsidR="00EC0226">
        <w:rPr>
          <w:color w:val="000000"/>
        </w:rPr>
        <w:t>GCA</w:t>
      </w:r>
      <w:r w:rsidR="00EC0226" w:rsidRPr="004D0750">
        <w:rPr>
          <w:color w:val="000000"/>
        </w:rPr>
        <w:t xml:space="preserve">) to a model containing only nuisance predictors. We calculate the residuals from this model, permute them within exchangeability blocks, then add the unpermuted </w:t>
      </w:r>
      <w:r w:rsidR="00EC0226">
        <w:rPr>
          <w:color w:val="000000"/>
        </w:rPr>
        <w:t xml:space="preserve">estimated </w:t>
      </w:r>
      <w:r w:rsidR="00EC0226" w:rsidRPr="004D0750">
        <w:rPr>
          <w:color w:val="000000"/>
        </w:rPr>
        <w:t xml:space="preserve">effect of nuisance predictors back to the permuted residuals. This </w:t>
      </w:r>
      <w:r w:rsidR="00EC0226">
        <w:rPr>
          <w:color w:val="000000"/>
        </w:rPr>
        <w:t>new outcome</w:t>
      </w:r>
      <w:r w:rsidR="00EC0226" w:rsidRPr="004D0750">
        <w:rPr>
          <w:color w:val="000000"/>
        </w:rPr>
        <w:t xml:space="preserve"> variable, made </w:t>
      </w:r>
      <w:r w:rsidR="00EC0226" w:rsidRPr="004D0750">
        <w:rPr>
          <w:color w:val="000000"/>
        </w:rPr>
        <w:lastRenderedPageBreak/>
        <w:t>up of permuted residuals and unpermuted nuisance effects, is then fit to the regression models</w:t>
      </w:r>
      <w:r w:rsidR="00CB6126">
        <w:rPr>
          <w:color w:val="000000"/>
        </w:rPr>
        <w:t xml:space="preserve">, </w:t>
      </w:r>
      <w:r w:rsidR="00E352DD">
        <w:rPr>
          <w:color w:val="000000"/>
        </w:rPr>
        <w:t>and then</w:t>
      </w:r>
      <w:r w:rsidR="00EC0226" w:rsidRPr="004D0750">
        <w:rPr>
          <w:color w:val="000000"/>
        </w:rPr>
        <w:t xml:space="preserve"> a test statistic </w:t>
      </w:r>
      <w:r w:rsidR="00E352DD">
        <w:rPr>
          <w:color w:val="000000"/>
        </w:rPr>
        <w:t xml:space="preserve">is generated </w:t>
      </w:r>
      <w:r w:rsidR="00EC0226" w:rsidRPr="004D0750">
        <w:rPr>
          <w:color w:val="000000"/>
        </w:rPr>
        <w:t>(</w:t>
      </w:r>
      <w:r w:rsidR="00AA7E80">
        <w:rPr>
          <w:color w:val="000000"/>
        </w:rPr>
        <w:t>correlation between actual and predicted GCA scores</w:t>
      </w:r>
      <w:r w:rsidR="00EC0226" w:rsidRPr="004D0750">
        <w:rPr>
          <w:color w:val="000000"/>
        </w:rPr>
        <w:t xml:space="preserve"> in this case). This sequence is then repeated 10,000 times in total to generate the permutation null distribution of the test statistic.</w:t>
      </w:r>
    </w:p>
    <w:p w14:paraId="7EC62716" w14:textId="77777777" w:rsidR="00EC0226" w:rsidRDefault="00EC0226" w:rsidP="00EC0226">
      <w:pPr>
        <w:rPr>
          <w:rFonts w:cs="Arial"/>
          <w:color w:val="000000"/>
        </w:rPr>
      </w:pPr>
    </w:p>
    <w:p w14:paraId="39177DDC" w14:textId="58714675" w:rsidR="00F058E3" w:rsidRDefault="00560E29" w:rsidP="00F058E3">
      <w:pPr>
        <w:rPr>
          <w:rFonts w:cs="Arial"/>
          <w:color w:val="000000"/>
        </w:rPr>
      </w:pPr>
      <w:r>
        <w:rPr>
          <w:rFonts w:cs="Arial"/>
          <w:b/>
          <w:color w:val="000000"/>
        </w:rPr>
        <w:t>7</w:t>
      </w:r>
      <w:r w:rsidR="00F058E3">
        <w:rPr>
          <w:rFonts w:cs="Arial"/>
          <w:b/>
          <w:color w:val="000000"/>
        </w:rPr>
        <w:t>.</w:t>
      </w:r>
      <w:r w:rsidR="00EB4E0F">
        <w:rPr>
          <w:rFonts w:cs="Arial"/>
          <w:b/>
          <w:color w:val="000000"/>
        </w:rPr>
        <w:tab/>
      </w:r>
      <w:r w:rsidR="00F058E3">
        <w:rPr>
          <w:rFonts w:cs="Arial"/>
          <w:b/>
          <w:color w:val="000000"/>
        </w:rPr>
        <w:t xml:space="preserve">SES Factor </w:t>
      </w:r>
      <w:r w:rsidR="00506CE0">
        <w:rPr>
          <w:rFonts w:cs="Arial"/>
          <w:b/>
          <w:color w:val="000000"/>
        </w:rPr>
        <w:t>Model</w:t>
      </w:r>
    </w:p>
    <w:p w14:paraId="5BF2B3C1" w14:textId="55442661" w:rsidR="00EC0226" w:rsidRDefault="00EC0226" w:rsidP="00264C6C">
      <w:pPr>
        <w:rPr>
          <w:rFonts w:cs="Arial"/>
          <w:color w:val="000000"/>
        </w:rPr>
      </w:pPr>
    </w:p>
    <w:p w14:paraId="32813FB1" w14:textId="0F06182C" w:rsidR="00F058E3" w:rsidRDefault="007F6B59" w:rsidP="00264C6C">
      <w:pPr>
        <w:rPr>
          <w:rFonts w:cs="Arial"/>
          <w:color w:val="000000"/>
        </w:rPr>
      </w:pPr>
      <w:r w:rsidRPr="007F6B59">
        <w:rPr>
          <w:rFonts w:cs="Arial"/>
          <w:noProof/>
          <w:color w:val="000000"/>
        </w:rPr>
        <w:drawing>
          <wp:inline distT="0" distB="0" distL="0" distR="0" wp14:anchorId="77DA03C2" wp14:editId="01CF1707">
            <wp:extent cx="3860800" cy="1079500"/>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7"/>
                    <a:stretch>
                      <a:fillRect/>
                    </a:stretch>
                  </pic:blipFill>
                  <pic:spPr>
                    <a:xfrm>
                      <a:off x="0" y="0"/>
                      <a:ext cx="3860800" cy="1079500"/>
                    </a:xfrm>
                    <a:prstGeom prst="rect">
                      <a:avLst/>
                    </a:prstGeom>
                  </pic:spPr>
                </pic:pic>
              </a:graphicData>
            </a:graphic>
          </wp:inline>
        </w:drawing>
      </w:r>
    </w:p>
    <w:p w14:paraId="2B3FE41A" w14:textId="581E11BB" w:rsidR="00856892" w:rsidRDefault="00856892" w:rsidP="00856892">
      <w:pPr>
        <w:rPr>
          <w:i/>
          <w:color w:val="000000" w:themeColor="text1"/>
        </w:rPr>
      </w:pPr>
      <w:r w:rsidRPr="00496844">
        <w:rPr>
          <w:b/>
          <w:i/>
          <w:color w:val="000000" w:themeColor="text1"/>
        </w:rPr>
        <w:t>Figure S</w:t>
      </w:r>
      <w:r>
        <w:rPr>
          <w:b/>
          <w:i/>
          <w:color w:val="000000" w:themeColor="text1"/>
        </w:rPr>
        <w:t>3</w:t>
      </w:r>
      <w:r w:rsidRPr="00496844">
        <w:rPr>
          <w:b/>
          <w:i/>
          <w:color w:val="000000" w:themeColor="text1"/>
        </w:rPr>
        <w:t xml:space="preserve">: </w:t>
      </w:r>
      <w:r w:rsidR="00E732E4">
        <w:rPr>
          <w:b/>
          <w:i/>
          <w:color w:val="000000" w:themeColor="text1"/>
        </w:rPr>
        <w:t>Factor</w:t>
      </w:r>
      <w:r w:rsidRPr="00496844">
        <w:rPr>
          <w:b/>
          <w:i/>
          <w:color w:val="000000" w:themeColor="text1"/>
        </w:rPr>
        <w:t xml:space="preserve"> Model of </w:t>
      </w:r>
      <w:r w:rsidR="007C282A">
        <w:rPr>
          <w:b/>
          <w:i/>
          <w:color w:val="000000" w:themeColor="text1"/>
        </w:rPr>
        <w:t>Socioeconomic Status</w:t>
      </w:r>
      <w:r>
        <w:rPr>
          <w:b/>
          <w:i/>
          <w:color w:val="000000" w:themeColor="text1"/>
        </w:rPr>
        <w:t>.</w:t>
      </w:r>
      <w:r>
        <w:rPr>
          <w:i/>
          <w:color w:val="000000" w:themeColor="text1"/>
        </w:rPr>
        <w:t xml:space="preserve"> </w:t>
      </w:r>
      <w:r w:rsidR="00936337" w:rsidRPr="00936337">
        <w:rPr>
          <w:i/>
          <w:color w:val="000000" w:themeColor="text1"/>
        </w:rPr>
        <w:t>Path estimates reflect standardized factor loadings.</w:t>
      </w:r>
    </w:p>
    <w:p w14:paraId="7AAFD158" w14:textId="45FF0F76" w:rsidR="001E2674" w:rsidRDefault="001E2674" w:rsidP="00856892">
      <w:pPr>
        <w:rPr>
          <w:i/>
          <w:color w:val="000000" w:themeColor="text1"/>
        </w:rPr>
      </w:pPr>
    </w:p>
    <w:p w14:paraId="6500EA52" w14:textId="0A30E631" w:rsidR="001E2674" w:rsidRPr="001E2674" w:rsidRDefault="00AD11DF" w:rsidP="00AF4462">
      <w:pPr>
        <w:rPr>
          <w:iCs/>
          <w:color w:val="000000" w:themeColor="text1"/>
        </w:rPr>
      </w:pPr>
      <w:r>
        <w:rPr>
          <w:iCs/>
          <w:color w:val="000000" w:themeColor="text1"/>
        </w:rPr>
        <w:t>Household</w:t>
      </w:r>
      <w:r w:rsidRPr="00C603BB">
        <w:rPr>
          <w:iCs/>
          <w:color w:val="000000" w:themeColor="text1"/>
        </w:rPr>
        <w:t xml:space="preserve"> </w:t>
      </w:r>
      <w:r w:rsidR="00BE4831">
        <w:rPr>
          <w:iCs/>
          <w:color w:val="000000" w:themeColor="text1"/>
        </w:rPr>
        <w:t>I</w:t>
      </w:r>
      <w:r w:rsidRPr="00C603BB">
        <w:rPr>
          <w:iCs/>
          <w:color w:val="000000" w:themeColor="text1"/>
        </w:rPr>
        <w:t xml:space="preserve">ncome covered all sources of income for family members, including wages, benefits, child support payments, and others. It was assessed in </w:t>
      </w:r>
      <w:r w:rsidR="005768B9">
        <w:rPr>
          <w:iCs/>
          <w:color w:val="000000" w:themeColor="text1"/>
        </w:rPr>
        <w:t>bins</w:t>
      </w:r>
      <w:r w:rsidR="00AF4462">
        <w:rPr>
          <w:iCs/>
          <w:color w:val="000000" w:themeColor="text1"/>
        </w:rPr>
        <w:t xml:space="preserve"> as follows: </w:t>
      </w:r>
      <w:r w:rsidR="00AF4462" w:rsidRPr="00AF4462">
        <w:rPr>
          <w:iCs/>
          <w:color w:val="000000" w:themeColor="text1"/>
        </w:rPr>
        <w:t>1</w:t>
      </w:r>
      <w:r w:rsidR="00AF4462">
        <w:rPr>
          <w:iCs/>
          <w:color w:val="000000" w:themeColor="text1"/>
        </w:rPr>
        <w:t xml:space="preserve"> &lt;</w:t>
      </w:r>
      <w:r w:rsidR="00AF4462" w:rsidRPr="00AF4462">
        <w:rPr>
          <w:iCs/>
          <w:color w:val="000000" w:themeColor="text1"/>
        </w:rPr>
        <w:t>5,000</w:t>
      </w:r>
      <w:r w:rsidR="00AF4462">
        <w:rPr>
          <w:iCs/>
          <w:color w:val="000000" w:themeColor="text1"/>
        </w:rPr>
        <w:t xml:space="preserve">, </w:t>
      </w:r>
      <w:r w:rsidR="00AF4462" w:rsidRPr="00AF4462">
        <w:rPr>
          <w:iCs/>
          <w:color w:val="000000" w:themeColor="text1"/>
        </w:rPr>
        <w:t>2</w:t>
      </w:r>
      <w:r w:rsidR="00AF4462">
        <w:rPr>
          <w:iCs/>
          <w:color w:val="000000" w:themeColor="text1"/>
        </w:rPr>
        <w:t xml:space="preserve"> </w:t>
      </w:r>
      <w:r w:rsidR="00AF4462" w:rsidRPr="00AF4462">
        <w:rPr>
          <w:iCs/>
          <w:color w:val="000000" w:themeColor="text1"/>
        </w:rPr>
        <w:t>5,000 - 11,999</w:t>
      </w:r>
      <w:r w:rsidR="00AF4462">
        <w:rPr>
          <w:iCs/>
          <w:color w:val="000000" w:themeColor="text1"/>
        </w:rPr>
        <w:t xml:space="preserve">, </w:t>
      </w:r>
      <w:r w:rsidR="00AF4462" w:rsidRPr="00AF4462">
        <w:rPr>
          <w:iCs/>
          <w:color w:val="000000" w:themeColor="text1"/>
        </w:rPr>
        <w:t>3</w:t>
      </w:r>
      <w:r w:rsidR="00AF4462">
        <w:rPr>
          <w:iCs/>
          <w:color w:val="000000" w:themeColor="text1"/>
        </w:rPr>
        <w:t xml:space="preserve"> </w:t>
      </w:r>
      <w:r w:rsidR="00AF4462" w:rsidRPr="00AF4462">
        <w:rPr>
          <w:iCs/>
          <w:color w:val="000000" w:themeColor="text1"/>
        </w:rPr>
        <w:t>12,000 - 15,999</w:t>
      </w:r>
      <w:r w:rsidR="00AF4462">
        <w:rPr>
          <w:iCs/>
          <w:color w:val="000000" w:themeColor="text1"/>
        </w:rPr>
        <w:t xml:space="preserve">, </w:t>
      </w:r>
      <w:r w:rsidR="00AF4462" w:rsidRPr="00AF4462">
        <w:rPr>
          <w:iCs/>
          <w:color w:val="000000" w:themeColor="text1"/>
        </w:rPr>
        <w:t>4</w:t>
      </w:r>
      <w:r w:rsidR="00AF4462">
        <w:rPr>
          <w:iCs/>
          <w:color w:val="000000" w:themeColor="text1"/>
        </w:rPr>
        <w:t xml:space="preserve"> </w:t>
      </w:r>
      <w:r w:rsidR="00AF4462" w:rsidRPr="00AF4462">
        <w:rPr>
          <w:iCs/>
          <w:color w:val="000000" w:themeColor="text1"/>
        </w:rPr>
        <w:t>16,000 - 24,999</w:t>
      </w:r>
      <w:r w:rsidR="00AF4462">
        <w:rPr>
          <w:iCs/>
          <w:color w:val="000000" w:themeColor="text1"/>
        </w:rPr>
        <w:t xml:space="preserve">, </w:t>
      </w:r>
      <w:r w:rsidR="00AF4462" w:rsidRPr="00AF4462">
        <w:rPr>
          <w:iCs/>
          <w:color w:val="000000" w:themeColor="text1"/>
        </w:rPr>
        <w:t>5</w:t>
      </w:r>
      <w:r w:rsidR="00AF4462">
        <w:rPr>
          <w:iCs/>
          <w:color w:val="000000" w:themeColor="text1"/>
        </w:rPr>
        <w:t xml:space="preserve"> </w:t>
      </w:r>
      <w:r w:rsidR="00AF4462" w:rsidRPr="00AF4462">
        <w:rPr>
          <w:iCs/>
          <w:color w:val="000000" w:themeColor="text1"/>
        </w:rPr>
        <w:t>25,000 - 34,999</w:t>
      </w:r>
      <w:r w:rsidR="00AF4462">
        <w:rPr>
          <w:iCs/>
          <w:color w:val="000000" w:themeColor="text1"/>
        </w:rPr>
        <w:t xml:space="preserve">, </w:t>
      </w:r>
      <w:r w:rsidR="00AF4462" w:rsidRPr="00AF4462">
        <w:rPr>
          <w:iCs/>
          <w:color w:val="000000" w:themeColor="text1"/>
        </w:rPr>
        <w:t>6</w:t>
      </w:r>
      <w:r w:rsidR="00AF4462">
        <w:rPr>
          <w:iCs/>
          <w:color w:val="000000" w:themeColor="text1"/>
        </w:rPr>
        <w:t xml:space="preserve"> </w:t>
      </w:r>
      <w:r w:rsidR="00AF4462" w:rsidRPr="00AF4462">
        <w:rPr>
          <w:iCs/>
          <w:color w:val="000000" w:themeColor="text1"/>
        </w:rPr>
        <w:t>35,000 - 49,999</w:t>
      </w:r>
      <w:r w:rsidR="00AF4462">
        <w:rPr>
          <w:iCs/>
          <w:color w:val="000000" w:themeColor="text1"/>
        </w:rPr>
        <w:t xml:space="preserve">, </w:t>
      </w:r>
      <w:r w:rsidR="00AF4462" w:rsidRPr="00AF4462">
        <w:rPr>
          <w:iCs/>
          <w:color w:val="000000" w:themeColor="text1"/>
        </w:rPr>
        <w:t>7</w:t>
      </w:r>
      <w:r w:rsidR="00AF4462">
        <w:rPr>
          <w:iCs/>
          <w:color w:val="000000" w:themeColor="text1"/>
        </w:rPr>
        <w:t xml:space="preserve"> </w:t>
      </w:r>
      <w:r w:rsidR="00AF4462" w:rsidRPr="00AF4462">
        <w:rPr>
          <w:iCs/>
          <w:color w:val="000000" w:themeColor="text1"/>
        </w:rPr>
        <w:t>50,000 - 74,999</w:t>
      </w:r>
      <w:r w:rsidR="00AF4462">
        <w:rPr>
          <w:iCs/>
          <w:color w:val="000000" w:themeColor="text1"/>
        </w:rPr>
        <w:t xml:space="preserve">, </w:t>
      </w:r>
      <w:r w:rsidR="00AF4462" w:rsidRPr="00AF4462">
        <w:rPr>
          <w:iCs/>
          <w:color w:val="000000" w:themeColor="text1"/>
        </w:rPr>
        <w:t>8</w:t>
      </w:r>
      <w:r w:rsidR="00AF4462">
        <w:rPr>
          <w:iCs/>
          <w:color w:val="000000" w:themeColor="text1"/>
        </w:rPr>
        <w:t xml:space="preserve"> </w:t>
      </w:r>
      <w:r w:rsidR="00AF4462" w:rsidRPr="00AF4462">
        <w:rPr>
          <w:iCs/>
          <w:color w:val="000000" w:themeColor="text1"/>
        </w:rPr>
        <w:t>75,000 - 99,999</w:t>
      </w:r>
      <w:r w:rsidR="00AF4462">
        <w:rPr>
          <w:iCs/>
          <w:color w:val="000000" w:themeColor="text1"/>
        </w:rPr>
        <w:t xml:space="preserve">, </w:t>
      </w:r>
      <w:r w:rsidR="00AF4462" w:rsidRPr="00AF4462">
        <w:rPr>
          <w:iCs/>
          <w:color w:val="000000" w:themeColor="text1"/>
        </w:rPr>
        <w:t>9</w:t>
      </w:r>
      <w:r w:rsidR="00AF4462">
        <w:rPr>
          <w:iCs/>
          <w:color w:val="000000" w:themeColor="text1"/>
        </w:rPr>
        <w:t xml:space="preserve"> </w:t>
      </w:r>
      <w:r w:rsidR="00AF4462" w:rsidRPr="00AF4462">
        <w:rPr>
          <w:iCs/>
          <w:color w:val="000000" w:themeColor="text1"/>
        </w:rPr>
        <w:t>100,000 - 199,999</w:t>
      </w:r>
      <w:r w:rsidR="00AF4462">
        <w:rPr>
          <w:iCs/>
          <w:color w:val="000000" w:themeColor="text1"/>
        </w:rPr>
        <w:t xml:space="preserve">, </w:t>
      </w:r>
      <w:r w:rsidR="00AF4462" w:rsidRPr="00AF4462">
        <w:rPr>
          <w:iCs/>
          <w:color w:val="000000" w:themeColor="text1"/>
        </w:rPr>
        <w:t>10</w:t>
      </w:r>
      <w:r w:rsidR="00AF4462">
        <w:rPr>
          <w:iCs/>
          <w:color w:val="000000" w:themeColor="text1"/>
        </w:rPr>
        <w:t xml:space="preserve"> </w:t>
      </w:r>
      <w:r w:rsidR="00AF4462" w:rsidRPr="00AF4462">
        <w:rPr>
          <w:iCs/>
          <w:color w:val="000000" w:themeColor="text1"/>
        </w:rPr>
        <w:t>More than 200,000</w:t>
      </w:r>
      <w:r w:rsidR="006D2E0B">
        <w:rPr>
          <w:iCs/>
          <w:color w:val="000000" w:themeColor="text1"/>
        </w:rPr>
        <w:t xml:space="preserve">, and we assigned each subject the </w:t>
      </w:r>
      <w:r w:rsidR="00904C12">
        <w:rPr>
          <w:iCs/>
          <w:color w:val="000000" w:themeColor="text1"/>
        </w:rPr>
        <w:t>natural</w:t>
      </w:r>
      <w:r w:rsidR="00E26A28">
        <w:rPr>
          <w:iCs/>
          <w:color w:val="000000" w:themeColor="text1"/>
        </w:rPr>
        <w:t xml:space="preserve"> </w:t>
      </w:r>
      <w:r w:rsidR="00312DDA">
        <w:rPr>
          <w:iCs/>
          <w:color w:val="000000" w:themeColor="text1"/>
        </w:rPr>
        <w:t xml:space="preserve">log of the </w:t>
      </w:r>
      <w:r w:rsidR="00C37A86">
        <w:rPr>
          <w:iCs/>
          <w:color w:val="000000" w:themeColor="text1"/>
        </w:rPr>
        <w:t xml:space="preserve">midpoint </w:t>
      </w:r>
      <w:r w:rsidR="006D2E0B">
        <w:rPr>
          <w:iCs/>
          <w:color w:val="000000" w:themeColor="text1"/>
        </w:rPr>
        <w:t xml:space="preserve">for </w:t>
      </w:r>
      <w:r w:rsidR="00D21C9B">
        <w:rPr>
          <w:iCs/>
          <w:color w:val="000000" w:themeColor="text1"/>
        </w:rPr>
        <w:t xml:space="preserve">their </w:t>
      </w:r>
      <w:r w:rsidR="006D2E0B">
        <w:rPr>
          <w:iCs/>
          <w:color w:val="000000" w:themeColor="text1"/>
        </w:rPr>
        <w:t>bin</w:t>
      </w:r>
      <w:r w:rsidR="00C37A86">
        <w:rPr>
          <w:iCs/>
          <w:color w:val="000000" w:themeColor="text1"/>
        </w:rPr>
        <w:t xml:space="preserve">. </w:t>
      </w:r>
      <w:r w:rsidR="00B11A1C">
        <w:rPr>
          <w:iCs/>
          <w:color w:val="000000" w:themeColor="text1"/>
        </w:rPr>
        <w:t xml:space="preserve">Highest </w:t>
      </w:r>
      <w:r w:rsidR="0078425B">
        <w:rPr>
          <w:iCs/>
          <w:color w:val="000000" w:themeColor="text1"/>
        </w:rPr>
        <w:t>P</w:t>
      </w:r>
      <w:r w:rsidR="00C603BB" w:rsidRPr="00C603BB">
        <w:rPr>
          <w:iCs/>
          <w:color w:val="000000" w:themeColor="text1"/>
        </w:rPr>
        <w:t xml:space="preserve">arental </w:t>
      </w:r>
      <w:r w:rsidR="0078425B">
        <w:rPr>
          <w:iCs/>
          <w:color w:val="000000" w:themeColor="text1"/>
        </w:rPr>
        <w:t>E</w:t>
      </w:r>
      <w:r w:rsidR="00C603BB" w:rsidRPr="00C603BB">
        <w:rPr>
          <w:iCs/>
          <w:color w:val="000000" w:themeColor="text1"/>
        </w:rPr>
        <w:t xml:space="preserve">ducational was the highest educational achievement by either parent or caregiver. </w:t>
      </w:r>
      <w:r w:rsidR="00C75FD7">
        <w:rPr>
          <w:iCs/>
          <w:color w:val="000000" w:themeColor="text1"/>
        </w:rPr>
        <w:t>N</w:t>
      </w:r>
      <w:r w:rsidR="001E2674">
        <w:rPr>
          <w:iCs/>
          <w:color w:val="000000" w:themeColor="text1"/>
        </w:rPr>
        <w:t xml:space="preserve">eighborhood </w:t>
      </w:r>
      <w:r w:rsidR="00C75FD7">
        <w:rPr>
          <w:iCs/>
          <w:color w:val="000000" w:themeColor="text1"/>
        </w:rPr>
        <w:t>D</w:t>
      </w:r>
      <w:r w:rsidR="001E2674">
        <w:rPr>
          <w:iCs/>
          <w:color w:val="000000" w:themeColor="text1"/>
        </w:rPr>
        <w:t>isadvantage was constructed according to the procedure of Taylor et al.</w:t>
      </w:r>
      <w:r w:rsidR="00DA6C78">
        <w:rPr>
          <w:iCs/>
          <w:color w:val="000000" w:themeColor="text1"/>
        </w:rPr>
        <w:t xml:space="preserve"> </w:t>
      </w:r>
      <w:r w:rsidR="00DA6C78">
        <w:rPr>
          <w:iCs/>
          <w:color w:val="000000" w:themeColor="text1"/>
        </w:rPr>
        <w:fldChar w:fldCharType="begin"/>
      </w:r>
      <w:r w:rsidR="0094155F">
        <w:rPr>
          <w:iCs/>
          <w:color w:val="000000" w:themeColor="text1"/>
        </w:rPr>
        <w:instrText xml:space="preserve"> ADDIN ZOTERO_ITEM CSL_CITATION {"citationID":"FXQ1C4g0","properties":{"formattedCitation":"(21)","plainCitation":"(21)","noteIndex":0},"citationItems":[{"id":7823,"uris":["http://zotero.org/users/715749/items/9NG68AH3"],"uri":["http://zotero.org/users/715749/items/9NG68AH3"],"itemData":{"id":7823,"type":"article-journal","container-title":"JAMA network open","issue":"11","note":"publisher: American Medical Association","page":"e2023774-e2023774","title":"Assessment of neighborhood poverty, cognitive function, and prefrontal and hippocampal volumes in children","volume":"3","author":[{"family":"Taylor","given":"Rita L."},{"family":"Cooper","given":"Shelly R."},{"family":"Jackson","given":"Joshua J."},{"family":"Barch","given":"Deanna M."}],"issued":{"date-parts":[["2020"]]}}}],"schema":"https://github.com/citation-style-language/schema/raw/master/csl-citation.json"} </w:instrText>
      </w:r>
      <w:r w:rsidR="00DA6C78">
        <w:rPr>
          <w:iCs/>
          <w:color w:val="000000" w:themeColor="text1"/>
        </w:rPr>
        <w:fldChar w:fldCharType="separate"/>
      </w:r>
      <w:r w:rsidR="0094155F">
        <w:rPr>
          <w:rFonts w:ascii="Calibri" w:cs="Times New Roman"/>
          <w:color w:val="000000"/>
        </w:rPr>
        <w:t>(21)</w:t>
      </w:r>
      <w:r w:rsidR="00DA6C78">
        <w:rPr>
          <w:iCs/>
          <w:color w:val="000000" w:themeColor="text1"/>
        </w:rPr>
        <w:fldChar w:fldCharType="end"/>
      </w:r>
      <w:r w:rsidR="00DA6C78">
        <w:rPr>
          <w:iCs/>
          <w:color w:val="000000" w:themeColor="text1"/>
        </w:rPr>
        <w:t>.</w:t>
      </w:r>
      <w:r w:rsidR="001E2674">
        <w:rPr>
          <w:iCs/>
          <w:color w:val="000000" w:themeColor="text1"/>
        </w:rPr>
        <w:t xml:space="preserve"> In brief, </w:t>
      </w:r>
      <w:r w:rsidR="001E2674" w:rsidRPr="001E2674">
        <w:rPr>
          <w:iCs/>
          <w:color w:val="000000" w:themeColor="text1"/>
        </w:rPr>
        <w:t>participant’s primary home address was used to generate Area Deprivation Index (ADI) values, which were factor analyzed and used to create an aggregate measure</w:t>
      </w:r>
      <w:r w:rsidR="001E2674">
        <w:rPr>
          <w:iCs/>
          <w:color w:val="000000" w:themeColor="text1"/>
        </w:rPr>
        <w:t xml:space="preserve">. </w:t>
      </w:r>
      <w:r w:rsidR="001E2674" w:rsidRPr="001E2674">
        <w:rPr>
          <w:iCs/>
          <w:color w:val="000000" w:themeColor="text1"/>
        </w:rPr>
        <w:t xml:space="preserve">Higher scores on </w:t>
      </w:r>
      <w:r w:rsidR="009E032E">
        <w:rPr>
          <w:iCs/>
          <w:color w:val="000000" w:themeColor="text1"/>
        </w:rPr>
        <w:t>the factor</w:t>
      </w:r>
      <w:r w:rsidR="001E2674">
        <w:rPr>
          <w:iCs/>
          <w:color w:val="000000" w:themeColor="text1"/>
        </w:rPr>
        <w:t xml:space="preserve"> </w:t>
      </w:r>
      <w:r w:rsidR="001E2674" w:rsidRPr="001E2674">
        <w:rPr>
          <w:iCs/>
          <w:color w:val="000000" w:themeColor="text1"/>
        </w:rPr>
        <w:t xml:space="preserve">indicate </w:t>
      </w:r>
      <w:r w:rsidR="009E032E">
        <w:rPr>
          <w:iCs/>
          <w:color w:val="000000" w:themeColor="text1"/>
        </w:rPr>
        <w:t>greater neighborhood disadvantage</w:t>
      </w:r>
      <w:r w:rsidR="00105E2C">
        <w:rPr>
          <w:iCs/>
          <w:color w:val="000000" w:themeColor="text1"/>
        </w:rPr>
        <w:t xml:space="preserve"> including</w:t>
      </w:r>
      <w:r w:rsidR="001E2674" w:rsidRPr="001E2674">
        <w:rPr>
          <w:iCs/>
          <w:color w:val="000000" w:themeColor="text1"/>
        </w:rPr>
        <w:t xml:space="preserve"> </w:t>
      </w:r>
      <w:r w:rsidR="00E60089">
        <w:rPr>
          <w:iCs/>
          <w:color w:val="000000" w:themeColor="text1"/>
        </w:rPr>
        <w:t>higher</w:t>
      </w:r>
      <w:r w:rsidR="001E2674" w:rsidRPr="001E2674">
        <w:rPr>
          <w:iCs/>
          <w:color w:val="000000" w:themeColor="text1"/>
        </w:rPr>
        <w:t xml:space="preserve"> percent of families living in poverty, increased unemployment, </w:t>
      </w:r>
      <w:r w:rsidR="00C50006">
        <w:rPr>
          <w:iCs/>
          <w:color w:val="000000" w:themeColor="text1"/>
        </w:rPr>
        <w:t xml:space="preserve">and </w:t>
      </w:r>
      <w:r w:rsidR="001E2674" w:rsidRPr="001E2674">
        <w:rPr>
          <w:iCs/>
          <w:color w:val="000000" w:themeColor="text1"/>
        </w:rPr>
        <w:t xml:space="preserve">lower </w:t>
      </w:r>
      <w:r w:rsidR="008367F5">
        <w:rPr>
          <w:iCs/>
          <w:color w:val="000000" w:themeColor="text1"/>
        </w:rPr>
        <w:t>levels</w:t>
      </w:r>
      <w:r w:rsidR="001E2674" w:rsidRPr="001E2674">
        <w:rPr>
          <w:iCs/>
          <w:color w:val="000000" w:themeColor="text1"/>
        </w:rPr>
        <w:t xml:space="preserve"> of educational attainment at the neighborhood level</w:t>
      </w:r>
      <w:r w:rsidR="000C5DB9">
        <w:rPr>
          <w:iCs/>
          <w:color w:val="000000" w:themeColor="text1"/>
        </w:rPr>
        <w:t xml:space="preserve">, </w:t>
      </w:r>
      <w:r w:rsidR="00395A91">
        <w:rPr>
          <w:iCs/>
          <w:color w:val="000000" w:themeColor="text1"/>
        </w:rPr>
        <w:t>see</w:t>
      </w:r>
      <w:r w:rsidR="000C5DB9">
        <w:rPr>
          <w:iCs/>
          <w:color w:val="000000" w:themeColor="text1"/>
        </w:rPr>
        <w:t xml:space="preserve"> </w:t>
      </w:r>
      <w:r w:rsidR="00811D3A">
        <w:rPr>
          <w:iCs/>
          <w:color w:val="000000" w:themeColor="text1"/>
        </w:rPr>
        <w:fldChar w:fldCharType="begin"/>
      </w:r>
      <w:r w:rsidR="0094155F">
        <w:rPr>
          <w:iCs/>
          <w:color w:val="000000" w:themeColor="text1"/>
        </w:rPr>
        <w:instrText xml:space="preserve"> ADDIN ZOTERO_ITEM CSL_CITATION {"citationID":"DMN7kkI3","properties":{"formattedCitation":"(21)","plainCitation":"(21)","noteIndex":0},"citationItems":[{"id":7823,"uris":["http://zotero.org/users/715749/items/9NG68AH3"],"uri":["http://zotero.org/users/715749/items/9NG68AH3"],"itemData":{"id":7823,"type":"article-journal","container-title":"JAMA network open","issue":"11","note":"publisher: American Medical Association","page":"e2023774-e2023774","title":"Assessment of neighborhood poverty, cognitive function, and prefrontal and hippocampal volumes in children","volume":"3","author":[{"family":"Taylor","given":"Rita L."},{"family":"Cooper","given":"Shelly R."},{"family":"Jackson","given":"Joshua J."},{"family":"Barch","given":"Deanna M."}],"issued":{"date-parts":[["2020"]]}}}],"schema":"https://github.com/citation-style-language/schema/raw/master/csl-citation.json"} </w:instrText>
      </w:r>
      <w:r w:rsidR="00811D3A">
        <w:rPr>
          <w:iCs/>
          <w:color w:val="000000" w:themeColor="text1"/>
        </w:rPr>
        <w:fldChar w:fldCharType="separate"/>
      </w:r>
      <w:r w:rsidR="0094155F">
        <w:rPr>
          <w:rFonts w:ascii="Calibri" w:cs="Times New Roman"/>
          <w:color w:val="000000"/>
        </w:rPr>
        <w:t>(21)</w:t>
      </w:r>
      <w:r w:rsidR="00811D3A">
        <w:rPr>
          <w:iCs/>
          <w:color w:val="000000" w:themeColor="text1"/>
        </w:rPr>
        <w:fldChar w:fldCharType="end"/>
      </w:r>
      <w:r w:rsidR="000C5DB9">
        <w:rPr>
          <w:iCs/>
          <w:color w:val="000000" w:themeColor="text1"/>
        </w:rPr>
        <w:t xml:space="preserve"> for details</w:t>
      </w:r>
      <w:r w:rsidR="001E2674" w:rsidRPr="001E2674">
        <w:rPr>
          <w:iCs/>
          <w:color w:val="000000" w:themeColor="text1"/>
        </w:rPr>
        <w:t>.</w:t>
      </w:r>
    </w:p>
    <w:p w14:paraId="4300301D" w14:textId="77777777" w:rsidR="00CF34DC" w:rsidRDefault="00CF34DC">
      <w:pPr>
        <w:rPr>
          <w:rFonts w:cs="Arial"/>
          <w:color w:val="000000"/>
        </w:rPr>
      </w:pPr>
    </w:p>
    <w:p w14:paraId="3D4197D5" w14:textId="453EDB44" w:rsidR="00345A29" w:rsidRDefault="00560E29" w:rsidP="00345A29">
      <w:pPr>
        <w:rPr>
          <w:rFonts w:cs="Arial"/>
          <w:color w:val="000000"/>
        </w:rPr>
      </w:pPr>
      <w:r>
        <w:rPr>
          <w:rFonts w:cs="Arial"/>
          <w:b/>
          <w:color w:val="000000"/>
        </w:rPr>
        <w:t>8</w:t>
      </w:r>
      <w:r w:rsidR="00345A29">
        <w:rPr>
          <w:rFonts w:cs="Arial"/>
          <w:b/>
          <w:color w:val="000000"/>
        </w:rPr>
        <w:t>.</w:t>
      </w:r>
      <w:r w:rsidR="00EB4E0F">
        <w:rPr>
          <w:rFonts w:cs="Arial"/>
          <w:b/>
          <w:color w:val="000000"/>
        </w:rPr>
        <w:tab/>
      </w:r>
      <w:r w:rsidR="00345A29">
        <w:rPr>
          <w:rFonts w:cs="Arial"/>
          <w:b/>
          <w:color w:val="000000"/>
        </w:rPr>
        <w:t xml:space="preserve">Mediation Models </w:t>
      </w:r>
      <w:r w:rsidR="008D0AD0">
        <w:rPr>
          <w:rFonts w:cs="Arial"/>
          <w:b/>
          <w:color w:val="000000"/>
        </w:rPr>
        <w:t>for</w:t>
      </w:r>
      <w:r w:rsidR="00345A29">
        <w:rPr>
          <w:rFonts w:cs="Arial"/>
          <w:b/>
          <w:color w:val="000000"/>
        </w:rPr>
        <w:t xml:space="preserve"> </w:t>
      </w:r>
      <w:r w:rsidR="003A7B26">
        <w:rPr>
          <w:rFonts w:cs="Arial"/>
          <w:b/>
          <w:color w:val="000000"/>
        </w:rPr>
        <w:t>Individual Variables in the SES Factor</w:t>
      </w:r>
    </w:p>
    <w:p w14:paraId="28D94E77" w14:textId="77777777" w:rsidR="00766FA8" w:rsidRDefault="00766FA8">
      <w:pPr>
        <w:rPr>
          <w:rFonts w:cs="Arial"/>
          <w:color w:val="000000"/>
        </w:rPr>
      </w:pPr>
    </w:p>
    <w:p w14:paraId="647E9320" w14:textId="77563E24" w:rsidR="00766FA8" w:rsidRDefault="00DB1815">
      <w:pPr>
        <w:rPr>
          <w:rFonts w:cs="Arial"/>
          <w:color w:val="000000"/>
        </w:rPr>
      </w:pPr>
      <w:r>
        <w:rPr>
          <w:rFonts w:cs="Arial"/>
          <w:color w:val="000000"/>
        </w:rPr>
        <w:t xml:space="preserve">In addition to the main mediation model in which the predictor was SES scores, the mediator was brain connectivity expression scores, and the outcome was GCA scores, we conducted three additional mediation models. In each model, one component of SES—either household income, highest parental education, </w:t>
      </w:r>
      <w:r w:rsidR="00267DB7">
        <w:rPr>
          <w:rFonts w:cs="Arial"/>
          <w:color w:val="000000"/>
        </w:rPr>
        <w:t xml:space="preserve">or </w:t>
      </w:r>
      <w:r>
        <w:rPr>
          <w:rFonts w:cs="Arial"/>
          <w:color w:val="000000"/>
        </w:rPr>
        <w:t xml:space="preserve">neighborhood disadvantage—was used as the predictor with the mediator and outcome unchanged, and the other two components of SES were entered as </w:t>
      </w:r>
      <w:r w:rsidR="00995C9F">
        <w:rPr>
          <w:rFonts w:cs="Arial"/>
          <w:color w:val="000000"/>
        </w:rPr>
        <w:t>covariates</w:t>
      </w:r>
      <w:r>
        <w:rPr>
          <w:rFonts w:cs="Arial"/>
          <w:color w:val="000000"/>
        </w:rPr>
        <w:t xml:space="preserve"> of no interest. </w:t>
      </w:r>
      <w:r w:rsidR="00BF4DEC">
        <w:rPr>
          <w:rFonts w:cs="Arial"/>
          <w:color w:val="000000"/>
        </w:rPr>
        <w:t xml:space="preserve">We found that </w:t>
      </w:r>
      <w:r w:rsidR="00267DB7">
        <w:rPr>
          <w:rFonts w:cs="Arial"/>
          <w:color w:val="000000"/>
        </w:rPr>
        <w:t>for mediation models for household income and highest parental education, proportion mediated remained highly statistically significant</w:t>
      </w:r>
      <w:r w:rsidR="005066CB">
        <w:rPr>
          <w:rFonts w:cs="Arial"/>
          <w:color w:val="000000"/>
        </w:rPr>
        <w:t xml:space="preserve">, while for the neighborhood disadvantage variable, proportion mediated was no longer significant. For the income model, the </w:t>
      </w:r>
      <w:r w:rsidR="00804515">
        <w:rPr>
          <w:rFonts w:cs="Arial"/>
          <w:color w:val="000000"/>
        </w:rPr>
        <w:t>indirect effect</w:t>
      </w:r>
      <w:r w:rsidR="00FE5D4C">
        <w:rPr>
          <w:rFonts w:cs="Arial"/>
          <w:color w:val="000000"/>
        </w:rPr>
        <w:t>, though highly significant,</w:t>
      </w:r>
      <w:r w:rsidR="005066CB">
        <w:rPr>
          <w:rFonts w:cs="Arial"/>
          <w:color w:val="000000"/>
        </w:rPr>
        <w:t xml:space="preserve"> had a trivial effect size (</w:t>
      </w:r>
      <w:r w:rsidR="00FE5D4C">
        <w:rPr>
          <w:rFonts w:cs="Arial"/>
          <w:color w:val="000000"/>
        </w:rPr>
        <w:t>average mediated effect in standardized units</w:t>
      </w:r>
      <w:r w:rsidR="005066CB">
        <w:rPr>
          <w:rFonts w:cs="Arial"/>
          <w:color w:val="000000"/>
        </w:rPr>
        <w:t>: 0.0068</w:t>
      </w:r>
      <w:r w:rsidR="00FE5D4C">
        <w:rPr>
          <w:rFonts w:cs="Arial"/>
          <w:color w:val="000000"/>
        </w:rPr>
        <w:t xml:space="preserve">). For the highest parental education model, however, the size of the </w:t>
      </w:r>
      <w:r w:rsidR="00EB65A9">
        <w:rPr>
          <w:rFonts w:cs="Arial"/>
          <w:color w:val="000000"/>
        </w:rPr>
        <w:t>indirect</w:t>
      </w:r>
      <w:r w:rsidR="00FE5D4C">
        <w:rPr>
          <w:rFonts w:cs="Arial"/>
          <w:color w:val="000000"/>
        </w:rPr>
        <w:t xml:space="preserve"> effect was only modestly smaller than for the SES variable</w:t>
      </w:r>
      <w:r w:rsidR="00A070B5">
        <w:rPr>
          <w:rFonts w:cs="Arial"/>
          <w:color w:val="000000"/>
        </w:rPr>
        <w:t>,</w:t>
      </w:r>
      <w:r w:rsidR="00A93324">
        <w:rPr>
          <w:rFonts w:cs="Arial"/>
          <w:color w:val="000000"/>
        </w:rPr>
        <w:t xml:space="preserve"> </w:t>
      </w:r>
      <w:r w:rsidR="00A070B5">
        <w:rPr>
          <w:rFonts w:cs="Arial"/>
          <w:color w:val="000000"/>
        </w:rPr>
        <w:t>and represented 15.9%</w:t>
      </w:r>
      <w:r w:rsidR="00A93324">
        <w:rPr>
          <w:rFonts w:cs="Arial"/>
          <w:color w:val="000000"/>
        </w:rPr>
        <w:t xml:space="preserve"> of the total effect. T</w:t>
      </w:r>
      <w:r w:rsidR="008E54E5">
        <w:rPr>
          <w:rFonts w:cs="Arial"/>
          <w:color w:val="000000"/>
        </w:rPr>
        <w:t>hus, t</w:t>
      </w:r>
      <w:r w:rsidR="00A93324">
        <w:rPr>
          <w:rFonts w:cs="Arial"/>
          <w:color w:val="000000"/>
        </w:rPr>
        <w:t xml:space="preserve">here is evidence that over and above </w:t>
      </w:r>
      <w:r w:rsidR="00595BEE">
        <w:rPr>
          <w:rFonts w:cs="Arial"/>
          <w:color w:val="000000"/>
        </w:rPr>
        <w:t>highest parental education’s</w:t>
      </w:r>
      <w:r w:rsidR="00A93324">
        <w:rPr>
          <w:rFonts w:cs="Arial"/>
          <w:color w:val="000000"/>
        </w:rPr>
        <w:t xml:space="preserve"> shared variance </w:t>
      </w:r>
      <w:r w:rsidR="00595BEE">
        <w:rPr>
          <w:rFonts w:cs="Arial"/>
          <w:color w:val="000000"/>
        </w:rPr>
        <w:t>with</w:t>
      </w:r>
      <w:r w:rsidR="00C4799D">
        <w:rPr>
          <w:rFonts w:cs="Arial"/>
          <w:color w:val="000000"/>
        </w:rPr>
        <w:t xml:space="preserve"> household income</w:t>
      </w:r>
      <w:r w:rsidR="00B409D2">
        <w:rPr>
          <w:rFonts w:cs="Arial"/>
          <w:color w:val="000000"/>
        </w:rPr>
        <w:t xml:space="preserve"> and </w:t>
      </w:r>
      <w:r w:rsidR="00C4799D">
        <w:rPr>
          <w:rFonts w:cs="Arial"/>
          <w:color w:val="000000"/>
        </w:rPr>
        <w:lastRenderedPageBreak/>
        <w:t xml:space="preserve">neighborhood disadvantage, the unique variance </w:t>
      </w:r>
      <w:r w:rsidR="00595BEE">
        <w:rPr>
          <w:rFonts w:cs="Arial"/>
          <w:color w:val="000000"/>
        </w:rPr>
        <w:t>of this variable in predicting</w:t>
      </w:r>
      <w:r w:rsidR="00C4799D">
        <w:rPr>
          <w:rFonts w:cs="Arial"/>
          <w:color w:val="000000"/>
        </w:rPr>
        <w:t xml:space="preserve"> GCA is also partially </w:t>
      </w:r>
      <w:r w:rsidR="00595BEE">
        <w:rPr>
          <w:rFonts w:cs="Arial"/>
          <w:color w:val="000000"/>
        </w:rPr>
        <w:t xml:space="preserve">statistically </w:t>
      </w:r>
      <w:r w:rsidR="00C4799D">
        <w:rPr>
          <w:rFonts w:cs="Arial"/>
          <w:color w:val="000000"/>
        </w:rPr>
        <w:t>mediated by GCA-related brain functional connectivity patterns.</w:t>
      </w:r>
    </w:p>
    <w:p w14:paraId="6C946C27" w14:textId="15060CE1" w:rsidR="00FB1BD8" w:rsidRDefault="00FB1BD8">
      <w:pPr>
        <w:rPr>
          <w:rFonts w:cs="Arial"/>
          <w:color w:val="000000"/>
        </w:rPr>
      </w:pPr>
    </w:p>
    <w:p w14:paraId="35249188" w14:textId="0B584067" w:rsidR="00EB4E0F" w:rsidRDefault="00560E29" w:rsidP="00EB4E0F">
      <w:pPr>
        <w:rPr>
          <w:b/>
          <w:bCs/>
          <w:color w:val="000000" w:themeColor="text1"/>
        </w:rPr>
      </w:pPr>
      <w:r>
        <w:rPr>
          <w:b/>
          <w:bCs/>
          <w:color w:val="000000" w:themeColor="text1"/>
        </w:rPr>
        <w:t>9</w:t>
      </w:r>
      <w:r w:rsidR="00EB4E0F" w:rsidRPr="00584ADF">
        <w:rPr>
          <w:b/>
          <w:bCs/>
          <w:color w:val="000000" w:themeColor="text1"/>
        </w:rPr>
        <w:t>.</w:t>
      </w:r>
      <w:r w:rsidR="00EB4E0F">
        <w:rPr>
          <w:b/>
          <w:bCs/>
          <w:color w:val="000000" w:themeColor="text1"/>
        </w:rPr>
        <w:tab/>
        <w:t>Cell-Wise Mean GCA-Related Connectivity</w:t>
      </w:r>
    </w:p>
    <w:p w14:paraId="56EFE95E" w14:textId="03F8CAD5" w:rsidR="00EB4E0F" w:rsidRDefault="00EB4E0F" w:rsidP="00EB4E0F">
      <w:pPr>
        <w:rPr>
          <w:color w:val="000000" w:themeColor="text1"/>
        </w:rPr>
      </w:pPr>
      <w:r w:rsidRPr="008547A0">
        <w:rPr>
          <w:color w:val="000000" w:themeColor="text1"/>
        </w:rPr>
        <w:t xml:space="preserve">We </w:t>
      </w:r>
      <w:r>
        <w:rPr>
          <w:color w:val="000000" w:themeColor="text1"/>
        </w:rPr>
        <w:t xml:space="preserve">fit multiple regression models at each connection in which GCA was the outcome variable and the edge connectivity was the predictor, controlling for </w:t>
      </w:r>
      <w:r>
        <w:rPr>
          <w:rFonts w:eastAsia="Times New Roman" w:cs="Times New Roman"/>
        </w:rPr>
        <w:t xml:space="preserve">sex, race, age, mean FD, and mean FD squared, and we retained the absolute value of the standardized betas for edge connectivity from these models. </w:t>
      </w:r>
      <w:r>
        <w:rPr>
          <w:color w:val="000000" w:themeColor="text1"/>
        </w:rPr>
        <w:t xml:space="preserve">Mean cell-wise GCA connectivity was calculated as the mean of these </w:t>
      </w:r>
      <w:r>
        <w:rPr>
          <w:rFonts w:eastAsia="Times New Roman" w:cs="Times New Roman"/>
        </w:rPr>
        <w:t xml:space="preserve">standardized betas </w:t>
      </w:r>
      <w:r>
        <w:rPr>
          <w:color w:val="000000" w:themeColor="text1"/>
        </w:rPr>
        <w:t xml:space="preserve">for all connections in a cell. To assess whether mean cell-wise GCA connectivity was different than zero, we conducted permutation tests separately for each cell. GCA scores were shuffled 10,000 times, mean cell-wise GCA connectivity was recalculated at each iteration, and a </w:t>
      </w:r>
      <w:r w:rsidRPr="00940A9A">
        <w:rPr>
          <w:i/>
          <w:iCs/>
          <w:color w:val="000000" w:themeColor="text1"/>
        </w:rPr>
        <w:t>p</w:t>
      </w:r>
      <w:r>
        <w:rPr>
          <w:color w:val="000000" w:themeColor="text1"/>
        </w:rPr>
        <w:t xml:space="preserve">-value was obtained for each cell by locating the observed mean cell-wise GCA connectivity value in this null distribution, and then these p-values were corrected for 120 multiple comparisons with the false discovery rate procedure </w:t>
      </w:r>
      <w:r>
        <w:rPr>
          <w:rFonts w:cs="Arial"/>
          <w:color w:val="000000"/>
        </w:rPr>
        <w:fldChar w:fldCharType="begin"/>
      </w:r>
      <w:r w:rsidR="0094155F">
        <w:rPr>
          <w:rFonts w:cs="Arial"/>
          <w:color w:val="000000"/>
        </w:rPr>
        <w:instrText xml:space="preserve"> ADDIN ZOTERO_ITEM CSL_CITATION {"citationID":"a19993m67i5","properties":{"formattedCitation":"(22)","plainCitation":"(22)","noteIndex":0},"citationItems":[{"id":3625,"uris":["http://zotero.org/users/715749/items/TJ2ZX8N4"],"uri":["http://zotero.org/users/715749/items/TJ2ZX8N4"],"itemData":{"id":3625,"type":"article-journal","abstract":"The common approach to the multiplicity problem calls for controlling the familywise error rate (FWER). This approach, though, has faults, and we point out a few. A different approach to problems of multiple significance testing is presented. It calls for controlling the expected proportion of falsely rejected hypotheses-the false discovery rate. This error rate is equivalent to the FWER when all hypotheses are true but is smaller otherwise. Therefore, in problems where the control of the false discovery rate rather than that of the FWER is desired, there is potential for a gain in power. A simple sequential Bonferroni-type procedure is proved to control the false discovery rate for independent test statistics, and a simulation study shows that the gain in power is substantial. The use of the new procedure and the appropriateness of the criterion are illustrated with examples.","container-title":"Journal of the Royal Statistical Society. Series B (Methodological)","DOI":"10.2307/2346101","ISSN":"0035-9246","issue":"1","journalAbbreviation":"Journal of the Royal Statistical Society. Series B (Methodological)","note":"ArticleType: research-article / Full publication date: 1995 / Copyright © 1995 Royal Statistical Society","page":"289-300","source":"JSTOR","title":"Controlling the False Discovery Rate: A Practical and Powerful Approach to Multiple Testing","title-short":"Controlling the False Discovery Rate","volume":"57","author":[{"family":"Benjamini","given":"Yoav"},{"family":"Hochberg","given":"Yosef"}],"issued":{"date-parts":[["1995",1,1]]}}}],"schema":"https://github.com/citation-style-language/schema/raw/master/csl-citation.json"} </w:instrText>
      </w:r>
      <w:r>
        <w:rPr>
          <w:rFonts w:cs="Arial"/>
          <w:color w:val="000000"/>
        </w:rPr>
        <w:fldChar w:fldCharType="separate"/>
      </w:r>
      <w:r w:rsidR="0094155F">
        <w:rPr>
          <w:rFonts w:ascii="Calibri" w:cs="Calibri"/>
          <w:color w:val="000000"/>
        </w:rPr>
        <w:t>(22)</w:t>
      </w:r>
      <w:r>
        <w:rPr>
          <w:rFonts w:cs="Arial"/>
          <w:color w:val="000000"/>
        </w:rPr>
        <w:fldChar w:fldCharType="end"/>
      </w:r>
      <w:r>
        <w:rPr>
          <w:rFonts w:cs="Arial"/>
          <w:color w:val="000000"/>
        </w:rPr>
        <w:t xml:space="preserve"> with alpha set at </w:t>
      </w:r>
      <w:r w:rsidRPr="00CD183E">
        <w:rPr>
          <w:rFonts w:cs="Arial"/>
          <w:i/>
          <w:iCs/>
          <w:color w:val="000000"/>
        </w:rPr>
        <w:t>p</w:t>
      </w:r>
      <w:r>
        <w:rPr>
          <w:rFonts w:cs="Arial"/>
          <w:color w:val="000000"/>
        </w:rPr>
        <w:t>&lt;0.05</w:t>
      </w:r>
      <w:r>
        <w:rPr>
          <w:color w:val="000000" w:themeColor="text1"/>
        </w:rPr>
        <w:t xml:space="preserve">. As above (§8), the </w:t>
      </w:r>
      <w:r w:rsidRPr="00ED2BC6">
        <w:rPr>
          <w:rFonts w:cs="Arial"/>
          <w:color w:val="000000"/>
        </w:rPr>
        <w:t xml:space="preserve">procedure of Freedman and Lane </w:t>
      </w:r>
      <w:r>
        <w:rPr>
          <w:rFonts w:cs="Arial"/>
          <w:color w:val="000000"/>
        </w:rPr>
        <w:fldChar w:fldCharType="begin"/>
      </w:r>
      <w:r w:rsidR="0094155F">
        <w:rPr>
          <w:rFonts w:cs="Arial"/>
          <w:color w:val="000000"/>
        </w:rPr>
        <w:instrText xml:space="preserve"> ADDIN ZOTERO_ITEM CSL_CITATION {"citationID":"WfQrqSsa","properties":{"formattedCitation":"(19)","plainCitation":"(19)","noteIndex":0},"citationItems":[{"id":3623,"uris":["http://zotero.org/users/715749/items/Q2WPRZA5"],"uri":["http://zotero.org/users/715749/items/Q2WPRZA5"],"itemData":{"id":3623,"type":"article-journal","abstract":"Tests of significance are often made in situations where the standard assumptions underlying the probability calculations do not hold. As a result, the reported significance levels become difficult to interpret. This article sketches an alternative interpretation of a reported significance level, valid in considerable generality. This level locates the given data set within the spectrum of other data sets derived from the given one by an appropriate class of transformations. If the null hypothesis being tested holds, the derived data sets should be equivalent to the original one. Thus, a small reported significance level indicates an unusual data set. This development parallels that of randomization tests, but there is a crucial technical difference: our approach involves permuting observed residuals; the classical randomization approach involves permuting unobservable, or perhaps nonexistent, stochastic disturbance terms.","container-title":"Journal of Business &amp; Economic Statistics","DOI":"10.1080/07350015.1983.10509354","ISSN":"0735-0015","issue":"4","page":"292-298","source":"Taylor and Francis+NEJM","title":"A Nonstochastic Interpretation of Reported Significance Levels","volume":"1","author":[{"family":"Freedman","given":"David"},{"family":"Lane","given":"David"}],"issued":{"date-parts":[["1983"]]}}}],"schema":"https://github.com/citation-style-language/schema/raw/master/csl-citation.json"} </w:instrText>
      </w:r>
      <w:r>
        <w:rPr>
          <w:rFonts w:cs="Arial"/>
          <w:color w:val="000000"/>
        </w:rPr>
        <w:fldChar w:fldCharType="separate"/>
      </w:r>
      <w:r w:rsidR="0094155F">
        <w:rPr>
          <w:rFonts w:ascii="Calibri" w:cs="Calibri"/>
          <w:color w:val="000000"/>
        </w:rPr>
        <w:t>(19)</w:t>
      </w:r>
      <w:r>
        <w:rPr>
          <w:rFonts w:cs="Arial"/>
          <w:color w:val="000000"/>
        </w:rPr>
        <w:fldChar w:fldCharType="end"/>
      </w:r>
      <w:r>
        <w:rPr>
          <w:rFonts w:cs="Arial"/>
          <w:color w:val="000000"/>
        </w:rPr>
        <w:t xml:space="preserve"> was used to account for covariates, and exchangeability blocks were used to account for twin, family, and site structure.</w:t>
      </w:r>
    </w:p>
    <w:p w14:paraId="61F9EF11" w14:textId="1BFA8063" w:rsidR="00FB1BD8" w:rsidRDefault="00FB1BD8">
      <w:pPr>
        <w:rPr>
          <w:rFonts w:cs="Arial"/>
          <w:color w:val="000000"/>
        </w:rPr>
      </w:pPr>
    </w:p>
    <w:p w14:paraId="741C0A56" w14:textId="72C5842B" w:rsidR="00DF44F7" w:rsidRDefault="00DF44F7">
      <w:pPr>
        <w:rPr>
          <w:rFonts w:cs="Arial"/>
          <w:color w:val="000000"/>
        </w:rPr>
      </w:pPr>
      <w:r>
        <w:rPr>
          <w:rFonts w:cs="Arial"/>
          <w:color w:val="000000"/>
        </w:rPr>
        <w:br w:type="page"/>
      </w:r>
    </w:p>
    <w:p w14:paraId="1E6C5A70" w14:textId="77777777" w:rsidR="00DF44F7" w:rsidRDefault="00DF44F7">
      <w:pPr>
        <w:rPr>
          <w:rFonts w:cs="Arial"/>
          <w:color w:val="000000"/>
        </w:rPr>
      </w:pPr>
    </w:p>
    <w:p w14:paraId="790A520C" w14:textId="77777777" w:rsidR="00DF44F7" w:rsidRDefault="00DF44F7">
      <w:pPr>
        <w:rPr>
          <w:rFonts w:cs="Arial"/>
          <w:color w:val="000000"/>
        </w:rPr>
      </w:pPr>
    </w:p>
    <w:tbl>
      <w:tblPr>
        <w:tblStyle w:val="TableGrid"/>
        <w:tblW w:w="783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90"/>
        <w:gridCol w:w="2250"/>
        <w:gridCol w:w="1890"/>
      </w:tblGrid>
      <w:tr w:rsidR="00646E2D" w:rsidRPr="00C876E3" w14:paraId="0D858330" w14:textId="77777777" w:rsidTr="00354B46">
        <w:tc>
          <w:tcPr>
            <w:tcW w:w="3690" w:type="dxa"/>
            <w:tcBorders>
              <w:top w:val="nil"/>
              <w:bottom w:val="single" w:sz="4" w:space="0" w:color="auto"/>
              <w:right w:val="nil"/>
            </w:tcBorders>
          </w:tcPr>
          <w:p w14:paraId="226A29ED" w14:textId="053A4D70" w:rsidR="00646E2D" w:rsidRPr="00C876E3" w:rsidRDefault="00F058E3" w:rsidP="00354B46">
            <w:pPr>
              <w:spacing w:beforeLines="40" w:before="96" w:afterLines="40" w:after="96"/>
              <w:contextualSpacing/>
              <w:rPr>
                <w:rFonts w:cs="Times New Roman"/>
              </w:rPr>
            </w:pPr>
            <w:r>
              <w:rPr>
                <w:rFonts w:cs="Arial"/>
                <w:color w:val="000000"/>
              </w:rPr>
              <w:br w:type="page"/>
            </w:r>
          </w:p>
        </w:tc>
        <w:tc>
          <w:tcPr>
            <w:tcW w:w="2250" w:type="dxa"/>
            <w:tcBorders>
              <w:top w:val="nil"/>
              <w:left w:val="nil"/>
              <w:bottom w:val="single" w:sz="4" w:space="0" w:color="auto"/>
              <w:right w:val="nil"/>
            </w:tcBorders>
          </w:tcPr>
          <w:p w14:paraId="5DD73D8A" w14:textId="77777777" w:rsidR="00646E2D" w:rsidRPr="00C876E3" w:rsidRDefault="00646E2D" w:rsidP="00354B46">
            <w:pPr>
              <w:spacing w:beforeLines="40" w:before="96" w:afterLines="40" w:after="96"/>
              <w:contextualSpacing/>
              <w:jc w:val="center"/>
              <w:rPr>
                <w:rFonts w:cs="Times New Roman"/>
              </w:rPr>
            </w:pPr>
            <w:r w:rsidRPr="00C876E3">
              <w:rPr>
                <w:rFonts w:cs="Times New Roman"/>
              </w:rPr>
              <w:t>Included</w:t>
            </w:r>
            <w:r>
              <w:rPr>
                <w:rFonts w:cs="Times New Roman"/>
              </w:rPr>
              <w:t xml:space="preserve"> in Predictive Model</w:t>
            </w:r>
          </w:p>
        </w:tc>
        <w:tc>
          <w:tcPr>
            <w:tcW w:w="1890" w:type="dxa"/>
            <w:tcBorders>
              <w:top w:val="nil"/>
              <w:left w:val="nil"/>
              <w:bottom w:val="single" w:sz="4" w:space="0" w:color="auto"/>
              <w:right w:val="nil"/>
            </w:tcBorders>
          </w:tcPr>
          <w:p w14:paraId="2560CC2C" w14:textId="77777777" w:rsidR="00646E2D" w:rsidRPr="00C876E3" w:rsidRDefault="00646E2D" w:rsidP="00354B46">
            <w:pPr>
              <w:spacing w:beforeLines="40" w:before="96" w:afterLines="40" w:after="96"/>
              <w:contextualSpacing/>
              <w:jc w:val="center"/>
              <w:rPr>
                <w:rFonts w:cs="Times New Roman"/>
              </w:rPr>
            </w:pPr>
            <w:r>
              <w:rPr>
                <w:rFonts w:cs="Times New Roman"/>
              </w:rPr>
              <w:t>Not Included in Predictive Model</w:t>
            </w:r>
          </w:p>
        </w:tc>
      </w:tr>
      <w:tr w:rsidR="00646E2D" w:rsidRPr="00C876E3" w14:paraId="25158690" w14:textId="77777777" w:rsidTr="00354B46">
        <w:tc>
          <w:tcPr>
            <w:tcW w:w="3690" w:type="dxa"/>
            <w:tcBorders>
              <w:top w:val="single" w:sz="4" w:space="0" w:color="auto"/>
              <w:bottom w:val="nil"/>
            </w:tcBorders>
          </w:tcPr>
          <w:p w14:paraId="56067BB0" w14:textId="77777777" w:rsidR="00646E2D" w:rsidRPr="00C876E3" w:rsidRDefault="00646E2D" w:rsidP="00354B46">
            <w:pPr>
              <w:spacing w:beforeLines="40" w:before="96" w:afterLines="40" w:after="96"/>
              <w:contextualSpacing/>
              <w:rPr>
                <w:rFonts w:cs="Times New Roman"/>
              </w:rPr>
            </w:pPr>
            <w:r w:rsidRPr="00C876E3">
              <w:rPr>
                <w:rFonts w:cs="Times New Roman"/>
              </w:rPr>
              <w:t>N</w:t>
            </w:r>
          </w:p>
        </w:tc>
        <w:tc>
          <w:tcPr>
            <w:tcW w:w="2250" w:type="dxa"/>
            <w:tcBorders>
              <w:top w:val="single" w:sz="4" w:space="0" w:color="auto"/>
              <w:bottom w:val="nil"/>
            </w:tcBorders>
            <w:vAlign w:val="bottom"/>
          </w:tcPr>
          <w:p w14:paraId="51C3F211" w14:textId="77777777" w:rsidR="00646E2D" w:rsidRPr="00C876E3" w:rsidRDefault="00646E2D" w:rsidP="00354B46">
            <w:pPr>
              <w:spacing w:beforeLines="40" w:before="96" w:afterLines="40" w:after="96"/>
              <w:contextualSpacing/>
              <w:jc w:val="center"/>
              <w:rPr>
                <w:rFonts w:cs="Times New Roman"/>
                <w:color w:val="000000"/>
              </w:rPr>
            </w:pPr>
            <w:r>
              <w:rPr>
                <w:rFonts w:cs="Times New Roman"/>
                <w:color w:val="000000"/>
              </w:rPr>
              <w:t>5937</w:t>
            </w:r>
          </w:p>
        </w:tc>
        <w:tc>
          <w:tcPr>
            <w:tcW w:w="1890" w:type="dxa"/>
            <w:tcBorders>
              <w:top w:val="single" w:sz="4" w:space="0" w:color="auto"/>
              <w:bottom w:val="nil"/>
              <w:right w:val="single" w:sz="4" w:space="0" w:color="auto"/>
            </w:tcBorders>
            <w:vAlign w:val="bottom"/>
          </w:tcPr>
          <w:p w14:paraId="652A5BED" w14:textId="77777777" w:rsidR="00646E2D" w:rsidRPr="00C876E3" w:rsidRDefault="00646E2D" w:rsidP="00354B46">
            <w:pPr>
              <w:spacing w:beforeLines="40" w:before="96" w:afterLines="40" w:after="96"/>
              <w:contextualSpacing/>
              <w:jc w:val="center"/>
              <w:rPr>
                <w:rFonts w:cs="Times New Roman"/>
                <w:color w:val="000000"/>
              </w:rPr>
            </w:pPr>
            <w:r>
              <w:rPr>
                <w:rFonts w:cs="Times New Roman"/>
                <w:color w:val="000000"/>
              </w:rPr>
              <w:t>5938</w:t>
            </w:r>
          </w:p>
        </w:tc>
      </w:tr>
      <w:tr w:rsidR="00646E2D" w:rsidRPr="00C876E3" w14:paraId="768686D4" w14:textId="77777777" w:rsidTr="00354B46">
        <w:tc>
          <w:tcPr>
            <w:tcW w:w="3690" w:type="dxa"/>
            <w:tcBorders>
              <w:top w:val="nil"/>
              <w:bottom w:val="nil"/>
            </w:tcBorders>
          </w:tcPr>
          <w:p w14:paraId="45D818A1" w14:textId="77777777" w:rsidR="00646E2D" w:rsidRPr="00C876E3" w:rsidRDefault="00646E2D" w:rsidP="00354B46">
            <w:pPr>
              <w:spacing w:beforeLines="40" w:before="96" w:afterLines="40" w:after="96"/>
              <w:contextualSpacing/>
              <w:rPr>
                <w:rFonts w:cs="Times New Roman"/>
              </w:rPr>
            </w:pPr>
            <w:r w:rsidRPr="00C876E3">
              <w:rPr>
                <w:rFonts w:cs="Times New Roman"/>
              </w:rPr>
              <w:t>Age (mean (</w:t>
            </w:r>
            <w:proofErr w:type="spellStart"/>
            <w:r w:rsidRPr="00C876E3">
              <w:rPr>
                <w:rFonts w:cs="Times New Roman"/>
              </w:rPr>
              <w:t>s.d.</w:t>
            </w:r>
            <w:proofErr w:type="spellEnd"/>
            <w:r w:rsidRPr="00C876E3">
              <w:rPr>
                <w:rFonts w:cs="Times New Roman"/>
              </w:rPr>
              <w:t>))</w:t>
            </w:r>
          </w:p>
        </w:tc>
        <w:tc>
          <w:tcPr>
            <w:tcW w:w="2250" w:type="dxa"/>
            <w:tcBorders>
              <w:top w:val="nil"/>
              <w:bottom w:val="nil"/>
            </w:tcBorders>
            <w:vAlign w:val="bottom"/>
          </w:tcPr>
          <w:p w14:paraId="0E35BBEC"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9.</w:t>
            </w:r>
            <w:r>
              <w:rPr>
                <w:rFonts w:cs="Times New Roman"/>
                <w:color w:val="000000"/>
              </w:rPr>
              <w:t>96</w:t>
            </w:r>
            <w:r w:rsidRPr="00C876E3">
              <w:rPr>
                <w:rFonts w:cs="Times New Roman"/>
                <w:color w:val="000000"/>
              </w:rPr>
              <w:t xml:space="preserve"> (0.62)</w:t>
            </w:r>
          </w:p>
        </w:tc>
        <w:tc>
          <w:tcPr>
            <w:tcW w:w="1890" w:type="dxa"/>
            <w:tcBorders>
              <w:top w:val="nil"/>
              <w:bottom w:val="nil"/>
              <w:right w:val="single" w:sz="4" w:space="0" w:color="auto"/>
            </w:tcBorders>
            <w:vAlign w:val="bottom"/>
          </w:tcPr>
          <w:p w14:paraId="3E7701A2"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 xml:space="preserve"> 9.8</w:t>
            </w:r>
            <w:r>
              <w:rPr>
                <w:rFonts w:cs="Times New Roman"/>
                <w:color w:val="000000"/>
              </w:rPr>
              <w:t>6</w:t>
            </w:r>
            <w:r w:rsidRPr="00C876E3">
              <w:rPr>
                <w:rFonts w:cs="Times New Roman"/>
                <w:color w:val="000000"/>
              </w:rPr>
              <w:t xml:space="preserve"> (0.62)</w:t>
            </w:r>
          </w:p>
        </w:tc>
      </w:tr>
      <w:tr w:rsidR="00646E2D" w:rsidRPr="00C876E3" w14:paraId="4FF9C65E" w14:textId="77777777" w:rsidTr="00354B46">
        <w:tc>
          <w:tcPr>
            <w:tcW w:w="3690" w:type="dxa"/>
            <w:tcBorders>
              <w:top w:val="nil"/>
              <w:bottom w:val="nil"/>
            </w:tcBorders>
          </w:tcPr>
          <w:p w14:paraId="21EF7132" w14:textId="77777777" w:rsidR="00646E2D" w:rsidRPr="00C876E3" w:rsidRDefault="00646E2D" w:rsidP="00354B46">
            <w:pPr>
              <w:spacing w:beforeLines="40" w:before="96" w:afterLines="40" w:after="96"/>
              <w:contextualSpacing/>
              <w:rPr>
                <w:rFonts w:cs="Times New Roman"/>
              </w:rPr>
            </w:pPr>
            <w:r w:rsidRPr="00C876E3">
              <w:rPr>
                <w:rFonts w:cs="Times New Roman"/>
              </w:rPr>
              <w:t>Female (%)</w:t>
            </w:r>
          </w:p>
        </w:tc>
        <w:tc>
          <w:tcPr>
            <w:tcW w:w="2250" w:type="dxa"/>
            <w:tcBorders>
              <w:top w:val="nil"/>
              <w:bottom w:val="nil"/>
            </w:tcBorders>
            <w:vAlign w:val="bottom"/>
          </w:tcPr>
          <w:p w14:paraId="79D66081"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29</w:t>
            </w:r>
            <w:r>
              <w:rPr>
                <w:rFonts w:cs="Times New Roman"/>
                <w:color w:val="000000"/>
              </w:rPr>
              <w:t>91</w:t>
            </w:r>
            <w:r w:rsidRPr="00C876E3">
              <w:rPr>
                <w:rFonts w:cs="Times New Roman"/>
                <w:color w:val="000000"/>
              </w:rPr>
              <w:t xml:space="preserve"> (50.</w:t>
            </w:r>
            <w:r>
              <w:rPr>
                <w:rFonts w:cs="Times New Roman"/>
                <w:color w:val="000000"/>
              </w:rPr>
              <w:t>4</w:t>
            </w:r>
            <w:r w:rsidRPr="00C876E3">
              <w:rPr>
                <w:rFonts w:cs="Times New Roman"/>
                <w:color w:val="000000"/>
              </w:rPr>
              <w:t>)</w:t>
            </w:r>
          </w:p>
        </w:tc>
        <w:tc>
          <w:tcPr>
            <w:tcW w:w="1890" w:type="dxa"/>
            <w:tcBorders>
              <w:top w:val="nil"/>
              <w:bottom w:val="nil"/>
              <w:right w:val="single" w:sz="4" w:space="0" w:color="auto"/>
            </w:tcBorders>
            <w:vAlign w:val="bottom"/>
          </w:tcPr>
          <w:p w14:paraId="304130CC"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2</w:t>
            </w:r>
            <w:r>
              <w:rPr>
                <w:rFonts w:cs="Times New Roman"/>
                <w:color w:val="000000"/>
              </w:rPr>
              <w:t>690</w:t>
            </w:r>
            <w:r w:rsidRPr="00C876E3">
              <w:rPr>
                <w:rFonts w:cs="Times New Roman"/>
                <w:color w:val="000000"/>
              </w:rPr>
              <w:t xml:space="preserve"> (45.</w:t>
            </w:r>
            <w:r>
              <w:rPr>
                <w:rFonts w:cs="Times New Roman"/>
                <w:color w:val="000000"/>
              </w:rPr>
              <w:t>3</w:t>
            </w:r>
            <w:r w:rsidRPr="00C876E3">
              <w:rPr>
                <w:rFonts w:cs="Times New Roman"/>
                <w:color w:val="000000"/>
              </w:rPr>
              <w:t>)</w:t>
            </w:r>
          </w:p>
        </w:tc>
      </w:tr>
      <w:tr w:rsidR="00646E2D" w:rsidRPr="00C876E3" w14:paraId="3DBD5AD0" w14:textId="77777777" w:rsidTr="00354B46">
        <w:tc>
          <w:tcPr>
            <w:tcW w:w="3690" w:type="dxa"/>
            <w:tcBorders>
              <w:top w:val="nil"/>
              <w:bottom w:val="nil"/>
              <w:right w:val="single" w:sz="4" w:space="0" w:color="auto"/>
            </w:tcBorders>
          </w:tcPr>
          <w:p w14:paraId="3C3BF032" w14:textId="77777777" w:rsidR="00646E2D" w:rsidRPr="00C876E3" w:rsidRDefault="00646E2D" w:rsidP="00354B46">
            <w:pPr>
              <w:spacing w:beforeLines="40" w:before="96" w:afterLines="40" w:after="96"/>
              <w:contextualSpacing/>
              <w:rPr>
                <w:rFonts w:cs="Times New Roman"/>
              </w:rPr>
            </w:pPr>
            <w:r w:rsidRPr="00C876E3">
              <w:rPr>
                <w:rFonts w:cs="Times New Roman"/>
              </w:rPr>
              <w:t>Race Ethnicity (%)</w:t>
            </w:r>
          </w:p>
        </w:tc>
        <w:tc>
          <w:tcPr>
            <w:tcW w:w="2250" w:type="dxa"/>
            <w:tcBorders>
              <w:top w:val="nil"/>
              <w:left w:val="single" w:sz="4" w:space="0" w:color="auto"/>
              <w:bottom w:val="nil"/>
            </w:tcBorders>
            <w:vAlign w:val="bottom"/>
          </w:tcPr>
          <w:p w14:paraId="627A8527" w14:textId="77777777" w:rsidR="00646E2D" w:rsidRPr="00C876E3" w:rsidRDefault="00646E2D" w:rsidP="00354B46">
            <w:pPr>
              <w:spacing w:beforeLines="40" w:before="96" w:afterLines="40" w:after="96"/>
              <w:contextualSpacing/>
              <w:jc w:val="center"/>
              <w:rPr>
                <w:rFonts w:cs="Times New Roman"/>
                <w:color w:val="000000"/>
              </w:rPr>
            </w:pPr>
          </w:p>
        </w:tc>
        <w:tc>
          <w:tcPr>
            <w:tcW w:w="1890" w:type="dxa"/>
            <w:tcBorders>
              <w:top w:val="nil"/>
              <w:left w:val="single" w:sz="4" w:space="0" w:color="auto"/>
              <w:bottom w:val="nil"/>
              <w:right w:val="single" w:sz="4" w:space="0" w:color="auto"/>
            </w:tcBorders>
            <w:vAlign w:val="bottom"/>
          </w:tcPr>
          <w:p w14:paraId="115324F4" w14:textId="77777777" w:rsidR="00646E2D" w:rsidRPr="00C876E3" w:rsidRDefault="00646E2D" w:rsidP="00354B46">
            <w:pPr>
              <w:spacing w:beforeLines="40" w:before="96" w:afterLines="40" w:after="96"/>
              <w:contextualSpacing/>
              <w:jc w:val="center"/>
              <w:rPr>
                <w:rFonts w:cs="Times New Roman"/>
                <w:color w:val="000000"/>
              </w:rPr>
            </w:pPr>
          </w:p>
        </w:tc>
      </w:tr>
      <w:tr w:rsidR="00646E2D" w:rsidRPr="00C876E3" w14:paraId="07BB9A7A" w14:textId="77777777" w:rsidTr="00354B46">
        <w:tc>
          <w:tcPr>
            <w:tcW w:w="3690" w:type="dxa"/>
            <w:tcBorders>
              <w:top w:val="nil"/>
              <w:bottom w:val="nil"/>
            </w:tcBorders>
          </w:tcPr>
          <w:p w14:paraId="2451C3EB" w14:textId="77777777" w:rsidR="00646E2D" w:rsidRPr="00C876E3" w:rsidRDefault="00646E2D" w:rsidP="00354B46">
            <w:pPr>
              <w:spacing w:beforeLines="40" w:before="96" w:afterLines="40" w:after="96"/>
              <w:contextualSpacing/>
              <w:jc w:val="right"/>
              <w:rPr>
                <w:rFonts w:cs="Times New Roman"/>
              </w:rPr>
            </w:pPr>
            <w:r w:rsidRPr="00C876E3">
              <w:rPr>
                <w:rFonts w:cs="Times New Roman"/>
              </w:rPr>
              <w:t>White</w:t>
            </w:r>
          </w:p>
        </w:tc>
        <w:tc>
          <w:tcPr>
            <w:tcW w:w="2250" w:type="dxa"/>
            <w:tcBorders>
              <w:top w:val="nil"/>
              <w:bottom w:val="nil"/>
            </w:tcBorders>
            <w:vAlign w:val="bottom"/>
          </w:tcPr>
          <w:p w14:paraId="6FD5C67D"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3</w:t>
            </w:r>
            <w:r>
              <w:rPr>
                <w:rFonts w:cs="Times New Roman"/>
                <w:color w:val="000000"/>
              </w:rPr>
              <w:t>480</w:t>
            </w:r>
            <w:r w:rsidRPr="00C876E3">
              <w:rPr>
                <w:rFonts w:cs="Times New Roman"/>
                <w:color w:val="000000"/>
              </w:rPr>
              <w:t xml:space="preserve"> (</w:t>
            </w:r>
            <w:r>
              <w:rPr>
                <w:rFonts w:cs="Times New Roman"/>
                <w:color w:val="000000"/>
              </w:rPr>
              <w:t>58.6</w:t>
            </w:r>
            <w:r w:rsidRPr="00C876E3">
              <w:rPr>
                <w:rFonts w:cs="Times New Roman"/>
                <w:color w:val="000000"/>
              </w:rPr>
              <w:t>)</w:t>
            </w:r>
          </w:p>
        </w:tc>
        <w:tc>
          <w:tcPr>
            <w:tcW w:w="1890" w:type="dxa"/>
            <w:tcBorders>
              <w:top w:val="nil"/>
              <w:bottom w:val="nil"/>
              <w:right w:val="single" w:sz="4" w:space="0" w:color="auto"/>
            </w:tcBorders>
            <w:vAlign w:val="bottom"/>
          </w:tcPr>
          <w:p w14:paraId="772CAB7C"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2</w:t>
            </w:r>
            <w:r>
              <w:rPr>
                <w:rFonts w:cs="Times New Roman"/>
                <w:color w:val="000000"/>
              </w:rPr>
              <w:t>698</w:t>
            </w:r>
            <w:r w:rsidRPr="00C876E3">
              <w:rPr>
                <w:rFonts w:cs="Times New Roman"/>
                <w:color w:val="000000"/>
              </w:rPr>
              <w:t xml:space="preserve"> (4</w:t>
            </w:r>
            <w:r>
              <w:rPr>
                <w:rFonts w:cs="Times New Roman"/>
                <w:color w:val="000000"/>
              </w:rPr>
              <w:t>5.4</w:t>
            </w:r>
            <w:r w:rsidRPr="00C876E3">
              <w:rPr>
                <w:rFonts w:cs="Times New Roman"/>
                <w:color w:val="000000"/>
              </w:rPr>
              <w:t>)</w:t>
            </w:r>
          </w:p>
        </w:tc>
      </w:tr>
      <w:tr w:rsidR="00646E2D" w:rsidRPr="00C876E3" w14:paraId="39432038" w14:textId="77777777" w:rsidTr="00354B46">
        <w:tc>
          <w:tcPr>
            <w:tcW w:w="3690" w:type="dxa"/>
            <w:tcBorders>
              <w:top w:val="nil"/>
              <w:bottom w:val="nil"/>
            </w:tcBorders>
          </w:tcPr>
          <w:p w14:paraId="4321F97C" w14:textId="77777777" w:rsidR="00646E2D" w:rsidRPr="00C876E3" w:rsidRDefault="00646E2D" w:rsidP="00354B46">
            <w:pPr>
              <w:spacing w:beforeLines="40" w:before="96" w:afterLines="40" w:after="96"/>
              <w:contextualSpacing/>
              <w:jc w:val="right"/>
              <w:rPr>
                <w:rFonts w:cs="Times New Roman"/>
              </w:rPr>
            </w:pPr>
            <w:r w:rsidRPr="00C876E3">
              <w:rPr>
                <w:rFonts w:cs="Times New Roman"/>
              </w:rPr>
              <w:t>Black</w:t>
            </w:r>
          </w:p>
        </w:tc>
        <w:tc>
          <w:tcPr>
            <w:tcW w:w="2250" w:type="dxa"/>
            <w:tcBorders>
              <w:top w:val="nil"/>
              <w:bottom w:val="nil"/>
            </w:tcBorders>
            <w:vAlign w:val="bottom"/>
          </w:tcPr>
          <w:p w14:paraId="096CE89C" w14:textId="77777777" w:rsidR="00646E2D" w:rsidRPr="00C876E3" w:rsidRDefault="00646E2D" w:rsidP="00354B46">
            <w:pPr>
              <w:spacing w:beforeLines="40" w:before="96" w:afterLines="40" w:after="96"/>
              <w:contextualSpacing/>
              <w:jc w:val="center"/>
              <w:rPr>
                <w:rFonts w:cs="Times New Roman"/>
                <w:color w:val="000000"/>
              </w:rPr>
            </w:pPr>
            <w:r>
              <w:rPr>
                <w:rFonts w:cs="Times New Roman"/>
                <w:color w:val="000000"/>
              </w:rPr>
              <w:t>728</w:t>
            </w:r>
            <w:r w:rsidRPr="00C876E3">
              <w:rPr>
                <w:rFonts w:cs="Times New Roman"/>
                <w:color w:val="000000"/>
              </w:rPr>
              <w:t xml:space="preserve"> (1</w:t>
            </w:r>
            <w:r>
              <w:rPr>
                <w:rFonts w:cs="Times New Roman"/>
                <w:color w:val="000000"/>
              </w:rPr>
              <w:t>2.3</w:t>
            </w:r>
            <w:r w:rsidRPr="00C876E3">
              <w:rPr>
                <w:rFonts w:cs="Times New Roman"/>
                <w:color w:val="000000"/>
              </w:rPr>
              <w:t>)</w:t>
            </w:r>
          </w:p>
        </w:tc>
        <w:tc>
          <w:tcPr>
            <w:tcW w:w="1890" w:type="dxa"/>
            <w:tcBorders>
              <w:top w:val="nil"/>
              <w:bottom w:val="nil"/>
              <w:right w:val="single" w:sz="4" w:space="0" w:color="auto"/>
            </w:tcBorders>
            <w:vAlign w:val="bottom"/>
          </w:tcPr>
          <w:p w14:paraId="322464FE"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10</w:t>
            </w:r>
            <w:r>
              <w:rPr>
                <w:rFonts w:cs="Times New Roman"/>
                <w:color w:val="000000"/>
              </w:rPr>
              <w:t>52</w:t>
            </w:r>
            <w:r w:rsidRPr="00C876E3">
              <w:rPr>
                <w:rFonts w:cs="Times New Roman"/>
                <w:color w:val="000000"/>
              </w:rPr>
              <w:t xml:space="preserve"> (1</w:t>
            </w:r>
            <w:r>
              <w:rPr>
                <w:rFonts w:cs="Times New Roman"/>
                <w:color w:val="000000"/>
              </w:rPr>
              <w:t>7.7</w:t>
            </w:r>
            <w:r w:rsidRPr="00C876E3">
              <w:rPr>
                <w:rFonts w:cs="Times New Roman"/>
                <w:color w:val="000000"/>
              </w:rPr>
              <w:t>)</w:t>
            </w:r>
          </w:p>
        </w:tc>
      </w:tr>
      <w:tr w:rsidR="00646E2D" w:rsidRPr="00C876E3" w14:paraId="23A80339" w14:textId="77777777" w:rsidTr="00354B46">
        <w:tc>
          <w:tcPr>
            <w:tcW w:w="3690" w:type="dxa"/>
            <w:tcBorders>
              <w:top w:val="nil"/>
              <w:bottom w:val="nil"/>
            </w:tcBorders>
          </w:tcPr>
          <w:p w14:paraId="5F37C3CE" w14:textId="77777777" w:rsidR="00646E2D" w:rsidRPr="00C876E3" w:rsidRDefault="00646E2D" w:rsidP="00354B46">
            <w:pPr>
              <w:spacing w:beforeLines="40" w:before="96" w:afterLines="40" w:after="96"/>
              <w:contextualSpacing/>
              <w:jc w:val="right"/>
              <w:rPr>
                <w:rFonts w:cs="Times New Roman"/>
              </w:rPr>
            </w:pPr>
            <w:r w:rsidRPr="00C876E3">
              <w:rPr>
                <w:rFonts w:cs="Times New Roman"/>
              </w:rPr>
              <w:t>Hispanic</w:t>
            </w:r>
          </w:p>
        </w:tc>
        <w:tc>
          <w:tcPr>
            <w:tcW w:w="2250" w:type="dxa"/>
            <w:tcBorders>
              <w:top w:val="nil"/>
              <w:bottom w:val="nil"/>
            </w:tcBorders>
            <w:vAlign w:val="bottom"/>
          </w:tcPr>
          <w:p w14:paraId="795FB044"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10</w:t>
            </w:r>
            <w:r>
              <w:rPr>
                <w:rFonts w:cs="Times New Roman"/>
                <w:color w:val="000000"/>
              </w:rPr>
              <w:t>82</w:t>
            </w:r>
            <w:r w:rsidRPr="00C876E3">
              <w:rPr>
                <w:rFonts w:cs="Times New Roman"/>
                <w:color w:val="000000"/>
              </w:rPr>
              <w:t xml:space="preserve"> (1</w:t>
            </w:r>
            <w:r>
              <w:rPr>
                <w:rFonts w:cs="Times New Roman"/>
                <w:color w:val="000000"/>
              </w:rPr>
              <w:t>8.2</w:t>
            </w:r>
            <w:r w:rsidRPr="00C876E3">
              <w:rPr>
                <w:rFonts w:cs="Times New Roman"/>
                <w:color w:val="000000"/>
              </w:rPr>
              <w:t>)</w:t>
            </w:r>
          </w:p>
        </w:tc>
        <w:tc>
          <w:tcPr>
            <w:tcW w:w="1890" w:type="dxa"/>
            <w:tcBorders>
              <w:top w:val="nil"/>
              <w:bottom w:val="nil"/>
              <w:right w:val="single" w:sz="4" w:space="0" w:color="auto"/>
            </w:tcBorders>
            <w:vAlign w:val="bottom"/>
          </w:tcPr>
          <w:p w14:paraId="66FA1943"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13</w:t>
            </w:r>
            <w:r>
              <w:rPr>
                <w:rFonts w:cs="Times New Roman"/>
                <w:color w:val="000000"/>
              </w:rPr>
              <w:t>27</w:t>
            </w:r>
            <w:r w:rsidRPr="00C876E3">
              <w:rPr>
                <w:rFonts w:cs="Times New Roman"/>
                <w:color w:val="000000"/>
              </w:rPr>
              <w:t xml:space="preserve"> (22.</w:t>
            </w:r>
            <w:r>
              <w:rPr>
                <w:rFonts w:cs="Times New Roman"/>
                <w:color w:val="000000"/>
              </w:rPr>
              <w:t>3</w:t>
            </w:r>
            <w:r w:rsidRPr="00C876E3">
              <w:rPr>
                <w:rFonts w:cs="Times New Roman"/>
                <w:color w:val="000000"/>
              </w:rPr>
              <w:t>)</w:t>
            </w:r>
          </w:p>
        </w:tc>
      </w:tr>
      <w:tr w:rsidR="00646E2D" w:rsidRPr="00C876E3" w14:paraId="56ABDA91" w14:textId="77777777" w:rsidTr="00354B46">
        <w:tc>
          <w:tcPr>
            <w:tcW w:w="3690" w:type="dxa"/>
            <w:tcBorders>
              <w:top w:val="nil"/>
              <w:bottom w:val="nil"/>
            </w:tcBorders>
          </w:tcPr>
          <w:p w14:paraId="7F905A0D" w14:textId="77777777" w:rsidR="00646E2D" w:rsidRPr="00C876E3" w:rsidRDefault="00646E2D" w:rsidP="00354B46">
            <w:pPr>
              <w:spacing w:beforeLines="40" w:before="96" w:afterLines="40" w:after="96"/>
              <w:contextualSpacing/>
              <w:jc w:val="right"/>
              <w:rPr>
                <w:rFonts w:cs="Times New Roman"/>
              </w:rPr>
            </w:pPr>
            <w:r w:rsidRPr="00C876E3">
              <w:rPr>
                <w:rFonts w:cs="Times New Roman"/>
              </w:rPr>
              <w:t>Asian</w:t>
            </w:r>
          </w:p>
        </w:tc>
        <w:tc>
          <w:tcPr>
            <w:tcW w:w="2250" w:type="dxa"/>
            <w:tcBorders>
              <w:top w:val="nil"/>
              <w:bottom w:val="nil"/>
            </w:tcBorders>
            <w:vAlign w:val="bottom"/>
          </w:tcPr>
          <w:p w14:paraId="5FDB9557" w14:textId="77777777" w:rsidR="00646E2D" w:rsidRPr="00C876E3" w:rsidRDefault="00646E2D" w:rsidP="00354B46">
            <w:pPr>
              <w:spacing w:beforeLines="40" w:before="96" w:afterLines="40" w:after="96"/>
              <w:contextualSpacing/>
              <w:jc w:val="center"/>
              <w:rPr>
                <w:rFonts w:cs="Times New Roman"/>
                <w:color w:val="000000"/>
              </w:rPr>
            </w:pPr>
            <w:r>
              <w:rPr>
                <w:rFonts w:cs="Times New Roman"/>
                <w:color w:val="000000"/>
              </w:rPr>
              <w:t>98</w:t>
            </w:r>
            <w:r w:rsidRPr="00C876E3">
              <w:rPr>
                <w:rFonts w:cs="Times New Roman"/>
                <w:color w:val="000000"/>
              </w:rPr>
              <w:t xml:space="preserve"> (1.</w:t>
            </w:r>
            <w:r>
              <w:rPr>
                <w:rFonts w:cs="Times New Roman"/>
                <w:color w:val="000000"/>
              </w:rPr>
              <w:t>7</w:t>
            </w:r>
            <w:r w:rsidRPr="00C876E3">
              <w:rPr>
                <w:rFonts w:cs="Times New Roman"/>
                <w:color w:val="000000"/>
              </w:rPr>
              <w:t>)</w:t>
            </w:r>
          </w:p>
        </w:tc>
        <w:tc>
          <w:tcPr>
            <w:tcW w:w="1890" w:type="dxa"/>
            <w:tcBorders>
              <w:top w:val="nil"/>
              <w:bottom w:val="nil"/>
              <w:right w:val="single" w:sz="4" w:space="0" w:color="auto"/>
            </w:tcBorders>
            <w:vAlign w:val="bottom"/>
          </w:tcPr>
          <w:p w14:paraId="05FD04C0"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17</w:t>
            </w:r>
            <w:r>
              <w:rPr>
                <w:rFonts w:cs="Times New Roman"/>
                <w:color w:val="000000"/>
              </w:rPr>
              <w:t>5</w:t>
            </w:r>
            <w:r w:rsidRPr="00C876E3">
              <w:rPr>
                <w:rFonts w:cs="Times New Roman"/>
                <w:color w:val="000000"/>
              </w:rPr>
              <w:t xml:space="preserve"> (3.0)</w:t>
            </w:r>
          </w:p>
        </w:tc>
      </w:tr>
      <w:tr w:rsidR="00646E2D" w:rsidRPr="00C876E3" w14:paraId="50F1D62B" w14:textId="77777777" w:rsidTr="00354B46">
        <w:tc>
          <w:tcPr>
            <w:tcW w:w="3690" w:type="dxa"/>
            <w:tcBorders>
              <w:top w:val="nil"/>
              <w:bottom w:val="nil"/>
            </w:tcBorders>
          </w:tcPr>
          <w:p w14:paraId="19ECDBF2" w14:textId="77777777" w:rsidR="00646E2D" w:rsidRPr="00C876E3" w:rsidRDefault="00646E2D" w:rsidP="00354B46">
            <w:pPr>
              <w:spacing w:beforeLines="40" w:before="96" w:afterLines="40" w:after="96"/>
              <w:contextualSpacing/>
              <w:jc w:val="right"/>
              <w:rPr>
                <w:rFonts w:cs="Times New Roman"/>
              </w:rPr>
            </w:pPr>
            <w:r w:rsidRPr="00C876E3">
              <w:rPr>
                <w:rFonts w:cs="Times New Roman"/>
              </w:rPr>
              <w:t>Other</w:t>
            </w:r>
          </w:p>
        </w:tc>
        <w:tc>
          <w:tcPr>
            <w:tcW w:w="2250" w:type="dxa"/>
            <w:tcBorders>
              <w:top w:val="nil"/>
              <w:bottom w:val="nil"/>
            </w:tcBorders>
            <w:vAlign w:val="bottom"/>
          </w:tcPr>
          <w:p w14:paraId="2EBEA2A4"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5</w:t>
            </w:r>
            <w:r>
              <w:rPr>
                <w:rFonts w:cs="Times New Roman"/>
                <w:color w:val="000000"/>
              </w:rPr>
              <w:t>49</w:t>
            </w:r>
            <w:r w:rsidRPr="00C876E3">
              <w:rPr>
                <w:rFonts w:cs="Times New Roman"/>
                <w:color w:val="000000"/>
              </w:rPr>
              <w:t xml:space="preserve"> (9.</w:t>
            </w:r>
            <w:r>
              <w:rPr>
                <w:rFonts w:cs="Times New Roman"/>
                <w:color w:val="000000"/>
              </w:rPr>
              <w:t>2</w:t>
            </w:r>
            <w:r w:rsidRPr="00C876E3">
              <w:rPr>
                <w:rFonts w:cs="Times New Roman"/>
                <w:color w:val="000000"/>
              </w:rPr>
              <w:t>)</w:t>
            </w:r>
          </w:p>
        </w:tc>
        <w:tc>
          <w:tcPr>
            <w:tcW w:w="1890" w:type="dxa"/>
            <w:tcBorders>
              <w:top w:val="nil"/>
              <w:bottom w:val="nil"/>
              <w:right w:val="single" w:sz="4" w:space="0" w:color="auto"/>
            </w:tcBorders>
            <w:vAlign w:val="bottom"/>
          </w:tcPr>
          <w:p w14:paraId="62722B3E"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6</w:t>
            </w:r>
            <w:r>
              <w:rPr>
                <w:rFonts w:cs="Times New Roman"/>
                <w:color w:val="000000"/>
              </w:rPr>
              <w:t>86</w:t>
            </w:r>
            <w:r w:rsidRPr="00C876E3">
              <w:rPr>
                <w:rFonts w:cs="Times New Roman"/>
                <w:color w:val="000000"/>
              </w:rPr>
              <w:t xml:space="preserve"> (1</w:t>
            </w:r>
            <w:r>
              <w:rPr>
                <w:rFonts w:cs="Times New Roman"/>
                <w:color w:val="000000"/>
              </w:rPr>
              <w:t>1.6</w:t>
            </w:r>
            <w:r w:rsidRPr="00C876E3">
              <w:rPr>
                <w:rFonts w:cs="Times New Roman"/>
                <w:color w:val="000000"/>
              </w:rPr>
              <w:t>)</w:t>
            </w:r>
          </w:p>
        </w:tc>
      </w:tr>
      <w:tr w:rsidR="00646E2D" w:rsidRPr="00C876E3" w14:paraId="4D22623E" w14:textId="77777777" w:rsidTr="00354B46">
        <w:tc>
          <w:tcPr>
            <w:tcW w:w="3690" w:type="dxa"/>
            <w:tcBorders>
              <w:top w:val="nil"/>
              <w:bottom w:val="nil"/>
            </w:tcBorders>
          </w:tcPr>
          <w:p w14:paraId="68B217FE" w14:textId="77777777" w:rsidR="00646E2D" w:rsidRPr="00C876E3" w:rsidRDefault="00646E2D" w:rsidP="00354B46">
            <w:pPr>
              <w:spacing w:beforeLines="40" w:before="96" w:afterLines="40" w:after="96"/>
              <w:contextualSpacing/>
              <w:jc w:val="right"/>
              <w:rPr>
                <w:rFonts w:cs="Times New Roman"/>
              </w:rPr>
            </w:pPr>
            <w:r w:rsidRPr="00C876E3">
              <w:rPr>
                <w:rFonts w:cs="Times New Roman"/>
              </w:rPr>
              <w:t>No answer</w:t>
            </w:r>
          </w:p>
        </w:tc>
        <w:tc>
          <w:tcPr>
            <w:tcW w:w="2250" w:type="dxa"/>
            <w:tcBorders>
              <w:top w:val="nil"/>
              <w:bottom w:val="nil"/>
            </w:tcBorders>
            <w:vAlign w:val="bottom"/>
          </w:tcPr>
          <w:p w14:paraId="134F6C74"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w:t>
            </w:r>
          </w:p>
        </w:tc>
        <w:tc>
          <w:tcPr>
            <w:tcW w:w="1890" w:type="dxa"/>
            <w:tcBorders>
              <w:top w:val="nil"/>
              <w:bottom w:val="nil"/>
              <w:right w:val="single" w:sz="4" w:space="0" w:color="auto"/>
            </w:tcBorders>
            <w:vAlign w:val="bottom"/>
          </w:tcPr>
          <w:p w14:paraId="6900574F" w14:textId="77777777" w:rsidR="00646E2D" w:rsidRPr="00C876E3" w:rsidRDefault="00646E2D" w:rsidP="00354B46">
            <w:pPr>
              <w:spacing w:beforeLines="40" w:before="96" w:afterLines="40" w:after="96"/>
              <w:contextualSpacing/>
              <w:jc w:val="center"/>
              <w:rPr>
                <w:rFonts w:cs="Times New Roman"/>
                <w:color w:val="000000"/>
              </w:rPr>
            </w:pPr>
            <w:r>
              <w:rPr>
                <w:rFonts w:cs="Times New Roman"/>
                <w:color w:val="000000"/>
              </w:rPr>
              <w:t>--</w:t>
            </w:r>
          </w:p>
        </w:tc>
      </w:tr>
      <w:tr w:rsidR="00646E2D" w:rsidRPr="00C876E3" w14:paraId="6457692A" w14:textId="77777777" w:rsidTr="00354B46">
        <w:tc>
          <w:tcPr>
            <w:tcW w:w="3690" w:type="dxa"/>
            <w:tcBorders>
              <w:top w:val="nil"/>
              <w:bottom w:val="nil"/>
              <w:right w:val="single" w:sz="4" w:space="0" w:color="auto"/>
            </w:tcBorders>
          </w:tcPr>
          <w:p w14:paraId="3B1FB79F" w14:textId="77777777" w:rsidR="00646E2D" w:rsidRPr="00C876E3" w:rsidRDefault="00646E2D" w:rsidP="00354B46">
            <w:pPr>
              <w:spacing w:beforeLines="40" w:before="96" w:afterLines="40" w:after="96"/>
              <w:contextualSpacing/>
              <w:rPr>
                <w:rFonts w:cs="Times New Roman"/>
              </w:rPr>
            </w:pPr>
            <w:r w:rsidRPr="00C876E3">
              <w:rPr>
                <w:rFonts w:cs="Times New Roman"/>
              </w:rPr>
              <w:t>Highest Parental Education (%)</w:t>
            </w:r>
          </w:p>
        </w:tc>
        <w:tc>
          <w:tcPr>
            <w:tcW w:w="2250" w:type="dxa"/>
            <w:tcBorders>
              <w:top w:val="nil"/>
              <w:left w:val="single" w:sz="4" w:space="0" w:color="auto"/>
              <w:bottom w:val="nil"/>
            </w:tcBorders>
            <w:vAlign w:val="bottom"/>
          </w:tcPr>
          <w:p w14:paraId="4AD41319" w14:textId="77777777" w:rsidR="00646E2D" w:rsidRPr="00C876E3" w:rsidRDefault="00646E2D" w:rsidP="00354B46">
            <w:pPr>
              <w:spacing w:beforeLines="40" w:before="96" w:afterLines="40" w:after="96"/>
              <w:contextualSpacing/>
              <w:jc w:val="center"/>
              <w:rPr>
                <w:rFonts w:cs="Times New Roman"/>
                <w:color w:val="000000"/>
              </w:rPr>
            </w:pPr>
          </w:p>
        </w:tc>
        <w:tc>
          <w:tcPr>
            <w:tcW w:w="1890" w:type="dxa"/>
            <w:tcBorders>
              <w:top w:val="nil"/>
              <w:left w:val="single" w:sz="4" w:space="0" w:color="auto"/>
              <w:bottom w:val="nil"/>
              <w:right w:val="single" w:sz="4" w:space="0" w:color="auto"/>
            </w:tcBorders>
            <w:vAlign w:val="bottom"/>
          </w:tcPr>
          <w:p w14:paraId="44ED72BC" w14:textId="77777777" w:rsidR="00646E2D" w:rsidRPr="00C876E3" w:rsidRDefault="00646E2D" w:rsidP="00354B46">
            <w:pPr>
              <w:spacing w:beforeLines="40" w:before="96" w:afterLines="40" w:after="96"/>
              <w:contextualSpacing/>
              <w:jc w:val="center"/>
              <w:rPr>
                <w:rFonts w:cs="Times New Roman"/>
                <w:color w:val="000000"/>
              </w:rPr>
            </w:pPr>
          </w:p>
        </w:tc>
      </w:tr>
      <w:tr w:rsidR="00646E2D" w:rsidRPr="00C876E3" w14:paraId="2F46B308" w14:textId="77777777" w:rsidTr="00354B46">
        <w:tc>
          <w:tcPr>
            <w:tcW w:w="3690" w:type="dxa"/>
            <w:tcBorders>
              <w:top w:val="nil"/>
              <w:bottom w:val="nil"/>
            </w:tcBorders>
          </w:tcPr>
          <w:p w14:paraId="086A6C6B" w14:textId="77777777" w:rsidR="00646E2D" w:rsidRPr="00C876E3" w:rsidRDefault="00646E2D" w:rsidP="00354B46">
            <w:pPr>
              <w:spacing w:beforeLines="40" w:before="96" w:afterLines="40" w:after="96"/>
              <w:contextualSpacing/>
              <w:jc w:val="right"/>
              <w:rPr>
                <w:rFonts w:cs="Times New Roman"/>
              </w:rPr>
            </w:pPr>
            <w:r w:rsidRPr="00C876E3">
              <w:rPr>
                <w:rFonts w:cs="Times New Roman"/>
              </w:rPr>
              <w:t>&lt; HS Diploma</w:t>
            </w:r>
          </w:p>
        </w:tc>
        <w:tc>
          <w:tcPr>
            <w:tcW w:w="2250" w:type="dxa"/>
            <w:tcBorders>
              <w:top w:val="nil"/>
              <w:bottom w:val="nil"/>
            </w:tcBorders>
            <w:vAlign w:val="bottom"/>
          </w:tcPr>
          <w:p w14:paraId="75CDF785"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1</w:t>
            </w:r>
            <w:r>
              <w:rPr>
                <w:rFonts w:cs="Times New Roman"/>
                <w:color w:val="000000"/>
              </w:rPr>
              <w:t>99</w:t>
            </w:r>
            <w:r w:rsidRPr="00C876E3">
              <w:rPr>
                <w:rFonts w:cs="Times New Roman"/>
                <w:color w:val="000000"/>
              </w:rPr>
              <w:t xml:space="preserve"> (</w:t>
            </w:r>
            <w:r>
              <w:rPr>
                <w:rFonts w:cs="Times New Roman"/>
                <w:color w:val="000000"/>
              </w:rPr>
              <w:t>3.4</w:t>
            </w:r>
            <w:r w:rsidRPr="00C876E3">
              <w:rPr>
                <w:rFonts w:cs="Times New Roman"/>
                <w:color w:val="000000"/>
              </w:rPr>
              <w:t>)</w:t>
            </w:r>
          </w:p>
        </w:tc>
        <w:tc>
          <w:tcPr>
            <w:tcW w:w="1890" w:type="dxa"/>
            <w:tcBorders>
              <w:top w:val="nil"/>
              <w:bottom w:val="nil"/>
              <w:right w:val="single" w:sz="4" w:space="0" w:color="auto"/>
            </w:tcBorders>
            <w:vAlign w:val="bottom"/>
          </w:tcPr>
          <w:p w14:paraId="799DA16C" w14:textId="77777777" w:rsidR="00646E2D" w:rsidRPr="00C876E3" w:rsidRDefault="00646E2D" w:rsidP="00354B46">
            <w:pPr>
              <w:spacing w:beforeLines="40" w:before="96" w:afterLines="40" w:after="96"/>
              <w:contextualSpacing/>
              <w:jc w:val="center"/>
              <w:rPr>
                <w:rFonts w:cs="Times New Roman"/>
                <w:color w:val="000000"/>
              </w:rPr>
            </w:pPr>
            <w:r>
              <w:rPr>
                <w:rFonts w:cs="Times New Roman"/>
                <w:color w:val="000000"/>
              </w:rPr>
              <w:t>393</w:t>
            </w:r>
            <w:r w:rsidRPr="00C876E3">
              <w:rPr>
                <w:rFonts w:cs="Times New Roman"/>
                <w:color w:val="000000"/>
              </w:rPr>
              <w:t xml:space="preserve"> (6</w:t>
            </w:r>
            <w:r>
              <w:rPr>
                <w:rFonts w:cs="Times New Roman"/>
                <w:color w:val="000000"/>
              </w:rPr>
              <w:t>.6</w:t>
            </w:r>
            <w:r w:rsidRPr="00C876E3">
              <w:rPr>
                <w:rFonts w:cs="Times New Roman"/>
                <w:color w:val="000000"/>
              </w:rPr>
              <w:t>)</w:t>
            </w:r>
          </w:p>
        </w:tc>
      </w:tr>
      <w:tr w:rsidR="00646E2D" w:rsidRPr="00C876E3" w14:paraId="38FE7ECF" w14:textId="77777777" w:rsidTr="00354B46">
        <w:tc>
          <w:tcPr>
            <w:tcW w:w="3690" w:type="dxa"/>
            <w:tcBorders>
              <w:top w:val="nil"/>
              <w:bottom w:val="nil"/>
            </w:tcBorders>
          </w:tcPr>
          <w:p w14:paraId="464F0B0E" w14:textId="77777777" w:rsidR="00646E2D" w:rsidRPr="00C876E3" w:rsidRDefault="00646E2D" w:rsidP="00354B46">
            <w:pPr>
              <w:spacing w:beforeLines="40" w:before="96" w:afterLines="40" w:after="96"/>
              <w:contextualSpacing/>
              <w:jc w:val="right"/>
              <w:rPr>
                <w:rFonts w:cs="Times New Roman"/>
              </w:rPr>
            </w:pPr>
            <w:r w:rsidRPr="00C876E3">
              <w:rPr>
                <w:rFonts w:cs="Times New Roman"/>
              </w:rPr>
              <w:t>Bachelor</w:t>
            </w:r>
          </w:p>
        </w:tc>
        <w:tc>
          <w:tcPr>
            <w:tcW w:w="2250" w:type="dxa"/>
            <w:tcBorders>
              <w:top w:val="nil"/>
              <w:bottom w:val="nil"/>
            </w:tcBorders>
            <w:vAlign w:val="bottom"/>
          </w:tcPr>
          <w:p w14:paraId="6167E70F"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16</w:t>
            </w:r>
            <w:r>
              <w:rPr>
                <w:rFonts w:cs="Times New Roman"/>
                <w:color w:val="000000"/>
              </w:rPr>
              <w:t>30</w:t>
            </w:r>
            <w:r w:rsidRPr="00C876E3">
              <w:rPr>
                <w:rFonts w:cs="Times New Roman"/>
                <w:color w:val="000000"/>
              </w:rPr>
              <w:t xml:space="preserve"> (2</w:t>
            </w:r>
            <w:r>
              <w:rPr>
                <w:rFonts w:cs="Times New Roman"/>
                <w:color w:val="000000"/>
              </w:rPr>
              <w:t>7.5</w:t>
            </w:r>
            <w:r w:rsidRPr="00C876E3">
              <w:rPr>
                <w:rFonts w:cs="Times New Roman"/>
                <w:color w:val="000000"/>
              </w:rPr>
              <w:t>)</w:t>
            </w:r>
          </w:p>
        </w:tc>
        <w:tc>
          <w:tcPr>
            <w:tcW w:w="1890" w:type="dxa"/>
            <w:tcBorders>
              <w:top w:val="nil"/>
              <w:bottom w:val="nil"/>
              <w:right w:val="single" w:sz="4" w:space="0" w:color="auto"/>
            </w:tcBorders>
            <w:vAlign w:val="bottom"/>
          </w:tcPr>
          <w:p w14:paraId="6A181585"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13</w:t>
            </w:r>
            <w:r>
              <w:rPr>
                <w:rFonts w:cs="Times New Roman"/>
                <w:color w:val="000000"/>
              </w:rPr>
              <w:t>84</w:t>
            </w:r>
            <w:r w:rsidRPr="00C876E3">
              <w:rPr>
                <w:rFonts w:cs="Times New Roman"/>
                <w:color w:val="000000"/>
              </w:rPr>
              <w:t xml:space="preserve"> (2</w:t>
            </w:r>
            <w:r>
              <w:rPr>
                <w:rFonts w:cs="Times New Roman"/>
                <w:color w:val="000000"/>
              </w:rPr>
              <w:t>3.3</w:t>
            </w:r>
            <w:r w:rsidRPr="00C876E3">
              <w:rPr>
                <w:rFonts w:cs="Times New Roman"/>
                <w:color w:val="000000"/>
              </w:rPr>
              <w:t>)</w:t>
            </w:r>
          </w:p>
        </w:tc>
      </w:tr>
      <w:tr w:rsidR="00646E2D" w:rsidRPr="00C876E3" w14:paraId="78EA61FE" w14:textId="77777777" w:rsidTr="00354B46">
        <w:tc>
          <w:tcPr>
            <w:tcW w:w="3690" w:type="dxa"/>
            <w:tcBorders>
              <w:top w:val="nil"/>
              <w:bottom w:val="nil"/>
            </w:tcBorders>
          </w:tcPr>
          <w:p w14:paraId="1653AFD5" w14:textId="77777777" w:rsidR="00646E2D" w:rsidRPr="00C876E3" w:rsidRDefault="00646E2D" w:rsidP="00354B46">
            <w:pPr>
              <w:spacing w:beforeLines="40" w:before="96" w:afterLines="40" w:after="96"/>
              <w:contextualSpacing/>
              <w:jc w:val="right"/>
              <w:rPr>
                <w:rFonts w:cs="Times New Roman"/>
              </w:rPr>
            </w:pPr>
            <w:r w:rsidRPr="00C876E3">
              <w:rPr>
                <w:rFonts w:cs="Times New Roman"/>
              </w:rPr>
              <w:t>HS Diploma/GED</w:t>
            </w:r>
          </w:p>
        </w:tc>
        <w:tc>
          <w:tcPr>
            <w:tcW w:w="2250" w:type="dxa"/>
            <w:tcBorders>
              <w:top w:val="nil"/>
              <w:bottom w:val="nil"/>
            </w:tcBorders>
            <w:vAlign w:val="bottom"/>
          </w:tcPr>
          <w:p w14:paraId="238D2FAF" w14:textId="77777777" w:rsidR="00646E2D" w:rsidRPr="00C876E3" w:rsidRDefault="00646E2D" w:rsidP="00354B46">
            <w:pPr>
              <w:spacing w:beforeLines="40" w:before="96" w:afterLines="40" w:after="96"/>
              <w:contextualSpacing/>
              <w:jc w:val="center"/>
              <w:rPr>
                <w:rFonts w:cs="Times New Roman"/>
                <w:color w:val="000000"/>
              </w:rPr>
            </w:pPr>
            <w:r>
              <w:rPr>
                <w:rFonts w:cs="Times New Roman"/>
                <w:color w:val="000000"/>
              </w:rPr>
              <w:t>450</w:t>
            </w:r>
            <w:r w:rsidRPr="00C876E3">
              <w:rPr>
                <w:rFonts w:cs="Times New Roman"/>
                <w:color w:val="000000"/>
              </w:rPr>
              <w:t xml:space="preserve"> (</w:t>
            </w:r>
            <w:r>
              <w:rPr>
                <w:rFonts w:cs="Times New Roman"/>
                <w:color w:val="000000"/>
              </w:rPr>
              <w:t>7.6</w:t>
            </w:r>
            <w:r w:rsidRPr="00C876E3">
              <w:rPr>
                <w:rFonts w:cs="Times New Roman"/>
                <w:color w:val="000000"/>
              </w:rPr>
              <w:t>)</w:t>
            </w:r>
          </w:p>
        </w:tc>
        <w:tc>
          <w:tcPr>
            <w:tcW w:w="1890" w:type="dxa"/>
            <w:tcBorders>
              <w:top w:val="nil"/>
              <w:bottom w:val="nil"/>
              <w:right w:val="single" w:sz="4" w:space="0" w:color="auto"/>
            </w:tcBorders>
            <w:vAlign w:val="bottom"/>
          </w:tcPr>
          <w:p w14:paraId="7A6B13FA" w14:textId="77777777" w:rsidR="00646E2D" w:rsidRPr="00C876E3" w:rsidRDefault="00646E2D" w:rsidP="00354B46">
            <w:pPr>
              <w:spacing w:beforeLines="40" w:before="96" w:afterLines="40" w:after="96"/>
              <w:contextualSpacing/>
              <w:jc w:val="center"/>
              <w:rPr>
                <w:rFonts w:cs="Times New Roman"/>
                <w:color w:val="000000"/>
              </w:rPr>
            </w:pPr>
            <w:r>
              <w:rPr>
                <w:rFonts w:cs="Times New Roman"/>
                <w:color w:val="000000"/>
              </w:rPr>
              <w:t>681</w:t>
            </w:r>
            <w:r w:rsidRPr="00C876E3">
              <w:rPr>
                <w:rFonts w:cs="Times New Roman"/>
                <w:color w:val="000000"/>
              </w:rPr>
              <w:t xml:space="preserve"> (1</w:t>
            </w:r>
            <w:r>
              <w:rPr>
                <w:rFonts w:cs="Times New Roman"/>
                <w:color w:val="000000"/>
              </w:rPr>
              <w:t>1.5</w:t>
            </w:r>
            <w:r w:rsidRPr="00C876E3">
              <w:rPr>
                <w:rFonts w:cs="Times New Roman"/>
                <w:color w:val="000000"/>
              </w:rPr>
              <w:t>)</w:t>
            </w:r>
          </w:p>
        </w:tc>
      </w:tr>
      <w:tr w:rsidR="00646E2D" w:rsidRPr="00C876E3" w14:paraId="44D27C0B" w14:textId="77777777" w:rsidTr="00354B46">
        <w:tc>
          <w:tcPr>
            <w:tcW w:w="3690" w:type="dxa"/>
            <w:tcBorders>
              <w:top w:val="nil"/>
              <w:bottom w:val="nil"/>
            </w:tcBorders>
          </w:tcPr>
          <w:p w14:paraId="52BE36FF" w14:textId="77777777" w:rsidR="00646E2D" w:rsidRPr="00C876E3" w:rsidRDefault="00646E2D" w:rsidP="00354B46">
            <w:pPr>
              <w:spacing w:beforeLines="40" w:before="96" w:afterLines="40" w:after="96"/>
              <w:contextualSpacing/>
              <w:jc w:val="right"/>
              <w:rPr>
                <w:rFonts w:cs="Times New Roman"/>
              </w:rPr>
            </w:pPr>
            <w:r w:rsidRPr="00C876E3">
              <w:rPr>
                <w:rFonts w:cs="Times New Roman"/>
              </w:rPr>
              <w:t>Post Graduate Degree</w:t>
            </w:r>
          </w:p>
        </w:tc>
        <w:tc>
          <w:tcPr>
            <w:tcW w:w="2250" w:type="dxa"/>
            <w:tcBorders>
              <w:top w:val="nil"/>
              <w:bottom w:val="nil"/>
            </w:tcBorders>
            <w:vAlign w:val="bottom"/>
          </w:tcPr>
          <w:p w14:paraId="6650B9DD"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2</w:t>
            </w:r>
            <w:r>
              <w:rPr>
                <w:rFonts w:cs="Times New Roman"/>
                <w:color w:val="000000"/>
              </w:rPr>
              <w:t>167</w:t>
            </w:r>
            <w:r w:rsidRPr="00C876E3">
              <w:rPr>
                <w:rFonts w:cs="Times New Roman"/>
                <w:color w:val="000000"/>
              </w:rPr>
              <w:t xml:space="preserve"> (3</w:t>
            </w:r>
            <w:r>
              <w:rPr>
                <w:rFonts w:cs="Times New Roman"/>
                <w:color w:val="000000"/>
              </w:rPr>
              <w:t>6.5</w:t>
            </w:r>
            <w:r w:rsidRPr="00C876E3">
              <w:rPr>
                <w:rFonts w:cs="Times New Roman"/>
                <w:color w:val="000000"/>
              </w:rPr>
              <w:t>)</w:t>
            </w:r>
          </w:p>
        </w:tc>
        <w:tc>
          <w:tcPr>
            <w:tcW w:w="1890" w:type="dxa"/>
            <w:tcBorders>
              <w:top w:val="nil"/>
              <w:bottom w:val="nil"/>
              <w:right w:val="single" w:sz="4" w:space="0" w:color="auto"/>
            </w:tcBorders>
            <w:vAlign w:val="bottom"/>
          </w:tcPr>
          <w:p w14:paraId="41F73C56"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1</w:t>
            </w:r>
            <w:r>
              <w:rPr>
                <w:rFonts w:cs="Times New Roman"/>
                <w:color w:val="000000"/>
              </w:rPr>
              <w:t>876</w:t>
            </w:r>
            <w:r w:rsidRPr="00C876E3">
              <w:rPr>
                <w:rFonts w:cs="Times New Roman"/>
                <w:color w:val="000000"/>
              </w:rPr>
              <w:t xml:space="preserve"> (</w:t>
            </w:r>
            <w:r>
              <w:rPr>
                <w:rFonts w:cs="Times New Roman"/>
                <w:color w:val="000000"/>
              </w:rPr>
              <w:t>31.6</w:t>
            </w:r>
            <w:r w:rsidRPr="00C876E3">
              <w:rPr>
                <w:rFonts w:cs="Times New Roman"/>
                <w:color w:val="000000"/>
              </w:rPr>
              <w:t>)</w:t>
            </w:r>
          </w:p>
        </w:tc>
      </w:tr>
      <w:tr w:rsidR="00646E2D" w:rsidRPr="00C876E3" w14:paraId="292B49A4" w14:textId="77777777" w:rsidTr="00354B46">
        <w:tc>
          <w:tcPr>
            <w:tcW w:w="3690" w:type="dxa"/>
            <w:tcBorders>
              <w:top w:val="nil"/>
              <w:bottom w:val="nil"/>
            </w:tcBorders>
          </w:tcPr>
          <w:p w14:paraId="59ED92CD" w14:textId="77777777" w:rsidR="00646E2D" w:rsidRPr="00C876E3" w:rsidRDefault="00646E2D" w:rsidP="00354B46">
            <w:pPr>
              <w:spacing w:beforeLines="40" w:before="96" w:afterLines="40" w:after="96"/>
              <w:contextualSpacing/>
              <w:jc w:val="right"/>
              <w:rPr>
                <w:rFonts w:cs="Times New Roman"/>
              </w:rPr>
            </w:pPr>
            <w:r w:rsidRPr="00C876E3">
              <w:rPr>
                <w:rFonts w:cs="Times New Roman"/>
              </w:rPr>
              <w:t>Some College</w:t>
            </w:r>
          </w:p>
        </w:tc>
        <w:tc>
          <w:tcPr>
            <w:tcW w:w="2250" w:type="dxa"/>
            <w:tcBorders>
              <w:top w:val="nil"/>
              <w:bottom w:val="nil"/>
            </w:tcBorders>
            <w:vAlign w:val="bottom"/>
          </w:tcPr>
          <w:p w14:paraId="0A25B664"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1</w:t>
            </w:r>
            <w:r>
              <w:rPr>
                <w:rFonts w:cs="Times New Roman"/>
                <w:color w:val="000000"/>
              </w:rPr>
              <w:t>590</w:t>
            </w:r>
            <w:r w:rsidRPr="00C876E3">
              <w:rPr>
                <w:rFonts w:cs="Times New Roman"/>
                <w:color w:val="000000"/>
              </w:rPr>
              <w:t xml:space="preserve"> (2</w:t>
            </w:r>
            <w:r>
              <w:rPr>
                <w:rFonts w:cs="Times New Roman"/>
                <w:color w:val="000000"/>
              </w:rPr>
              <w:t>5.1</w:t>
            </w:r>
            <w:r w:rsidRPr="00C876E3">
              <w:rPr>
                <w:rFonts w:cs="Times New Roman"/>
                <w:color w:val="000000"/>
              </w:rPr>
              <w:t>)</w:t>
            </w:r>
          </w:p>
        </w:tc>
        <w:tc>
          <w:tcPr>
            <w:tcW w:w="1890" w:type="dxa"/>
            <w:tcBorders>
              <w:top w:val="nil"/>
              <w:bottom w:val="nil"/>
              <w:right w:val="single" w:sz="4" w:space="0" w:color="auto"/>
            </w:tcBorders>
            <w:vAlign w:val="bottom"/>
          </w:tcPr>
          <w:p w14:paraId="63D2CDBA"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1590 (26.</w:t>
            </w:r>
            <w:r>
              <w:rPr>
                <w:rFonts w:cs="Times New Roman"/>
                <w:color w:val="000000"/>
              </w:rPr>
              <w:t>8</w:t>
            </w:r>
            <w:r w:rsidRPr="00C876E3">
              <w:rPr>
                <w:rFonts w:cs="Times New Roman"/>
                <w:color w:val="000000"/>
              </w:rPr>
              <w:t>)</w:t>
            </w:r>
          </w:p>
        </w:tc>
      </w:tr>
      <w:tr w:rsidR="00646E2D" w:rsidRPr="00C876E3" w14:paraId="7E4861AD" w14:textId="77777777" w:rsidTr="00354B46">
        <w:tc>
          <w:tcPr>
            <w:tcW w:w="3690" w:type="dxa"/>
            <w:tcBorders>
              <w:top w:val="nil"/>
              <w:bottom w:val="nil"/>
            </w:tcBorders>
          </w:tcPr>
          <w:p w14:paraId="7CB4CFB9" w14:textId="77777777" w:rsidR="00646E2D" w:rsidRPr="00C876E3" w:rsidRDefault="00646E2D" w:rsidP="00354B46">
            <w:pPr>
              <w:spacing w:beforeLines="40" w:before="96" w:afterLines="40" w:after="96"/>
              <w:contextualSpacing/>
              <w:jc w:val="right"/>
              <w:rPr>
                <w:rFonts w:cs="Times New Roman"/>
              </w:rPr>
            </w:pPr>
            <w:r w:rsidRPr="00C876E3">
              <w:rPr>
                <w:rFonts w:cs="Times New Roman"/>
              </w:rPr>
              <w:t>No answer</w:t>
            </w:r>
          </w:p>
        </w:tc>
        <w:tc>
          <w:tcPr>
            <w:tcW w:w="2250" w:type="dxa"/>
            <w:tcBorders>
              <w:top w:val="nil"/>
              <w:bottom w:val="nil"/>
            </w:tcBorders>
            <w:vAlign w:val="bottom"/>
          </w:tcPr>
          <w:p w14:paraId="3F91E06C" w14:textId="77777777" w:rsidR="00646E2D" w:rsidRPr="00C876E3" w:rsidRDefault="00646E2D" w:rsidP="00354B46">
            <w:pPr>
              <w:spacing w:beforeLines="40" w:before="96" w:afterLines="40" w:after="96"/>
              <w:contextualSpacing/>
              <w:jc w:val="center"/>
              <w:rPr>
                <w:rFonts w:cs="Times New Roman"/>
                <w:color w:val="000000"/>
              </w:rPr>
            </w:pPr>
            <w:r>
              <w:rPr>
                <w:rFonts w:cs="Times New Roman"/>
                <w:color w:val="000000"/>
              </w:rPr>
              <w:t>3 (0.05)</w:t>
            </w:r>
          </w:p>
        </w:tc>
        <w:tc>
          <w:tcPr>
            <w:tcW w:w="1890" w:type="dxa"/>
            <w:tcBorders>
              <w:top w:val="nil"/>
              <w:bottom w:val="nil"/>
              <w:right w:val="single" w:sz="4" w:space="0" w:color="auto"/>
            </w:tcBorders>
            <w:vAlign w:val="bottom"/>
          </w:tcPr>
          <w:p w14:paraId="5A5B5E95"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14 (2.</w:t>
            </w:r>
            <w:r>
              <w:rPr>
                <w:rFonts w:cs="Times New Roman"/>
                <w:color w:val="000000"/>
              </w:rPr>
              <w:t>4</w:t>
            </w:r>
            <w:r w:rsidRPr="00C876E3">
              <w:rPr>
                <w:rFonts w:cs="Times New Roman"/>
                <w:color w:val="000000"/>
              </w:rPr>
              <w:t>)</w:t>
            </w:r>
          </w:p>
        </w:tc>
      </w:tr>
      <w:tr w:rsidR="00646E2D" w:rsidRPr="00C876E3" w14:paraId="396A0296" w14:textId="77777777" w:rsidTr="00354B46">
        <w:tc>
          <w:tcPr>
            <w:tcW w:w="3690" w:type="dxa"/>
            <w:tcBorders>
              <w:top w:val="nil"/>
              <w:bottom w:val="nil"/>
            </w:tcBorders>
          </w:tcPr>
          <w:p w14:paraId="39D82B1A" w14:textId="77777777" w:rsidR="00646E2D" w:rsidRPr="00C876E3" w:rsidRDefault="00646E2D" w:rsidP="00354B46">
            <w:pPr>
              <w:spacing w:beforeLines="40" w:before="96" w:afterLines="40" w:after="96"/>
              <w:contextualSpacing/>
              <w:rPr>
                <w:rFonts w:cs="Times New Roman"/>
              </w:rPr>
            </w:pPr>
            <w:r w:rsidRPr="00C876E3">
              <w:rPr>
                <w:rFonts w:cs="Times New Roman"/>
              </w:rPr>
              <w:t>Household Marital Status – Married (%)</w:t>
            </w:r>
          </w:p>
        </w:tc>
        <w:tc>
          <w:tcPr>
            <w:tcW w:w="2250" w:type="dxa"/>
            <w:tcBorders>
              <w:top w:val="nil"/>
              <w:bottom w:val="nil"/>
            </w:tcBorders>
            <w:vAlign w:val="bottom"/>
          </w:tcPr>
          <w:p w14:paraId="34FA44A9"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4</w:t>
            </w:r>
            <w:r>
              <w:rPr>
                <w:rFonts w:cs="Times New Roman"/>
                <w:color w:val="000000"/>
              </w:rPr>
              <w:t>254</w:t>
            </w:r>
            <w:r w:rsidRPr="00C876E3">
              <w:rPr>
                <w:rFonts w:cs="Times New Roman"/>
                <w:color w:val="000000"/>
              </w:rPr>
              <w:t xml:space="preserve"> (7</w:t>
            </w:r>
            <w:r>
              <w:rPr>
                <w:rFonts w:cs="Times New Roman"/>
                <w:color w:val="000000"/>
              </w:rPr>
              <w:t>1</w:t>
            </w:r>
            <w:r w:rsidRPr="00C876E3">
              <w:rPr>
                <w:rFonts w:cs="Times New Roman"/>
                <w:color w:val="000000"/>
              </w:rPr>
              <w:t>.</w:t>
            </w:r>
            <w:r>
              <w:rPr>
                <w:rFonts w:cs="Times New Roman"/>
                <w:color w:val="000000"/>
              </w:rPr>
              <w:t>7</w:t>
            </w:r>
            <w:r w:rsidRPr="00C876E3">
              <w:rPr>
                <w:rFonts w:cs="Times New Roman"/>
                <w:color w:val="000000"/>
              </w:rPr>
              <w:t>)</w:t>
            </w:r>
          </w:p>
        </w:tc>
        <w:tc>
          <w:tcPr>
            <w:tcW w:w="1890" w:type="dxa"/>
            <w:tcBorders>
              <w:top w:val="nil"/>
              <w:bottom w:val="nil"/>
              <w:right w:val="single" w:sz="4" w:space="0" w:color="auto"/>
            </w:tcBorders>
            <w:vAlign w:val="bottom"/>
          </w:tcPr>
          <w:p w14:paraId="0028D46D"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3</w:t>
            </w:r>
            <w:r>
              <w:rPr>
                <w:rFonts w:cs="Times New Roman"/>
                <w:color w:val="000000"/>
              </w:rPr>
              <w:t xml:space="preserve">736 </w:t>
            </w:r>
            <w:r w:rsidRPr="00C876E3">
              <w:rPr>
                <w:rFonts w:cs="Times New Roman"/>
                <w:color w:val="000000"/>
              </w:rPr>
              <w:t>(6</w:t>
            </w:r>
            <w:r>
              <w:rPr>
                <w:rFonts w:cs="Times New Roman"/>
                <w:color w:val="000000"/>
              </w:rPr>
              <w:t>2.9</w:t>
            </w:r>
            <w:r w:rsidRPr="00C876E3">
              <w:rPr>
                <w:rFonts w:cs="Times New Roman"/>
                <w:color w:val="000000"/>
              </w:rPr>
              <w:t>)</w:t>
            </w:r>
          </w:p>
        </w:tc>
      </w:tr>
      <w:tr w:rsidR="00646E2D" w:rsidRPr="00C876E3" w14:paraId="33E5438F" w14:textId="77777777" w:rsidTr="00354B46">
        <w:tc>
          <w:tcPr>
            <w:tcW w:w="3690" w:type="dxa"/>
            <w:tcBorders>
              <w:top w:val="nil"/>
              <w:bottom w:val="nil"/>
              <w:right w:val="single" w:sz="4" w:space="0" w:color="auto"/>
            </w:tcBorders>
          </w:tcPr>
          <w:p w14:paraId="32F1F5AF" w14:textId="77777777" w:rsidR="00646E2D" w:rsidRPr="00C876E3" w:rsidRDefault="00646E2D" w:rsidP="00354B46">
            <w:pPr>
              <w:spacing w:beforeLines="40" w:before="96" w:afterLines="40" w:after="96"/>
              <w:contextualSpacing/>
              <w:rPr>
                <w:rFonts w:cs="Times New Roman"/>
              </w:rPr>
            </w:pPr>
            <w:r w:rsidRPr="00C876E3">
              <w:rPr>
                <w:rFonts w:cs="Times New Roman"/>
              </w:rPr>
              <w:t>Household Income (%)</w:t>
            </w:r>
          </w:p>
        </w:tc>
        <w:tc>
          <w:tcPr>
            <w:tcW w:w="2250" w:type="dxa"/>
            <w:tcBorders>
              <w:top w:val="nil"/>
              <w:left w:val="single" w:sz="4" w:space="0" w:color="auto"/>
              <w:bottom w:val="nil"/>
            </w:tcBorders>
            <w:vAlign w:val="bottom"/>
          </w:tcPr>
          <w:p w14:paraId="076AFD7D" w14:textId="77777777" w:rsidR="00646E2D" w:rsidRPr="00C876E3" w:rsidRDefault="00646E2D" w:rsidP="00354B46">
            <w:pPr>
              <w:spacing w:beforeLines="40" w:before="96" w:afterLines="40" w:after="96"/>
              <w:contextualSpacing/>
              <w:jc w:val="center"/>
              <w:rPr>
                <w:rFonts w:cs="Times New Roman"/>
                <w:color w:val="000000"/>
              </w:rPr>
            </w:pPr>
          </w:p>
        </w:tc>
        <w:tc>
          <w:tcPr>
            <w:tcW w:w="1890" w:type="dxa"/>
            <w:tcBorders>
              <w:top w:val="nil"/>
              <w:left w:val="single" w:sz="4" w:space="0" w:color="auto"/>
              <w:bottom w:val="nil"/>
              <w:right w:val="single" w:sz="4" w:space="0" w:color="auto"/>
            </w:tcBorders>
            <w:vAlign w:val="bottom"/>
          </w:tcPr>
          <w:p w14:paraId="2E8B5FC1" w14:textId="77777777" w:rsidR="00646E2D" w:rsidRPr="00C876E3" w:rsidRDefault="00646E2D" w:rsidP="00354B46">
            <w:pPr>
              <w:spacing w:beforeLines="40" w:before="96" w:afterLines="40" w:after="96"/>
              <w:contextualSpacing/>
              <w:jc w:val="center"/>
              <w:rPr>
                <w:rFonts w:cs="Times New Roman"/>
                <w:color w:val="000000"/>
              </w:rPr>
            </w:pPr>
          </w:p>
        </w:tc>
      </w:tr>
      <w:tr w:rsidR="00646E2D" w:rsidRPr="00C876E3" w14:paraId="5A255734" w14:textId="77777777" w:rsidTr="00354B46">
        <w:tc>
          <w:tcPr>
            <w:tcW w:w="3690" w:type="dxa"/>
            <w:tcBorders>
              <w:top w:val="nil"/>
              <w:bottom w:val="nil"/>
            </w:tcBorders>
          </w:tcPr>
          <w:p w14:paraId="7D5D939F" w14:textId="77777777" w:rsidR="00646E2D" w:rsidRPr="00C876E3" w:rsidRDefault="00646E2D" w:rsidP="00354B46">
            <w:pPr>
              <w:spacing w:beforeLines="40" w:before="96" w:afterLines="40" w:after="96"/>
              <w:contextualSpacing/>
              <w:jc w:val="right"/>
              <w:rPr>
                <w:rFonts w:cs="Times New Roman"/>
              </w:rPr>
            </w:pPr>
            <w:r w:rsidRPr="00C876E3">
              <w:rPr>
                <w:rFonts w:cs="Times New Roman"/>
              </w:rPr>
              <w:t>&lt;50K</w:t>
            </w:r>
          </w:p>
        </w:tc>
        <w:tc>
          <w:tcPr>
            <w:tcW w:w="2250" w:type="dxa"/>
            <w:tcBorders>
              <w:top w:val="nil"/>
              <w:bottom w:val="nil"/>
            </w:tcBorders>
            <w:vAlign w:val="bottom"/>
          </w:tcPr>
          <w:p w14:paraId="09F53054" w14:textId="77777777" w:rsidR="00646E2D" w:rsidRPr="00C876E3" w:rsidRDefault="00646E2D" w:rsidP="00354B46">
            <w:pPr>
              <w:spacing w:beforeLines="40" w:before="96" w:afterLines="40" w:after="96"/>
              <w:contextualSpacing/>
              <w:jc w:val="center"/>
              <w:rPr>
                <w:rFonts w:cs="Times New Roman"/>
                <w:color w:val="000000"/>
              </w:rPr>
            </w:pPr>
            <w:r>
              <w:rPr>
                <w:rFonts w:cs="Times New Roman"/>
                <w:color w:val="000000"/>
              </w:rPr>
              <w:t>1389</w:t>
            </w:r>
            <w:r w:rsidRPr="00C876E3">
              <w:rPr>
                <w:rFonts w:cs="Times New Roman"/>
                <w:color w:val="000000"/>
              </w:rPr>
              <w:t xml:space="preserve"> (2</w:t>
            </w:r>
            <w:r>
              <w:rPr>
                <w:rFonts w:cs="Times New Roman"/>
                <w:color w:val="000000"/>
              </w:rPr>
              <w:t>3.4</w:t>
            </w:r>
            <w:r w:rsidRPr="00C876E3">
              <w:rPr>
                <w:rFonts w:cs="Times New Roman"/>
                <w:color w:val="000000"/>
              </w:rPr>
              <w:t>)</w:t>
            </w:r>
          </w:p>
        </w:tc>
        <w:tc>
          <w:tcPr>
            <w:tcW w:w="1890" w:type="dxa"/>
            <w:tcBorders>
              <w:top w:val="nil"/>
              <w:bottom w:val="nil"/>
              <w:right w:val="single" w:sz="4" w:space="0" w:color="auto"/>
            </w:tcBorders>
            <w:vAlign w:val="bottom"/>
          </w:tcPr>
          <w:p w14:paraId="1E4BB9D8"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1</w:t>
            </w:r>
            <w:r>
              <w:rPr>
                <w:rFonts w:cs="Times New Roman"/>
                <w:color w:val="000000"/>
              </w:rPr>
              <w:t>833</w:t>
            </w:r>
            <w:r w:rsidRPr="00C876E3">
              <w:rPr>
                <w:rFonts w:cs="Times New Roman"/>
                <w:color w:val="000000"/>
              </w:rPr>
              <w:t xml:space="preserve"> (</w:t>
            </w:r>
            <w:r>
              <w:rPr>
                <w:rFonts w:cs="Times New Roman"/>
                <w:color w:val="000000"/>
              </w:rPr>
              <w:t>30.9</w:t>
            </w:r>
            <w:r w:rsidRPr="00C876E3">
              <w:rPr>
                <w:rFonts w:cs="Times New Roman"/>
                <w:color w:val="000000"/>
              </w:rPr>
              <w:t>)</w:t>
            </w:r>
          </w:p>
        </w:tc>
      </w:tr>
      <w:tr w:rsidR="00646E2D" w:rsidRPr="00C876E3" w14:paraId="5DE52757" w14:textId="77777777" w:rsidTr="00354B46">
        <w:tc>
          <w:tcPr>
            <w:tcW w:w="3690" w:type="dxa"/>
            <w:tcBorders>
              <w:top w:val="nil"/>
              <w:bottom w:val="nil"/>
            </w:tcBorders>
          </w:tcPr>
          <w:p w14:paraId="658F4785" w14:textId="77777777" w:rsidR="00646E2D" w:rsidRPr="00C876E3" w:rsidRDefault="00646E2D" w:rsidP="00354B46">
            <w:pPr>
              <w:spacing w:beforeLines="40" w:before="96" w:afterLines="40" w:after="96"/>
              <w:contextualSpacing/>
              <w:jc w:val="right"/>
              <w:rPr>
                <w:rFonts w:cs="Times New Roman"/>
              </w:rPr>
            </w:pPr>
            <w:r w:rsidRPr="00C876E3">
              <w:rPr>
                <w:rFonts w:cs="Times New Roman"/>
              </w:rPr>
              <w:t>&gt;=100k</w:t>
            </w:r>
          </w:p>
        </w:tc>
        <w:tc>
          <w:tcPr>
            <w:tcW w:w="2250" w:type="dxa"/>
            <w:tcBorders>
              <w:top w:val="nil"/>
              <w:bottom w:val="nil"/>
            </w:tcBorders>
            <w:vAlign w:val="bottom"/>
          </w:tcPr>
          <w:p w14:paraId="44B7AD28"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2</w:t>
            </w:r>
            <w:r>
              <w:rPr>
                <w:rFonts w:cs="Times New Roman"/>
                <w:color w:val="000000"/>
              </w:rPr>
              <w:t>450</w:t>
            </w:r>
            <w:r w:rsidRPr="00C876E3">
              <w:rPr>
                <w:rFonts w:cs="Times New Roman"/>
                <w:color w:val="000000"/>
              </w:rPr>
              <w:t xml:space="preserve"> (4</w:t>
            </w:r>
            <w:r>
              <w:rPr>
                <w:rFonts w:cs="Times New Roman"/>
                <w:color w:val="000000"/>
              </w:rPr>
              <w:t>1.3</w:t>
            </w:r>
            <w:r w:rsidRPr="00C876E3">
              <w:rPr>
                <w:rFonts w:cs="Times New Roman"/>
                <w:color w:val="000000"/>
              </w:rPr>
              <w:t>)</w:t>
            </w:r>
          </w:p>
        </w:tc>
        <w:tc>
          <w:tcPr>
            <w:tcW w:w="1890" w:type="dxa"/>
            <w:tcBorders>
              <w:top w:val="nil"/>
              <w:bottom w:val="nil"/>
              <w:right w:val="single" w:sz="4" w:space="0" w:color="auto"/>
            </w:tcBorders>
            <w:vAlign w:val="bottom"/>
          </w:tcPr>
          <w:p w14:paraId="557AAA53" w14:textId="77777777" w:rsidR="00646E2D" w:rsidRPr="00C876E3" w:rsidRDefault="00646E2D" w:rsidP="00354B46">
            <w:pPr>
              <w:spacing w:beforeLines="40" w:before="96" w:afterLines="40" w:after="96"/>
              <w:contextualSpacing/>
              <w:jc w:val="center"/>
              <w:rPr>
                <w:rFonts w:cs="Times New Roman"/>
                <w:color w:val="000000"/>
              </w:rPr>
            </w:pPr>
            <w:r>
              <w:rPr>
                <w:rFonts w:cs="Times New Roman"/>
                <w:color w:val="000000"/>
              </w:rPr>
              <w:t>2115</w:t>
            </w:r>
            <w:r w:rsidRPr="00C876E3">
              <w:rPr>
                <w:rFonts w:cs="Times New Roman"/>
                <w:color w:val="000000"/>
              </w:rPr>
              <w:t xml:space="preserve"> (3</w:t>
            </w:r>
            <w:r>
              <w:rPr>
                <w:rFonts w:cs="Times New Roman"/>
                <w:color w:val="000000"/>
              </w:rPr>
              <w:t>5.6</w:t>
            </w:r>
            <w:r w:rsidRPr="00C876E3">
              <w:rPr>
                <w:rFonts w:cs="Times New Roman"/>
                <w:color w:val="000000"/>
              </w:rPr>
              <w:t>)</w:t>
            </w:r>
          </w:p>
        </w:tc>
      </w:tr>
      <w:tr w:rsidR="00646E2D" w:rsidRPr="00C876E3" w14:paraId="32395CC0" w14:textId="77777777" w:rsidTr="00354B46">
        <w:tc>
          <w:tcPr>
            <w:tcW w:w="3690" w:type="dxa"/>
            <w:tcBorders>
              <w:top w:val="nil"/>
              <w:bottom w:val="nil"/>
            </w:tcBorders>
          </w:tcPr>
          <w:p w14:paraId="3B2311BE" w14:textId="77777777" w:rsidR="00646E2D" w:rsidRPr="00C876E3" w:rsidRDefault="00646E2D" w:rsidP="00354B46">
            <w:pPr>
              <w:spacing w:beforeLines="40" w:before="96" w:afterLines="40" w:after="96"/>
              <w:contextualSpacing/>
              <w:jc w:val="right"/>
              <w:rPr>
                <w:rFonts w:cs="Times New Roman"/>
              </w:rPr>
            </w:pPr>
            <w:r w:rsidRPr="00C876E3">
              <w:rPr>
                <w:rFonts w:cs="Times New Roman"/>
              </w:rPr>
              <w:t xml:space="preserve">&gt;=50k &amp; &lt;100K </w:t>
            </w:r>
          </w:p>
        </w:tc>
        <w:tc>
          <w:tcPr>
            <w:tcW w:w="2250" w:type="dxa"/>
            <w:tcBorders>
              <w:top w:val="nil"/>
              <w:bottom w:val="nil"/>
            </w:tcBorders>
            <w:vAlign w:val="bottom"/>
          </w:tcPr>
          <w:p w14:paraId="4B6C7765" w14:textId="77777777" w:rsidR="00646E2D" w:rsidRPr="00C876E3" w:rsidRDefault="00646E2D" w:rsidP="00354B46">
            <w:pPr>
              <w:spacing w:beforeLines="40" w:before="96" w:afterLines="40" w:after="96"/>
              <w:contextualSpacing/>
              <w:jc w:val="center"/>
              <w:rPr>
                <w:rFonts w:cs="Times New Roman"/>
                <w:color w:val="000000"/>
              </w:rPr>
            </w:pPr>
            <w:r w:rsidRPr="00C876E3">
              <w:rPr>
                <w:rFonts w:cs="Times New Roman"/>
                <w:color w:val="000000"/>
              </w:rPr>
              <w:t>1</w:t>
            </w:r>
            <w:r>
              <w:rPr>
                <w:rFonts w:cs="Times New Roman"/>
                <w:color w:val="000000"/>
              </w:rPr>
              <w:t>652</w:t>
            </w:r>
            <w:r w:rsidRPr="00C876E3">
              <w:rPr>
                <w:rFonts w:cs="Times New Roman"/>
                <w:color w:val="000000"/>
              </w:rPr>
              <w:t xml:space="preserve"> (</w:t>
            </w:r>
            <w:r>
              <w:rPr>
                <w:rFonts w:cs="Times New Roman"/>
                <w:color w:val="000000"/>
              </w:rPr>
              <w:t>27.8</w:t>
            </w:r>
            <w:r w:rsidRPr="00C876E3">
              <w:rPr>
                <w:rFonts w:cs="Times New Roman"/>
                <w:color w:val="000000"/>
              </w:rPr>
              <w:t>)</w:t>
            </w:r>
          </w:p>
        </w:tc>
        <w:tc>
          <w:tcPr>
            <w:tcW w:w="1890" w:type="dxa"/>
            <w:tcBorders>
              <w:top w:val="nil"/>
              <w:bottom w:val="nil"/>
              <w:right w:val="single" w:sz="4" w:space="0" w:color="auto"/>
            </w:tcBorders>
            <w:vAlign w:val="bottom"/>
          </w:tcPr>
          <w:p w14:paraId="1B2D4193" w14:textId="77777777" w:rsidR="00646E2D" w:rsidRPr="00C876E3" w:rsidRDefault="00646E2D" w:rsidP="00354B46">
            <w:pPr>
              <w:spacing w:beforeLines="40" w:before="96" w:afterLines="40" w:after="96"/>
              <w:contextualSpacing/>
              <w:jc w:val="center"/>
              <w:rPr>
                <w:rFonts w:cs="Times New Roman"/>
                <w:color w:val="000000"/>
              </w:rPr>
            </w:pPr>
            <w:r>
              <w:rPr>
                <w:rFonts w:cs="Times New Roman"/>
                <w:color w:val="000000"/>
              </w:rPr>
              <w:t>1418</w:t>
            </w:r>
            <w:r w:rsidRPr="00C876E3">
              <w:rPr>
                <w:rFonts w:cs="Times New Roman"/>
                <w:color w:val="000000"/>
              </w:rPr>
              <w:t xml:space="preserve"> (2</w:t>
            </w:r>
            <w:r>
              <w:rPr>
                <w:rFonts w:cs="Times New Roman"/>
                <w:color w:val="000000"/>
              </w:rPr>
              <w:t>3.9</w:t>
            </w:r>
            <w:r w:rsidRPr="00C876E3">
              <w:rPr>
                <w:rFonts w:cs="Times New Roman"/>
                <w:color w:val="000000"/>
              </w:rPr>
              <w:t>)</w:t>
            </w:r>
          </w:p>
        </w:tc>
      </w:tr>
      <w:tr w:rsidR="00646E2D" w:rsidRPr="00C876E3" w14:paraId="66F7435F" w14:textId="77777777" w:rsidTr="00354B46">
        <w:tc>
          <w:tcPr>
            <w:tcW w:w="3690" w:type="dxa"/>
            <w:tcBorders>
              <w:top w:val="nil"/>
              <w:bottom w:val="nil"/>
            </w:tcBorders>
          </w:tcPr>
          <w:p w14:paraId="5DA7FC01" w14:textId="77777777" w:rsidR="00646E2D" w:rsidRPr="00C876E3" w:rsidRDefault="00646E2D" w:rsidP="00354B46">
            <w:pPr>
              <w:spacing w:beforeLines="40" w:before="96" w:afterLines="40" w:after="96"/>
              <w:contextualSpacing/>
              <w:jc w:val="right"/>
              <w:rPr>
                <w:rFonts w:cs="Times New Roman"/>
              </w:rPr>
            </w:pPr>
            <w:r w:rsidRPr="00C876E3">
              <w:rPr>
                <w:rFonts w:cs="Times New Roman"/>
              </w:rPr>
              <w:t>No answer</w:t>
            </w:r>
          </w:p>
        </w:tc>
        <w:tc>
          <w:tcPr>
            <w:tcW w:w="2250" w:type="dxa"/>
            <w:tcBorders>
              <w:top w:val="nil"/>
              <w:bottom w:val="nil"/>
            </w:tcBorders>
            <w:vAlign w:val="bottom"/>
          </w:tcPr>
          <w:p w14:paraId="107B8C6E" w14:textId="77777777" w:rsidR="00646E2D" w:rsidRPr="00C876E3" w:rsidRDefault="00646E2D" w:rsidP="00354B46">
            <w:pPr>
              <w:spacing w:beforeLines="40" w:before="96" w:afterLines="40" w:after="96"/>
              <w:contextualSpacing/>
              <w:jc w:val="center"/>
              <w:rPr>
                <w:rFonts w:cs="Times New Roman"/>
                <w:color w:val="000000"/>
              </w:rPr>
            </w:pPr>
            <w:r>
              <w:rPr>
                <w:rFonts w:cs="Times New Roman"/>
                <w:color w:val="000000"/>
              </w:rPr>
              <w:t>446 (7.5)</w:t>
            </w:r>
          </w:p>
        </w:tc>
        <w:tc>
          <w:tcPr>
            <w:tcW w:w="1890" w:type="dxa"/>
            <w:tcBorders>
              <w:top w:val="nil"/>
              <w:bottom w:val="nil"/>
              <w:right w:val="single" w:sz="4" w:space="0" w:color="auto"/>
            </w:tcBorders>
            <w:vAlign w:val="bottom"/>
          </w:tcPr>
          <w:p w14:paraId="6EC7182C" w14:textId="77777777" w:rsidR="00646E2D" w:rsidRPr="00C876E3" w:rsidRDefault="00646E2D" w:rsidP="00354B46">
            <w:pPr>
              <w:spacing w:beforeLines="40" w:before="96" w:afterLines="40" w:after="96"/>
              <w:contextualSpacing/>
              <w:jc w:val="center"/>
              <w:rPr>
                <w:rFonts w:cs="Times New Roman"/>
                <w:color w:val="000000"/>
              </w:rPr>
            </w:pPr>
            <w:r>
              <w:rPr>
                <w:rFonts w:cs="Times New Roman"/>
                <w:color w:val="000000"/>
              </w:rPr>
              <w:t>572</w:t>
            </w:r>
            <w:r w:rsidRPr="00C876E3">
              <w:rPr>
                <w:rFonts w:cs="Times New Roman"/>
                <w:color w:val="000000"/>
              </w:rPr>
              <w:t xml:space="preserve"> (</w:t>
            </w:r>
            <w:r>
              <w:rPr>
                <w:rFonts w:cs="Times New Roman"/>
                <w:color w:val="000000"/>
              </w:rPr>
              <w:t>9.6</w:t>
            </w:r>
            <w:r w:rsidRPr="00C876E3">
              <w:rPr>
                <w:rFonts w:cs="Times New Roman"/>
                <w:color w:val="000000"/>
              </w:rPr>
              <w:t>)</w:t>
            </w:r>
          </w:p>
        </w:tc>
      </w:tr>
    </w:tbl>
    <w:p w14:paraId="36E0893A" w14:textId="77777777" w:rsidR="00646E2D" w:rsidRDefault="00646E2D" w:rsidP="00646E2D">
      <w:pPr>
        <w:spacing w:beforeLines="40" w:before="96" w:afterLines="40" w:after="96"/>
        <w:rPr>
          <w:b/>
          <w:i/>
        </w:rPr>
      </w:pPr>
    </w:p>
    <w:p w14:paraId="5EFD3742" w14:textId="77777777" w:rsidR="00646E2D" w:rsidRPr="00C876E3" w:rsidRDefault="00646E2D" w:rsidP="00646E2D">
      <w:pPr>
        <w:spacing w:beforeLines="40" w:before="96" w:afterLines="40" w:after="96"/>
        <w:rPr>
          <w:b/>
          <w:i/>
        </w:rPr>
      </w:pPr>
      <w:r w:rsidRPr="00C876E3">
        <w:rPr>
          <w:b/>
          <w:i/>
        </w:rPr>
        <w:t>Table S</w:t>
      </w:r>
      <w:r>
        <w:rPr>
          <w:b/>
          <w:i/>
        </w:rPr>
        <w:t>1</w:t>
      </w:r>
      <w:r w:rsidRPr="00C876E3">
        <w:rPr>
          <w:b/>
          <w:i/>
        </w:rPr>
        <w:t>: Demographic Characteristics of Included Versus Excluded Subjects</w:t>
      </w:r>
    </w:p>
    <w:p w14:paraId="333DB9DE" w14:textId="77777777" w:rsidR="00646E2D" w:rsidRDefault="00646E2D" w:rsidP="00646E2D">
      <w:pPr>
        <w:rPr>
          <w:color w:val="000000" w:themeColor="text1"/>
        </w:rPr>
      </w:pPr>
    </w:p>
    <w:p w14:paraId="621039C9" w14:textId="77777777" w:rsidR="00646E2D" w:rsidRDefault="00646E2D" w:rsidP="00646E2D">
      <w:pPr>
        <w:rPr>
          <w:color w:val="000000" w:themeColor="text1"/>
        </w:rPr>
      </w:pPr>
    </w:p>
    <w:p w14:paraId="2385C071" w14:textId="77777777" w:rsidR="00646E2D" w:rsidRDefault="00646E2D" w:rsidP="00646E2D">
      <w:pPr>
        <w:rPr>
          <w:color w:val="000000" w:themeColor="text1"/>
        </w:rPr>
      </w:pPr>
    </w:p>
    <w:p w14:paraId="5D348285" w14:textId="77777777" w:rsidR="00646E2D" w:rsidRDefault="00646E2D" w:rsidP="00646E2D">
      <w:pPr>
        <w:rPr>
          <w:color w:val="000000" w:themeColor="text1"/>
        </w:rPr>
      </w:pPr>
    </w:p>
    <w:p w14:paraId="42800F7E" w14:textId="77777777" w:rsidR="00646E2D" w:rsidRDefault="00646E2D" w:rsidP="00646E2D">
      <w:pPr>
        <w:rPr>
          <w:color w:val="000000" w:themeColor="text1"/>
        </w:rPr>
      </w:pPr>
    </w:p>
    <w:p w14:paraId="45DF332F" w14:textId="77777777" w:rsidR="00646E2D" w:rsidRDefault="00646E2D" w:rsidP="00646E2D">
      <w:pPr>
        <w:rPr>
          <w:color w:val="000000" w:themeColor="text1"/>
        </w:rPr>
      </w:pPr>
    </w:p>
    <w:p w14:paraId="1EBB66D2" w14:textId="77777777" w:rsidR="00646E2D" w:rsidRDefault="00646E2D" w:rsidP="00646E2D">
      <w:pPr>
        <w:rPr>
          <w:color w:val="000000" w:themeColor="text1"/>
        </w:rPr>
      </w:pPr>
    </w:p>
    <w:p w14:paraId="16644A7A" w14:textId="77777777" w:rsidR="00646E2D" w:rsidRDefault="00646E2D" w:rsidP="00646E2D">
      <w:pPr>
        <w:rPr>
          <w:color w:val="000000" w:themeColor="text1"/>
        </w:rPr>
      </w:pPr>
    </w:p>
    <w:p w14:paraId="2089E90A" w14:textId="77777777" w:rsidR="00646E2D" w:rsidRDefault="00646E2D" w:rsidP="00646E2D">
      <w:pPr>
        <w:rPr>
          <w:color w:val="000000" w:themeColor="text1"/>
        </w:rPr>
      </w:pPr>
    </w:p>
    <w:p w14:paraId="65BDD961" w14:textId="77777777" w:rsidR="00646E2D" w:rsidRDefault="00646E2D" w:rsidP="00646E2D">
      <w:pPr>
        <w:rPr>
          <w:color w:val="000000" w:themeColor="text1"/>
        </w:rPr>
      </w:pPr>
    </w:p>
    <w:p w14:paraId="3F4959A5" w14:textId="77777777" w:rsidR="00646E2D" w:rsidRDefault="00646E2D" w:rsidP="00646E2D">
      <w:pPr>
        <w:rPr>
          <w:color w:val="000000" w:themeColor="text1"/>
        </w:rPr>
      </w:pPr>
    </w:p>
    <w:p w14:paraId="7C00EEFF" w14:textId="77777777" w:rsidR="00646E2D" w:rsidRDefault="00646E2D" w:rsidP="00646E2D">
      <w:pPr>
        <w:rPr>
          <w:color w:val="000000" w:themeColor="text1"/>
        </w:rPr>
      </w:pPr>
    </w:p>
    <w:tbl>
      <w:tblPr>
        <w:tblW w:w="8640" w:type="dxa"/>
        <w:tblInd w:w="-5" w:type="dxa"/>
        <w:tblLayout w:type="fixed"/>
        <w:tblLook w:val="04A0" w:firstRow="1" w:lastRow="0" w:firstColumn="1" w:lastColumn="0" w:noHBand="0" w:noVBand="1"/>
      </w:tblPr>
      <w:tblGrid>
        <w:gridCol w:w="719"/>
        <w:gridCol w:w="951"/>
        <w:gridCol w:w="952"/>
        <w:gridCol w:w="951"/>
        <w:gridCol w:w="952"/>
        <w:gridCol w:w="951"/>
        <w:gridCol w:w="952"/>
        <w:gridCol w:w="952"/>
        <w:gridCol w:w="1260"/>
      </w:tblGrid>
      <w:tr w:rsidR="00646E2D" w:rsidRPr="00E24F4A" w14:paraId="14693763" w14:textId="77777777" w:rsidTr="00354B46">
        <w:trPr>
          <w:trHeight w:val="674"/>
        </w:trPr>
        <w:tc>
          <w:tcPr>
            <w:tcW w:w="842" w:type="dxa"/>
            <w:tcBorders>
              <w:top w:val="single" w:sz="4" w:space="0" w:color="auto"/>
              <w:left w:val="single" w:sz="4" w:space="0" w:color="auto"/>
              <w:bottom w:val="single" w:sz="4" w:space="0" w:color="auto"/>
              <w:right w:val="single" w:sz="4" w:space="0" w:color="BFBFBF"/>
            </w:tcBorders>
            <w:shd w:val="clear" w:color="000000" w:fill="203764"/>
            <w:hideMark/>
          </w:tcPr>
          <w:p w14:paraId="4ADDA798" w14:textId="77777777" w:rsidR="00646E2D" w:rsidRPr="00E24F4A" w:rsidRDefault="00646E2D" w:rsidP="00354B46">
            <w:pPr>
              <w:jc w:val="center"/>
              <w:rPr>
                <w:rFonts w:ascii="Calibri" w:eastAsia="Times New Roman" w:hAnsi="Calibri" w:cs="Calibri"/>
                <w:b/>
                <w:bCs/>
                <w:color w:val="FFFFFF"/>
                <w:sz w:val="20"/>
                <w:szCs w:val="20"/>
                <w:lang w:eastAsia="en-CA"/>
              </w:rPr>
            </w:pPr>
            <w:r w:rsidRPr="00E24F4A">
              <w:rPr>
                <w:rFonts w:ascii="Calibri" w:eastAsia="Times New Roman" w:hAnsi="Calibri" w:cs="Calibri"/>
                <w:b/>
                <w:bCs/>
                <w:color w:val="FFFFFF"/>
                <w:sz w:val="20"/>
                <w:szCs w:val="20"/>
                <w:lang w:eastAsia="en-CA"/>
              </w:rPr>
              <w:lastRenderedPageBreak/>
              <w:t>ABCD Site ID</w:t>
            </w:r>
          </w:p>
        </w:tc>
        <w:tc>
          <w:tcPr>
            <w:tcW w:w="1136" w:type="dxa"/>
            <w:tcBorders>
              <w:top w:val="single" w:sz="4" w:space="0" w:color="auto"/>
              <w:left w:val="single" w:sz="4" w:space="0" w:color="BFBFBF"/>
              <w:bottom w:val="single" w:sz="4" w:space="0" w:color="auto"/>
              <w:right w:val="single" w:sz="4" w:space="0" w:color="BFBFBF"/>
            </w:tcBorders>
            <w:shd w:val="clear" w:color="000000" w:fill="203764"/>
            <w:hideMark/>
          </w:tcPr>
          <w:p w14:paraId="34734EE8" w14:textId="77777777" w:rsidR="00646E2D" w:rsidRPr="00E24F4A" w:rsidRDefault="00646E2D" w:rsidP="00354B46">
            <w:pPr>
              <w:jc w:val="center"/>
              <w:rPr>
                <w:rFonts w:ascii="Calibri" w:eastAsia="Times New Roman" w:hAnsi="Calibri" w:cs="Calibri"/>
                <w:b/>
                <w:bCs/>
                <w:color w:val="FFFFFF"/>
                <w:sz w:val="20"/>
                <w:szCs w:val="20"/>
                <w:lang w:eastAsia="en-CA"/>
              </w:rPr>
            </w:pPr>
            <w:r w:rsidRPr="00E24F4A">
              <w:rPr>
                <w:rFonts w:ascii="Calibri" w:eastAsia="Times New Roman" w:hAnsi="Calibri" w:cs="Calibri"/>
                <w:b/>
                <w:bCs/>
                <w:color w:val="FFFFFF"/>
                <w:sz w:val="20"/>
                <w:szCs w:val="20"/>
                <w:lang w:eastAsia="en-CA"/>
              </w:rPr>
              <w:t>Number of Subjects</w:t>
            </w:r>
          </w:p>
        </w:tc>
        <w:tc>
          <w:tcPr>
            <w:tcW w:w="1137" w:type="dxa"/>
            <w:tcBorders>
              <w:top w:val="single" w:sz="4" w:space="0" w:color="auto"/>
              <w:left w:val="single" w:sz="4" w:space="0" w:color="BFBFBF"/>
              <w:bottom w:val="single" w:sz="4" w:space="0" w:color="auto"/>
              <w:right w:val="single" w:sz="4" w:space="0" w:color="BFBFBF"/>
            </w:tcBorders>
            <w:shd w:val="clear" w:color="000000" w:fill="203764"/>
            <w:hideMark/>
          </w:tcPr>
          <w:p w14:paraId="46A6E835" w14:textId="77777777" w:rsidR="00646E2D" w:rsidRPr="00E24F4A" w:rsidRDefault="00646E2D" w:rsidP="00354B46">
            <w:pPr>
              <w:jc w:val="center"/>
              <w:rPr>
                <w:rFonts w:ascii="Calibri" w:eastAsia="Times New Roman" w:hAnsi="Calibri" w:cs="Calibri"/>
                <w:b/>
                <w:bCs/>
                <w:color w:val="FFFFFF"/>
                <w:sz w:val="20"/>
                <w:szCs w:val="20"/>
                <w:lang w:eastAsia="en-CA"/>
              </w:rPr>
            </w:pPr>
            <w:r w:rsidRPr="00E24F4A">
              <w:rPr>
                <w:rFonts w:ascii="Calibri" w:eastAsia="Times New Roman" w:hAnsi="Calibri" w:cs="Calibri"/>
                <w:b/>
                <w:bCs/>
                <w:color w:val="FFFFFF"/>
                <w:sz w:val="20"/>
                <w:szCs w:val="20"/>
                <w:lang w:eastAsia="en-CA"/>
              </w:rPr>
              <w:t>% Female</w:t>
            </w:r>
          </w:p>
        </w:tc>
        <w:tc>
          <w:tcPr>
            <w:tcW w:w="1136" w:type="dxa"/>
            <w:tcBorders>
              <w:top w:val="single" w:sz="4" w:space="0" w:color="auto"/>
              <w:left w:val="single" w:sz="4" w:space="0" w:color="BFBFBF"/>
              <w:bottom w:val="single" w:sz="4" w:space="0" w:color="auto"/>
              <w:right w:val="single" w:sz="4" w:space="0" w:color="BFBFBF"/>
            </w:tcBorders>
            <w:shd w:val="clear" w:color="000000" w:fill="203764"/>
            <w:hideMark/>
          </w:tcPr>
          <w:p w14:paraId="0C270F80" w14:textId="77777777" w:rsidR="00646E2D" w:rsidRDefault="00646E2D" w:rsidP="00354B46">
            <w:pPr>
              <w:jc w:val="center"/>
              <w:rPr>
                <w:rFonts w:ascii="Calibri" w:eastAsia="Times New Roman" w:hAnsi="Calibri" w:cs="Calibri"/>
                <w:b/>
                <w:bCs/>
                <w:color w:val="FFFFFF"/>
                <w:sz w:val="20"/>
                <w:szCs w:val="20"/>
                <w:lang w:eastAsia="en-CA"/>
              </w:rPr>
            </w:pPr>
            <w:r w:rsidRPr="00E24F4A">
              <w:rPr>
                <w:rFonts w:ascii="Calibri" w:eastAsia="Times New Roman" w:hAnsi="Calibri" w:cs="Calibri"/>
                <w:b/>
                <w:bCs/>
                <w:color w:val="FFFFFF"/>
                <w:sz w:val="20"/>
                <w:szCs w:val="20"/>
                <w:lang w:eastAsia="en-CA"/>
              </w:rPr>
              <w:t xml:space="preserve">% </w:t>
            </w:r>
          </w:p>
          <w:p w14:paraId="518A5799" w14:textId="77777777" w:rsidR="00646E2D" w:rsidRPr="00E24F4A" w:rsidRDefault="00646E2D" w:rsidP="00354B46">
            <w:pPr>
              <w:jc w:val="center"/>
              <w:rPr>
                <w:rFonts w:ascii="Calibri" w:eastAsia="Times New Roman" w:hAnsi="Calibri" w:cs="Calibri"/>
                <w:b/>
                <w:bCs/>
                <w:color w:val="FFFFFF"/>
                <w:sz w:val="20"/>
                <w:szCs w:val="20"/>
                <w:lang w:eastAsia="en-CA"/>
              </w:rPr>
            </w:pPr>
            <w:r w:rsidRPr="00E24F4A">
              <w:rPr>
                <w:rFonts w:ascii="Calibri" w:eastAsia="Times New Roman" w:hAnsi="Calibri" w:cs="Calibri"/>
                <w:b/>
                <w:bCs/>
                <w:color w:val="FFFFFF"/>
                <w:sz w:val="20"/>
                <w:szCs w:val="20"/>
                <w:lang w:eastAsia="en-CA"/>
              </w:rPr>
              <w:t>White</w:t>
            </w:r>
          </w:p>
        </w:tc>
        <w:tc>
          <w:tcPr>
            <w:tcW w:w="1137" w:type="dxa"/>
            <w:tcBorders>
              <w:top w:val="single" w:sz="4" w:space="0" w:color="auto"/>
              <w:left w:val="single" w:sz="4" w:space="0" w:color="BFBFBF"/>
              <w:bottom w:val="single" w:sz="4" w:space="0" w:color="auto"/>
              <w:right w:val="single" w:sz="4" w:space="0" w:color="BFBFBF"/>
            </w:tcBorders>
            <w:shd w:val="clear" w:color="000000" w:fill="203764"/>
            <w:hideMark/>
          </w:tcPr>
          <w:p w14:paraId="434F67F7" w14:textId="77777777" w:rsidR="00646E2D" w:rsidRDefault="00646E2D" w:rsidP="00354B46">
            <w:pPr>
              <w:jc w:val="center"/>
              <w:rPr>
                <w:rFonts w:ascii="Calibri" w:eastAsia="Times New Roman" w:hAnsi="Calibri" w:cs="Calibri"/>
                <w:b/>
                <w:bCs/>
                <w:color w:val="FFFFFF"/>
                <w:sz w:val="20"/>
                <w:szCs w:val="20"/>
                <w:lang w:eastAsia="en-CA"/>
              </w:rPr>
            </w:pPr>
            <w:r w:rsidRPr="00E24F4A">
              <w:rPr>
                <w:rFonts w:ascii="Calibri" w:eastAsia="Times New Roman" w:hAnsi="Calibri" w:cs="Calibri"/>
                <w:b/>
                <w:bCs/>
                <w:color w:val="FFFFFF"/>
                <w:sz w:val="20"/>
                <w:szCs w:val="20"/>
                <w:lang w:eastAsia="en-CA"/>
              </w:rPr>
              <w:t xml:space="preserve">% </w:t>
            </w:r>
          </w:p>
          <w:p w14:paraId="58545156" w14:textId="77777777" w:rsidR="00646E2D" w:rsidRPr="00E24F4A" w:rsidRDefault="00646E2D" w:rsidP="00354B46">
            <w:pPr>
              <w:jc w:val="center"/>
              <w:rPr>
                <w:rFonts w:ascii="Calibri" w:eastAsia="Times New Roman" w:hAnsi="Calibri" w:cs="Calibri"/>
                <w:b/>
                <w:bCs/>
                <w:color w:val="FFFFFF"/>
                <w:sz w:val="20"/>
                <w:szCs w:val="20"/>
                <w:lang w:eastAsia="en-CA"/>
              </w:rPr>
            </w:pPr>
            <w:r w:rsidRPr="00E24F4A">
              <w:rPr>
                <w:rFonts w:ascii="Calibri" w:eastAsia="Times New Roman" w:hAnsi="Calibri" w:cs="Calibri"/>
                <w:b/>
                <w:bCs/>
                <w:color w:val="FFFFFF"/>
                <w:sz w:val="20"/>
                <w:szCs w:val="20"/>
                <w:lang w:eastAsia="en-CA"/>
              </w:rPr>
              <w:t>Black</w:t>
            </w:r>
          </w:p>
        </w:tc>
        <w:tc>
          <w:tcPr>
            <w:tcW w:w="1136" w:type="dxa"/>
            <w:tcBorders>
              <w:top w:val="single" w:sz="4" w:space="0" w:color="auto"/>
              <w:left w:val="single" w:sz="4" w:space="0" w:color="BFBFBF"/>
              <w:bottom w:val="single" w:sz="4" w:space="0" w:color="auto"/>
              <w:right w:val="single" w:sz="4" w:space="0" w:color="BFBFBF"/>
            </w:tcBorders>
            <w:shd w:val="clear" w:color="000000" w:fill="203764"/>
            <w:hideMark/>
          </w:tcPr>
          <w:p w14:paraId="35C12B95" w14:textId="77777777" w:rsidR="00646E2D" w:rsidRPr="00E24F4A" w:rsidRDefault="00646E2D" w:rsidP="00354B46">
            <w:pPr>
              <w:jc w:val="center"/>
              <w:rPr>
                <w:rFonts w:ascii="Calibri" w:eastAsia="Times New Roman" w:hAnsi="Calibri" w:cs="Calibri"/>
                <w:b/>
                <w:bCs/>
                <w:color w:val="FFFFFF"/>
                <w:sz w:val="20"/>
                <w:szCs w:val="20"/>
                <w:lang w:eastAsia="en-CA"/>
              </w:rPr>
            </w:pPr>
            <w:r w:rsidRPr="00E24F4A">
              <w:rPr>
                <w:rFonts w:ascii="Calibri" w:eastAsia="Times New Roman" w:hAnsi="Calibri" w:cs="Calibri"/>
                <w:b/>
                <w:bCs/>
                <w:color w:val="FFFFFF"/>
                <w:sz w:val="20"/>
                <w:szCs w:val="20"/>
                <w:lang w:eastAsia="en-CA"/>
              </w:rPr>
              <w:t>% Hispanic</w:t>
            </w:r>
          </w:p>
        </w:tc>
        <w:tc>
          <w:tcPr>
            <w:tcW w:w="1137" w:type="dxa"/>
            <w:tcBorders>
              <w:top w:val="single" w:sz="4" w:space="0" w:color="auto"/>
              <w:left w:val="single" w:sz="4" w:space="0" w:color="BFBFBF"/>
              <w:bottom w:val="single" w:sz="4" w:space="0" w:color="auto"/>
              <w:right w:val="single" w:sz="4" w:space="0" w:color="BFBFBF"/>
            </w:tcBorders>
            <w:shd w:val="clear" w:color="000000" w:fill="203764"/>
            <w:hideMark/>
          </w:tcPr>
          <w:p w14:paraId="4EB1B6B7" w14:textId="77777777" w:rsidR="00646E2D" w:rsidRDefault="00646E2D" w:rsidP="00354B46">
            <w:pPr>
              <w:jc w:val="center"/>
              <w:rPr>
                <w:rFonts w:ascii="Calibri" w:eastAsia="Times New Roman" w:hAnsi="Calibri" w:cs="Calibri"/>
                <w:b/>
                <w:bCs/>
                <w:color w:val="FFFFFF"/>
                <w:sz w:val="20"/>
                <w:szCs w:val="20"/>
                <w:lang w:eastAsia="en-CA"/>
              </w:rPr>
            </w:pPr>
            <w:r w:rsidRPr="00E24F4A">
              <w:rPr>
                <w:rFonts w:ascii="Calibri" w:eastAsia="Times New Roman" w:hAnsi="Calibri" w:cs="Calibri"/>
                <w:b/>
                <w:bCs/>
                <w:color w:val="FFFFFF"/>
                <w:sz w:val="20"/>
                <w:szCs w:val="20"/>
                <w:lang w:eastAsia="en-CA"/>
              </w:rPr>
              <w:t xml:space="preserve">% </w:t>
            </w:r>
          </w:p>
          <w:p w14:paraId="12BB5E2E" w14:textId="77777777" w:rsidR="00646E2D" w:rsidRPr="00E24F4A" w:rsidRDefault="00646E2D" w:rsidP="00354B46">
            <w:pPr>
              <w:jc w:val="center"/>
              <w:rPr>
                <w:rFonts w:ascii="Calibri" w:eastAsia="Times New Roman" w:hAnsi="Calibri" w:cs="Calibri"/>
                <w:b/>
                <w:bCs/>
                <w:color w:val="FFFFFF"/>
                <w:sz w:val="20"/>
                <w:szCs w:val="20"/>
                <w:lang w:eastAsia="en-CA"/>
              </w:rPr>
            </w:pPr>
            <w:r w:rsidRPr="00E24F4A">
              <w:rPr>
                <w:rFonts w:ascii="Calibri" w:eastAsia="Times New Roman" w:hAnsi="Calibri" w:cs="Calibri"/>
                <w:b/>
                <w:bCs/>
                <w:color w:val="FFFFFF"/>
                <w:sz w:val="20"/>
                <w:szCs w:val="20"/>
                <w:lang w:eastAsia="en-CA"/>
              </w:rPr>
              <w:t>Asian</w:t>
            </w:r>
          </w:p>
        </w:tc>
        <w:tc>
          <w:tcPr>
            <w:tcW w:w="1137" w:type="dxa"/>
            <w:tcBorders>
              <w:top w:val="single" w:sz="4" w:space="0" w:color="auto"/>
              <w:left w:val="single" w:sz="4" w:space="0" w:color="BFBFBF"/>
              <w:bottom w:val="single" w:sz="4" w:space="0" w:color="auto"/>
              <w:right w:val="single" w:sz="4" w:space="0" w:color="BFBFBF"/>
            </w:tcBorders>
            <w:shd w:val="clear" w:color="000000" w:fill="203764"/>
            <w:hideMark/>
          </w:tcPr>
          <w:p w14:paraId="3918BA11" w14:textId="77777777" w:rsidR="00646E2D" w:rsidRDefault="00646E2D" w:rsidP="00354B46">
            <w:pPr>
              <w:jc w:val="center"/>
              <w:rPr>
                <w:rFonts w:ascii="Calibri" w:eastAsia="Times New Roman" w:hAnsi="Calibri" w:cs="Calibri"/>
                <w:b/>
                <w:bCs/>
                <w:color w:val="FFFFFF"/>
                <w:sz w:val="20"/>
                <w:szCs w:val="20"/>
                <w:lang w:eastAsia="en-CA"/>
              </w:rPr>
            </w:pPr>
            <w:r w:rsidRPr="00E24F4A">
              <w:rPr>
                <w:rFonts w:ascii="Calibri" w:eastAsia="Times New Roman" w:hAnsi="Calibri" w:cs="Calibri"/>
                <w:b/>
                <w:bCs/>
                <w:color w:val="FFFFFF"/>
                <w:sz w:val="20"/>
                <w:szCs w:val="20"/>
                <w:lang w:eastAsia="en-CA"/>
              </w:rPr>
              <w:t xml:space="preserve">% </w:t>
            </w:r>
          </w:p>
          <w:p w14:paraId="04A6F03A" w14:textId="77777777" w:rsidR="00646E2D" w:rsidRPr="00E24F4A" w:rsidRDefault="00646E2D" w:rsidP="00354B46">
            <w:pPr>
              <w:jc w:val="center"/>
              <w:rPr>
                <w:rFonts w:ascii="Calibri" w:eastAsia="Times New Roman" w:hAnsi="Calibri" w:cs="Calibri"/>
                <w:b/>
                <w:bCs/>
                <w:color w:val="FFFFFF"/>
                <w:sz w:val="20"/>
                <w:szCs w:val="20"/>
                <w:lang w:eastAsia="en-CA"/>
              </w:rPr>
            </w:pPr>
            <w:r w:rsidRPr="00E24F4A">
              <w:rPr>
                <w:rFonts w:ascii="Calibri" w:eastAsia="Times New Roman" w:hAnsi="Calibri" w:cs="Calibri"/>
                <w:b/>
                <w:bCs/>
                <w:color w:val="FFFFFF"/>
                <w:sz w:val="20"/>
                <w:szCs w:val="20"/>
                <w:lang w:eastAsia="en-CA"/>
              </w:rPr>
              <w:t>Other</w:t>
            </w:r>
          </w:p>
        </w:tc>
        <w:tc>
          <w:tcPr>
            <w:tcW w:w="1525" w:type="dxa"/>
            <w:tcBorders>
              <w:top w:val="single" w:sz="4" w:space="0" w:color="auto"/>
              <w:left w:val="single" w:sz="4" w:space="0" w:color="BFBFBF"/>
              <w:bottom w:val="single" w:sz="4" w:space="0" w:color="auto"/>
              <w:right w:val="single" w:sz="4" w:space="0" w:color="auto"/>
            </w:tcBorders>
            <w:shd w:val="clear" w:color="000000" w:fill="203764"/>
            <w:hideMark/>
          </w:tcPr>
          <w:p w14:paraId="135A9094" w14:textId="77777777" w:rsidR="00646E2D" w:rsidRPr="00E24F4A" w:rsidRDefault="00646E2D" w:rsidP="00354B46">
            <w:pPr>
              <w:jc w:val="center"/>
              <w:rPr>
                <w:rFonts w:ascii="Calibri" w:eastAsia="Times New Roman" w:hAnsi="Calibri" w:cs="Calibri"/>
                <w:b/>
                <w:bCs/>
                <w:color w:val="FFFFFF"/>
                <w:sz w:val="20"/>
                <w:szCs w:val="20"/>
                <w:lang w:eastAsia="en-CA"/>
              </w:rPr>
            </w:pPr>
            <w:r w:rsidRPr="00E24F4A">
              <w:rPr>
                <w:rFonts w:ascii="Calibri" w:eastAsia="Times New Roman" w:hAnsi="Calibri" w:cs="Calibri"/>
                <w:b/>
                <w:bCs/>
                <w:color w:val="FFFFFF"/>
                <w:sz w:val="20"/>
                <w:szCs w:val="20"/>
                <w:lang w:eastAsia="en-CA"/>
              </w:rPr>
              <w:t>Mean Age (std dev)</w:t>
            </w:r>
          </w:p>
        </w:tc>
      </w:tr>
      <w:tr w:rsidR="00646E2D" w:rsidRPr="00E24F4A" w14:paraId="7B2F33AD" w14:textId="77777777" w:rsidTr="00354B46">
        <w:trPr>
          <w:trHeight w:val="263"/>
        </w:trPr>
        <w:tc>
          <w:tcPr>
            <w:tcW w:w="842" w:type="dxa"/>
            <w:tcBorders>
              <w:top w:val="nil"/>
              <w:left w:val="single" w:sz="4" w:space="0" w:color="BFBFBF"/>
              <w:bottom w:val="nil"/>
              <w:right w:val="nil"/>
            </w:tcBorders>
            <w:shd w:val="clear" w:color="EDEDED" w:fill="EDEDED"/>
            <w:noWrap/>
            <w:hideMark/>
          </w:tcPr>
          <w:p w14:paraId="237E9E98"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site01</w:t>
            </w:r>
          </w:p>
        </w:tc>
        <w:tc>
          <w:tcPr>
            <w:tcW w:w="1136" w:type="dxa"/>
            <w:tcBorders>
              <w:top w:val="nil"/>
              <w:left w:val="single" w:sz="4" w:space="0" w:color="BFBFBF"/>
              <w:bottom w:val="nil"/>
              <w:right w:val="single" w:sz="4" w:space="0" w:color="BFBFBF"/>
            </w:tcBorders>
            <w:shd w:val="clear" w:color="EDEDED" w:fill="EDEDED"/>
            <w:noWrap/>
            <w:hideMark/>
          </w:tcPr>
          <w:p w14:paraId="4B96E796"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91</w:t>
            </w:r>
          </w:p>
        </w:tc>
        <w:tc>
          <w:tcPr>
            <w:tcW w:w="1137" w:type="dxa"/>
            <w:tcBorders>
              <w:top w:val="nil"/>
              <w:left w:val="single" w:sz="4" w:space="0" w:color="BFBFBF"/>
              <w:bottom w:val="nil"/>
              <w:right w:val="single" w:sz="4" w:space="0" w:color="BFBFBF"/>
            </w:tcBorders>
            <w:shd w:val="clear" w:color="EDEDED" w:fill="EDEDED"/>
            <w:noWrap/>
            <w:hideMark/>
          </w:tcPr>
          <w:p w14:paraId="773F526F"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56.04</w:t>
            </w:r>
          </w:p>
        </w:tc>
        <w:tc>
          <w:tcPr>
            <w:tcW w:w="1136" w:type="dxa"/>
            <w:tcBorders>
              <w:top w:val="nil"/>
              <w:left w:val="single" w:sz="4" w:space="0" w:color="BFBFBF"/>
              <w:bottom w:val="nil"/>
              <w:right w:val="single" w:sz="4" w:space="0" w:color="BFBFBF"/>
            </w:tcBorders>
            <w:shd w:val="clear" w:color="EDEDED" w:fill="EDEDED"/>
            <w:noWrap/>
            <w:hideMark/>
          </w:tcPr>
          <w:p w14:paraId="534A7092"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18.68</w:t>
            </w:r>
          </w:p>
        </w:tc>
        <w:tc>
          <w:tcPr>
            <w:tcW w:w="1137" w:type="dxa"/>
            <w:tcBorders>
              <w:top w:val="nil"/>
              <w:left w:val="single" w:sz="4" w:space="0" w:color="BFBFBF"/>
              <w:bottom w:val="nil"/>
              <w:right w:val="single" w:sz="4" w:space="0" w:color="BFBFBF"/>
            </w:tcBorders>
            <w:shd w:val="clear" w:color="EDEDED" w:fill="EDEDED"/>
            <w:noWrap/>
            <w:hideMark/>
          </w:tcPr>
          <w:p w14:paraId="69CD81CE"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4.4</w:t>
            </w:r>
          </w:p>
        </w:tc>
        <w:tc>
          <w:tcPr>
            <w:tcW w:w="1136" w:type="dxa"/>
            <w:tcBorders>
              <w:top w:val="nil"/>
              <w:left w:val="single" w:sz="4" w:space="0" w:color="BFBFBF"/>
              <w:bottom w:val="nil"/>
              <w:right w:val="single" w:sz="4" w:space="0" w:color="BFBFBF"/>
            </w:tcBorders>
            <w:shd w:val="clear" w:color="EDEDED" w:fill="EDEDED"/>
            <w:noWrap/>
            <w:hideMark/>
          </w:tcPr>
          <w:p w14:paraId="0BF9A3D7"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52.75</w:t>
            </w:r>
          </w:p>
        </w:tc>
        <w:tc>
          <w:tcPr>
            <w:tcW w:w="1137" w:type="dxa"/>
            <w:tcBorders>
              <w:top w:val="nil"/>
              <w:left w:val="single" w:sz="4" w:space="0" w:color="BFBFBF"/>
              <w:bottom w:val="nil"/>
              <w:right w:val="single" w:sz="4" w:space="0" w:color="BFBFBF"/>
            </w:tcBorders>
            <w:shd w:val="clear" w:color="EDEDED" w:fill="EDEDED"/>
            <w:noWrap/>
            <w:hideMark/>
          </w:tcPr>
          <w:p w14:paraId="030F2715"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10.99</w:t>
            </w:r>
          </w:p>
        </w:tc>
        <w:tc>
          <w:tcPr>
            <w:tcW w:w="1137" w:type="dxa"/>
            <w:tcBorders>
              <w:top w:val="nil"/>
              <w:left w:val="single" w:sz="4" w:space="0" w:color="BFBFBF"/>
              <w:bottom w:val="nil"/>
              <w:right w:val="single" w:sz="4" w:space="0" w:color="BFBFBF"/>
            </w:tcBorders>
            <w:shd w:val="clear" w:color="EDEDED" w:fill="EDEDED"/>
            <w:noWrap/>
            <w:hideMark/>
          </w:tcPr>
          <w:p w14:paraId="775AF80A"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13.19</w:t>
            </w:r>
          </w:p>
        </w:tc>
        <w:tc>
          <w:tcPr>
            <w:tcW w:w="1525" w:type="dxa"/>
            <w:tcBorders>
              <w:top w:val="nil"/>
              <w:left w:val="single" w:sz="4" w:space="0" w:color="BFBFBF"/>
              <w:bottom w:val="nil"/>
              <w:right w:val="single" w:sz="4" w:space="0" w:color="BFBFBF"/>
            </w:tcBorders>
            <w:shd w:val="clear" w:color="EDEDED" w:fill="EDEDED"/>
            <w:noWrap/>
            <w:hideMark/>
          </w:tcPr>
          <w:p w14:paraId="77EA864D"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9.89  (0.62)</w:t>
            </w:r>
          </w:p>
        </w:tc>
      </w:tr>
      <w:tr w:rsidR="00646E2D" w:rsidRPr="00E24F4A" w14:paraId="473EC212" w14:textId="77777777" w:rsidTr="00354B46">
        <w:trPr>
          <w:trHeight w:val="263"/>
        </w:trPr>
        <w:tc>
          <w:tcPr>
            <w:tcW w:w="842" w:type="dxa"/>
            <w:tcBorders>
              <w:top w:val="nil"/>
              <w:left w:val="single" w:sz="4" w:space="0" w:color="BFBFBF"/>
              <w:bottom w:val="nil"/>
              <w:right w:val="nil"/>
            </w:tcBorders>
            <w:shd w:val="clear" w:color="auto" w:fill="auto"/>
            <w:noWrap/>
            <w:hideMark/>
          </w:tcPr>
          <w:p w14:paraId="5CDE6FDA"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site02</w:t>
            </w:r>
          </w:p>
        </w:tc>
        <w:tc>
          <w:tcPr>
            <w:tcW w:w="1136" w:type="dxa"/>
            <w:tcBorders>
              <w:top w:val="nil"/>
              <w:left w:val="single" w:sz="4" w:space="0" w:color="BFBFBF"/>
              <w:bottom w:val="nil"/>
              <w:right w:val="single" w:sz="4" w:space="0" w:color="BFBFBF"/>
            </w:tcBorders>
            <w:shd w:val="clear" w:color="auto" w:fill="auto"/>
            <w:noWrap/>
            <w:hideMark/>
          </w:tcPr>
          <w:p w14:paraId="5C75EFB6"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434</w:t>
            </w:r>
          </w:p>
        </w:tc>
        <w:tc>
          <w:tcPr>
            <w:tcW w:w="1137" w:type="dxa"/>
            <w:tcBorders>
              <w:top w:val="nil"/>
              <w:left w:val="single" w:sz="4" w:space="0" w:color="BFBFBF"/>
              <w:bottom w:val="nil"/>
              <w:right w:val="single" w:sz="4" w:space="0" w:color="BFBFBF"/>
            </w:tcBorders>
            <w:shd w:val="clear" w:color="auto" w:fill="auto"/>
            <w:noWrap/>
            <w:hideMark/>
          </w:tcPr>
          <w:p w14:paraId="3379FA13"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48.62</w:t>
            </w:r>
          </w:p>
        </w:tc>
        <w:tc>
          <w:tcPr>
            <w:tcW w:w="1136" w:type="dxa"/>
            <w:tcBorders>
              <w:top w:val="nil"/>
              <w:left w:val="single" w:sz="4" w:space="0" w:color="BFBFBF"/>
              <w:bottom w:val="nil"/>
              <w:right w:val="single" w:sz="4" w:space="0" w:color="BFBFBF"/>
            </w:tcBorders>
            <w:shd w:val="clear" w:color="auto" w:fill="auto"/>
            <w:noWrap/>
            <w:hideMark/>
          </w:tcPr>
          <w:p w14:paraId="697B8663"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65.21</w:t>
            </w:r>
          </w:p>
        </w:tc>
        <w:tc>
          <w:tcPr>
            <w:tcW w:w="1137" w:type="dxa"/>
            <w:tcBorders>
              <w:top w:val="nil"/>
              <w:left w:val="single" w:sz="4" w:space="0" w:color="BFBFBF"/>
              <w:bottom w:val="nil"/>
              <w:right w:val="single" w:sz="4" w:space="0" w:color="BFBFBF"/>
            </w:tcBorders>
            <w:shd w:val="clear" w:color="auto" w:fill="auto"/>
            <w:noWrap/>
            <w:hideMark/>
          </w:tcPr>
          <w:p w14:paraId="42DF7BDA"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1.15</w:t>
            </w:r>
          </w:p>
        </w:tc>
        <w:tc>
          <w:tcPr>
            <w:tcW w:w="1136" w:type="dxa"/>
            <w:tcBorders>
              <w:top w:val="nil"/>
              <w:left w:val="single" w:sz="4" w:space="0" w:color="BFBFBF"/>
              <w:bottom w:val="nil"/>
              <w:right w:val="single" w:sz="4" w:space="0" w:color="BFBFBF"/>
            </w:tcBorders>
            <w:shd w:val="clear" w:color="auto" w:fill="auto"/>
            <w:noWrap/>
            <w:hideMark/>
          </w:tcPr>
          <w:p w14:paraId="129F25A7"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21.43</w:t>
            </w:r>
          </w:p>
        </w:tc>
        <w:tc>
          <w:tcPr>
            <w:tcW w:w="1137" w:type="dxa"/>
            <w:tcBorders>
              <w:top w:val="nil"/>
              <w:left w:val="single" w:sz="4" w:space="0" w:color="BFBFBF"/>
              <w:bottom w:val="nil"/>
              <w:right w:val="single" w:sz="4" w:space="0" w:color="BFBFBF"/>
            </w:tcBorders>
            <w:shd w:val="clear" w:color="auto" w:fill="auto"/>
            <w:noWrap/>
            <w:hideMark/>
          </w:tcPr>
          <w:p w14:paraId="7E7427C5"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0.46</w:t>
            </w:r>
          </w:p>
        </w:tc>
        <w:tc>
          <w:tcPr>
            <w:tcW w:w="1137" w:type="dxa"/>
            <w:tcBorders>
              <w:top w:val="nil"/>
              <w:left w:val="single" w:sz="4" w:space="0" w:color="BFBFBF"/>
              <w:bottom w:val="nil"/>
              <w:right w:val="single" w:sz="4" w:space="0" w:color="BFBFBF"/>
            </w:tcBorders>
            <w:shd w:val="clear" w:color="auto" w:fill="auto"/>
            <w:noWrap/>
            <w:hideMark/>
          </w:tcPr>
          <w:p w14:paraId="4926A1EF"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11.75</w:t>
            </w:r>
          </w:p>
        </w:tc>
        <w:tc>
          <w:tcPr>
            <w:tcW w:w="1525" w:type="dxa"/>
            <w:tcBorders>
              <w:top w:val="nil"/>
              <w:left w:val="single" w:sz="4" w:space="0" w:color="BFBFBF"/>
              <w:bottom w:val="nil"/>
              <w:right w:val="single" w:sz="4" w:space="0" w:color="BFBFBF"/>
            </w:tcBorders>
            <w:shd w:val="clear" w:color="auto" w:fill="auto"/>
            <w:noWrap/>
            <w:hideMark/>
          </w:tcPr>
          <w:p w14:paraId="6A1F20EB"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10.11 (0.63)</w:t>
            </w:r>
          </w:p>
        </w:tc>
      </w:tr>
      <w:tr w:rsidR="00646E2D" w:rsidRPr="00E24F4A" w14:paraId="5DC1765E" w14:textId="77777777" w:rsidTr="00354B46">
        <w:trPr>
          <w:trHeight w:val="263"/>
        </w:trPr>
        <w:tc>
          <w:tcPr>
            <w:tcW w:w="842" w:type="dxa"/>
            <w:tcBorders>
              <w:top w:val="nil"/>
              <w:left w:val="single" w:sz="4" w:space="0" w:color="BFBFBF"/>
              <w:bottom w:val="nil"/>
              <w:right w:val="nil"/>
            </w:tcBorders>
            <w:shd w:val="clear" w:color="EDEDED" w:fill="EDEDED"/>
            <w:noWrap/>
            <w:hideMark/>
          </w:tcPr>
          <w:p w14:paraId="4DA7F931"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site03</w:t>
            </w:r>
          </w:p>
        </w:tc>
        <w:tc>
          <w:tcPr>
            <w:tcW w:w="1136" w:type="dxa"/>
            <w:tcBorders>
              <w:top w:val="nil"/>
              <w:left w:val="single" w:sz="4" w:space="0" w:color="BFBFBF"/>
              <w:bottom w:val="nil"/>
              <w:right w:val="single" w:sz="4" w:space="0" w:color="BFBFBF"/>
            </w:tcBorders>
            <w:shd w:val="clear" w:color="EDEDED" w:fill="EDEDED"/>
            <w:noWrap/>
            <w:hideMark/>
          </w:tcPr>
          <w:p w14:paraId="400F9FAC"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444</w:t>
            </w:r>
          </w:p>
        </w:tc>
        <w:tc>
          <w:tcPr>
            <w:tcW w:w="1137" w:type="dxa"/>
            <w:tcBorders>
              <w:top w:val="nil"/>
              <w:left w:val="single" w:sz="4" w:space="0" w:color="BFBFBF"/>
              <w:bottom w:val="nil"/>
              <w:right w:val="single" w:sz="4" w:space="0" w:color="BFBFBF"/>
            </w:tcBorders>
            <w:shd w:val="clear" w:color="EDEDED" w:fill="EDEDED"/>
            <w:noWrap/>
            <w:hideMark/>
          </w:tcPr>
          <w:p w14:paraId="326D5F47"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50.45</w:t>
            </w:r>
          </w:p>
        </w:tc>
        <w:tc>
          <w:tcPr>
            <w:tcW w:w="1136" w:type="dxa"/>
            <w:tcBorders>
              <w:top w:val="nil"/>
              <w:left w:val="single" w:sz="4" w:space="0" w:color="BFBFBF"/>
              <w:bottom w:val="nil"/>
              <w:right w:val="single" w:sz="4" w:space="0" w:color="BFBFBF"/>
            </w:tcBorders>
            <w:shd w:val="clear" w:color="EDEDED" w:fill="EDEDED"/>
            <w:noWrap/>
            <w:hideMark/>
          </w:tcPr>
          <w:p w14:paraId="28ECFFCF"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8.33</w:t>
            </w:r>
          </w:p>
        </w:tc>
        <w:tc>
          <w:tcPr>
            <w:tcW w:w="1137" w:type="dxa"/>
            <w:tcBorders>
              <w:top w:val="nil"/>
              <w:left w:val="single" w:sz="4" w:space="0" w:color="BFBFBF"/>
              <w:bottom w:val="nil"/>
              <w:right w:val="single" w:sz="4" w:space="0" w:color="BFBFBF"/>
            </w:tcBorders>
            <w:shd w:val="clear" w:color="EDEDED" w:fill="EDEDED"/>
            <w:noWrap/>
            <w:hideMark/>
          </w:tcPr>
          <w:p w14:paraId="271E79F3"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16.67</w:t>
            </w:r>
          </w:p>
        </w:tc>
        <w:tc>
          <w:tcPr>
            <w:tcW w:w="1136" w:type="dxa"/>
            <w:tcBorders>
              <w:top w:val="nil"/>
              <w:left w:val="single" w:sz="4" w:space="0" w:color="BFBFBF"/>
              <w:bottom w:val="nil"/>
              <w:right w:val="single" w:sz="4" w:space="0" w:color="BFBFBF"/>
            </w:tcBorders>
            <w:shd w:val="clear" w:color="EDEDED" w:fill="EDEDED"/>
            <w:noWrap/>
            <w:hideMark/>
          </w:tcPr>
          <w:p w14:paraId="57391945"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70.5</w:t>
            </w:r>
          </w:p>
        </w:tc>
        <w:tc>
          <w:tcPr>
            <w:tcW w:w="1137" w:type="dxa"/>
            <w:tcBorders>
              <w:top w:val="nil"/>
              <w:left w:val="single" w:sz="4" w:space="0" w:color="BFBFBF"/>
              <w:bottom w:val="nil"/>
              <w:right w:val="single" w:sz="4" w:space="0" w:color="BFBFBF"/>
            </w:tcBorders>
            <w:shd w:val="clear" w:color="EDEDED" w:fill="EDEDED"/>
            <w:noWrap/>
            <w:hideMark/>
          </w:tcPr>
          <w:p w14:paraId="448B5C89"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0.68</w:t>
            </w:r>
          </w:p>
        </w:tc>
        <w:tc>
          <w:tcPr>
            <w:tcW w:w="1137" w:type="dxa"/>
            <w:tcBorders>
              <w:top w:val="nil"/>
              <w:left w:val="single" w:sz="4" w:space="0" w:color="BFBFBF"/>
              <w:bottom w:val="nil"/>
              <w:right w:val="single" w:sz="4" w:space="0" w:color="BFBFBF"/>
            </w:tcBorders>
            <w:shd w:val="clear" w:color="EDEDED" w:fill="EDEDED"/>
            <w:noWrap/>
            <w:hideMark/>
          </w:tcPr>
          <w:p w14:paraId="3169BFE6"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3.83</w:t>
            </w:r>
          </w:p>
        </w:tc>
        <w:tc>
          <w:tcPr>
            <w:tcW w:w="1525" w:type="dxa"/>
            <w:tcBorders>
              <w:top w:val="nil"/>
              <w:left w:val="single" w:sz="4" w:space="0" w:color="BFBFBF"/>
              <w:bottom w:val="nil"/>
              <w:right w:val="single" w:sz="4" w:space="0" w:color="BFBFBF"/>
            </w:tcBorders>
            <w:shd w:val="clear" w:color="EDEDED" w:fill="EDEDED"/>
            <w:noWrap/>
            <w:hideMark/>
          </w:tcPr>
          <w:p w14:paraId="40F3A303"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9.88  (0.63)</w:t>
            </w:r>
          </w:p>
        </w:tc>
      </w:tr>
      <w:tr w:rsidR="00646E2D" w:rsidRPr="00E24F4A" w14:paraId="3C54237F" w14:textId="77777777" w:rsidTr="00354B46">
        <w:trPr>
          <w:trHeight w:val="263"/>
        </w:trPr>
        <w:tc>
          <w:tcPr>
            <w:tcW w:w="842" w:type="dxa"/>
            <w:tcBorders>
              <w:top w:val="nil"/>
              <w:left w:val="single" w:sz="4" w:space="0" w:color="BFBFBF"/>
              <w:bottom w:val="nil"/>
              <w:right w:val="nil"/>
            </w:tcBorders>
            <w:shd w:val="clear" w:color="auto" w:fill="auto"/>
            <w:noWrap/>
            <w:hideMark/>
          </w:tcPr>
          <w:p w14:paraId="61E6CA8A"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site04</w:t>
            </w:r>
          </w:p>
        </w:tc>
        <w:tc>
          <w:tcPr>
            <w:tcW w:w="1136" w:type="dxa"/>
            <w:tcBorders>
              <w:top w:val="nil"/>
              <w:left w:val="single" w:sz="4" w:space="0" w:color="BFBFBF"/>
              <w:bottom w:val="nil"/>
              <w:right w:val="single" w:sz="4" w:space="0" w:color="BFBFBF"/>
            </w:tcBorders>
            <w:shd w:val="clear" w:color="auto" w:fill="auto"/>
            <w:noWrap/>
            <w:hideMark/>
          </w:tcPr>
          <w:p w14:paraId="6DF4FA87"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296</w:t>
            </w:r>
          </w:p>
        </w:tc>
        <w:tc>
          <w:tcPr>
            <w:tcW w:w="1137" w:type="dxa"/>
            <w:tcBorders>
              <w:top w:val="nil"/>
              <w:left w:val="single" w:sz="4" w:space="0" w:color="BFBFBF"/>
              <w:bottom w:val="nil"/>
              <w:right w:val="single" w:sz="4" w:space="0" w:color="BFBFBF"/>
            </w:tcBorders>
            <w:shd w:val="clear" w:color="auto" w:fill="auto"/>
            <w:noWrap/>
            <w:hideMark/>
          </w:tcPr>
          <w:p w14:paraId="6A3C0A8C"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54.05</w:t>
            </w:r>
          </w:p>
        </w:tc>
        <w:tc>
          <w:tcPr>
            <w:tcW w:w="1136" w:type="dxa"/>
            <w:tcBorders>
              <w:top w:val="nil"/>
              <w:left w:val="single" w:sz="4" w:space="0" w:color="BFBFBF"/>
              <w:bottom w:val="nil"/>
              <w:right w:val="single" w:sz="4" w:space="0" w:color="BFBFBF"/>
            </w:tcBorders>
            <w:shd w:val="clear" w:color="auto" w:fill="auto"/>
            <w:noWrap/>
            <w:hideMark/>
          </w:tcPr>
          <w:p w14:paraId="1C6D804B"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48.99</w:t>
            </w:r>
          </w:p>
        </w:tc>
        <w:tc>
          <w:tcPr>
            <w:tcW w:w="1137" w:type="dxa"/>
            <w:tcBorders>
              <w:top w:val="nil"/>
              <w:left w:val="single" w:sz="4" w:space="0" w:color="BFBFBF"/>
              <w:bottom w:val="nil"/>
              <w:right w:val="single" w:sz="4" w:space="0" w:color="BFBFBF"/>
            </w:tcBorders>
            <w:shd w:val="clear" w:color="auto" w:fill="auto"/>
            <w:noWrap/>
            <w:hideMark/>
          </w:tcPr>
          <w:p w14:paraId="2FDF7226"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9.46</w:t>
            </w:r>
          </w:p>
        </w:tc>
        <w:tc>
          <w:tcPr>
            <w:tcW w:w="1136" w:type="dxa"/>
            <w:tcBorders>
              <w:top w:val="nil"/>
              <w:left w:val="single" w:sz="4" w:space="0" w:color="BFBFBF"/>
              <w:bottom w:val="nil"/>
              <w:right w:val="single" w:sz="4" w:space="0" w:color="BFBFBF"/>
            </w:tcBorders>
            <w:shd w:val="clear" w:color="auto" w:fill="auto"/>
            <w:noWrap/>
            <w:hideMark/>
          </w:tcPr>
          <w:p w14:paraId="2A2AD86C"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17.57</w:t>
            </w:r>
          </w:p>
        </w:tc>
        <w:tc>
          <w:tcPr>
            <w:tcW w:w="1137" w:type="dxa"/>
            <w:tcBorders>
              <w:top w:val="nil"/>
              <w:left w:val="single" w:sz="4" w:space="0" w:color="BFBFBF"/>
              <w:bottom w:val="nil"/>
              <w:right w:val="single" w:sz="4" w:space="0" w:color="BFBFBF"/>
            </w:tcBorders>
            <w:shd w:val="clear" w:color="auto" w:fill="auto"/>
            <w:noWrap/>
            <w:hideMark/>
          </w:tcPr>
          <w:p w14:paraId="48BD7F0D"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1.01</w:t>
            </w:r>
          </w:p>
        </w:tc>
        <w:tc>
          <w:tcPr>
            <w:tcW w:w="1137" w:type="dxa"/>
            <w:tcBorders>
              <w:top w:val="nil"/>
              <w:left w:val="single" w:sz="4" w:space="0" w:color="BFBFBF"/>
              <w:bottom w:val="nil"/>
              <w:right w:val="single" w:sz="4" w:space="0" w:color="BFBFBF"/>
            </w:tcBorders>
            <w:shd w:val="clear" w:color="auto" w:fill="auto"/>
            <w:noWrap/>
            <w:hideMark/>
          </w:tcPr>
          <w:p w14:paraId="28BFEB11"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22.97</w:t>
            </w:r>
          </w:p>
        </w:tc>
        <w:tc>
          <w:tcPr>
            <w:tcW w:w="1525" w:type="dxa"/>
            <w:tcBorders>
              <w:top w:val="nil"/>
              <w:left w:val="single" w:sz="4" w:space="0" w:color="BFBFBF"/>
              <w:bottom w:val="nil"/>
              <w:right w:val="single" w:sz="4" w:space="0" w:color="BFBFBF"/>
            </w:tcBorders>
            <w:shd w:val="clear" w:color="auto" w:fill="auto"/>
            <w:noWrap/>
            <w:hideMark/>
          </w:tcPr>
          <w:p w14:paraId="65A9C0BE"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9.78  (0.65)</w:t>
            </w:r>
          </w:p>
        </w:tc>
      </w:tr>
      <w:tr w:rsidR="00646E2D" w:rsidRPr="00E24F4A" w14:paraId="364944A2" w14:textId="77777777" w:rsidTr="00354B46">
        <w:trPr>
          <w:trHeight w:val="263"/>
        </w:trPr>
        <w:tc>
          <w:tcPr>
            <w:tcW w:w="842" w:type="dxa"/>
            <w:tcBorders>
              <w:top w:val="nil"/>
              <w:left w:val="single" w:sz="4" w:space="0" w:color="BFBFBF"/>
              <w:bottom w:val="nil"/>
              <w:right w:val="nil"/>
            </w:tcBorders>
            <w:shd w:val="clear" w:color="EDEDED" w:fill="EDEDED"/>
            <w:noWrap/>
            <w:hideMark/>
          </w:tcPr>
          <w:p w14:paraId="02E29D40"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site05</w:t>
            </w:r>
          </w:p>
        </w:tc>
        <w:tc>
          <w:tcPr>
            <w:tcW w:w="1136" w:type="dxa"/>
            <w:tcBorders>
              <w:top w:val="nil"/>
              <w:left w:val="single" w:sz="4" w:space="0" w:color="BFBFBF"/>
              <w:bottom w:val="nil"/>
              <w:right w:val="single" w:sz="4" w:space="0" w:color="BFBFBF"/>
            </w:tcBorders>
            <w:shd w:val="clear" w:color="EDEDED" w:fill="EDEDED"/>
            <w:noWrap/>
            <w:hideMark/>
          </w:tcPr>
          <w:p w14:paraId="4AB7591F"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25</w:t>
            </w:r>
            <w:r>
              <w:rPr>
                <w:rFonts w:ascii="Calibri" w:eastAsia="Times New Roman" w:hAnsi="Calibri" w:cs="Calibri"/>
                <w:sz w:val="20"/>
                <w:szCs w:val="20"/>
                <w:lang w:eastAsia="en-CA"/>
              </w:rPr>
              <w:t>0</w:t>
            </w:r>
          </w:p>
        </w:tc>
        <w:tc>
          <w:tcPr>
            <w:tcW w:w="1137" w:type="dxa"/>
            <w:tcBorders>
              <w:top w:val="nil"/>
              <w:left w:val="single" w:sz="4" w:space="0" w:color="BFBFBF"/>
              <w:bottom w:val="nil"/>
              <w:right w:val="single" w:sz="4" w:space="0" w:color="BFBFBF"/>
            </w:tcBorders>
            <w:shd w:val="clear" w:color="EDEDED" w:fill="EDEDED"/>
            <w:noWrap/>
            <w:hideMark/>
          </w:tcPr>
          <w:p w14:paraId="76E2CEEE"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53.</w:t>
            </w:r>
            <w:r>
              <w:rPr>
                <w:rFonts w:ascii="Calibri" w:eastAsia="Times New Roman" w:hAnsi="Calibri" w:cs="Calibri"/>
                <w:sz w:val="20"/>
                <w:szCs w:val="20"/>
                <w:lang w:eastAsia="en-CA"/>
              </w:rPr>
              <w:t>60</w:t>
            </w:r>
          </w:p>
        </w:tc>
        <w:tc>
          <w:tcPr>
            <w:tcW w:w="1136" w:type="dxa"/>
            <w:tcBorders>
              <w:top w:val="nil"/>
              <w:left w:val="single" w:sz="4" w:space="0" w:color="BFBFBF"/>
              <w:bottom w:val="nil"/>
              <w:right w:val="single" w:sz="4" w:space="0" w:color="BFBFBF"/>
            </w:tcBorders>
            <w:shd w:val="clear" w:color="EDEDED" w:fill="EDEDED"/>
            <w:noWrap/>
            <w:hideMark/>
          </w:tcPr>
          <w:p w14:paraId="76297B0A"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6</w:t>
            </w:r>
            <w:r>
              <w:rPr>
                <w:rFonts w:ascii="Calibri" w:eastAsia="Times New Roman" w:hAnsi="Calibri" w:cs="Calibri"/>
                <w:sz w:val="20"/>
                <w:szCs w:val="20"/>
                <w:lang w:eastAsia="en-CA"/>
              </w:rPr>
              <w:t>2.00</w:t>
            </w:r>
          </w:p>
        </w:tc>
        <w:tc>
          <w:tcPr>
            <w:tcW w:w="1137" w:type="dxa"/>
            <w:tcBorders>
              <w:top w:val="nil"/>
              <w:left w:val="single" w:sz="4" w:space="0" w:color="BFBFBF"/>
              <w:bottom w:val="nil"/>
              <w:right w:val="single" w:sz="4" w:space="0" w:color="BFBFBF"/>
            </w:tcBorders>
            <w:shd w:val="clear" w:color="EDEDED" w:fill="EDEDED"/>
            <w:noWrap/>
            <w:hideMark/>
          </w:tcPr>
          <w:p w14:paraId="30623521"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23.</w:t>
            </w:r>
            <w:r>
              <w:rPr>
                <w:rFonts w:ascii="Calibri" w:eastAsia="Times New Roman" w:hAnsi="Calibri" w:cs="Calibri"/>
                <w:sz w:val="20"/>
                <w:szCs w:val="20"/>
                <w:lang w:eastAsia="en-CA"/>
              </w:rPr>
              <w:t>20</w:t>
            </w:r>
          </w:p>
        </w:tc>
        <w:tc>
          <w:tcPr>
            <w:tcW w:w="1136" w:type="dxa"/>
            <w:tcBorders>
              <w:top w:val="nil"/>
              <w:left w:val="single" w:sz="4" w:space="0" w:color="BFBFBF"/>
              <w:bottom w:val="nil"/>
              <w:right w:val="single" w:sz="4" w:space="0" w:color="BFBFBF"/>
            </w:tcBorders>
            <w:shd w:val="clear" w:color="EDEDED" w:fill="EDEDED"/>
            <w:noWrap/>
            <w:hideMark/>
          </w:tcPr>
          <w:p w14:paraId="429D0EA0"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3.</w:t>
            </w:r>
            <w:r>
              <w:rPr>
                <w:rFonts w:ascii="Calibri" w:eastAsia="Times New Roman" w:hAnsi="Calibri" w:cs="Calibri"/>
                <w:sz w:val="20"/>
                <w:szCs w:val="20"/>
                <w:lang w:eastAsia="en-CA"/>
              </w:rPr>
              <w:t>20</w:t>
            </w:r>
          </w:p>
        </w:tc>
        <w:tc>
          <w:tcPr>
            <w:tcW w:w="1137" w:type="dxa"/>
            <w:tcBorders>
              <w:top w:val="nil"/>
              <w:left w:val="single" w:sz="4" w:space="0" w:color="BFBFBF"/>
              <w:bottom w:val="nil"/>
              <w:right w:val="single" w:sz="4" w:space="0" w:color="BFBFBF"/>
            </w:tcBorders>
            <w:shd w:val="clear" w:color="EDEDED" w:fill="EDEDED"/>
            <w:noWrap/>
            <w:hideMark/>
          </w:tcPr>
          <w:p w14:paraId="1E46EF96"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1.2</w:t>
            </w:r>
            <w:r>
              <w:rPr>
                <w:rFonts w:ascii="Calibri" w:eastAsia="Times New Roman" w:hAnsi="Calibri" w:cs="Calibri"/>
                <w:sz w:val="20"/>
                <w:szCs w:val="20"/>
                <w:lang w:eastAsia="en-CA"/>
              </w:rPr>
              <w:t>0</w:t>
            </w:r>
          </w:p>
        </w:tc>
        <w:tc>
          <w:tcPr>
            <w:tcW w:w="1137" w:type="dxa"/>
            <w:tcBorders>
              <w:top w:val="nil"/>
              <w:left w:val="single" w:sz="4" w:space="0" w:color="BFBFBF"/>
              <w:bottom w:val="nil"/>
              <w:right w:val="single" w:sz="4" w:space="0" w:color="BFBFBF"/>
            </w:tcBorders>
            <w:shd w:val="clear" w:color="EDEDED" w:fill="EDEDED"/>
            <w:noWrap/>
            <w:hideMark/>
          </w:tcPr>
          <w:p w14:paraId="226210B4"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10.</w:t>
            </w:r>
            <w:r>
              <w:rPr>
                <w:rFonts w:ascii="Calibri" w:eastAsia="Times New Roman" w:hAnsi="Calibri" w:cs="Calibri"/>
                <w:sz w:val="20"/>
                <w:szCs w:val="20"/>
                <w:lang w:eastAsia="en-CA"/>
              </w:rPr>
              <w:t>40</w:t>
            </w:r>
          </w:p>
        </w:tc>
        <w:tc>
          <w:tcPr>
            <w:tcW w:w="1525" w:type="dxa"/>
            <w:tcBorders>
              <w:top w:val="nil"/>
              <w:left w:val="single" w:sz="4" w:space="0" w:color="BFBFBF"/>
              <w:bottom w:val="nil"/>
              <w:right w:val="single" w:sz="4" w:space="0" w:color="BFBFBF"/>
            </w:tcBorders>
            <w:shd w:val="clear" w:color="EDEDED" w:fill="EDEDED"/>
            <w:noWrap/>
            <w:hideMark/>
          </w:tcPr>
          <w:p w14:paraId="2727A09C"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9.93  (0.63)</w:t>
            </w:r>
          </w:p>
        </w:tc>
      </w:tr>
      <w:tr w:rsidR="00646E2D" w:rsidRPr="00E24F4A" w14:paraId="6DDA3DC6" w14:textId="77777777" w:rsidTr="00354B46">
        <w:trPr>
          <w:trHeight w:val="263"/>
        </w:trPr>
        <w:tc>
          <w:tcPr>
            <w:tcW w:w="842" w:type="dxa"/>
            <w:tcBorders>
              <w:top w:val="nil"/>
              <w:left w:val="single" w:sz="4" w:space="0" w:color="BFBFBF"/>
              <w:bottom w:val="nil"/>
              <w:right w:val="nil"/>
            </w:tcBorders>
            <w:shd w:val="clear" w:color="auto" w:fill="auto"/>
            <w:noWrap/>
            <w:hideMark/>
          </w:tcPr>
          <w:p w14:paraId="33DACB07"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site06</w:t>
            </w:r>
          </w:p>
        </w:tc>
        <w:tc>
          <w:tcPr>
            <w:tcW w:w="1136" w:type="dxa"/>
            <w:tcBorders>
              <w:top w:val="nil"/>
              <w:left w:val="single" w:sz="4" w:space="0" w:color="BFBFBF"/>
              <w:bottom w:val="nil"/>
              <w:right w:val="single" w:sz="4" w:space="0" w:color="BFBFBF"/>
            </w:tcBorders>
            <w:shd w:val="clear" w:color="auto" w:fill="auto"/>
            <w:noWrap/>
            <w:hideMark/>
          </w:tcPr>
          <w:p w14:paraId="6BAB8CA7"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400</w:t>
            </w:r>
          </w:p>
        </w:tc>
        <w:tc>
          <w:tcPr>
            <w:tcW w:w="1137" w:type="dxa"/>
            <w:tcBorders>
              <w:top w:val="nil"/>
              <w:left w:val="single" w:sz="4" w:space="0" w:color="BFBFBF"/>
              <w:bottom w:val="nil"/>
              <w:right w:val="single" w:sz="4" w:space="0" w:color="BFBFBF"/>
            </w:tcBorders>
            <w:shd w:val="clear" w:color="auto" w:fill="auto"/>
            <w:noWrap/>
            <w:hideMark/>
          </w:tcPr>
          <w:p w14:paraId="2F3FDCF4"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53.25</w:t>
            </w:r>
          </w:p>
        </w:tc>
        <w:tc>
          <w:tcPr>
            <w:tcW w:w="1136" w:type="dxa"/>
            <w:tcBorders>
              <w:top w:val="nil"/>
              <w:left w:val="single" w:sz="4" w:space="0" w:color="BFBFBF"/>
              <w:bottom w:val="nil"/>
              <w:right w:val="single" w:sz="4" w:space="0" w:color="BFBFBF"/>
            </w:tcBorders>
            <w:shd w:val="clear" w:color="auto" w:fill="auto"/>
            <w:noWrap/>
            <w:hideMark/>
          </w:tcPr>
          <w:p w14:paraId="400C40E7"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69.75</w:t>
            </w:r>
          </w:p>
        </w:tc>
        <w:tc>
          <w:tcPr>
            <w:tcW w:w="1137" w:type="dxa"/>
            <w:tcBorders>
              <w:top w:val="nil"/>
              <w:left w:val="single" w:sz="4" w:space="0" w:color="BFBFBF"/>
              <w:bottom w:val="nil"/>
              <w:right w:val="single" w:sz="4" w:space="0" w:color="BFBFBF"/>
            </w:tcBorders>
            <w:shd w:val="clear" w:color="auto" w:fill="auto"/>
            <w:noWrap/>
            <w:hideMark/>
          </w:tcPr>
          <w:p w14:paraId="3122A39A"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2.75</w:t>
            </w:r>
          </w:p>
        </w:tc>
        <w:tc>
          <w:tcPr>
            <w:tcW w:w="1136" w:type="dxa"/>
            <w:tcBorders>
              <w:top w:val="nil"/>
              <w:left w:val="single" w:sz="4" w:space="0" w:color="BFBFBF"/>
              <w:bottom w:val="nil"/>
              <w:right w:val="single" w:sz="4" w:space="0" w:color="BFBFBF"/>
            </w:tcBorders>
            <w:shd w:val="clear" w:color="auto" w:fill="auto"/>
            <w:noWrap/>
            <w:hideMark/>
          </w:tcPr>
          <w:p w14:paraId="18EB21F1"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15</w:t>
            </w:r>
          </w:p>
        </w:tc>
        <w:tc>
          <w:tcPr>
            <w:tcW w:w="1137" w:type="dxa"/>
            <w:tcBorders>
              <w:top w:val="nil"/>
              <w:left w:val="single" w:sz="4" w:space="0" w:color="BFBFBF"/>
              <w:bottom w:val="nil"/>
              <w:right w:val="single" w:sz="4" w:space="0" w:color="BFBFBF"/>
            </w:tcBorders>
            <w:shd w:val="clear" w:color="auto" w:fill="auto"/>
            <w:noWrap/>
            <w:hideMark/>
          </w:tcPr>
          <w:p w14:paraId="0F81C99C"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3</w:t>
            </w:r>
          </w:p>
        </w:tc>
        <w:tc>
          <w:tcPr>
            <w:tcW w:w="1137" w:type="dxa"/>
            <w:tcBorders>
              <w:top w:val="nil"/>
              <w:left w:val="single" w:sz="4" w:space="0" w:color="BFBFBF"/>
              <w:bottom w:val="nil"/>
              <w:right w:val="single" w:sz="4" w:space="0" w:color="BFBFBF"/>
            </w:tcBorders>
            <w:shd w:val="clear" w:color="auto" w:fill="auto"/>
            <w:noWrap/>
            <w:hideMark/>
          </w:tcPr>
          <w:p w14:paraId="01201BD9"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9.5</w:t>
            </w:r>
          </w:p>
        </w:tc>
        <w:tc>
          <w:tcPr>
            <w:tcW w:w="1525" w:type="dxa"/>
            <w:tcBorders>
              <w:top w:val="nil"/>
              <w:left w:val="single" w:sz="4" w:space="0" w:color="BFBFBF"/>
              <w:bottom w:val="nil"/>
              <w:right w:val="single" w:sz="4" w:space="0" w:color="BFBFBF"/>
            </w:tcBorders>
            <w:shd w:val="clear" w:color="auto" w:fill="auto"/>
            <w:noWrap/>
            <w:hideMark/>
          </w:tcPr>
          <w:p w14:paraId="47D913D2"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9.98  (0.58)</w:t>
            </w:r>
          </w:p>
        </w:tc>
      </w:tr>
      <w:tr w:rsidR="00646E2D" w:rsidRPr="00E24F4A" w14:paraId="24626407" w14:textId="77777777" w:rsidTr="00354B46">
        <w:trPr>
          <w:trHeight w:val="263"/>
        </w:trPr>
        <w:tc>
          <w:tcPr>
            <w:tcW w:w="842" w:type="dxa"/>
            <w:tcBorders>
              <w:top w:val="nil"/>
              <w:left w:val="single" w:sz="4" w:space="0" w:color="BFBFBF"/>
              <w:bottom w:val="nil"/>
              <w:right w:val="nil"/>
            </w:tcBorders>
            <w:shd w:val="clear" w:color="EDEDED" w:fill="EDEDED"/>
            <w:noWrap/>
            <w:hideMark/>
          </w:tcPr>
          <w:p w14:paraId="6880BC1B"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site07</w:t>
            </w:r>
          </w:p>
        </w:tc>
        <w:tc>
          <w:tcPr>
            <w:tcW w:w="1136" w:type="dxa"/>
            <w:tcBorders>
              <w:top w:val="nil"/>
              <w:left w:val="single" w:sz="4" w:space="0" w:color="BFBFBF"/>
              <w:bottom w:val="nil"/>
              <w:right w:val="single" w:sz="4" w:space="0" w:color="BFBFBF"/>
            </w:tcBorders>
            <w:shd w:val="clear" w:color="EDEDED" w:fill="EDEDED"/>
            <w:noWrap/>
            <w:hideMark/>
          </w:tcPr>
          <w:p w14:paraId="2DBD364B"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204</w:t>
            </w:r>
          </w:p>
        </w:tc>
        <w:tc>
          <w:tcPr>
            <w:tcW w:w="1137" w:type="dxa"/>
            <w:tcBorders>
              <w:top w:val="nil"/>
              <w:left w:val="single" w:sz="4" w:space="0" w:color="BFBFBF"/>
              <w:bottom w:val="nil"/>
              <w:right w:val="single" w:sz="4" w:space="0" w:color="BFBFBF"/>
            </w:tcBorders>
            <w:shd w:val="clear" w:color="EDEDED" w:fill="EDEDED"/>
            <w:noWrap/>
            <w:hideMark/>
          </w:tcPr>
          <w:p w14:paraId="4ED8B6F5"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50.49</w:t>
            </w:r>
          </w:p>
        </w:tc>
        <w:tc>
          <w:tcPr>
            <w:tcW w:w="1136" w:type="dxa"/>
            <w:tcBorders>
              <w:top w:val="nil"/>
              <w:left w:val="single" w:sz="4" w:space="0" w:color="BFBFBF"/>
              <w:bottom w:val="nil"/>
              <w:right w:val="single" w:sz="4" w:space="0" w:color="BFBFBF"/>
            </w:tcBorders>
            <w:shd w:val="clear" w:color="EDEDED" w:fill="EDEDED"/>
            <w:noWrap/>
            <w:hideMark/>
          </w:tcPr>
          <w:p w14:paraId="6AEFBB6E"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57.84</w:t>
            </w:r>
          </w:p>
        </w:tc>
        <w:tc>
          <w:tcPr>
            <w:tcW w:w="1137" w:type="dxa"/>
            <w:tcBorders>
              <w:top w:val="nil"/>
              <w:left w:val="single" w:sz="4" w:space="0" w:color="BFBFBF"/>
              <w:bottom w:val="nil"/>
              <w:right w:val="single" w:sz="4" w:space="0" w:color="BFBFBF"/>
            </w:tcBorders>
            <w:shd w:val="clear" w:color="EDEDED" w:fill="EDEDED"/>
            <w:noWrap/>
            <w:hideMark/>
          </w:tcPr>
          <w:p w14:paraId="09F6506B"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17.65</w:t>
            </w:r>
          </w:p>
        </w:tc>
        <w:tc>
          <w:tcPr>
            <w:tcW w:w="1136" w:type="dxa"/>
            <w:tcBorders>
              <w:top w:val="nil"/>
              <w:left w:val="single" w:sz="4" w:space="0" w:color="BFBFBF"/>
              <w:bottom w:val="nil"/>
              <w:right w:val="single" w:sz="4" w:space="0" w:color="BFBFBF"/>
            </w:tcBorders>
            <w:shd w:val="clear" w:color="EDEDED" w:fill="EDEDED"/>
            <w:noWrap/>
            <w:hideMark/>
          </w:tcPr>
          <w:p w14:paraId="4977CA40"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12.75</w:t>
            </w:r>
          </w:p>
        </w:tc>
        <w:tc>
          <w:tcPr>
            <w:tcW w:w="1137" w:type="dxa"/>
            <w:tcBorders>
              <w:top w:val="nil"/>
              <w:left w:val="single" w:sz="4" w:space="0" w:color="BFBFBF"/>
              <w:bottom w:val="nil"/>
              <w:right w:val="single" w:sz="4" w:space="0" w:color="BFBFBF"/>
            </w:tcBorders>
            <w:shd w:val="clear" w:color="EDEDED" w:fill="EDEDED"/>
            <w:noWrap/>
            <w:hideMark/>
          </w:tcPr>
          <w:p w14:paraId="1396C7A1"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2.45</w:t>
            </w:r>
          </w:p>
        </w:tc>
        <w:tc>
          <w:tcPr>
            <w:tcW w:w="1137" w:type="dxa"/>
            <w:tcBorders>
              <w:top w:val="nil"/>
              <w:left w:val="single" w:sz="4" w:space="0" w:color="BFBFBF"/>
              <w:bottom w:val="nil"/>
              <w:right w:val="single" w:sz="4" w:space="0" w:color="BFBFBF"/>
            </w:tcBorders>
            <w:shd w:val="clear" w:color="EDEDED" w:fill="EDEDED"/>
            <w:noWrap/>
            <w:hideMark/>
          </w:tcPr>
          <w:p w14:paraId="1A751ED1"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9.31</w:t>
            </w:r>
          </w:p>
        </w:tc>
        <w:tc>
          <w:tcPr>
            <w:tcW w:w="1525" w:type="dxa"/>
            <w:tcBorders>
              <w:top w:val="nil"/>
              <w:left w:val="single" w:sz="4" w:space="0" w:color="BFBFBF"/>
              <w:bottom w:val="nil"/>
              <w:right w:val="single" w:sz="4" w:space="0" w:color="BFBFBF"/>
            </w:tcBorders>
            <w:shd w:val="clear" w:color="EDEDED" w:fill="EDEDED"/>
            <w:noWrap/>
            <w:hideMark/>
          </w:tcPr>
          <w:p w14:paraId="1A2BFBAA"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9.87  (0.63)</w:t>
            </w:r>
          </w:p>
        </w:tc>
      </w:tr>
      <w:tr w:rsidR="00646E2D" w:rsidRPr="00E24F4A" w14:paraId="0613E903" w14:textId="77777777" w:rsidTr="00354B46">
        <w:trPr>
          <w:trHeight w:val="263"/>
        </w:trPr>
        <w:tc>
          <w:tcPr>
            <w:tcW w:w="842" w:type="dxa"/>
            <w:tcBorders>
              <w:top w:val="nil"/>
              <w:left w:val="single" w:sz="4" w:space="0" w:color="BFBFBF"/>
              <w:bottom w:val="nil"/>
              <w:right w:val="nil"/>
            </w:tcBorders>
            <w:shd w:val="clear" w:color="auto" w:fill="auto"/>
            <w:noWrap/>
            <w:hideMark/>
          </w:tcPr>
          <w:p w14:paraId="6DA42E04"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site09</w:t>
            </w:r>
          </w:p>
        </w:tc>
        <w:tc>
          <w:tcPr>
            <w:tcW w:w="1136" w:type="dxa"/>
            <w:tcBorders>
              <w:top w:val="nil"/>
              <w:left w:val="single" w:sz="4" w:space="0" w:color="BFBFBF"/>
              <w:bottom w:val="nil"/>
              <w:right w:val="single" w:sz="4" w:space="0" w:color="BFBFBF"/>
            </w:tcBorders>
            <w:shd w:val="clear" w:color="auto" w:fill="auto"/>
            <w:noWrap/>
            <w:hideMark/>
          </w:tcPr>
          <w:p w14:paraId="4E86489D"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254</w:t>
            </w:r>
          </w:p>
        </w:tc>
        <w:tc>
          <w:tcPr>
            <w:tcW w:w="1137" w:type="dxa"/>
            <w:tcBorders>
              <w:top w:val="nil"/>
              <w:left w:val="single" w:sz="4" w:space="0" w:color="BFBFBF"/>
              <w:bottom w:val="nil"/>
              <w:right w:val="single" w:sz="4" w:space="0" w:color="BFBFBF"/>
            </w:tcBorders>
            <w:shd w:val="clear" w:color="auto" w:fill="auto"/>
            <w:noWrap/>
            <w:hideMark/>
          </w:tcPr>
          <w:p w14:paraId="109C7DF0"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53.54</w:t>
            </w:r>
          </w:p>
        </w:tc>
        <w:tc>
          <w:tcPr>
            <w:tcW w:w="1136" w:type="dxa"/>
            <w:tcBorders>
              <w:top w:val="nil"/>
              <w:left w:val="single" w:sz="4" w:space="0" w:color="BFBFBF"/>
              <w:bottom w:val="nil"/>
              <w:right w:val="single" w:sz="4" w:space="0" w:color="BFBFBF"/>
            </w:tcBorders>
            <w:shd w:val="clear" w:color="auto" w:fill="auto"/>
            <w:noWrap/>
            <w:hideMark/>
          </w:tcPr>
          <w:p w14:paraId="5E981DED"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30.71</w:t>
            </w:r>
          </w:p>
        </w:tc>
        <w:tc>
          <w:tcPr>
            <w:tcW w:w="1137" w:type="dxa"/>
            <w:tcBorders>
              <w:top w:val="nil"/>
              <w:left w:val="single" w:sz="4" w:space="0" w:color="BFBFBF"/>
              <w:bottom w:val="nil"/>
              <w:right w:val="single" w:sz="4" w:space="0" w:color="BFBFBF"/>
            </w:tcBorders>
            <w:shd w:val="clear" w:color="auto" w:fill="auto"/>
            <w:noWrap/>
            <w:hideMark/>
          </w:tcPr>
          <w:p w14:paraId="0CC100B7"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8.66</w:t>
            </w:r>
          </w:p>
        </w:tc>
        <w:tc>
          <w:tcPr>
            <w:tcW w:w="1136" w:type="dxa"/>
            <w:tcBorders>
              <w:top w:val="nil"/>
              <w:left w:val="single" w:sz="4" w:space="0" w:color="BFBFBF"/>
              <w:bottom w:val="nil"/>
              <w:right w:val="single" w:sz="4" w:space="0" w:color="BFBFBF"/>
            </w:tcBorders>
            <w:shd w:val="clear" w:color="auto" w:fill="auto"/>
            <w:noWrap/>
            <w:hideMark/>
          </w:tcPr>
          <w:p w14:paraId="63452A5F"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38.19</w:t>
            </w:r>
          </w:p>
        </w:tc>
        <w:tc>
          <w:tcPr>
            <w:tcW w:w="1137" w:type="dxa"/>
            <w:tcBorders>
              <w:top w:val="nil"/>
              <w:left w:val="single" w:sz="4" w:space="0" w:color="BFBFBF"/>
              <w:bottom w:val="nil"/>
              <w:right w:val="single" w:sz="4" w:space="0" w:color="BFBFBF"/>
            </w:tcBorders>
            <w:shd w:val="clear" w:color="auto" w:fill="auto"/>
            <w:noWrap/>
            <w:hideMark/>
          </w:tcPr>
          <w:p w14:paraId="6F7759B2"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8.66</w:t>
            </w:r>
          </w:p>
        </w:tc>
        <w:tc>
          <w:tcPr>
            <w:tcW w:w="1137" w:type="dxa"/>
            <w:tcBorders>
              <w:top w:val="nil"/>
              <w:left w:val="single" w:sz="4" w:space="0" w:color="BFBFBF"/>
              <w:bottom w:val="nil"/>
              <w:right w:val="single" w:sz="4" w:space="0" w:color="BFBFBF"/>
            </w:tcBorders>
            <w:shd w:val="clear" w:color="auto" w:fill="auto"/>
            <w:noWrap/>
            <w:hideMark/>
          </w:tcPr>
          <w:p w14:paraId="50B9040A"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13.78</w:t>
            </w:r>
          </w:p>
        </w:tc>
        <w:tc>
          <w:tcPr>
            <w:tcW w:w="1525" w:type="dxa"/>
            <w:tcBorders>
              <w:top w:val="nil"/>
              <w:left w:val="single" w:sz="4" w:space="0" w:color="BFBFBF"/>
              <w:bottom w:val="nil"/>
              <w:right w:val="single" w:sz="4" w:space="0" w:color="BFBFBF"/>
            </w:tcBorders>
            <w:shd w:val="clear" w:color="auto" w:fill="auto"/>
            <w:noWrap/>
            <w:hideMark/>
          </w:tcPr>
          <w:p w14:paraId="64DCCF91"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9.99  (0.61)</w:t>
            </w:r>
          </w:p>
        </w:tc>
      </w:tr>
      <w:tr w:rsidR="00646E2D" w:rsidRPr="00E24F4A" w14:paraId="662AD5B8" w14:textId="77777777" w:rsidTr="00354B46">
        <w:trPr>
          <w:trHeight w:val="263"/>
        </w:trPr>
        <w:tc>
          <w:tcPr>
            <w:tcW w:w="842" w:type="dxa"/>
            <w:tcBorders>
              <w:top w:val="nil"/>
              <w:left w:val="single" w:sz="4" w:space="0" w:color="BFBFBF"/>
              <w:bottom w:val="nil"/>
              <w:right w:val="nil"/>
            </w:tcBorders>
            <w:shd w:val="clear" w:color="EDEDED" w:fill="EDEDED"/>
            <w:noWrap/>
            <w:hideMark/>
          </w:tcPr>
          <w:p w14:paraId="44DECAD1"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site10</w:t>
            </w:r>
          </w:p>
        </w:tc>
        <w:tc>
          <w:tcPr>
            <w:tcW w:w="1136" w:type="dxa"/>
            <w:tcBorders>
              <w:top w:val="nil"/>
              <w:left w:val="single" w:sz="4" w:space="0" w:color="BFBFBF"/>
              <w:bottom w:val="nil"/>
              <w:right w:val="single" w:sz="4" w:space="0" w:color="BFBFBF"/>
            </w:tcBorders>
            <w:shd w:val="clear" w:color="EDEDED" w:fill="EDEDED"/>
            <w:noWrap/>
            <w:hideMark/>
          </w:tcPr>
          <w:p w14:paraId="32178CA4"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167</w:t>
            </w:r>
          </w:p>
        </w:tc>
        <w:tc>
          <w:tcPr>
            <w:tcW w:w="1137" w:type="dxa"/>
            <w:tcBorders>
              <w:top w:val="nil"/>
              <w:left w:val="single" w:sz="4" w:space="0" w:color="BFBFBF"/>
              <w:bottom w:val="nil"/>
              <w:right w:val="single" w:sz="4" w:space="0" w:color="BFBFBF"/>
            </w:tcBorders>
            <w:shd w:val="clear" w:color="EDEDED" w:fill="EDEDED"/>
            <w:noWrap/>
            <w:hideMark/>
          </w:tcPr>
          <w:p w14:paraId="4C7B4BD0"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50.9</w:t>
            </w:r>
          </w:p>
        </w:tc>
        <w:tc>
          <w:tcPr>
            <w:tcW w:w="1136" w:type="dxa"/>
            <w:tcBorders>
              <w:top w:val="nil"/>
              <w:left w:val="single" w:sz="4" w:space="0" w:color="BFBFBF"/>
              <w:bottom w:val="nil"/>
              <w:right w:val="single" w:sz="4" w:space="0" w:color="BFBFBF"/>
            </w:tcBorders>
            <w:shd w:val="clear" w:color="EDEDED" w:fill="EDEDED"/>
            <w:noWrap/>
            <w:hideMark/>
          </w:tcPr>
          <w:p w14:paraId="31185B68"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29.34</w:t>
            </w:r>
          </w:p>
        </w:tc>
        <w:tc>
          <w:tcPr>
            <w:tcW w:w="1137" w:type="dxa"/>
            <w:tcBorders>
              <w:top w:val="nil"/>
              <w:left w:val="single" w:sz="4" w:space="0" w:color="BFBFBF"/>
              <w:bottom w:val="nil"/>
              <w:right w:val="single" w:sz="4" w:space="0" w:color="BFBFBF"/>
            </w:tcBorders>
            <w:shd w:val="clear" w:color="EDEDED" w:fill="EDEDED"/>
            <w:noWrap/>
            <w:hideMark/>
          </w:tcPr>
          <w:p w14:paraId="0E776D64"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3.59</w:t>
            </w:r>
          </w:p>
        </w:tc>
        <w:tc>
          <w:tcPr>
            <w:tcW w:w="1136" w:type="dxa"/>
            <w:tcBorders>
              <w:top w:val="nil"/>
              <w:left w:val="single" w:sz="4" w:space="0" w:color="BFBFBF"/>
              <w:bottom w:val="nil"/>
              <w:right w:val="single" w:sz="4" w:space="0" w:color="BFBFBF"/>
            </w:tcBorders>
            <w:shd w:val="clear" w:color="EDEDED" w:fill="EDEDED"/>
            <w:noWrap/>
            <w:hideMark/>
          </w:tcPr>
          <w:p w14:paraId="16AC492E"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54.49</w:t>
            </w:r>
          </w:p>
        </w:tc>
        <w:tc>
          <w:tcPr>
            <w:tcW w:w="1137" w:type="dxa"/>
            <w:tcBorders>
              <w:top w:val="nil"/>
              <w:left w:val="single" w:sz="4" w:space="0" w:color="BFBFBF"/>
              <w:bottom w:val="nil"/>
              <w:right w:val="single" w:sz="4" w:space="0" w:color="BFBFBF"/>
            </w:tcBorders>
            <w:shd w:val="clear" w:color="EDEDED" w:fill="EDEDED"/>
            <w:noWrap/>
            <w:hideMark/>
          </w:tcPr>
          <w:p w14:paraId="6A8037DC"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1.2</w:t>
            </w:r>
          </w:p>
        </w:tc>
        <w:tc>
          <w:tcPr>
            <w:tcW w:w="1137" w:type="dxa"/>
            <w:tcBorders>
              <w:top w:val="nil"/>
              <w:left w:val="single" w:sz="4" w:space="0" w:color="BFBFBF"/>
              <w:bottom w:val="nil"/>
              <w:right w:val="single" w:sz="4" w:space="0" w:color="BFBFBF"/>
            </w:tcBorders>
            <w:shd w:val="clear" w:color="EDEDED" w:fill="EDEDED"/>
            <w:noWrap/>
            <w:hideMark/>
          </w:tcPr>
          <w:p w14:paraId="53EBDE12"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11.38</w:t>
            </w:r>
          </w:p>
        </w:tc>
        <w:tc>
          <w:tcPr>
            <w:tcW w:w="1525" w:type="dxa"/>
            <w:tcBorders>
              <w:top w:val="nil"/>
              <w:left w:val="single" w:sz="4" w:space="0" w:color="BFBFBF"/>
              <w:bottom w:val="nil"/>
              <w:right w:val="single" w:sz="4" w:space="0" w:color="BFBFBF"/>
            </w:tcBorders>
            <w:shd w:val="clear" w:color="EDEDED" w:fill="EDEDED"/>
            <w:noWrap/>
            <w:hideMark/>
          </w:tcPr>
          <w:p w14:paraId="1AB328A4"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9.91  (0.63)</w:t>
            </w:r>
          </w:p>
        </w:tc>
      </w:tr>
      <w:tr w:rsidR="00646E2D" w:rsidRPr="00E24F4A" w14:paraId="682CDD04" w14:textId="77777777" w:rsidTr="00354B46">
        <w:trPr>
          <w:trHeight w:val="263"/>
        </w:trPr>
        <w:tc>
          <w:tcPr>
            <w:tcW w:w="842" w:type="dxa"/>
            <w:tcBorders>
              <w:top w:val="nil"/>
              <w:left w:val="single" w:sz="4" w:space="0" w:color="BFBFBF"/>
              <w:bottom w:val="nil"/>
              <w:right w:val="nil"/>
            </w:tcBorders>
            <w:shd w:val="clear" w:color="auto" w:fill="auto"/>
            <w:noWrap/>
            <w:hideMark/>
          </w:tcPr>
          <w:p w14:paraId="1455F240"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site11</w:t>
            </w:r>
          </w:p>
        </w:tc>
        <w:tc>
          <w:tcPr>
            <w:tcW w:w="1136" w:type="dxa"/>
            <w:tcBorders>
              <w:top w:val="nil"/>
              <w:left w:val="single" w:sz="4" w:space="0" w:color="BFBFBF"/>
              <w:bottom w:val="nil"/>
              <w:right w:val="single" w:sz="4" w:space="0" w:color="BFBFBF"/>
            </w:tcBorders>
            <w:shd w:val="clear" w:color="auto" w:fill="auto"/>
            <w:noWrap/>
            <w:hideMark/>
          </w:tcPr>
          <w:p w14:paraId="403B4523"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290</w:t>
            </w:r>
          </w:p>
        </w:tc>
        <w:tc>
          <w:tcPr>
            <w:tcW w:w="1137" w:type="dxa"/>
            <w:tcBorders>
              <w:top w:val="nil"/>
              <w:left w:val="single" w:sz="4" w:space="0" w:color="BFBFBF"/>
              <w:bottom w:val="nil"/>
              <w:right w:val="single" w:sz="4" w:space="0" w:color="BFBFBF"/>
            </w:tcBorders>
            <w:shd w:val="clear" w:color="auto" w:fill="auto"/>
            <w:noWrap/>
            <w:hideMark/>
          </w:tcPr>
          <w:p w14:paraId="3CD818EC"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52.07</w:t>
            </w:r>
          </w:p>
        </w:tc>
        <w:tc>
          <w:tcPr>
            <w:tcW w:w="1136" w:type="dxa"/>
            <w:tcBorders>
              <w:top w:val="nil"/>
              <w:left w:val="single" w:sz="4" w:space="0" w:color="BFBFBF"/>
              <w:bottom w:val="nil"/>
              <w:right w:val="single" w:sz="4" w:space="0" w:color="BFBFBF"/>
            </w:tcBorders>
            <w:shd w:val="clear" w:color="auto" w:fill="auto"/>
            <w:noWrap/>
            <w:hideMark/>
          </w:tcPr>
          <w:p w14:paraId="4940DAF8"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61.72</w:t>
            </w:r>
          </w:p>
        </w:tc>
        <w:tc>
          <w:tcPr>
            <w:tcW w:w="1137" w:type="dxa"/>
            <w:tcBorders>
              <w:top w:val="nil"/>
              <w:left w:val="single" w:sz="4" w:space="0" w:color="BFBFBF"/>
              <w:bottom w:val="nil"/>
              <w:right w:val="single" w:sz="4" w:space="0" w:color="BFBFBF"/>
            </w:tcBorders>
            <w:shd w:val="clear" w:color="auto" w:fill="auto"/>
            <w:noWrap/>
            <w:hideMark/>
          </w:tcPr>
          <w:p w14:paraId="581D2FA3"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17.24</w:t>
            </w:r>
          </w:p>
        </w:tc>
        <w:tc>
          <w:tcPr>
            <w:tcW w:w="1136" w:type="dxa"/>
            <w:tcBorders>
              <w:top w:val="nil"/>
              <w:left w:val="single" w:sz="4" w:space="0" w:color="BFBFBF"/>
              <w:bottom w:val="nil"/>
              <w:right w:val="single" w:sz="4" w:space="0" w:color="BFBFBF"/>
            </w:tcBorders>
            <w:shd w:val="clear" w:color="auto" w:fill="auto"/>
            <w:noWrap/>
            <w:hideMark/>
          </w:tcPr>
          <w:p w14:paraId="72B96E5B"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9.66</w:t>
            </w:r>
          </w:p>
        </w:tc>
        <w:tc>
          <w:tcPr>
            <w:tcW w:w="1137" w:type="dxa"/>
            <w:tcBorders>
              <w:top w:val="nil"/>
              <w:left w:val="single" w:sz="4" w:space="0" w:color="BFBFBF"/>
              <w:bottom w:val="nil"/>
              <w:right w:val="single" w:sz="4" w:space="0" w:color="BFBFBF"/>
            </w:tcBorders>
            <w:shd w:val="clear" w:color="auto" w:fill="auto"/>
            <w:noWrap/>
            <w:hideMark/>
          </w:tcPr>
          <w:p w14:paraId="4ECB99B6"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0.69</w:t>
            </w:r>
          </w:p>
        </w:tc>
        <w:tc>
          <w:tcPr>
            <w:tcW w:w="1137" w:type="dxa"/>
            <w:tcBorders>
              <w:top w:val="nil"/>
              <w:left w:val="single" w:sz="4" w:space="0" w:color="BFBFBF"/>
              <w:bottom w:val="nil"/>
              <w:right w:val="single" w:sz="4" w:space="0" w:color="BFBFBF"/>
            </w:tcBorders>
            <w:shd w:val="clear" w:color="auto" w:fill="auto"/>
            <w:noWrap/>
            <w:hideMark/>
          </w:tcPr>
          <w:p w14:paraId="73D4B04F"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10.69</w:t>
            </w:r>
          </w:p>
        </w:tc>
        <w:tc>
          <w:tcPr>
            <w:tcW w:w="1525" w:type="dxa"/>
            <w:tcBorders>
              <w:top w:val="nil"/>
              <w:left w:val="single" w:sz="4" w:space="0" w:color="BFBFBF"/>
              <w:bottom w:val="nil"/>
              <w:right w:val="single" w:sz="4" w:space="0" w:color="BFBFBF"/>
            </w:tcBorders>
            <w:shd w:val="clear" w:color="auto" w:fill="auto"/>
            <w:noWrap/>
            <w:hideMark/>
          </w:tcPr>
          <w:p w14:paraId="417CB4B2"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9.87  (0.65)</w:t>
            </w:r>
          </w:p>
        </w:tc>
      </w:tr>
      <w:tr w:rsidR="00646E2D" w:rsidRPr="00E24F4A" w14:paraId="53D20470" w14:textId="77777777" w:rsidTr="00354B46">
        <w:trPr>
          <w:trHeight w:val="263"/>
        </w:trPr>
        <w:tc>
          <w:tcPr>
            <w:tcW w:w="842" w:type="dxa"/>
            <w:tcBorders>
              <w:top w:val="nil"/>
              <w:left w:val="single" w:sz="4" w:space="0" w:color="BFBFBF"/>
              <w:bottom w:val="nil"/>
              <w:right w:val="nil"/>
            </w:tcBorders>
            <w:shd w:val="clear" w:color="EDEDED" w:fill="EDEDED"/>
            <w:noWrap/>
            <w:hideMark/>
          </w:tcPr>
          <w:p w14:paraId="1C27BFD1"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site12</w:t>
            </w:r>
          </w:p>
        </w:tc>
        <w:tc>
          <w:tcPr>
            <w:tcW w:w="1136" w:type="dxa"/>
            <w:tcBorders>
              <w:top w:val="nil"/>
              <w:left w:val="single" w:sz="4" w:space="0" w:color="BFBFBF"/>
              <w:bottom w:val="nil"/>
              <w:right w:val="single" w:sz="4" w:space="0" w:color="BFBFBF"/>
            </w:tcBorders>
            <w:shd w:val="clear" w:color="EDEDED" w:fill="EDEDED"/>
            <w:noWrap/>
            <w:hideMark/>
          </w:tcPr>
          <w:p w14:paraId="3BF674D7"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117</w:t>
            </w:r>
          </w:p>
        </w:tc>
        <w:tc>
          <w:tcPr>
            <w:tcW w:w="1137" w:type="dxa"/>
            <w:tcBorders>
              <w:top w:val="nil"/>
              <w:left w:val="single" w:sz="4" w:space="0" w:color="BFBFBF"/>
              <w:bottom w:val="nil"/>
              <w:right w:val="single" w:sz="4" w:space="0" w:color="BFBFBF"/>
            </w:tcBorders>
            <w:shd w:val="clear" w:color="EDEDED" w:fill="EDEDED"/>
            <w:noWrap/>
            <w:hideMark/>
          </w:tcPr>
          <w:p w14:paraId="78ED339E"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47.86</w:t>
            </w:r>
          </w:p>
        </w:tc>
        <w:tc>
          <w:tcPr>
            <w:tcW w:w="1136" w:type="dxa"/>
            <w:tcBorders>
              <w:top w:val="nil"/>
              <w:left w:val="single" w:sz="4" w:space="0" w:color="BFBFBF"/>
              <w:bottom w:val="nil"/>
              <w:right w:val="single" w:sz="4" w:space="0" w:color="BFBFBF"/>
            </w:tcBorders>
            <w:shd w:val="clear" w:color="EDEDED" w:fill="EDEDED"/>
            <w:noWrap/>
            <w:hideMark/>
          </w:tcPr>
          <w:p w14:paraId="3EE23A98"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48.72</w:t>
            </w:r>
          </w:p>
        </w:tc>
        <w:tc>
          <w:tcPr>
            <w:tcW w:w="1137" w:type="dxa"/>
            <w:tcBorders>
              <w:top w:val="nil"/>
              <w:left w:val="single" w:sz="4" w:space="0" w:color="BFBFBF"/>
              <w:bottom w:val="nil"/>
              <w:right w:val="single" w:sz="4" w:space="0" w:color="BFBFBF"/>
            </w:tcBorders>
            <w:shd w:val="clear" w:color="EDEDED" w:fill="EDEDED"/>
            <w:noWrap/>
            <w:hideMark/>
          </w:tcPr>
          <w:p w14:paraId="07EEBF5A"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27.35</w:t>
            </w:r>
          </w:p>
        </w:tc>
        <w:tc>
          <w:tcPr>
            <w:tcW w:w="1136" w:type="dxa"/>
            <w:tcBorders>
              <w:top w:val="nil"/>
              <w:left w:val="single" w:sz="4" w:space="0" w:color="BFBFBF"/>
              <w:bottom w:val="nil"/>
              <w:right w:val="single" w:sz="4" w:space="0" w:color="BFBFBF"/>
            </w:tcBorders>
            <w:shd w:val="clear" w:color="EDEDED" w:fill="EDEDED"/>
            <w:noWrap/>
            <w:hideMark/>
          </w:tcPr>
          <w:p w14:paraId="6D2F82E9"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8.55</w:t>
            </w:r>
          </w:p>
        </w:tc>
        <w:tc>
          <w:tcPr>
            <w:tcW w:w="1137" w:type="dxa"/>
            <w:tcBorders>
              <w:top w:val="nil"/>
              <w:left w:val="single" w:sz="4" w:space="0" w:color="BFBFBF"/>
              <w:bottom w:val="nil"/>
              <w:right w:val="single" w:sz="4" w:space="0" w:color="BFBFBF"/>
            </w:tcBorders>
            <w:shd w:val="clear" w:color="EDEDED" w:fill="EDEDED"/>
            <w:noWrap/>
            <w:hideMark/>
          </w:tcPr>
          <w:p w14:paraId="52BE0CB8"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1.71</w:t>
            </w:r>
          </w:p>
        </w:tc>
        <w:tc>
          <w:tcPr>
            <w:tcW w:w="1137" w:type="dxa"/>
            <w:tcBorders>
              <w:top w:val="nil"/>
              <w:left w:val="single" w:sz="4" w:space="0" w:color="BFBFBF"/>
              <w:bottom w:val="nil"/>
              <w:right w:val="single" w:sz="4" w:space="0" w:color="BFBFBF"/>
            </w:tcBorders>
            <w:shd w:val="clear" w:color="EDEDED" w:fill="EDEDED"/>
            <w:noWrap/>
            <w:hideMark/>
          </w:tcPr>
          <w:p w14:paraId="5FFAD438"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13.68</w:t>
            </w:r>
          </w:p>
        </w:tc>
        <w:tc>
          <w:tcPr>
            <w:tcW w:w="1525" w:type="dxa"/>
            <w:tcBorders>
              <w:top w:val="nil"/>
              <w:left w:val="single" w:sz="4" w:space="0" w:color="BFBFBF"/>
              <w:bottom w:val="nil"/>
              <w:right w:val="single" w:sz="4" w:space="0" w:color="BFBFBF"/>
            </w:tcBorders>
            <w:shd w:val="clear" w:color="EDEDED" w:fill="EDEDED"/>
            <w:noWrap/>
            <w:hideMark/>
          </w:tcPr>
          <w:p w14:paraId="34AC5F55"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9.85  (0.59)</w:t>
            </w:r>
          </w:p>
        </w:tc>
      </w:tr>
      <w:tr w:rsidR="00646E2D" w:rsidRPr="00E24F4A" w14:paraId="7FF539DB" w14:textId="77777777" w:rsidTr="00354B46">
        <w:trPr>
          <w:trHeight w:val="263"/>
        </w:trPr>
        <w:tc>
          <w:tcPr>
            <w:tcW w:w="842" w:type="dxa"/>
            <w:tcBorders>
              <w:top w:val="nil"/>
              <w:left w:val="single" w:sz="4" w:space="0" w:color="BFBFBF"/>
              <w:bottom w:val="nil"/>
              <w:right w:val="nil"/>
            </w:tcBorders>
            <w:shd w:val="clear" w:color="auto" w:fill="auto"/>
            <w:noWrap/>
            <w:hideMark/>
          </w:tcPr>
          <w:p w14:paraId="3B011E3F"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site13</w:t>
            </w:r>
          </w:p>
        </w:tc>
        <w:tc>
          <w:tcPr>
            <w:tcW w:w="1136" w:type="dxa"/>
            <w:tcBorders>
              <w:top w:val="nil"/>
              <w:left w:val="single" w:sz="4" w:space="0" w:color="BFBFBF"/>
              <w:bottom w:val="nil"/>
              <w:right w:val="single" w:sz="4" w:space="0" w:color="BFBFBF"/>
            </w:tcBorders>
            <w:shd w:val="clear" w:color="auto" w:fill="auto"/>
            <w:noWrap/>
            <w:hideMark/>
          </w:tcPr>
          <w:p w14:paraId="34F21D65"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205</w:t>
            </w:r>
          </w:p>
        </w:tc>
        <w:tc>
          <w:tcPr>
            <w:tcW w:w="1137" w:type="dxa"/>
            <w:tcBorders>
              <w:top w:val="nil"/>
              <w:left w:val="single" w:sz="4" w:space="0" w:color="BFBFBF"/>
              <w:bottom w:val="nil"/>
              <w:right w:val="single" w:sz="4" w:space="0" w:color="BFBFBF"/>
            </w:tcBorders>
            <w:shd w:val="clear" w:color="auto" w:fill="auto"/>
            <w:noWrap/>
            <w:hideMark/>
          </w:tcPr>
          <w:p w14:paraId="475E829C"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52.2</w:t>
            </w:r>
          </w:p>
        </w:tc>
        <w:tc>
          <w:tcPr>
            <w:tcW w:w="1136" w:type="dxa"/>
            <w:tcBorders>
              <w:top w:val="nil"/>
              <w:left w:val="single" w:sz="4" w:space="0" w:color="BFBFBF"/>
              <w:bottom w:val="nil"/>
              <w:right w:val="single" w:sz="4" w:space="0" w:color="BFBFBF"/>
            </w:tcBorders>
            <w:shd w:val="clear" w:color="auto" w:fill="auto"/>
            <w:noWrap/>
            <w:hideMark/>
          </w:tcPr>
          <w:p w14:paraId="0FC56920"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62.44</w:t>
            </w:r>
          </w:p>
        </w:tc>
        <w:tc>
          <w:tcPr>
            <w:tcW w:w="1137" w:type="dxa"/>
            <w:tcBorders>
              <w:top w:val="nil"/>
              <w:left w:val="single" w:sz="4" w:space="0" w:color="BFBFBF"/>
              <w:bottom w:val="nil"/>
              <w:right w:val="single" w:sz="4" w:space="0" w:color="BFBFBF"/>
            </w:tcBorders>
            <w:shd w:val="clear" w:color="auto" w:fill="auto"/>
            <w:noWrap/>
            <w:hideMark/>
          </w:tcPr>
          <w:p w14:paraId="235EAAEC"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15.12</w:t>
            </w:r>
          </w:p>
        </w:tc>
        <w:tc>
          <w:tcPr>
            <w:tcW w:w="1136" w:type="dxa"/>
            <w:tcBorders>
              <w:top w:val="nil"/>
              <w:left w:val="single" w:sz="4" w:space="0" w:color="BFBFBF"/>
              <w:bottom w:val="nil"/>
              <w:right w:val="single" w:sz="4" w:space="0" w:color="BFBFBF"/>
            </w:tcBorders>
            <w:shd w:val="clear" w:color="auto" w:fill="auto"/>
            <w:noWrap/>
            <w:hideMark/>
          </w:tcPr>
          <w:p w14:paraId="01CFDF5A"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9.76</w:t>
            </w:r>
          </w:p>
        </w:tc>
        <w:tc>
          <w:tcPr>
            <w:tcW w:w="1137" w:type="dxa"/>
            <w:tcBorders>
              <w:top w:val="nil"/>
              <w:left w:val="single" w:sz="4" w:space="0" w:color="BFBFBF"/>
              <w:bottom w:val="nil"/>
              <w:right w:val="single" w:sz="4" w:space="0" w:color="BFBFBF"/>
            </w:tcBorders>
            <w:shd w:val="clear" w:color="auto" w:fill="auto"/>
            <w:noWrap/>
            <w:hideMark/>
          </w:tcPr>
          <w:p w14:paraId="1EB83B57"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3.41</w:t>
            </w:r>
          </w:p>
        </w:tc>
        <w:tc>
          <w:tcPr>
            <w:tcW w:w="1137" w:type="dxa"/>
            <w:tcBorders>
              <w:top w:val="nil"/>
              <w:left w:val="single" w:sz="4" w:space="0" w:color="BFBFBF"/>
              <w:bottom w:val="nil"/>
              <w:right w:val="single" w:sz="4" w:space="0" w:color="BFBFBF"/>
            </w:tcBorders>
            <w:shd w:val="clear" w:color="auto" w:fill="auto"/>
            <w:noWrap/>
            <w:hideMark/>
          </w:tcPr>
          <w:p w14:paraId="1CC94291"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9.27</w:t>
            </w:r>
          </w:p>
        </w:tc>
        <w:tc>
          <w:tcPr>
            <w:tcW w:w="1525" w:type="dxa"/>
            <w:tcBorders>
              <w:top w:val="nil"/>
              <w:left w:val="single" w:sz="4" w:space="0" w:color="BFBFBF"/>
              <w:bottom w:val="nil"/>
              <w:right w:val="single" w:sz="4" w:space="0" w:color="BFBFBF"/>
            </w:tcBorders>
            <w:shd w:val="clear" w:color="auto" w:fill="auto"/>
            <w:noWrap/>
            <w:hideMark/>
          </w:tcPr>
          <w:p w14:paraId="700B6381"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9.86  (0.60)</w:t>
            </w:r>
          </w:p>
        </w:tc>
      </w:tr>
      <w:tr w:rsidR="00646E2D" w:rsidRPr="00E24F4A" w14:paraId="2E3AB70A" w14:textId="77777777" w:rsidTr="00354B46">
        <w:trPr>
          <w:trHeight w:val="263"/>
        </w:trPr>
        <w:tc>
          <w:tcPr>
            <w:tcW w:w="842" w:type="dxa"/>
            <w:tcBorders>
              <w:top w:val="nil"/>
              <w:left w:val="single" w:sz="4" w:space="0" w:color="BFBFBF"/>
              <w:bottom w:val="nil"/>
              <w:right w:val="nil"/>
            </w:tcBorders>
            <w:shd w:val="clear" w:color="EDEDED" w:fill="EDEDED"/>
            <w:noWrap/>
            <w:hideMark/>
          </w:tcPr>
          <w:p w14:paraId="7DB97945"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site14</w:t>
            </w:r>
          </w:p>
        </w:tc>
        <w:tc>
          <w:tcPr>
            <w:tcW w:w="1136" w:type="dxa"/>
            <w:tcBorders>
              <w:top w:val="nil"/>
              <w:left w:val="single" w:sz="4" w:space="0" w:color="BFBFBF"/>
              <w:bottom w:val="nil"/>
              <w:right w:val="single" w:sz="4" w:space="0" w:color="BFBFBF"/>
            </w:tcBorders>
            <w:shd w:val="clear" w:color="EDEDED" w:fill="EDEDED"/>
            <w:noWrap/>
            <w:hideMark/>
          </w:tcPr>
          <w:p w14:paraId="4F6E4FDD"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437</w:t>
            </w:r>
          </w:p>
        </w:tc>
        <w:tc>
          <w:tcPr>
            <w:tcW w:w="1137" w:type="dxa"/>
            <w:tcBorders>
              <w:top w:val="nil"/>
              <w:left w:val="single" w:sz="4" w:space="0" w:color="BFBFBF"/>
              <w:bottom w:val="nil"/>
              <w:right w:val="single" w:sz="4" w:space="0" w:color="BFBFBF"/>
            </w:tcBorders>
            <w:shd w:val="clear" w:color="EDEDED" w:fill="EDEDED"/>
            <w:noWrap/>
            <w:hideMark/>
          </w:tcPr>
          <w:p w14:paraId="55FABE9B"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48.51</w:t>
            </w:r>
          </w:p>
        </w:tc>
        <w:tc>
          <w:tcPr>
            <w:tcW w:w="1136" w:type="dxa"/>
            <w:tcBorders>
              <w:top w:val="nil"/>
              <w:left w:val="single" w:sz="4" w:space="0" w:color="BFBFBF"/>
              <w:bottom w:val="nil"/>
              <w:right w:val="single" w:sz="4" w:space="0" w:color="BFBFBF"/>
            </w:tcBorders>
            <w:shd w:val="clear" w:color="EDEDED" w:fill="EDEDED"/>
            <w:noWrap/>
            <w:hideMark/>
          </w:tcPr>
          <w:p w14:paraId="0F6F1AAD"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80.78</w:t>
            </w:r>
          </w:p>
        </w:tc>
        <w:tc>
          <w:tcPr>
            <w:tcW w:w="1137" w:type="dxa"/>
            <w:tcBorders>
              <w:top w:val="nil"/>
              <w:left w:val="single" w:sz="4" w:space="0" w:color="BFBFBF"/>
              <w:bottom w:val="nil"/>
              <w:right w:val="single" w:sz="4" w:space="0" w:color="BFBFBF"/>
            </w:tcBorders>
            <w:shd w:val="clear" w:color="EDEDED" w:fill="EDEDED"/>
            <w:noWrap/>
            <w:hideMark/>
          </w:tcPr>
          <w:p w14:paraId="345F1493"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4.81</w:t>
            </w:r>
          </w:p>
        </w:tc>
        <w:tc>
          <w:tcPr>
            <w:tcW w:w="1136" w:type="dxa"/>
            <w:tcBorders>
              <w:top w:val="nil"/>
              <w:left w:val="single" w:sz="4" w:space="0" w:color="BFBFBF"/>
              <w:bottom w:val="nil"/>
              <w:right w:val="single" w:sz="4" w:space="0" w:color="BFBFBF"/>
            </w:tcBorders>
            <w:shd w:val="clear" w:color="EDEDED" w:fill="EDEDED"/>
            <w:noWrap/>
            <w:hideMark/>
          </w:tcPr>
          <w:p w14:paraId="3EA507F2"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5.95</w:t>
            </w:r>
          </w:p>
        </w:tc>
        <w:tc>
          <w:tcPr>
            <w:tcW w:w="1137" w:type="dxa"/>
            <w:tcBorders>
              <w:top w:val="nil"/>
              <w:left w:val="single" w:sz="4" w:space="0" w:color="BFBFBF"/>
              <w:bottom w:val="nil"/>
              <w:right w:val="single" w:sz="4" w:space="0" w:color="BFBFBF"/>
            </w:tcBorders>
            <w:shd w:val="clear" w:color="EDEDED" w:fill="EDEDED"/>
            <w:noWrap/>
            <w:hideMark/>
          </w:tcPr>
          <w:p w14:paraId="5C2E9FC3"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0.69</w:t>
            </w:r>
          </w:p>
        </w:tc>
        <w:tc>
          <w:tcPr>
            <w:tcW w:w="1137" w:type="dxa"/>
            <w:tcBorders>
              <w:top w:val="nil"/>
              <w:left w:val="single" w:sz="4" w:space="0" w:color="BFBFBF"/>
              <w:bottom w:val="nil"/>
              <w:right w:val="single" w:sz="4" w:space="0" w:color="BFBFBF"/>
            </w:tcBorders>
            <w:shd w:val="clear" w:color="EDEDED" w:fill="EDEDED"/>
            <w:noWrap/>
            <w:hideMark/>
          </w:tcPr>
          <w:p w14:paraId="03B3D54F"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7.78</w:t>
            </w:r>
          </w:p>
        </w:tc>
        <w:tc>
          <w:tcPr>
            <w:tcW w:w="1525" w:type="dxa"/>
            <w:tcBorders>
              <w:top w:val="nil"/>
              <w:left w:val="single" w:sz="4" w:space="0" w:color="BFBFBF"/>
              <w:bottom w:val="nil"/>
              <w:right w:val="single" w:sz="4" w:space="0" w:color="BFBFBF"/>
            </w:tcBorders>
            <w:shd w:val="clear" w:color="EDEDED" w:fill="EDEDED"/>
            <w:noWrap/>
            <w:hideMark/>
          </w:tcPr>
          <w:p w14:paraId="250AE688"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10.24 (0.56)</w:t>
            </w:r>
          </w:p>
        </w:tc>
      </w:tr>
      <w:tr w:rsidR="00646E2D" w:rsidRPr="00E24F4A" w14:paraId="7071262E" w14:textId="77777777" w:rsidTr="00354B46">
        <w:trPr>
          <w:trHeight w:val="263"/>
        </w:trPr>
        <w:tc>
          <w:tcPr>
            <w:tcW w:w="842" w:type="dxa"/>
            <w:tcBorders>
              <w:top w:val="nil"/>
              <w:left w:val="single" w:sz="4" w:space="0" w:color="BFBFBF"/>
              <w:bottom w:val="nil"/>
              <w:right w:val="nil"/>
            </w:tcBorders>
            <w:shd w:val="clear" w:color="auto" w:fill="auto"/>
            <w:noWrap/>
            <w:hideMark/>
          </w:tcPr>
          <w:p w14:paraId="1D8CC6FD"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site15</w:t>
            </w:r>
          </w:p>
        </w:tc>
        <w:tc>
          <w:tcPr>
            <w:tcW w:w="1136" w:type="dxa"/>
            <w:tcBorders>
              <w:top w:val="nil"/>
              <w:left w:val="single" w:sz="4" w:space="0" w:color="BFBFBF"/>
              <w:bottom w:val="nil"/>
              <w:right w:val="single" w:sz="4" w:space="0" w:color="BFBFBF"/>
            </w:tcBorders>
            <w:shd w:val="clear" w:color="auto" w:fill="auto"/>
            <w:noWrap/>
            <w:hideMark/>
          </w:tcPr>
          <w:p w14:paraId="3CBA8EE8"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214</w:t>
            </w:r>
          </w:p>
        </w:tc>
        <w:tc>
          <w:tcPr>
            <w:tcW w:w="1137" w:type="dxa"/>
            <w:tcBorders>
              <w:top w:val="nil"/>
              <w:left w:val="single" w:sz="4" w:space="0" w:color="BFBFBF"/>
              <w:bottom w:val="nil"/>
              <w:right w:val="single" w:sz="4" w:space="0" w:color="BFBFBF"/>
            </w:tcBorders>
            <w:shd w:val="clear" w:color="auto" w:fill="auto"/>
            <w:noWrap/>
            <w:hideMark/>
          </w:tcPr>
          <w:p w14:paraId="5C09408F"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48.13</w:t>
            </w:r>
          </w:p>
        </w:tc>
        <w:tc>
          <w:tcPr>
            <w:tcW w:w="1136" w:type="dxa"/>
            <w:tcBorders>
              <w:top w:val="nil"/>
              <w:left w:val="single" w:sz="4" w:space="0" w:color="BFBFBF"/>
              <w:bottom w:val="nil"/>
              <w:right w:val="single" w:sz="4" w:space="0" w:color="BFBFBF"/>
            </w:tcBorders>
            <w:shd w:val="clear" w:color="auto" w:fill="auto"/>
            <w:noWrap/>
            <w:hideMark/>
          </w:tcPr>
          <w:p w14:paraId="69FE8577"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38.32</w:t>
            </w:r>
          </w:p>
        </w:tc>
        <w:tc>
          <w:tcPr>
            <w:tcW w:w="1137" w:type="dxa"/>
            <w:tcBorders>
              <w:top w:val="nil"/>
              <w:left w:val="single" w:sz="4" w:space="0" w:color="BFBFBF"/>
              <w:bottom w:val="nil"/>
              <w:right w:val="single" w:sz="4" w:space="0" w:color="BFBFBF"/>
            </w:tcBorders>
            <w:shd w:val="clear" w:color="auto" w:fill="auto"/>
            <w:noWrap/>
            <w:hideMark/>
          </w:tcPr>
          <w:p w14:paraId="64530610"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49.07</w:t>
            </w:r>
          </w:p>
        </w:tc>
        <w:tc>
          <w:tcPr>
            <w:tcW w:w="1136" w:type="dxa"/>
            <w:tcBorders>
              <w:top w:val="nil"/>
              <w:left w:val="single" w:sz="4" w:space="0" w:color="BFBFBF"/>
              <w:bottom w:val="nil"/>
              <w:right w:val="single" w:sz="4" w:space="0" w:color="BFBFBF"/>
            </w:tcBorders>
            <w:shd w:val="clear" w:color="auto" w:fill="auto"/>
            <w:noWrap/>
            <w:hideMark/>
          </w:tcPr>
          <w:p w14:paraId="601C79DD"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3.74</w:t>
            </w:r>
          </w:p>
        </w:tc>
        <w:tc>
          <w:tcPr>
            <w:tcW w:w="1137" w:type="dxa"/>
            <w:tcBorders>
              <w:top w:val="nil"/>
              <w:left w:val="single" w:sz="4" w:space="0" w:color="BFBFBF"/>
              <w:bottom w:val="nil"/>
              <w:right w:val="single" w:sz="4" w:space="0" w:color="BFBFBF"/>
            </w:tcBorders>
            <w:shd w:val="clear" w:color="auto" w:fill="auto"/>
            <w:noWrap/>
            <w:hideMark/>
          </w:tcPr>
          <w:p w14:paraId="3F7BFC43"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0</w:t>
            </w:r>
          </w:p>
        </w:tc>
        <w:tc>
          <w:tcPr>
            <w:tcW w:w="1137" w:type="dxa"/>
            <w:tcBorders>
              <w:top w:val="nil"/>
              <w:left w:val="single" w:sz="4" w:space="0" w:color="BFBFBF"/>
              <w:bottom w:val="nil"/>
              <w:right w:val="single" w:sz="4" w:space="0" w:color="BFBFBF"/>
            </w:tcBorders>
            <w:shd w:val="clear" w:color="auto" w:fill="auto"/>
            <w:noWrap/>
            <w:hideMark/>
          </w:tcPr>
          <w:p w14:paraId="12895C2D"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8.88</w:t>
            </w:r>
          </w:p>
        </w:tc>
        <w:tc>
          <w:tcPr>
            <w:tcW w:w="1525" w:type="dxa"/>
            <w:tcBorders>
              <w:top w:val="nil"/>
              <w:left w:val="single" w:sz="4" w:space="0" w:color="BFBFBF"/>
              <w:bottom w:val="nil"/>
              <w:right w:val="single" w:sz="4" w:space="0" w:color="BFBFBF"/>
            </w:tcBorders>
            <w:shd w:val="clear" w:color="auto" w:fill="auto"/>
            <w:noWrap/>
            <w:hideMark/>
          </w:tcPr>
          <w:p w14:paraId="3AA1E8EA"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9.96  (0.60)</w:t>
            </w:r>
          </w:p>
        </w:tc>
      </w:tr>
      <w:tr w:rsidR="00646E2D" w:rsidRPr="00E24F4A" w14:paraId="78F094CD" w14:textId="77777777" w:rsidTr="00354B46">
        <w:trPr>
          <w:trHeight w:val="263"/>
        </w:trPr>
        <w:tc>
          <w:tcPr>
            <w:tcW w:w="842" w:type="dxa"/>
            <w:tcBorders>
              <w:top w:val="nil"/>
              <w:left w:val="single" w:sz="4" w:space="0" w:color="BFBFBF"/>
              <w:bottom w:val="nil"/>
              <w:right w:val="nil"/>
            </w:tcBorders>
            <w:shd w:val="clear" w:color="EDEDED" w:fill="EDEDED"/>
            <w:noWrap/>
            <w:hideMark/>
          </w:tcPr>
          <w:p w14:paraId="3FD2B65C"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site16</w:t>
            </w:r>
          </w:p>
        </w:tc>
        <w:tc>
          <w:tcPr>
            <w:tcW w:w="1136" w:type="dxa"/>
            <w:tcBorders>
              <w:top w:val="nil"/>
              <w:left w:val="single" w:sz="4" w:space="0" w:color="BFBFBF"/>
              <w:bottom w:val="nil"/>
              <w:right w:val="single" w:sz="4" w:space="0" w:color="BFBFBF"/>
            </w:tcBorders>
            <w:shd w:val="clear" w:color="EDEDED" w:fill="EDEDED"/>
            <w:noWrap/>
            <w:hideMark/>
          </w:tcPr>
          <w:p w14:paraId="11AAC6CF"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836</w:t>
            </w:r>
          </w:p>
        </w:tc>
        <w:tc>
          <w:tcPr>
            <w:tcW w:w="1137" w:type="dxa"/>
            <w:tcBorders>
              <w:top w:val="nil"/>
              <w:left w:val="single" w:sz="4" w:space="0" w:color="BFBFBF"/>
              <w:bottom w:val="nil"/>
              <w:right w:val="single" w:sz="4" w:space="0" w:color="BFBFBF"/>
            </w:tcBorders>
            <w:shd w:val="clear" w:color="EDEDED" w:fill="EDEDED"/>
            <w:noWrap/>
            <w:hideMark/>
          </w:tcPr>
          <w:p w14:paraId="5F99AF71"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44.98</w:t>
            </w:r>
          </w:p>
        </w:tc>
        <w:tc>
          <w:tcPr>
            <w:tcW w:w="1136" w:type="dxa"/>
            <w:tcBorders>
              <w:top w:val="nil"/>
              <w:left w:val="single" w:sz="4" w:space="0" w:color="BFBFBF"/>
              <w:bottom w:val="nil"/>
              <w:right w:val="single" w:sz="4" w:space="0" w:color="BFBFBF"/>
            </w:tcBorders>
            <w:shd w:val="clear" w:color="EDEDED" w:fill="EDEDED"/>
            <w:noWrap/>
            <w:hideMark/>
          </w:tcPr>
          <w:p w14:paraId="25EC5D64"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81.58</w:t>
            </w:r>
          </w:p>
        </w:tc>
        <w:tc>
          <w:tcPr>
            <w:tcW w:w="1137" w:type="dxa"/>
            <w:tcBorders>
              <w:top w:val="nil"/>
              <w:left w:val="single" w:sz="4" w:space="0" w:color="BFBFBF"/>
              <w:bottom w:val="nil"/>
              <w:right w:val="single" w:sz="4" w:space="0" w:color="BFBFBF"/>
            </w:tcBorders>
            <w:shd w:val="clear" w:color="EDEDED" w:fill="EDEDED"/>
            <w:noWrap/>
            <w:hideMark/>
          </w:tcPr>
          <w:p w14:paraId="77C788E9"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1.08</w:t>
            </w:r>
          </w:p>
        </w:tc>
        <w:tc>
          <w:tcPr>
            <w:tcW w:w="1136" w:type="dxa"/>
            <w:tcBorders>
              <w:top w:val="nil"/>
              <w:left w:val="single" w:sz="4" w:space="0" w:color="BFBFBF"/>
              <w:bottom w:val="nil"/>
              <w:right w:val="single" w:sz="4" w:space="0" w:color="BFBFBF"/>
            </w:tcBorders>
            <w:shd w:val="clear" w:color="EDEDED" w:fill="EDEDED"/>
            <w:noWrap/>
            <w:hideMark/>
          </w:tcPr>
          <w:p w14:paraId="3CDC4CB4"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11.24</w:t>
            </w:r>
          </w:p>
        </w:tc>
        <w:tc>
          <w:tcPr>
            <w:tcW w:w="1137" w:type="dxa"/>
            <w:tcBorders>
              <w:top w:val="nil"/>
              <w:left w:val="single" w:sz="4" w:space="0" w:color="BFBFBF"/>
              <w:bottom w:val="nil"/>
              <w:right w:val="single" w:sz="4" w:space="0" w:color="BFBFBF"/>
            </w:tcBorders>
            <w:shd w:val="clear" w:color="EDEDED" w:fill="EDEDED"/>
            <w:noWrap/>
            <w:hideMark/>
          </w:tcPr>
          <w:p w14:paraId="6A776B2E"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1.08</w:t>
            </w:r>
          </w:p>
        </w:tc>
        <w:tc>
          <w:tcPr>
            <w:tcW w:w="1137" w:type="dxa"/>
            <w:tcBorders>
              <w:top w:val="nil"/>
              <w:left w:val="single" w:sz="4" w:space="0" w:color="BFBFBF"/>
              <w:bottom w:val="nil"/>
              <w:right w:val="single" w:sz="4" w:space="0" w:color="BFBFBF"/>
            </w:tcBorders>
            <w:shd w:val="clear" w:color="EDEDED" w:fill="EDEDED"/>
            <w:noWrap/>
            <w:hideMark/>
          </w:tcPr>
          <w:p w14:paraId="0257C318"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5.02</w:t>
            </w:r>
          </w:p>
        </w:tc>
        <w:tc>
          <w:tcPr>
            <w:tcW w:w="1525" w:type="dxa"/>
            <w:tcBorders>
              <w:top w:val="nil"/>
              <w:left w:val="single" w:sz="4" w:space="0" w:color="BFBFBF"/>
              <w:bottom w:val="nil"/>
              <w:right w:val="single" w:sz="4" w:space="0" w:color="BFBFBF"/>
            </w:tcBorders>
            <w:shd w:val="clear" w:color="EDEDED" w:fill="EDEDED"/>
            <w:noWrap/>
            <w:hideMark/>
          </w:tcPr>
          <w:p w14:paraId="7BE41B19"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9.90  (0.66)</w:t>
            </w:r>
          </w:p>
        </w:tc>
      </w:tr>
      <w:tr w:rsidR="00646E2D" w:rsidRPr="00E24F4A" w14:paraId="07F7198A" w14:textId="77777777" w:rsidTr="00354B46">
        <w:trPr>
          <w:trHeight w:val="263"/>
        </w:trPr>
        <w:tc>
          <w:tcPr>
            <w:tcW w:w="842" w:type="dxa"/>
            <w:tcBorders>
              <w:top w:val="nil"/>
              <w:left w:val="single" w:sz="4" w:space="0" w:color="BFBFBF"/>
              <w:bottom w:val="nil"/>
              <w:right w:val="nil"/>
            </w:tcBorders>
            <w:shd w:val="clear" w:color="auto" w:fill="auto"/>
            <w:noWrap/>
            <w:hideMark/>
          </w:tcPr>
          <w:p w14:paraId="40898405"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site17</w:t>
            </w:r>
          </w:p>
        </w:tc>
        <w:tc>
          <w:tcPr>
            <w:tcW w:w="1136" w:type="dxa"/>
            <w:tcBorders>
              <w:top w:val="nil"/>
              <w:left w:val="single" w:sz="4" w:space="0" w:color="BFBFBF"/>
              <w:bottom w:val="nil"/>
              <w:right w:val="single" w:sz="4" w:space="0" w:color="BFBFBF"/>
            </w:tcBorders>
            <w:shd w:val="clear" w:color="auto" w:fill="auto"/>
            <w:noWrap/>
            <w:hideMark/>
          </w:tcPr>
          <w:p w14:paraId="769A7DEB"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305</w:t>
            </w:r>
          </w:p>
        </w:tc>
        <w:tc>
          <w:tcPr>
            <w:tcW w:w="1137" w:type="dxa"/>
            <w:tcBorders>
              <w:top w:val="nil"/>
              <w:left w:val="single" w:sz="4" w:space="0" w:color="BFBFBF"/>
              <w:bottom w:val="nil"/>
              <w:right w:val="single" w:sz="4" w:space="0" w:color="BFBFBF"/>
            </w:tcBorders>
            <w:shd w:val="clear" w:color="auto" w:fill="auto"/>
            <w:noWrap/>
            <w:hideMark/>
          </w:tcPr>
          <w:p w14:paraId="1FDD92DD"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51.48</w:t>
            </w:r>
          </w:p>
        </w:tc>
        <w:tc>
          <w:tcPr>
            <w:tcW w:w="1136" w:type="dxa"/>
            <w:tcBorders>
              <w:top w:val="nil"/>
              <w:left w:val="single" w:sz="4" w:space="0" w:color="BFBFBF"/>
              <w:bottom w:val="nil"/>
              <w:right w:val="single" w:sz="4" w:space="0" w:color="BFBFBF"/>
            </w:tcBorders>
            <w:shd w:val="clear" w:color="auto" w:fill="auto"/>
            <w:noWrap/>
            <w:hideMark/>
          </w:tcPr>
          <w:p w14:paraId="1257F0BE"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87.21</w:t>
            </w:r>
          </w:p>
        </w:tc>
        <w:tc>
          <w:tcPr>
            <w:tcW w:w="1137" w:type="dxa"/>
            <w:tcBorders>
              <w:top w:val="nil"/>
              <w:left w:val="single" w:sz="4" w:space="0" w:color="BFBFBF"/>
              <w:bottom w:val="nil"/>
              <w:right w:val="single" w:sz="4" w:space="0" w:color="BFBFBF"/>
            </w:tcBorders>
            <w:shd w:val="clear" w:color="auto" w:fill="auto"/>
            <w:noWrap/>
            <w:hideMark/>
          </w:tcPr>
          <w:p w14:paraId="52BB754D"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1.64</w:t>
            </w:r>
          </w:p>
        </w:tc>
        <w:tc>
          <w:tcPr>
            <w:tcW w:w="1136" w:type="dxa"/>
            <w:tcBorders>
              <w:top w:val="nil"/>
              <w:left w:val="single" w:sz="4" w:space="0" w:color="BFBFBF"/>
              <w:bottom w:val="nil"/>
              <w:right w:val="single" w:sz="4" w:space="0" w:color="BFBFBF"/>
            </w:tcBorders>
            <w:shd w:val="clear" w:color="auto" w:fill="auto"/>
            <w:noWrap/>
            <w:hideMark/>
          </w:tcPr>
          <w:p w14:paraId="7C8FE15D"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3.28</w:t>
            </w:r>
          </w:p>
        </w:tc>
        <w:tc>
          <w:tcPr>
            <w:tcW w:w="1137" w:type="dxa"/>
            <w:tcBorders>
              <w:top w:val="nil"/>
              <w:left w:val="single" w:sz="4" w:space="0" w:color="BFBFBF"/>
              <w:bottom w:val="nil"/>
              <w:right w:val="single" w:sz="4" w:space="0" w:color="BFBFBF"/>
            </w:tcBorders>
            <w:shd w:val="clear" w:color="auto" w:fill="auto"/>
            <w:noWrap/>
            <w:hideMark/>
          </w:tcPr>
          <w:p w14:paraId="36C5972F"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1.31</w:t>
            </w:r>
          </w:p>
        </w:tc>
        <w:tc>
          <w:tcPr>
            <w:tcW w:w="1137" w:type="dxa"/>
            <w:tcBorders>
              <w:top w:val="nil"/>
              <w:left w:val="single" w:sz="4" w:space="0" w:color="BFBFBF"/>
              <w:bottom w:val="nil"/>
              <w:right w:val="single" w:sz="4" w:space="0" w:color="BFBFBF"/>
            </w:tcBorders>
            <w:shd w:val="clear" w:color="auto" w:fill="auto"/>
            <w:noWrap/>
            <w:hideMark/>
          </w:tcPr>
          <w:p w14:paraId="5545BD37"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6.56</w:t>
            </w:r>
          </w:p>
        </w:tc>
        <w:tc>
          <w:tcPr>
            <w:tcW w:w="1525" w:type="dxa"/>
            <w:tcBorders>
              <w:top w:val="nil"/>
              <w:left w:val="single" w:sz="4" w:space="0" w:color="BFBFBF"/>
              <w:bottom w:val="nil"/>
              <w:right w:val="single" w:sz="4" w:space="0" w:color="BFBFBF"/>
            </w:tcBorders>
            <w:shd w:val="clear" w:color="auto" w:fill="auto"/>
            <w:noWrap/>
            <w:hideMark/>
          </w:tcPr>
          <w:p w14:paraId="6F78CA55"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9.84  (0.62)</w:t>
            </w:r>
          </w:p>
        </w:tc>
      </w:tr>
      <w:tr w:rsidR="00646E2D" w:rsidRPr="00E24F4A" w14:paraId="7A01CB35" w14:textId="77777777" w:rsidTr="00354B46">
        <w:trPr>
          <w:trHeight w:val="263"/>
        </w:trPr>
        <w:tc>
          <w:tcPr>
            <w:tcW w:w="842" w:type="dxa"/>
            <w:tcBorders>
              <w:top w:val="nil"/>
              <w:left w:val="single" w:sz="4" w:space="0" w:color="BFBFBF"/>
              <w:bottom w:val="nil"/>
              <w:right w:val="nil"/>
            </w:tcBorders>
            <w:shd w:val="clear" w:color="EDEDED" w:fill="EDEDED"/>
            <w:noWrap/>
            <w:hideMark/>
          </w:tcPr>
          <w:p w14:paraId="2D9B83F2"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site19</w:t>
            </w:r>
          </w:p>
        </w:tc>
        <w:tc>
          <w:tcPr>
            <w:tcW w:w="1136" w:type="dxa"/>
            <w:tcBorders>
              <w:top w:val="nil"/>
              <w:left w:val="single" w:sz="4" w:space="0" w:color="BFBFBF"/>
              <w:bottom w:val="nil"/>
              <w:right w:val="single" w:sz="4" w:space="0" w:color="BFBFBF"/>
            </w:tcBorders>
            <w:shd w:val="clear" w:color="EDEDED" w:fill="EDEDED"/>
            <w:noWrap/>
            <w:hideMark/>
          </w:tcPr>
          <w:p w14:paraId="4221B953"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204</w:t>
            </w:r>
          </w:p>
        </w:tc>
        <w:tc>
          <w:tcPr>
            <w:tcW w:w="1137" w:type="dxa"/>
            <w:tcBorders>
              <w:top w:val="nil"/>
              <w:left w:val="single" w:sz="4" w:space="0" w:color="BFBFBF"/>
              <w:bottom w:val="nil"/>
              <w:right w:val="single" w:sz="4" w:space="0" w:color="BFBFBF"/>
            </w:tcBorders>
            <w:shd w:val="clear" w:color="EDEDED" w:fill="EDEDED"/>
            <w:noWrap/>
            <w:hideMark/>
          </w:tcPr>
          <w:p w14:paraId="22CF79E6"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54.9</w:t>
            </w:r>
          </w:p>
        </w:tc>
        <w:tc>
          <w:tcPr>
            <w:tcW w:w="1136" w:type="dxa"/>
            <w:tcBorders>
              <w:top w:val="nil"/>
              <w:left w:val="single" w:sz="4" w:space="0" w:color="BFBFBF"/>
              <w:bottom w:val="nil"/>
              <w:right w:val="single" w:sz="4" w:space="0" w:color="BFBFBF"/>
            </w:tcBorders>
            <w:shd w:val="clear" w:color="EDEDED" w:fill="EDEDED"/>
            <w:noWrap/>
            <w:hideMark/>
          </w:tcPr>
          <w:p w14:paraId="0C8430BE"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57.35</w:t>
            </w:r>
          </w:p>
        </w:tc>
        <w:tc>
          <w:tcPr>
            <w:tcW w:w="1137" w:type="dxa"/>
            <w:tcBorders>
              <w:top w:val="nil"/>
              <w:left w:val="single" w:sz="4" w:space="0" w:color="BFBFBF"/>
              <w:bottom w:val="nil"/>
              <w:right w:val="single" w:sz="4" w:space="0" w:color="BFBFBF"/>
            </w:tcBorders>
            <w:shd w:val="clear" w:color="EDEDED" w:fill="EDEDED"/>
            <w:noWrap/>
            <w:hideMark/>
          </w:tcPr>
          <w:p w14:paraId="464EA7BD"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23.53</w:t>
            </w:r>
          </w:p>
        </w:tc>
        <w:tc>
          <w:tcPr>
            <w:tcW w:w="1136" w:type="dxa"/>
            <w:tcBorders>
              <w:top w:val="nil"/>
              <w:left w:val="single" w:sz="4" w:space="0" w:color="BFBFBF"/>
              <w:bottom w:val="nil"/>
              <w:right w:val="single" w:sz="4" w:space="0" w:color="BFBFBF"/>
            </w:tcBorders>
            <w:shd w:val="clear" w:color="EDEDED" w:fill="EDEDED"/>
            <w:noWrap/>
            <w:hideMark/>
          </w:tcPr>
          <w:p w14:paraId="5285D8C6"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7.35</w:t>
            </w:r>
          </w:p>
        </w:tc>
        <w:tc>
          <w:tcPr>
            <w:tcW w:w="1137" w:type="dxa"/>
            <w:tcBorders>
              <w:top w:val="nil"/>
              <w:left w:val="single" w:sz="4" w:space="0" w:color="BFBFBF"/>
              <w:bottom w:val="nil"/>
              <w:right w:val="single" w:sz="4" w:space="0" w:color="BFBFBF"/>
            </w:tcBorders>
            <w:shd w:val="clear" w:color="EDEDED" w:fill="EDEDED"/>
            <w:noWrap/>
            <w:hideMark/>
          </w:tcPr>
          <w:p w14:paraId="73D9F8F8"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0.98</w:t>
            </w:r>
          </w:p>
        </w:tc>
        <w:tc>
          <w:tcPr>
            <w:tcW w:w="1137" w:type="dxa"/>
            <w:tcBorders>
              <w:top w:val="nil"/>
              <w:left w:val="single" w:sz="4" w:space="0" w:color="BFBFBF"/>
              <w:bottom w:val="nil"/>
              <w:right w:val="single" w:sz="4" w:space="0" w:color="BFBFBF"/>
            </w:tcBorders>
            <w:shd w:val="clear" w:color="EDEDED" w:fill="EDEDED"/>
            <w:noWrap/>
            <w:hideMark/>
          </w:tcPr>
          <w:p w14:paraId="0C314885"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10.78</w:t>
            </w:r>
          </w:p>
        </w:tc>
        <w:tc>
          <w:tcPr>
            <w:tcW w:w="1525" w:type="dxa"/>
            <w:tcBorders>
              <w:top w:val="nil"/>
              <w:left w:val="single" w:sz="4" w:space="0" w:color="BFBFBF"/>
              <w:bottom w:val="nil"/>
              <w:right w:val="single" w:sz="4" w:space="0" w:color="BFBFBF"/>
            </w:tcBorders>
            <w:shd w:val="clear" w:color="EDEDED" w:fill="EDEDED"/>
            <w:noWrap/>
            <w:hideMark/>
          </w:tcPr>
          <w:p w14:paraId="59B7C4B2"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10.13 (0.55)</w:t>
            </w:r>
          </w:p>
        </w:tc>
      </w:tr>
      <w:tr w:rsidR="00646E2D" w:rsidRPr="00E24F4A" w14:paraId="3D138AC9" w14:textId="77777777" w:rsidTr="00354B46">
        <w:trPr>
          <w:trHeight w:val="263"/>
        </w:trPr>
        <w:tc>
          <w:tcPr>
            <w:tcW w:w="842" w:type="dxa"/>
            <w:tcBorders>
              <w:top w:val="nil"/>
              <w:left w:val="single" w:sz="4" w:space="0" w:color="BFBFBF"/>
              <w:bottom w:val="nil"/>
              <w:right w:val="nil"/>
            </w:tcBorders>
            <w:shd w:val="clear" w:color="auto" w:fill="auto"/>
            <w:noWrap/>
            <w:hideMark/>
          </w:tcPr>
          <w:p w14:paraId="31DDBBB2"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site20</w:t>
            </w:r>
          </w:p>
        </w:tc>
        <w:tc>
          <w:tcPr>
            <w:tcW w:w="1136" w:type="dxa"/>
            <w:tcBorders>
              <w:top w:val="nil"/>
              <w:left w:val="single" w:sz="4" w:space="0" w:color="BFBFBF"/>
              <w:bottom w:val="nil"/>
              <w:right w:val="single" w:sz="4" w:space="0" w:color="BFBFBF"/>
            </w:tcBorders>
            <w:shd w:val="clear" w:color="auto" w:fill="auto"/>
            <w:noWrap/>
            <w:hideMark/>
          </w:tcPr>
          <w:p w14:paraId="227676DB"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441</w:t>
            </w:r>
          </w:p>
        </w:tc>
        <w:tc>
          <w:tcPr>
            <w:tcW w:w="1137" w:type="dxa"/>
            <w:tcBorders>
              <w:top w:val="nil"/>
              <w:left w:val="single" w:sz="4" w:space="0" w:color="BFBFBF"/>
              <w:bottom w:val="nil"/>
              <w:right w:val="single" w:sz="4" w:space="0" w:color="BFBFBF"/>
            </w:tcBorders>
            <w:shd w:val="clear" w:color="auto" w:fill="auto"/>
            <w:noWrap/>
            <w:hideMark/>
          </w:tcPr>
          <w:p w14:paraId="35BA6535"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54.2</w:t>
            </w:r>
          </w:p>
        </w:tc>
        <w:tc>
          <w:tcPr>
            <w:tcW w:w="1136" w:type="dxa"/>
            <w:tcBorders>
              <w:top w:val="nil"/>
              <w:left w:val="single" w:sz="4" w:space="0" w:color="BFBFBF"/>
              <w:bottom w:val="nil"/>
              <w:right w:val="single" w:sz="4" w:space="0" w:color="BFBFBF"/>
            </w:tcBorders>
            <w:shd w:val="clear" w:color="auto" w:fill="auto"/>
            <w:noWrap/>
            <w:hideMark/>
          </w:tcPr>
          <w:p w14:paraId="4AC97E31"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61.22</w:t>
            </w:r>
          </w:p>
        </w:tc>
        <w:tc>
          <w:tcPr>
            <w:tcW w:w="1137" w:type="dxa"/>
            <w:tcBorders>
              <w:top w:val="nil"/>
              <w:left w:val="single" w:sz="4" w:space="0" w:color="BFBFBF"/>
              <w:bottom w:val="nil"/>
              <w:right w:val="single" w:sz="4" w:space="0" w:color="BFBFBF"/>
            </w:tcBorders>
            <w:shd w:val="clear" w:color="auto" w:fill="auto"/>
            <w:noWrap/>
            <w:hideMark/>
          </w:tcPr>
          <w:p w14:paraId="2EFAF2C5"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28.8</w:t>
            </w:r>
          </w:p>
        </w:tc>
        <w:tc>
          <w:tcPr>
            <w:tcW w:w="1136" w:type="dxa"/>
            <w:tcBorders>
              <w:top w:val="nil"/>
              <w:left w:val="single" w:sz="4" w:space="0" w:color="BFBFBF"/>
              <w:bottom w:val="nil"/>
              <w:right w:val="single" w:sz="4" w:space="0" w:color="BFBFBF"/>
            </w:tcBorders>
            <w:shd w:val="clear" w:color="auto" w:fill="auto"/>
            <w:noWrap/>
            <w:hideMark/>
          </w:tcPr>
          <w:p w14:paraId="6C4048A7"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2.27</w:t>
            </w:r>
          </w:p>
        </w:tc>
        <w:tc>
          <w:tcPr>
            <w:tcW w:w="1137" w:type="dxa"/>
            <w:tcBorders>
              <w:top w:val="nil"/>
              <w:left w:val="single" w:sz="4" w:space="0" w:color="BFBFBF"/>
              <w:bottom w:val="nil"/>
              <w:right w:val="single" w:sz="4" w:space="0" w:color="BFBFBF"/>
            </w:tcBorders>
            <w:shd w:val="clear" w:color="auto" w:fill="auto"/>
            <w:noWrap/>
            <w:hideMark/>
          </w:tcPr>
          <w:p w14:paraId="79302DBE"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0.23</w:t>
            </w:r>
          </w:p>
        </w:tc>
        <w:tc>
          <w:tcPr>
            <w:tcW w:w="1137" w:type="dxa"/>
            <w:tcBorders>
              <w:top w:val="nil"/>
              <w:left w:val="single" w:sz="4" w:space="0" w:color="BFBFBF"/>
              <w:bottom w:val="nil"/>
              <w:right w:val="single" w:sz="4" w:space="0" w:color="BFBFBF"/>
            </w:tcBorders>
            <w:shd w:val="clear" w:color="auto" w:fill="auto"/>
            <w:noWrap/>
            <w:hideMark/>
          </w:tcPr>
          <w:p w14:paraId="4857D4A0"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7.48</w:t>
            </w:r>
          </w:p>
        </w:tc>
        <w:tc>
          <w:tcPr>
            <w:tcW w:w="1525" w:type="dxa"/>
            <w:tcBorders>
              <w:top w:val="nil"/>
              <w:left w:val="single" w:sz="4" w:space="0" w:color="BFBFBF"/>
              <w:bottom w:val="nil"/>
              <w:right w:val="single" w:sz="4" w:space="0" w:color="BFBFBF"/>
            </w:tcBorders>
            <w:shd w:val="clear" w:color="auto" w:fill="auto"/>
            <w:noWrap/>
            <w:hideMark/>
          </w:tcPr>
          <w:p w14:paraId="6C84C8AD"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10.09 (0.49)</w:t>
            </w:r>
          </w:p>
        </w:tc>
      </w:tr>
      <w:tr w:rsidR="00646E2D" w:rsidRPr="00E24F4A" w14:paraId="181BBB48" w14:textId="77777777" w:rsidTr="00354B46">
        <w:trPr>
          <w:trHeight w:val="263"/>
        </w:trPr>
        <w:tc>
          <w:tcPr>
            <w:tcW w:w="842" w:type="dxa"/>
            <w:tcBorders>
              <w:top w:val="nil"/>
              <w:left w:val="single" w:sz="4" w:space="0" w:color="BFBFBF"/>
              <w:bottom w:val="nil"/>
              <w:right w:val="nil"/>
            </w:tcBorders>
            <w:shd w:val="clear" w:color="EDEDED" w:fill="EDEDED"/>
            <w:noWrap/>
            <w:hideMark/>
          </w:tcPr>
          <w:p w14:paraId="31C01743"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site21</w:t>
            </w:r>
          </w:p>
        </w:tc>
        <w:tc>
          <w:tcPr>
            <w:tcW w:w="1136" w:type="dxa"/>
            <w:tcBorders>
              <w:top w:val="nil"/>
              <w:left w:val="single" w:sz="4" w:space="0" w:color="BFBFBF"/>
              <w:bottom w:val="nil"/>
              <w:right w:val="single" w:sz="4" w:space="0" w:color="BFBFBF"/>
            </w:tcBorders>
            <w:shd w:val="clear" w:color="EDEDED" w:fill="EDEDED"/>
            <w:noWrap/>
            <w:hideMark/>
          </w:tcPr>
          <w:p w14:paraId="314941CD"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348</w:t>
            </w:r>
          </w:p>
        </w:tc>
        <w:tc>
          <w:tcPr>
            <w:tcW w:w="1137" w:type="dxa"/>
            <w:tcBorders>
              <w:top w:val="nil"/>
              <w:left w:val="single" w:sz="4" w:space="0" w:color="BFBFBF"/>
              <w:bottom w:val="nil"/>
              <w:right w:val="single" w:sz="4" w:space="0" w:color="BFBFBF"/>
            </w:tcBorders>
            <w:shd w:val="clear" w:color="EDEDED" w:fill="EDEDED"/>
            <w:noWrap/>
            <w:hideMark/>
          </w:tcPr>
          <w:p w14:paraId="626E34DB"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46.26</w:t>
            </w:r>
          </w:p>
        </w:tc>
        <w:tc>
          <w:tcPr>
            <w:tcW w:w="1136" w:type="dxa"/>
            <w:tcBorders>
              <w:top w:val="nil"/>
              <w:left w:val="single" w:sz="4" w:space="0" w:color="BFBFBF"/>
              <w:bottom w:val="nil"/>
              <w:right w:val="single" w:sz="4" w:space="0" w:color="BFBFBF"/>
            </w:tcBorders>
            <w:shd w:val="clear" w:color="EDEDED" w:fill="EDEDED"/>
            <w:noWrap/>
            <w:hideMark/>
          </w:tcPr>
          <w:p w14:paraId="38EE982A"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53.16</w:t>
            </w:r>
          </w:p>
        </w:tc>
        <w:tc>
          <w:tcPr>
            <w:tcW w:w="1137" w:type="dxa"/>
            <w:tcBorders>
              <w:top w:val="nil"/>
              <w:left w:val="single" w:sz="4" w:space="0" w:color="BFBFBF"/>
              <w:bottom w:val="nil"/>
              <w:right w:val="single" w:sz="4" w:space="0" w:color="BFBFBF"/>
            </w:tcBorders>
            <w:shd w:val="clear" w:color="EDEDED" w:fill="EDEDED"/>
            <w:noWrap/>
            <w:hideMark/>
          </w:tcPr>
          <w:p w14:paraId="34505E99"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16.09</w:t>
            </w:r>
          </w:p>
        </w:tc>
        <w:tc>
          <w:tcPr>
            <w:tcW w:w="1136" w:type="dxa"/>
            <w:tcBorders>
              <w:top w:val="nil"/>
              <w:left w:val="single" w:sz="4" w:space="0" w:color="BFBFBF"/>
              <w:bottom w:val="nil"/>
              <w:right w:val="single" w:sz="4" w:space="0" w:color="BFBFBF"/>
            </w:tcBorders>
            <w:shd w:val="clear" w:color="EDEDED" w:fill="EDEDED"/>
            <w:noWrap/>
            <w:hideMark/>
          </w:tcPr>
          <w:p w14:paraId="0A49D72C"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20.98</w:t>
            </w:r>
          </w:p>
        </w:tc>
        <w:tc>
          <w:tcPr>
            <w:tcW w:w="1137" w:type="dxa"/>
            <w:tcBorders>
              <w:top w:val="nil"/>
              <w:left w:val="single" w:sz="4" w:space="0" w:color="BFBFBF"/>
              <w:bottom w:val="nil"/>
              <w:right w:val="single" w:sz="4" w:space="0" w:color="BFBFBF"/>
            </w:tcBorders>
            <w:shd w:val="clear" w:color="EDEDED" w:fill="EDEDED"/>
            <w:noWrap/>
            <w:hideMark/>
          </w:tcPr>
          <w:p w14:paraId="4DD06051"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1.72</w:t>
            </w:r>
          </w:p>
        </w:tc>
        <w:tc>
          <w:tcPr>
            <w:tcW w:w="1137" w:type="dxa"/>
            <w:tcBorders>
              <w:top w:val="nil"/>
              <w:left w:val="single" w:sz="4" w:space="0" w:color="BFBFBF"/>
              <w:bottom w:val="nil"/>
              <w:right w:val="single" w:sz="4" w:space="0" w:color="BFBFBF"/>
            </w:tcBorders>
            <w:shd w:val="clear" w:color="EDEDED" w:fill="EDEDED"/>
            <w:noWrap/>
            <w:hideMark/>
          </w:tcPr>
          <w:p w14:paraId="4E0BD925"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8.05</w:t>
            </w:r>
          </w:p>
        </w:tc>
        <w:tc>
          <w:tcPr>
            <w:tcW w:w="1525" w:type="dxa"/>
            <w:tcBorders>
              <w:top w:val="nil"/>
              <w:left w:val="single" w:sz="4" w:space="0" w:color="BFBFBF"/>
              <w:bottom w:val="nil"/>
              <w:right w:val="single" w:sz="4" w:space="0" w:color="BFBFBF"/>
            </w:tcBorders>
            <w:shd w:val="clear" w:color="EDEDED" w:fill="EDEDED"/>
            <w:noWrap/>
            <w:hideMark/>
          </w:tcPr>
          <w:p w14:paraId="3796327D" w14:textId="77777777" w:rsidR="00646E2D" w:rsidRPr="00E24F4A" w:rsidRDefault="00646E2D" w:rsidP="00354B46">
            <w:pPr>
              <w:jc w:val="center"/>
              <w:rPr>
                <w:rFonts w:ascii="Calibri" w:eastAsia="Times New Roman" w:hAnsi="Calibri" w:cs="Calibri"/>
                <w:sz w:val="20"/>
                <w:szCs w:val="20"/>
                <w:lang w:eastAsia="en-CA"/>
              </w:rPr>
            </w:pPr>
            <w:r w:rsidRPr="00E24F4A">
              <w:rPr>
                <w:rFonts w:ascii="Calibri" w:eastAsia="Times New Roman" w:hAnsi="Calibri" w:cs="Calibri"/>
                <w:sz w:val="20"/>
                <w:szCs w:val="20"/>
                <w:lang w:eastAsia="en-CA"/>
              </w:rPr>
              <w:t>9.95  (0.63)</w:t>
            </w:r>
          </w:p>
        </w:tc>
      </w:tr>
      <w:tr w:rsidR="00646E2D" w:rsidRPr="00E24F4A" w14:paraId="45FFFE77" w14:textId="77777777" w:rsidTr="00354B46">
        <w:trPr>
          <w:trHeight w:val="268"/>
        </w:trPr>
        <w:tc>
          <w:tcPr>
            <w:tcW w:w="842" w:type="dxa"/>
            <w:tcBorders>
              <w:top w:val="single" w:sz="4" w:space="0" w:color="auto"/>
              <w:left w:val="single" w:sz="4" w:space="0" w:color="BFBFBF"/>
              <w:bottom w:val="double" w:sz="6" w:space="0" w:color="auto"/>
              <w:right w:val="nil"/>
            </w:tcBorders>
            <w:shd w:val="clear" w:color="auto" w:fill="auto"/>
            <w:noWrap/>
            <w:hideMark/>
          </w:tcPr>
          <w:p w14:paraId="7AEC72C6" w14:textId="77777777" w:rsidR="00646E2D" w:rsidRPr="00E24F4A" w:rsidRDefault="00646E2D" w:rsidP="00354B46">
            <w:pPr>
              <w:jc w:val="center"/>
              <w:rPr>
                <w:rFonts w:ascii="Calibri" w:eastAsia="Times New Roman" w:hAnsi="Calibri" w:cs="Calibri"/>
                <w:b/>
                <w:bCs/>
                <w:sz w:val="20"/>
                <w:szCs w:val="20"/>
                <w:lang w:eastAsia="en-CA"/>
              </w:rPr>
            </w:pPr>
            <w:r w:rsidRPr="00E24F4A">
              <w:rPr>
                <w:rFonts w:ascii="Calibri" w:eastAsia="Times New Roman" w:hAnsi="Calibri" w:cs="Calibri"/>
                <w:b/>
                <w:bCs/>
                <w:sz w:val="20"/>
                <w:szCs w:val="20"/>
                <w:lang w:eastAsia="en-CA"/>
              </w:rPr>
              <w:t>Total</w:t>
            </w:r>
          </w:p>
        </w:tc>
        <w:tc>
          <w:tcPr>
            <w:tcW w:w="1136" w:type="dxa"/>
            <w:tcBorders>
              <w:top w:val="single" w:sz="4" w:space="0" w:color="auto"/>
              <w:left w:val="single" w:sz="4" w:space="0" w:color="BFBFBF"/>
              <w:bottom w:val="double" w:sz="6" w:space="0" w:color="auto"/>
              <w:right w:val="single" w:sz="4" w:space="0" w:color="BFBFBF"/>
            </w:tcBorders>
            <w:shd w:val="clear" w:color="auto" w:fill="auto"/>
            <w:noWrap/>
            <w:hideMark/>
          </w:tcPr>
          <w:p w14:paraId="5BFC09EB" w14:textId="77777777" w:rsidR="00646E2D" w:rsidRPr="00E24F4A" w:rsidRDefault="00646E2D" w:rsidP="00354B46">
            <w:pPr>
              <w:jc w:val="center"/>
              <w:rPr>
                <w:rFonts w:ascii="Calibri" w:eastAsia="Times New Roman" w:hAnsi="Calibri" w:cs="Calibri"/>
                <w:b/>
                <w:bCs/>
                <w:sz w:val="20"/>
                <w:szCs w:val="20"/>
                <w:lang w:eastAsia="en-CA"/>
              </w:rPr>
            </w:pPr>
            <w:r w:rsidRPr="00E24F4A">
              <w:rPr>
                <w:rFonts w:ascii="Calibri" w:eastAsia="Times New Roman" w:hAnsi="Calibri" w:cs="Calibri"/>
                <w:b/>
                <w:bCs/>
                <w:sz w:val="20"/>
                <w:szCs w:val="20"/>
                <w:lang w:eastAsia="en-CA"/>
              </w:rPr>
              <w:t>5938</w:t>
            </w:r>
          </w:p>
        </w:tc>
        <w:tc>
          <w:tcPr>
            <w:tcW w:w="1137" w:type="dxa"/>
            <w:tcBorders>
              <w:top w:val="single" w:sz="4" w:space="0" w:color="auto"/>
              <w:left w:val="single" w:sz="4" w:space="0" w:color="BFBFBF"/>
              <w:bottom w:val="double" w:sz="6" w:space="0" w:color="auto"/>
              <w:right w:val="single" w:sz="4" w:space="0" w:color="BFBFBF"/>
            </w:tcBorders>
            <w:shd w:val="clear" w:color="auto" w:fill="auto"/>
            <w:noWrap/>
            <w:hideMark/>
          </w:tcPr>
          <w:p w14:paraId="6F155D1A" w14:textId="77777777" w:rsidR="00646E2D" w:rsidRPr="00E24F4A" w:rsidRDefault="00646E2D" w:rsidP="00354B46">
            <w:pPr>
              <w:jc w:val="center"/>
              <w:rPr>
                <w:rFonts w:ascii="Calibri" w:eastAsia="Times New Roman" w:hAnsi="Calibri" w:cs="Calibri"/>
                <w:b/>
                <w:bCs/>
                <w:sz w:val="20"/>
                <w:szCs w:val="20"/>
                <w:lang w:eastAsia="en-CA"/>
              </w:rPr>
            </w:pPr>
            <w:r w:rsidRPr="00E24F4A">
              <w:rPr>
                <w:rFonts w:ascii="Calibri" w:eastAsia="Times New Roman" w:hAnsi="Calibri" w:cs="Calibri"/>
                <w:b/>
                <w:bCs/>
                <w:sz w:val="20"/>
                <w:szCs w:val="20"/>
                <w:lang w:eastAsia="en-CA"/>
              </w:rPr>
              <w:t>50.37</w:t>
            </w:r>
          </w:p>
        </w:tc>
        <w:tc>
          <w:tcPr>
            <w:tcW w:w="1136" w:type="dxa"/>
            <w:tcBorders>
              <w:top w:val="single" w:sz="4" w:space="0" w:color="auto"/>
              <w:left w:val="single" w:sz="4" w:space="0" w:color="BFBFBF"/>
              <w:bottom w:val="double" w:sz="6" w:space="0" w:color="auto"/>
              <w:right w:val="single" w:sz="4" w:space="0" w:color="BFBFBF"/>
            </w:tcBorders>
            <w:shd w:val="clear" w:color="auto" w:fill="auto"/>
            <w:noWrap/>
            <w:hideMark/>
          </w:tcPr>
          <w:p w14:paraId="21A19B65" w14:textId="77777777" w:rsidR="00646E2D" w:rsidRPr="00E24F4A" w:rsidRDefault="00646E2D" w:rsidP="00354B46">
            <w:pPr>
              <w:jc w:val="center"/>
              <w:rPr>
                <w:rFonts w:ascii="Calibri" w:eastAsia="Times New Roman" w:hAnsi="Calibri" w:cs="Calibri"/>
                <w:b/>
                <w:bCs/>
                <w:sz w:val="20"/>
                <w:szCs w:val="20"/>
                <w:lang w:eastAsia="en-CA"/>
              </w:rPr>
            </w:pPr>
            <w:r w:rsidRPr="00E24F4A">
              <w:rPr>
                <w:rFonts w:ascii="Calibri" w:eastAsia="Times New Roman" w:hAnsi="Calibri" w:cs="Calibri"/>
                <w:b/>
                <w:bCs/>
                <w:sz w:val="20"/>
                <w:szCs w:val="20"/>
                <w:lang w:eastAsia="en-CA"/>
              </w:rPr>
              <w:t>58.61</w:t>
            </w:r>
          </w:p>
        </w:tc>
        <w:tc>
          <w:tcPr>
            <w:tcW w:w="1137" w:type="dxa"/>
            <w:tcBorders>
              <w:top w:val="single" w:sz="4" w:space="0" w:color="auto"/>
              <w:left w:val="single" w:sz="4" w:space="0" w:color="BFBFBF"/>
              <w:bottom w:val="double" w:sz="6" w:space="0" w:color="auto"/>
              <w:right w:val="single" w:sz="4" w:space="0" w:color="BFBFBF"/>
            </w:tcBorders>
            <w:shd w:val="clear" w:color="auto" w:fill="auto"/>
            <w:noWrap/>
            <w:hideMark/>
          </w:tcPr>
          <w:p w14:paraId="4FD3295D" w14:textId="77777777" w:rsidR="00646E2D" w:rsidRPr="00E24F4A" w:rsidRDefault="00646E2D" w:rsidP="00354B46">
            <w:pPr>
              <w:jc w:val="center"/>
              <w:rPr>
                <w:rFonts w:ascii="Calibri" w:eastAsia="Times New Roman" w:hAnsi="Calibri" w:cs="Calibri"/>
                <w:b/>
                <w:bCs/>
                <w:sz w:val="20"/>
                <w:szCs w:val="20"/>
                <w:lang w:eastAsia="en-CA"/>
              </w:rPr>
            </w:pPr>
            <w:r w:rsidRPr="00E24F4A">
              <w:rPr>
                <w:rFonts w:ascii="Calibri" w:eastAsia="Times New Roman" w:hAnsi="Calibri" w:cs="Calibri"/>
                <w:b/>
                <w:bCs/>
                <w:sz w:val="20"/>
                <w:szCs w:val="20"/>
                <w:lang w:eastAsia="en-CA"/>
              </w:rPr>
              <w:t>12.26</w:t>
            </w:r>
          </w:p>
        </w:tc>
        <w:tc>
          <w:tcPr>
            <w:tcW w:w="1136" w:type="dxa"/>
            <w:tcBorders>
              <w:top w:val="single" w:sz="4" w:space="0" w:color="auto"/>
              <w:left w:val="single" w:sz="4" w:space="0" w:color="BFBFBF"/>
              <w:bottom w:val="double" w:sz="6" w:space="0" w:color="auto"/>
              <w:right w:val="single" w:sz="4" w:space="0" w:color="BFBFBF"/>
            </w:tcBorders>
            <w:shd w:val="clear" w:color="auto" w:fill="auto"/>
            <w:noWrap/>
            <w:hideMark/>
          </w:tcPr>
          <w:p w14:paraId="72E6AD0C" w14:textId="77777777" w:rsidR="00646E2D" w:rsidRPr="00E24F4A" w:rsidRDefault="00646E2D" w:rsidP="00354B46">
            <w:pPr>
              <w:jc w:val="center"/>
              <w:rPr>
                <w:rFonts w:ascii="Calibri" w:eastAsia="Times New Roman" w:hAnsi="Calibri" w:cs="Calibri"/>
                <w:b/>
                <w:bCs/>
                <w:sz w:val="20"/>
                <w:szCs w:val="20"/>
                <w:lang w:eastAsia="en-CA"/>
              </w:rPr>
            </w:pPr>
            <w:r w:rsidRPr="00E24F4A">
              <w:rPr>
                <w:rFonts w:ascii="Calibri" w:eastAsia="Times New Roman" w:hAnsi="Calibri" w:cs="Calibri"/>
                <w:b/>
                <w:bCs/>
                <w:sz w:val="20"/>
                <w:szCs w:val="20"/>
                <w:lang w:eastAsia="en-CA"/>
              </w:rPr>
              <w:t>18.22</w:t>
            </w:r>
          </w:p>
        </w:tc>
        <w:tc>
          <w:tcPr>
            <w:tcW w:w="1137" w:type="dxa"/>
            <w:tcBorders>
              <w:top w:val="single" w:sz="4" w:space="0" w:color="auto"/>
              <w:left w:val="single" w:sz="4" w:space="0" w:color="BFBFBF"/>
              <w:bottom w:val="double" w:sz="6" w:space="0" w:color="auto"/>
              <w:right w:val="single" w:sz="4" w:space="0" w:color="BFBFBF"/>
            </w:tcBorders>
            <w:shd w:val="clear" w:color="auto" w:fill="auto"/>
            <w:noWrap/>
            <w:hideMark/>
          </w:tcPr>
          <w:p w14:paraId="1689A484" w14:textId="77777777" w:rsidR="00646E2D" w:rsidRPr="00E24F4A" w:rsidRDefault="00646E2D" w:rsidP="00354B46">
            <w:pPr>
              <w:jc w:val="center"/>
              <w:rPr>
                <w:rFonts w:ascii="Calibri" w:eastAsia="Times New Roman" w:hAnsi="Calibri" w:cs="Calibri"/>
                <w:b/>
                <w:bCs/>
                <w:sz w:val="20"/>
                <w:szCs w:val="20"/>
                <w:lang w:eastAsia="en-CA"/>
              </w:rPr>
            </w:pPr>
            <w:r w:rsidRPr="00E24F4A">
              <w:rPr>
                <w:rFonts w:ascii="Calibri" w:eastAsia="Times New Roman" w:hAnsi="Calibri" w:cs="Calibri"/>
                <w:b/>
                <w:bCs/>
                <w:sz w:val="20"/>
                <w:szCs w:val="20"/>
                <w:lang w:eastAsia="en-CA"/>
              </w:rPr>
              <w:t>1.65</w:t>
            </w:r>
          </w:p>
        </w:tc>
        <w:tc>
          <w:tcPr>
            <w:tcW w:w="1137" w:type="dxa"/>
            <w:tcBorders>
              <w:top w:val="single" w:sz="4" w:space="0" w:color="auto"/>
              <w:left w:val="single" w:sz="4" w:space="0" w:color="BFBFBF"/>
              <w:bottom w:val="double" w:sz="6" w:space="0" w:color="auto"/>
              <w:right w:val="single" w:sz="4" w:space="0" w:color="BFBFBF"/>
            </w:tcBorders>
            <w:shd w:val="clear" w:color="auto" w:fill="auto"/>
            <w:noWrap/>
            <w:hideMark/>
          </w:tcPr>
          <w:p w14:paraId="397918DF" w14:textId="77777777" w:rsidR="00646E2D" w:rsidRPr="00E24F4A" w:rsidRDefault="00646E2D" w:rsidP="00354B46">
            <w:pPr>
              <w:jc w:val="center"/>
              <w:rPr>
                <w:rFonts w:ascii="Calibri" w:eastAsia="Times New Roman" w:hAnsi="Calibri" w:cs="Calibri"/>
                <w:b/>
                <w:bCs/>
                <w:sz w:val="20"/>
                <w:szCs w:val="20"/>
                <w:lang w:eastAsia="en-CA"/>
              </w:rPr>
            </w:pPr>
            <w:r w:rsidRPr="00E24F4A">
              <w:rPr>
                <w:rFonts w:ascii="Calibri" w:eastAsia="Times New Roman" w:hAnsi="Calibri" w:cs="Calibri"/>
                <w:b/>
                <w:bCs/>
                <w:sz w:val="20"/>
                <w:szCs w:val="20"/>
                <w:lang w:eastAsia="en-CA"/>
              </w:rPr>
              <w:t>9.26</w:t>
            </w:r>
          </w:p>
        </w:tc>
        <w:tc>
          <w:tcPr>
            <w:tcW w:w="1525" w:type="dxa"/>
            <w:tcBorders>
              <w:top w:val="single" w:sz="4" w:space="0" w:color="auto"/>
              <w:left w:val="single" w:sz="4" w:space="0" w:color="BFBFBF"/>
              <w:bottom w:val="double" w:sz="6" w:space="0" w:color="auto"/>
              <w:right w:val="single" w:sz="4" w:space="0" w:color="BFBFBF"/>
            </w:tcBorders>
            <w:shd w:val="clear" w:color="auto" w:fill="auto"/>
            <w:noWrap/>
            <w:hideMark/>
          </w:tcPr>
          <w:p w14:paraId="75BBF056" w14:textId="77777777" w:rsidR="00646E2D" w:rsidRPr="00E24F4A" w:rsidRDefault="00646E2D" w:rsidP="00354B46">
            <w:pPr>
              <w:jc w:val="center"/>
              <w:rPr>
                <w:rFonts w:ascii="Calibri" w:eastAsia="Times New Roman" w:hAnsi="Calibri" w:cs="Calibri"/>
                <w:b/>
                <w:bCs/>
                <w:sz w:val="20"/>
                <w:szCs w:val="20"/>
                <w:lang w:eastAsia="en-CA"/>
              </w:rPr>
            </w:pPr>
            <w:r w:rsidRPr="00E24F4A">
              <w:rPr>
                <w:rFonts w:ascii="Calibri" w:eastAsia="Times New Roman" w:hAnsi="Calibri" w:cs="Calibri"/>
                <w:b/>
                <w:bCs/>
                <w:sz w:val="20"/>
                <w:szCs w:val="20"/>
                <w:lang w:eastAsia="en-CA"/>
              </w:rPr>
              <w:t>9.96 (0.62)</w:t>
            </w:r>
          </w:p>
        </w:tc>
      </w:tr>
    </w:tbl>
    <w:p w14:paraId="08D1F260" w14:textId="77777777" w:rsidR="00646E2D" w:rsidRDefault="00646E2D" w:rsidP="00646E2D">
      <w:pPr>
        <w:rPr>
          <w:color w:val="000000" w:themeColor="text1"/>
        </w:rPr>
      </w:pPr>
    </w:p>
    <w:p w14:paraId="794C09DD" w14:textId="77777777" w:rsidR="00646E2D" w:rsidRDefault="00646E2D" w:rsidP="00646E2D">
      <w:pPr>
        <w:rPr>
          <w:color w:val="000000" w:themeColor="text1"/>
        </w:rPr>
      </w:pPr>
      <w:r w:rsidRPr="0054215C">
        <w:rPr>
          <w:b/>
          <w:i/>
          <w:color w:val="000000" w:themeColor="text1"/>
        </w:rPr>
        <w:t>Table S</w:t>
      </w:r>
      <w:r>
        <w:rPr>
          <w:b/>
          <w:i/>
          <w:color w:val="000000" w:themeColor="text1"/>
        </w:rPr>
        <w:t>2</w:t>
      </w:r>
      <w:r w:rsidRPr="0054215C">
        <w:rPr>
          <w:b/>
          <w:i/>
          <w:color w:val="000000" w:themeColor="text1"/>
        </w:rPr>
        <w:t>:</w:t>
      </w:r>
      <w:r>
        <w:rPr>
          <w:color w:val="000000" w:themeColor="text1"/>
        </w:rPr>
        <w:t xml:space="preserve"> </w:t>
      </w:r>
      <w:r w:rsidRPr="00C876E3">
        <w:rPr>
          <w:b/>
          <w:i/>
        </w:rPr>
        <w:t>Demographic Characteristics</w:t>
      </w:r>
      <w:r>
        <w:rPr>
          <w:b/>
          <w:i/>
        </w:rPr>
        <w:t xml:space="preserve"> of Included Subjects by Site</w:t>
      </w:r>
    </w:p>
    <w:p w14:paraId="0645574A" w14:textId="74D04AEE" w:rsidR="0054215C" w:rsidRDefault="0054215C" w:rsidP="00646E2D">
      <w:pPr>
        <w:rPr>
          <w:color w:val="000000" w:themeColor="text1"/>
        </w:rPr>
      </w:pPr>
    </w:p>
    <w:p w14:paraId="75D79547" w14:textId="6A86B8B4" w:rsidR="00B71377" w:rsidRDefault="00B71377" w:rsidP="00646E2D">
      <w:pPr>
        <w:rPr>
          <w:color w:val="000000" w:themeColor="text1"/>
        </w:rPr>
      </w:pPr>
    </w:p>
    <w:p w14:paraId="4D68D198" w14:textId="1D401392" w:rsidR="00B71377" w:rsidRDefault="00B71377">
      <w:pPr>
        <w:rPr>
          <w:color w:val="000000" w:themeColor="text1"/>
        </w:rPr>
      </w:pPr>
      <w:r>
        <w:rPr>
          <w:color w:val="000000" w:themeColor="text1"/>
        </w:rPr>
        <w:br w:type="page"/>
      </w:r>
    </w:p>
    <w:p w14:paraId="3E3B93CB" w14:textId="77777777" w:rsidR="00B71377" w:rsidRDefault="00B71377" w:rsidP="00646E2D">
      <w:pPr>
        <w:rPr>
          <w:color w:val="000000" w:themeColor="text1"/>
        </w:rPr>
      </w:pPr>
    </w:p>
    <w:p w14:paraId="58465537" w14:textId="77777777" w:rsidR="00B71377" w:rsidRDefault="00B71377" w:rsidP="00646E2D">
      <w:pPr>
        <w:rPr>
          <w:color w:val="000000" w:themeColor="text1"/>
        </w:rPr>
      </w:pPr>
    </w:p>
    <w:p w14:paraId="4579FD4E" w14:textId="73F772A6" w:rsidR="00877D75" w:rsidRDefault="00877D75" w:rsidP="00646E2D">
      <w:pPr>
        <w:rPr>
          <w:color w:val="000000" w:themeColor="text1"/>
        </w:rPr>
      </w:pPr>
    </w:p>
    <w:p w14:paraId="76F637EC" w14:textId="09625450" w:rsidR="00877D75" w:rsidRPr="00877D75" w:rsidRDefault="00877D75" w:rsidP="00646E2D">
      <w:pPr>
        <w:rPr>
          <w:b/>
          <w:bCs/>
          <w:color w:val="000000" w:themeColor="text1"/>
        </w:rPr>
      </w:pPr>
      <w:r w:rsidRPr="00877D75">
        <w:rPr>
          <w:b/>
          <w:bCs/>
          <w:color w:val="000000" w:themeColor="text1"/>
        </w:rPr>
        <w:t>References</w:t>
      </w:r>
    </w:p>
    <w:p w14:paraId="1C492C13" w14:textId="3E2C926B" w:rsidR="00877D75" w:rsidRDefault="00877D75" w:rsidP="00646E2D">
      <w:pPr>
        <w:rPr>
          <w:color w:val="000000" w:themeColor="text1"/>
        </w:rPr>
      </w:pPr>
    </w:p>
    <w:p w14:paraId="6E53EEC6" w14:textId="77777777" w:rsidR="0094155F" w:rsidRPr="0094155F" w:rsidRDefault="00155152" w:rsidP="0094155F">
      <w:pPr>
        <w:pStyle w:val="Bibliography"/>
        <w:rPr>
          <w:rFonts w:ascii="Calibri" w:cs="Calibri"/>
          <w:color w:val="000000"/>
        </w:rPr>
      </w:pPr>
      <w:r>
        <w:rPr>
          <w:color w:val="000000" w:themeColor="text1"/>
        </w:rPr>
        <w:fldChar w:fldCharType="begin"/>
      </w:r>
      <w:r w:rsidR="0094155F">
        <w:rPr>
          <w:color w:val="000000" w:themeColor="text1"/>
        </w:rPr>
        <w:instrText xml:space="preserve"> ADDIN ZOTERO_BIBL {"uncited":[],"omitted":[],"custom":[]} CSL_BIBLIOGRAPHY </w:instrText>
      </w:r>
      <w:r>
        <w:rPr>
          <w:color w:val="000000" w:themeColor="text1"/>
        </w:rPr>
        <w:fldChar w:fldCharType="separate"/>
      </w:r>
      <w:r w:rsidR="0094155F" w:rsidRPr="0094155F">
        <w:rPr>
          <w:rFonts w:ascii="Calibri" w:cs="Calibri"/>
          <w:color w:val="000000"/>
        </w:rPr>
        <w:t xml:space="preserve">1. </w:t>
      </w:r>
      <w:r w:rsidR="0094155F" w:rsidRPr="0094155F">
        <w:rPr>
          <w:rFonts w:ascii="Calibri" w:cs="Calibri"/>
          <w:color w:val="000000"/>
        </w:rPr>
        <w:tab/>
        <w:t xml:space="preserve">O. Esteban, </w:t>
      </w:r>
      <w:r w:rsidR="0094155F" w:rsidRPr="0094155F">
        <w:rPr>
          <w:rFonts w:ascii="Calibri" w:cs="Calibri"/>
          <w:i/>
          <w:iCs/>
          <w:color w:val="000000"/>
        </w:rPr>
        <w:t>et al.</w:t>
      </w:r>
      <w:r w:rsidR="0094155F" w:rsidRPr="0094155F">
        <w:rPr>
          <w:rFonts w:ascii="Calibri" w:cs="Calibri"/>
          <w:color w:val="000000"/>
        </w:rPr>
        <w:t xml:space="preserve">, fMRIPrep: a robust preprocessing pipeline for functional MRI. </w:t>
      </w:r>
      <w:r w:rsidR="0094155F" w:rsidRPr="0094155F">
        <w:rPr>
          <w:rFonts w:ascii="Calibri" w:cs="Calibri"/>
          <w:i/>
          <w:iCs/>
          <w:color w:val="000000"/>
        </w:rPr>
        <w:t>Nature methods</w:t>
      </w:r>
      <w:r w:rsidR="0094155F" w:rsidRPr="0094155F">
        <w:rPr>
          <w:rFonts w:ascii="Calibri" w:cs="Calibri"/>
          <w:color w:val="000000"/>
        </w:rPr>
        <w:t xml:space="preserve"> </w:t>
      </w:r>
      <w:r w:rsidR="0094155F" w:rsidRPr="0094155F">
        <w:rPr>
          <w:rFonts w:ascii="Calibri" w:cs="Calibri"/>
          <w:b/>
          <w:bCs/>
          <w:color w:val="000000"/>
        </w:rPr>
        <w:t>16</w:t>
      </w:r>
      <w:r w:rsidR="0094155F" w:rsidRPr="0094155F">
        <w:rPr>
          <w:rFonts w:ascii="Calibri" w:cs="Calibri"/>
          <w:color w:val="000000"/>
        </w:rPr>
        <w:t>, 111 (2019).</w:t>
      </w:r>
    </w:p>
    <w:p w14:paraId="24FC1D43" w14:textId="77777777" w:rsidR="0094155F" w:rsidRPr="0094155F" w:rsidRDefault="0094155F" w:rsidP="0094155F">
      <w:pPr>
        <w:pStyle w:val="Bibliography"/>
        <w:rPr>
          <w:rFonts w:ascii="Calibri" w:cs="Calibri"/>
          <w:color w:val="000000"/>
        </w:rPr>
      </w:pPr>
      <w:r w:rsidRPr="0094155F">
        <w:rPr>
          <w:rFonts w:ascii="Calibri" w:cs="Calibri"/>
          <w:color w:val="000000"/>
        </w:rPr>
        <w:t xml:space="preserve">2. </w:t>
      </w:r>
      <w:r w:rsidRPr="0094155F">
        <w:rPr>
          <w:rFonts w:ascii="Calibri" w:cs="Calibri"/>
          <w:color w:val="000000"/>
        </w:rPr>
        <w:tab/>
        <w:t xml:space="preserve">K. Gorgolewski, </w:t>
      </w:r>
      <w:r w:rsidRPr="0094155F">
        <w:rPr>
          <w:rFonts w:ascii="Calibri" w:cs="Calibri"/>
          <w:i/>
          <w:iCs/>
          <w:color w:val="000000"/>
        </w:rPr>
        <w:t>et al.</w:t>
      </w:r>
      <w:r w:rsidRPr="0094155F">
        <w:rPr>
          <w:rFonts w:ascii="Calibri" w:cs="Calibri"/>
          <w:color w:val="000000"/>
        </w:rPr>
        <w:t xml:space="preserve">, Nipype: a flexible, lightweight and extensible neuroimaging data processing framework in python. </w:t>
      </w:r>
      <w:r w:rsidRPr="0094155F">
        <w:rPr>
          <w:rFonts w:ascii="Calibri" w:cs="Calibri"/>
          <w:i/>
          <w:iCs/>
          <w:color w:val="000000"/>
        </w:rPr>
        <w:t>Frontiers in neuroinformatics</w:t>
      </w:r>
      <w:r w:rsidRPr="0094155F">
        <w:rPr>
          <w:rFonts w:ascii="Calibri" w:cs="Calibri"/>
          <w:color w:val="000000"/>
        </w:rPr>
        <w:t xml:space="preserve"> </w:t>
      </w:r>
      <w:r w:rsidRPr="0094155F">
        <w:rPr>
          <w:rFonts w:ascii="Calibri" w:cs="Calibri"/>
          <w:b/>
          <w:bCs/>
          <w:color w:val="000000"/>
        </w:rPr>
        <w:t>5</w:t>
      </w:r>
      <w:r w:rsidRPr="0094155F">
        <w:rPr>
          <w:rFonts w:ascii="Calibri" w:cs="Calibri"/>
          <w:color w:val="000000"/>
        </w:rPr>
        <w:t>, 13 (2011).</w:t>
      </w:r>
    </w:p>
    <w:p w14:paraId="76FB6C94" w14:textId="77777777" w:rsidR="0094155F" w:rsidRPr="0094155F" w:rsidRDefault="0094155F" w:rsidP="0094155F">
      <w:pPr>
        <w:pStyle w:val="Bibliography"/>
        <w:rPr>
          <w:rFonts w:ascii="Calibri" w:cs="Calibri"/>
          <w:color w:val="000000"/>
        </w:rPr>
      </w:pPr>
      <w:r w:rsidRPr="0094155F">
        <w:rPr>
          <w:rFonts w:ascii="Calibri" w:cs="Calibri"/>
          <w:color w:val="000000"/>
        </w:rPr>
        <w:t xml:space="preserve">3. </w:t>
      </w:r>
      <w:r w:rsidRPr="0094155F">
        <w:rPr>
          <w:rFonts w:ascii="Calibri" w:cs="Calibri"/>
          <w:color w:val="000000"/>
        </w:rPr>
        <w:tab/>
        <w:t xml:space="preserve">E. M. Gordon, </w:t>
      </w:r>
      <w:r w:rsidRPr="0094155F">
        <w:rPr>
          <w:rFonts w:ascii="Calibri" w:cs="Calibri"/>
          <w:i/>
          <w:iCs/>
          <w:color w:val="000000"/>
        </w:rPr>
        <w:t>et al.</w:t>
      </w:r>
      <w:r w:rsidRPr="0094155F">
        <w:rPr>
          <w:rFonts w:ascii="Calibri" w:cs="Calibri"/>
          <w:color w:val="000000"/>
        </w:rPr>
        <w:t xml:space="preserve">, Generation and Evaluation of a Cortical Area Parcellation from Resting-State Correlations. </w:t>
      </w:r>
      <w:r w:rsidRPr="0094155F">
        <w:rPr>
          <w:rFonts w:ascii="Calibri" w:cs="Calibri"/>
          <w:i/>
          <w:iCs/>
          <w:color w:val="000000"/>
        </w:rPr>
        <w:t>Cereb. Cortex</w:t>
      </w:r>
      <w:r w:rsidRPr="0094155F">
        <w:rPr>
          <w:rFonts w:ascii="Calibri" w:cs="Calibri"/>
          <w:color w:val="000000"/>
        </w:rPr>
        <w:t xml:space="preserve"> </w:t>
      </w:r>
      <w:r w:rsidRPr="0094155F">
        <w:rPr>
          <w:rFonts w:ascii="Calibri" w:cs="Calibri"/>
          <w:b/>
          <w:bCs/>
          <w:color w:val="000000"/>
        </w:rPr>
        <w:t>26</w:t>
      </w:r>
      <w:r w:rsidRPr="0094155F">
        <w:rPr>
          <w:rFonts w:ascii="Calibri" w:cs="Calibri"/>
          <w:color w:val="000000"/>
        </w:rPr>
        <w:t>, 288–303 (2016).</w:t>
      </w:r>
    </w:p>
    <w:p w14:paraId="2681506B" w14:textId="77777777" w:rsidR="0094155F" w:rsidRPr="0094155F" w:rsidRDefault="0094155F" w:rsidP="0094155F">
      <w:pPr>
        <w:pStyle w:val="Bibliography"/>
        <w:rPr>
          <w:rFonts w:ascii="Calibri" w:cs="Calibri"/>
          <w:color w:val="000000"/>
        </w:rPr>
      </w:pPr>
      <w:r w:rsidRPr="0094155F">
        <w:rPr>
          <w:rFonts w:ascii="Calibri" w:cs="Calibri"/>
          <w:color w:val="000000"/>
        </w:rPr>
        <w:t xml:space="preserve">4. </w:t>
      </w:r>
      <w:r w:rsidRPr="0094155F">
        <w:rPr>
          <w:rFonts w:ascii="Calibri" w:cs="Calibri"/>
          <w:color w:val="000000"/>
        </w:rPr>
        <w:tab/>
        <w:t xml:space="preserve">Y. Tian, D. S. Margulies, M. Breakspear, A. Zalesky, Hierarchical organization of the human subcortex unveiled with functional connectivity gradients. </w:t>
      </w:r>
      <w:r w:rsidRPr="0094155F">
        <w:rPr>
          <w:rFonts w:ascii="Calibri" w:cs="Calibri"/>
          <w:i/>
          <w:iCs/>
          <w:color w:val="000000"/>
        </w:rPr>
        <w:t>bioRxiv</w:t>
      </w:r>
      <w:r w:rsidRPr="0094155F">
        <w:rPr>
          <w:rFonts w:ascii="Calibri" w:cs="Calibri"/>
          <w:color w:val="000000"/>
        </w:rPr>
        <w:t xml:space="preserve"> (2020).</w:t>
      </w:r>
    </w:p>
    <w:p w14:paraId="49F6ED04" w14:textId="77777777" w:rsidR="0094155F" w:rsidRPr="0094155F" w:rsidRDefault="0094155F" w:rsidP="0094155F">
      <w:pPr>
        <w:pStyle w:val="Bibliography"/>
        <w:rPr>
          <w:rFonts w:ascii="Calibri" w:cs="Calibri"/>
          <w:color w:val="000000"/>
        </w:rPr>
      </w:pPr>
      <w:r w:rsidRPr="0094155F">
        <w:rPr>
          <w:rFonts w:ascii="Calibri" w:cs="Calibri"/>
          <w:color w:val="000000"/>
        </w:rPr>
        <w:t xml:space="preserve">5. </w:t>
      </w:r>
      <w:r w:rsidRPr="0094155F">
        <w:rPr>
          <w:rFonts w:ascii="Calibri" w:cs="Calibri"/>
          <w:color w:val="000000"/>
        </w:rPr>
        <w:tab/>
        <w:t xml:space="preserve">J. Diedrichsen, </w:t>
      </w:r>
      <w:r w:rsidRPr="0094155F">
        <w:rPr>
          <w:rFonts w:ascii="Calibri" w:cs="Calibri"/>
          <w:i/>
          <w:iCs/>
          <w:color w:val="000000"/>
        </w:rPr>
        <w:t>et al.</w:t>
      </w:r>
      <w:r w:rsidRPr="0094155F">
        <w:rPr>
          <w:rFonts w:ascii="Calibri" w:cs="Calibri"/>
          <w:color w:val="000000"/>
        </w:rPr>
        <w:t xml:space="preserve">, Imaging the deep cerebellar nuclei: a probabilistic atlas and normalization procedure. </w:t>
      </w:r>
      <w:r w:rsidRPr="0094155F">
        <w:rPr>
          <w:rFonts w:ascii="Calibri" w:cs="Calibri"/>
          <w:i/>
          <w:iCs/>
          <w:color w:val="000000"/>
        </w:rPr>
        <w:t>Neuroimage</w:t>
      </w:r>
      <w:r w:rsidRPr="0094155F">
        <w:rPr>
          <w:rFonts w:ascii="Calibri" w:cs="Calibri"/>
          <w:color w:val="000000"/>
        </w:rPr>
        <w:t xml:space="preserve"> </w:t>
      </w:r>
      <w:r w:rsidRPr="0094155F">
        <w:rPr>
          <w:rFonts w:ascii="Calibri" w:cs="Calibri"/>
          <w:b/>
          <w:bCs/>
          <w:color w:val="000000"/>
        </w:rPr>
        <w:t>54</w:t>
      </w:r>
      <w:r w:rsidRPr="0094155F">
        <w:rPr>
          <w:rFonts w:ascii="Calibri" w:cs="Calibri"/>
          <w:color w:val="000000"/>
        </w:rPr>
        <w:t>, 1786–1794 (2011).</w:t>
      </w:r>
    </w:p>
    <w:p w14:paraId="20EF8B9F" w14:textId="77777777" w:rsidR="0094155F" w:rsidRPr="0094155F" w:rsidRDefault="0094155F" w:rsidP="0094155F">
      <w:pPr>
        <w:pStyle w:val="Bibliography"/>
        <w:rPr>
          <w:rFonts w:ascii="Calibri" w:cs="Calibri"/>
          <w:color w:val="000000"/>
        </w:rPr>
      </w:pPr>
      <w:r w:rsidRPr="0094155F">
        <w:rPr>
          <w:rFonts w:ascii="Calibri" w:cs="Calibri"/>
          <w:color w:val="000000"/>
        </w:rPr>
        <w:t xml:space="preserve">6. </w:t>
      </w:r>
      <w:r w:rsidRPr="0094155F">
        <w:rPr>
          <w:rFonts w:ascii="Calibri" w:cs="Calibri"/>
          <w:color w:val="000000"/>
        </w:rPr>
        <w:tab/>
        <w:t xml:space="preserve">M. A. Lindquist, S. Geuter, T. D. Wager, B. S. Caffo, Modular preprocessing pipelines can reintroduce artifacts into fMRI data. </w:t>
      </w:r>
      <w:r w:rsidRPr="0094155F">
        <w:rPr>
          <w:rFonts w:ascii="Calibri" w:cs="Calibri"/>
          <w:i/>
          <w:iCs/>
          <w:color w:val="000000"/>
        </w:rPr>
        <w:t>Human brain mapping</w:t>
      </w:r>
      <w:r w:rsidRPr="0094155F">
        <w:rPr>
          <w:rFonts w:ascii="Calibri" w:cs="Calibri"/>
          <w:color w:val="000000"/>
        </w:rPr>
        <w:t xml:space="preserve"> </w:t>
      </w:r>
      <w:r w:rsidRPr="0094155F">
        <w:rPr>
          <w:rFonts w:ascii="Calibri" w:cs="Calibri"/>
          <w:b/>
          <w:bCs/>
          <w:color w:val="000000"/>
        </w:rPr>
        <w:t>40</w:t>
      </w:r>
      <w:r w:rsidRPr="0094155F">
        <w:rPr>
          <w:rFonts w:ascii="Calibri" w:cs="Calibri"/>
          <w:color w:val="000000"/>
        </w:rPr>
        <w:t>, 2358–2376 (2019).</w:t>
      </w:r>
    </w:p>
    <w:p w14:paraId="20CC0C16" w14:textId="77777777" w:rsidR="0094155F" w:rsidRPr="0094155F" w:rsidRDefault="0094155F" w:rsidP="0094155F">
      <w:pPr>
        <w:pStyle w:val="Bibliography"/>
        <w:rPr>
          <w:rFonts w:ascii="Calibri" w:cs="Calibri"/>
          <w:color w:val="000000"/>
        </w:rPr>
      </w:pPr>
      <w:r w:rsidRPr="0094155F">
        <w:rPr>
          <w:rFonts w:ascii="Calibri" w:cs="Calibri"/>
          <w:color w:val="000000"/>
        </w:rPr>
        <w:t xml:space="preserve">7. </w:t>
      </w:r>
      <w:r w:rsidRPr="0094155F">
        <w:rPr>
          <w:rFonts w:ascii="Calibri" w:cs="Calibri"/>
          <w:color w:val="000000"/>
        </w:rPr>
        <w:tab/>
        <w:t xml:space="preserve">J. D. Power, </w:t>
      </w:r>
      <w:r w:rsidRPr="0094155F">
        <w:rPr>
          <w:rFonts w:ascii="Calibri" w:cs="Calibri"/>
          <w:i/>
          <w:iCs/>
          <w:color w:val="000000"/>
        </w:rPr>
        <w:t>et al.</w:t>
      </w:r>
      <w:r w:rsidRPr="0094155F">
        <w:rPr>
          <w:rFonts w:ascii="Calibri" w:cs="Calibri"/>
          <w:color w:val="000000"/>
        </w:rPr>
        <w:t xml:space="preserve">, Methods to detect, characterize, and remove motion artifact in resting state fMRI. </w:t>
      </w:r>
      <w:r w:rsidRPr="0094155F">
        <w:rPr>
          <w:rFonts w:ascii="Calibri" w:cs="Calibri"/>
          <w:i/>
          <w:iCs/>
          <w:color w:val="000000"/>
        </w:rPr>
        <w:t>Neuroimage</w:t>
      </w:r>
      <w:r w:rsidRPr="0094155F">
        <w:rPr>
          <w:rFonts w:ascii="Calibri" w:cs="Calibri"/>
          <w:color w:val="000000"/>
        </w:rPr>
        <w:t xml:space="preserve"> </w:t>
      </w:r>
      <w:r w:rsidRPr="0094155F">
        <w:rPr>
          <w:rFonts w:ascii="Calibri" w:cs="Calibri"/>
          <w:b/>
          <w:bCs/>
          <w:color w:val="000000"/>
        </w:rPr>
        <w:t>84</w:t>
      </w:r>
      <w:r w:rsidRPr="0094155F">
        <w:rPr>
          <w:rFonts w:ascii="Calibri" w:cs="Calibri"/>
          <w:color w:val="000000"/>
        </w:rPr>
        <w:t>, 320–341 (2014).</w:t>
      </w:r>
    </w:p>
    <w:p w14:paraId="4EF859BE" w14:textId="77777777" w:rsidR="0094155F" w:rsidRPr="0094155F" w:rsidRDefault="0094155F" w:rsidP="0094155F">
      <w:pPr>
        <w:pStyle w:val="Bibliography"/>
        <w:rPr>
          <w:rFonts w:ascii="Calibri" w:cs="Calibri"/>
          <w:color w:val="000000"/>
        </w:rPr>
      </w:pPr>
      <w:r w:rsidRPr="0094155F">
        <w:rPr>
          <w:rFonts w:ascii="Calibri" w:cs="Calibri"/>
          <w:color w:val="000000"/>
        </w:rPr>
        <w:t xml:space="preserve">8. </w:t>
      </w:r>
      <w:r w:rsidRPr="0094155F">
        <w:rPr>
          <w:rFonts w:ascii="Calibri" w:cs="Calibri"/>
          <w:color w:val="000000"/>
        </w:rPr>
        <w:tab/>
        <w:t xml:space="preserve">J. D. Power, B. L. Schlaggar, S. E. Petersen, Recent progress and outstanding issues in motion correction in resting state fMRI. </w:t>
      </w:r>
      <w:r w:rsidRPr="0094155F">
        <w:rPr>
          <w:rFonts w:ascii="Calibri" w:cs="Calibri"/>
          <w:i/>
          <w:iCs/>
          <w:color w:val="000000"/>
        </w:rPr>
        <w:t>Neuroimage</w:t>
      </w:r>
      <w:r w:rsidRPr="0094155F">
        <w:rPr>
          <w:rFonts w:ascii="Calibri" w:cs="Calibri"/>
          <w:color w:val="000000"/>
        </w:rPr>
        <w:t xml:space="preserve"> </w:t>
      </w:r>
      <w:r w:rsidRPr="0094155F">
        <w:rPr>
          <w:rFonts w:ascii="Calibri" w:cs="Calibri"/>
          <w:b/>
          <w:bCs/>
          <w:color w:val="000000"/>
        </w:rPr>
        <w:t>105</w:t>
      </w:r>
      <w:r w:rsidRPr="0094155F">
        <w:rPr>
          <w:rFonts w:ascii="Calibri" w:cs="Calibri"/>
          <w:color w:val="000000"/>
        </w:rPr>
        <w:t>, 536–551 (2015).</w:t>
      </w:r>
    </w:p>
    <w:p w14:paraId="2897BF3E" w14:textId="77777777" w:rsidR="0094155F" w:rsidRPr="0094155F" w:rsidRDefault="0094155F" w:rsidP="0094155F">
      <w:pPr>
        <w:pStyle w:val="Bibliography"/>
        <w:rPr>
          <w:rFonts w:ascii="Calibri" w:cs="Calibri"/>
          <w:color w:val="000000"/>
        </w:rPr>
      </w:pPr>
      <w:r w:rsidRPr="0094155F">
        <w:rPr>
          <w:rFonts w:ascii="Calibri" w:cs="Calibri"/>
          <w:color w:val="000000"/>
        </w:rPr>
        <w:t xml:space="preserve">9. </w:t>
      </w:r>
      <w:r w:rsidRPr="0094155F">
        <w:rPr>
          <w:rFonts w:ascii="Calibri" w:cs="Calibri"/>
          <w:color w:val="000000"/>
        </w:rPr>
        <w:tab/>
        <w:t xml:space="preserve">R. E. Zinbarg, W. Revelle, I. Yovel, W. Li, Cronbach’s α, Revelle’s β, and McDonald’s ω H: Their relations with each other and two alternative conceptualizations of reliability. </w:t>
      </w:r>
      <w:r w:rsidRPr="0094155F">
        <w:rPr>
          <w:rFonts w:ascii="Calibri" w:cs="Calibri"/>
          <w:i/>
          <w:iCs/>
          <w:color w:val="000000"/>
        </w:rPr>
        <w:t>psychometrika</w:t>
      </w:r>
      <w:r w:rsidRPr="0094155F">
        <w:rPr>
          <w:rFonts w:ascii="Calibri" w:cs="Calibri"/>
          <w:color w:val="000000"/>
        </w:rPr>
        <w:t xml:space="preserve"> </w:t>
      </w:r>
      <w:r w:rsidRPr="0094155F">
        <w:rPr>
          <w:rFonts w:ascii="Calibri" w:cs="Calibri"/>
          <w:b/>
          <w:bCs/>
          <w:color w:val="000000"/>
        </w:rPr>
        <w:t>70</w:t>
      </w:r>
      <w:r w:rsidRPr="0094155F">
        <w:rPr>
          <w:rFonts w:ascii="Calibri" w:cs="Calibri"/>
          <w:color w:val="000000"/>
        </w:rPr>
        <w:t>, 123–133 (2005).</w:t>
      </w:r>
    </w:p>
    <w:p w14:paraId="6090729B" w14:textId="77777777" w:rsidR="0094155F" w:rsidRPr="0094155F" w:rsidRDefault="0094155F" w:rsidP="0094155F">
      <w:pPr>
        <w:pStyle w:val="Bibliography"/>
        <w:rPr>
          <w:rFonts w:ascii="Calibri" w:cs="Calibri"/>
          <w:color w:val="000000"/>
        </w:rPr>
      </w:pPr>
      <w:r w:rsidRPr="0094155F">
        <w:rPr>
          <w:rFonts w:ascii="Calibri" w:cs="Calibri"/>
          <w:color w:val="000000"/>
        </w:rPr>
        <w:t xml:space="preserve">10. </w:t>
      </w:r>
      <w:r w:rsidRPr="0094155F">
        <w:rPr>
          <w:rFonts w:ascii="Calibri" w:cs="Calibri"/>
          <w:color w:val="000000"/>
        </w:rPr>
        <w:tab/>
        <w:t xml:space="preserve">I. T. Jolliffe, A note on the use of principal components in regression. </w:t>
      </w:r>
      <w:r w:rsidRPr="0094155F">
        <w:rPr>
          <w:rFonts w:ascii="Calibri" w:cs="Calibri"/>
          <w:i/>
          <w:iCs/>
          <w:color w:val="000000"/>
        </w:rPr>
        <w:t>Applied Statistics</w:t>
      </w:r>
      <w:r w:rsidRPr="0094155F">
        <w:rPr>
          <w:rFonts w:ascii="Calibri" w:cs="Calibri"/>
          <w:color w:val="000000"/>
        </w:rPr>
        <w:t xml:space="preserve"> </w:t>
      </w:r>
      <w:r w:rsidRPr="0094155F">
        <w:rPr>
          <w:rFonts w:ascii="Calibri" w:cs="Calibri"/>
          <w:b/>
          <w:bCs/>
          <w:color w:val="000000"/>
        </w:rPr>
        <w:t>31</w:t>
      </w:r>
      <w:r w:rsidRPr="0094155F">
        <w:rPr>
          <w:rFonts w:ascii="Calibri" w:cs="Calibri"/>
          <w:color w:val="000000"/>
        </w:rPr>
        <w:t>, 300–303 (1982).</w:t>
      </w:r>
    </w:p>
    <w:p w14:paraId="20899048" w14:textId="77777777" w:rsidR="0094155F" w:rsidRPr="0094155F" w:rsidRDefault="0094155F" w:rsidP="0094155F">
      <w:pPr>
        <w:pStyle w:val="Bibliography"/>
        <w:rPr>
          <w:rFonts w:ascii="Calibri" w:cs="Calibri"/>
          <w:color w:val="000000"/>
        </w:rPr>
      </w:pPr>
      <w:r w:rsidRPr="0094155F">
        <w:rPr>
          <w:rFonts w:ascii="Calibri" w:cs="Calibri"/>
          <w:color w:val="000000"/>
        </w:rPr>
        <w:t xml:space="preserve">11. </w:t>
      </w:r>
      <w:r w:rsidRPr="0094155F">
        <w:rPr>
          <w:rFonts w:ascii="Calibri" w:cs="Calibri"/>
          <w:color w:val="000000"/>
        </w:rPr>
        <w:tab/>
        <w:t xml:space="preserve">C. Sripada, </w:t>
      </w:r>
      <w:r w:rsidRPr="0094155F">
        <w:rPr>
          <w:rFonts w:ascii="Calibri" w:cs="Calibri"/>
          <w:i/>
          <w:iCs/>
          <w:color w:val="000000"/>
        </w:rPr>
        <w:t>et al.</w:t>
      </w:r>
      <w:r w:rsidRPr="0094155F">
        <w:rPr>
          <w:rFonts w:ascii="Calibri" w:cs="Calibri"/>
          <w:color w:val="000000"/>
        </w:rPr>
        <w:t xml:space="preserve">, Basic Units of Inter-Individual Variation in Resting State Connectomes. </w:t>
      </w:r>
      <w:r w:rsidRPr="0094155F">
        <w:rPr>
          <w:rFonts w:ascii="Calibri" w:cs="Calibri"/>
          <w:i/>
          <w:iCs/>
          <w:color w:val="000000"/>
        </w:rPr>
        <w:t>Scientific Reports</w:t>
      </w:r>
      <w:r w:rsidRPr="0094155F">
        <w:rPr>
          <w:rFonts w:ascii="Calibri" w:cs="Calibri"/>
          <w:color w:val="000000"/>
        </w:rPr>
        <w:t xml:space="preserve"> </w:t>
      </w:r>
      <w:r w:rsidRPr="0094155F">
        <w:rPr>
          <w:rFonts w:ascii="Calibri" w:cs="Calibri"/>
          <w:b/>
          <w:bCs/>
          <w:color w:val="000000"/>
        </w:rPr>
        <w:t>9</w:t>
      </w:r>
      <w:r w:rsidRPr="0094155F">
        <w:rPr>
          <w:rFonts w:ascii="Calibri" w:cs="Calibri"/>
          <w:color w:val="000000"/>
        </w:rPr>
        <w:t>, 1900 (2019).</w:t>
      </w:r>
    </w:p>
    <w:p w14:paraId="5870EA2E" w14:textId="77777777" w:rsidR="0094155F" w:rsidRPr="0094155F" w:rsidRDefault="0094155F" w:rsidP="0094155F">
      <w:pPr>
        <w:pStyle w:val="Bibliography"/>
        <w:rPr>
          <w:rFonts w:ascii="Calibri" w:cs="Calibri"/>
          <w:color w:val="000000"/>
        </w:rPr>
      </w:pPr>
      <w:r w:rsidRPr="0094155F">
        <w:rPr>
          <w:rFonts w:ascii="Calibri" w:cs="Calibri"/>
          <w:color w:val="000000"/>
        </w:rPr>
        <w:t xml:space="preserve">12. </w:t>
      </w:r>
      <w:r w:rsidRPr="0094155F">
        <w:rPr>
          <w:rFonts w:ascii="Calibri" w:cs="Calibri"/>
          <w:color w:val="000000"/>
        </w:rPr>
        <w:tab/>
        <w:t xml:space="preserve">D. Kessler, M. Angstadt, C. Sripada, Brain Network Growth Charting and the Identification of Attention Impairment in Youth. </w:t>
      </w:r>
      <w:r w:rsidRPr="0094155F">
        <w:rPr>
          <w:rFonts w:ascii="Calibri" w:cs="Calibri"/>
          <w:i/>
          <w:iCs/>
          <w:color w:val="000000"/>
        </w:rPr>
        <w:t>JAMA Psychiatry</w:t>
      </w:r>
      <w:r w:rsidRPr="0094155F">
        <w:rPr>
          <w:rFonts w:ascii="Calibri" w:cs="Calibri"/>
          <w:color w:val="000000"/>
        </w:rPr>
        <w:t xml:space="preserve"> </w:t>
      </w:r>
      <w:r w:rsidRPr="0094155F">
        <w:rPr>
          <w:rFonts w:ascii="Calibri" w:cs="Calibri"/>
          <w:b/>
          <w:bCs/>
          <w:color w:val="000000"/>
        </w:rPr>
        <w:t>73</w:t>
      </w:r>
      <w:r w:rsidRPr="0094155F">
        <w:rPr>
          <w:rFonts w:ascii="Calibri" w:cs="Calibri"/>
          <w:color w:val="000000"/>
        </w:rPr>
        <w:t>, 481–489 (2016).</w:t>
      </w:r>
    </w:p>
    <w:p w14:paraId="7ED4C03F" w14:textId="77777777" w:rsidR="0094155F" w:rsidRPr="0094155F" w:rsidRDefault="0094155F" w:rsidP="0094155F">
      <w:pPr>
        <w:pStyle w:val="Bibliography"/>
        <w:rPr>
          <w:rFonts w:ascii="Calibri" w:cs="Calibri"/>
          <w:color w:val="000000"/>
        </w:rPr>
      </w:pPr>
      <w:r w:rsidRPr="0094155F">
        <w:rPr>
          <w:rFonts w:ascii="Calibri" w:cs="Calibri"/>
          <w:color w:val="000000"/>
        </w:rPr>
        <w:t xml:space="preserve">13. </w:t>
      </w:r>
      <w:r w:rsidRPr="0094155F">
        <w:rPr>
          <w:rFonts w:ascii="Calibri" w:cs="Calibri"/>
          <w:color w:val="000000"/>
        </w:rPr>
        <w:tab/>
        <w:t xml:space="preserve">D. Kessler, M. Angstadt, R. C. Welsh, C. Sripada, Modality-spanning deficits in attention-deficit/hyperactivity disorder in functional networks, gray matter, and white matter. </w:t>
      </w:r>
      <w:r w:rsidRPr="0094155F">
        <w:rPr>
          <w:rFonts w:ascii="Calibri" w:cs="Calibri"/>
          <w:i/>
          <w:iCs/>
          <w:color w:val="000000"/>
        </w:rPr>
        <w:t>Journal of Neuroscience</w:t>
      </w:r>
      <w:r w:rsidRPr="0094155F">
        <w:rPr>
          <w:rFonts w:ascii="Calibri" w:cs="Calibri"/>
          <w:color w:val="000000"/>
        </w:rPr>
        <w:t xml:space="preserve"> </w:t>
      </w:r>
      <w:r w:rsidRPr="0094155F">
        <w:rPr>
          <w:rFonts w:ascii="Calibri" w:cs="Calibri"/>
          <w:b/>
          <w:bCs/>
          <w:color w:val="000000"/>
        </w:rPr>
        <w:t>34</w:t>
      </w:r>
      <w:r w:rsidRPr="0094155F">
        <w:rPr>
          <w:rFonts w:ascii="Calibri" w:cs="Calibri"/>
          <w:color w:val="000000"/>
        </w:rPr>
        <w:t>, 16555–16566 (2014).</w:t>
      </w:r>
    </w:p>
    <w:p w14:paraId="42E03369" w14:textId="77777777" w:rsidR="0094155F" w:rsidRPr="0094155F" w:rsidRDefault="0094155F" w:rsidP="0094155F">
      <w:pPr>
        <w:pStyle w:val="Bibliography"/>
        <w:rPr>
          <w:rFonts w:ascii="Calibri" w:cs="Calibri"/>
          <w:color w:val="000000"/>
        </w:rPr>
      </w:pPr>
      <w:r w:rsidRPr="0094155F">
        <w:rPr>
          <w:rFonts w:ascii="Calibri" w:cs="Calibri"/>
          <w:color w:val="000000"/>
        </w:rPr>
        <w:lastRenderedPageBreak/>
        <w:t xml:space="preserve">14. </w:t>
      </w:r>
      <w:r w:rsidRPr="0094155F">
        <w:rPr>
          <w:rFonts w:ascii="Calibri" w:cs="Calibri"/>
          <w:color w:val="000000"/>
        </w:rPr>
        <w:tab/>
        <w:t xml:space="preserve">J. Arroyo, </w:t>
      </w:r>
      <w:r w:rsidRPr="0094155F">
        <w:rPr>
          <w:rFonts w:ascii="Calibri" w:cs="Calibri"/>
          <w:i/>
          <w:iCs/>
          <w:color w:val="000000"/>
        </w:rPr>
        <w:t>et al.</w:t>
      </w:r>
      <w:r w:rsidRPr="0094155F">
        <w:rPr>
          <w:rFonts w:ascii="Calibri" w:cs="Calibri"/>
          <w:color w:val="000000"/>
        </w:rPr>
        <w:t xml:space="preserve">, Inference for multiple heterogeneous networks with a common invariant subspace. </w:t>
      </w:r>
      <w:r w:rsidRPr="0094155F">
        <w:rPr>
          <w:rFonts w:ascii="Calibri" w:cs="Calibri"/>
          <w:i/>
          <w:iCs/>
          <w:color w:val="000000"/>
        </w:rPr>
        <w:t>arXiv preprint arXiv:1906.10026</w:t>
      </w:r>
      <w:r w:rsidRPr="0094155F">
        <w:rPr>
          <w:rFonts w:ascii="Calibri" w:cs="Calibri"/>
          <w:color w:val="000000"/>
        </w:rPr>
        <w:t xml:space="preserve"> (2019).</w:t>
      </w:r>
    </w:p>
    <w:p w14:paraId="2E212D2B" w14:textId="77777777" w:rsidR="0094155F" w:rsidRPr="0094155F" w:rsidRDefault="0094155F" w:rsidP="0094155F">
      <w:pPr>
        <w:pStyle w:val="Bibliography"/>
        <w:rPr>
          <w:rFonts w:ascii="Calibri" w:cs="Calibri"/>
          <w:color w:val="000000"/>
        </w:rPr>
      </w:pPr>
      <w:r w:rsidRPr="0094155F">
        <w:rPr>
          <w:rFonts w:ascii="Calibri" w:cs="Calibri"/>
          <w:color w:val="000000"/>
        </w:rPr>
        <w:t xml:space="preserve">15. </w:t>
      </w:r>
      <w:r w:rsidRPr="0094155F">
        <w:rPr>
          <w:rFonts w:ascii="Calibri" w:cs="Calibri"/>
          <w:color w:val="000000"/>
        </w:rPr>
        <w:tab/>
        <w:t xml:space="preserve">K. Levin, A. Lodhia, E. Levina, Recovering low-rank structure from multiple networks with unknown edge distributions. </w:t>
      </w:r>
      <w:r w:rsidRPr="0094155F">
        <w:rPr>
          <w:rFonts w:ascii="Calibri" w:cs="Calibri"/>
          <w:i/>
          <w:iCs/>
          <w:color w:val="000000"/>
        </w:rPr>
        <w:t>arXiv preprint arXiv:1906.07265</w:t>
      </w:r>
      <w:r w:rsidRPr="0094155F">
        <w:rPr>
          <w:rFonts w:ascii="Calibri" w:cs="Calibri"/>
          <w:color w:val="000000"/>
        </w:rPr>
        <w:t xml:space="preserve"> (2019).</w:t>
      </w:r>
    </w:p>
    <w:p w14:paraId="49CEA549" w14:textId="77777777" w:rsidR="0094155F" w:rsidRPr="0094155F" w:rsidRDefault="0094155F" w:rsidP="0094155F">
      <w:pPr>
        <w:pStyle w:val="Bibliography"/>
        <w:rPr>
          <w:rFonts w:ascii="Calibri" w:cs="Calibri"/>
          <w:color w:val="000000"/>
        </w:rPr>
      </w:pPr>
      <w:r w:rsidRPr="0094155F">
        <w:rPr>
          <w:rFonts w:ascii="Calibri" w:cs="Calibri"/>
          <w:color w:val="000000"/>
        </w:rPr>
        <w:t xml:space="preserve">16. </w:t>
      </w:r>
      <w:r w:rsidRPr="0094155F">
        <w:rPr>
          <w:rFonts w:ascii="Calibri" w:cs="Calibri"/>
          <w:color w:val="000000"/>
        </w:rPr>
        <w:tab/>
        <w:t xml:space="preserve">A. Taxali, M. Angstadt, S. Rutherford, C. Sripada, Boost in Test-Retest Reliability in Resting State fMRI with Predictive Modeling. </w:t>
      </w:r>
      <w:r w:rsidRPr="0094155F">
        <w:rPr>
          <w:rFonts w:ascii="Calibri" w:cs="Calibri"/>
          <w:i/>
          <w:iCs/>
          <w:color w:val="000000"/>
        </w:rPr>
        <w:t>Cerebral Cortex</w:t>
      </w:r>
      <w:r w:rsidRPr="0094155F">
        <w:rPr>
          <w:rFonts w:ascii="Calibri" w:cs="Calibri"/>
          <w:color w:val="000000"/>
        </w:rPr>
        <w:t xml:space="preserve"> </w:t>
      </w:r>
      <w:r w:rsidRPr="0094155F">
        <w:rPr>
          <w:rFonts w:ascii="Calibri" w:cs="Calibri"/>
          <w:b/>
          <w:bCs/>
          <w:color w:val="000000"/>
        </w:rPr>
        <w:t>31</w:t>
      </w:r>
      <w:r w:rsidRPr="0094155F">
        <w:rPr>
          <w:rFonts w:ascii="Calibri" w:cs="Calibri"/>
          <w:color w:val="000000"/>
        </w:rPr>
        <w:t>, 2822–2833 (2021).</w:t>
      </w:r>
    </w:p>
    <w:p w14:paraId="17A7B31F" w14:textId="77777777" w:rsidR="0094155F" w:rsidRPr="0094155F" w:rsidRDefault="0094155F" w:rsidP="0094155F">
      <w:pPr>
        <w:pStyle w:val="Bibliography"/>
        <w:rPr>
          <w:rFonts w:ascii="Calibri" w:cs="Calibri"/>
          <w:color w:val="000000"/>
        </w:rPr>
      </w:pPr>
      <w:r w:rsidRPr="0094155F">
        <w:rPr>
          <w:rFonts w:ascii="Calibri" w:cs="Calibri"/>
          <w:color w:val="000000"/>
        </w:rPr>
        <w:t xml:space="preserve">17. </w:t>
      </w:r>
      <w:r w:rsidRPr="0094155F">
        <w:rPr>
          <w:rFonts w:ascii="Calibri" w:cs="Calibri"/>
          <w:color w:val="000000"/>
        </w:rPr>
        <w:tab/>
        <w:t xml:space="preserve">C. Sripada, </w:t>
      </w:r>
      <w:r w:rsidRPr="0094155F">
        <w:rPr>
          <w:rFonts w:ascii="Calibri" w:cs="Calibri"/>
          <w:i/>
          <w:iCs/>
          <w:color w:val="000000"/>
        </w:rPr>
        <w:t>et al.</w:t>
      </w:r>
      <w:r w:rsidRPr="0094155F">
        <w:rPr>
          <w:rFonts w:ascii="Calibri" w:cs="Calibri"/>
          <w:color w:val="000000"/>
        </w:rPr>
        <w:t xml:space="preserve">, Prediction of Neurocognition in Youth From Resting State fMRI. </w:t>
      </w:r>
      <w:r w:rsidRPr="0094155F">
        <w:rPr>
          <w:rFonts w:ascii="Calibri" w:cs="Calibri"/>
          <w:i/>
          <w:iCs/>
          <w:color w:val="000000"/>
        </w:rPr>
        <w:t>Molecular Psychiatry</w:t>
      </w:r>
      <w:r w:rsidRPr="0094155F">
        <w:rPr>
          <w:rFonts w:ascii="Calibri" w:cs="Calibri"/>
          <w:color w:val="000000"/>
        </w:rPr>
        <w:t xml:space="preserve"> </w:t>
      </w:r>
      <w:r w:rsidRPr="0094155F">
        <w:rPr>
          <w:rFonts w:ascii="Calibri" w:cs="Calibri"/>
          <w:b/>
          <w:bCs/>
          <w:color w:val="000000"/>
        </w:rPr>
        <w:t>25</w:t>
      </w:r>
      <w:r w:rsidRPr="0094155F">
        <w:rPr>
          <w:rFonts w:ascii="Calibri" w:cs="Calibri"/>
          <w:color w:val="000000"/>
        </w:rPr>
        <w:t>, 3413–3421 (2020).</w:t>
      </w:r>
    </w:p>
    <w:p w14:paraId="178F5853" w14:textId="77777777" w:rsidR="0094155F" w:rsidRPr="0094155F" w:rsidRDefault="0094155F" w:rsidP="0094155F">
      <w:pPr>
        <w:pStyle w:val="Bibliography"/>
        <w:rPr>
          <w:rFonts w:ascii="Calibri" w:cs="Calibri"/>
          <w:color w:val="000000"/>
        </w:rPr>
      </w:pPr>
      <w:r w:rsidRPr="0094155F">
        <w:rPr>
          <w:rFonts w:ascii="Calibri" w:cs="Calibri"/>
          <w:color w:val="000000"/>
        </w:rPr>
        <w:t xml:space="preserve">18. </w:t>
      </w:r>
      <w:r w:rsidRPr="0094155F">
        <w:rPr>
          <w:rFonts w:ascii="Calibri" w:cs="Calibri"/>
          <w:color w:val="000000"/>
        </w:rPr>
        <w:tab/>
        <w:t xml:space="preserve">C. Sripada, M. Angstadt, S. Rutherford, A. Taxali, K. Shedden, Toward a “treadmill test” for cognition: Improved prediction of general cognitive ability from the task activated brain. </w:t>
      </w:r>
      <w:r w:rsidRPr="0094155F">
        <w:rPr>
          <w:rFonts w:ascii="Calibri" w:cs="Calibri"/>
          <w:i/>
          <w:iCs/>
          <w:color w:val="000000"/>
        </w:rPr>
        <w:t>Human Brain Mapping</w:t>
      </w:r>
      <w:r w:rsidRPr="0094155F">
        <w:rPr>
          <w:rFonts w:ascii="Calibri" w:cs="Calibri"/>
          <w:color w:val="000000"/>
        </w:rPr>
        <w:t xml:space="preserve"> (2020).</w:t>
      </w:r>
    </w:p>
    <w:p w14:paraId="713C1422" w14:textId="77777777" w:rsidR="0094155F" w:rsidRPr="0094155F" w:rsidRDefault="0094155F" w:rsidP="0094155F">
      <w:pPr>
        <w:pStyle w:val="Bibliography"/>
        <w:rPr>
          <w:rFonts w:ascii="Calibri" w:cs="Calibri"/>
          <w:color w:val="000000"/>
        </w:rPr>
      </w:pPr>
      <w:r w:rsidRPr="0094155F">
        <w:rPr>
          <w:rFonts w:ascii="Calibri" w:cs="Calibri"/>
          <w:color w:val="000000"/>
        </w:rPr>
        <w:t xml:space="preserve">19. </w:t>
      </w:r>
      <w:r w:rsidRPr="0094155F">
        <w:rPr>
          <w:rFonts w:ascii="Calibri" w:cs="Calibri"/>
          <w:color w:val="000000"/>
        </w:rPr>
        <w:tab/>
        <w:t xml:space="preserve">D. Freedman, D. Lane, A Nonstochastic Interpretation of Reported Significance Levels. </w:t>
      </w:r>
      <w:r w:rsidRPr="0094155F">
        <w:rPr>
          <w:rFonts w:ascii="Calibri" w:cs="Calibri"/>
          <w:i/>
          <w:iCs/>
          <w:color w:val="000000"/>
        </w:rPr>
        <w:t>Journal of Business &amp; Economic Statistics</w:t>
      </w:r>
      <w:r w:rsidRPr="0094155F">
        <w:rPr>
          <w:rFonts w:ascii="Calibri" w:cs="Calibri"/>
          <w:color w:val="000000"/>
        </w:rPr>
        <w:t xml:space="preserve"> </w:t>
      </w:r>
      <w:r w:rsidRPr="0094155F">
        <w:rPr>
          <w:rFonts w:ascii="Calibri" w:cs="Calibri"/>
          <w:b/>
          <w:bCs/>
          <w:color w:val="000000"/>
        </w:rPr>
        <w:t>1</w:t>
      </w:r>
      <w:r w:rsidRPr="0094155F">
        <w:rPr>
          <w:rFonts w:ascii="Calibri" w:cs="Calibri"/>
          <w:color w:val="000000"/>
        </w:rPr>
        <w:t>, 292–298 (1983).</w:t>
      </w:r>
    </w:p>
    <w:p w14:paraId="28DD4E18" w14:textId="77777777" w:rsidR="0094155F" w:rsidRPr="0094155F" w:rsidRDefault="0094155F" w:rsidP="0094155F">
      <w:pPr>
        <w:pStyle w:val="Bibliography"/>
        <w:rPr>
          <w:rFonts w:ascii="Calibri" w:cs="Calibri"/>
          <w:color w:val="000000"/>
        </w:rPr>
      </w:pPr>
      <w:r w:rsidRPr="0094155F">
        <w:rPr>
          <w:rFonts w:ascii="Calibri" w:cs="Calibri"/>
          <w:color w:val="000000"/>
        </w:rPr>
        <w:t xml:space="preserve">20. </w:t>
      </w:r>
      <w:r w:rsidRPr="0094155F">
        <w:rPr>
          <w:rFonts w:ascii="Calibri" w:cs="Calibri"/>
          <w:color w:val="000000"/>
        </w:rPr>
        <w:tab/>
        <w:t xml:space="preserve">A. M. Winkler, G. R. Ridgway, M. A. Webster, S. M. Smith, T. E. Nichols, Permutation inference for the general linear model. </w:t>
      </w:r>
      <w:r w:rsidRPr="0094155F">
        <w:rPr>
          <w:rFonts w:ascii="Calibri" w:cs="Calibri"/>
          <w:i/>
          <w:iCs/>
          <w:color w:val="000000"/>
        </w:rPr>
        <w:t>Neuroimage</w:t>
      </w:r>
      <w:r w:rsidRPr="0094155F">
        <w:rPr>
          <w:rFonts w:ascii="Calibri" w:cs="Calibri"/>
          <w:color w:val="000000"/>
        </w:rPr>
        <w:t xml:space="preserve"> </w:t>
      </w:r>
      <w:r w:rsidRPr="0094155F">
        <w:rPr>
          <w:rFonts w:ascii="Calibri" w:cs="Calibri"/>
          <w:b/>
          <w:bCs/>
          <w:color w:val="000000"/>
        </w:rPr>
        <w:t>92</w:t>
      </w:r>
      <w:r w:rsidRPr="0094155F">
        <w:rPr>
          <w:rFonts w:ascii="Calibri" w:cs="Calibri"/>
          <w:color w:val="000000"/>
        </w:rPr>
        <w:t>, 381–397 (2014).</w:t>
      </w:r>
    </w:p>
    <w:p w14:paraId="4D09BE5E" w14:textId="77777777" w:rsidR="0094155F" w:rsidRPr="0094155F" w:rsidRDefault="0094155F" w:rsidP="0094155F">
      <w:pPr>
        <w:pStyle w:val="Bibliography"/>
        <w:rPr>
          <w:rFonts w:ascii="Calibri" w:cs="Calibri"/>
          <w:color w:val="000000"/>
        </w:rPr>
      </w:pPr>
      <w:r w:rsidRPr="0094155F">
        <w:rPr>
          <w:rFonts w:ascii="Calibri" w:cs="Calibri"/>
          <w:color w:val="000000"/>
        </w:rPr>
        <w:t xml:space="preserve">21. </w:t>
      </w:r>
      <w:r w:rsidRPr="0094155F">
        <w:rPr>
          <w:rFonts w:ascii="Calibri" w:cs="Calibri"/>
          <w:color w:val="000000"/>
        </w:rPr>
        <w:tab/>
        <w:t xml:space="preserve">R. L. Taylor, S. R. Cooper, J. J. Jackson, D. M. Barch, Assessment of neighborhood poverty, cognitive function, and prefrontal and hippocampal volumes in children. </w:t>
      </w:r>
      <w:r w:rsidRPr="0094155F">
        <w:rPr>
          <w:rFonts w:ascii="Calibri" w:cs="Calibri"/>
          <w:i/>
          <w:iCs/>
          <w:color w:val="000000"/>
        </w:rPr>
        <w:t>JAMA network open</w:t>
      </w:r>
      <w:r w:rsidRPr="0094155F">
        <w:rPr>
          <w:rFonts w:ascii="Calibri" w:cs="Calibri"/>
          <w:color w:val="000000"/>
        </w:rPr>
        <w:t xml:space="preserve"> </w:t>
      </w:r>
      <w:r w:rsidRPr="0094155F">
        <w:rPr>
          <w:rFonts w:ascii="Calibri" w:cs="Calibri"/>
          <w:b/>
          <w:bCs/>
          <w:color w:val="000000"/>
        </w:rPr>
        <w:t>3</w:t>
      </w:r>
      <w:r w:rsidRPr="0094155F">
        <w:rPr>
          <w:rFonts w:ascii="Calibri" w:cs="Calibri"/>
          <w:color w:val="000000"/>
        </w:rPr>
        <w:t>, e2023774–e2023774 (2020).</w:t>
      </w:r>
    </w:p>
    <w:p w14:paraId="09D8F937" w14:textId="77777777" w:rsidR="0094155F" w:rsidRPr="0094155F" w:rsidRDefault="0094155F" w:rsidP="0094155F">
      <w:pPr>
        <w:pStyle w:val="Bibliography"/>
        <w:rPr>
          <w:rFonts w:ascii="Calibri" w:cs="Calibri"/>
          <w:color w:val="000000"/>
        </w:rPr>
      </w:pPr>
      <w:r w:rsidRPr="0094155F">
        <w:rPr>
          <w:rFonts w:ascii="Calibri" w:cs="Calibri"/>
          <w:color w:val="000000"/>
        </w:rPr>
        <w:t xml:space="preserve">22. </w:t>
      </w:r>
      <w:r w:rsidRPr="0094155F">
        <w:rPr>
          <w:rFonts w:ascii="Calibri" w:cs="Calibri"/>
          <w:color w:val="000000"/>
        </w:rPr>
        <w:tab/>
        <w:t xml:space="preserve">Y. Benjamini, Y. Hochberg, Controlling the False Discovery Rate: A Practical and Powerful Approach to Multiple Testing. </w:t>
      </w:r>
      <w:r w:rsidRPr="0094155F">
        <w:rPr>
          <w:rFonts w:ascii="Calibri" w:cs="Calibri"/>
          <w:i/>
          <w:iCs/>
          <w:color w:val="000000"/>
        </w:rPr>
        <w:t>Journal of the Royal Statistical Society. Series B (Methodological)</w:t>
      </w:r>
      <w:r w:rsidRPr="0094155F">
        <w:rPr>
          <w:rFonts w:ascii="Calibri" w:cs="Calibri"/>
          <w:color w:val="000000"/>
        </w:rPr>
        <w:t xml:space="preserve"> </w:t>
      </w:r>
      <w:r w:rsidRPr="0094155F">
        <w:rPr>
          <w:rFonts w:ascii="Calibri" w:cs="Calibri"/>
          <w:b/>
          <w:bCs/>
          <w:color w:val="000000"/>
        </w:rPr>
        <w:t>57</w:t>
      </w:r>
      <w:r w:rsidRPr="0094155F">
        <w:rPr>
          <w:rFonts w:ascii="Calibri" w:cs="Calibri"/>
          <w:color w:val="000000"/>
        </w:rPr>
        <w:t>, 289–300 (1995).</w:t>
      </w:r>
    </w:p>
    <w:p w14:paraId="4EF9F194" w14:textId="7ECDE497" w:rsidR="00877D75" w:rsidRDefault="00155152" w:rsidP="00646E2D">
      <w:pPr>
        <w:rPr>
          <w:color w:val="000000" w:themeColor="text1"/>
        </w:rPr>
      </w:pPr>
      <w:r>
        <w:rPr>
          <w:color w:val="000000" w:themeColor="text1"/>
        </w:rPr>
        <w:fldChar w:fldCharType="end"/>
      </w:r>
    </w:p>
    <w:sectPr w:rsidR="00877D75" w:rsidSect="00D55D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4A1"/>
    <w:rsid w:val="0001014D"/>
    <w:rsid w:val="00013C8D"/>
    <w:rsid w:val="000218F9"/>
    <w:rsid w:val="000306E9"/>
    <w:rsid w:val="00032889"/>
    <w:rsid w:val="000378C8"/>
    <w:rsid w:val="00046C4E"/>
    <w:rsid w:val="00051A69"/>
    <w:rsid w:val="000605E8"/>
    <w:rsid w:val="00095ACC"/>
    <w:rsid w:val="000C5DB9"/>
    <w:rsid w:val="000D64D1"/>
    <w:rsid w:val="000E349E"/>
    <w:rsid w:val="000F0F4C"/>
    <w:rsid w:val="000F236B"/>
    <w:rsid w:val="000F7C3B"/>
    <w:rsid w:val="00105E2C"/>
    <w:rsid w:val="001201DA"/>
    <w:rsid w:val="00125ECA"/>
    <w:rsid w:val="001318E5"/>
    <w:rsid w:val="001331D1"/>
    <w:rsid w:val="00141E4E"/>
    <w:rsid w:val="00147E8B"/>
    <w:rsid w:val="001528EC"/>
    <w:rsid w:val="00155152"/>
    <w:rsid w:val="00162BEB"/>
    <w:rsid w:val="00163E95"/>
    <w:rsid w:val="00176B87"/>
    <w:rsid w:val="001808CC"/>
    <w:rsid w:val="0018294A"/>
    <w:rsid w:val="001840F7"/>
    <w:rsid w:val="00193A99"/>
    <w:rsid w:val="001A01EC"/>
    <w:rsid w:val="001A23CE"/>
    <w:rsid w:val="001B1E1C"/>
    <w:rsid w:val="001B32DE"/>
    <w:rsid w:val="001C15C5"/>
    <w:rsid w:val="001D21E6"/>
    <w:rsid w:val="001E2674"/>
    <w:rsid w:val="002034F0"/>
    <w:rsid w:val="00205536"/>
    <w:rsid w:val="00216CCB"/>
    <w:rsid w:val="002205FF"/>
    <w:rsid w:val="00221FE0"/>
    <w:rsid w:val="00237084"/>
    <w:rsid w:val="002426CE"/>
    <w:rsid w:val="00251000"/>
    <w:rsid w:val="0026023A"/>
    <w:rsid w:val="00264C6C"/>
    <w:rsid w:val="00267DB7"/>
    <w:rsid w:val="002757B2"/>
    <w:rsid w:val="0029022C"/>
    <w:rsid w:val="002A0BA9"/>
    <w:rsid w:val="002A521C"/>
    <w:rsid w:val="002B3E67"/>
    <w:rsid w:val="002D325C"/>
    <w:rsid w:val="002D48F6"/>
    <w:rsid w:val="002D6927"/>
    <w:rsid w:val="002D7893"/>
    <w:rsid w:val="002E4E1D"/>
    <w:rsid w:val="002E78C4"/>
    <w:rsid w:val="002F15B2"/>
    <w:rsid w:val="00300A32"/>
    <w:rsid w:val="0030450B"/>
    <w:rsid w:val="0030503E"/>
    <w:rsid w:val="00312DDA"/>
    <w:rsid w:val="003310E9"/>
    <w:rsid w:val="00344EA6"/>
    <w:rsid w:val="00345A29"/>
    <w:rsid w:val="003509C4"/>
    <w:rsid w:val="00352A1E"/>
    <w:rsid w:val="003564C7"/>
    <w:rsid w:val="0036409D"/>
    <w:rsid w:val="00380445"/>
    <w:rsid w:val="00395A91"/>
    <w:rsid w:val="003A29A0"/>
    <w:rsid w:val="003A360C"/>
    <w:rsid w:val="003A74A3"/>
    <w:rsid w:val="003A7B26"/>
    <w:rsid w:val="003B341F"/>
    <w:rsid w:val="003C1BCF"/>
    <w:rsid w:val="003C664A"/>
    <w:rsid w:val="003C77E2"/>
    <w:rsid w:val="003D77F5"/>
    <w:rsid w:val="003E6B99"/>
    <w:rsid w:val="00405131"/>
    <w:rsid w:val="004132E1"/>
    <w:rsid w:val="00430971"/>
    <w:rsid w:val="00435A28"/>
    <w:rsid w:val="00441538"/>
    <w:rsid w:val="00453DA4"/>
    <w:rsid w:val="004543AB"/>
    <w:rsid w:val="00460330"/>
    <w:rsid w:val="0046219B"/>
    <w:rsid w:val="00472DD0"/>
    <w:rsid w:val="0047329D"/>
    <w:rsid w:val="00480949"/>
    <w:rsid w:val="004819CD"/>
    <w:rsid w:val="00493640"/>
    <w:rsid w:val="00494EBD"/>
    <w:rsid w:val="00496844"/>
    <w:rsid w:val="004B0B93"/>
    <w:rsid w:val="004B267D"/>
    <w:rsid w:val="004E291B"/>
    <w:rsid w:val="004E5EF7"/>
    <w:rsid w:val="004F7D92"/>
    <w:rsid w:val="00503BFD"/>
    <w:rsid w:val="005066CB"/>
    <w:rsid w:val="00506CE0"/>
    <w:rsid w:val="005175E0"/>
    <w:rsid w:val="00517C2D"/>
    <w:rsid w:val="00525DA6"/>
    <w:rsid w:val="0054215C"/>
    <w:rsid w:val="005479AB"/>
    <w:rsid w:val="0055281F"/>
    <w:rsid w:val="00553519"/>
    <w:rsid w:val="005548FD"/>
    <w:rsid w:val="0056011B"/>
    <w:rsid w:val="00560E29"/>
    <w:rsid w:val="005634A1"/>
    <w:rsid w:val="0057607C"/>
    <w:rsid w:val="005768B9"/>
    <w:rsid w:val="00580BC5"/>
    <w:rsid w:val="00595BEE"/>
    <w:rsid w:val="00596580"/>
    <w:rsid w:val="00601598"/>
    <w:rsid w:val="00603C45"/>
    <w:rsid w:val="00604F34"/>
    <w:rsid w:val="00640D01"/>
    <w:rsid w:val="00646E2D"/>
    <w:rsid w:val="006506D9"/>
    <w:rsid w:val="006636C7"/>
    <w:rsid w:val="00665B3E"/>
    <w:rsid w:val="006829BC"/>
    <w:rsid w:val="00683A74"/>
    <w:rsid w:val="00686137"/>
    <w:rsid w:val="00694C0D"/>
    <w:rsid w:val="006A0F4E"/>
    <w:rsid w:val="006B713C"/>
    <w:rsid w:val="006D2E0B"/>
    <w:rsid w:val="006E2769"/>
    <w:rsid w:val="00714843"/>
    <w:rsid w:val="007156FD"/>
    <w:rsid w:val="007208AE"/>
    <w:rsid w:val="00722E6A"/>
    <w:rsid w:val="0072497D"/>
    <w:rsid w:val="00731E1C"/>
    <w:rsid w:val="00732D87"/>
    <w:rsid w:val="007342E3"/>
    <w:rsid w:val="0074130E"/>
    <w:rsid w:val="00742D80"/>
    <w:rsid w:val="00747825"/>
    <w:rsid w:val="00752679"/>
    <w:rsid w:val="00757E75"/>
    <w:rsid w:val="00760EF0"/>
    <w:rsid w:val="00762466"/>
    <w:rsid w:val="00766FA8"/>
    <w:rsid w:val="00780712"/>
    <w:rsid w:val="0078425B"/>
    <w:rsid w:val="00791E78"/>
    <w:rsid w:val="0079374B"/>
    <w:rsid w:val="007A630D"/>
    <w:rsid w:val="007B3A25"/>
    <w:rsid w:val="007B48C4"/>
    <w:rsid w:val="007C282A"/>
    <w:rsid w:val="007E1D7B"/>
    <w:rsid w:val="007F14CE"/>
    <w:rsid w:val="007F2F4A"/>
    <w:rsid w:val="007F6B59"/>
    <w:rsid w:val="007F7480"/>
    <w:rsid w:val="00804515"/>
    <w:rsid w:val="00811D3A"/>
    <w:rsid w:val="00823C40"/>
    <w:rsid w:val="0082588E"/>
    <w:rsid w:val="00830E3E"/>
    <w:rsid w:val="00835F4D"/>
    <w:rsid w:val="008367F5"/>
    <w:rsid w:val="00847316"/>
    <w:rsid w:val="008526DA"/>
    <w:rsid w:val="00855900"/>
    <w:rsid w:val="00856892"/>
    <w:rsid w:val="00860771"/>
    <w:rsid w:val="008630C9"/>
    <w:rsid w:val="0086654A"/>
    <w:rsid w:val="00874F5F"/>
    <w:rsid w:val="00876467"/>
    <w:rsid w:val="00876BCF"/>
    <w:rsid w:val="00877D75"/>
    <w:rsid w:val="00892966"/>
    <w:rsid w:val="00894517"/>
    <w:rsid w:val="008A4AD4"/>
    <w:rsid w:val="008A642E"/>
    <w:rsid w:val="008C4B3B"/>
    <w:rsid w:val="008D0AD0"/>
    <w:rsid w:val="008E47C5"/>
    <w:rsid w:val="008E54E5"/>
    <w:rsid w:val="008E635C"/>
    <w:rsid w:val="008F62BE"/>
    <w:rsid w:val="00900927"/>
    <w:rsid w:val="0090489E"/>
    <w:rsid w:val="00904C12"/>
    <w:rsid w:val="009162A3"/>
    <w:rsid w:val="00923E19"/>
    <w:rsid w:val="009344D5"/>
    <w:rsid w:val="00936337"/>
    <w:rsid w:val="00936370"/>
    <w:rsid w:val="00936813"/>
    <w:rsid w:val="0094155F"/>
    <w:rsid w:val="00945729"/>
    <w:rsid w:val="00957B67"/>
    <w:rsid w:val="009641F5"/>
    <w:rsid w:val="0096610D"/>
    <w:rsid w:val="00971DFD"/>
    <w:rsid w:val="00980651"/>
    <w:rsid w:val="0098633E"/>
    <w:rsid w:val="00995C9F"/>
    <w:rsid w:val="009C25C4"/>
    <w:rsid w:val="009D22F6"/>
    <w:rsid w:val="009D640D"/>
    <w:rsid w:val="009E032E"/>
    <w:rsid w:val="009F102D"/>
    <w:rsid w:val="009F251C"/>
    <w:rsid w:val="009F29FF"/>
    <w:rsid w:val="009F678E"/>
    <w:rsid w:val="00A04988"/>
    <w:rsid w:val="00A070B5"/>
    <w:rsid w:val="00A16B04"/>
    <w:rsid w:val="00A24626"/>
    <w:rsid w:val="00A52B8B"/>
    <w:rsid w:val="00A77593"/>
    <w:rsid w:val="00A802B9"/>
    <w:rsid w:val="00A86016"/>
    <w:rsid w:val="00A916D1"/>
    <w:rsid w:val="00A93324"/>
    <w:rsid w:val="00AA3171"/>
    <w:rsid w:val="00AA7E80"/>
    <w:rsid w:val="00AB0EB4"/>
    <w:rsid w:val="00AB5D29"/>
    <w:rsid w:val="00AD11DF"/>
    <w:rsid w:val="00AF4462"/>
    <w:rsid w:val="00AF4C70"/>
    <w:rsid w:val="00B04995"/>
    <w:rsid w:val="00B06AE7"/>
    <w:rsid w:val="00B11A1C"/>
    <w:rsid w:val="00B149E2"/>
    <w:rsid w:val="00B14D97"/>
    <w:rsid w:val="00B25AB2"/>
    <w:rsid w:val="00B356AE"/>
    <w:rsid w:val="00B35BBE"/>
    <w:rsid w:val="00B37710"/>
    <w:rsid w:val="00B409D2"/>
    <w:rsid w:val="00B46F5A"/>
    <w:rsid w:val="00B55171"/>
    <w:rsid w:val="00B62901"/>
    <w:rsid w:val="00B6452D"/>
    <w:rsid w:val="00B70705"/>
    <w:rsid w:val="00B71377"/>
    <w:rsid w:val="00B95826"/>
    <w:rsid w:val="00B9763A"/>
    <w:rsid w:val="00BA163D"/>
    <w:rsid w:val="00BB2914"/>
    <w:rsid w:val="00BC2F5A"/>
    <w:rsid w:val="00BC5DFB"/>
    <w:rsid w:val="00BC6FFB"/>
    <w:rsid w:val="00BE168C"/>
    <w:rsid w:val="00BE4831"/>
    <w:rsid w:val="00BF4DEC"/>
    <w:rsid w:val="00C11553"/>
    <w:rsid w:val="00C20910"/>
    <w:rsid w:val="00C2793A"/>
    <w:rsid w:val="00C30A25"/>
    <w:rsid w:val="00C31917"/>
    <w:rsid w:val="00C37A86"/>
    <w:rsid w:val="00C446F2"/>
    <w:rsid w:val="00C4799D"/>
    <w:rsid w:val="00C50006"/>
    <w:rsid w:val="00C51C06"/>
    <w:rsid w:val="00C600DC"/>
    <w:rsid w:val="00C603BB"/>
    <w:rsid w:val="00C705AA"/>
    <w:rsid w:val="00C719EA"/>
    <w:rsid w:val="00C75FD7"/>
    <w:rsid w:val="00C76AF7"/>
    <w:rsid w:val="00C82CB9"/>
    <w:rsid w:val="00C858B1"/>
    <w:rsid w:val="00C876E3"/>
    <w:rsid w:val="00C91415"/>
    <w:rsid w:val="00C94180"/>
    <w:rsid w:val="00CB2E74"/>
    <w:rsid w:val="00CB6126"/>
    <w:rsid w:val="00CC78B6"/>
    <w:rsid w:val="00CE14F2"/>
    <w:rsid w:val="00CE471D"/>
    <w:rsid w:val="00CF2579"/>
    <w:rsid w:val="00CF34DC"/>
    <w:rsid w:val="00D01E13"/>
    <w:rsid w:val="00D045EB"/>
    <w:rsid w:val="00D17192"/>
    <w:rsid w:val="00D21BF7"/>
    <w:rsid w:val="00D21C9B"/>
    <w:rsid w:val="00D355A1"/>
    <w:rsid w:val="00D4394F"/>
    <w:rsid w:val="00D45B2B"/>
    <w:rsid w:val="00D55D81"/>
    <w:rsid w:val="00D62584"/>
    <w:rsid w:val="00D85A93"/>
    <w:rsid w:val="00DA6C78"/>
    <w:rsid w:val="00DB1815"/>
    <w:rsid w:val="00DC49D4"/>
    <w:rsid w:val="00DC6001"/>
    <w:rsid w:val="00DE0C13"/>
    <w:rsid w:val="00DF327C"/>
    <w:rsid w:val="00DF44F7"/>
    <w:rsid w:val="00E007DE"/>
    <w:rsid w:val="00E22F97"/>
    <w:rsid w:val="00E24F4A"/>
    <w:rsid w:val="00E251AD"/>
    <w:rsid w:val="00E26A28"/>
    <w:rsid w:val="00E33793"/>
    <w:rsid w:val="00E344B5"/>
    <w:rsid w:val="00E352DD"/>
    <w:rsid w:val="00E36D28"/>
    <w:rsid w:val="00E60089"/>
    <w:rsid w:val="00E732E4"/>
    <w:rsid w:val="00EA2DB0"/>
    <w:rsid w:val="00EA3225"/>
    <w:rsid w:val="00EB201F"/>
    <w:rsid w:val="00EB37D0"/>
    <w:rsid w:val="00EB4E0F"/>
    <w:rsid w:val="00EB65A9"/>
    <w:rsid w:val="00EB6858"/>
    <w:rsid w:val="00EB7499"/>
    <w:rsid w:val="00EC0226"/>
    <w:rsid w:val="00EF35FA"/>
    <w:rsid w:val="00F058E3"/>
    <w:rsid w:val="00F075A5"/>
    <w:rsid w:val="00F33070"/>
    <w:rsid w:val="00F40837"/>
    <w:rsid w:val="00F45689"/>
    <w:rsid w:val="00F46339"/>
    <w:rsid w:val="00F71BF5"/>
    <w:rsid w:val="00F828FE"/>
    <w:rsid w:val="00F83252"/>
    <w:rsid w:val="00FB182B"/>
    <w:rsid w:val="00FB1BD8"/>
    <w:rsid w:val="00FB30B1"/>
    <w:rsid w:val="00FB7F9D"/>
    <w:rsid w:val="00FC0037"/>
    <w:rsid w:val="00FC0888"/>
    <w:rsid w:val="00FC1E8E"/>
    <w:rsid w:val="00FE35DB"/>
    <w:rsid w:val="00FE5D4C"/>
    <w:rsid w:val="00FF0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54DC5"/>
  <w15:chartTrackingRefBased/>
  <w15:docId w15:val="{1E6053B6-76CA-1143-96E9-DA4518A5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4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5634A1"/>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sid w:val="005634A1"/>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5634A1"/>
    <w:rPr>
      <w:sz w:val="16"/>
      <w:szCs w:val="16"/>
    </w:rPr>
  </w:style>
  <w:style w:type="character" w:customStyle="1" w:styleId="sstemplatetextoasis">
    <w:name w:val="ss_template_text_oasis"/>
    <w:basedOn w:val="DefaultParagraphFont"/>
    <w:rsid w:val="005634A1"/>
  </w:style>
  <w:style w:type="character" w:customStyle="1" w:styleId="freesurfertexttrue">
    <w:name w:val="freesurfer_text_true"/>
    <w:basedOn w:val="DefaultParagraphFont"/>
    <w:rsid w:val="005634A1"/>
  </w:style>
  <w:style w:type="character" w:customStyle="1" w:styleId="slicetimetexttrue">
    <w:name w:val="slicetime_text_true"/>
    <w:basedOn w:val="DefaultParagraphFont"/>
    <w:rsid w:val="005634A1"/>
  </w:style>
  <w:style w:type="character" w:customStyle="1" w:styleId="sdctextfugue">
    <w:name w:val="sdc_text_fugue"/>
    <w:basedOn w:val="DefaultParagraphFont"/>
    <w:rsid w:val="005634A1"/>
  </w:style>
  <w:style w:type="character" w:customStyle="1" w:styleId="doftextsix">
    <w:name w:val="dof_text_six"/>
    <w:basedOn w:val="DefaultParagraphFont"/>
    <w:rsid w:val="005634A1"/>
  </w:style>
  <w:style w:type="character" w:customStyle="1" w:styleId="aromatexttrue">
    <w:name w:val="aroma_text_true"/>
    <w:basedOn w:val="DefaultParagraphFont"/>
    <w:rsid w:val="005634A1"/>
  </w:style>
  <w:style w:type="paragraph" w:styleId="BalloonText">
    <w:name w:val="Balloon Text"/>
    <w:basedOn w:val="Normal"/>
    <w:link w:val="BalloonTextChar"/>
    <w:uiPriority w:val="99"/>
    <w:semiHidden/>
    <w:unhideWhenUsed/>
    <w:rsid w:val="005634A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34A1"/>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01014D"/>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01014D"/>
    <w:rPr>
      <w:rFonts w:ascii="Arial" w:eastAsia="Arial" w:hAnsi="Arial" w:cs="Arial"/>
      <w:b/>
      <w:bCs/>
      <w:sz w:val="20"/>
      <w:szCs w:val="20"/>
      <w:lang w:val="en"/>
    </w:rPr>
  </w:style>
  <w:style w:type="character" w:styleId="Hyperlink">
    <w:name w:val="Hyperlink"/>
    <w:basedOn w:val="DefaultParagraphFont"/>
    <w:uiPriority w:val="99"/>
    <w:unhideWhenUsed/>
    <w:rsid w:val="00601598"/>
    <w:rPr>
      <w:color w:val="0000FF"/>
      <w:u w:val="single"/>
    </w:rPr>
  </w:style>
  <w:style w:type="table" w:styleId="TableGrid">
    <w:name w:val="Table Grid"/>
    <w:basedOn w:val="TableNormal"/>
    <w:uiPriority w:val="39"/>
    <w:rsid w:val="00494E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36C7"/>
    <w:pPr>
      <w:ind w:left="720"/>
      <w:contextualSpacing/>
    </w:pPr>
  </w:style>
  <w:style w:type="paragraph" w:styleId="Bibliography">
    <w:name w:val="Bibliography"/>
    <w:basedOn w:val="Normal"/>
    <w:next w:val="Normal"/>
    <w:uiPriority w:val="37"/>
    <w:unhideWhenUsed/>
    <w:rsid w:val="00155152"/>
    <w:pPr>
      <w:tabs>
        <w:tab w:val="left" w:pos="380"/>
      </w:tabs>
      <w:spacing w:after="240"/>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537309">
      <w:bodyDiv w:val="1"/>
      <w:marLeft w:val="0"/>
      <w:marRight w:val="0"/>
      <w:marTop w:val="0"/>
      <w:marBottom w:val="0"/>
      <w:divBdr>
        <w:top w:val="none" w:sz="0" w:space="0" w:color="auto"/>
        <w:left w:val="none" w:sz="0" w:space="0" w:color="auto"/>
        <w:bottom w:val="none" w:sz="0" w:space="0" w:color="auto"/>
        <w:right w:val="none" w:sz="0" w:space="0" w:color="auto"/>
      </w:divBdr>
    </w:div>
    <w:div w:id="831988342">
      <w:bodyDiv w:val="1"/>
      <w:marLeft w:val="0"/>
      <w:marRight w:val="0"/>
      <w:marTop w:val="0"/>
      <w:marBottom w:val="0"/>
      <w:divBdr>
        <w:top w:val="none" w:sz="0" w:space="0" w:color="auto"/>
        <w:left w:val="none" w:sz="0" w:space="0" w:color="auto"/>
        <w:bottom w:val="none" w:sz="0" w:space="0" w:color="auto"/>
        <w:right w:val="none" w:sz="0" w:space="0" w:color="auto"/>
      </w:divBdr>
    </w:div>
    <w:div w:id="1182206819">
      <w:bodyDiv w:val="1"/>
      <w:marLeft w:val="0"/>
      <w:marRight w:val="0"/>
      <w:marTop w:val="0"/>
      <w:marBottom w:val="0"/>
      <w:divBdr>
        <w:top w:val="none" w:sz="0" w:space="0" w:color="auto"/>
        <w:left w:val="none" w:sz="0" w:space="0" w:color="auto"/>
        <w:bottom w:val="none" w:sz="0" w:space="0" w:color="auto"/>
        <w:right w:val="none" w:sz="0" w:space="0" w:color="auto"/>
      </w:divBdr>
      <w:divsChild>
        <w:div w:id="1354184071">
          <w:marLeft w:val="0"/>
          <w:marRight w:val="0"/>
          <w:marTop w:val="0"/>
          <w:marBottom w:val="0"/>
          <w:divBdr>
            <w:top w:val="none" w:sz="0" w:space="0" w:color="auto"/>
            <w:left w:val="none" w:sz="0" w:space="0" w:color="auto"/>
            <w:bottom w:val="none" w:sz="0" w:space="0" w:color="auto"/>
            <w:right w:val="none" w:sz="0" w:space="0" w:color="auto"/>
          </w:divBdr>
          <w:divsChild>
            <w:div w:id="186800877">
              <w:marLeft w:val="0"/>
              <w:marRight w:val="0"/>
              <w:marTop w:val="0"/>
              <w:marBottom w:val="0"/>
              <w:divBdr>
                <w:top w:val="none" w:sz="0" w:space="0" w:color="auto"/>
                <w:left w:val="none" w:sz="0" w:space="0" w:color="auto"/>
                <w:bottom w:val="none" w:sz="0" w:space="0" w:color="auto"/>
                <w:right w:val="none" w:sz="0" w:space="0" w:color="auto"/>
              </w:divBdr>
              <w:divsChild>
                <w:div w:id="2123380286">
                  <w:marLeft w:val="0"/>
                  <w:marRight w:val="0"/>
                  <w:marTop w:val="0"/>
                  <w:marBottom w:val="0"/>
                  <w:divBdr>
                    <w:top w:val="none" w:sz="0" w:space="0" w:color="auto"/>
                    <w:left w:val="none" w:sz="0" w:space="0" w:color="auto"/>
                    <w:bottom w:val="none" w:sz="0" w:space="0" w:color="auto"/>
                    <w:right w:val="none" w:sz="0" w:space="0" w:color="auto"/>
                  </w:divBdr>
                  <w:divsChild>
                    <w:div w:id="961348274">
                      <w:marLeft w:val="0"/>
                      <w:marRight w:val="0"/>
                      <w:marTop w:val="0"/>
                      <w:marBottom w:val="0"/>
                      <w:divBdr>
                        <w:top w:val="none" w:sz="0" w:space="0" w:color="auto"/>
                        <w:left w:val="none" w:sz="0" w:space="0" w:color="auto"/>
                        <w:bottom w:val="none" w:sz="0" w:space="0" w:color="auto"/>
                        <w:right w:val="none" w:sz="0" w:space="0" w:color="auto"/>
                      </w:divBdr>
                      <w:divsChild>
                        <w:div w:id="1101032440">
                          <w:marLeft w:val="0"/>
                          <w:marRight w:val="0"/>
                          <w:marTop w:val="0"/>
                          <w:marBottom w:val="0"/>
                          <w:divBdr>
                            <w:top w:val="none" w:sz="0" w:space="0" w:color="auto"/>
                            <w:left w:val="none" w:sz="0" w:space="0" w:color="auto"/>
                            <w:bottom w:val="none" w:sz="0" w:space="0" w:color="auto"/>
                            <w:right w:val="none" w:sz="0" w:space="0" w:color="auto"/>
                          </w:divBdr>
                          <w:divsChild>
                            <w:div w:id="1291479539">
                              <w:marLeft w:val="-240"/>
                              <w:marRight w:val="-120"/>
                              <w:marTop w:val="0"/>
                              <w:marBottom w:val="0"/>
                              <w:divBdr>
                                <w:top w:val="none" w:sz="0" w:space="0" w:color="auto"/>
                                <w:left w:val="none" w:sz="0" w:space="0" w:color="auto"/>
                                <w:bottom w:val="none" w:sz="0" w:space="0" w:color="auto"/>
                                <w:right w:val="none" w:sz="0" w:space="0" w:color="auto"/>
                              </w:divBdr>
                              <w:divsChild>
                                <w:div w:id="163018045">
                                  <w:marLeft w:val="0"/>
                                  <w:marRight w:val="0"/>
                                  <w:marTop w:val="0"/>
                                  <w:marBottom w:val="60"/>
                                  <w:divBdr>
                                    <w:top w:val="none" w:sz="0" w:space="0" w:color="auto"/>
                                    <w:left w:val="none" w:sz="0" w:space="0" w:color="auto"/>
                                    <w:bottom w:val="none" w:sz="0" w:space="0" w:color="auto"/>
                                    <w:right w:val="none" w:sz="0" w:space="0" w:color="auto"/>
                                  </w:divBdr>
                                  <w:divsChild>
                                    <w:div w:id="1798378688">
                                      <w:marLeft w:val="0"/>
                                      <w:marRight w:val="0"/>
                                      <w:marTop w:val="0"/>
                                      <w:marBottom w:val="0"/>
                                      <w:divBdr>
                                        <w:top w:val="none" w:sz="0" w:space="0" w:color="auto"/>
                                        <w:left w:val="none" w:sz="0" w:space="0" w:color="auto"/>
                                        <w:bottom w:val="none" w:sz="0" w:space="0" w:color="auto"/>
                                        <w:right w:val="none" w:sz="0" w:space="0" w:color="auto"/>
                                      </w:divBdr>
                                      <w:divsChild>
                                        <w:div w:id="529346129">
                                          <w:marLeft w:val="0"/>
                                          <w:marRight w:val="0"/>
                                          <w:marTop w:val="0"/>
                                          <w:marBottom w:val="0"/>
                                          <w:divBdr>
                                            <w:top w:val="none" w:sz="0" w:space="0" w:color="auto"/>
                                            <w:left w:val="none" w:sz="0" w:space="0" w:color="auto"/>
                                            <w:bottom w:val="none" w:sz="0" w:space="0" w:color="auto"/>
                                            <w:right w:val="none" w:sz="0" w:space="0" w:color="auto"/>
                                          </w:divBdr>
                                          <w:divsChild>
                                            <w:div w:id="726226991">
                                              <w:marLeft w:val="0"/>
                                              <w:marRight w:val="0"/>
                                              <w:marTop w:val="0"/>
                                              <w:marBottom w:val="0"/>
                                              <w:divBdr>
                                                <w:top w:val="none" w:sz="0" w:space="0" w:color="auto"/>
                                                <w:left w:val="none" w:sz="0" w:space="0" w:color="auto"/>
                                                <w:bottom w:val="none" w:sz="0" w:space="0" w:color="auto"/>
                                                <w:right w:val="none" w:sz="0" w:space="0" w:color="auto"/>
                                              </w:divBdr>
                                              <w:divsChild>
                                                <w:div w:id="204833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4489434">
          <w:marLeft w:val="0"/>
          <w:marRight w:val="0"/>
          <w:marTop w:val="0"/>
          <w:marBottom w:val="0"/>
          <w:divBdr>
            <w:top w:val="none" w:sz="0" w:space="0" w:color="auto"/>
            <w:left w:val="none" w:sz="0" w:space="0" w:color="auto"/>
            <w:bottom w:val="none" w:sz="0" w:space="0" w:color="auto"/>
            <w:right w:val="none" w:sz="0" w:space="0" w:color="auto"/>
          </w:divBdr>
          <w:divsChild>
            <w:div w:id="561789811">
              <w:marLeft w:val="0"/>
              <w:marRight w:val="0"/>
              <w:marTop w:val="0"/>
              <w:marBottom w:val="0"/>
              <w:divBdr>
                <w:top w:val="none" w:sz="0" w:space="0" w:color="auto"/>
                <w:left w:val="none" w:sz="0" w:space="0" w:color="auto"/>
                <w:bottom w:val="none" w:sz="0" w:space="0" w:color="auto"/>
                <w:right w:val="none" w:sz="0" w:space="0" w:color="auto"/>
              </w:divBdr>
              <w:divsChild>
                <w:div w:id="1563250177">
                  <w:marLeft w:val="0"/>
                  <w:marRight w:val="0"/>
                  <w:marTop w:val="0"/>
                  <w:marBottom w:val="0"/>
                  <w:divBdr>
                    <w:top w:val="none" w:sz="0" w:space="0" w:color="auto"/>
                    <w:left w:val="none" w:sz="0" w:space="0" w:color="auto"/>
                    <w:bottom w:val="none" w:sz="0" w:space="0" w:color="auto"/>
                    <w:right w:val="none" w:sz="0" w:space="0" w:color="auto"/>
                  </w:divBdr>
                  <w:divsChild>
                    <w:div w:id="1080248621">
                      <w:marLeft w:val="0"/>
                      <w:marRight w:val="0"/>
                      <w:marTop w:val="0"/>
                      <w:marBottom w:val="0"/>
                      <w:divBdr>
                        <w:top w:val="none" w:sz="0" w:space="0" w:color="auto"/>
                        <w:left w:val="none" w:sz="0" w:space="0" w:color="auto"/>
                        <w:bottom w:val="none" w:sz="0" w:space="0" w:color="auto"/>
                        <w:right w:val="none" w:sz="0" w:space="0" w:color="auto"/>
                      </w:divBdr>
                      <w:divsChild>
                        <w:div w:id="1896312274">
                          <w:marLeft w:val="0"/>
                          <w:marRight w:val="0"/>
                          <w:marTop w:val="0"/>
                          <w:marBottom w:val="0"/>
                          <w:divBdr>
                            <w:top w:val="none" w:sz="0" w:space="0" w:color="auto"/>
                            <w:left w:val="none" w:sz="0" w:space="0" w:color="auto"/>
                            <w:bottom w:val="none" w:sz="0" w:space="0" w:color="auto"/>
                            <w:right w:val="none" w:sz="0" w:space="0" w:color="auto"/>
                          </w:divBdr>
                          <w:divsChild>
                            <w:div w:id="44643170">
                              <w:marLeft w:val="0"/>
                              <w:marRight w:val="120"/>
                              <w:marTop w:val="0"/>
                              <w:marBottom w:val="0"/>
                              <w:divBdr>
                                <w:top w:val="none" w:sz="0" w:space="0" w:color="auto"/>
                                <w:left w:val="none" w:sz="0" w:space="0" w:color="auto"/>
                                <w:bottom w:val="none" w:sz="0" w:space="0" w:color="auto"/>
                                <w:right w:val="none" w:sz="0" w:space="0" w:color="auto"/>
                              </w:divBdr>
                              <w:divsChild>
                                <w:div w:id="129252526">
                                  <w:marLeft w:val="-300"/>
                                  <w:marRight w:val="0"/>
                                  <w:marTop w:val="0"/>
                                  <w:marBottom w:val="0"/>
                                  <w:divBdr>
                                    <w:top w:val="none" w:sz="0" w:space="0" w:color="auto"/>
                                    <w:left w:val="none" w:sz="0" w:space="0" w:color="auto"/>
                                    <w:bottom w:val="none" w:sz="0" w:space="0" w:color="auto"/>
                                    <w:right w:val="none" w:sz="0" w:space="0" w:color="auto"/>
                                  </w:divBdr>
                                </w:div>
                              </w:divsChild>
                            </w:div>
                            <w:div w:id="1168253053">
                              <w:marLeft w:val="-240"/>
                              <w:marRight w:val="-120"/>
                              <w:marTop w:val="0"/>
                              <w:marBottom w:val="0"/>
                              <w:divBdr>
                                <w:top w:val="none" w:sz="0" w:space="0" w:color="auto"/>
                                <w:left w:val="none" w:sz="0" w:space="0" w:color="auto"/>
                                <w:bottom w:val="none" w:sz="0" w:space="0" w:color="auto"/>
                                <w:right w:val="none" w:sz="0" w:space="0" w:color="auto"/>
                              </w:divBdr>
                              <w:divsChild>
                                <w:div w:id="377433476">
                                  <w:marLeft w:val="0"/>
                                  <w:marRight w:val="0"/>
                                  <w:marTop w:val="0"/>
                                  <w:marBottom w:val="60"/>
                                  <w:divBdr>
                                    <w:top w:val="none" w:sz="0" w:space="0" w:color="auto"/>
                                    <w:left w:val="none" w:sz="0" w:space="0" w:color="auto"/>
                                    <w:bottom w:val="none" w:sz="0" w:space="0" w:color="auto"/>
                                    <w:right w:val="none" w:sz="0" w:space="0" w:color="auto"/>
                                  </w:divBdr>
                                  <w:divsChild>
                                    <w:div w:id="173155268">
                                      <w:marLeft w:val="0"/>
                                      <w:marRight w:val="0"/>
                                      <w:marTop w:val="0"/>
                                      <w:marBottom w:val="0"/>
                                      <w:divBdr>
                                        <w:top w:val="none" w:sz="0" w:space="0" w:color="auto"/>
                                        <w:left w:val="none" w:sz="0" w:space="0" w:color="auto"/>
                                        <w:bottom w:val="none" w:sz="0" w:space="0" w:color="auto"/>
                                        <w:right w:val="none" w:sz="0" w:space="0" w:color="auto"/>
                                      </w:divBdr>
                                      <w:divsChild>
                                        <w:div w:id="952438462">
                                          <w:marLeft w:val="0"/>
                                          <w:marRight w:val="0"/>
                                          <w:marTop w:val="0"/>
                                          <w:marBottom w:val="0"/>
                                          <w:divBdr>
                                            <w:top w:val="none" w:sz="0" w:space="0" w:color="auto"/>
                                            <w:left w:val="none" w:sz="0" w:space="0" w:color="auto"/>
                                            <w:bottom w:val="none" w:sz="0" w:space="0" w:color="auto"/>
                                            <w:right w:val="none" w:sz="0" w:space="0" w:color="auto"/>
                                          </w:divBdr>
                                          <w:divsChild>
                                            <w:div w:id="1290478913">
                                              <w:marLeft w:val="0"/>
                                              <w:marRight w:val="0"/>
                                              <w:marTop w:val="0"/>
                                              <w:marBottom w:val="0"/>
                                              <w:divBdr>
                                                <w:top w:val="none" w:sz="0" w:space="0" w:color="auto"/>
                                                <w:left w:val="none" w:sz="0" w:space="0" w:color="auto"/>
                                                <w:bottom w:val="none" w:sz="0" w:space="0" w:color="auto"/>
                                                <w:right w:val="none" w:sz="0" w:space="0" w:color="auto"/>
                                              </w:divBdr>
                                              <w:divsChild>
                                                <w:div w:id="103580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sl.fmrib.ox.ac.uk/fsl/fslwiki/PALM" TargetMode="External"/><Relationship Id="rId5" Type="http://schemas.openxmlformats.org/officeDocument/2006/relationships/image" Target="media/image2.tiff"/><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10</Pages>
  <Words>7406</Words>
  <Characters>42218</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Sripada</dc:creator>
  <cp:keywords/>
  <dc:description/>
  <cp:lastModifiedBy>Chandra Sripada</cp:lastModifiedBy>
  <cp:revision>198</cp:revision>
  <dcterms:created xsi:type="dcterms:W3CDTF">2020-11-17T13:17:00Z</dcterms:created>
  <dcterms:modified xsi:type="dcterms:W3CDTF">2021-10-22T18:05:00Z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id="GDK94THB"/&gt;&lt;style id="http://www.zotero.org/styles/pnas" hasBibliography="1" bibliographyStyleHasBeenSet="1"/&gt;&lt;prefs&gt;&lt;pref name="fieldType" value="Field"/&gt;&lt;pref name="dontAskDelayCitationUpdate</vt:lpwstr>
  </property>
  <property fmtid="{D5CDD505-2E9C-101B-9397-08002B2CF9AE}" pid="3" name="ZOTERO_PREF_2">
    <vt:lpwstr>s" value="true"/&gt;&lt;/prefs&gt;&lt;/data&gt;</vt:lpwstr>
  </property>
</Properties>
</file>