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2BA5" w:rsidRPr="00041BE0" w:rsidRDefault="00CC2BA5" w:rsidP="00CC2BA5">
      <w:pPr>
        <w:spacing w:before="240" w:after="240"/>
        <w:rPr>
          <w:rFonts w:ascii="Times New Roman" w:eastAsia="Times New Roman" w:hAnsi="Times New Roman" w:cs="Times New Roman"/>
          <w:b/>
          <w:sz w:val="24"/>
          <w:szCs w:val="24"/>
          <w:u w:val="single"/>
          <w:lang w:val="en-GB"/>
        </w:rPr>
      </w:pPr>
      <w:r>
        <w:rPr>
          <w:rFonts w:ascii="Times New Roman" w:eastAsia="Times New Roman" w:hAnsi="Times New Roman" w:cs="Times New Roman"/>
          <w:b/>
          <w:sz w:val="24"/>
          <w:szCs w:val="24"/>
          <w:u w:val="single"/>
          <w:lang w:val="en-GB"/>
        </w:rPr>
        <w:t>SUPPLEMENTARY INFORMATION</w:t>
      </w:r>
    </w:p>
    <w:p w:rsidR="00CC2BA5" w:rsidRDefault="00CC2BA5" w:rsidP="00CC2BA5">
      <w:pPr>
        <w:spacing w:before="240" w:after="240"/>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S1: Segmentation quality assessment</w:t>
      </w:r>
    </w:p>
    <w:p w:rsidR="00CC2BA5" w:rsidRDefault="00CC2BA5" w:rsidP="00CC2BA5">
      <w:pPr>
        <w:pStyle w:val="Geenafstand"/>
        <w:spacing w:line="480" w:lineRule="auto"/>
        <w:rPr>
          <w:rFonts w:ascii="Times New Roman" w:eastAsia="Times New Roman" w:hAnsi="Times New Roman" w:cs="Times New Roman"/>
          <w:b/>
          <w:sz w:val="24"/>
          <w:szCs w:val="24"/>
          <w:lang w:val="en-GB"/>
        </w:rPr>
      </w:pPr>
      <w:r w:rsidRPr="00342E90">
        <w:rPr>
          <w:rFonts w:ascii="Times New Roman" w:hAnsi="Times New Roman" w:cs="Times New Roman"/>
          <w:sz w:val="24"/>
          <w:szCs w:val="24"/>
        </w:rPr>
        <w:t xml:space="preserve">The lateral and medial geniculate nuclei were excluded from the analyses due to poor segmentation quality. </w:t>
      </w:r>
      <w:r w:rsidR="00C015AA" w:rsidRPr="00C015AA">
        <w:rPr>
          <w:rFonts w:ascii="Times New Roman" w:hAnsi="Times New Roman" w:cs="Times New Roman"/>
          <w:sz w:val="24"/>
          <w:szCs w:val="24"/>
        </w:rPr>
        <w:t>This also eas</w:t>
      </w:r>
      <w:bookmarkStart w:id="0" w:name="_GoBack"/>
      <w:bookmarkEnd w:id="0"/>
      <w:r w:rsidR="00C015AA" w:rsidRPr="00C015AA">
        <w:rPr>
          <w:rFonts w:ascii="Times New Roman" w:hAnsi="Times New Roman" w:cs="Times New Roman"/>
          <w:sz w:val="24"/>
          <w:szCs w:val="24"/>
        </w:rPr>
        <w:t xml:space="preserve">es </w:t>
      </w:r>
      <w:proofErr w:type="spellStart"/>
      <w:r w:rsidR="00C015AA" w:rsidRPr="00C015AA">
        <w:rPr>
          <w:rFonts w:ascii="Times New Roman" w:hAnsi="Times New Roman" w:cs="Times New Roman"/>
          <w:sz w:val="24"/>
          <w:szCs w:val="24"/>
        </w:rPr>
        <w:t>comparibility</w:t>
      </w:r>
      <w:proofErr w:type="spellEnd"/>
      <w:r w:rsidR="00C015AA" w:rsidRPr="00C015AA">
        <w:rPr>
          <w:rFonts w:ascii="Times New Roman" w:hAnsi="Times New Roman" w:cs="Times New Roman"/>
          <w:sz w:val="24"/>
          <w:szCs w:val="24"/>
        </w:rPr>
        <w:t xml:space="preserve"> with the previous whole thalamus analysis, since the original native segmentation also does not include the geniculate nuclei. </w:t>
      </w:r>
      <w:r>
        <w:rPr>
          <w:rFonts w:ascii="Times New Roman" w:hAnsi="Times New Roman" w:cs="Times New Roman"/>
          <w:sz w:val="24"/>
          <w:szCs w:val="24"/>
        </w:rPr>
        <w:t>Each site performed detection of</w:t>
      </w:r>
      <w:r w:rsidRPr="00342E90">
        <w:rPr>
          <w:rFonts w:ascii="Times New Roman" w:hAnsi="Times New Roman" w:cs="Times New Roman"/>
          <w:sz w:val="24"/>
          <w:szCs w:val="24"/>
        </w:rPr>
        <w:t xml:space="preserve"> statistical outliers (below </w:t>
      </w:r>
      <w:r>
        <w:rPr>
          <w:rFonts w:ascii="Times New Roman" w:hAnsi="Times New Roman" w:cs="Times New Roman"/>
          <w:sz w:val="24"/>
          <w:szCs w:val="24"/>
        </w:rPr>
        <w:t>Q</w:t>
      </w:r>
      <w:r>
        <w:rPr>
          <w:rFonts w:ascii="Times New Roman" w:hAnsi="Times New Roman" w:cs="Times New Roman"/>
          <w:sz w:val="24"/>
          <w:szCs w:val="24"/>
          <w:vertAlign w:val="subscript"/>
        </w:rPr>
        <w:t xml:space="preserve">1 </w:t>
      </w:r>
      <w:r w:rsidRPr="00342E90">
        <w:rPr>
          <w:rFonts w:ascii="Times New Roman" w:hAnsi="Times New Roman" w:cs="Times New Roman"/>
          <w:sz w:val="24"/>
          <w:szCs w:val="24"/>
        </w:rPr>
        <w:t>-</w:t>
      </w:r>
      <w:r>
        <w:rPr>
          <w:rFonts w:ascii="Times New Roman" w:hAnsi="Times New Roman" w:cs="Times New Roman"/>
          <w:sz w:val="24"/>
          <w:szCs w:val="24"/>
        </w:rPr>
        <w:t xml:space="preserve"> </w:t>
      </w:r>
      <w:r w:rsidRPr="00342E90">
        <w:rPr>
          <w:rFonts w:ascii="Times New Roman" w:hAnsi="Times New Roman" w:cs="Times New Roman"/>
          <w:sz w:val="24"/>
          <w:szCs w:val="24"/>
        </w:rPr>
        <w:t>1.5</w:t>
      </w:r>
      <w:r>
        <w:rPr>
          <w:rFonts w:ascii="Times New Roman" w:hAnsi="Times New Roman" w:cs="Times New Roman"/>
          <w:sz w:val="24"/>
          <w:szCs w:val="24"/>
        </w:rPr>
        <w:t xml:space="preserve"> *</w:t>
      </w:r>
      <w:r w:rsidRPr="00342E90">
        <w:rPr>
          <w:rFonts w:ascii="Times New Roman" w:hAnsi="Times New Roman" w:cs="Times New Roman"/>
          <w:sz w:val="24"/>
          <w:szCs w:val="24"/>
        </w:rPr>
        <w:t xml:space="preserve"> IQR</w:t>
      </w:r>
      <w:r>
        <w:rPr>
          <w:rFonts w:ascii="Times New Roman" w:hAnsi="Times New Roman" w:cs="Times New Roman"/>
          <w:sz w:val="24"/>
          <w:szCs w:val="24"/>
        </w:rPr>
        <w:t xml:space="preserve"> or above Q</w:t>
      </w:r>
      <w:r>
        <w:rPr>
          <w:rFonts w:ascii="Times New Roman" w:hAnsi="Times New Roman" w:cs="Times New Roman"/>
          <w:sz w:val="24"/>
          <w:szCs w:val="24"/>
        </w:rPr>
        <w:softHyphen/>
      </w:r>
      <w:r>
        <w:rPr>
          <w:rFonts w:ascii="Times New Roman" w:hAnsi="Times New Roman" w:cs="Times New Roman"/>
          <w:sz w:val="24"/>
          <w:szCs w:val="24"/>
          <w:vertAlign w:val="subscript"/>
        </w:rPr>
        <w:t>3</w:t>
      </w:r>
      <w:r w:rsidRPr="00342E90">
        <w:rPr>
          <w:rFonts w:ascii="Times New Roman" w:hAnsi="Times New Roman" w:cs="Times New Roman"/>
          <w:sz w:val="24"/>
          <w:szCs w:val="24"/>
        </w:rPr>
        <w:t xml:space="preserve"> + 1.5</w:t>
      </w:r>
      <w:r>
        <w:rPr>
          <w:rFonts w:ascii="Times New Roman" w:hAnsi="Times New Roman" w:cs="Times New Roman"/>
          <w:sz w:val="24"/>
          <w:szCs w:val="24"/>
        </w:rPr>
        <w:t xml:space="preserve"> * IQR) for </w:t>
      </w:r>
      <w:r w:rsidRPr="00342E90">
        <w:rPr>
          <w:rFonts w:ascii="Times New Roman" w:hAnsi="Times New Roman" w:cs="Times New Roman"/>
          <w:sz w:val="24"/>
          <w:szCs w:val="24"/>
        </w:rPr>
        <w:t xml:space="preserve">each nuclei group. </w:t>
      </w:r>
      <w:r>
        <w:rPr>
          <w:rFonts w:ascii="Times New Roman" w:hAnsi="Times New Roman" w:cs="Times New Roman"/>
          <w:sz w:val="24"/>
          <w:szCs w:val="24"/>
        </w:rPr>
        <w:t>Segmentation quality of these outliers was visually inspected. Secondly, segmentations that deviated too much from the native (</w:t>
      </w:r>
      <w:proofErr w:type="spellStart"/>
      <w:r>
        <w:rPr>
          <w:rFonts w:ascii="Times New Roman" w:hAnsi="Times New Roman" w:cs="Times New Roman"/>
          <w:sz w:val="24"/>
          <w:szCs w:val="24"/>
        </w:rPr>
        <w:t>aseg</w:t>
      </w:r>
      <w:proofErr w:type="spellEnd"/>
      <w:r>
        <w:rPr>
          <w:rFonts w:ascii="Times New Roman" w:hAnsi="Times New Roman" w:cs="Times New Roman"/>
          <w:sz w:val="24"/>
          <w:szCs w:val="24"/>
        </w:rPr>
        <w:t xml:space="preserve">) FreeSurfer segmentation of the whole thalamus or showed large overlap with the white matter mask in the </w:t>
      </w:r>
      <w:proofErr w:type="spellStart"/>
      <w:r>
        <w:rPr>
          <w:rFonts w:ascii="Times New Roman" w:hAnsi="Times New Roman" w:cs="Times New Roman"/>
          <w:sz w:val="24"/>
          <w:szCs w:val="24"/>
        </w:rPr>
        <w:t>aseg</w:t>
      </w:r>
      <w:proofErr w:type="spellEnd"/>
      <w:r>
        <w:rPr>
          <w:rFonts w:ascii="Times New Roman" w:hAnsi="Times New Roman" w:cs="Times New Roman"/>
          <w:sz w:val="24"/>
          <w:szCs w:val="24"/>
        </w:rPr>
        <w:t xml:space="preserve"> file were flagged and visually inspected as well. Poor segmentations were excluded from analyses. </w:t>
      </w:r>
      <w:r w:rsidRPr="00342E90">
        <w:rPr>
          <w:rFonts w:ascii="Times New Roman" w:hAnsi="Times New Roman" w:cs="Times New Roman"/>
          <w:sz w:val="24"/>
          <w:szCs w:val="24"/>
        </w:rPr>
        <w:t xml:space="preserve"> </w:t>
      </w:r>
    </w:p>
    <w:p w:rsidR="00CC2BA5" w:rsidRDefault="00CC2BA5" w:rsidP="00CC2BA5">
      <w:pPr>
        <w:spacing w:before="240" w:after="240"/>
        <w:rPr>
          <w:rFonts w:ascii="Times New Roman" w:eastAsia="Times New Roman" w:hAnsi="Times New Roman" w:cs="Times New Roman"/>
          <w:b/>
          <w:sz w:val="24"/>
          <w:szCs w:val="24"/>
          <w:lang w:val="en-GB"/>
        </w:rPr>
      </w:pPr>
    </w:p>
    <w:p w:rsidR="00CC2BA5" w:rsidRPr="00041BE0" w:rsidRDefault="00CC2BA5" w:rsidP="00CC2BA5">
      <w:pPr>
        <w:spacing w:before="240" w:after="240"/>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 xml:space="preserve">S2: </w:t>
      </w:r>
      <w:r w:rsidRPr="00041BE0">
        <w:rPr>
          <w:rFonts w:ascii="Times New Roman" w:eastAsia="Times New Roman" w:hAnsi="Times New Roman" w:cs="Times New Roman"/>
          <w:b/>
          <w:sz w:val="24"/>
          <w:szCs w:val="24"/>
          <w:lang w:val="en-GB"/>
        </w:rPr>
        <w:t>Meta-analysis</w:t>
      </w:r>
    </w:p>
    <w:p w:rsidR="00CC2BA5" w:rsidRPr="00896174" w:rsidRDefault="00CC2BA5" w:rsidP="00CC2BA5">
      <w:pPr>
        <w:spacing w:before="240" w:after="240" w:line="480" w:lineRule="auto"/>
        <w:rPr>
          <w:rFonts w:ascii="Times New Roman" w:eastAsia="Times New Roman" w:hAnsi="Times New Roman" w:cs="Times New Roman"/>
          <w:i/>
          <w:sz w:val="24"/>
          <w:szCs w:val="24"/>
          <w:lang w:val="en-GB"/>
        </w:rPr>
      </w:pPr>
      <w:r>
        <w:rPr>
          <w:rFonts w:ascii="Times New Roman" w:eastAsia="Times New Roman" w:hAnsi="Times New Roman" w:cs="Times New Roman"/>
          <w:i/>
          <w:sz w:val="24"/>
          <w:szCs w:val="24"/>
          <w:lang w:val="en-GB"/>
        </w:rPr>
        <w:t>Method</w:t>
      </w:r>
    </w:p>
    <w:p w:rsidR="00CC2BA5" w:rsidRPr="00041BE0" w:rsidRDefault="00CC2BA5" w:rsidP="00CC2BA5">
      <w:pPr>
        <w:spacing w:before="240" w:after="240" w:line="480" w:lineRule="auto"/>
        <w:rPr>
          <w:rFonts w:ascii="Times New Roman" w:eastAsia="Times New Roman" w:hAnsi="Times New Roman" w:cs="Times New Roman"/>
          <w:sz w:val="24"/>
          <w:szCs w:val="24"/>
          <w:lang w:val="en-GB"/>
        </w:rPr>
      </w:pPr>
      <w:r w:rsidRPr="00041BE0">
        <w:rPr>
          <w:rFonts w:ascii="Times New Roman" w:eastAsia="Times New Roman" w:hAnsi="Times New Roman" w:cs="Times New Roman"/>
          <w:sz w:val="24"/>
          <w:szCs w:val="24"/>
          <w:lang w:val="en-GB"/>
        </w:rPr>
        <w:t>In line with previous work of the ENIGMA-OCD group, we conducted a meta-analysis by pooling the regression statistics from each sample across all sites. Since the pediatric samples within the working group combined both children and adolescent participants, splitting these samples would lead to biased estimates from having too small or unbalanced groups. We therefore only conducted a meta-analysis on the adult samples.</w:t>
      </w:r>
    </w:p>
    <w:p w:rsidR="00CC2BA5" w:rsidRDefault="00CC2BA5" w:rsidP="00CC2BA5">
      <w:pPr>
        <w:spacing w:before="240" w:after="240" w:line="480" w:lineRule="auto"/>
        <w:rPr>
          <w:rFonts w:ascii="Times New Roman" w:eastAsia="Times New Roman" w:hAnsi="Times New Roman" w:cs="Times New Roman"/>
          <w:sz w:val="24"/>
          <w:szCs w:val="24"/>
          <w:lang w:val="en-GB"/>
        </w:rPr>
      </w:pPr>
      <w:r w:rsidRPr="00041BE0">
        <w:rPr>
          <w:rFonts w:ascii="Times New Roman" w:eastAsia="Times New Roman" w:hAnsi="Times New Roman" w:cs="Times New Roman"/>
          <w:sz w:val="24"/>
          <w:szCs w:val="24"/>
          <w:lang w:val="en-GB"/>
        </w:rPr>
        <w:t xml:space="preserve">All regression models were computed for each sample separately. We used </w:t>
      </w:r>
      <w:r>
        <w:rPr>
          <w:rFonts w:ascii="Times New Roman" w:eastAsia="Times New Roman" w:hAnsi="Times New Roman" w:cs="Times New Roman"/>
          <w:sz w:val="24"/>
          <w:szCs w:val="24"/>
          <w:lang w:val="en-GB"/>
        </w:rPr>
        <w:t xml:space="preserve">R statistical package, version 4.0.3 </w:t>
      </w:r>
      <w:r>
        <w:rPr>
          <w:rFonts w:ascii="Times New Roman" w:eastAsia="Times New Roman" w:hAnsi="Times New Roman" w:cs="Times New Roman"/>
          <w:sz w:val="24"/>
          <w:szCs w:val="24"/>
          <w:lang w:val="en-GB"/>
        </w:rPr>
        <w:fldChar w:fldCharType="begin"/>
      </w:r>
      <w:r>
        <w:rPr>
          <w:rFonts w:ascii="Times New Roman" w:eastAsia="Times New Roman" w:hAnsi="Times New Roman" w:cs="Times New Roman"/>
          <w:sz w:val="24"/>
          <w:szCs w:val="24"/>
          <w:lang w:val="en-GB"/>
        </w:rPr>
        <w:instrText xml:space="preserve"> ADDIN EN.CITE &lt;EndNote&gt;&lt;Cite&gt;&lt;Author&gt;R Core Team&lt;/Author&gt;&lt;Year&gt;2020&lt;/Year&gt;&lt;RecNum&gt;361&lt;/RecNum&gt;&lt;DisplayText&gt;(1)&lt;/DisplayText&gt;&lt;record&gt;&lt;rec-number&gt;361&lt;/rec-number&gt;&lt;foreign-keys&gt;&lt;key app="EN" db-id="0rtrrwrx4srd26e0zeoxzwaqsez0wsa9fwtf" timestamp="1625495796"&gt;361&lt;/key&gt;&lt;/foreign-keys&gt;&lt;ref-type name="Computer Program"&gt;9&lt;/ref-type&gt;&lt;contributors&gt;&lt;authors&gt;&lt;author&gt;R Core Team,&lt;/author&gt;&lt;/authors&gt;&lt;/contributors&gt;&lt;auth-address&gt;Vienna, Austria&lt;/auth-address&gt;&lt;titles&gt;&lt;title&gt;R: A language and environment for statistical computing&lt;/title&gt;&lt;/titles&gt;&lt;dates&gt;&lt;year&gt;2020&lt;/year&gt;&lt;/dates&gt;&lt;publisher&gt;R Foundation for Statistical Computing&lt;/publisher&gt;&lt;urls&gt;&lt;related-urls&gt;&lt;url&gt;https://www.R-project.org/&lt;/url&gt;&lt;/related-urls&gt;&lt;/urls&gt;&lt;/record&gt;&lt;/Cite&gt;&lt;/EndNote&gt;</w:instrText>
      </w:r>
      <w:r>
        <w:rPr>
          <w:rFonts w:ascii="Times New Roman" w:eastAsia="Times New Roman" w:hAnsi="Times New Roman" w:cs="Times New Roman"/>
          <w:sz w:val="24"/>
          <w:szCs w:val="24"/>
          <w:lang w:val="en-GB"/>
        </w:rPr>
        <w:fldChar w:fldCharType="separate"/>
      </w:r>
      <w:r>
        <w:rPr>
          <w:rFonts w:ascii="Times New Roman" w:eastAsia="Times New Roman" w:hAnsi="Times New Roman" w:cs="Times New Roman"/>
          <w:noProof/>
          <w:sz w:val="24"/>
          <w:szCs w:val="24"/>
          <w:lang w:val="en-GB"/>
        </w:rPr>
        <w:t>(1)</w:t>
      </w:r>
      <w:r>
        <w:rPr>
          <w:rFonts w:ascii="Times New Roman" w:eastAsia="Times New Roman" w:hAnsi="Times New Roman" w:cs="Times New Roman"/>
          <w:sz w:val="24"/>
          <w:szCs w:val="24"/>
          <w:lang w:val="en-GB"/>
        </w:rPr>
        <w:fldChar w:fldCharType="end"/>
      </w:r>
      <w:r>
        <w:rPr>
          <w:rFonts w:ascii="Times New Roman" w:eastAsia="Times New Roman" w:hAnsi="Times New Roman" w:cs="Times New Roman"/>
          <w:sz w:val="24"/>
          <w:szCs w:val="24"/>
          <w:lang w:val="en-GB"/>
        </w:rPr>
        <w:t xml:space="preserve">, </w:t>
      </w:r>
      <w:proofErr w:type="spellStart"/>
      <w:r>
        <w:rPr>
          <w:rFonts w:ascii="Times New Roman" w:eastAsia="Times New Roman" w:hAnsi="Times New Roman" w:cs="Times New Roman"/>
          <w:i/>
          <w:sz w:val="24"/>
          <w:szCs w:val="24"/>
          <w:lang w:val="en-GB"/>
        </w:rPr>
        <w:t>metafor</w:t>
      </w:r>
      <w:proofErr w:type="spellEnd"/>
      <w:r>
        <w:rPr>
          <w:rFonts w:ascii="Times New Roman" w:eastAsia="Times New Roman" w:hAnsi="Times New Roman" w:cs="Times New Roman"/>
          <w:i/>
          <w:sz w:val="24"/>
          <w:szCs w:val="24"/>
          <w:lang w:val="en-GB"/>
        </w:rPr>
        <w:t xml:space="preserve"> </w:t>
      </w:r>
      <w:r>
        <w:rPr>
          <w:rFonts w:ascii="Times New Roman" w:eastAsia="Times New Roman" w:hAnsi="Times New Roman" w:cs="Times New Roman"/>
          <w:sz w:val="24"/>
          <w:szCs w:val="24"/>
          <w:lang w:val="en-GB"/>
        </w:rPr>
        <w:t xml:space="preserve">package </w:t>
      </w:r>
      <w:r>
        <w:rPr>
          <w:rFonts w:ascii="Times New Roman" w:eastAsia="Times New Roman" w:hAnsi="Times New Roman" w:cs="Times New Roman"/>
          <w:sz w:val="24"/>
          <w:szCs w:val="24"/>
          <w:lang w:val="en-GB"/>
        </w:rPr>
        <w:fldChar w:fldCharType="begin"/>
      </w:r>
      <w:r>
        <w:rPr>
          <w:rFonts w:ascii="Times New Roman" w:eastAsia="Times New Roman" w:hAnsi="Times New Roman" w:cs="Times New Roman"/>
          <w:sz w:val="24"/>
          <w:szCs w:val="24"/>
          <w:lang w:val="en-GB"/>
        </w:rPr>
        <w:instrText xml:space="preserve"> ADDIN EN.CITE &lt;EndNote&gt;&lt;Cite&gt;&lt;Author&gt;Viechtbauer&lt;/Author&gt;&lt;Year&gt;2010&lt;/Year&gt;&lt;RecNum&gt;362&lt;/RecNum&gt;&lt;DisplayText&gt;(2)&lt;/DisplayText&gt;&lt;record&gt;&lt;rec-number&gt;362&lt;/rec-number&gt;&lt;foreign-keys&gt;&lt;key app="EN" db-id="0rtrrwrx4srd26e0zeoxzwaqsez0wsa9fwtf" timestamp="1625496211"&gt;362&lt;/key&gt;&lt;/foreign-keys&gt;&lt;ref-type name="Journal Article"&gt;17&lt;/ref-type&gt;&lt;contributors&gt;&lt;authors&gt;&lt;author&gt;Viechtbauer, Wolfgang&lt;/author&gt;&lt;/authors&gt;&lt;/contributors&gt;&lt;titles&gt;&lt;title&gt;Conducting Meta-Analyses in R with the metafor Package&lt;/title&gt;&lt;secondary-title&gt;Journal of Statistical Software; Vol 1, Issue 3 (2010)&lt;/secondary-title&gt;&lt;/titles&gt;&lt;periodical&gt;&lt;full-title&gt;Journal of Statistical Software; Vol 1, Issue 3 (2010)&lt;/full-title&gt;&lt;/periodical&gt;&lt;dates&gt;&lt;year&gt;2010&lt;/year&gt;&lt;/dates&gt;&lt;urls&gt;&lt;related-urls&gt;&lt;url&gt;https://www.jstatsoft.org/v036/i03&lt;/url&gt;&lt;url&gt;http://dx.doi.org/10.18637/jss.v036.i03&lt;/url&gt;&lt;/related-urls&gt;&lt;/urls&gt;&lt;/record&gt;&lt;/Cite&gt;&lt;/EndNote&gt;</w:instrText>
      </w:r>
      <w:r>
        <w:rPr>
          <w:rFonts w:ascii="Times New Roman" w:eastAsia="Times New Roman" w:hAnsi="Times New Roman" w:cs="Times New Roman"/>
          <w:sz w:val="24"/>
          <w:szCs w:val="24"/>
          <w:lang w:val="en-GB"/>
        </w:rPr>
        <w:fldChar w:fldCharType="separate"/>
      </w:r>
      <w:r>
        <w:rPr>
          <w:rFonts w:ascii="Times New Roman" w:eastAsia="Times New Roman" w:hAnsi="Times New Roman" w:cs="Times New Roman"/>
          <w:noProof/>
          <w:sz w:val="24"/>
          <w:szCs w:val="24"/>
          <w:lang w:val="en-GB"/>
        </w:rPr>
        <w:t>(2)</w:t>
      </w:r>
      <w:r>
        <w:rPr>
          <w:rFonts w:ascii="Times New Roman" w:eastAsia="Times New Roman" w:hAnsi="Times New Roman" w:cs="Times New Roman"/>
          <w:sz w:val="24"/>
          <w:szCs w:val="24"/>
          <w:lang w:val="en-GB"/>
        </w:rPr>
        <w:fldChar w:fldCharType="end"/>
      </w:r>
      <w:r>
        <w:rPr>
          <w:rFonts w:ascii="Times New Roman" w:eastAsia="Times New Roman" w:hAnsi="Times New Roman" w:cs="Times New Roman"/>
          <w:sz w:val="24"/>
          <w:szCs w:val="24"/>
          <w:lang w:val="en-GB"/>
        </w:rPr>
        <w:t xml:space="preserve"> </w:t>
      </w:r>
      <w:r w:rsidRPr="00041BE0">
        <w:rPr>
          <w:rFonts w:ascii="Times New Roman" w:eastAsia="Times New Roman" w:hAnsi="Times New Roman" w:cs="Times New Roman"/>
          <w:sz w:val="24"/>
          <w:szCs w:val="24"/>
          <w:lang w:val="en-GB"/>
        </w:rPr>
        <w:t xml:space="preserve">for an inverse variance-weighted random-effect meta-analysis to derive pooled Cohen’s </w:t>
      </w:r>
      <w:r w:rsidRPr="00041BE0">
        <w:rPr>
          <w:rFonts w:ascii="Times New Roman" w:eastAsia="Times New Roman" w:hAnsi="Times New Roman" w:cs="Times New Roman"/>
          <w:i/>
          <w:sz w:val="24"/>
          <w:szCs w:val="24"/>
          <w:lang w:val="en-GB"/>
        </w:rPr>
        <w:t xml:space="preserve">d </w:t>
      </w:r>
      <w:r w:rsidRPr="00041BE0">
        <w:rPr>
          <w:rFonts w:ascii="Times New Roman" w:eastAsia="Times New Roman" w:hAnsi="Times New Roman" w:cs="Times New Roman"/>
          <w:sz w:val="24"/>
          <w:szCs w:val="24"/>
          <w:lang w:val="en-GB"/>
        </w:rPr>
        <w:t>effect size estimates for each nuclei group. All models were fitted using the restricted maximum likelihood method (REML).</w:t>
      </w:r>
    </w:p>
    <w:p w:rsidR="00CC2BA5" w:rsidRDefault="00CC2BA5" w:rsidP="00CC2BA5">
      <w:pPr>
        <w:spacing w:before="240" w:after="240" w:line="480" w:lineRule="auto"/>
        <w:rPr>
          <w:rFonts w:ascii="Times New Roman" w:eastAsia="Times New Roman" w:hAnsi="Times New Roman" w:cs="Times New Roman"/>
          <w:i/>
          <w:sz w:val="24"/>
          <w:szCs w:val="24"/>
          <w:lang w:val="en-GB"/>
        </w:rPr>
      </w:pPr>
      <w:r>
        <w:rPr>
          <w:rFonts w:ascii="Times New Roman" w:eastAsia="Times New Roman" w:hAnsi="Times New Roman" w:cs="Times New Roman"/>
          <w:i/>
          <w:sz w:val="24"/>
          <w:szCs w:val="24"/>
          <w:lang w:val="en-GB"/>
        </w:rPr>
        <w:lastRenderedPageBreak/>
        <w:t>Results</w:t>
      </w:r>
    </w:p>
    <w:p w:rsidR="00CC2BA5" w:rsidRPr="001A24F3" w:rsidRDefault="00CC2BA5" w:rsidP="00CC2BA5">
      <w:pPr>
        <w:spacing w:after="240" w:line="48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Adult patients had significantly lower volume in the ventral (</w:t>
      </w:r>
      <w:r>
        <w:rPr>
          <w:rFonts w:ascii="Times New Roman" w:eastAsia="Times New Roman" w:hAnsi="Times New Roman" w:cs="Times New Roman"/>
          <w:i/>
          <w:sz w:val="24"/>
          <w:szCs w:val="24"/>
          <w:lang w:val="en-GB"/>
        </w:rPr>
        <w:t xml:space="preserve">d = </w:t>
      </w:r>
      <w:r w:rsidRPr="00965F79">
        <w:rPr>
          <w:rFonts w:ascii="Times New Roman" w:eastAsia="Times New Roman" w:hAnsi="Times New Roman" w:cs="Times New Roman"/>
          <w:sz w:val="24"/>
          <w:szCs w:val="24"/>
          <w:lang w:val="en-GB"/>
        </w:rPr>
        <w:t>-0.12</w:t>
      </w:r>
      <w:r>
        <w:rPr>
          <w:rFonts w:ascii="Times New Roman" w:eastAsia="Times New Roman" w:hAnsi="Times New Roman" w:cs="Times New Roman"/>
          <w:i/>
          <w:sz w:val="24"/>
          <w:szCs w:val="24"/>
          <w:lang w:val="en-GB"/>
        </w:rPr>
        <w:t xml:space="preserve">, </w:t>
      </w:r>
      <w:proofErr w:type="spellStart"/>
      <w:r>
        <w:rPr>
          <w:rFonts w:ascii="Times New Roman" w:eastAsia="Times New Roman" w:hAnsi="Times New Roman" w:cs="Times New Roman"/>
          <w:i/>
          <w:sz w:val="24"/>
          <w:szCs w:val="24"/>
          <w:lang w:val="en-GB"/>
        </w:rPr>
        <w:t>p</w:t>
      </w:r>
      <w:r w:rsidRPr="00882138">
        <w:rPr>
          <w:rFonts w:ascii="Times New Roman" w:eastAsia="Times New Roman" w:hAnsi="Times New Roman" w:cs="Times New Roman"/>
          <w:i/>
          <w:sz w:val="24"/>
          <w:szCs w:val="24"/>
          <w:vertAlign w:val="subscript"/>
          <w:lang w:val="en-GB"/>
        </w:rPr>
        <w:t>FDR</w:t>
      </w:r>
      <w:proofErr w:type="spellEnd"/>
      <w:r>
        <w:rPr>
          <w:rFonts w:ascii="Times New Roman" w:eastAsia="Times New Roman" w:hAnsi="Times New Roman" w:cs="Times New Roman"/>
          <w:i/>
          <w:sz w:val="24"/>
          <w:szCs w:val="24"/>
          <w:vertAlign w:val="subscript"/>
          <w:lang w:val="en-GB"/>
        </w:rPr>
        <w:t xml:space="preserve"> </w:t>
      </w:r>
      <w:r>
        <w:rPr>
          <w:rFonts w:ascii="Times New Roman" w:eastAsia="Times New Roman" w:hAnsi="Times New Roman" w:cs="Times New Roman"/>
          <w:sz w:val="24"/>
          <w:szCs w:val="24"/>
          <w:lang w:val="en-GB"/>
        </w:rPr>
        <w:t>= 3.49E-04) and medial (</w:t>
      </w:r>
      <w:r>
        <w:rPr>
          <w:rFonts w:ascii="Times New Roman" w:eastAsia="Times New Roman" w:hAnsi="Times New Roman" w:cs="Times New Roman"/>
          <w:i/>
          <w:sz w:val="24"/>
          <w:szCs w:val="24"/>
          <w:lang w:val="en-GB"/>
        </w:rPr>
        <w:t xml:space="preserve">d = </w:t>
      </w:r>
      <w:r w:rsidRPr="001A24F3">
        <w:rPr>
          <w:rFonts w:ascii="Times New Roman" w:eastAsia="Times New Roman" w:hAnsi="Times New Roman" w:cs="Times New Roman"/>
          <w:sz w:val="24"/>
          <w:szCs w:val="24"/>
          <w:lang w:val="en-GB"/>
        </w:rPr>
        <w:t>-0.10</w:t>
      </w:r>
      <w:r>
        <w:rPr>
          <w:rFonts w:ascii="Times New Roman" w:eastAsia="Times New Roman" w:hAnsi="Times New Roman" w:cs="Times New Roman"/>
          <w:i/>
          <w:sz w:val="24"/>
          <w:szCs w:val="24"/>
          <w:lang w:val="en-GB"/>
        </w:rPr>
        <w:t xml:space="preserve">, </w:t>
      </w:r>
      <w:proofErr w:type="spellStart"/>
      <w:r>
        <w:rPr>
          <w:rFonts w:ascii="Times New Roman" w:eastAsia="Times New Roman" w:hAnsi="Times New Roman" w:cs="Times New Roman"/>
          <w:i/>
          <w:sz w:val="24"/>
          <w:szCs w:val="24"/>
          <w:lang w:val="en-GB"/>
        </w:rPr>
        <w:t>p</w:t>
      </w:r>
      <w:r>
        <w:rPr>
          <w:rFonts w:ascii="Times New Roman" w:eastAsia="Times New Roman" w:hAnsi="Times New Roman" w:cs="Times New Roman"/>
          <w:i/>
          <w:sz w:val="24"/>
          <w:szCs w:val="24"/>
          <w:vertAlign w:val="subscript"/>
          <w:lang w:val="en-GB"/>
        </w:rPr>
        <w:t>FDR</w:t>
      </w:r>
      <w:proofErr w:type="spellEnd"/>
      <w:r>
        <w:rPr>
          <w:rFonts w:ascii="Times New Roman" w:eastAsia="Times New Roman" w:hAnsi="Times New Roman" w:cs="Times New Roman"/>
          <w:i/>
          <w:sz w:val="24"/>
          <w:szCs w:val="24"/>
          <w:vertAlign w:val="subscript"/>
          <w:lang w:val="en-GB"/>
        </w:rPr>
        <w:t xml:space="preserve"> </w:t>
      </w:r>
      <w:r>
        <w:rPr>
          <w:rFonts w:ascii="Times New Roman" w:eastAsia="Times New Roman" w:hAnsi="Times New Roman" w:cs="Times New Roman"/>
          <w:sz w:val="24"/>
          <w:szCs w:val="24"/>
          <w:lang w:val="en-GB"/>
        </w:rPr>
        <w:t>= 0.017) nucleus (Table S2.1). All other nuclei trended towards lower volumes in patients compared with controls. The whole thalamus was significantly lower in patients compared with controls (</w:t>
      </w:r>
      <w:r>
        <w:rPr>
          <w:rFonts w:ascii="Times New Roman" w:eastAsia="Times New Roman" w:hAnsi="Times New Roman" w:cs="Times New Roman"/>
          <w:i/>
          <w:sz w:val="24"/>
          <w:szCs w:val="24"/>
          <w:lang w:val="en-GB"/>
        </w:rPr>
        <w:t xml:space="preserve">d = </w:t>
      </w:r>
      <w:r w:rsidRPr="001A24F3">
        <w:rPr>
          <w:rFonts w:ascii="Times New Roman" w:eastAsia="Times New Roman" w:hAnsi="Times New Roman" w:cs="Times New Roman"/>
          <w:sz w:val="24"/>
          <w:szCs w:val="24"/>
          <w:lang w:val="en-GB"/>
        </w:rPr>
        <w:t>-0.11</w:t>
      </w:r>
      <w:r>
        <w:rPr>
          <w:rFonts w:ascii="Times New Roman" w:eastAsia="Times New Roman" w:hAnsi="Times New Roman" w:cs="Times New Roman"/>
          <w:i/>
          <w:sz w:val="24"/>
          <w:szCs w:val="24"/>
          <w:lang w:val="en-GB"/>
        </w:rPr>
        <w:t xml:space="preserve">, p = </w:t>
      </w:r>
      <w:r>
        <w:rPr>
          <w:rFonts w:ascii="Times New Roman" w:eastAsia="Times New Roman" w:hAnsi="Times New Roman" w:cs="Times New Roman"/>
          <w:sz w:val="24"/>
          <w:szCs w:val="24"/>
          <w:lang w:val="en-GB"/>
        </w:rPr>
        <w:t>0.024).</w:t>
      </w:r>
    </w:p>
    <w:p w:rsidR="00CC2BA5" w:rsidRDefault="00CC2BA5" w:rsidP="00CC2BA5">
      <w:pPr>
        <w:spacing w:after="240" w:line="480" w:lineRule="auto"/>
        <w:rPr>
          <w:rFonts w:ascii="Times New Roman" w:eastAsia="Times New Roman" w:hAnsi="Times New Roman" w:cs="Times New Roman"/>
          <w:b/>
          <w:sz w:val="24"/>
          <w:szCs w:val="24"/>
          <w:lang w:val="en-GB"/>
        </w:rPr>
      </w:pPr>
    </w:p>
    <w:p w:rsidR="00CC2BA5" w:rsidRPr="00842E6C" w:rsidRDefault="00CC2BA5" w:rsidP="00CC2BA5">
      <w:pPr>
        <w:spacing w:after="240" w:line="360" w:lineRule="auto"/>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Table S2.1</w:t>
      </w:r>
      <w:r w:rsidRPr="00842E6C">
        <w:rPr>
          <w:rFonts w:ascii="Times New Roman" w:eastAsia="Times New Roman" w:hAnsi="Times New Roman" w:cs="Times New Roman"/>
          <w:b/>
          <w:sz w:val="24"/>
          <w:szCs w:val="24"/>
          <w:lang w:val="en-GB"/>
        </w:rPr>
        <w:t>: Full meta-analytic result of volumetric difference between adult obsessive-compulsive patients and healthy controls</w:t>
      </w:r>
    </w:p>
    <w:tbl>
      <w:tblPr>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52"/>
        <w:gridCol w:w="2616"/>
        <w:gridCol w:w="1350"/>
        <w:gridCol w:w="1237"/>
        <w:gridCol w:w="992"/>
        <w:gridCol w:w="1378"/>
      </w:tblGrid>
      <w:tr w:rsidR="00CC2BA5" w:rsidTr="00416E36">
        <w:trPr>
          <w:trHeight w:val="635"/>
        </w:trPr>
        <w:tc>
          <w:tcPr>
            <w:tcW w:w="1452" w:type="dxa"/>
            <w:tcBorders>
              <w:bottom w:val="single" w:sz="8" w:space="0" w:color="000000"/>
            </w:tcBorders>
            <w:tcMar>
              <w:top w:w="100" w:type="dxa"/>
              <w:left w:w="80" w:type="dxa"/>
              <w:bottom w:w="100" w:type="dxa"/>
              <w:right w:w="80" w:type="dxa"/>
            </w:tcMar>
            <w:vAlign w:val="bottom"/>
          </w:tcPr>
          <w:p w:rsidR="00CC2BA5" w:rsidRPr="00842E6C" w:rsidRDefault="00CC2BA5" w:rsidP="00416E36">
            <w:pPr>
              <w:spacing w:before="240" w:after="240" w:line="360" w:lineRule="auto"/>
              <w:ind w:left="80"/>
              <w:rPr>
                <w:rFonts w:ascii="Times New Roman" w:eastAsia="Times New Roman" w:hAnsi="Times New Roman" w:cs="Times New Roman"/>
                <w:b/>
                <w:sz w:val="24"/>
                <w:szCs w:val="24"/>
                <w:lang w:val="en-GB"/>
              </w:rPr>
            </w:pPr>
          </w:p>
        </w:tc>
        <w:tc>
          <w:tcPr>
            <w:tcW w:w="2616" w:type="dxa"/>
            <w:tcBorders>
              <w:bottom w:val="single" w:sz="8" w:space="0" w:color="000000"/>
            </w:tcBorders>
            <w:tcMar>
              <w:top w:w="100" w:type="dxa"/>
              <w:left w:w="80" w:type="dxa"/>
              <w:bottom w:w="100" w:type="dxa"/>
              <w:right w:w="80" w:type="dxa"/>
            </w:tcMar>
            <w:vAlign w:val="bottom"/>
          </w:tcPr>
          <w:p w:rsidR="00CC2BA5" w:rsidRDefault="00CC2BA5" w:rsidP="00416E36">
            <w:pPr>
              <w:spacing w:line="360" w:lineRule="auto"/>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Cohen’s </w:t>
            </w:r>
            <w:r>
              <w:rPr>
                <w:rFonts w:ascii="Times New Roman" w:eastAsia="Times New Roman" w:hAnsi="Times New Roman" w:cs="Times New Roman"/>
                <w:b/>
                <w:i/>
                <w:sz w:val="24"/>
                <w:szCs w:val="24"/>
              </w:rPr>
              <w:t>d</w:t>
            </w:r>
            <w:r>
              <w:rPr>
                <w:rFonts w:ascii="Times New Roman" w:eastAsia="Times New Roman" w:hAnsi="Times New Roman" w:cs="Times New Roman"/>
                <w:b/>
                <w:sz w:val="24"/>
                <w:szCs w:val="24"/>
              </w:rPr>
              <w:t xml:space="preserve"> [95% CI]</w:t>
            </w:r>
          </w:p>
        </w:tc>
        <w:tc>
          <w:tcPr>
            <w:tcW w:w="1350" w:type="dxa"/>
            <w:tcBorders>
              <w:bottom w:val="single" w:sz="8" w:space="0" w:color="000000"/>
            </w:tcBorders>
            <w:tcMar>
              <w:top w:w="100" w:type="dxa"/>
              <w:left w:w="80" w:type="dxa"/>
              <w:bottom w:w="100" w:type="dxa"/>
              <w:right w:w="80" w:type="dxa"/>
            </w:tcMar>
            <w:vAlign w:val="bottom"/>
          </w:tcPr>
          <w:p w:rsidR="00CC2BA5" w:rsidRDefault="00CC2BA5" w:rsidP="00416E36">
            <w:pPr>
              <w:spacing w:line="360" w:lineRule="auto"/>
              <w:ind w:left="80"/>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p</w:t>
            </w:r>
            <w:r>
              <w:rPr>
                <w:rFonts w:ascii="Times New Roman" w:eastAsia="Times New Roman" w:hAnsi="Times New Roman" w:cs="Times New Roman"/>
                <w:b/>
                <w:sz w:val="24"/>
                <w:szCs w:val="24"/>
              </w:rPr>
              <w:t>-value</w:t>
            </w:r>
          </w:p>
        </w:tc>
        <w:tc>
          <w:tcPr>
            <w:tcW w:w="1237" w:type="dxa"/>
            <w:tcBorders>
              <w:bottom w:val="single" w:sz="8" w:space="0" w:color="000000"/>
            </w:tcBorders>
            <w:tcMar>
              <w:top w:w="100" w:type="dxa"/>
              <w:left w:w="80" w:type="dxa"/>
              <w:bottom w:w="100" w:type="dxa"/>
              <w:right w:w="80" w:type="dxa"/>
            </w:tcMar>
            <w:vAlign w:val="bottom"/>
          </w:tcPr>
          <w:p w:rsidR="00CC2BA5" w:rsidRDefault="00CC2BA5" w:rsidP="00416E36">
            <w:pPr>
              <w:spacing w:line="360" w:lineRule="auto"/>
              <w:ind w:left="80"/>
              <w:rPr>
                <w:rFonts w:ascii="Times New Roman" w:eastAsia="Times New Roman" w:hAnsi="Times New Roman" w:cs="Times New Roman"/>
                <w:b/>
                <w:sz w:val="24"/>
                <w:szCs w:val="24"/>
                <w:vertAlign w:val="subscript"/>
              </w:rPr>
            </w:pPr>
            <w:r>
              <w:rPr>
                <w:rFonts w:ascii="Times New Roman" w:eastAsia="Times New Roman" w:hAnsi="Times New Roman" w:cs="Times New Roman"/>
                <w:b/>
                <w:i/>
                <w:sz w:val="24"/>
                <w:szCs w:val="24"/>
              </w:rPr>
              <w:t>p</w:t>
            </w:r>
            <w:r>
              <w:rPr>
                <w:rFonts w:ascii="Times New Roman" w:eastAsia="Times New Roman" w:hAnsi="Times New Roman" w:cs="Times New Roman"/>
                <w:b/>
                <w:sz w:val="24"/>
                <w:szCs w:val="24"/>
                <w:vertAlign w:val="subscript"/>
              </w:rPr>
              <w:t>FDR</w:t>
            </w:r>
          </w:p>
        </w:tc>
        <w:tc>
          <w:tcPr>
            <w:tcW w:w="992" w:type="dxa"/>
            <w:tcBorders>
              <w:bottom w:val="single" w:sz="8" w:space="0" w:color="000000"/>
            </w:tcBorders>
            <w:tcMar>
              <w:top w:w="100" w:type="dxa"/>
              <w:left w:w="80" w:type="dxa"/>
              <w:bottom w:w="100" w:type="dxa"/>
              <w:right w:w="80" w:type="dxa"/>
            </w:tcMar>
          </w:tcPr>
          <w:p w:rsidR="00CC2BA5" w:rsidRDefault="00CC2BA5" w:rsidP="00416E36">
            <w:pPr>
              <w:spacing w:line="360" w:lineRule="auto"/>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t>N (OCD)</w:t>
            </w:r>
          </w:p>
        </w:tc>
        <w:tc>
          <w:tcPr>
            <w:tcW w:w="1378" w:type="dxa"/>
            <w:tcBorders>
              <w:bottom w:val="single" w:sz="8" w:space="0" w:color="000000"/>
            </w:tcBorders>
            <w:tcMar>
              <w:top w:w="100" w:type="dxa"/>
              <w:left w:w="80" w:type="dxa"/>
              <w:bottom w:w="100" w:type="dxa"/>
              <w:right w:w="80" w:type="dxa"/>
            </w:tcMar>
          </w:tcPr>
          <w:p w:rsidR="00CC2BA5" w:rsidRDefault="00CC2BA5" w:rsidP="00416E36">
            <w:pPr>
              <w:spacing w:line="360" w:lineRule="auto"/>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t>N (HC)</w:t>
            </w:r>
          </w:p>
        </w:tc>
      </w:tr>
      <w:tr w:rsidR="002E0327" w:rsidTr="00416E36">
        <w:trPr>
          <w:trHeight w:val="560"/>
        </w:trPr>
        <w:tc>
          <w:tcPr>
            <w:tcW w:w="1452" w:type="dxa"/>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Ventral</w:t>
            </w:r>
          </w:p>
        </w:tc>
        <w:tc>
          <w:tcPr>
            <w:tcW w:w="2616" w:type="dxa"/>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-0.122 [-0.183, -0.062]</w:t>
            </w:r>
          </w:p>
        </w:tc>
        <w:tc>
          <w:tcPr>
            <w:tcW w:w="1350" w:type="dxa"/>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6.99E-05</w:t>
            </w:r>
          </w:p>
        </w:tc>
        <w:tc>
          <w:tcPr>
            <w:tcW w:w="1237" w:type="dxa"/>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3.49E-04</w:t>
            </w:r>
          </w:p>
        </w:tc>
        <w:tc>
          <w:tcPr>
            <w:tcW w:w="992" w:type="dxa"/>
            <w:tcMar>
              <w:top w:w="100" w:type="dxa"/>
              <w:left w:w="80" w:type="dxa"/>
              <w:bottom w:w="100" w:type="dxa"/>
              <w:right w:w="80" w:type="dxa"/>
            </w:tcMar>
            <w:vAlign w:val="bottom"/>
          </w:tcPr>
          <w:p w:rsidR="002E0327" w:rsidRDefault="002E0327" w:rsidP="002E032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2200</w:t>
            </w:r>
          </w:p>
        </w:tc>
        <w:tc>
          <w:tcPr>
            <w:tcW w:w="1378" w:type="dxa"/>
            <w:tcMar>
              <w:top w:w="100" w:type="dxa"/>
              <w:left w:w="80" w:type="dxa"/>
              <w:bottom w:w="100" w:type="dxa"/>
              <w:right w:w="80" w:type="dxa"/>
            </w:tcMar>
            <w:vAlign w:val="bottom"/>
          </w:tcPr>
          <w:p w:rsidR="002E0327" w:rsidRDefault="002E0327" w:rsidP="002E032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2383</w:t>
            </w:r>
          </w:p>
        </w:tc>
      </w:tr>
      <w:tr w:rsidR="002E0327" w:rsidTr="00416E36">
        <w:trPr>
          <w:trHeight w:val="560"/>
        </w:trPr>
        <w:tc>
          <w:tcPr>
            <w:tcW w:w="1452" w:type="dxa"/>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Pulvinar</w:t>
            </w:r>
          </w:p>
        </w:tc>
        <w:tc>
          <w:tcPr>
            <w:tcW w:w="2616" w:type="dxa"/>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-0.071 [-0.150, 0.008]</w:t>
            </w:r>
          </w:p>
        </w:tc>
        <w:tc>
          <w:tcPr>
            <w:tcW w:w="1350" w:type="dxa"/>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0.078</w:t>
            </w:r>
          </w:p>
        </w:tc>
        <w:tc>
          <w:tcPr>
            <w:tcW w:w="1237" w:type="dxa"/>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0.097</w:t>
            </w:r>
          </w:p>
        </w:tc>
        <w:tc>
          <w:tcPr>
            <w:tcW w:w="992" w:type="dxa"/>
            <w:tcMar>
              <w:top w:w="100" w:type="dxa"/>
              <w:left w:w="80" w:type="dxa"/>
              <w:bottom w:w="100" w:type="dxa"/>
              <w:right w:w="80" w:type="dxa"/>
            </w:tcMar>
            <w:vAlign w:val="bottom"/>
          </w:tcPr>
          <w:p w:rsidR="002E0327" w:rsidRDefault="002E0327" w:rsidP="002E032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2211</w:t>
            </w:r>
          </w:p>
        </w:tc>
        <w:tc>
          <w:tcPr>
            <w:tcW w:w="1378" w:type="dxa"/>
            <w:tcMar>
              <w:top w:w="100" w:type="dxa"/>
              <w:left w:w="80" w:type="dxa"/>
              <w:bottom w:w="100" w:type="dxa"/>
              <w:right w:w="80" w:type="dxa"/>
            </w:tcMar>
            <w:vAlign w:val="bottom"/>
          </w:tcPr>
          <w:p w:rsidR="002E0327" w:rsidRDefault="002E0327" w:rsidP="002E032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2381</w:t>
            </w:r>
          </w:p>
        </w:tc>
      </w:tr>
      <w:tr w:rsidR="002E0327" w:rsidTr="00416E36">
        <w:trPr>
          <w:trHeight w:val="560"/>
        </w:trPr>
        <w:tc>
          <w:tcPr>
            <w:tcW w:w="1452" w:type="dxa"/>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Medial</w:t>
            </w:r>
          </w:p>
        </w:tc>
        <w:tc>
          <w:tcPr>
            <w:tcW w:w="2616" w:type="dxa"/>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-0.101 [-0.174, -0.028]</w:t>
            </w:r>
          </w:p>
        </w:tc>
        <w:tc>
          <w:tcPr>
            <w:tcW w:w="1350" w:type="dxa"/>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0.007</w:t>
            </w:r>
          </w:p>
        </w:tc>
        <w:tc>
          <w:tcPr>
            <w:tcW w:w="1237" w:type="dxa"/>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0.017</w:t>
            </w:r>
          </w:p>
        </w:tc>
        <w:tc>
          <w:tcPr>
            <w:tcW w:w="992" w:type="dxa"/>
            <w:tcMar>
              <w:top w:w="100" w:type="dxa"/>
              <w:left w:w="80" w:type="dxa"/>
              <w:bottom w:w="100" w:type="dxa"/>
              <w:right w:w="80" w:type="dxa"/>
            </w:tcMar>
            <w:vAlign w:val="bottom"/>
          </w:tcPr>
          <w:p w:rsidR="002E0327" w:rsidRDefault="002E0327" w:rsidP="002E032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2198</w:t>
            </w:r>
          </w:p>
        </w:tc>
        <w:tc>
          <w:tcPr>
            <w:tcW w:w="1378" w:type="dxa"/>
            <w:tcMar>
              <w:top w:w="100" w:type="dxa"/>
              <w:left w:w="80" w:type="dxa"/>
              <w:bottom w:w="100" w:type="dxa"/>
              <w:right w:w="80" w:type="dxa"/>
            </w:tcMar>
            <w:vAlign w:val="bottom"/>
          </w:tcPr>
          <w:p w:rsidR="002E0327" w:rsidRDefault="002E0327" w:rsidP="002E032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2390</w:t>
            </w:r>
          </w:p>
        </w:tc>
      </w:tr>
      <w:tr w:rsidR="002E0327" w:rsidTr="00416E36">
        <w:trPr>
          <w:trHeight w:val="560"/>
        </w:trPr>
        <w:tc>
          <w:tcPr>
            <w:tcW w:w="1452" w:type="dxa"/>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Lateral</w:t>
            </w:r>
          </w:p>
        </w:tc>
        <w:tc>
          <w:tcPr>
            <w:tcW w:w="2616" w:type="dxa"/>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-0.085 [-0.171, 0.002]</w:t>
            </w:r>
          </w:p>
        </w:tc>
        <w:tc>
          <w:tcPr>
            <w:tcW w:w="1350" w:type="dxa"/>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0.055</w:t>
            </w:r>
          </w:p>
        </w:tc>
        <w:tc>
          <w:tcPr>
            <w:tcW w:w="1237" w:type="dxa"/>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0.092</w:t>
            </w:r>
          </w:p>
        </w:tc>
        <w:tc>
          <w:tcPr>
            <w:tcW w:w="992" w:type="dxa"/>
            <w:tcMar>
              <w:top w:w="100" w:type="dxa"/>
              <w:left w:w="80" w:type="dxa"/>
              <w:bottom w:w="100" w:type="dxa"/>
              <w:right w:w="80" w:type="dxa"/>
            </w:tcMar>
            <w:vAlign w:val="bottom"/>
          </w:tcPr>
          <w:p w:rsidR="002E0327" w:rsidRDefault="002E0327" w:rsidP="002E032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2201</w:t>
            </w:r>
          </w:p>
        </w:tc>
        <w:tc>
          <w:tcPr>
            <w:tcW w:w="1378" w:type="dxa"/>
            <w:tcMar>
              <w:top w:w="100" w:type="dxa"/>
              <w:left w:w="80" w:type="dxa"/>
              <w:bottom w:w="100" w:type="dxa"/>
              <w:right w:w="80" w:type="dxa"/>
            </w:tcMar>
            <w:vAlign w:val="bottom"/>
          </w:tcPr>
          <w:p w:rsidR="002E0327" w:rsidRDefault="002E0327" w:rsidP="002E032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2402</w:t>
            </w:r>
          </w:p>
        </w:tc>
      </w:tr>
      <w:tr w:rsidR="002E0327" w:rsidTr="00416E36">
        <w:trPr>
          <w:trHeight w:val="575"/>
        </w:trPr>
        <w:tc>
          <w:tcPr>
            <w:tcW w:w="1452" w:type="dxa"/>
            <w:tcBorders>
              <w:bottom w:val="single" w:sz="8" w:space="0" w:color="000000"/>
            </w:tcBorders>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Anterior</w:t>
            </w:r>
          </w:p>
        </w:tc>
        <w:tc>
          <w:tcPr>
            <w:tcW w:w="2616" w:type="dxa"/>
            <w:tcBorders>
              <w:bottom w:val="single" w:sz="8" w:space="0" w:color="000000"/>
            </w:tcBorders>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-0.057 [-0.140, 0.026]</w:t>
            </w:r>
          </w:p>
        </w:tc>
        <w:tc>
          <w:tcPr>
            <w:tcW w:w="1350" w:type="dxa"/>
            <w:tcBorders>
              <w:bottom w:val="single" w:sz="8" w:space="0" w:color="000000"/>
            </w:tcBorders>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0.180</w:t>
            </w:r>
          </w:p>
        </w:tc>
        <w:tc>
          <w:tcPr>
            <w:tcW w:w="1237" w:type="dxa"/>
            <w:tcBorders>
              <w:bottom w:val="single" w:sz="8" w:space="0" w:color="000000"/>
            </w:tcBorders>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0.180</w:t>
            </w:r>
          </w:p>
        </w:tc>
        <w:tc>
          <w:tcPr>
            <w:tcW w:w="992" w:type="dxa"/>
            <w:tcBorders>
              <w:bottom w:val="single" w:sz="8" w:space="0" w:color="000000"/>
            </w:tcBorders>
            <w:tcMar>
              <w:top w:w="100" w:type="dxa"/>
              <w:left w:w="80" w:type="dxa"/>
              <w:bottom w:w="100" w:type="dxa"/>
              <w:right w:w="80" w:type="dxa"/>
            </w:tcMar>
            <w:vAlign w:val="bottom"/>
          </w:tcPr>
          <w:p w:rsidR="002E0327" w:rsidRDefault="002E0327" w:rsidP="002E032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2195</w:t>
            </w:r>
          </w:p>
        </w:tc>
        <w:tc>
          <w:tcPr>
            <w:tcW w:w="1378" w:type="dxa"/>
            <w:tcBorders>
              <w:bottom w:val="single" w:sz="8" w:space="0" w:color="000000"/>
            </w:tcBorders>
            <w:tcMar>
              <w:top w:w="100" w:type="dxa"/>
              <w:left w:w="80" w:type="dxa"/>
              <w:bottom w:w="100" w:type="dxa"/>
              <w:right w:w="80" w:type="dxa"/>
            </w:tcMar>
            <w:vAlign w:val="bottom"/>
          </w:tcPr>
          <w:p w:rsidR="002E0327" w:rsidRDefault="002E0327" w:rsidP="002E032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2400</w:t>
            </w:r>
          </w:p>
        </w:tc>
      </w:tr>
      <w:tr w:rsidR="002E0327" w:rsidTr="00416E36">
        <w:trPr>
          <w:trHeight w:val="575"/>
        </w:trPr>
        <w:tc>
          <w:tcPr>
            <w:tcW w:w="1452" w:type="dxa"/>
            <w:tcBorders>
              <w:bottom w:val="single" w:sz="8" w:space="0" w:color="000000"/>
            </w:tcBorders>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Whole Thal</w:t>
            </w:r>
          </w:p>
        </w:tc>
        <w:tc>
          <w:tcPr>
            <w:tcW w:w="2616" w:type="dxa"/>
            <w:tcBorders>
              <w:bottom w:val="single" w:sz="8" w:space="0" w:color="000000"/>
            </w:tcBorders>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-0.106 [-0.199, -0.014]</w:t>
            </w:r>
          </w:p>
        </w:tc>
        <w:tc>
          <w:tcPr>
            <w:tcW w:w="1350" w:type="dxa"/>
            <w:tcBorders>
              <w:bottom w:val="single" w:sz="8" w:space="0" w:color="000000"/>
            </w:tcBorders>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0.024</w:t>
            </w:r>
          </w:p>
        </w:tc>
        <w:tc>
          <w:tcPr>
            <w:tcW w:w="1237" w:type="dxa"/>
            <w:tcBorders>
              <w:bottom w:val="single" w:sz="8" w:space="0" w:color="000000"/>
            </w:tcBorders>
            <w:tcMar>
              <w:top w:w="100" w:type="dxa"/>
              <w:left w:w="80" w:type="dxa"/>
              <w:bottom w:w="100" w:type="dxa"/>
              <w:right w:w="80" w:type="dxa"/>
            </w:tcMar>
            <w:vAlign w:val="bottom"/>
          </w:tcPr>
          <w:p w:rsidR="002E0327" w:rsidRDefault="002E0327" w:rsidP="002E0327">
            <w:pPr>
              <w:spacing w:line="36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tcBorders>
              <w:bottom w:val="single" w:sz="8" w:space="0" w:color="000000"/>
            </w:tcBorders>
            <w:tcMar>
              <w:top w:w="100" w:type="dxa"/>
              <w:left w:w="80" w:type="dxa"/>
              <w:bottom w:w="100" w:type="dxa"/>
              <w:right w:w="80" w:type="dxa"/>
            </w:tcMar>
            <w:vAlign w:val="bottom"/>
          </w:tcPr>
          <w:p w:rsidR="002E0327" w:rsidRDefault="002E0327" w:rsidP="002E032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2265</w:t>
            </w:r>
          </w:p>
        </w:tc>
        <w:tc>
          <w:tcPr>
            <w:tcW w:w="1378" w:type="dxa"/>
            <w:tcBorders>
              <w:bottom w:val="single" w:sz="8" w:space="0" w:color="000000"/>
            </w:tcBorders>
            <w:tcMar>
              <w:top w:w="100" w:type="dxa"/>
              <w:left w:w="80" w:type="dxa"/>
              <w:bottom w:w="100" w:type="dxa"/>
              <w:right w:w="80" w:type="dxa"/>
            </w:tcMar>
            <w:vAlign w:val="bottom"/>
          </w:tcPr>
          <w:p w:rsidR="002E0327" w:rsidRDefault="002E0327" w:rsidP="002E0327">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2402</w:t>
            </w:r>
          </w:p>
        </w:tc>
      </w:tr>
    </w:tbl>
    <w:p w:rsidR="00CC2BA5" w:rsidRDefault="00CC2BA5" w:rsidP="00CC2BA5">
      <w:pPr>
        <w:spacing w:before="240" w:after="240" w:line="360" w:lineRule="auto"/>
        <w:rPr>
          <w:rFonts w:ascii="Times New Roman" w:eastAsia="Times New Roman" w:hAnsi="Times New Roman" w:cs="Times New Roman"/>
          <w:sz w:val="24"/>
          <w:szCs w:val="24"/>
          <w:lang w:val="en-GB"/>
        </w:rPr>
      </w:pPr>
      <w:r w:rsidRPr="00842E6C">
        <w:rPr>
          <w:rFonts w:ascii="Times New Roman" w:eastAsia="Times New Roman" w:hAnsi="Times New Roman" w:cs="Times New Roman"/>
          <w:sz w:val="24"/>
          <w:szCs w:val="24"/>
          <w:lang w:val="en-GB"/>
        </w:rPr>
        <w:t xml:space="preserve">Note: models were adjusted for age, sex, and intracranial volume; 95% CI = 95% Confidence Interval; FDR = False Discovery Rate; </w:t>
      </w:r>
      <w:proofErr w:type="spellStart"/>
      <w:r w:rsidRPr="00842E6C">
        <w:rPr>
          <w:rFonts w:ascii="Times New Roman" w:eastAsia="Times New Roman" w:hAnsi="Times New Roman" w:cs="Times New Roman"/>
          <w:sz w:val="24"/>
          <w:szCs w:val="24"/>
          <w:lang w:val="en-GB"/>
        </w:rPr>
        <w:t>Thal</w:t>
      </w:r>
      <w:proofErr w:type="spellEnd"/>
      <w:r w:rsidRPr="00842E6C">
        <w:rPr>
          <w:rFonts w:ascii="Times New Roman" w:eastAsia="Times New Roman" w:hAnsi="Times New Roman" w:cs="Times New Roman"/>
          <w:sz w:val="24"/>
          <w:szCs w:val="24"/>
          <w:lang w:val="en-GB"/>
        </w:rPr>
        <w:t xml:space="preserve"> = Thalamus</w:t>
      </w:r>
      <w:r>
        <w:rPr>
          <w:rFonts w:ascii="Times New Roman" w:eastAsia="Times New Roman" w:hAnsi="Times New Roman" w:cs="Times New Roman"/>
          <w:sz w:val="24"/>
          <w:szCs w:val="24"/>
          <w:lang w:val="en-GB"/>
        </w:rPr>
        <w:t>.</w:t>
      </w:r>
    </w:p>
    <w:p w:rsidR="00723CE9" w:rsidRDefault="00723CE9">
      <w:pPr>
        <w:rPr>
          <w:lang w:val="en-GB"/>
        </w:rPr>
      </w:pPr>
    </w:p>
    <w:p w:rsidR="00CC2BA5" w:rsidRDefault="00CC2BA5">
      <w:pPr>
        <w:rPr>
          <w:lang w:val="en-GB"/>
        </w:rPr>
      </w:pPr>
    </w:p>
    <w:p w:rsidR="00CC2BA5" w:rsidRPr="00CC2BA5" w:rsidRDefault="00CC2BA5" w:rsidP="00CC2BA5">
      <w:pPr>
        <w:spacing w:line="480" w:lineRule="auto"/>
        <w:rPr>
          <w:rFonts w:ascii="Times New Roman" w:hAnsi="Times New Roman" w:cs="Times New Roman"/>
          <w:b/>
          <w:sz w:val="24"/>
          <w:szCs w:val="24"/>
          <w:lang w:val="en-GB"/>
        </w:rPr>
      </w:pPr>
      <w:r w:rsidRPr="00CC2BA5">
        <w:rPr>
          <w:rFonts w:ascii="Times New Roman" w:hAnsi="Times New Roman" w:cs="Times New Roman"/>
          <w:b/>
          <w:sz w:val="24"/>
          <w:szCs w:val="24"/>
          <w:lang w:val="en-GB"/>
        </w:rPr>
        <w:lastRenderedPageBreak/>
        <w:t>REFERENCES</w:t>
      </w:r>
    </w:p>
    <w:p w:rsidR="00CC2BA5" w:rsidRPr="00CC2BA5" w:rsidRDefault="00CC2BA5" w:rsidP="00CC2BA5">
      <w:pPr>
        <w:spacing w:line="480" w:lineRule="auto"/>
        <w:rPr>
          <w:rFonts w:ascii="Times New Roman" w:hAnsi="Times New Roman" w:cs="Times New Roman"/>
          <w:b/>
          <w:sz w:val="24"/>
          <w:szCs w:val="24"/>
          <w:lang w:val="en-GB"/>
        </w:rPr>
      </w:pPr>
    </w:p>
    <w:p w:rsidR="00CC2BA5" w:rsidRPr="00CC2BA5" w:rsidRDefault="00CC2BA5" w:rsidP="00CC2BA5">
      <w:pPr>
        <w:spacing w:line="480" w:lineRule="auto"/>
        <w:rPr>
          <w:rFonts w:ascii="Times New Roman" w:hAnsi="Times New Roman" w:cs="Times New Roman"/>
          <w:b/>
          <w:sz w:val="24"/>
          <w:szCs w:val="24"/>
          <w:lang w:val="en-GB"/>
        </w:rPr>
      </w:pPr>
    </w:p>
    <w:p w:rsidR="00CC2BA5" w:rsidRPr="002E0327" w:rsidRDefault="00CC2BA5" w:rsidP="00CC2BA5">
      <w:pPr>
        <w:pStyle w:val="EndNoteBibliography"/>
        <w:spacing w:line="480" w:lineRule="auto"/>
        <w:rPr>
          <w:rFonts w:ascii="Times New Roman" w:hAnsi="Times New Roman" w:cs="Times New Roman"/>
          <w:sz w:val="24"/>
          <w:szCs w:val="24"/>
          <w:lang w:val="en-GB"/>
        </w:rPr>
      </w:pPr>
      <w:r w:rsidRPr="00CC2BA5">
        <w:rPr>
          <w:rFonts w:ascii="Times New Roman" w:hAnsi="Times New Roman" w:cs="Times New Roman"/>
          <w:b/>
          <w:sz w:val="24"/>
          <w:szCs w:val="24"/>
          <w:lang w:val="en-GB"/>
        </w:rPr>
        <w:fldChar w:fldCharType="begin"/>
      </w:r>
      <w:r w:rsidRPr="00CC2BA5">
        <w:rPr>
          <w:rFonts w:ascii="Times New Roman" w:hAnsi="Times New Roman" w:cs="Times New Roman"/>
          <w:b/>
          <w:sz w:val="24"/>
          <w:szCs w:val="24"/>
          <w:lang w:val="en-GB"/>
        </w:rPr>
        <w:instrText xml:space="preserve"> ADDIN EN.REFLIST </w:instrText>
      </w:r>
      <w:r w:rsidRPr="00CC2BA5">
        <w:rPr>
          <w:rFonts w:ascii="Times New Roman" w:hAnsi="Times New Roman" w:cs="Times New Roman"/>
          <w:b/>
          <w:sz w:val="24"/>
          <w:szCs w:val="24"/>
          <w:lang w:val="en-GB"/>
        </w:rPr>
        <w:fldChar w:fldCharType="separate"/>
      </w:r>
      <w:r w:rsidRPr="002E0327">
        <w:rPr>
          <w:rFonts w:ascii="Times New Roman" w:hAnsi="Times New Roman" w:cs="Times New Roman"/>
          <w:sz w:val="24"/>
          <w:szCs w:val="24"/>
          <w:lang w:val="en-GB"/>
        </w:rPr>
        <w:t>1.  R Core Team: R: A language and environment for statistical computing. R Foundation for Statistical Computing; 2020.</w:t>
      </w:r>
    </w:p>
    <w:p w:rsidR="00CC2BA5" w:rsidRPr="00CC2BA5" w:rsidRDefault="00CC2BA5" w:rsidP="00CC2BA5">
      <w:pPr>
        <w:pStyle w:val="EndNoteBibliography"/>
        <w:spacing w:line="480" w:lineRule="auto"/>
        <w:rPr>
          <w:rFonts w:ascii="Times New Roman" w:hAnsi="Times New Roman" w:cs="Times New Roman"/>
          <w:sz w:val="24"/>
          <w:szCs w:val="24"/>
        </w:rPr>
      </w:pPr>
      <w:r w:rsidRPr="002E0327">
        <w:rPr>
          <w:rFonts w:ascii="Times New Roman" w:hAnsi="Times New Roman" w:cs="Times New Roman"/>
          <w:sz w:val="24"/>
          <w:szCs w:val="24"/>
          <w:lang w:val="en-GB"/>
        </w:rPr>
        <w:t xml:space="preserve">2.  Viechtbauer W. Conducting Meta-Analyses in R with the metafor Package. </w:t>
      </w:r>
      <w:r w:rsidRPr="00CC2BA5">
        <w:rPr>
          <w:rFonts w:ascii="Times New Roman" w:hAnsi="Times New Roman" w:cs="Times New Roman"/>
          <w:sz w:val="24"/>
          <w:szCs w:val="24"/>
        </w:rPr>
        <w:t>Journal of Statistical Software; Vol 1, Issue 3 (2010). 2010.</w:t>
      </w:r>
    </w:p>
    <w:p w:rsidR="00CC2BA5" w:rsidRPr="00CC2BA5" w:rsidRDefault="00CC2BA5" w:rsidP="00CC2BA5">
      <w:pPr>
        <w:spacing w:line="480" w:lineRule="auto"/>
        <w:rPr>
          <w:b/>
          <w:lang w:val="en-GB"/>
        </w:rPr>
      </w:pPr>
      <w:r w:rsidRPr="00CC2BA5">
        <w:rPr>
          <w:rFonts w:ascii="Times New Roman" w:hAnsi="Times New Roman" w:cs="Times New Roman"/>
          <w:b/>
          <w:sz w:val="24"/>
          <w:szCs w:val="24"/>
          <w:lang w:val="en-GB"/>
        </w:rPr>
        <w:fldChar w:fldCharType="end"/>
      </w:r>
    </w:p>
    <w:sectPr w:rsidR="00CC2BA5" w:rsidRPr="00CC2BA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Amer J Psychiatry Copy&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rtrrwrx4srd26e0zeoxzwaqsez0wsa9fwtf&quot;&gt;Analysis1&lt;record-ids&gt;&lt;item&gt;361&lt;/item&gt;&lt;item&gt;362&lt;/item&gt;&lt;/record-ids&gt;&lt;/item&gt;&lt;/Libraries&gt;"/>
  </w:docVars>
  <w:rsids>
    <w:rsidRoot w:val="00CC2BA5"/>
    <w:rsid w:val="002E0327"/>
    <w:rsid w:val="004F0FEE"/>
    <w:rsid w:val="00723CE9"/>
    <w:rsid w:val="00C015AA"/>
    <w:rsid w:val="00CC2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7FC606-901E-4FB9-B6EF-8BF70466B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CC2BA5"/>
    <w:pPr>
      <w:spacing w:after="0"/>
    </w:pPr>
    <w:rPr>
      <w:rFonts w:ascii="Arial" w:eastAsia="Arial" w:hAnsi="Arial" w:cs="Arial"/>
      <w:lang w:va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CC2BA5"/>
    <w:pPr>
      <w:spacing w:after="0" w:line="240" w:lineRule="auto"/>
    </w:pPr>
  </w:style>
  <w:style w:type="character" w:customStyle="1" w:styleId="GeenafstandChar">
    <w:name w:val="Geen afstand Char"/>
    <w:basedOn w:val="Standaardalinea-lettertype"/>
    <w:link w:val="Geenafstand"/>
    <w:uiPriority w:val="1"/>
    <w:rsid w:val="00CC2BA5"/>
  </w:style>
  <w:style w:type="paragraph" w:styleId="Ballontekst">
    <w:name w:val="Balloon Text"/>
    <w:basedOn w:val="Standaard"/>
    <w:link w:val="BallontekstChar"/>
    <w:uiPriority w:val="99"/>
    <w:semiHidden/>
    <w:unhideWhenUsed/>
    <w:rsid w:val="00CC2BA5"/>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C2BA5"/>
    <w:rPr>
      <w:rFonts w:ascii="Segoe UI" w:eastAsia="Arial" w:hAnsi="Segoe UI" w:cs="Segoe UI"/>
      <w:sz w:val="18"/>
      <w:szCs w:val="18"/>
      <w:lang w:val="nl" w:eastAsia="nl-NL"/>
    </w:rPr>
  </w:style>
  <w:style w:type="paragraph" w:customStyle="1" w:styleId="EndNoteBibliographyTitle">
    <w:name w:val="EndNote Bibliography Title"/>
    <w:basedOn w:val="Standaard"/>
    <w:link w:val="EndNoteBibliographyTitleChar"/>
    <w:rsid w:val="00CC2BA5"/>
    <w:pPr>
      <w:jc w:val="center"/>
    </w:pPr>
    <w:rPr>
      <w:noProof/>
      <w:lang w:val="nl-NL"/>
    </w:rPr>
  </w:style>
  <w:style w:type="character" w:customStyle="1" w:styleId="EndNoteBibliographyTitleChar">
    <w:name w:val="EndNote Bibliography Title Char"/>
    <w:basedOn w:val="Standaardalinea-lettertype"/>
    <w:link w:val="EndNoteBibliographyTitle"/>
    <w:rsid w:val="00CC2BA5"/>
    <w:rPr>
      <w:rFonts w:ascii="Arial" w:eastAsia="Arial" w:hAnsi="Arial" w:cs="Arial"/>
      <w:noProof/>
      <w:lang w:val="nl-NL" w:eastAsia="nl-NL"/>
    </w:rPr>
  </w:style>
  <w:style w:type="paragraph" w:customStyle="1" w:styleId="EndNoteBibliography">
    <w:name w:val="EndNote Bibliography"/>
    <w:basedOn w:val="Standaard"/>
    <w:link w:val="EndNoteBibliographyChar"/>
    <w:rsid w:val="00CC2BA5"/>
    <w:pPr>
      <w:spacing w:line="240" w:lineRule="auto"/>
    </w:pPr>
    <w:rPr>
      <w:noProof/>
      <w:lang w:val="nl-NL"/>
    </w:rPr>
  </w:style>
  <w:style w:type="character" w:customStyle="1" w:styleId="EndNoteBibliographyChar">
    <w:name w:val="EndNote Bibliography Char"/>
    <w:basedOn w:val="Standaardalinea-lettertype"/>
    <w:link w:val="EndNoteBibliography"/>
    <w:rsid w:val="00CC2BA5"/>
    <w:rPr>
      <w:rFonts w:ascii="Arial" w:eastAsia="Arial" w:hAnsi="Arial" w:cs="Arial"/>
      <w:noProof/>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693</Words>
  <Characters>3812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Erasmus MC</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C.J. Weeland</dc:creator>
  <cp:keywords/>
  <dc:description/>
  <cp:lastModifiedBy>Cees Weeland</cp:lastModifiedBy>
  <cp:revision>3</cp:revision>
  <dcterms:created xsi:type="dcterms:W3CDTF">2021-08-05T12:10:00Z</dcterms:created>
  <dcterms:modified xsi:type="dcterms:W3CDTF">2021-11-25T13:30:00Z</dcterms:modified>
</cp:coreProperties>
</file>