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A828" w14:textId="77777777" w:rsidR="0015230A" w:rsidRPr="000A5A49" w:rsidRDefault="0015230A" w:rsidP="0015230A">
      <w:pPr>
        <w:pStyle w:val="Bibliography"/>
        <w:ind w:left="0"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0A5A49">
        <w:rPr>
          <w:rFonts w:ascii="Times New Roman" w:hAnsi="Times New Roman" w:cs="Times New Roman"/>
          <w:b/>
          <w:bCs/>
          <w:color w:val="000000" w:themeColor="text1"/>
        </w:rPr>
        <w:t>Figure Legend</w:t>
      </w:r>
    </w:p>
    <w:p w14:paraId="11DEEF5C" w14:textId="77777777" w:rsidR="0015230A" w:rsidRPr="000A5A49" w:rsidRDefault="0015230A" w:rsidP="0015230A">
      <w:pPr>
        <w:spacing w:line="480" w:lineRule="auto"/>
        <w:rPr>
          <w:b/>
          <w:bCs/>
          <w:color w:val="000000" w:themeColor="text1"/>
        </w:rPr>
      </w:pPr>
      <w:r w:rsidRPr="000A5A49">
        <w:rPr>
          <w:b/>
          <w:bCs/>
          <w:color w:val="000000" w:themeColor="text1"/>
        </w:rPr>
        <w:t>Supplemental Figure 1.</w:t>
      </w:r>
    </w:p>
    <w:p w14:paraId="30915452" w14:textId="77777777" w:rsidR="0015230A" w:rsidRPr="000A5A49" w:rsidRDefault="0015230A" w:rsidP="0015230A">
      <w:pPr>
        <w:rPr>
          <w:color w:val="000000" w:themeColor="text1"/>
        </w:rPr>
      </w:pPr>
      <w:r w:rsidRPr="000A5A49">
        <w:rPr>
          <w:color w:val="000000" w:themeColor="text1"/>
        </w:rPr>
        <w:t>Description of exclusion process.</w:t>
      </w:r>
    </w:p>
    <w:p w14:paraId="525C9498" w14:textId="77777777" w:rsidR="0015230A" w:rsidRPr="000A5A49" w:rsidRDefault="0015230A" w:rsidP="0015230A">
      <w:pPr>
        <w:rPr>
          <w:color w:val="000000" w:themeColor="text1"/>
        </w:rPr>
      </w:pPr>
    </w:p>
    <w:p w14:paraId="44BD7E02" w14:textId="77777777" w:rsidR="0015230A" w:rsidRPr="000A5A49" w:rsidRDefault="0015230A" w:rsidP="0015230A">
      <w:pPr>
        <w:rPr>
          <w:b/>
          <w:bCs/>
          <w:color w:val="000000" w:themeColor="text1"/>
        </w:rPr>
      </w:pPr>
      <w:r w:rsidRPr="000A5A49">
        <w:rPr>
          <w:b/>
          <w:bCs/>
          <w:color w:val="000000" w:themeColor="text1"/>
        </w:rPr>
        <w:t>Supplemental Figure 2.</w:t>
      </w:r>
    </w:p>
    <w:p w14:paraId="3497F70E" w14:textId="77777777" w:rsidR="0015230A" w:rsidRPr="000A5A49" w:rsidRDefault="0015230A" w:rsidP="0015230A">
      <w:pPr>
        <w:rPr>
          <w:color w:val="000000" w:themeColor="text1"/>
        </w:rPr>
      </w:pPr>
    </w:p>
    <w:p w14:paraId="44EDB63E" w14:textId="77777777" w:rsidR="0015230A" w:rsidRPr="000A5A49" w:rsidRDefault="0015230A" w:rsidP="0015230A">
      <w:pPr>
        <w:rPr>
          <w:color w:val="000000" w:themeColor="text1"/>
        </w:rPr>
      </w:pPr>
      <w:r w:rsidRPr="000A5A49">
        <w:rPr>
          <w:color w:val="000000" w:themeColor="text1"/>
        </w:rPr>
        <w:t xml:space="preserve">Panel A. Results from significant ANCOVA analyses testing differences between blast groups on </w:t>
      </w:r>
      <w:proofErr w:type="spellStart"/>
      <w:r w:rsidRPr="000A5A49">
        <w:rPr>
          <w:color w:val="000000" w:themeColor="text1"/>
        </w:rPr>
        <w:t>residualized</w:t>
      </w:r>
      <w:proofErr w:type="spellEnd"/>
      <w:r w:rsidRPr="000A5A49">
        <w:rPr>
          <w:color w:val="000000" w:themeColor="text1"/>
        </w:rPr>
        <w:t xml:space="preserve"> values for log transformed (</w:t>
      </w:r>
      <w:proofErr w:type="spellStart"/>
      <w:r w:rsidRPr="000A5A49">
        <w:rPr>
          <w:color w:val="000000" w:themeColor="text1"/>
        </w:rPr>
        <w:t>pg</w:t>
      </w:r>
      <w:proofErr w:type="spellEnd"/>
      <w:r w:rsidRPr="000A5A49">
        <w:rPr>
          <w:color w:val="000000" w:themeColor="text1"/>
        </w:rPr>
        <w:t xml:space="preserve">/mL) GFAP after controlling for age, sex, and number of close blasts. This data is also provided in Table 2. No Blast refers to participants with no history of blast (n = 120) and Close blast refers to participants who have exposure to blasts within 10 meters (n = 234). Significant values reflect </w:t>
      </w:r>
      <w:proofErr w:type="spellStart"/>
      <w:r w:rsidRPr="000A5A49">
        <w:rPr>
          <w:color w:val="000000" w:themeColor="text1"/>
        </w:rPr>
        <w:t>Benjamini</w:t>
      </w:r>
      <w:proofErr w:type="spellEnd"/>
      <w:r w:rsidRPr="000A5A49">
        <w:rPr>
          <w:color w:val="000000" w:themeColor="text1"/>
        </w:rPr>
        <w:t>-Hochberg correction for multiple comparisons. Error bars reflect standard error.</w:t>
      </w:r>
    </w:p>
    <w:p w14:paraId="6E754069" w14:textId="77777777" w:rsidR="0015230A" w:rsidRPr="000A5A49" w:rsidRDefault="0015230A" w:rsidP="0015230A">
      <w:pPr>
        <w:rPr>
          <w:color w:val="000000" w:themeColor="text1"/>
        </w:rPr>
      </w:pPr>
    </w:p>
    <w:p w14:paraId="2334FED2" w14:textId="77777777" w:rsidR="0015230A" w:rsidRPr="000A5A49" w:rsidRDefault="0015230A" w:rsidP="0015230A">
      <w:pPr>
        <w:rPr>
          <w:color w:val="000000" w:themeColor="text1"/>
        </w:rPr>
      </w:pPr>
      <w:r w:rsidRPr="000A5A49">
        <w:rPr>
          <w:color w:val="000000" w:themeColor="text1"/>
        </w:rPr>
        <w:t xml:space="preserve">Panel B. Box plot with scatter plot overlay represents log transformed, unadjusted data grouped by no blast and close blast exposure. Error bars reflect the 95% confidence interval. </w:t>
      </w:r>
    </w:p>
    <w:p w14:paraId="43208FBC" w14:textId="77777777" w:rsidR="0015230A" w:rsidRPr="000A5A49" w:rsidRDefault="0015230A" w:rsidP="0015230A">
      <w:pPr>
        <w:rPr>
          <w:color w:val="000000" w:themeColor="text1"/>
        </w:rPr>
      </w:pPr>
    </w:p>
    <w:p w14:paraId="53370A25" w14:textId="77777777" w:rsidR="0015230A" w:rsidRPr="000A5A49" w:rsidRDefault="0015230A" w:rsidP="0015230A">
      <w:pPr>
        <w:rPr>
          <w:b/>
          <w:bCs/>
          <w:color w:val="000000" w:themeColor="text1"/>
        </w:rPr>
      </w:pPr>
      <w:r w:rsidRPr="000A5A49">
        <w:rPr>
          <w:b/>
          <w:bCs/>
          <w:color w:val="000000" w:themeColor="text1"/>
        </w:rPr>
        <w:t>Supplemental Figure 3.</w:t>
      </w:r>
    </w:p>
    <w:p w14:paraId="018D0809" w14:textId="77777777" w:rsidR="0015230A" w:rsidRPr="000A5A49" w:rsidRDefault="0015230A" w:rsidP="0015230A">
      <w:pPr>
        <w:rPr>
          <w:color w:val="000000" w:themeColor="text1"/>
        </w:rPr>
      </w:pPr>
    </w:p>
    <w:p w14:paraId="1A79E58A" w14:textId="77777777" w:rsidR="0015230A" w:rsidRPr="000A5A49" w:rsidRDefault="0015230A" w:rsidP="0015230A">
      <w:pPr>
        <w:rPr>
          <w:color w:val="000000" w:themeColor="text1"/>
        </w:rPr>
      </w:pPr>
      <w:r w:rsidRPr="000A5A49">
        <w:rPr>
          <w:color w:val="000000" w:themeColor="text1"/>
        </w:rPr>
        <w:t xml:space="preserve">Panel A. Results from significant ANCOVA analyses testing differences between blast and mTBI groups on </w:t>
      </w:r>
      <w:proofErr w:type="spellStart"/>
      <w:r w:rsidRPr="000A5A49">
        <w:rPr>
          <w:color w:val="000000" w:themeColor="text1"/>
        </w:rPr>
        <w:t>residualized</w:t>
      </w:r>
      <w:proofErr w:type="spellEnd"/>
      <w:r w:rsidRPr="000A5A49">
        <w:rPr>
          <w:color w:val="000000" w:themeColor="text1"/>
        </w:rPr>
        <w:t xml:space="preserve"> values for log transformed (</w:t>
      </w:r>
      <w:proofErr w:type="spellStart"/>
      <w:r w:rsidRPr="000A5A49">
        <w:rPr>
          <w:color w:val="000000" w:themeColor="text1"/>
        </w:rPr>
        <w:t>pg</w:t>
      </w:r>
      <w:proofErr w:type="spellEnd"/>
      <w:r w:rsidRPr="000A5A49">
        <w:rPr>
          <w:color w:val="000000" w:themeColor="text1"/>
        </w:rPr>
        <w:t xml:space="preserve">/mL) IL6, </w:t>
      </w:r>
      <w:proofErr w:type="spellStart"/>
      <w:r w:rsidRPr="000A5A49">
        <w:rPr>
          <w:color w:val="000000" w:themeColor="text1"/>
        </w:rPr>
        <w:t>TNFa</w:t>
      </w:r>
      <w:proofErr w:type="spellEnd"/>
      <w:r w:rsidRPr="000A5A49">
        <w:rPr>
          <w:color w:val="000000" w:themeColor="text1"/>
        </w:rPr>
        <w:t xml:space="preserve">, and </w:t>
      </w:r>
      <w:proofErr w:type="spellStart"/>
      <w:r w:rsidRPr="000A5A49">
        <w:rPr>
          <w:color w:val="000000" w:themeColor="text1"/>
        </w:rPr>
        <w:t>Eotaxin</w:t>
      </w:r>
      <w:proofErr w:type="spellEnd"/>
      <w:r w:rsidRPr="000A5A49">
        <w:rPr>
          <w:color w:val="000000" w:themeColor="text1"/>
        </w:rPr>
        <w:t xml:space="preserve"> after controlling for age, sex, and number of close blasts or number of </w:t>
      </w:r>
      <w:proofErr w:type="spellStart"/>
      <w:r w:rsidRPr="000A5A49">
        <w:rPr>
          <w:color w:val="000000" w:themeColor="text1"/>
        </w:rPr>
        <w:t>mTBIs</w:t>
      </w:r>
      <w:proofErr w:type="spellEnd"/>
      <w:r w:rsidRPr="000A5A49">
        <w:rPr>
          <w:color w:val="000000" w:themeColor="text1"/>
        </w:rPr>
        <w:t>. This data is also provided in Table 2 and 3. No Blast refers to participants with no history of blast (</w:t>
      </w:r>
      <w:r w:rsidRPr="000A5A49">
        <w:rPr>
          <w:i/>
          <w:iCs/>
          <w:color w:val="000000" w:themeColor="text1"/>
        </w:rPr>
        <w:t xml:space="preserve">n </w:t>
      </w:r>
      <w:r w:rsidRPr="000A5A49">
        <w:rPr>
          <w:color w:val="000000" w:themeColor="text1"/>
        </w:rPr>
        <w:t>= 120) and Close blast refers to participants who have exposure to blasts within 10 meters (</w:t>
      </w:r>
      <w:r w:rsidRPr="000A5A49">
        <w:rPr>
          <w:i/>
          <w:iCs/>
          <w:color w:val="000000" w:themeColor="text1"/>
        </w:rPr>
        <w:t>n</w:t>
      </w:r>
      <w:r w:rsidRPr="000A5A49">
        <w:rPr>
          <w:color w:val="000000" w:themeColor="text1"/>
        </w:rPr>
        <w:t xml:space="preserve"> = 234). Military mTBI (</w:t>
      </w:r>
      <w:r w:rsidRPr="000A5A49">
        <w:rPr>
          <w:i/>
          <w:iCs/>
          <w:color w:val="000000" w:themeColor="text1"/>
        </w:rPr>
        <w:t>n</w:t>
      </w:r>
      <w:r w:rsidRPr="000A5A49">
        <w:rPr>
          <w:color w:val="000000" w:themeColor="text1"/>
        </w:rPr>
        <w:t xml:space="preserve"> = 247) refers to individuals who experienced at least one mTBI during military service and Non-Military mTBI (</w:t>
      </w:r>
      <w:r w:rsidRPr="000A5A49">
        <w:rPr>
          <w:i/>
          <w:iCs/>
          <w:color w:val="000000" w:themeColor="text1"/>
        </w:rPr>
        <w:t>n</w:t>
      </w:r>
      <w:r w:rsidRPr="000A5A49">
        <w:rPr>
          <w:color w:val="000000" w:themeColor="text1"/>
        </w:rPr>
        <w:t xml:space="preserve"> = 303) refers to individuals with no mTBI or those who experienced at least one mTBI pre- or post-deployment. No mTBI (</w:t>
      </w:r>
      <w:r w:rsidRPr="000A5A49">
        <w:rPr>
          <w:i/>
          <w:iCs/>
          <w:color w:val="000000" w:themeColor="text1"/>
        </w:rPr>
        <w:t>n</w:t>
      </w:r>
      <w:r w:rsidRPr="000A5A49">
        <w:rPr>
          <w:color w:val="000000" w:themeColor="text1"/>
        </w:rPr>
        <w:t xml:space="preserve"> = 170) refers to individuals with no history of mTBI, Blunt mTBI (</w:t>
      </w:r>
      <w:r w:rsidRPr="000A5A49">
        <w:rPr>
          <w:i/>
          <w:iCs/>
          <w:color w:val="000000" w:themeColor="text1"/>
        </w:rPr>
        <w:t>n</w:t>
      </w:r>
      <w:r w:rsidRPr="000A5A49">
        <w:rPr>
          <w:color w:val="000000" w:themeColor="text1"/>
        </w:rPr>
        <w:t xml:space="preserve"> = 224) refers to individuals who experienced at least one blunt-injury related mTBI, and Blast mTBI (</w:t>
      </w:r>
      <w:r w:rsidRPr="000A5A49">
        <w:rPr>
          <w:i/>
          <w:iCs/>
          <w:color w:val="000000" w:themeColor="text1"/>
        </w:rPr>
        <w:t>n</w:t>
      </w:r>
      <w:r w:rsidRPr="000A5A49">
        <w:rPr>
          <w:color w:val="000000" w:themeColor="text1"/>
        </w:rPr>
        <w:t xml:space="preserve"> = 156) refers to individuals who have experienced at least one blast-injury related mTBI. Significant values reflect </w:t>
      </w:r>
      <w:proofErr w:type="spellStart"/>
      <w:r w:rsidRPr="000A5A49">
        <w:rPr>
          <w:color w:val="000000" w:themeColor="text1"/>
        </w:rPr>
        <w:t>Benjamini</w:t>
      </w:r>
      <w:proofErr w:type="spellEnd"/>
      <w:r w:rsidRPr="000A5A49">
        <w:rPr>
          <w:color w:val="000000" w:themeColor="text1"/>
        </w:rPr>
        <w:t>-Hochberg correction for multiple comparisons. Error bars reflect standard error.</w:t>
      </w:r>
    </w:p>
    <w:p w14:paraId="51678F50" w14:textId="77777777" w:rsidR="0015230A" w:rsidRPr="000A5A49" w:rsidRDefault="0015230A" w:rsidP="0015230A">
      <w:pPr>
        <w:rPr>
          <w:color w:val="000000" w:themeColor="text1"/>
        </w:rPr>
      </w:pPr>
    </w:p>
    <w:p w14:paraId="0CF1CD8A" w14:textId="77777777" w:rsidR="0015230A" w:rsidRPr="000A5A49" w:rsidRDefault="0015230A" w:rsidP="0015230A">
      <w:pPr>
        <w:rPr>
          <w:color w:val="000000" w:themeColor="text1"/>
        </w:rPr>
      </w:pPr>
      <w:r w:rsidRPr="000A5A49">
        <w:rPr>
          <w:color w:val="000000" w:themeColor="text1"/>
        </w:rPr>
        <w:t xml:space="preserve">Panel B. Box plot with scatter plot overlay represents log transformed, unadjusted data grouped by blast exposure, military mTBI, and mechanism of injury groups. Error bars reflect the 95% confidence interval. </w:t>
      </w:r>
    </w:p>
    <w:p w14:paraId="3366DE48" w14:textId="77777777" w:rsidR="0015230A" w:rsidRPr="000A5A49" w:rsidRDefault="0015230A" w:rsidP="0015230A">
      <w:pPr>
        <w:rPr>
          <w:color w:val="000000" w:themeColor="text1"/>
        </w:rPr>
      </w:pPr>
    </w:p>
    <w:p w14:paraId="0C6A3E03" w14:textId="77777777" w:rsidR="0015230A" w:rsidRPr="000A5A49" w:rsidRDefault="0015230A" w:rsidP="0015230A">
      <w:pPr>
        <w:rPr>
          <w:b/>
          <w:bCs/>
          <w:color w:val="000000" w:themeColor="text1"/>
        </w:rPr>
      </w:pPr>
      <w:r w:rsidRPr="000A5A49">
        <w:rPr>
          <w:b/>
          <w:bCs/>
          <w:color w:val="000000" w:themeColor="text1"/>
        </w:rPr>
        <w:t>Supplemental Figure 4.</w:t>
      </w:r>
    </w:p>
    <w:p w14:paraId="62D9A200" w14:textId="77777777" w:rsidR="0015230A" w:rsidRPr="000A5A49" w:rsidRDefault="0015230A" w:rsidP="0015230A">
      <w:pPr>
        <w:rPr>
          <w:color w:val="000000" w:themeColor="text1"/>
        </w:rPr>
      </w:pPr>
    </w:p>
    <w:p w14:paraId="7F8AC522" w14:textId="6513FDB2" w:rsidR="0015230A" w:rsidRPr="000A5A49" w:rsidRDefault="0015230A" w:rsidP="0015230A">
      <w:pPr>
        <w:rPr>
          <w:color w:val="000000" w:themeColor="text1"/>
        </w:rPr>
      </w:pPr>
      <w:r w:rsidRPr="000A5A49">
        <w:rPr>
          <w:color w:val="000000" w:themeColor="text1"/>
        </w:rPr>
        <w:t xml:space="preserve">Panel A. Results from Supplemental ANCOVA analyses between blast groups and </w:t>
      </w:r>
      <w:r w:rsidR="00784F35">
        <w:rPr>
          <w:color w:val="000000" w:themeColor="text1"/>
        </w:rPr>
        <w:t>TBI mechanism</w:t>
      </w:r>
      <w:r w:rsidRPr="000A5A49">
        <w:rPr>
          <w:color w:val="000000" w:themeColor="text1"/>
        </w:rPr>
        <w:t xml:space="preserve"> groups on </w:t>
      </w:r>
      <w:proofErr w:type="spellStart"/>
      <w:r w:rsidRPr="000A5A49">
        <w:rPr>
          <w:color w:val="000000" w:themeColor="text1"/>
        </w:rPr>
        <w:t>residualized</w:t>
      </w:r>
      <w:proofErr w:type="spellEnd"/>
      <w:r w:rsidRPr="000A5A49">
        <w:rPr>
          <w:color w:val="000000" w:themeColor="text1"/>
        </w:rPr>
        <w:t xml:space="preserve"> values of log transformed </w:t>
      </w:r>
      <w:r w:rsidR="00784F35">
        <w:rPr>
          <w:color w:val="000000" w:themeColor="text1"/>
        </w:rPr>
        <w:t>NSE, total tau, and IL-6</w:t>
      </w:r>
      <w:r w:rsidRPr="000A5A49">
        <w:rPr>
          <w:color w:val="000000" w:themeColor="text1"/>
        </w:rPr>
        <w:t xml:space="preserve"> after controlling for age, sex, and number of blasts</w:t>
      </w:r>
      <w:r w:rsidR="00784F35">
        <w:rPr>
          <w:color w:val="000000" w:themeColor="text1"/>
        </w:rPr>
        <w:t xml:space="preserve"> or </w:t>
      </w:r>
      <w:proofErr w:type="spellStart"/>
      <w:r w:rsidR="00784F35">
        <w:rPr>
          <w:color w:val="000000" w:themeColor="text1"/>
        </w:rPr>
        <w:t>mTBIs</w:t>
      </w:r>
      <w:proofErr w:type="spellEnd"/>
      <w:r w:rsidRPr="000A5A49">
        <w:rPr>
          <w:color w:val="000000" w:themeColor="text1"/>
        </w:rPr>
        <w:t>. No Blast refers to participants with no history of blast (</w:t>
      </w:r>
      <w:r w:rsidRPr="000A5A49">
        <w:rPr>
          <w:i/>
          <w:iCs/>
          <w:color w:val="000000" w:themeColor="text1"/>
        </w:rPr>
        <w:t xml:space="preserve">n </w:t>
      </w:r>
      <w:r w:rsidRPr="000A5A49">
        <w:rPr>
          <w:color w:val="000000" w:themeColor="text1"/>
        </w:rPr>
        <w:t>= 120) and Close Blast (</w:t>
      </w:r>
      <w:r w:rsidRPr="000A5A49">
        <w:rPr>
          <w:i/>
          <w:iCs/>
          <w:color w:val="000000" w:themeColor="text1"/>
        </w:rPr>
        <w:t>n</w:t>
      </w:r>
      <w:r w:rsidRPr="000A5A49">
        <w:rPr>
          <w:color w:val="000000" w:themeColor="text1"/>
        </w:rPr>
        <w:t xml:space="preserve"> = 234) refers to individuals who have blast exposure between 0 - 10 meters.</w:t>
      </w:r>
      <w:r w:rsidR="00784F35">
        <w:rPr>
          <w:color w:val="000000" w:themeColor="text1"/>
        </w:rPr>
        <w:t xml:space="preserve"> </w:t>
      </w:r>
      <w:r w:rsidR="00784F35" w:rsidRPr="000A5A49">
        <w:rPr>
          <w:color w:val="000000" w:themeColor="text1"/>
        </w:rPr>
        <w:t>No mTBI (</w:t>
      </w:r>
      <w:r w:rsidR="00784F35" w:rsidRPr="000A5A49">
        <w:rPr>
          <w:i/>
          <w:iCs/>
          <w:color w:val="000000" w:themeColor="text1"/>
        </w:rPr>
        <w:t>n</w:t>
      </w:r>
      <w:r w:rsidR="00784F35" w:rsidRPr="000A5A49">
        <w:rPr>
          <w:color w:val="000000" w:themeColor="text1"/>
        </w:rPr>
        <w:t xml:space="preserve"> = 170) refers to individuals with no history of mTBI, Blunt mTBI (</w:t>
      </w:r>
      <w:r w:rsidR="00784F35" w:rsidRPr="000A5A49">
        <w:rPr>
          <w:i/>
          <w:iCs/>
          <w:color w:val="000000" w:themeColor="text1"/>
        </w:rPr>
        <w:t>n</w:t>
      </w:r>
      <w:r w:rsidR="00784F35" w:rsidRPr="000A5A49">
        <w:rPr>
          <w:color w:val="000000" w:themeColor="text1"/>
        </w:rPr>
        <w:t xml:space="preserve"> = 224) refers to individuals who experienced at least one blunt-injury related mTBI, and Blast mTBI (</w:t>
      </w:r>
      <w:r w:rsidR="00784F35" w:rsidRPr="000A5A49">
        <w:rPr>
          <w:i/>
          <w:iCs/>
          <w:color w:val="000000" w:themeColor="text1"/>
        </w:rPr>
        <w:t>n</w:t>
      </w:r>
      <w:r w:rsidR="00784F35" w:rsidRPr="000A5A49">
        <w:rPr>
          <w:color w:val="000000" w:themeColor="text1"/>
        </w:rPr>
        <w:t xml:space="preserve"> = 156) refers to individuals who have experienced at least one blast-injury related mTBI. Error bars reflect standard error.</w:t>
      </w:r>
    </w:p>
    <w:p w14:paraId="09B9B5D9" w14:textId="1710443E" w:rsidR="0015230A" w:rsidRPr="000A5A49" w:rsidRDefault="0015230A" w:rsidP="0015230A">
      <w:pPr>
        <w:rPr>
          <w:color w:val="000000" w:themeColor="text1"/>
        </w:rPr>
      </w:pPr>
      <w:r w:rsidRPr="000A5A49">
        <w:rPr>
          <w:color w:val="000000" w:themeColor="text1"/>
        </w:rPr>
        <w:lastRenderedPageBreak/>
        <w:t xml:space="preserve">Panel B. Box plot with scatter plot overlay represents log transformed, unadjusted data grouped by blast exposure and blast distance. Error bars reflect the 95% confidence interval. </w:t>
      </w:r>
    </w:p>
    <w:p w14:paraId="4E8D4A1C" w14:textId="77777777" w:rsidR="00F331F0" w:rsidRDefault="00EF2697"/>
    <w:sectPr w:rsidR="00F33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0604E" w14:textId="77777777" w:rsidR="00EF2697" w:rsidRDefault="00EF2697" w:rsidP="00784F35">
      <w:r>
        <w:separator/>
      </w:r>
    </w:p>
  </w:endnote>
  <w:endnote w:type="continuationSeparator" w:id="0">
    <w:p w14:paraId="1CDCEECA" w14:textId="77777777" w:rsidR="00EF2697" w:rsidRDefault="00EF2697" w:rsidP="0078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CC5F8" w14:textId="77777777" w:rsidR="00EF2697" w:rsidRDefault="00EF2697" w:rsidP="00784F35">
      <w:r>
        <w:separator/>
      </w:r>
    </w:p>
  </w:footnote>
  <w:footnote w:type="continuationSeparator" w:id="0">
    <w:p w14:paraId="21BBCE21" w14:textId="77777777" w:rsidR="00EF2697" w:rsidRDefault="00EF2697" w:rsidP="00784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96"/>
    <w:rsid w:val="0015230A"/>
    <w:rsid w:val="00784F35"/>
    <w:rsid w:val="00821C3D"/>
    <w:rsid w:val="00B10396"/>
    <w:rsid w:val="00D52507"/>
    <w:rsid w:val="00EF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41279F"/>
  <w15:chartTrackingRefBased/>
  <w15:docId w15:val="{79AD1960-E7DD-E548-8071-9847ACF1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0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15230A"/>
    <w:pPr>
      <w:tabs>
        <w:tab w:val="left" w:pos="380"/>
        <w:tab w:val="left" w:pos="500"/>
      </w:tabs>
      <w:spacing w:after="240"/>
      <w:ind w:left="504" w:hanging="504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784F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F3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84F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F3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Pierce</dc:creator>
  <cp:keywords/>
  <dc:description/>
  <cp:lastModifiedBy>Meghan Pierce</cp:lastModifiedBy>
  <cp:revision>3</cp:revision>
  <dcterms:created xsi:type="dcterms:W3CDTF">2022-01-18T14:43:00Z</dcterms:created>
  <dcterms:modified xsi:type="dcterms:W3CDTF">2022-01-18T15:25:00Z</dcterms:modified>
</cp:coreProperties>
</file>