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46AF" w:rsidRPr="00814C67" w:rsidRDefault="003F46AF" w:rsidP="003F46AF">
      <w:pPr>
        <w:pStyle w:val="Heading1"/>
        <w:rPr>
          <w:color w:val="auto"/>
        </w:rPr>
      </w:pPr>
      <w:r w:rsidRPr="00814C67">
        <w:rPr>
          <w:color w:val="auto"/>
        </w:rPr>
        <w:t>Supplementary Information</w:t>
      </w:r>
    </w:p>
    <w:p w:rsidR="003F46AF" w:rsidRPr="00814C67" w:rsidRDefault="003F46AF" w:rsidP="00B10DE2">
      <w:pPr>
        <w:pStyle w:val="Title"/>
        <w:spacing w:line="360" w:lineRule="auto"/>
        <w:rPr>
          <w:rFonts w:ascii="Arial" w:hAnsi="Arial" w:cs="Arial"/>
        </w:rPr>
      </w:pPr>
    </w:p>
    <w:p w:rsidR="00132DCD" w:rsidRPr="00814C67" w:rsidRDefault="00132DCD" w:rsidP="00132DCD">
      <w:pPr>
        <w:pStyle w:val="Title"/>
        <w:spacing w:line="360" w:lineRule="auto"/>
        <w:rPr>
          <w:rFonts w:ascii="Arial" w:hAnsi="Arial" w:cs="Arial"/>
        </w:rPr>
      </w:pPr>
      <w:r w:rsidRPr="00814C67">
        <w:rPr>
          <w:rFonts w:ascii="Arial" w:hAnsi="Arial" w:cs="Arial"/>
        </w:rPr>
        <w:t>Distinct contributions of GluA1-containing AMPA receptors of different hippocampal subfields to salience processing, memory and cognitive control</w:t>
      </w:r>
    </w:p>
    <w:p w:rsidR="00B10DE2" w:rsidRPr="00814C67" w:rsidRDefault="00B10DE2" w:rsidP="00B10DE2">
      <w:pPr>
        <w:rPr>
          <w:lang w:val="en-GB"/>
        </w:rPr>
      </w:pPr>
      <w:r w:rsidRPr="00814C67">
        <w:rPr>
          <w:b/>
          <w:i/>
        </w:rPr>
        <w:t>Running title:</w:t>
      </w:r>
      <w:r w:rsidRPr="00814C67">
        <w:rPr>
          <w:b/>
        </w:rPr>
        <w:t xml:space="preserve"> </w:t>
      </w:r>
      <w:r w:rsidR="00F03D68" w:rsidRPr="00814C67">
        <w:rPr>
          <w:b/>
        </w:rPr>
        <w:t xml:space="preserve">Hippocampal </w:t>
      </w:r>
      <w:r w:rsidR="00395441" w:rsidRPr="00814C67">
        <w:rPr>
          <w:b/>
        </w:rPr>
        <w:t>Glu</w:t>
      </w:r>
      <w:r w:rsidRPr="00814C67">
        <w:rPr>
          <w:b/>
        </w:rPr>
        <w:t>A1 AMPA receptors</w:t>
      </w:r>
      <w:r w:rsidR="00F03D68" w:rsidRPr="00814C67">
        <w:rPr>
          <w:b/>
        </w:rPr>
        <w:t xml:space="preserve"> in</w:t>
      </w:r>
      <w:r w:rsidRPr="00814C67">
        <w:rPr>
          <w:b/>
        </w:rPr>
        <w:t xml:space="preserve"> </w:t>
      </w:r>
      <w:r w:rsidR="003E6CE0" w:rsidRPr="00814C67">
        <w:rPr>
          <w:b/>
        </w:rPr>
        <w:t>cognition</w:t>
      </w:r>
      <w:r w:rsidRPr="00814C67">
        <w:rPr>
          <w:b/>
        </w:rPr>
        <w:t xml:space="preserve"> </w:t>
      </w:r>
    </w:p>
    <w:p w:rsidR="007C73E1" w:rsidRPr="00814C67" w:rsidRDefault="007C73E1">
      <w:pPr>
        <w:rPr>
          <w:b/>
        </w:rPr>
      </w:pPr>
    </w:p>
    <w:p w:rsidR="00F03D68" w:rsidRPr="00814C67" w:rsidRDefault="00F03D68" w:rsidP="00F03D68">
      <w:pPr>
        <w:spacing w:line="360" w:lineRule="auto"/>
        <w:rPr>
          <w:lang w:val="en-GB"/>
        </w:rPr>
      </w:pPr>
      <w:r w:rsidRPr="00814C67">
        <w:rPr>
          <w:b/>
          <w:lang w:val="en-GB"/>
        </w:rPr>
        <w:t>Keywords:</w:t>
      </w:r>
      <w:r w:rsidRPr="00814C67">
        <w:rPr>
          <w:lang w:val="en-GB"/>
        </w:rPr>
        <w:t xml:space="preserve"> AMPA receptor, working memory, short-term memory, hippocampus, prefrontal cortex, schizophrenia, mouse</w:t>
      </w:r>
    </w:p>
    <w:p w:rsidR="007C73E1" w:rsidRPr="00814C67" w:rsidRDefault="007C73E1">
      <w:pPr>
        <w:rPr>
          <w:b/>
          <w:lang w:val="en-GB"/>
        </w:rPr>
      </w:pPr>
    </w:p>
    <w:p w:rsidR="00F03D68" w:rsidRPr="00814C67" w:rsidRDefault="00F03D68" w:rsidP="00F03D68">
      <w:pPr>
        <w:rPr>
          <w:b/>
          <w:lang w:val="en-GB"/>
        </w:rPr>
      </w:pPr>
      <w:r w:rsidRPr="00814C67">
        <w:rPr>
          <w:b/>
          <w:lang w:val="en-GB"/>
        </w:rPr>
        <w:t>Authors:</w:t>
      </w:r>
    </w:p>
    <w:p w:rsidR="00F07B9C" w:rsidRPr="00814C67" w:rsidRDefault="00F07B9C" w:rsidP="00F07B9C">
      <w:pPr>
        <w:rPr>
          <w:vertAlign w:val="superscript"/>
          <w:lang w:val="en-GB"/>
        </w:rPr>
      </w:pPr>
      <w:r w:rsidRPr="00814C67">
        <w:rPr>
          <w:lang w:val="en-GB"/>
        </w:rPr>
        <w:t>Kasyoka Kilonzo</w:t>
      </w:r>
      <w:r w:rsidRPr="00814C67">
        <w:rPr>
          <w:vertAlign w:val="superscript"/>
          <w:lang w:val="en-GB"/>
        </w:rPr>
        <w:t>1</w:t>
      </w:r>
      <w:r w:rsidRPr="00814C67">
        <w:rPr>
          <w:lang w:val="en-GB"/>
        </w:rPr>
        <w:t>, Daniel Strahnen</w:t>
      </w:r>
      <w:r w:rsidRPr="00814C67">
        <w:rPr>
          <w:vertAlign w:val="superscript"/>
          <w:lang w:val="en-GB"/>
        </w:rPr>
        <w:t>1</w:t>
      </w:r>
      <w:r w:rsidRPr="00814C67">
        <w:rPr>
          <w:lang w:val="en-GB"/>
        </w:rPr>
        <w:t>, Vivien Prex</w:t>
      </w:r>
      <w:r w:rsidRPr="00814C67">
        <w:rPr>
          <w:vertAlign w:val="superscript"/>
          <w:lang w:val="en-GB"/>
        </w:rPr>
        <w:t>1</w:t>
      </w:r>
      <w:r w:rsidRPr="00814C67">
        <w:rPr>
          <w:lang w:val="en-GB"/>
        </w:rPr>
        <w:t>, John Gems</w:t>
      </w:r>
      <w:r w:rsidRPr="00814C67">
        <w:rPr>
          <w:vertAlign w:val="superscript"/>
          <w:lang w:val="en-GB"/>
        </w:rPr>
        <w:t>1</w:t>
      </w:r>
      <w:r w:rsidRPr="00814C67">
        <w:rPr>
          <w:lang w:val="en-GB"/>
        </w:rPr>
        <w:t>, Bastiaan van der Veen</w:t>
      </w:r>
      <w:r w:rsidRPr="00814C67">
        <w:rPr>
          <w:vertAlign w:val="superscript"/>
          <w:lang w:val="en-GB"/>
        </w:rPr>
        <w:t>1</w:t>
      </w:r>
      <w:r w:rsidRPr="00814C67">
        <w:rPr>
          <w:lang w:val="en-GB"/>
        </w:rPr>
        <w:t xml:space="preserve">, </w:t>
      </w:r>
      <w:r w:rsidR="00DE6F6A" w:rsidRPr="00814C67">
        <w:rPr>
          <w:lang w:val="en-GB"/>
        </w:rPr>
        <w:t>Sampath K.T. Kapanaiah</w:t>
      </w:r>
      <w:r w:rsidR="00DE6F6A" w:rsidRPr="00814C67">
        <w:rPr>
          <w:vertAlign w:val="superscript"/>
          <w:lang w:val="en-GB"/>
        </w:rPr>
        <w:t>1</w:t>
      </w:r>
      <w:r w:rsidR="00DE6F6A" w:rsidRPr="00814C67">
        <w:rPr>
          <w:lang w:val="en-GB"/>
        </w:rPr>
        <w:t xml:space="preserve">, </w:t>
      </w:r>
      <w:r w:rsidRPr="00814C67">
        <w:rPr>
          <w:lang w:val="en-GB"/>
        </w:rPr>
        <w:t>Bhargavi K.B. Murthy</w:t>
      </w:r>
      <w:r w:rsidRPr="00814C67">
        <w:rPr>
          <w:vertAlign w:val="superscript"/>
          <w:lang w:val="en-GB"/>
        </w:rPr>
        <w:t>1</w:t>
      </w:r>
      <w:r w:rsidRPr="00814C67">
        <w:rPr>
          <w:lang w:val="en-GB"/>
        </w:rPr>
        <w:t>, Stefanie Schulz</w:t>
      </w:r>
      <w:r w:rsidRPr="00814C67">
        <w:rPr>
          <w:vertAlign w:val="superscript"/>
          <w:lang w:val="en-GB"/>
        </w:rPr>
        <w:t>1</w:t>
      </w:r>
      <w:r w:rsidRPr="00814C67">
        <w:rPr>
          <w:lang w:val="en-GB"/>
        </w:rPr>
        <w:t>, Rolf Sprengel</w:t>
      </w:r>
      <w:r w:rsidRPr="00814C67">
        <w:rPr>
          <w:vertAlign w:val="superscript"/>
          <w:lang w:val="en-GB"/>
        </w:rPr>
        <w:t>2,3</w:t>
      </w:r>
      <w:r w:rsidRPr="00814C67">
        <w:rPr>
          <w:lang w:val="en-GB"/>
        </w:rPr>
        <w:t>, David Bannerman</w:t>
      </w:r>
      <w:r w:rsidRPr="00814C67">
        <w:rPr>
          <w:vertAlign w:val="superscript"/>
          <w:lang w:val="en-GB"/>
        </w:rPr>
        <w:t>4</w:t>
      </w:r>
      <w:r w:rsidRPr="00814C67">
        <w:rPr>
          <w:lang w:val="en-GB"/>
        </w:rPr>
        <w:t>, Dennis Kätzel</w:t>
      </w:r>
      <w:r w:rsidRPr="00814C67">
        <w:rPr>
          <w:vertAlign w:val="superscript"/>
          <w:lang w:val="en-GB"/>
        </w:rPr>
        <w:t>1,*</w:t>
      </w:r>
    </w:p>
    <w:p w:rsidR="00F07B9C" w:rsidRPr="00814C67" w:rsidRDefault="00F07B9C" w:rsidP="00F07B9C">
      <w:pPr>
        <w:rPr>
          <w:lang w:val="en-GB"/>
        </w:rPr>
      </w:pPr>
    </w:p>
    <w:p w:rsidR="00F07B9C" w:rsidRPr="00814C67" w:rsidRDefault="00F07B9C" w:rsidP="00F07B9C">
      <w:pPr>
        <w:spacing w:line="360" w:lineRule="auto"/>
        <w:rPr>
          <w:rFonts w:cs="Times New Roman"/>
          <w:lang w:val="en-GB"/>
        </w:rPr>
      </w:pPr>
      <w:r w:rsidRPr="00814C67">
        <w:rPr>
          <w:rFonts w:cs="Times New Roman"/>
          <w:vertAlign w:val="superscript"/>
          <w:lang w:val="en-GB"/>
        </w:rPr>
        <w:t>1</w:t>
      </w:r>
      <w:r w:rsidRPr="00814C67">
        <w:rPr>
          <w:rFonts w:cs="Times New Roman"/>
          <w:lang w:val="en-GB"/>
        </w:rPr>
        <w:t xml:space="preserve"> Institute of Applied Physiology, Ulm University, Ulm, Germany</w:t>
      </w:r>
    </w:p>
    <w:p w:rsidR="00F07B9C" w:rsidRPr="00814C67" w:rsidRDefault="00F07B9C" w:rsidP="00F07B9C">
      <w:pPr>
        <w:spacing w:line="360" w:lineRule="auto"/>
      </w:pPr>
      <w:r w:rsidRPr="00814C67">
        <w:rPr>
          <w:vertAlign w:val="superscript"/>
        </w:rPr>
        <w:t xml:space="preserve">2 </w:t>
      </w:r>
      <w:r w:rsidRPr="00814C67">
        <w:t>Max-Planck</w:t>
      </w:r>
      <w:r w:rsidR="00954BE0" w:rsidRPr="00814C67">
        <w:t>-</w:t>
      </w:r>
      <w:r w:rsidRPr="00814C67">
        <w:t>Institute for Medical Research, Heidelberg, Germany</w:t>
      </w:r>
    </w:p>
    <w:p w:rsidR="00F07B9C" w:rsidRPr="00814C67" w:rsidRDefault="00F07B9C" w:rsidP="00F07B9C">
      <w:pPr>
        <w:spacing w:line="360" w:lineRule="auto"/>
      </w:pPr>
      <w:r w:rsidRPr="00814C67">
        <w:rPr>
          <w:vertAlign w:val="superscript"/>
        </w:rPr>
        <w:t>3</w:t>
      </w:r>
      <w:r w:rsidRPr="00814C67">
        <w:t>Institute for Anatomy and Cell Biology, Heidelberg University, Germany</w:t>
      </w:r>
    </w:p>
    <w:p w:rsidR="00F07B9C" w:rsidRPr="00814C67" w:rsidRDefault="00F07B9C" w:rsidP="00F07B9C">
      <w:pPr>
        <w:spacing w:line="360" w:lineRule="auto"/>
      </w:pPr>
      <w:r w:rsidRPr="00814C67">
        <w:rPr>
          <w:vertAlign w:val="superscript"/>
        </w:rPr>
        <w:t xml:space="preserve">4 </w:t>
      </w:r>
      <w:r w:rsidRPr="00814C67">
        <w:t>Department of Experimental Psychology, University of Oxford, Oxford, UK</w:t>
      </w:r>
    </w:p>
    <w:p w:rsidR="00F03D68" w:rsidRPr="00814C67" w:rsidRDefault="00F03D68" w:rsidP="00F03D68">
      <w:pPr>
        <w:spacing w:line="360" w:lineRule="auto"/>
      </w:pPr>
    </w:p>
    <w:p w:rsidR="00F03D68" w:rsidRPr="00814C67" w:rsidRDefault="00F03D68" w:rsidP="00F03D68">
      <w:pPr>
        <w:spacing w:after="120" w:line="360" w:lineRule="auto"/>
      </w:pPr>
    </w:p>
    <w:p w:rsidR="00F03D68" w:rsidRPr="00814C67" w:rsidRDefault="00F03D68" w:rsidP="00F03D68">
      <w:pPr>
        <w:spacing w:line="360" w:lineRule="auto"/>
        <w:rPr>
          <w:lang w:val="en-GB"/>
        </w:rPr>
      </w:pPr>
    </w:p>
    <w:p w:rsidR="00F03D68" w:rsidRPr="00814C67" w:rsidRDefault="00F03D68" w:rsidP="00F03D68">
      <w:pPr>
        <w:rPr>
          <w:rFonts w:cs="Arial"/>
          <w:lang w:val="en-GB"/>
        </w:rPr>
      </w:pPr>
      <w:r w:rsidRPr="00814C67">
        <w:rPr>
          <w:lang w:val="en-GB"/>
        </w:rPr>
        <w:t xml:space="preserve">* Correspondence: dennis.kaetzel@uni-ulm.de; +49 731 500 33770; Fax +49 731 500 33779; </w:t>
      </w:r>
      <w:r w:rsidRPr="00814C67">
        <w:rPr>
          <w:rFonts w:cs="Arial"/>
          <w:lang w:val="en-GB"/>
        </w:rPr>
        <w:t>Institute of Applied Physiology, Ulm University, Albert-Einstein-Allee 11, 89081 Ulm, Germany</w:t>
      </w:r>
    </w:p>
    <w:p w:rsidR="00F03D68" w:rsidRPr="00814C67" w:rsidRDefault="00F03D68" w:rsidP="00F03D68">
      <w:pPr>
        <w:rPr>
          <w:lang w:val="en-GB"/>
        </w:rPr>
      </w:pPr>
    </w:p>
    <w:p w:rsidR="007C73E1" w:rsidRPr="00814C67" w:rsidRDefault="007C73E1" w:rsidP="009A5E38">
      <w:pPr>
        <w:spacing w:line="360" w:lineRule="auto"/>
        <w:rPr>
          <w:b/>
          <w:lang w:val="en-GB"/>
        </w:rPr>
      </w:pPr>
      <w:r w:rsidRPr="00814C67">
        <w:rPr>
          <w:b/>
          <w:lang w:val="en-GB"/>
        </w:rPr>
        <w:br w:type="page"/>
      </w:r>
    </w:p>
    <w:p w:rsidR="003D604F" w:rsidRPr="00814C67" w:rsidRDefault="00F92AD3" w:rsidP="00D76B89">
      <w:pPr>
        <w:pStyle w:val="Heading1"/>
        <w:rPr>
          <w:color w:val="auto"/>
        </w:rPr>
      </w:pPr>
      <w:r w:rsidRPr="00814C67">
        <w:rPr>
          <w:color w:val="auto"/>
        </w:rPr>
        <w:lastRenderedPageBreak/>
        <w:t>Supplementary Methods</w:t>
      </w:r>
    </w:p>
    <w:p w:rsidR="00F92AD3" w:rsidRPr="00814C67" w:rsidRDefault="00BA31AE" w:rsidP="00BA31AE">
      <w:pPr>
        <w:pStyle w:val="Heading2"/>
        <w:rPr>
          <w:color w:val="auto"/>
        </w:rPr>
      </w:pPr>
      <w:r w:rsidRPr="00814C67">
        <w:rPr>
          <w:color w:val="auto"/>
        </w:rPr>
        <w:t>Surgery</w:t>
      </w:r>
    </w:p>
    <w:p w:rsidR="00F26395" w:rsidRPr="00814C67" w:rsidRDefault="00BA31AE" w:rsidP="00F26395">
      <w:pPr>
        <w:rPr>
          <w:rFonts w:cs="Arial"/>
          <w:lang w:val="en-GB"/>
        </w:rPr>
      </w:pPr>
      <w:r w:rsidRPr="00814C67">
        <w:t xml:space="preserve">To generate the AAV-cohorts, stereotactic surgery was performed on fGria1 mice before the behavioural test battery commenced. </w:t>
      </w:r>
      <w:r w:rsidR="00F26395" w:rsidRPr="00814C67">
        <w:rPr>
          <w:rFonts w:cs="Arial"/>
          <w:lang w:val="en-GB"/>
        </w:rPr>
        <w:t>Animals were anaesthetized using</w:t>
      </w:r>
      <w:r w:rsidR="009C6E0C" w:rsidRPr="00814C67">
        <w:rPr>
          <w:rFonts w:cs="Arial"/>
          <w:lang w:val="en-GB"/>
        </w:rPr>
        <w:t xml:space="preserve"> 5%</w:t>
      </w:r>
      <w:r w:rsidR="00F26395" w:rsidRPr="00814C67">
        <w:rPr>
          <w:rFonts w:cs="Arial"/>
          <w:lang w:val="en-GB"/>
        </w:rPr>
        <w:t xml:space="preserve"> isoflurane (AbbVie, G), received s.c. injections of analgesics (0.08 mg/kg buprenorphine, Bayer, G; 1 mg/kg meloxicam, Boehringer Ingelheim, G), and local scalp anaesthesia (200 </w:t>
      </w:r>
      <w:r w:rsidR="00F26395" w:rsidRPr="00814C67">
        <w:rPr>
          <w:rFonts w:ascii="Symbol" w:hAnsi="Symbol" w:cs="Arial"/>
          <w:lang w:val="en-GB"/>
        </w:rPr>
        <w:t></w:t>
      </w:r>
      <w:r w:rsidR="00F26395" w:rsidRPr="00814C67">
        <w:rPr>
          <w:rFonts w:cs="Arial"/>
          <w:lang w:val="en-GB"/>
        </w:rPr>
        <w:t xml:space="preserve">l of 0.025 % bupivacaine, AstraZeneca, UK) before placement in a stereotaxic frame (motorized and atlas-integrated frame, Neurostar, G and Kopf, US; manual digital frame, World Precision Instruments, US) with non-rupture mouse ear bars. The body temperature was stabilized using a feedback-controlled heating blanket (Harvard Apparatus, US) and the anaesthesia was maintained with 1.5 % isoflurane. The following stereotaxic coordinates (from bregma) and volumes were used for bilateral transfection of the stated areas; </w:t>
      </w:r>
      <w:r w:rsidR="00F26395" w:rsidRPr="00814C67">
        <w:rPr>
          <w:rFonts w:cs="Arial"/>
          <w:i/>
          <w:lang w:val="en-GB"/>
        </w:rPr>
        <w:t>dPFC</w:t>
      </w:r>
      <w:r w:rsidR="00F26395" w:rsidRPr="00814C67">
        <w:rPr>
          <w:rFonts w:cs="Arial"/>
          <w:lang w:val="en-GB"/>
        </w:rPr>
        <w:t xml:space="preserve"> (targeting anterior cingulate cortex): posterior injection at AP +0.</w:t>
      </w:r>
      <w:r w:rsidR="002B33FC" w:rsidRPr="00814C67">
        <w:rPr>
          <w:rFonts w:cs="Arial"/>
          <w:lang w:val="en-GB"/>
        </w:rPr>
        <w:t>5</w:t>
      </w:r>
      <w:r w:rsidR="00F26395" w:rsidRPr="00814C67">
        <w:rPr>
          <w:rFonts w:cs="Arial"/>
          <w:lang w:val="en-GB"/>
        </w:rPr>
        <w:t xml:space="preserve">, ML 0.3, </w:t>
      </w:r>
      <w:r w:rsidR="002B33FC" w:rsidRPr="00814C67">
        <w:rPr>
          <w:rFonts w:cs="Arial"/>
          <w:lang w:val="en-GB"/>
        </w:rPr>
        <w:t>DV 1.7</w:t>
      </w:r>
      <w:r w:rsidR="00F26395" w:rsidRPr="00814C67">
        <w:rPr>
          <w:rFonts w:cs="Arial"/>
          <w:lang w:val="en-GB"/>
        </w:rPr>
        <w:t xml:space="preserve"> (200 nl) and 1.</w:t>
      </w:r>
      <w:r w:rsidR="002B33FC" w:rsidRPr="00814C67">
        <w:rPr>
          <w:rFonts w:cs="Arial"/>
          <w:lang w:val="en-GB"/>
        </w:rPr>
        <w:t>2</w:t>
      </w:r>
      <w:r w:rsidR="00F26395" w:rsidRPr="00814C67">
        <w:rPr>
          <w:rFonts w:cs="Arial"/>
          <w:lang w:val="en-GB"/>
        </w:rPr>
        <w:t xml:space="preserve"> (300 nl), anterior injection at AP </w:t>
      </w:r>
      <w:r w:rsidR="009C6E0C" w:rsidRPr="00814C67">
        <w:rPr>
          <w:rFonts w:cs="Arial"/>
          <w:lang w:val="en-GB"/>
        </w:rPr>
        <w:t>1.7</w:t>
      </w:r>
      <w:r w:rsidR="00F26395" w:rsidRPr="00814C67">
        <w:rPr>
          <w:rFonts w:cs="Arial"/>
          <w:lang w:val="en-GB"/>
        </w:rPr>
        <w:t>, ML 0.</w:t>
      </w:r>
      <w:r w:rsidR="002B33FC" w:rsidRPr="00814C67">
        <w:rPr>
          <w:rFonts w:cs="Arial"/>
          <w:lang w:val="en-GB"/>
        </w:rPr>
        <w:t>3</w:t>
      </w:r>
      <w:r w:rsidR="00F26395" w:rsidRPr="00814C67">
        <w:rPr>
          <w:rFonts w:cs="Arial"/>
          <w:lang w:val="en-GB"/>
        </w:rPr>
        <w:t xml:space="preserve">, DV 1.25 (80 nl). </w:t>
      </w:r>
      <w:r w:rsidR="00F26395" w:rsidRPr="00814C67">
        <w:rPr>
          <w:rFonts w:cs="Arial"/>
          <w:i/>
          <w:lang w:val="en-GB"/>
        </w:rPr>
        <w:t>Pr</w:t>
      </w:r>
      <w:r w:rsidR="002B33FC" w:rsidRPr="00814C67">
        <w:rPr>
          <w:rFonts w:cs="Arial"/>
          <w:i/>
          <w:lang w:val="en-GB"/>
        </w:rPr>
        <w:t>L</w:t>
      </w:r>
      <w:r w:rsidR="002B33FC" w:rsidRPr="00814C67">
        <w:rPr>
          <w:rFonts w:cs="Arial"/>
          <w:lang w:val="en-GB"/>
        </w:rPr>
        <w:t>: posterior injection at AP +2.0</w:t>
      </w:r>
      <w:r w:rsidR="00F26395" w:rsidRPr="00814C67">
        <w:rPr>
          <w:rFonts w:cs="Arial"/>
          <w:lang w:val="en-GB"/>
        </w:rPr>
        <w:t>, ML 0.3, DV 2.</w:t>
      </w:r>
      <w:r w:rsidR="002B33FC" w:rsidRPr="00814C67">
        <w:rPr>
          <w:rFonts w:cs="Arial"/>
          <w:lang w:val="en-GB"/>
        </w:rPr>
        <w:t>1 (5</w:t>
      </w:r>
      <w:r w:rsidR="00F26395" w:rsidRPr="00814C67">
        <w:rPr>
          <w:rFonts w:cs="Arial"/>
          <w:lang w:val="en-GB"/>
        </w:rPr>
        <w:t xml:space="preserve">0 nl) </w:t>
      </w:r>
      <w:r w:rsidR="002B33FC" w:rsidRPr="00814C67">
        <w:rPr>
          <w:rFonts w:cs="Arial"/>
          <w:lang w:val="en-GB"/>
        </w:rPr>
        <w:t>and anterior injection at AP 2.5</w:t>
      </w:r>
      <w:r w:rsidR="00F26395" w:rsidRPr="00814C67">
        <w:rPr>
          <w:rFonts w:cs="Arial"/>
          <w:lang w:val="en-GB"/>
        </w:rPr>
        <w:t xml:space="preserve">, ML 0.3, DV 1.9 (60 nl). </w:t>
      </w:r>
      <w:r w:rsidR="00F26395" w:rsidRPr="00814C67">
        <w:rPr>
          <w:rFonts w:cs="Arial"/>
          <w:i/>
          <w:lang w:val="en-GB"/>
        </w:rPr>
        <w:t>Hippocampus</w:t>
      </w:r>
      <w:r w:rsidR="00F26395" w:rsidRPr="00814C67">
        <w:rPr>
          <w:rFonts w:cs="Arial"/>
          <w:lang w:val="en-GB"/>
        </w:rPr>
        <w:t>: anterior (dorsal) injection at AP -2.1, ML 2.3, DV 1.85 from pia (400 nl); posterior (ventral) injection at AP -3.2, ML 2.4, DV 3.6 (300 nl) and 3.3 (100 nl) from pia. All viral vectors were of serotype AAV8</w:t>
      </w:r>
      <w:r w:rsidR="002B33FC" w:rsidRPr="00814C67">
        <w:rPr>
          <w:rFonts w:cs="Arial"/>
          <w:lang w:val="en-GB"/>
        </w:rPr>
        <w:t>, had a titre of 4 x 10</w:t>
      </w:r>
      <w:r w:rsidR="002B33FC" w:rsidRPr="00814C67">
        <w:rPr>
          <w:rFonts w:cs="Arial"/>
          <w:vertAlign w:val="superscript"/>
          <w:lang w:val="en-GB"/>
        </w:rPr>
        <w:t>12</w:t>
      </w:r>
      <w:r w:rsidR="00F26395" w:rsidRPr="00814C67">
        <w:rPr>
          <w:rFonts w:cs="Arial"/>
          <w:lang w:val="en-GB"/>
        </w:rPr>
        <w:t xml:space="preserve"> </w:t>
      </w:r>
      <w:r w:rsidR="002B33FC" w:rsidRPr="00814C67">
        <w:rPr>
          <w:rFonts w:cs="Arial"/>
          <w:lang w:val="en-GB"/>
        </w:rPr>
        <w:t xml:space="preserve">vg/ml, </w:t>
      </w:r>
      <w:r w:rsidR="00F26395" w:rsidRPr="00814C67">
        <w:rPr>
          <w:rFonts w:cs="Arial"/>
          <w:lang w:val="en-GB"/>
        </w:rPr>
        <w:t xml:space="preserve">and were obtained from the University of North Carolina vector core (UNC, NC, US). </w:t>
      </w:r>
      <w:r w:rsidR="002B33FC" w:rsidRPr="00814C67">
        <w:rPr>
          <w:rFonts w:cs="Arial"/>
          <w:lang w:val="en-GB"/>
        </w:rPr>
        <w:t>An AAV8-</w:t>
      </w:r>
      <w:r w:rsidR="00F26395" w:rsidRPr="00814C67">
        <w:rPr>
          <w:rFonts w:cs="Arial"/>
          <w:lang w:val="en-GB"/>
        </w:rPr>
        <w:t>CamKII</w:t>
      </w:r>
      <w:r w:rsidR="00F26395" w:rsidRPr="00814C67">
        <w:rPr>
          <w:rFonts w:ascii="Symbol" w:hAnsi="Symbol" w:cs="Arial"/>
          <w:lang w:val="en-GB"/>
        </w:rPr>
        <w:t></w:t>
      </w:r>
      <w:r w:rsidR="00F26395" w:rsidRPr="00814C67">
        <w:rPr>
          <w:rFonts w:cs="Arial"/>
          <w:lang w:val="en-GB"/>
        </w:rPr>
        <w:t>-</w:t>
      </w:r>
      <w:r w:rsidR="002B33FC" w:rsidRPr="00814C67">
        <w:rPr>
          <w:rFonts w:cs="Arial"/>
          <w:i/>
          <w:lang w:val="en-GB"/>
        </w:rPr>
        <w:t>GFP</w:t>
      </w:r>
      <w:r w:rsidR="00F26395" w:rsidRPr="00814C67">
        <w:rPr>
          <w:rFonts w:cs="Arial"/>
          <w:i/>
          <w:lang w:val="en-GB"/>
        </w:rPr>
        <w:t>-</w:t>
      </w:r>
      <w:r w:rsidR="002B33FC" w:rsidRPr="00814C67">
        <w:rPr>
          <w:rFonts w:cs="Arial"/>
          <w:i/>
          <w:lang w:val="en-GB"/>
        </w:rPr>
        <w:t>Cre</w:t>
      </w:r>
      <w:r w:rsidR="00F26395" w:rsidRPr="00814C67">
        <w:rPr>
          <w:rFonts w:cs="Arial"/>
          <w:lang w:val="en-GB"/>
        </w:rPr>
        <w:t>-WPRE-hGHpA</w:t>
      </w:r>
      <w:r w:rsidR="002B33FC" w:rsidRPr="00814C67">
        <w:rPr>
          <w:rFonts w:cs="Arial"/>
          <w:lang w:val="en-GB"/>
        </w:rPr>
        <w:t xml:space="preserve"> vector was used for </w:t>
      </w:r>
      <w:r w:rsidR="002B33FC" w:rsidRPr="00814C67">
        <w:rPr>
          <w:rFonts w:cs="Arial"/>
          <w:i/>
          <w:lang w:val="en-GB"/>
        </w:rPr>
        <w:t>Gria1</w:t>
      </w:r>
      <w:r w:rsidR="002B33FC" w:rsidRPr="00814C67">
        <w:rPr>
          <w:rFonts w:cs="Arial"/>
          <w:lang w:val="en-GB"/>
        </w:rPr>
        <w:t>-ablation the experimental groups, and a corresponding AAV8-CamKII</w:t>
      </w:r>
      <w:r w:rsidR="002B33FC" w:rsidRPr="00814C67">
        <w:rPr>
          <w:rFonts w:ascii="Symbol" w:hAnsi="Symbol" w:cs="Arial"/>
          <w:lang w:val="en-GB"/>
        </w:rPr>
        <w:t></w:t>
      </w:r>
      <w:r w:rsidR="002B33FC" w:rsidRPr="00814C67">
        <w:rPr>
          <w:rFonts w:cs="Arial"/>
          <w:lang w:val="en-GB"/>
        </w:rPr>
        <w:t>-</w:t>
      </w:r>
      <w:r w:rsidR="002B33FC" w:rsidRPr="00814C67">
        <w:rPr>
          <w:rFonts w:cs="Arial"/>
          <w:i/>
          <w:lang w:val="en-GB"/>
        </w:rPr>
        <w:t>GFP</w:t>
      </w:r>
      <w:r w:rsidR="002B33FC" w:rsidRPr="00814C67">
        <w:rPr>
          <w:rFonts w:cs="Arial"/>
          <w:lang w:val="en-GB"/>
        </w:rPr>
        <w:t>-WPRE-hGHpA vector for the control groups.</w:t>
      </w:r>
      <w:r w:rsidR="00F26395" w:rsidRPr="00814C67">
        <w:rPr>
          <w:rFonts w:cs="Arial"/>
          <w:lang w:val="en-GB"/>
        </w:rPr>
        <w:t xml:space="preserve"> A pouch to absorb the virus was created by moving the needle 0.05 mm further down and then up again to the actual DV position before infusion. Infusions were made using a glass 10 </w:t>
      </w:r>
      <w:r w:rsidR="00F26395" w:rsidRPr="00814C67">
        <w:rPr>
          <w:rFonts w:ascii="Symbol" w:hAnsi="Symbol" w:cs="Arial"/>
          <w:lang w:val="en-GB"/>
        </w:rPr>
        <w:t></w:t>
      </w:r>
      <w:r w:rsidR="00F26395" w:rsidRPr="00814C67">
        <w:rPr>
          <w:rFonts w:cs="Arial"/>
          <w:lang w:val="en-GB"/>
        </w:rPr>
        <w:t xml:space="preserve">l precision syringe (WPI) at an injection rate of 100 nl/min. Upon completion of infusion the needle was kept in place for 5 min, moved up 0.1 mm and kept in place for another 5 min in order to minimize backflow of the virus. Mice received post-operative monitoring for 7 d, and an s.c. injection of the analgesic meloxicam (Metacam, 1 mg/kg, Boehringer Ingelheim, G) on the first 3 d. The mice were kept on </w:t>
      </w:r>
      <w:r w:rsidR="00F26395" w:rsidRPr="00814C67">
        <w:rPr>
          <w:rFonts w:cs="Arial"/>
          <w:i/>
          <w:lang w:val="en-GB"/>
        </w:rPr>
        <w:t>ad libitum</w:t>
      </w:r>
      <w:r w:rsidR="00F26395" w:rsidRPr="00814C67">
        <w:rPr>
          <w:rFonts w:cs="Arial"/>
          <w:lang w:val="en-GB"/>
        </w:rPr>
        <w:t xml:space="preserve"> food for a minimum of two week</w:t>
      </w:r>
      <w:r w:rsidR="006B6C48" w:rsidRPr="00814C67">
        <w:rPr>
          <w:rFonts w:cs="Arial"/>
          <w:lang w:val="en-GB"/>
        </w:rPr>
        <w:t>s</w:t>
      </w:r>
      <w:r w:rsidR="00F26395" w:rsidRPr="00814C67">
        <w:rPr>
          <w:rFonts w:cs="Arial"/>
          <w:lang w:val="en-GB"/>
        </w:rPr>
        <w:t xml:space="preserve"> before training in the 5-CS</w:t>
      </w:r>
      <w:r w:rsidR="002B33FC" w:rsidRPr="00814C67">
        <w:rPr>
          <w:rFonts w:cs="Arial"/>
          <w:lang w:val="en-GB"/>
        </w:rPr>
        <w:t>WM task</w:t>
      </w:r>
      <w:r w:rsidR="00F26395" w:rsidRPr="00814C67">
        <w:rPr>
          <w:rFonts w:cs="Arial"/>
          <w:lang w:val="en-GB"/>
        </w:rPr>
        <w:t xml:space="preserve"> commenced. </w:t>
      </w:r>
    </w:p>
    <w:p w:rsidR="00BA31AE" w:rsidRPr="00814C67" w:rsidRDefault="00BA31AE" w:rsidP="00F92AD3">
      <w:pPr>
        <w:rPr>
          <w:lang w:val="en-GB"/>
        </w:rPr>
      </w:pPr>
    </w:p>
    <w:p w:rsidR="002B33FC" w:rsidRPr="00814C67" w:rsidRDefault="002B33FC" w:rsidP="00F444AA">
      <w:pPr>
        <w:pStyle w:val="Heading2"/>
        <w:rPr>
          <w:color w:val="auto"/>
          <w:lang w:val="en-GB"/>
        </w:rPr>
      </w:pPr>
      <w:r w:rsidRPr="00814C67">
        <w:rPr>
          <w:color w:val="auto"/>
          <w:lang w:val="en-GB"/>
        </w:rPr>
        <w:t>DMTP 5-choice spatial working memory (5-CSWM) task</w:t>
      </w:r>
    </w:p>
    <w:p w:rsidR="00F444AA" w:rsidRPr="00814C67" w:rsidRDefault="00CE6D04" w:rsidP="00F444AA">
      <w:pPr>
        <w:rPr>
          <w:lang w:val="en-GB"/>
        </w:rPr>
      </w:pPr>
      <w:r w:rsidRPr="00814C67">
        <w:rPr>
          <w:lang w:val="en-GB"/>
        </w:rPr>
        <w:t xml:space="preserve">All rewarded tasks (5-CSWM, 5-CSRTT, T-maze) </w:t>
      </w:r>
      <w:r w:rsidRPr="00814C67">
        <w:rPr>
          <w:rFonts w:cs="Arial"/>
          <w:lang w:val="en-GB"/>
        </w:rPr>
        <w:t>were conducted under food restriction during which subjects were</w:t>
      </w:r>
      <w:r w:rsidR="009C6E0C" w:rsidRPr="00814C67">
        <w:rPr>
          <w:rFonts w:cs="Arial"/>
          <w:lang w:val="en-GB"/>
        </w:rPr>
        <w:t xml:space="preserve"> maintained at 85%-90% (5-CSRTT learning in transgenic cohorts) or 90</w:t>
      </w:r>
      <w:r w:rsidRPr="00814C67">
        <w:rPr>
          <w:rFonts w:cs="Arial"/>
          <w:lang w:val="en-GB"/>
        </w:rPr>
        <w:t>-9</w:t>
      </w:r>
      <w:r w:rsidR="009C6E0C" w:rsidRPr="00814C67">
        <w:rPr>
          <w:rFonts w:cs="Arial"/>
          <w:lang w:val="en-GB"/>
        </w:rPr>
        <w:t>5</w:t>
      </w:r>
      <w:r w:rsidRPr="00814C67">
        <w:rPr>
          <w:rFonts w:cs="Arial"/>
          <w:lang w:val="en-GB"/>
        </w:rPr>
        <w:t xml:space="preserve"> % </w:t>
      </w:r>
      <w:r w:rsidR="009C6E0C" w:rsidRPr="00814C67">
        <w:rPr>
          <w:rFonts w:cs="Arial"/>
          <w:lang w:val="en-GB"/>
        </w:rPr>
        <w:t xml:space="preserve">(all other) </w:t>
      </w:r>
      <w:r w:rsidRPr="00814C67">
        <w:rPr>
          <w:rFonts w:cs="Arial"/>
          <w:lang w:val="en-GB"/>
        </w:rPr>
        <w:t xml:space="preserve">of their free-feeding weight. </w:t>
      </w:r>
      <w:r w:rsidR="00F444AA" w:rsidRPr="00814C67">
        <w:rPr>
          <w:lang w:val="en-GB"/>
        </w:rPr>
        <w:t>The 5-CSWM was conducted and trained as described previously, albeit in custom-made pyControl-based operant boxes</w:t>
      </w:r>
      <w:r w:rsidR="00F456C3" w:rsidRPr="00814C67">
        <w:rPr>
          <w:lang w:val="en-GB"/>
        </w:rPr>
        <w:fldChar w:fldCharType="begin"/>
      </w:r>
      <w:r w:rsidR="00814C67">
        <w:rPr>
          <w:lang w:val="en-GB"/>
        </w:rPr>
        <w:instrText xml:space="preserve"> ADDIN ZOTERO_ITEM CSL_CITATION {"citationID":"1CDZdCsf","properties":{"formattedCitation":"\\super 1,2\\nosupersub{}","plainCitation":"1,2","noteIndex":0},"citationItems":[{"id":27825,"uris":["http://zotero.org/users/local/biVi7xTd/items/K5D7GBC3"],"uri":["http://zotero.org/users/local/biVi7xTd/items/K5D7GBC3"],"itemData":{"id":27825,"type":"article-journal","abstract":"Operant boxes enable the application of complex behavioural paradigms to support circuit neuroscience and drug discovery research. However, commercial operant box systems are expensive and often not optimised for combining behaviour with neurophysiology. Here we introduce a fully open-source Python-based operant-box system in a 5-choice design (pyOS-5) that enables assessment of multiple cognitive and affective functions. It is optimized for fast turn-over between animals, and for testing of tethered mice for simultaneous physiological recordings or optogenetic manipulation. For reward delivery, we developed peristaltic and syringe pumps based on a stepper motor and 3D-printed parts. Tasks are specified using a Python-based syntax implemented on custom-designed printed circuit boards that are commercially available at low cost. We developed an open-source graphical user interface (GUI) and task definition scripts to conduct assays assessing operant learning, attention, impulsivity, working memory, or cognitive flexibility, alleviating the need for programming skills of the end user. All behavioural events are recorded with millisecond resolution, and TTL-outputs and -inputs allow straightforward integration with physiological recordings and closed-loop manipulations. This combination of features realizes a cost-effective, nose-poke-based operant box system that allows reliable circuit-neuroscience experiments investigating correlates of cognition and emotion in large cohorts of subjects.","container-title":"Scientific Reports","DOI":"10.1038/s41598-021-01717-1","ISSN":"2045-2322","issue":"1","journalAbbreviation":"Sci Rep","language":"en","note":"Bandiera_abtest: a\nCc_license_type: cc_by\nCg_type: Nature Research Journals\nnumber: 1\nPrimary_atype: Research\npublisher: Nature Publishing Group\nSubject_term: Cognitive neuroscience;Learning and memory;Neural circuits\nSubject_term_id: cognitive-neuroscience;learning-and-memory;neural-circuit","page":"22279","source":"www.nature.com","title":"A low-cost open-source 5-choice operant box system optimized for electrophysiology and optophysiology in mice","volume":"11","author":[{"family":"Kapanaiah","given":"Sampath K. T."},{"family":"Veen","given":"Bastiaan","non-dropping-particle":"van der"},{"family":"Strahnen","given":"Daniel"},{"family":"Akam","given":"Thomas"},{"family":"Kätzel","given":"Dennis"}],"issued":{"date-parts":[["2021",11,15]]}}},{"id":27851,"uris":["http://zotero.org/users/local/biVi7xTd/items/VVERXHVA"],"uri":["http://zotero.org/users/local/biVi7xTd/items/VVERXHVA"],"itemData":{"id":27851,"type":"article-journal","abstract":"Laboratory behavioural tasks are an essential research tool. As questions asked of behaviour and brain activity become more sophisticated, the ability to specify and run richly structured tasks becomes more important. An increasing focus on reproducibility also necessitates accurate communication of task logic to other researchers. To these ends, we developed pyControl, a system of open-source hardware and software for controlling behavioural experiments comprising a simple yet flexible Python-based syntax for specifying tasks as extended state machines, hardware modules for building behavioural setups, and a graphical user interface designed for efficiently running high-throughput experiments on many setups in parallel, all with extensive online documentation. These tools make it quicker, easier, and cheaper to implement rich behavioural tasks at scale. As important, pyControl facilitates communication and reproducibility of behavioural experiments through a highly readable task definition syntax and self-documenting features. Here, we outline the system’s design and rationale, present validation experiments characterising system performance, and demonstrate example applications in freely moving and head-fixed mouse behaviour.","container-title":"eLife","DOI":"10.7554/eLife.67846","ISSN":"2050-084X","note":"publisher: eLife Sciences Publications, Ltd","page":"e67846","source":"eLife","title":"Open-source, Python-based, hardware and software for controlling behavioural neuroscience experiments","volume":"11","author":[{"family":"Akam","given":"Thomas"},{"family":"Lustig","given":"Andy"},{"family":"Rowland","given":"James M"},{"family":"Kapanaiah","given":"Sampath KT"},{"family":"Esteve-Agraz","given":"Joan"},{"family":"Panniello","given":"Mariangela"},{"family":"Márquez","given":"Cristina"},{"family":"Kohl","given":"Michael M"},{"family":"Kätzel","given":"Dennis"},{"family":"Costa","given":"Rui M"},{"family":"Walton","given":"Mark E"}],"editor":[{"family":"Kemere","given":"Caleb"},{"family":"Wassum","given":"Kate M"},{"family":"Kemere","given":"Caleb"},{"family":"Siegle","given":"Josh"}],"issued":{"date-parts":[["2022",1,19]]}}}],"schema":"https://github.com/citation-style-language/schema/raw/master/csl-citation.json"} </w:instrText>
      </w:r>
      <w:r w:rsidR="00F456C3" w:rsidRPr="00814C67">
        <w:rPr>
          <w:lang w:val="en-GB"/>
        </w:rPr>
        <w:fldChar w:fldCharType="separate"/>
      </w:r>
      <w:r w:rsidR="00814C67" w:rsidRPr="00814C67">
        <w:rPr>
          <w:rFonts w:cs="Arial"/>
          <w:vertAlign w:val="superscript"/>
        </w:rPr>
        <w:t>1,2</w:t>
      </w:r>
      <w:r w:rsidR="00F456C3" w:rsidRPr="00814C67">
        <w:rPr>
          <w:lang w:val="en-GB"/>
        </w:rPr>
        <w:fldChar w:fldCharType="end"/>
      </w:r>
      <w:r w:rsidR="00F444AA" w:rsidRPr="00814C67">
        <w:rPr>
          <w:lang w:val="en-GB"/>
        </w:rPr>
        <w:t xml:space="preserve"> (described in detail on https://github.com/KaetzelLab/Operant-Box-Design-Files). Task scripts for all applied training stages and challenge protocols, including task illustration and description are available on https://github.com/KaetzelLab/Operant-Box-Code. Briefly, </w:t>
      </w:r>
      <w:r w:rsidR="00EB3499" w:rsidRPr="00814C67">
        <w:rPr>
          <w:lang w:val="en-GB"/>
        </w:rPr>
        <w:t>a</w:t>
      </w:r>
      <w:r w:rsidR="00F444AA" w:rsidRPr="00814C67">
        <w:rPr>
          <w:lang w:val="en-GB"/>
        </w:rPr>
        <w:t xml:space="preserve">ll experimental stages of the 5-CSWM and prior habituation training were conducted in </w:t>
      </w:r>
      <w:r w:rsidR="00EB3499" w:rsidRPr="00814C67">
        <w:rPr>
          <w:lang w:val="en-GB"/>
        </w:rPr>
        <w:t>the</w:t>
      </w:r>
      <w:r w:rsidR="00F444AA" w:rsidRPr="00814C67">
        <w:rPr>
          <w:lang w:val="en-GB"/>
        </w:rPr>
        <w:t xml:space="preserve"> dark, by default. Transient illumination resulted either from the poke holes in the 5-choice wall during cue-presentation, from the receptacle light during reward delivery, or from the house light of the chamber during </w:t>
      </w:r>
      <w:r w:rsidR="00EB3499" w:rsidRPr="00814C67">
        <w:rPr>
          <w:lang w:val="en-GB"/>
        </w:rPr>
        <w:t xml:space="preserve">5 s </w:t>
      </w:r>
      <w:r w:rsidR="00F444AA" w:rsidRPr="00814C67">
        <w:rPr>
          <w:lang w:val="en-GB"/>
        </w:rPr>
        <w:t>time-out (“punishment”) periods after erroneous responses or omissions.</w:t>
      </w:r>
    </w:p>
    <w:p w:rsidR="00F444AA" w:rsidRPr="00814C67" w:rsidRDefault="00F444AA" w:rsidP="00F444AA">
      <w:pPr>
        <w:rPr>
          <w:lang w:val="en-GB"/>
        </w:rPr>
      </w:pPr>
      <w:r w:rsidRPr="00814C67">
        <w:rPr>
          <w:lang w:val="en-GB"/>
        </w:rPr>
        <w:t>Before the beginning of the training and coinciding with the beginning of the food restriction, mice were accustomed to the</w:t>
      </w:r>
      <w:r w:rsidR="00EB3499" w:rsidRPr="00814C67">
        <w:rPr>
          <w:lang w:val="en-GB"/>
        </w:rPr>
        <w:t xml:space="preserve"> strawberry milk</w:t>
      </w:r>
      <w:r w:rsidRPr="00814C67">
        <w:rPr>
          <w:lang w:val="en-GB"/>
        </w:rPr>
        <w:t xml:space="preserve"> reward</w:t>
      </w:r>
      <w:r w:rsidR="00EB3499" w:rsidRPr="00814C67">
        <w:rPr>
          <w:lang w:val="en-GB"/>
        </w:rPr>
        <w:t xml:space="preserve"> (Müllermilch, G)</w:t>
      </w:r>
      <w:r w:rsidRPr="00814C67">
        <w:rPr>
          <w:lang w:val="en-GB"/>
        </w:rPr>
        <w:t xml:space="preserve"> in their home cages</w:t>
      </w:r>
      <w:r w:rsidR="00EB3499" w:rsidRPr="00814C67">
        <w:rPr>
          <w:lang w:val="en-GB"/>
        </w:rPr>
        <w:t>, and subsequently, in the operant boxes</w:t>
      </w:r>
      <w:r w:rsidRPr="00814C67">
        <w:rPr>
          <w:lang w:val="en-GB"/>
        </w:rPr>
        <w:t xml:space="preserve">. </w:t>
      </w:r>
      <w:r w:rsidR="00EB3499" w:rsidRPr="00814C67">
        <w:rPr>
          <w:lang w:val="en-GB"/>
        </w:rPr>
        <w:t>Initially</w:t>
      </w:r>
      <w:r w:rsidRPr="00814C67">
        <w:rPr>
          <w:lang w:val="en-GB"/>
        </w:rPr>
        <w:t xml:space="preserve">, mice </w:t>
      </w:r>
      <w:r w:rsidR="00EB3499" w:rsidRPr="00814C67">
        <w:rPr>
          <w:lang w:val="en-GB"/>
        </w:rPr>
        <w:t>conducted</w:t>
      </w:r>
      <w:r w:rsidRPr="00814C67">
        <w:rPr>
          <w:lang w:val="en-GB"/>
        </w:rPr>
        <w:t xml:space="preserve"> a 5-light operant training protocol to learn to poke into any illuminated hole to obtain a</w:t>
      </w:r>
      <w:r w:rsidR="00EB3499" w:rsidRPr="00814C67">
        <w:rPr>
          <w:lang w:val="en-GB"/>
        </w:rPr>
        <w:t xml:space="preserve"> 40 </w:t>
      </w:r>
      <w:r w:rsidR="00EB3499" w:rsidRPr="00814C67">
        <w:rPr>
          <w:rFonts w:ascii="Symbol" w:hAnsi="Symbol"/>
          <w:lang w:val="en-GB"/>
        </w:rPr>
        <w:t></w:t>
      </w:r>
      <w:r w:rsidR="00EB3499" w:rsidRPr="00814C67">
        <w:rPr>
          <w:lang w:val="en-GB"/>
        </w:rPr>
        <w:t>l milk</w:t>
      </w:r>
      <w:r w:rsidRPr="00814C67">
        <w:rPr>
          <w:lang w:val="en-GB"/>
        </w:rPr>
        <w:t xml:space="preserve"> reward. Once mice </w:t>
      </w:r>
      <w:r w:rsidR="00EB3499" w:rsidRPr="00814C67">
        <w:rPr>
          <w:lang w:val="en-GB"/>
        </w:rPr>
        <w:t>obtained &gt;29</w:t>
      </w:r>
      <w:r w:rsidRPr="00814C67">
        <w:rPr>
          <w:lang w:val="en-GB"/>
        </w:rPr>
        <w:t xml:space="preserve"> rewards in two consecutive 30 min sessions</w:t>
      </w:r>
      <w:r w:rsidR="009C6E0C" w:rsidRPr="00814C67">
        <w:rPr>
          <w:lang w:val="en-GB"/>
        </w:rPr>
        <w:t xml:space="preserve"> or a maximum of 20 sessions</w:t>
      </w:r>
      <w:r w:rsidRPr="00814C67">
        <w:rPr>
          <w:lang w:val="en-GB"/>
        </w:rPr>
        <w:t xml:space="preserve">, </w:t>
      </w:r>
      <w:r w:rsidR="00EB3499" w:rsidRPr="00814C67">
        <w:rPr>
          <w:lang w:val="en-GB"/>
        </w:rPr>
        <w:t xml:space="preserve">training in </w:t>
      </w:r>
      <w:r w:rsidRPr="00814C67">
        <w:rPr>
          <w:lang w:val="en-GB"/>
        </w:rPr>
        <w:t>the actual 5-CSWM</w:t>
      </w:r>
      <w:r w:rsidR="00EB3499" w:rsidRPr="00814C67">
        <w:rPr>
          <w:lang w:val="en-GB"/>
        </w:rPr>
        <w:t xml:space="preserve"> task started</w:t>
      </w:r>
      <w:r w:rsidRPr="00814C67">
        <w:rPr>
          <w:lang w:val="en-GB"/>
        </w:rPr>
        <w:t>.</w:t>
      </w:r>
    </w:p>
    <w:p w:rsidR="00F444AA" w:rsidRPr="00814C67" w:rsidRDefault="00F444AA" w:rsidP="00F444AA">
      <w:pPr>
        <w:rPr>
          <w:lang w:val="en-GB"/>
        </w:rPr>
      </w:pPr>
      <w:r w:rsidRPr="00814C67">
        <w:rPr>
          <w:lang w:val="en-GB"/>
        </w:rPr>
        <w:t>The</w:t>
      </w:r>
      <w:r w:rsidR="00EB3499" w:rsidRPr="00814C67">
        <w:rPr>
          <w:lang w:val="en-GB"/>
        </w:rPr>
        <w:t xml:space="preserve"> basic</w:t>
      </w:r>
      <w:r w:rsidRPr="00814C67">
        <w:rPr>
          <w:lang w:val="en-GB"/>
        </w:rPr>
        <w:t xml:space="preserve"> 5-CSWM </w:t>
      </w:r>
      <w:r w:rsidR="00EB3499" w:rsidRPr="00814C67">
        <w:rPr>
          <w:lang w:val="en-GB"/>
        </w:rPr>
        <w:t xml:space="preserve">task </w:t>
      </w:r>
      <w:r w:rsidRPr="00814C67">
        <w:rPr>
          <w:lang w:val="en-GB"/>
        </w:rPr>
        <w:t xml:space="preserve">operant cycle began with a </w:t>
      </w:r>
      <w:r w:rsidRPr="00814C67">
        <w:rPr>
          <w:i/>
          <w:lang w:val="en-GB"/>
        </w:rPr>
        <w:t>sample phase</w:t>
      </w:r>
      <w:r w:rsidRPr="00814C67">
        <w:rPr>
          <w:lang w:val="en-GB"/>
        </w:rPr>
        <w:t xml:space="preserve"> (SP) during which the mouse had to poke the one hole of the 5-choice wall that was illuminated for a certain </w:t>
      </w:r>
      <w:r w:rsidRPr="00814C67">
        <w:rPr>
          <w:i/>
          <w:lang w:val="en-GB"/>
        </w:rPr>
        <w:t>stimulus duration</w:t>
      </w:r>
      <w:r w:rsidRPr="00814C67">
        <w:rPr>
          <w:lang w:val="en-GB"/>
        </w:rPr>
        <w:t xml:space="preserve"> (SP-SD). If correctly poked within the SP-SD time, illumination of this hole was turned off</w:t>
      </w:r>
      <w:r w:rsidR="00EB3499" w:rsidRPr="00814C67">
        <w:rPr>
          <w:lang w:val="en-GB"/>
        </w:rPr>
        <w:t>,</w:t>
      </w:r>
      <w:r w:rsidRPr="00814C67">
        <w:rPr>
          <w:lang w:val="en-GB"/>
        </w:rPr>
        <w:t xml:space="preserve"> the receptacle light was turned</w:t>
      </w:r>
      <w:r w:rsidR="00EB3499" w:rsidRPr="00814C67">
        <w:rPr>
          <w:lang w:val="en-GB"/>
        </w:rPr>
        <w:t>, and</w:t>
      </w:r>
      <w:r w:rsidRPr="00814C67">
        <w:rPr>
          <w:lang w:val="en-GB"/>
        </w:rPr>
        <w:t xml:space="preserve"> a 20 </w:t>
      </w:r>
      <w:r w:rsidRPr="00814C67">
        <w:rPr>
          <w:rFonts w:ascii="Symbol" w:hAnsi="Symbol"/>
          <w:lang w:val="en-GB"/>
        </w:rPr>
        <w:t></w:t>
      </w:r>
      <w:r w:rsidRPr="00814C67">
        <w:rPr>
          <w:lang w:val="en-GB"/>
        </w:rPr>
        <w:t xml:space="preserve">l reward was delivered. A time of 2 s was allowed for consumption and ended by turning off the receptacle light. Immediately afterwards, a </w:t>
      </w:r>
      <w:r w:rsidRPr="00814C67">
        <w:rPr>
          <w:i/>
          <w:lang w:val="en-GB"/>
        </w:rPr>
        <w:t>delay phase</w:t>
      </w:r>
      <w:r w:rsidRPr="00814C67">
        <w:rPr>
          <w:lang w:val="en-GB"/>
        </w:rPr>
        <w:t xml:space="preserve"> of 2 s started and was followed by a </w:t>
      </w:r>
      <w:r w:rsidRPr="00814C67">
        <w:rPr>
          <w:i/>
          <w:lang w:val="en-GB"/>
        </w:rPr>
        <w:t>choice phase</w:t>
      </w:r>
      <w:r w:rsidRPr="00814C67">
        <w:rPr>
          <w:lang w:val="en-GB"/>
        </w:rPr>
        <w:t xml:space="preserve"> (CP) during which - for a maximum </w:t>
      </w:r>
      <w:r w:rsidRPr="00814C67">
        <w:rPr>
          <w:i/>
          <w:lang w:val="en-GB"/>
        </w:rPr>
        <w:t>stimulus duration</w:t>
      </w:r>
      <w:r w:rsidRPr="00814C67">
        <w:rPr>
          <w:lang w:val="en-GB"/>
        </w:rPr>
        <w:t xml:space="preserve"> (CP-SD) of 20 s - the mouse was presented with two illuminated holes at the 5-choice wall, of which one was the hole that had been presented in the prior SP and was the correct choice option in this DMTP paradigm. In case of a correct poke into this hole (</w:t>
      </w:r>
      <w:r w:rsidRPr="00814C67">
        <w:rPr>
          <w:i/>
          <w:lang w:val="en-GB"/>
        </w:rPr>
        <w:t>correct response</w:t>
      </w:r>
      <w:r w:rsidRPr="00814C67">
        <w:rPr>
          <w:lang w:val="en-GB"/>
        </w:rPr>
        <w:t>), the cue lights were turned off and the receptacle was illuminated with simultaneous delivery of a 60 </w:t>
      </w:r>
      <w:r w:rsidRPr="00814C67">
        <w:rPr>
          <w:rFonts w:ascii="Symbol" w:hAnsi="Symbol"/>
          <w:lang w:val="en-GB"/>
        </w:rPr>
        <w:t></w:t>
      </w:r>
      <w:r w:rsidRPr="00814C67">
        <w:rPr>
          <w:lang w:val="en-GB"/>
        </w:rPr>
        <w:t>l reward. All other responses were not rewarded but were followed by</w:t>
      </w:r>
      <w:r w:rsidR="009C6E0C" w:rsidRPr="00814C67">
        <w:rPr>
          <w:lang w:val="en-GB"/>
        </w:rPr>
        <w:t xml:space="preserve"> a</w:t>
      </w:r>
      <w:r w:rsidRPr="00814C67">
        <w:rPr>
          <w:lang w:val="en-GB"/>
        </w:rPr>
        <w:t xml:space="preserve"> time-out. These erroneous responses included pokes into non-illuminated holes during the SP (</w:t>
      </w:r>
      <w:r w:rsidRPr="00814C67">
        <w:rPr>
          <w:i/>
          <w:lang w:val="en-GB"/>
        </w:rPr>
        <w:t>incorrect SP response</w:t>
      </w:r>
      <w:r w:rsidRPr="00814C67">
        <w:rPr>
          <w:lang w:val="en-GB"/>
        </w:rPr>
        <w:t>) or CP (</w:t>
      </w:r>
      <w:r w:rsidRPr="00814C67">
        <w:rPr>
          <w:i/>
          <w:lang w:val="en-GB"/>
        </w:rPr>
        <w:t>incorrect</w:t>
      </w:r>
      <w:r w:rsidRPr="00814C67">
        <w:rPr>
          <w:i/>
          <w:vertAlign w:val="subscript"/>
          <w:lang w:val="en-GB"/>
        </w:rPr>
        <w:t>unlit</w:t>
      </w:r>
      <w:r w:rsidRPr="00814C67">
        <w:rPr>
          <w:i/>
          <w:lang w:val="en-GB"/>
        </w:rPr>
        <w:t xml:space="preserve"> CP response</w:t>
      </w:r>
      <w:r w:rsidRPr="00814C67">
        <w:rPr>
          <w:lang w:val="en-GB"/>
        </w:rPr>
        <w:t>), incorrect responses into the illuminated hole during the CP (</w:t>
      </w:r>
      <w:r w:rsidRPr="00814C67">
        <w:rPr>
          <w:i/>
          <w:lang w:val="en-GB"/>
        </w:rPr>
        <w:t>incorrect</w:t>
      </w:r>
      <w:r w:rsidRPr="00814C67">
        <w:rPr>
          <w:i/>
          <w:vertAlign w:val="subscript"/>
          <w:lang w:val="en-GB"/>
        </w:rPr>
        <w:t>lit</w:t>
      </w:r>
      <w:r w:rsidRPr="00814C67">
        <w:rPr>
          <w:i/>
          <w:lang w:val="en-GB"/>
        </w:rPr>
        <w:t xml:space="preserve"> CP response</w:t>
      </w:r>
      <w:r w:rsidRPr="00814C67">
        <w:rPr>
          <w:lang w:val="en-GB"/>
        </w:rPr>
        <w:t>), or omissions of any response during the allowed SD response times in either phase (</w:t>
      </w:r>
      <w:r w:rsidRPr="00814C67">
        <w:rPr>
          <w:i/>
          <w:lang w:val="en-GB"/>
        </w:rPr>
        <w:t>SP omission, CP omission</w:t>
      </w:r>
      <w:r w:rsidRPr="00814C67">
        <w:rPr>
          <w:lang w:val="en-GB"/>
        </w:rPr>
        <w:t xml:space="preserve">). Premature pokes had no consequence. An </w:t>
      </w:r>
      <w:r w:rsidR="00EB3499" w:rsidRPr="00814C67">
        <w:rPr>
          <w:lang w:val="en-GB"/>
        </w:rPr>
        <w:t>inter-trial interval (ITI) of</w:t>
      </w:r>
      <w:r w:rsidR="009C6E0C" w:rsidRPr="00814C67">
        <w:rPr>
          <w:lang w:val="en-GB"/>
        </w:rPr>
        <w:t>, mostly,</w:t>
      </w:r>
      <w:r w:rsidR="00EB3499" w:rsidRPr="00814C67">
        <w:rPr>
          <w:lang w:val="en-GB"/>
        </w:rPr>
        <w:t xml:space="preserve"> 5</w:t>
      </w:r>
      <w:r w:rsidRPr="00814C67">
        <w:rPr>
          <w:lang w:val="en-GB"/>
        </w:rPr>
        <w:t> s (</w:t>
      </w:r>
      <w:r w:rsidR="00EB3499" w:rsidRPr="00814C67">
        <w:rPr>
          <w:lang w:val="en-GB"/>
        </w:rPr>
        <w:t>in addition to</w:t>
      </w:r>
      <w:r w:rsidRPr="00814C67">
        <w:rPr>
          <w:lang w:val="en-GB"/>
        </w:rPr>
        <w:t xml:space="preserve"> the 5 s time-out after erroneous responses) followed before a new SP with cue-presentation was started.</w:t>
      </w:r>
      <w:r w:rsidR="009C6E0C" w:rsidRPr="00814C67">
        <w:rPr>
          <w:lang w:val="en-GB"/>
        </w:rPr>
        <w:t xml:space="preserve"> The ITI was extended to 15 s for 6 sessions </w:t>
      </w:r>
      <w:r w:rsidR="009C6E0C" w:rsidRPr="00814C67">
        <w:rPr>
          <w:i/>
          <w:lang w:val="en-GB"/>
        </w:rPr>
        <w:t>before</w:t>
      </w:r>
      <w:r w:rsidR="009C6E0C" w:rsidRPr="00814C67">
        <w:rPr>
          <w:lang w:val="en-GB"/>
        </w:rPr>
        <w:t xml:space="preserve"> and for the sessions </w:t>
      </w:r>
      <w:r w:rsidR="009C6E0C" w:rsidRPr="00814C67">
        <w:rPr>
          <w:i/>
          <w:lang w:val="en-GB"/>
        </w:rPr>
        <w:t>of</w:t>
      </w:r>
      <w:r w:rsidR="009C6E0C" w:rsidRPr="00814C67">
        <w:rPr>
          <w:lang w:val="en-GB"/>
        </w:rPr>
        <w:t xml:space="preserve"> the first three challenges.</w:t>
      </w:r>
    </w:p>
    <w:p w:rsidR="00F444AA" w:rsidRPr="00814C67" w:rsidRDefault="00F444AA" w:rsidP="00F444AA">
      <w:pPr>
        <w:rPr>
          <w:lang w:val="en-GB"/>
        </w:rPr>
      </w:pPr>
      <w:r w:rsidRPr="00814C67">
        <w:rPr>
          <w:lang w:val="en-GB"/>
        </w:rPr>
        <w:t xml:space="preserve">The primary readouts during this operant cycle were </w:t>
      </w:r>
      <w:r w:rsidR="00EB3499" w:rsidRPr="00814C67">
        <w:rPr>
          <w:lang w:val="en-GB"/>
        </w:rPr>
        <w:t xml:space="preserve">the key </w:t>
      </w:r>
      <w:r w:rsidRPr="00814C67">
        <w:rPr>
          <w:lang w:val="en-GB"/>
        </w:rPr>
        <w:t xml:space="preserve">measure of WM performance, </w:t>
      </w:r>
      <w:r w:rsidRPr="00814C67">
        <w:rPr>
          <w:i/>
          <w:lang w:val="en-GB"/>
        </w:rPr>
        <w:t>accuracy</w:t>
      </w:r>
      <w:r w:rsidRPr="00814C67">
        <w:rPr>
          <w:i/>
          <w:vertAlign w:val="subscript"/>
          <w:lang w:val="en-GB"/>
        </w:rPr>
        <w:t>lit</w:t>
      </w:r>
      <w:r w:rsidRPr="00814C67">
        <w:rPr>
          <w:i/>
          <w:lang w:val="en-GB"/>
        </w:rPr>
        <w:t xml:space="preserve"> </w:t>
      </w:r>
      <w:r w:rsidRPr="00814C67">
        <w:rPr>
          <w:lang w:val="en-GB"/>
        </w:rPr>
        <w:t>(number of correct CP responses divided by the number of correct and incorrect</w:t>
      </w:r>
      <w:r w:rsidRPr="00814C67">
        <w:rPr>
          <w:vertAlign w:val="subscript"/>
          <w:lang w:val="en-GB"/>
        </w:rPr>
        <w:t>lit</w:t>
      </w:r>
      <w:r w:rsidRPr="00814C67">
        <w:rPr>
          <w:lang w:val="en-GB"/>
        </w:rPr>
        <w:t xml:space="preserve"> CP responses)</w:t>
      </w:r>
      <w:r w:rsidR="00EB3499" w:rsidRPr="00814C67">
        <w:rPr>
          <w:lang w:val="en-GB"/>
        </w:rPr>
        <w:t>, the CP omission rate (%) as a measure of task engagement (number of CP omissions divided by number of correct SP responses), and – as a metric for stimulus-directed attention</w:t>
      </w:r>
      <w:r w:rsidR="00A85001" w:rsidRPr="00814C67">
        <w:rPr>
          <w:lang w:val="en-GB"/>
        </w:rPr>
        <w:t xml:space="preserve">, </w:t>
      </w:r>
      <w:r w:rsidRPr="00814C67">
        <w:rPr>
          <w:lang w:val="en-GB"/>
        </w:rPr>
        <w:t xml:space="preserve">the SP </w:t>
      </w:r>
      <w:r w:rsidRPr="00814C67">
        <w:rPr>
          <w:i/>
          <w:lang w:val="en-GB"/>
        </w:rPr>
        <w:t>accuracy</w:t>
      </w:r>
      <w:r w:rsidRPr="00814C67">
        <w:rPr>
          <w:lang w:val="en-GB"/>
        </w:rPr>
        <w:t xml:space="preserve"> (number of correct SP responses divided by the number of all SP responses, excluding </w:t>
      </w:r>
      <w:r w:rsidR="00A85001" w:rsidRPr="00814C67">
        <w:rPr>
          <w:lang w:val="en-GB"/>
        </w:rPr>
        <w:t xml:space="preserve">SP </w:t>
      </w:r>
      <w:r w:rsidRPr="00814C67">
        <w:rPr>
          <w:lang w:val="en-GB"/>
        </w:rPr>
        <w:t>omissions)</w:t>
      </w:r>
      <w:r w:rsidR="00A85001" w:rsidRPr="00814C67">
        <w:rPr>
          <w:lang w:val="en-GB"/>
        </w:rPr>
        <w:t xml:space="preserve">. </w:t>
      </w:r>
      <w:r w:rsidRPr="00814C67">
        <w:rPr>
          <w:lang w:val="en-GB"/>
        </w:rPr>
        <w:t>To aid task acquisition, the 5-CSWM was trained in increasingly difficult stages through which the mice transitioned depending on achieving certain performance criteria during 3 consecutive days on the prior stage. The parameters and performance criteria of these stages</w:t>
      </w:r>
      <w:r w:rsidR="00A85001" w:rsidRPr="00814C67">
        <w:rPr>
          <w:lang w:val="en-GB"/>
        </w:rPr>
        <w:t xml:space="preserve"> and later challenge protocols</w:t>
      </w:r>
      <w:r w:rsidRPr="00814C67">
        <w:rPr>
          <w:lang w:val="en-GB"/>
        </w:rPr>
        <w:t xml:space="preserve"> are stated in Supplementary </w:t>
      </w:r>
      <w:r w:rsidR="00A85001" w:rsidRPr="00814C67">
        <w:rPr>
          <w:lang w:val="en-GB"/>
        </w:rPr>
        <w:t xml:space="preserve">Table </w:t>
      </w:r>
      <w:r w:rsidR="003029D3" w:rsidRPr="00814C67">
        <w:rPr>
          <w:lang w:val="en-GB"/>
        </w:rPr>
        <w:t>5</w:t>
      </w:r>
      <w:r w:rsidRPr="00814C67">
        <w:rPr>
          <w:lang w:val="en-GB"/>
        </w:rPr>
        <w:t xml:space="preserve">. </w:t>
      </w:r>
      <w:r w:rsidR="008B1D59" w:rsidRPr="00814C67">
        <w:rPr>
          <w:lang w:val="en-GB"/>
        </w:rPr>
        <w:t xml:space="preserve">Challenges of working memory were implemented by extending the delay phase either </w:t>
      </w:r>
      <w:r w:rsidR="008B1D59" w:rsidRPr="00814C67">
        <w:rPr>
          <w:i/>
          <w:lang w:val="en-GB"/>
        </w:rPr>
        <w:t>after</w:t>
      </w:r>
      <w:r w:rsidR="008B1D59" w:rsidRPr="00814C67">
        <w:rPr>
          <w:lang w:val="en-GB"/>
        </w:rPr>
        <w:t xml:space="preserve"> the SP-reward collection (</w:t>
      </w:r>
      <w:r w:rsidR="008B1D59" w:rsidRPr="00814C67">
        <w:rPr>
          <w:i/>
          <w:lang w:val="en-GB"/>
        </w:rPr>
        <w:t>post-delay</w:t>
      </w:r>
      <w:r w:rsidR="009C6E0C" w:rsidRPr="00814C67">
        <w:rPr>
          <w:lang w:val="en-GB"/>
        </w:rPr>
        <w:t>) from 2 s to 12 s or 22</w:t>
      </w:r>
      <w:r w:rsidR="008B1D59" w:rsidRPr="00814C67">
        <w:rPr>
          <w:lang w:val="en-GB"/>
        </w:rPr>
        <w:t xml:space="preserve"> s, or </w:t>
      </w:r>
      <w:r w:rsidR="008B1D59" w:rsidRPr="00814C67">
        <w:rPr>
          <w:i/>
          <w:lang w:val="en-GB"/>
        </w:rPr>
        <w:t>before</w:t>
      </w:r>
      <w:r w:rsidR="008B1D59" w:rsidRPr="00814C67">
        <w:rPr>
          <w:lang w:val="en-GB"/>
        </w:rPr>
        <w:t xml:space="preserve"> the SP-re</w:t>
      </w:r>
      <w:r w:rsidR="009C6E0C" w:rsidRPr="00814C67">
        <w:rPr>
          <w:lang w:val="en-GB"/>
        </w:rPr>
        <w:t>ward delivery (pre-delay) from 2 s</w:t>
      </w:r>
      <w:r w:rsidR="00114E6B" w:rsidRPr="00814C67">
        <w:rPr>
          <w:lang w:val="en-GB"/>
        </w:rPr>
        <w:t xml:space="preserve"> (special baseline protocol, baseline 2)</w:t>
      </w:r>
      <w:r w:rsidR="009C6E0C" w:rsidRPr="00814C67">
        <w:rPr>
          <w:lang w:val="en-GB"/>
        </w:rPr>
        <w:t xml:space="preserve"> to 7</w:t>
      </w:r>
      <w:r w:rsidR="008B1D59" w:rsidRPr="00814C67">
        <w:rPr>
          <w:lang w:val="en-GB"/>
        </w:rPr>
        <w:t> s or 1</w:t>
      </w:r>
      <w:r w:rsidR="009C6E0C" w:rsidRPr="00814C67">
        <w:rPr>
          <w:lang w:val="en-GB"/>
        </w:rPr>
        <w:t>2</w:t>
      </w:r>
      <w:r w:rsidR="008B1D59" w:rsidRPr="00814C67">
        <w:rPr>
          <w:lang w:val="en-GB"/>
        </w:rPr>
        <w:t> s, or by introducing a visual distraction (switching on the house light two times at random during a 5 s post-delay).</w:t>
      </w:r>
    </w:p>
    <w:p w:rsidR="00F444AA" w:rsidRPr="00814C67" w:rsidRDefault="00F444AA" w:rsidP="00132DCD">
      <w:pPr>
        <w:pStyle w:val="Heading2"/>
        <w:rPr>
          <w:rFonts w:eastAsiaTheme="minorHAnsi"/>
          <w:color w:val="auto"/>
          <w:lang w:val="en-GB"/>
        </w:rPr>
      </w:pPr>
      <w:r w:rsidRPr="00814C67">
        <w:rPr>
          <w:rFonts w:eastAsiaTheme="minorHAnsi"/>
          <w:color w:val="auto"/>
          <w:lang w:val="en-GB"/>
        </w:rPr>
        <w:t>5-choice serial reaction time task (5-CSRTT)</w:t>
      </w:r>
    </w:p>
    <w:p w:rsidR="004E5911" w:rsidRPr="00814C67" w:rsidRDefault="004E5911" w:rsidP="00F444AA">
      <w:pPr>
        <w:rPr>
          <w:lang w:val="en-GB"/>
        </w:rPr>
      </w:pPr>
      <w:r w:rsidRPr="00814C67">
        <w:rPr>
          <w:lang w:val="en-GB"/>
        </w:rPr>
        <w:t xml:space="preserve">Mice of the AAV-cohorts that had </w:t>
      </w:r>
      <w:r w:rsidR="00F444AA" w:rsidRPr="00814C67">
        <w:rPr>
          <w:lang w:val="en-GB"/>
        </w:rPr>
        <w:t xml:space="preserve">learnt the </w:t>
      </w:r>
      <w:r w:rsidRPr="00814C67">
        <w:rPr>
          <w:lang w:val="en-GB"/>
        </w:rPr>
        <w:t xml:space="preserve">5-CSWM task were transferred to the 5-CSRTT, immediately after completion of the challenge battery. The 5-CSRTT essentially corresponds to the SP of the 5-CSWM task, except that the light conditions are inverted (box illuminated by default and dark during time-outs) and that premature responses during the ITI are punished by a time-out. These mice were directly trained on stage 4 of the 5-CSRTT training stages, whose parameters are stated in Supplementary Table </w:t>
      </w:r>
      <w:r w:rsidR="003029D3" w:rsidRPr="00814C67">
        <w:rPr>
          <w:lang w:val="en-GB"/>
        </w:rPr>
        <w:t>6</w:t>
      </w:r>
      <w:r w:rsidRPr="00814C67">
        <w:rPr>
          <w:lang w:val="en-GB"/>
        </w:rPr>
        <w:t>. Mice of the transgenic cohorts, in contrast, were trained in the 5-CSRTT starting with the standard operant habituation training (see 5-CSWM section above) and were then trained up through all 5 training stages. The 5-CSRTT was conducted like previously described</w:t>
      </w:r>
      <w:r w:rsidR="00F456C3" w:rsidRPr="00814C67">
        <w:rPr>
          <w:lang w:val="en-GB"/>
        </w:rPr>
        <w:fldChar w:fldCharType="begin"/>
      </w:r>
      <w:r w:rsidR="003970EA" w:rsidRPr="00814C67">
        <w:rPr>
          <w:lang w:val="en-GB"/>
        </w:rPr>
        <w:instrText xml:space="preserve"> ADDIN ZOTERO_ITEM CSL_CITATION {"citationID":"91Kmx3dP","properties":{"formattedCitation":"\\super 3\\nosupersub{}","plainCitation":"3","noteIndex":0},"citationItems":[{"id":21445,"uris":["http://zotero.org/users/local/biVi7xTd/items/24WVQMEQ"],"uri":["http://zotero.org/users/local/biVi7xTd/items/24WVQMEQ"],"itemData":{"id":21445,"type":"article-journal","abstract":"Elevated activity at the output stage of the anterior hippocampus has been described as a physiological endophenotype of schizophrenia, and its development maps onto the transition from the prodromal to the psychotic state. Interventions that halt the spreading glutamatergic over-activity in this region and thereby the development of overt schizophrenia could be promising therapies. However, animal models with high construct validity to support such pre-clinical development are scarce. The Cyclin-D2 knockout (CD2-KO) mouse model shows a hippocampal parvalbumin-interneuron dysfunction, and its pattern of hippocampal over-activity shares similarities with that seen in prodromal patients. Conducting a comprehensive phenotyping of CD2-KO mice, we found that they displayed novelty-induced hyperlocomotion (a rodent correlate of positive symptoms of schizophrenia), that was largely resistant against D1- and D2-dopamine-receptor antagonism, but responsive to the mGluR2/3-agonist LY379268. In the negative symptom domain, CD2-KO mice showed transiently reduced sucrose-preference (anhedonia), but enhanced interaction with novel mice and objects, as well as normal nest building and incentive motivation. Also, unconditioned anxiety, perseveration, and motor-impulsivity were unaltered. However, in the cognitive domain, CD2-knockouts showed reduced executive function in assays of rule-shift and rule-reversal learning, and also an impairment in working memory, that was resistant against LY379268-treatment. In contrast, sustained attention and forms of spatial and object-related memory that are mediated by short-term habituation of stimulus-specific attention were intact. Our results suggest that CD2-KO mice are a valuable model in translational research targeted at the pharmacoresistant cognitive symptom domain in causal relation to hippocampal over-activity in the prodrome-to-psychosis transition.","container-title":"Translational Psychiatry","DOI":"10.1038/s41398-018-0268-6","ISSN":"2158-3188","issue":"1","language":"en","page":"212","source":"www.nature.com","title":"Schizophrenia-related cognitive dysfunction in the Cyclin-D2 knockout mouse model of ventral hippocampal hyperactivity","volume":"8","author":[{"family":"Grimm","given":"Christina M."},{"family":"Aksamaz","given":"Sonat"},{"family":"Schulz","given":"Stefanie"},{"family":"Teutsch","given":"Jasper"},{"family":"Sicinski","given":"Piotr"},{"family":"Liss","given":"Birgit"},{"family":"Kätzel","given":"Dennis"}],"issued":{"date-parts":[["2018",10,9]]}}}],"schema":"https://github.com/citation-style-language/schema/raw/master/csl-citation.json"} </w:instrText>
      </w:r>
      <w:r w:rsidR="00F456C3" w:rsidRPr="00814C67">
        <w:rPr>
          <w:lang w:val="en-GB"/>
        </w:rPr>
        <w:fldChar w:fldCharType="separate"/>
      </w:r>
      <w:r w:rsidR="003970EA" w:rsidRPr="00814C67">
        <w:rPr>
          <w:rFonts w:cs="Arial"/>
          <w:vertAlign w:val="superscript"/>
        </w:rPr>
        <w:t>3</w:t>
      </w:r>
      <w:r w:rsidR="00F456C3" w:rsidRPr="00814C67">
        <w:rPr>
          <w:lang w:val="en-GB"/>
        </w:rPr>
        <w:fldChar w:fldCharType="end"/>
      </w:r>
      <w:r w:rsidRPr="00814C67">
        <w:rPr>
          <w:lang w:val="en-GB"/>
        </w:rPr>
        <w:t xml:space="preserve">, except that the same custom-made operant boxes were used that were also used for the 5-CSWM. Task scripts of all training and challenge stages are available on https://github.com/KaetzelLab/Operant-Box-Code. The basic operant cycle of the 5-CSRTT starts with a waiting time </w:t>
      </w:r>
      <w:r w:rsidR="006F2BCA" w:rsidRPr="00814C67">
        <w:rPr>
          <w:lang w:val="en-GB"/>
        </w:rPr>
        <w:t>(the inter-trial-interval, ITI) of 2 s or 5 s, depending on the training stage, which is followed by illumination of one of the five holes for a certain stimulus duration (SD). If mice poke into that hole during the SD or the subsequent 1 s, the reward receptacle is illuminated and a reward of 20 </w:t>
      </w:r>
      <w:r w:rsidR="006F2BCA" w:rsidRPr="00814C67">
        <w:rPr>
          <w:rFonts w:ascii="Symbol" w:hAnsi="Symbol"/>
          <w:lang w:val="en-GB"/>
        </w:rPr>
        <w:t></w:t>
      </w:r>
      <w:r w:rsidR="006F2BCA" w:rsidRPr="00814C67">
        <w:rPr>
          <w:lang w:val="en-GB"/>
        </w:rPr>
        <w:t>l delivered, whose consumption is followed by another ITI. If mice poke before SD onset (premature response), during the SD into a non-illuminated hole (incorrect response), or refrain from poking (omission) reward is withheld and instead a 5 s timeout period is initiated after which a new ITI starts. If mice poke into a correct hole again before collecting the reward, this poke is counted a perseverative response. Key readouts of the tas</w:t>
      </w:r>
      <w:r w:rsidR="00D02042" w:rsidRPr="00814C67">
        <w:rPr>
          <w:lang w:val="en-GB"/>
        </w:rPr>
        <w:t>k</w:t>
      </w:r>
      <w:r w:rsidR="00F456C3" w:rsidRPr="00814C67">
        <w:rPr>
          <w:lang w:val="en-GB"/>
        </w:rPr>
        <w:fldChar w:fldCharType="begin"/>
      </w:r>
      <w:r w:rsidR="003970EA" w:rsidRPr="00814C67">
        <w:rPr>
          <w:lang w:val="en-GB"/>
        </w:rPr>
        <w:instrText xml:space="preserve"> ADDIN ZOTERO_ITEM CSL_CITATION {"citationID":"168ntsuagi","properties":{"formattedCitation":"\\super 3,4\\nosupersub{}","plainCitation":"3,4","noteIndex":0},"citationItems":[{"id":9366,"uris":["http://zotero.org/users/local/biVi7xTd/items/FHUTKZ4B"],"uri":["http://zotero.org/users/local/biVi7xTd/items/FHUTKZ4B"],"itemData":{"id":9366,"type":"article-journal","container-title":"Nat. Protocols","ISSN":"1754-2189","issue":"5","page":"759-767","title":"The application of the 5-choice serial reaction time task for the assessment of visual attentional processes and impulse control in rats","volume":"3","author":[{"family":"Bari","given":"Andrea"},{"family":"Dalley","given":"Jeffrey W."},{"family":"Robbins","given":"Trevor W."}],"issued":{"date-parts":[["2008"]]}}},{"id":21445,"uris":["http://zotero.org/users/local/biVi7xTd/items/24WVQMEQ"],"uri":["http://zotero.org/users/local/biVi7xTd/items/24WVQMEQ"],"itemData":{"id":21445,"type":"article-journal","abstract":"Elevated activity at the output stage of the anterior hippocampus has been described as a physiological endophenotype of schizophrenia, and its development maps onto the transition from the prodromal to the psychotic state. Interventions that halt the spreading glutamatergic over-activity in this region and thereby the development of overt schizophrenia could be promising therapies. However, animal models with high construct validity to support such pre-clinical development are scarce. The Cyclin-D2 knockout (CD2-KO) mouse model shows a hippocampal parvalbumin-interneuron dysfunction, and its pattern of hippocampal over-activity shares similarities with that seen in prodromal patients. Conducting a comprehensive phenotyping of CD2-KO mice, we found that they displayed novelty-induced hyperlocomotion (a rodent correlate of positive symptoms of schizophrenia), that was largely resistant against D1- and D2-dopamine-receptor antagonism, but responsive to the mGluR2/3-agonist LY379268. In the negative symptom domain, CD2-KO mice showed transiently reduced sucrose-preference (anhedonia), but enhanced interaction with novel mice and objects, as well as normal nest building and incentive motivation. Also, unconditioned anxiety, perseveration, and motor-impulsivity were unaltered. However, in the cognitive domain, CD2-knockouts showed reduced executive function in assays of rule-shift and rule-reversal learning, and also an impairment in working memory, that was resistant against LY379268-treatment. In contrast, sustained attention and forms of spatial and object-related memory that are mediated by short-term habituation of stimulus-specific attention were intact. Our results suggest that CD2-KO mice are a valuable model in translational research targeted at the pharmacoresistant cognitive symptom domain in causal relation to hippocampal over-activity in the prodrome-to-psychosis transition.","container-title":"Translational Psychiatry","DOI":"10.1038/s41398-018-0268-6","ISSN":"2158-3188","issue":"1","language":"en","page":"212","source":"www.nature.com","title":"Schizophrenia-related cognitive dysfunction in the Cyclin-D2 knockout mouse model of ventral hippocampal hyperactivity","volume":"8","author":[{"family":"Grimm","given":"Christina M."},{"family":"Aksamaz","given":"Sonat"},{"family":"Schulz","given":"Stefanie"},{"family":"Teutsch","given":"Jasper"},{"family":"Sicinski","given":"Piotr"},{"family":"Liss","given":"Birgit"},{"family":"Kätzel","given":"Dennis"}],"issued":{"date-parts":[["2018",10,9]]}}}],"schema":"https://github.com/citation-style-language/schema/raw/master/csl-citation.json"} </w:instrText>
      </w:r>
      <w:r w:rsidR="00F456C3" w:rsidRPr="00814C67">
        <w:rPr>
          <w:lang w:val="en-GB"/>
        </w:rPr>
        <w:fldChar w:fldCharType="separate"/>
      </w:r>
      <w:r w:rsidR="003970EA" w:rsidRPr="00814C67">
        <w:rPr>
          <w:rFonts w:cs="Arial"/>
          <w:vertAlign w:val="superscript"/>
        </w:rPr>
        <w:t>3,4</w:t>
      </w:r>
      <w:r w:rsidR="00F456C3" w:rsidRPr="00814C67">
        <w:rPr>
          <w:lang w:val="en-GB"/>
        </w:rPr>
        <w:fldChar w:fldCharType="end"/>
      </w:r>
      <w:r w:rsidR="006F2BCA" w:rsidRPr="00814C67">
        <w:rPr>
          <w:lang w:val="en-GB"/>
        </w:rPr>
        <w:t xml:space="preserve"> are the primary measures of sustained attention, accuracy (number of correct responses divided by the sum of correct and incorrect responses), of task-engagement</w:t>
      </w:r>
      <w:r w:rsidR="00D02042" w:rsidRPr="00814C67">
        <w:rPr>
          <w:lang w:val="en-GB"/>
        </w:rPr>
        <w:t xml:space="preserve"> (% of trials with omissions), motor impulsivity (% of trials with premature responses), and perseveration (</w:t>
      </w:r>
      <w:r w:rsidR="00114E6B" w:rsidRPr="00814C67">
        <w:rPr>
          <w:lang w:val="en-GB"/>
        </w:rPr>
        <w:t xml:space="preserve">ratio of perseverative responses and correct responses expressed as </w:t>
      </w:r>
      <w:r w:rsidR="00D02042" w:rsidRPr="00814C67">
        <w:rPr>
          <w:lang w:val="en-GB"/>
        </w:rPr>
        <w:t>%</w:t>
      </w:r>
      <w:r w:rsidR="00114E6B" w:rsidRPr="00814C67">
        <w:rPr>
          <w:lang w:val="en-GB"/>
        </w:rPr>
        <w:t>)</w:t>
      </w:r>
      <w:r w:rsidR="00D02042" w:rsidRPr="00814C67">
        <w:rPr>
          <w:lang w:val="en-GB"/>
        </w:rPr>
        <w:t>. Additionally, reward latency – the time between correct poke and entry into the reward receptacle – is measured as</w:t>
      </w:r>
      <w:r w:rsidR="00114E6B" w:rsidRPr="00814C67">
        <w:rPr>
          <w:lang w:val="en-GB"/>
        </w:rPr>
        <w:t xml:space="preserve"> an</w:t>
      </w:r>
      <w:r w:rsidR="00D02042" w:rsidRPr="00814C67">
        <w:rPr>
          <w:lang w:val="en-GB"/>
        </w:rPr>
        <w:t xml:space="preserve"> indicator of locomotor drive, and response latency – the time between SD-onset and correct poke – is measured as an indicator or processing speed. Additionally, in alignment with human versions of the 5-CSRTT, we recorded the variability of the </w:t>
      </w:r>
      <w:r w:rsidR="00114E6B" w:rsidRPr="00814C67">
        <w:rPr>
          <w:lang w:val="en-GB"/>
        </w:rPr>
        <w:t xml:space="preserve">correct </w:t>
      </w:r>
      <w:r w:rsidR="00D02042" w:rsidRPr="00814C67">
        <w:rPr>
          <w:lang w:val="en-GB"/>
        </w:rPr>
        <w:t xml:space="preserve">response latency as an additional measure of attentiveness (coefficient of variation, CV, equalling the </w:t>
      </w:r>
      <w:r w:rsidR="00B6623E" w:rsidRPr="00814C67">
        <w:rPr>
          <w:lang w:val="en-GB"/>
        </w:rPr>
        <w:t>ratio of standard deviation and mean of the individual response latency values of all correct responses).</w:t>
      </w:r>
    </w:p>
    <w:p w:rsidR="00D265B0" w:rsidRPr="00814C67" w:rsidRDefault="00D265B0" w:rsidP="00132DCD">
      <w:pPr>
        <w:pStyle w:val="Heading2"/>
        <w:rPr>
          <w:color w:val="auto"/>
          <w:lang w:val="en-GB"/>
        </w:rPr>
      </w:pPr>
      <w:r w:rsidRPr="00814C67">
        <w:rPr>
          <w:color w:val="auto"/>
          <w:lang w:val="en-GB"/>
        </w:rPr>
        <w:t>Visual rule-shift learning</w:t>
      </w:r>
    </w:p>
    <w:p w:rsidR="00D265B0" w:rsidRPr="00814C67" w:rsidRDefault="00D265B0" w:rsidP="00F444AA">
      <w:pPr>
        <w:rPr>
          <w:lang w:val="en-GB"/>
        </w:rPr>
      </w:pPr>
      <w:r w:rsidRPr="00814C67">
        <w:rPr>
          <w:lang w:val="en-GB"/>
        </w:rPr>
        <w:t>Rule-shift learning was conducted based on the prior training of mice in the 5-CSRTT, as previously described</w:t>
      </w:r>
      <w:r w:rsidR="00F456C3" w:rsidRPr="00814C67">
        <w:rPr>
          <w:lang w:val="en-GB"/>
        </w:rPr>
        <w:fldChar w:fldCharType="begin"/>
      </w:r>
      <w:r w:rsidR="003970EA" w:rsidRPr="00814C67">
        <w:rPr>
          <w:lang w:val="en-GB"/>
        </w:rPr>
        <w:instrText xml:space="preserve"> ADDIN ZOTERO_ITEM CSL_CITATION {"citationID":"xMSPVAVw","properties":{"formattedCitation":"\\super 3\\nosupersub{}","plainCitation":"3","noteIndex":0},"citationItems":[{"id":21445,"uris":["http://zotero.org/users/local/biVi7xTd/items/24WVQMEQ"],"uri":["http://zotero.org/users/local/biVi7xTd/items/24WVQMEQ"],"itemData":{"id":21445,"type":"article-journal","abstract":"Elevated activity at the output stage of the anterior hippocampus has been described as a physiological endophenotype of schizophrenia, and its development maps onto the transition from the prodromal to the psychotic state. Interventions that halt the spreading glutamatergic over-activity in this region and thereby the development of overt schizophrenia could be promising therapies. However, animal models with high construct validity to support such pre-clinical development are scarce. The Cyclin-D2 knockout (CD2-KO) mouse model shows a hippocampal parvalbumin-interneuron dysfunction, and its pattern of hippocampal over-activity shares similarities with that seen in prodromal patients. Conducting a comprehensive phenotyping of CD2-KO mice, we found that they displayed novelty-induced hyperlocomotion (a rodent correlate of positive symptoms of schizophrenia), that was largely resistant against D1- and D2-dopamine-receptor antagonism, but responsive to the mGluR2/3-agonist LY379268. In the negative symptom domain, CD2-KO mice showed transiently reduced sucrose-preference (anhedonia), but enhanced interaction with novel mice and objects, as well as normal nest building and incentive motivation. Also, unconditioned anxiety, perseveration, and motor-impulsivity were unaltered. However, in the cognitive domain, CD2-knockouts showed reduced executive function in assays of rule-shift and rule-reversal learning, and also an impairment in working memory, that was resistant against LY379268-treatment. In contrast, sustained attention and forms of spatial and object-related memory that are mediated by short-term habituation of stimulus-specific attention were intact. Our results suggest that CD2-KO mice are a valuable model in translational research targeted at the pharmacoresistant cognitive symptom domain in causal relation to hippocampal over-activity in the prodrome-to-psychosis transition.","container-title":"Translational Psychiatry","DOI":"10.1038/s41398-018-0268-6","ISSN":"2158-3188","issue":"1","language":"en","page":"212","source":"www.nature.com","title":"Schizophrenia-related cognitive dysfunction in the Cyclin-D2 knockout mouse model of ventral hippocampal hyperactivity","volume":"8","author":[{"family":"Grimm","given":"Christina M."},{"family":"Aksamaz","given":"Sonat"},{"family":"Schulz","given":"Stefanie"},{"family":"Teutsch","given":"Jasper"},{"family":"Sicinski","given":"Piotr"},{"family":"Liss","given":"Birgit"},{"family":"Kätzel","given":"Dennis"}],"issued":{"date-parts":[["2018",10,9]]}}}],"schema":"https://github.com/citation-style-language/schema/raw/master/csl-citation.json"} </w:instrText>
      </w:r>
      <w:r w:rsidR="00F456C3" w:rsidRPr="00814C67">
        <w:rPr>
          <w:lang w:val="en-GB"/>
        </w:rPr>
        <w:fldChar w:fldCharType="separate"/>
      </w:r>
      <w:r w:rsidR="003970EA" w:rsidRPr="00814C67">
        <w:rPr>
          <w:rFonts w:cs="Arial"/>
          <w:vertAlign w:val="superscript"/>
        </w:rPr>
        <w:t>3</w:t>
      </w:r>
      <w:r w:rsidR="00F456C3" w:rsidRPr="00814C67">
        <w:rPr>
          <w:lang w:val="en-GB"/>
        </w:rPr>
        <w:fldChar w:fldCharType="end"/>
      </w:r>
      <w:r w:rsidRPr="00814C67">
        <w:rPr>
          <w:lang w:val="en-GB"/>
        </w:rPr>
        <w:t xml:space="preserve">. Mice were moved to a simplified, 2-choice version of the 5-CSRTT (see above) with an SD of 8 s, an ITI of 2 s, only holes 2 and 4 provided as choice options, and premature responses not punished. Mice were trained in this protocol until they have achieved an accuracy of </w:t>
      </w:r>
      <w:r w:rsidR="007403E4" w:rsidRPr="00814C67">
        <w:rPr>
          <w:lang w:val="en-GB"/>
        </w:rPr>
        <w:t>7</w:t>
      </w:r>
      <w:r w:rsidRPr="00814C67">
        <w:rPr>
          <w:lang w:val="en-GB"/>
        </w:rPr>
        <w:t>0%</w:t>
      </w:r>
      <w:r w:rsidR="007403E4" w:rsidRPr="00814C67">
        <w:rPr>
          <w:lang w:val="en-GB"/>
        </w:rPr>
        <w:t xml:space="preserve"> (AAV-cohorts) or 75% (transgenic cohorts)</w:t>
      </w:r>
      <w:r w:rsidRPr="00814C67">
        <w:rPr>
          <w:lang w:val="en-GB"/>
        </w:rPr>
        <w:t xml:space="preserve"> in at least two consecutive sessions</w:t>
      </w:r>
      <w:r w:rsidR="007403E4" w:rsidRPr="00814C67">
        <w:rPr>
          <w:lang w:val="en-GB"/>
        </w:rPr>
        <w:t xml:space="preserve"> (with a majority of mice scoring &gt;80% before the rule-shift)</w:t>
      </w:r>
      <w:r w:rsidRPr="00814C67">
        <w:rPr>
          <w:lang w:val="en-GB"/>
        </w:rPr>
        <w:t xml:space="preserve">. Subsequently, the rule was changed and a fixed hole (2 or 4, assignment counterbalanced within group) was rewarded, irrespective of illumination. Therefore, in 50% of trials the old and the new rules were not in conflict (rewarded hole illuminated), while in the other 50% of trials the rules were in conflict with each other (rewarded hole was unlit, while the unrewarded hole was lit). </w:t>
      </w:r>
      <w:r w:rsidR="00F72EB1" w:rsidRPr="00814C67">
        <w:rPr>
          <w:lang w:val="en-GB"/>
        </w:rPr>
        <w:t>A choice accuracy was calculated for those 50% of trials in which the rules were in conflict by dividing the number of correct(unlit) choices by the sum of correct(unlit) and incorrect(lit) choices. Mice were considered to have achieved the criterion of rule-shift learning if their accuracy</w:t>
      </w:r>
      <w:r w:rsidR="00F72EB1" w:rsidRPr="00814C67">
        <w:rPr>
          <w:vertAlign w:val="subscript"/>
          <w:lang w:val="en-GB"/>
        </w:rPr>
        <w:t>unlit</w:t>
      </w:r>
      <w:r w:rsidR="00F72EB1" w:rsidRPr="00814C67">
        <w:rPr>
          <w:lang w:val="en-GB"/>
        </w:rPr>
        <w:t xml:space="preserve"> exceeded </w:t>
      </w:r>
      <w:r w:rsidR="008040ED" w:rsidRPr="00814C67">
        <w:rPr>
          <w:lang w:val="en-GB"/>
        </w:rPr>
        <w:t>7</w:t>
      </w:r>
      <w:r w:rsidR="00F72EB1" w:rsidRPr="00814C67">
        <w:rPr>
          <w:lang w:val="en-GB"/>
        </w:rPr>
        <w:t xml:space="preserve">0% on two consecutive days. Irrespective of achieving that criterion, all mice were trained for 15 </w:t>
      </w:r>
      <w:r w:rsidR="00CB163F" w:rsidRPr="00814C67">
        <w:rPr>
          <w:lang w:val="en-GB"/>
        </w:rPr>
        <w:t>days with one 45 min session per day.</w:t>
      </w:r>
    </w:p>
    <w:p w:rsidR="00F444AA" w:rsidRPr="00814C67" w:rsidRDefault="00F444AA" w:rsidP="00132DCD">
      <w:pPr>
        <w:pStyle w:val="Heading2"/>
        <w:rPr>
          <w:color w:val="auto"/>
          <w:lang w:val="en-GB"/>
        </w:rPr>
      </w:pPr>
      <w:r w:rsidRPr="00814C67">
        <w:rPr>
          <w:color w:val="auto"/>
          <w:lang w:val="en-GB"/>
        </w:rPr>
        <w:t>T-maze</w:t>
      </w:r>
      <w:r w:rsidR="00B6623E" w:rsidRPr="00814C67">
        <w:rPr>
          <w:color w:val="auto"/>
          <w:lang w:val="en-GB"/>
        </w:rPr>
        <w:t xml:space="preserve"> rewarded alternation</w:t>
      </w:r>
    </w:p>
    <w:p w:rsidR="00F444AA" w:rsidRPr="00814C67" w:rsidRDefault="00B6623E" w:rsidP="00F444AA">
      <w:pPr>
        <w:rPr>
          <w:lang w:val="en-GB"/>
        </w:rPr>
      </w:pPr>
      <w:r w:rsidRPr="00814C67">
        <w:rPr>
          <w:lang w:val="en-GB"/>
        </w:rPr>
        <w:t>The T-maze</w:t>
      </w:r>
      <w:r w:rsidR="00F444AA" w:rsidRPr="00814C67">
        <w:rPr>
          <w:lang w:val="en-GB"/>
        </w:rPr>
        <w:t xml:space="preserve"> delayed</w:t>
      </w:r>
      <w:r w:rsidRPr="00814C67">
        <w:rPr>
          <w:lang w:val="en-GB"/>
        </w:rPr>
        <w:t xml:space="preserve"> rewarded alternation task was used as a</w:t>
      </w:r>
      <w:r w:rsidR="00F444AA" w:rsidRPr="00814C67">
        <w:rPr>
          <w:lang w:val="en-GB"/>
        </w:rPr>
        <w:t xml:space="preserve"> non-matching to position (DNMTP) paradigm of spatial WM</w:t>
      </w:r>
      <w:r w:rsidRPr="00814C67">
        <w:rPr>
          <w:lang w:val="en-GB"/>
        </w:rPr>
        <w:t xml:space="preserve"> and conducted as previously described</w:t>
      </w:r>
      <w:r w:rsidR="00F456C3" w:rsidRPr="00814C67">
        <w:rPr>
          <w:lang w:val="en-GB"/>
        </w:rPr>
        <w:fldChar w:fldCharType="begin"/>
      </w:r>
      <w:r w:rsidR="003970EA" w:rsidRPr="00814C67">
        <w:rPr>
          <w:lang w:val="en-GB"/>
        </w:rPr>
        <w:instrText xml:space="preserve"> ADDIN ZOTERO_ITEM CSL_CITATION {"citationID":"DohUS37R","properties":{"formattedCitation":"\\super 3\\nosupersub{}","plainCitation":"3","noteIndex":0},"citationItems":[{"id":21445,"uris":["http://zotero.org/users/local/biVi7xTd/items/24WVQMEQ"],"uri":["http://zotero.org/users/local/biVi7xTd/items/24WVQMEQ"],"itemData":{"id":21445,"type":"article-journal","abstract":"Elevated activity at the output stage of the anterior hippocampus has been described as a physiological endophenotype of schizophrenia, and its development maps onto the transition from the prodromal to the psychotic state. Interventions that halt the spreading glutamatergic over-activity in this region and thereby the development of overt schizophrenia could be promising therapies. However, animal models with high construct validity to support such pre-clinical development are scarce. The Cyclin-D2 knockout (CD2-KO) mouse model shows a hippocampal parvalbumin-interneuron dysfunction, and its pattern of hippocampal over-activity shares similarities with that seen in prodromal patients. Conducting a comprehensive phenotyping of CD2-KO mice, we found that they displayed novelty-induced hyperlocomotion (a rodent correlate of positive symptoms of schizophrenia), that was largely resistant against D1- and D2-dopamine-receptor antagonism, but responsive to the mGluR2/3-agonist LY379268. In the negative symptom domain, CD2-KO mice showed transiently reduced sucrose-preference (anhedonia), but enhanced interaction with novel mice and objects, as well as normal nest building and incentive motivation. Also, unconditioned anxiety, perseveration, and motor-impulsivity were unaltered. However, in the cognitive domain, CD2-knockouts showed reduced executive function in assays of rule-shift and rule-reversal learning, and also an impairment in working memory, that was resistant against LY379268-treatment. In contrast, sustained attention and forms of spatial and object-related memory that are mediated by short-term habituation of stimulus-specific attention were intact. Our results suggest that CD2-KO mice are a valuable model in translational research targeted at the pharmacoresistant cognitive symptom domain in causal relation to hippocampal over-activity in the prodrome-to-psychosis transition.","container-title":"Translational Psychiatry","DOI":"10.1038/s41398-018-0268-6","ISSN":"2158-3188","issue":"1","language":"en","page":"212","source":"www.nature.com","title":"Schizophrenia-related cognitive dysfunction in the Cyclin-D2 knockout mouse model of ventral hippocampal hyperactivity","volume":"8","author":[{"family":"Grimm","given":"Christina M."},{"family":"Aksamaz","given":"Sonat"},{"family":"Schulz","given":"Stefanie"},{"family":"Teutsch","given":"Jasper"},{"family":"Sicinski","given":"Piotr"},{"family":"Liss","given":"Birgit"},{"family":"Kätzel","given":"Dennis"}],"issued":{"date-parts":[["2018",10,9]]}}}],"schema":"https://github.com/citation-style-language/schema/raw/master/csl-citation.json"} </w:instrText>
      </w:r>
      <w:r w:rsidR="00F456C3" w:rsidRPr="00814C67">
        <w:rPr>
          <w:lang w:val="en-GB"/>
        </w:rPr>
        <w:fldChar w:fldCharType="separate"/>
      </w:r>
      <w:r w:rsidR="003970EA" w:rsidRPr="00814C67">
        <w:rPr>
          <w:rFonts w:cs="Arial"/>
          <w:vertAlign w:val="superscript"/>
        </w:rPr>
        <w:t>3</w:t>
      </w:r>
      <w:r w:rsidR="00F456C3" w:rsidRPr="00814C67">
        <w:rPr>
          <w:lang w:val="en-GB"/>
        </w:rPr>
        <w:fldChar w:fldCharType="end"/>
      </w:r>
      <w:r w:rsidRPr="00814C67">
        <w:rPr>
          <w:lang w:val="en-GB"/>
        </w:rPr>
        <w:t>.</w:t>
      </w:r>
      <w:r w:rsidR="00F444AA" w:rsidRPr="00814C67">
        <w:rPr>
          <w:lang w:val="en-GB"/>
        </w:rPr>
        <w:t xml:space="preserve"> The T-shaped </w:t>
      </w:r>
      <w:r w:rsidR="00CE6D04" w:rsidRPr="00814C67">
        <w:rPr>
          <w:lang w:val="en-GB"/>
        </w:rPr>
        <w:t>maze</w:t>
      </w:r>
      <w:r w:rsidR="00F444AA" w:rsidRPr="00814C67">
        <w:rPr>
          <w:lang w:val="en-GB"/>
        </w:rPr>
        <w:t xml:space="preserve"> </w:t>
      </w:r>
      <w:r w:rsidR="00F444AA" w:rsidRPr="00814C67">
        <w:rPr>
          <w:rFonts w:cs="Arial"/>
          <w:lang w:val="en-GB"/>
        </w:rPr>
        <w:t>(W 10 cm, L 40 cm; H 10 cm)</w:t>
      </w:r>
      <w:r w:rsidR="00F444AA" w:rsidRPr="00814C67">
        <w:rPr>
          <w:lang w:val="en-GB"/>
        </w:rPr>
        <w:t xml:space="preserve"> consisted of a red PVC floor and transparent Perspex walls with </w:t>
      </w:r>
      <w:r w:rsidR="00CE6D04" w:rsidRPr="00814C67">
        <w:rPr>
          <w:lang w:val="en-GB"/>
        </w:rPr>
        <w:t>metal</w:t>
      </w:r>
      <w:r w:rsidR="00F444AA" w:rsidRPr="00814C67">
        <w:rPr>
          <w:lang w:val="en-GB"/>
        </w:rPr>
        <w:t xml:space="preserve"> food wells at the end of each goal arm</w:t>
      </w:r>
      <w:r w:rsidR="00F444AA" w:rsidRPr="00814C67">
        <w:rPr>
          <w:rFonts w:cs="Arial"/>
          <w:lang w:val="en-GB"/>
        </w:rPr>
        <w:t xml:space="preserve">. The reward used for this experiment was a 2:1 dilution of condensed milk (‘Ja’, REWE, G) in their drinking water. First, mice were habituated to the maze in groups (with cagemates) and then individually. </w:t>
      </w:r>
      <w:r w:rsidR="00CE6D04" w:rsidRPr="00814C67">
        <w:rPr>
          <w:rFonts w:cs="Arial"/>
          <w:lang w:val="en-GB"/>
        </w:rPr>
        <w:t xml:space="preserve">A trial of the actual task, started with the sample phase (SP), during which mice were placed in the start arm and allowed to enter a pseudo-randomly determined goal arm to consume the reward, while the alternate arm was blocked. After gaining the reward in the SP, the mouse was removed from the maze for a 5 s delay phase, the barrier blocking the previously inaccessible (novel) goal arm was removed, and then the mouse was returned to the start arm for the choice phase (CP) and left to choose between the novel, rewarded and the familiar, unrewarded arm. </w:t>
      </w:r>
      <w:r w:rsidR="00CB163F" w:rsidRPr="00814C67">
        <w:rPr>
          <w:rFonts w:cs="Arial"/>
          <w:lang w:val="en-GB"/>
        </w:rPr>
        <w:t>Throughout, mice were trained and tested in</w:t>
      </w:r>
      <w:r w:rsidR="00CE6D04" w:rsidRPr="00814C67">
        <w:rPr>
          <w:rFonts w:cs="Arial"/>
          <w:lang w:val="en-GB"/>
        </w:rPr>
        <w:t xml:space="preserve"> </w:t>
      </w:r>
      <w:r w:rsidR="00CB163F" w:rsidRPr="00814C67">
        <w:rPr>
          <w:rFonts w:cs="Arial"/>
          <w:lang w:val="en-GB"/>
        </w:rPr>
        <w:t>one session of 10 trials per day.</w:t>
      </w:r>
      <w:r w:rsidR="0042713B" w:rsidRPr="00814C67">
        <w:rPr>
          <w:rFonts w:cs="Arial"/>
          <w:lang w:val="en-GB"/>
        </w:rPr>
        <w:t xml:space="preserve"> </w:t>
      </w:r>
      <w:r w:rsidR="00F42061" w:rsidRPr="00814C67">
        <w:rPr>
          <w:rFonts w:cs="Arial"/>
          <w:lang w:val="en-GB"/>
        </w:rPr>
        <w:t>(</w:t>
      </w:r>
      <w:r w:rsidR="0042713B" w:rsidRPr="00814C67">
        <w:rPr>
          <w:rFonts w:cs="Arial"/>
          <w:lang w:val="en-GB"/>
        </w:rPr>
        <w:t xml:space="preserve">As an exception to this, mice of the </w:t>
      </w:r>
      <w:r w:rsidR="0042713B" w:rsidRPr="00814C67">
        <w:rPr>
          <w:rFonts w:cs="Arial"/>
          <w:i/>
          <w:lang w:val="en-GB"/>
        </w:rPr>
        <w:t>Gria1</w:t>
      </w:r>
      <w:r w:rsidR="0042713B" w:rsidRPr="00814C67">
        <w:rPr>
          <w:rFonts w:ascii="Symbol" w:hAnsi="Symbol" w:cs="Arial"/>
          <w:i/>
          <w:vertAlign w:val="superscript"/>
          <w:lang w:val="en-GB"/>
        </w:rPr>
        <w:t></w:t>
      </w:r>
      <w:r w:rsidR="0042713B" w:rsidRPr="00814C67">
        <w:rPr>
          <w:rFonts w:cs="Arial"/>
          <w:i/>
          <w:vertAlign w:val="superscript"/>
          <w:lang w:val="en-GB"/>
        </w:rPr>
        <w:t>Amigo2</w:t>
      </w:r>
      <w:r w:rsidR="0042713B" w:rsidRPr="00814C67">
        <w:rPr>
          <w:rFonts w:cs="Arial"/>
          <w:lang w:val="en-GB"/>
        </w:rPr>
        <w:t xml:space="preserve"> cohort received two sessions per day starting from the 7</w:t>
      </w:r>
      <w:r w:rsidR="0042713B" w:rsidRPr="00814C67">
        <w:rPr>
          <w:rFonts w:cs="Arial"/>
          <w:vertAlign w:val="superscript"/>
          <w:lang w:val="en-GB"/>
        </w:rPr>
        <w:t>th</w:t>
      </w:r>
      <w:r w:rsidR="0042713B" w:rsidRPr="00814C67">
        <w:rPr>
          <w:rFonts w:cs="Arial"/>
          <w:lang w:val="en-GB"/>
        </w:rPr>
        <w:t xml:space="preserve"> session</w:t>
      </w:r>
      <w:r w:rsidR="00F42061" w:rsidRPr="00814C67">
        <w:rPr>
          <w:rFonts w:cs="Arial"/>
          <w:lang w:val="en-GB"/>
        </w:rPr>
        <w:t>.)</w:t>
      </w:r>
      <w:r w:rsidR="00CB163F" w:rsidRPr="00814C67">
        <w:rPr>
          <w:rFonts w:cs="Arial"/>
          <w:lang w:val="en-GB"/>
        </w:rPr>
        <w:t xml:space="preserve"> </w:t>
      </w:r>
      <w:r w:rsidR="0042713B" w:rsidRPr="00814C67">
        <w:rPr>
          <w:rFonts w:cs="Arial"/>
          <w:lang w:val="en-GB"/>
        </w:rPr>
        <w:t xml:space="preserve">Initially, 7 sessions were applied with a delay of 5 s and an ITI of ca. 5-7 min. Subsequently, mice performed two sessions with a shortened delay of 1 s and an ITI of 20-25 s, and then a further two sessions with an extended delay of 20 s and an ITI of ca. 5-7 min. Some mice were also tested with a 60 s delay subsequently (data not shown). </w:t>
      </w:r>
      <w:r w:rsidR="00F444AA" w:rsidRPr="00814C67">
        <w:rPr>
          <w:rFonts w:cs="Arial"/>
          <w:lang w:val="en-GB"/>
        </w:rPr>
        <w:t xml:space="preserve">The number of correct choices divided by the number of trials per session was calculated as a readout of WM performance (WM accuracy), and for </w:t>
      </w:r>
      <w:r w:rsidR="00F42061" w:rsidRPr="00814C67">
        <w:rPr>
          <w:rFonts w:cs="Arial"/>
          <w:lang w:val="en-GB"/>
        </w:rPr>
        <w:t>analysis of different delays</w:t>
      </w:r>
      <w:r w:rsidR="00F444AA" w:rsidRPr="00814C67">
        <w:rPr>
          <w:rFonts w:cs="Arial"/>
          <w:lang w:val="en-GB"/>
        </w:rPr>
        <w:t xml:space="preserve"> the accuracy was averaged across the days with equal delay</w:t>
      </w:r>
      <w:r w:rsidR="00F42061" w:rsidRPr="00814C67">
        <w:rPr>
          <w:rFonts w:cs="Arial"/>
          <w:lang w:val="en-GB"/>
        </w:rPr>
        <w:t xml:space="preserve"> (see Fig. 1f,g and 3h,i)</w:t>
      </w:r>
      <w:r w:rsidR="00F444AA" w:rsidRPr="00814C67">
        <w:rPr>
          <w:rFonts w:cs="Arial"/>
          <w:lang w:val="en-GB"/>
        </w:rPr>
        <w:t xml:space="preserve">. </w:t>
      </w:r>
    </w:p>
    <w:p w:rsidR="00F444AA" w:rsidRPr="00814C67" w:rsidRDefault="00F444AA" w:rsidP="00132DCD">
      <w:pPr>
        <w:pStyle w:val="Heading2"/>
        <w:rPr>
          <w:rFonts w:eastAsiaTheme="minorHAnsi"/>
          <w:color w:val="auto"/>
          <w:lang w:val="en-GB"/>
        </w:rPr>
      </w:pPr>
      <w:r w:rsidRPr="00814C67">
        <w:rPr>
          <w:rFonts w:eastAsiaTheme="minorHAnsi"/>
          <w:color w:val="auto"/>
          <w:lang w:val="en-GB"/>
        </w:rPr>
        <w:t>Y-maze spatial novelty preference test</w:t>
      </w:r>
    </w:p>
    <w:p w:rsidR="00F444AA" w:rsidRPr="00814C67" w:rsidRDefault="00F444AA" w:rsidP="00F444AA">
      <w:pPr>
        <w:rPr>
          <w:lang w:val="en-GB"/>
        </w:rPr>
      </w:pPr>
      <w:r w:rsidRPr="00814C67">
        <w:rPr>
          <w:lang w:val="en-GB"/>
        </w:rPr>
        <w:t>Spatial short-term habituation</w:t>
      </w:r>
      <w:r w:rsidR="00F01CC3" w:rsidRPr="00814C67">
        <w:rPr>
          <w:lang w:val="en-GB"/>
        </w:rPr>
        <w:t xml:space="preserve"> (a form of spatial short-term memory)</w:t>
      </w:r>
      <w:r w:rsidRPr="00814C67">
        <w:rPr>
          <w:lang w:val="en-GB"/>
        </w:rPr>
        <w:t xml:space="preserve"> was </w:t>
      </w:r>
      <w:r w:rsidR="00F01CC3" w:rsidRPr="00814C67">
        <w:rPr>
          <w:lang w:val="en-GB"/>
        </w:rPr>
        <w:t xml:space="preserve">assessed as </w:t>
      </w:r>
      <w:r w:rsidRPr="00814C67">
        <w:rPr>
          <w:lang w:val="en-GB"/>
        </w:rPr>
        <w:t>spatial novelty-preference in a Y-shaped maze with three transparent arms (20 cm high, 30 cm long, 8 cm wide) uniformly separated by 120°</w:t>
      </w:r>
      <w:r w:rsidR="00F01CC3" w:rsidRPr="00814C67">
        <w:rPr>
          <w:lang w:val="en-GB"/>
        </w:rPr>
        <w:t xml:space="preserve"> as previously described</w:t>
      </w:r>
      <w:r w:rsidR="00F456C3" w:rsidRPr="00814C67">
        <w:rPr>
          <w:lang w:val="en-GB"/>
        </w:rPr>
        <w:fldChar w:fldCharType="begin"/>
      </w:r>
      <w:r w:rsidR="003970EA" w:rsidRPr="00814C67">
        <w:rPr>
          <w:lang w:val="en-GB"/>
        </w:rPr>
        <w:instrText xml:space="preserve"> ADDIN ZOTERO_ITEM CSL_CITATION {"citationID":"p5kmnRKf","properties":{"formattedCitation":"\\super 3\\nosupersub{}","plainCitation":"3","noteIndex":0},"citationItems":[{"id":21445,"uris":["http://zotero.org/users/local/biVi7xTd/items/24WVQMEQ"],"uri":["http://zotero.org/users/local/biVi7xTd/items/24WVQMEQ"],"itemData":{"id":21445,"type":"article-journal","abstract":"Elevated activity at the output stage of the anterior hippocampus has been described as a physiological endophenotype of schizophrenia, and its development maps onto the transition from the prodromal to the psychotic state. Interventions that halt the spreading glutamatergic over-activity in this region and thereby the development of overt schizophrenia could be promising therapies. However, animal models with high construct validity to support such pre-clinical development are scarce. The Cyclin-D2 knockout (CD2-KO) mouse model shows a hippocampal parvalbumin-interneuron dysfunction, and its pattern of hippocampal over-activity shares similarities with that seen in prodromal patients. Conducting a comprehensive phenotyping of CD2-KO mice, we found that they displayed novelty-induced hyperlocomotion (a rodent correlate of positive symptoms of schizophrenia), that was largely resistant against D1- and D2-dopamine-receptor antagonism, but responsive to the mGluR2/3-agonist LY379268. In the negative symptom domain, CD2-KO mice showed transiently reduced sucrose-preference (anhedonia), but enhanced interaction with novel mice and objects, as well as normal nest building and incentive motivation. Also, unconditioned anxiety, perseveration, and motor-impulsivity were unaltered. However, in the cognitive domain, CD2-knockouts showed reduced executive function in assays of rule-shift and rule-reversal learning, and also an impairment in working memory, that was resistant against LY379268-treatment. In contrast, sustained attention and forms of spatial and object-related memory that are mediated by short-term habituation of stimulus-specific attention were intact. Our results suggest that CD2-KO mice are a valuable model in translational research targeted at the pharmacoresistant cognitive symptom domain in causal relation to hippocampal over-activity in the prodrome-to-psychosis transition.","container-title":"Translational Psychiatry","DOI":"10.1038/s41398-018-0268-6","ISSN":"2158-3188","issue":"1","language":"en","page":"212","source":"www.nature.com","title":"Schizophrenia-related cognitive dysfunction in the Cyclin-D2 knockout mouse model of ventral hippocampal hyperactivity","volume":"8","author":[{"family":"Grimm","given":"Christina M."},{"family":"Aksamaz","given":"Sonat"},{"family":"Schulz","given":"Stefanie"},{"family":"Teutsch","given":"Jasper"},{"family":"Sicinski","given":"Piotr"},{"family":"Liss","given":"Birgit"},{"family":"Kätzel","given":"Dennis"}],"issued":{"date-parts":[["2018",10,9]]}}}],"schema":"https://github.com/citation-style-language/schema/raw/master/csl-citation.json"} </w:instrText>
      </w:r>
      <w:r w:rsidR="00F456C3" w:rsidRPr="00814C67">
        <w:rPr>
          <w:lang w:val="en-GB"/>
        </w:rPr>
        <w:fldChar w:fldCharType="separate"/>
      </w:r>
      <w:r w:rsidR="003970EA" w:rsidRPr="00814C67">
        <w:rPr>
          <w:rFonts w:cs="Arial"/>
          <w:vertAlign w:val="superscript"/>
        </w:rPr>
        <w:t>3</w:t>
      </w:r>
      <w:r w:rsidR="00F456C3" w:rsidRPr="00814C67">
        <w:rPr>
          <w:lang w:val="en-GB"/>
        </w:rPr>
        <w:fldChar w:fldCharType="end"/>
      </w:r>
      <w:r w:rsidRPr="00814C67">
        <w:rPr>
          <w:lang w:val="en-GB"/>
        </w:rPr>
        <w:t xml:space="preserve">. The floor of the maze was covered with clean sawdust that was interspersed with some dirty sawdust collected from the home-cage of an unfamiliar same-sex group of mice. Before the test, each mouse was kept in a holding cage near the Y-maze for 8-10 min. The test began with a 5 min </w:t>
      </w:r>
      <w:r w:rsidR="00482DA3" w:rsidRPr="00814C67">
        <w:rPr>
          <w:lang w:val="en-GB"/>
        </w:rPr>
        <w:t xml:space="preserve">sample phase (SP) </w:t>
      </w:r>
      <w:r w:rsidRPr="00814C67">
        <w:rPr>
          <w:lang w:val="en-GB"/>
        </w:rPr>
        <w:t xml:space="preserve">where the mouse could explore the start arm and one goal arm (counterbalanced </w:t>
      </w:r>
      <w:r w:rsidR="00F01CC3" w:rsidRPr="00814C67">
        <w:rPr>
          <w:lang w:val="en-GB"/>
        </w:rPr>
        <w:t>within</w:t>
      </w:r>
      <w:r w:rsidRPr="00814C67">
        <w:rPr>
          <w:lang w:val="en-GB"/>
        </w:rPr>
        <w:t xml:space="preserve"> groups). The alternate goal arm was blocked by a non-transparent grey PVC barrier. At the end of the SP, the mouse was transferred back into the holding cage for a 1 min </w:t>
      </w:r>
      <w:r w:rsidR="00F01CC3" w:rsidRPr="00814C67">
        <w:rPr>
          <w:lang w:val="en-GB"/>
        </w:rPr>
        <w:t>delay</w:t>
      </w:r>
      <w:r w:rsidRPr="00814C67">
        <w:rPr>
          <w:lang w:val="en-GB"/>
        </w:rPr>
        <w:t xml:space="preserve"> during which the barrier to the previously inaccessible arm was removed and the saw dust from all arms was mixed and dispersed within the maze. The mouse was subsequently returned to the maze for a 2 min test phase which allowed access to all arms. ANY-maze (San Diego Instruments, US) was used to track the movement of the mouse during the experiment. Novelty preference was analysed by calculating the </w:t>
      </w:r>
      <w:r w:rsidRPr="00814C67">
        <w:rPr>
          <w:i/>
          <w:lang w:val="en-GB"/>
        </w:rPr>
        <w:t>time</w:t>
      </w:r>
      <w:r w:rsidRPr="00814C67">
        <w:rPr>
          <w:lang w:val="en-GB"/>
        </w:rPr>
        <w:t xml:space="preserve"> spent in the novel goal arm divided by the sum of the time spent in both goal arms. Additionally, a preference score was calculated based on the </w:t>
      </w:r>
      <w:r w:rsidRPr="00814C67">
        <w:rPr>
          <w:i/>
          <w:lang w:val="en-GB"/>
        </w:rPr>
        <w:t>number of entries</w:t>
      </w:r>
      <w:r w:rsidRPr="00814C67">
        <w:rPr>
          <w:lang w:val="en-GB"/>
        </w:rPr>
        <w:t xml:space="preserve"> into the novel goal arm divided by the sum of the number of entries into both goal arms.</w:t>
      </w:r>
    </w:p>
    <w:p w:rsidR="00F444AA" w:rsidRPr="00814C67" w:rsidRDefault="00F444AA" w:rsidP="00132DCD">
      <w:pPr>
        <w:pStyle w:val="Heading2"/>
        <w:rPr>
          <w:rFonts w:eastAsiaTheme="minorHAnsi"/>
          <w:color w:val="auto"/>
          <w:lang w:val="en-GB"/>
        </w:rPr>
      </w:pPr>
      <w:r w:rsidRPr="00814C67">
        <w:rPr>
          <w:rFonts w:eastAsiaTheme="minorHAnsi"/>
          <w:color w:val="auto"/>
          <w:lang w:val="en-GB"/>
        </w:rPr>
        <w:t>Novelty-induced locomotor activity measurement (LMA)</w:t>
      </w:r>
    </w:p>
    <w:p w:rsidR="00F444AA" w:rsidRPr="00814C67" w:rsidRDefault="00F444AA" w:rsidP="00F444AA">
      <w:pPr>
        <w:rPr>
          <w:lang w:val="en-GB"/>
        </w:rPr>
      </w:pPr>
      <w:r w:rsidRPr="00814C67">
        <w:rPr>
          <w:lang w:val="en-GB"/>
        </w:rPr>
        <w:t>Locomotor activity was tested in a novel open field (OF), which was a clear plastic cage (425 x 266 x 185 mm; Eurostandard Typ III, Tecniplast, G) filled with clean sawdust. Movements were recorded for 90 min using CCTV cameras (Sentient, UK) installed centrally above the open-field cages. The video-recordings were fed into a single image frame through a CCTV-system (Dahua Inc, China), digitized through an A/D converter (TheImagingSource, G), and processed by ANY-maze (San Diego Instruments, US) to extract the distance moved in 5 min time intervals as well as the average distance to the OF border.</w:t>
      </w:r>
    </w:p>
    <w:p w:rsidR="00F444AA" w:rsidRPr="00814C67" w:rsidRDefault="00F01CC3" w:rsidP="00132DCD">
      <w:pPr>
        <w:pStyle w:val="Heading2"/>
        <w:rPr>
          <w:rFonts w:eastAsiaTheme="minorHAnsi"/>
          <w:color w:val="auto"/>
          <w:lang w:val="en-GB"/>
        </w:rPr>
      </w:pPr>
      <w:r w:rsidRPr="00814C67">
        <w:rPr>
          <w:rFonts w:eastAsiaTheme="minorHAnsi"/>
          <w:color w:val="auto"/>
          <w:lang w:val="en-GB"/>
        </w:rPr>
        <w:t>Novel object recognition (NOR)</w:t>
      </w:r>
    </w:p>
    <w:p w:rsidR="00A226D5" w:rsidRPr="00814C67" w:rsidRDefault="00F01CC3" w:rsidP="00A226D5">
      <w:pPr>
        <w:rPr>
          <w:lang w:val="en-GB"/>
        </w:rPr>
      </w:pPr>
      <w:r w:rsidRPr="00814C67">
        <w:rPr>
          <w:lang w:val="en-GB"/>
        </w:rPr>
        <w:t>The NOR test of object-related novelty preference was used to assess short-term habituation (memory) for objects as previously described</w:t>
      </w:r>
      <w:r w:rsidR="00F456C3" w:rsidRPr="00814C67">
        <w:rPr>
          <w:lang w:val="en-GB"/>
        </w:rPr>
        <w:fldChar w:fldCharType="begin"/>
      </w:r>
      <w:r w:rsidR="003970EA" w:rsidRPr="00814C67">
        <w:rPr>
          <w:lang w:val="en-GB"/>
        </w:rPr>
        <w:instrText xml:space="preserve"> ADDIN ZOTERO_ITEM CSL_CITATION {"citationID":"9dyZKO2H","properties":{"formattedCitation":"\\super 3\\nosupersub{}","plainCitation":"3","noteIndex":0},"citationItems":[{"id":21445,"uris":["http://zotero.org/users/local/biVi7xTd/items/24WVQMEQ"],"uri":["http://zotero.org/users/local/biVi7xTd/items/24WVQMEQ"],"itemData":{"id":21445,"type":"article-journal","abstract":"Elevated activity at the output stage of the anterior hippocampus has been described as a physiological endophenotype of schizophrenia, and its development maps onto the transition from the prodromal to the psychotic state. Interventions that halt the spreading glutamatergic over-activity in this region and thereby the development of overt schizophrenia could be promising therapies. However, animal models with high construct validity to support such pre-clinical development are scarce. The Cyclin-D2 knockout (CD2-KO) mouse model shows a hippocampal parvalbumin-interneuron dysfunction, and its pattern of hippocampal over-activity shares similarities with that seen in prodromal patients. Conducting a comprehensive phenotyping of CD2-KO mice, we found that they displayed novelty-induced hyperlocomotion (a rodent correlate of positive symptoms of schizophrenia), that was largely resistant against D1- and D2-dopamine-receptor antagonism, but responsive to the mGluR2/3-agonist LY379268. In the negative symptom domain, CD2-KO mice showed transiently reduced sucrose-preference (anhedonia), but enhanced interaction with novel mice and objects, as well as normal nest building and incentive motivation. Also, unconditioned anxiety, perseveration, and motor-impulsivity were unaltered. However, in the cognitive domain, CD2-knockouts showed reduced executive function in assays of rule-shift and rule-reversal learning, and also an impairment in working memory, that was resistant against LY379268-treatment. In contrast, sustained attention and forms of spatial and object-related memory that are mediated by short-term habituation of stimulus-specific attention were intact. Our results suggest that CD2-KO mice are a valuable model in translational research targeted at the pharmacoresistant cognitive symptom domain in causal relation to hippocampal over-activity in the prodrome-to-psychosis transition.","container-title":"Translational Psychiatry","DOI":"10.1038/s41398-018-0268-6","ISSN":"2158-3188","issue":"1","language":"en","page":"212","source":"www.nature.com","title":"Schizophrenia-related cognitive dysfunction in the Cyclin-D2 knockout mouse model of ventral hippocampal hyperactivity","volume":"8","author":[{"family":"Grimm","given":"Christina M."},{"family":"Aksamaz","given":"Sonat"},{"family":"Schulz","given":"Stefanie"},{"family":"Teutsch","given":"Jasper"},{"family":"Sicinski","given":"Piotr"},{"family":"Liss","given":"Birgit"},{"family":"Kätzel","given":"Dennis"}],"issued":{"date-parts":[["2018",10,9]]}}}],"schema":"https://github.com/citation-style-language/schema/raw/master/csl-citation.json"} </w:instrText>
      </w:r>
      <w:r w:rsidR="00F456C3" w:rsidRPr="00814C67">
        <w:rPr>
          <w:lang w:val="en-GB"/>
        </w:rPr>
        <w:fldChar w:fldCharType="separate"/>
      </w:r>
      <w:r w:rsidR="003970EA" w:rsidRPr="00814C67">
        <w:rPr>
          <w:rFonts w:cs="Arial"/>
          <w:vertAlign w:val="superscript"/>
        </w:rPr>
        <w:t>3</w:t>
      </w:r>
      <w:r w:rsidR="00F456C3" w:rsidRPr="00814C67">
        <w:rPr>
          <w:lang w:val="en-GB"/>
        </w:rPr>
        <w:fldChar w:fldCharType="end"/>
      </w:r>
      <w:r w:rsidRPr="00814C67">
        <w:rPr>
          <w:lang w:val="en-GB"/>
        </w:rPr>
        <w:t xml:space="preserve">. </w:t>
      </w:r>
      <w:r w:rsidR="000C3BD1" w:rsidRPr="00814C67">
        <w:rPr>
          <w:lang w:val="en-GB"/>
        </w:rPr>
        <w:t>Briefly, mice were habituated to the square open-field (dark-red floor, grey PVC walls of 25 cm height, 40 cm length and width) over the two days before testing; the first 5 min habituation session was conducted with the cage mates, all subsequent ones – one time 5 min on the same day, one time 5 min and one time 10 min on the next day, and one time 10 min on the morning of the test day – were conducted with each mouse individually. On the test day, mice were habituated t</w:t>
      </w:r>
      <w:r w:rsidR="00A226D5" w:rsidRPr="00814C67">
        <w:rPr>
          <w:lang w:val="en-GB"/>
        </w:rPr>
        <w:t>o a holding cage for ca. 20 min and</w:t>
      </w:r>
      <w:r w:rsidR="000C3BD1" w:rsidRPr="00814C67">
        <w:rPr>
          <w:lang w:val="en-GB"/>
        </w:rPr>
        <w:t xml:space="preserve"> then introduced to the familiar open field in which two copies of the same unfamiliar object were place</w:t>
      </w:r>
      <w:r w:rsidR="00A226D5" w:rsidRPr="00814C67">
        <w:rPr>
          <w:lang w:val="en-GB"/>
        </w:rPr>
        <w:t xml:space="preserve">d (sample phase). After 10 min, the subject was removed into the holding cage for 2 min so that both objects could be replaced, whereby one was replaced by an identical object and the other one by a novel object. Subsequently, mice were introduced to the open field again for the 5 min test phase. Mice were video-monitored and thereby their interaction with objects scored manually, in addition to tracking with ANY-maze. Data from manual scores was used for further analysis. Novelty preference was analysed by calculating the </w:t>
      </w:r>
      <w:r w:rsidR="00A226D5" w:rsidRPr="00814C67">
        <w:rPr>
          <w:i/>
          <w:lang w:val="en-GB"/>
        </w:rPr>
        <w:t>time</w:t>
      </w:r>
      <w:r w:rsidR="00A226D5" w:rsidRPr="00814C67">
        <w:rPr>
          <w:lang w:val="en-GB"/>
        </w:rPr>
        <w:t xml:space="preserve"> spent in with the novel object divided by the sum of the time spent with either object. Additionally, the same preference score was calculated based on the </w:t>
      </w:r>
      <w:r w:rsidR="00A226D5" w:rsidRPr="00814C67">
        <w:rPr>
          <w:i/>
          <w:lang w:val="en-GB"/>
        </w:rPr>
        <w:t>number of contacts</w:t>
      </w:r>
      <w:r w:rsidR="00A226D5" w:rsidRPr="00814C67">
        <w:rPr>
          <w:lang w:val="en-GB"/>
        </w:rPr>
        <w:t>.</w:t>
      </w:r>
    </w:p>
    <w:p w:rsidR="00F444AA" w:rsidRPr="00814C67" w:rsidRDefault="00D05B0D" w:rsidP="00132DCD">
      <w:pPr>
        <w:pStyle w:val="Heading2"/>
        <w:rPr>
          <w:rFonts w:eastAsiaTheme="minorHAnsi"/>
          <w:color w:val="auto"/>
          <w:lang w:val="en-GB"/>
        </w:rPr>
      </w:pPr>
      <w:r w:rsidRPr="00814C67">
        <w:rPr>
          <w:rFonts w:eastAsiaTheme="minorHAnsi"/>
          <w:color w:val="auto"/>
          <w:lang w:val="en-GB"/>
        </w:rPr>
        <w:t xml:space="preserve">3-chamber test of social </w:t>
      </w:r>
      <w:r w:rsidR="00780E45" w:rsidRPr="00814C67">
        <w:rPr>
          <w:rFonts w:eastAsiaTheme="minorHAnsi"/>
          <w:color w:val="auto"/>
          <w:lang w:val="en-GB"/>
        </w:rPr>
        <w:t>interaction an</w:t>
      </w:r>
      <w:r w:rsidR="00DA5758" w:rsidRPr="00814C67">
        <w:rPr>
          <w:rFonts w:eastAsiaTheme="minorHAnsi"/>
          <w:color w:val="auto"/>
          <w:lang w:val="en-GB"/>
        </w:rPr>
        <w:t>d</w:t>
      </w:r>
      <w:r w:rsidR="00780E45" w:rsidRPr="00814C67">
        <w:rPr>
          <w:rFonts w:eastAsiaTheme="minorHAnsi"/>
          <w:color w:val="auto"/>
          <w:lang w:val="en-GB"/>
        </w:rPr>
        <w:t xml:space="preserve"> social memory testing</w:t>
      </w:r>
    </w:p>
    <w:p w:rsidR="00780E45" w:rsidRPr="00814C67" w:rsidRDefault="00780E45" w:rsidP="00780E45">
      <w:pPr>
        <w:rPr>
          <w:lang w:val="en-GB"/>
        </w:rPr>
      </w:pPr>
      <w:r w:rsidRPr="00814C67">
        <w:rPr>
          <w:lang w:val="en-GB"/>
        </w:rPr>
        <w:t xml:space="preserve">See Methods section of the main text. </w:t>
      </w:r>
    </w:p>
    <w:p w:rsidR="00D05B0D" w:rsidRPr="00814C67" w:rsidRDefault="00D05B0D" w:rsidP="00132DCD">
      <w:pPr>
        <w:pStyle w:val="Heading2"/>
        <w:rPr>
          <w:rFonts w:eastAsiaTheme="minorHAnsi"/>
          <w:color w:val="auto"/>
          <w:lang w:val="en-GB"/>
        </w:rPr>
      </w:pPr>
      <w:r w:rsidRPr="00814C67">
        <w:rPr>
          <w:rFonts w:eastAsiaTheme="minorHAnsi"/>
          <w:color w:val="auto"/>
          <w:lang w:val="en-GB"/>
        </w:rPr>
        <w:t xml:space="preserve">Reciprocal social interaction </w:t>
      </w:r>
    </w:p>
    <w:p w:rsidR="00D05B0D" w:rsidRPr="00814C67" w:rsidRDefault="00D05B0D" w:rsidP="00780E45">
      <w:pPr>
        <w:rPr>
          <w:lang w:val="en-GB"/>
        </w:rPr>
      </w:pPr>
      <w:r w:rsidRPr="00814C67">
        <w:t>All tests used adult, but younger mice of the same sex and strain as stimulus mice. For reciprocal social interaction, the test mouse was exposed to the novel stimulus mouse in a familiar open-field (dark but transparent Type III cage; Tecniplast, G). For the first test in all cohorts, mice were habituated for 90 min to the social arena on the day before testing (this habituation was the novelty-induced locomotor activity test described above). For the second test session in the transgenic cohorts, mice were habituated to the arena for 10 min on the prior day and for 5 min immediately before testing. Interactions were video-monitored and scored in 2 min intervals for either 12 min (transgenic cohorts) or 16 min (AAV-cohort).</w:t>
      </w:r>
      <w:r w:rsidR="003970EA" w:rsidRPr="00814C67">
        <w:t xml:space="preserve"> A shorter time was used in the larger transgenic cohorts to allow their testing within one day per strain and sex, given that no </w:t>
      </w:r>
      <w:r w:rsidR="00B733CE" w:rsidRPr="00814C67">
        <w:t xml:space="preserve">additional </w:t>
      </w:r>
      <w:r w:rsidR="003970EA" w:rsidRPr="00814C67">
        <w:t>meaningful group-difference had emerged in the last 4 min of testing in prior experiments in the AAV-cohort (see Supplementary Fig. 2c) or other studies of ours</w:t>
      </w:r>
      <w:r w:rsidR="00F456C3" w:rsidRPr="00814C67">
        <w:fldChar w:fldCharType="begin"/>
      </w:r>
      <w:r w:rsidR="003970EA" w:rsidRPr="00814C67">
        <w:instrText xml:space="preserve"> ADDIN ZOTERO_ITEM CSL_CITATION {"citationID":"YBKBkA8Q","properties":{"formattedCitation":"\\super 3,5\\nosupersub{}","plainCitation":"3,5","noteIndex":0},"citationItems":[{"id":21445,"uris":["http://zotero.org/users/local/biVi7xTd/items/24WVQMEQ"],"uri":["http://zotero.org/users/local/biVi7xTd/items/24WVQMEQ"],"itemData":{"id":21445,"type":"article-journal","abstract":"Elevated activity at the output stage of the anterior hippocampus has been described as a physiological endophenotype of schizophrenia, and its development maps onto the transition from the prodromal to the psychotic state. Interventions that halt the spreading glutamatergic over-activity in this region and thereby the development of overt schizophrenia could be promising therapies. However, animal models with high construct validity to support such pre-clinical development are scarce. The Cyclin-D2 knockout (CD2-KO) mouse model shows a hippocampal parvalbumin-interneuron dysfunction, and its pattern of hippocampal over-activity shares similarities with that seen in prodromal patients. Conducting a comprehensive phenotyping of CD2-KO mice, we found that they displayed novelty-induced hyperlocomotion (a rodent correlate of positive symptoms of schizophrenia), that was largely resistant against D1- and D2-dopamine-receptor antagonism, but responsive to the mGluR2/3-agonist LY379268. In the negative symptom domain, CD2-KO mice showed transiently reduced sucrose-preference (anhedonia), but enhanced interaction with novel mice and objects, as well as normal nest building and incentive motivation. Also, unconditioned anxiety, perseveration, and motor-impulsivity were unaltered. However, in the cognitive domain, CD2-knockouts showed reduced executive function in assays of rule-shift and rule-reversal learning, and also an impairment in working memory, that was resistant against LY379268-treatment. In contrast, sustained attention and forms of spatial and object-related memory that are mediated by short-term habituation of stimulus-specific attention were intact. Our results suggest that CD2-KO mice are a valuable model in translational research targeted at the pharmacoresistant cognitive symptom domain in causal relation to hippocampal over-activity in the prodrome-to-psychosis transition.","container-title":"Translational Psychiatry","DOI":"10.1038/s41398-018-0268-6","ISSN":"2158-3188","issue":"1","language":"en","page":"212","source":"www.nature.com","title":"Schizophrenia-related cognitive dysfunction in the Cyclin-D2 knockout mouse model of ventral hippocampal hyperactivity","volume":"8","author":[{"family":"Grimm","given":"Christina M."},{"family":"Aksamaz","given":"Sonat"},{"family":"Schulz","given":"Stefanie"},{"family":"Teutsch","given":"Jasper"},{"family":"Sicinski","given":"Piotr"},{"family":"Liss","given":"Birgit"},{"family":"Kätzel","given":"Dennis"}],"issued":{"date-parts":[["2018",10,9]]}}},{"id":27340,"uris":["http://zotero.org/users/local/biVi7xTd/items/ZTY68AXY"],"uri":["http://zotero.org/users/local/biVi7xTd/items/ZTY68AXY"],"itemData":{"id":27340,"type":"article-journal","abstract":"A hypofunction of N-methyl-D-aspartate glutamate receptors (NMDARs) has been implicated in the pathogenesis of schizophrenia by clinical and rodent studies. However, to what extent NMDAR-hypofunction in distinct cell-types across the brain causes different symptoms of this disease is largely unknown. One pharmaco-resistant core symptom of schizophrenia is impaired working memory (WM). NMDARs have been suggested to mediate sustained firing in excitatory neurons of the prefrontal cortex (PFC) that might underlie WM storage. However, if NMDAR-hypofunction in prefrontal excitatory neurons may indeed entail WM impairments is unknown. We here investigated this question in mice, in which NMDARs were genetically-ablated in PFC excitatory cells. This cell type-selective NMDAR-hypofunction caused a specific deficit in a delayed-matching-to-position (DMTP) 5-choice-based operant WM task. In contrast, T-maze rewarded alternation and several psychological functions including attention, spatial short-term habituation, novelty-processing, motivation, sociability, impulsivity, and hedonic valuation remained unimpaired at the level of GluN1-hypofunction caused by our manipulation. Our data suggest that a hypofunction of NMDARs in prefrontal excitatory neurons may indeed cause WM impairments, but are possibly not accounting for most other deficits in schizophrenia.","container-title":"Scientific Reports","DOI":"10.1038/s41598-021-88200-z","ISSN":"2045-2322","issue":"1","language":"en","note":"number: 1\npublisher: Nature Publishing Group","page":"1-19","source":"www.nature.com","title":"Delayed-matching-to-position working memory in mice relies on NMDA-receptors in prefrontal pyramidal cells","volume":"11","author":[{"family":"Kilonzo","given":"Kasyoka"},{"family":"Veen","given":"Bastiaan","dropping-particle":"van der"},{"family":"Teutsch","given":"Jasper"},{"family":"Schulz","given":"Stefanie"},{"family":"Kapanaiah","given":"Sampath K. T."},{"family":"Liss","given":"Birgit"},{"family":"Kätzel","given":"Dennis"}],"issued":{"date-parts":[["2021",4,22]]}}}],"schema":"https://github.com/citation-style-language/schema/raw/master/csl-citation.json"} </w:instrText>
      </w:r>
      <w:r w:rsidR="00F456C3" w:rsidRPr="00814C67">
        <w:fldChar w:fldCharType="separate"/>
      </w:r>
      <w:r w:rsidR="003970EA" w:rsidRPr="00814C67">
        <w:rPr>
          <w:rFonts w:cs="Arial"/>
          <w:vertAlign w:val="superscript"/>
        </w:rPr>
        <w:t>3,5</w:t>
      </w:r>
      <w:r w:rsidR="00F456C3" w:rsidRPr="00814C67">
        <w:fldChar w:fldCharType="end"/>
      </w:r>
      <w:r w:rsidR="003970EA" w:rsidRPr="00814C67">
        <w:t>.</w:t>
      </w:r>
      <w:r w:rsidRPr="00814C67">
        <w:t xml:space="preserve"> In the transgenic cohorts, a second 12 min interaction test was conducted at an older age</w:t>
      </w:r>
      <w:r w:rsidR="00DB4A58" w:rsidRPr="00814C67">
        <w:t>. In this case the test</w:t>
      </w:r>
      <w:r w:rsidRPr="00814C67">
        <w:t xml:space="preserve"> was followed by two consecutive 4 min phases 1 h later during which mice were exposed either to the same or a new stimulus mouse (order counterbalanced within subgroup) to assess social memory</w:t>
      </w:r>
      <w:r w:rsidR="00F456C3" w:rsidRPr="00814C67">
        <w:fldChar w:fldCharType="begin"/>
      </w:r>
      <w:r w:rsidR="003970EA" w:rsidRPr="00814C67">
        <w:instrText xml:space="preserve"> ADDIN ZOTERO_ITEM CSL_CITATION {"citationID":"xqq0rzkn","properties":{"formattedCitation":"\\super 6\\nosupersub{}","plainCitation":"6","noteIndex":0},"citationItems":[{"id":20629,"uris":["http://zotero.org/users/local/biVi7xTd/items/9D6MCJ5F"],"uri":["http://zotero.org/users/local/biVi7xTd/items/9D6MCJ5F"],"itemData":{"id":20629,"type":"article-journal","abstract":"The hippocampus is critical for encoding declarative memory, our\nrepository of knowledge of who, what, where, and when. Mnemonic information is processed in the\nhippocampus through several parallel routes involving distinct subregions. In\nthe classic trisynaptic pathway, information proceeds from entorhinal cortex\n(EC) to dentate gyrus (DG) to CA3 and then to CA1, the main hippocampal\noutput. Genetic\nlesions of EC and hippocampal\nDG, CA3, and CA1 regions have revealed their\ndistinct functions in learning and memory. In contrast, little is known about\nthe role of CA2, a relatively small area interposed between CA3 and CA1 that\nforms the nexus of a powerful disynaptic circuit linking EC input with CA1\noutput. Here, we\nreport a novel transgenic mouse line that enabled us to selectively examine the\nsynaptic connections and behavioral role of the CA2 region in adult mice.\nGenetically targeted inactivation of CA2 pyramidal neurons caused a pronounced\nloss of social memory, the ability of an animal to remember a conspecific, with\nno change in sociability or several other hippocampal-dependent behaviors,\nincluding spatial and contextual memory. These behavioral and anatomical results\nthus reveal CA2 as a critical hub of sociocognitive memory processing.","container-title":"Nature","DOI":"10.1038/nature13028","ISSN":"0028-0836","issue":"7494","journalAbbreviation":"Nature","note":"PMID: 24572357\nPMCID: PMC4000264","page":"88-92","source":"PubMed Central","title":"The hippocampal CA2 region is essential for social memory","volume":"508","author":[{"family":"Hitti","given":"Frederick L."},{"family":"Siegelbaum","given":"Steven A."}],"issued":{"date-parts":[["2014",4,3]]}}}],"schema":"https://github.com/citation-style-language/schema/raw/master/csl-citation.json"} </w:instrText>
      </w:r>
      <w:r w:rsidR="00F456C3" w:rsidRPr="00814C67">
        <w:fldChar w:fldCharType="separate"/>
      </w:r>
      <w:r w:rsidR="003970EA" w:rsidRPr="00814C67">
        <w:rPr>
          <w:rFonts w:cs="Arial"/>
          <w:vertAlign w:val="superscript"/>
        </w:rPr>
        <w:t>6</w:t>
      </w:r>
      <w:r w:rsidR="00F456C3" w:rsidRPr="00814C67">
        <w:fldChar w:fldCharType="end"/>
      </w:r>
      <w:r w:rsidR="00DB4A58" w:rsidRPr="00814C67">
        <w:t xml:space="preserve"> – however, no indication of social memory was seen even in controls in this test, therefore the data is omitted here</w:t>
      </w:r>
      <w:r w:rsidRPr="00814C67">
        <w:t>.</w:t>
      </w:r>
    </w:p>
    <w:p w:rsidR="00D05B0D" w:rsidRPr="00814C67" w:rsidRDefault="00D05B0D" w:rsidP="00780E45">
      <w:pPr>
        <w:rPr>
          <w:lang w:val="en-GB"/>
        </w:rPr>
      </w:pPr>
    </w:p>
    <w:p w:rsidR="00D265B0" w:rsidRPr="00814C67" w:rsidRDefault="00D265B0" w:rsidP="00132DCD">
      <w:pPr>
        <w:pStyle w:val="Heading2"/>
        <w:rPr>
          <w:color w:val="auto"/>
          <w:lang w:val="en-GB"/>
        </w:rPr>
      </w:pPr>
      <w:r w:rsidRPr="00814C67">
        <w:rPr>
          <w:color w:val="auto"/>
          <w:lang w:val="en-GB"/>
        </w:rPr>
        <w:t>Olfactory function test</w:t>
      </w:r>
    </w:p>
    <w:p w:rsidR="00D265B0" w:rsidRPr="00814C67" w:rsidRDefault="00D265B0" w:rsidP="00780E45">
      <w:pPr>
        <w:rPr>
          <w:lang w:val="en-GB"/>
        </w:rPr>
      </w:pPr>
      <w:r w:rsidRPr="00814C67">
        <w:t>Olfactory function was assessed after 20 min of habituation to an open-field by exposing mice to an odour (rose or lavender) 4 times for 2 min every 4 min whereby on the first three exposures the odour was the same and on the last exposure a novel odour was presented.</w:t>
      </w:r>
    </w:p>
    <w:p w:rsidR="00F444AA" w:rsidRPr="00814C67" w:rsidRDefault="00F444AA" w:rsidP="00132DCD">
      <w:pPr>
        <w:pStyle w:val="Heading2"/>
        <w:rPr>
          <w:rFonts w:eastAsiaTheme="minorHAnsi"/>
          <w:color w:val="auto"/>
          <w:lang w:val="en-GB"/>
        </w:rPr>
      </w:pPr>
      <w:r w:rsidRPr="00814C67">
        <w:rPr>
          <w:rFonts w:eastAsiaTheme="minorHAnsi"/>
          <w:color w:val="auto"/>
          <w:lang w:val="en-GB"/>
        </w:rPr>
        <w:t>Elevated plus-maze (anxiety)</w:t>
      </w:r>
    </w:p>
    <w:p w:rsidR="00F444AA" w:rsidRPr="00814C67" w:rsidRDefault="00F444AA" w:rsidP="00F444AA">
      <w:pPr>
        <w:rPr>
          <w:lang w:val="en-GB"/>
        </w:rPr>
      </w:pPr>
      <w:r w:rsidRPr="00814C67">
        <w:rPr>
          <w:lang w:val="en-GB"/>
        </w:rPr>
        <w:t xml:space="preserve">The </w:t>
      </w:r>
      <w:r w:rsidR="00780E45" w:rsidRPr="00814C67">
        <w:rPr>
          <w:lang w:val="en-GB"/>
        </w:rPr>
        <w:t xml:space="preserve">cross-shaped </w:t>
      </w:r>
      <w:r w:rsidRPr="00814C67">
        <w:rPr>
          <w:lang w:val="en-GB"/>
        </w:rPr>
        <w:t xml:space="preserve">elevated plus maze (EPM) was used to test for unconditioned anxiety </w:t>
      </w:r>
      <w:r w:rsidR="00780E45" w:rsidRPr="00814C67">
        <w:rPr>
          <w:lang w:val="en-GB"/>
        </w:rPr>
        <w:t>and</w:t>
      </w:r>
      <w:r w:rsidRPr="00814C67">
        <w:rPr>
          <w:lang w:val="en-GB"/>
        </w:rPr>
        <w:t xml:space="preserve"> </w:t>
      </w:r>
      <w:r w:rsidR="00780E45" w:rsidRPr="00814C67">
        <w:rPr>
          <w:lang w:val="en-GB"/>
        </w:rPr>
        <w:t xml:space="preserve">was </w:t>
      </w:r>
      <w:r w:rsidRPr="00814C67">
        <w:rPr>
          <w:lang w:val="en-GB"/>
        </w:rPr>
        <w:t>custom-made from grey PVC</w:t>
      </w:r>
      <w:r w:rsidR="00780E45" w:rsidRPr="00814C67">
        <w:rPr>
          <w:lang w:val="en-GB"/>
        </w:rPr>
        <w:t>. Its</w:t>
      </w:r>
      <w:r w:rsidRPr="00814C67">
        <w:rPr>
          <w:lang w:val="en-GB"/>
        </w:rPr>
        <w:t xml:space="preserve"> four arms </w:t>
      </w:r>
      <w:r w:rsidR="00612F69" w:rsidRPr="00814C67">
        <w:rPr>
          <w:lang w:val="en-GB"/>
        </w:rPr>
        <w:t>had</w:t>
      </w:r>
      <w:r w:rsidRPr="00814C67">
        <w:rPr>
          <w:lang w:val="en-GB"/>
        </w:rPr>
        <w:t xml:space="preserve"> identical area (L 35.5 cm, W 7 cm), </w:t>
      </w:r>
      <w:r w:rsidR="00612F69" w:rsidRPr="00814C67">
        <w:rPr>
          <w:lang w:val="en-GB"/>
        </w:rPr>
        <w:t>were connected by a neutral centre (L 7 cm, W 7 cm), and</w:t>
      </w:r>
      <w:r w:rsidRPr="00814C67">
        <w:rPr>
          <w:lang w:val="en-GB"/>
        </w:rPr>
        <w:t xml:space="preserve"> two opposing arms were open, while the other two were enclosed by walls of 20 cm height. The maze was elevated 70 cm above the ground and the area underneath the maze was covered with cloth to protect the mice in the eventuality of a fall during the test. Light intensity in the maze was 100 lux on open arms and 75 lux in the centre. </w:t>
      </w:r>
      <w:r w:rsidR="00612F69" w:rsidRPr="00814C67">
        <w:rPr>
          <w:lang w:val="en-GB"/>
        </w:rPr>
        <w:t>Subjects were</w:t>
      </w:r>
      <w:r w:rsidRPr="00814C67">
        <w:rPr>
          <w:lang w:val="en-GB"/>
        </w:rPr>
        <w:t xml:space="preserve"> at first placed in a novel holding cage in the testing room for a 5-7 min habituation period. Thereafter, the mouse was transferred to the centre of the maze and allowed to explore the maze for 5 min. The movement was tracked and analyzed using ANY-maze. Entries into each zone were defined according to the position of the mouse’s body centre. A preference score was calculated as the time spent in the open arms divided by the time spent in the closed arms (excluding the centre). This measure represents the primary, inverse measure of unconditioned anxiety in relation to exploratory drive.</w:t>
      </w:r>
    </w:p>
    <w:p w:rsidR="00A226D5" w:rsidRPr="00814C67" w:rsidRDefault="00A226D5" w:rsidP="00132DCD">
      <w:pPr>
        <w:pStyle w:val="Heading2"/>
        <w:rPr>
          <w:rFonts w:eastAsiaTheme="minorHAnsi"/>
          <w:color w:val="auto"/>
          <w:lang w:val="en-GB"/>
        </w:rPr>
      </w:pPr>
      <w:r w:rsidRPr="00814C67">
        <w:rPr>
          <w:rFonts w:eastAsiaTheme="minorHAnsi"/>
          <w:color w:val="auto"/>
          <w:lang w:val="en-GB"/>
        </w:rPr>
        <w:t>Nest building</w:t>
      </w:r>
    </w:p>
    <w:p w:rsidR="00A226D5" w:rsidRPr="00814C67" w:rsidRDefault="00A226D5" w:rsidP="00A226D5">
      <w:pPr>
        <w:rPr>
          <w:lang w:val="en-GB"/>
        </w:rPr>
      </w:pPr>
      <w:r w:rsidRPr="00814C67">
        <w:rPr>
          <w:lang w:val="en-GB"/>
        </w:rPr>
        <w:t>For nest building assessment, mice were single-housed in cages with</w:t>
      </w:r>
      <w:r w:rsidR="00DA5758" w:rsidRPr="00814C67">
        <w:rPr>
          <w:lang w:val="en-GB"/>
        </w:rPr>
        <w:t xml:space="preserve"> just</w:t>
      </w:r>
      <w:r w:rsidRPr="00814C67">
        <w:rPr>
          <w:lang w:val="en-GB"/>
        </w:rPr>
        <w:t xml:space="preserve"> saw-dust covering the floor and a single 2.6-2.7 g Nestlet (Datesand, UK)</w:t>
      </w:r>
      <w:r w:rsidR="00DA5758" w:rsidRPr="00814C67">
        <w:rPr>
          <w:lang w:val="en-GB"/>
        </w:rPr>
        <w:t>,</w:t>
      </w:r>
      <w:r w:rsidRPr="00814C67">
        <w:rPr>
          <w:lang w:val="en-GB"/>
        </w:rPr>
        <w:t xml:space="preserve"> at the evening (6-7 pm)</w:t>
      </w:r>
      <w:r w:rsidR="00DA5758" w:rsidRPr="00814C67">
        <w:rPr>
          <w:lang w:val="en-GB"/>
        </w:rPr>
        <w:t>. On the next morning (8-9 am), t</w:t>
      </w:r>
      <w:r w:rsidRPr="00814C67">
        <w:rPr>
          <w:lang w:val="en-GB"/>
        </w:rPr>
        <w:t>he resulting nests were scored according to an established scale</w:t>
      </w:r>
      <w:r w:rsidR="00F456C3" w:rsidRPr="00814C67">
        <w:rPr>
          <w:lang w:val="en-GB"/>
        </w:rPr>
        <w:fldChar w:fldCharType="begin"/>
      </w:r>
      <w:r w:rsidR="003970EA" w:rsidRPr="00814C67">
        <w:rPr>
          <w:lang w:val="en-GB"/>
        </w:rPr>
        <w:instrText xml:space="preserve"> ADDIN ZOTERO_ITEM CSL_CITATION {"citationID":"2c2ce9tqrc","properties":{"formattedCitation":"\\super 7\\nosupersub{}","plainCitation":"7","noteIndex":0},"citationItems":[{"id":11153,"uris":["http://zotero.org/users/local/biVi7xTd/items/ZAAEN4SP"],"uri":["http://zotero.org/users/local/biVi7xTd/items/ZAAEN4SP"],"itemData":{"id":11153,"type":"article-journal","abstract":"For small rodents, nests are important in heat conservation as well as reproduction and shelter. Nesting is easily measured in the home cages of mice, particularly with the advent of pressed cotton materials. The mice first shred the tightly packed material, then arrange it into a nest. Published studies have often used materials such as hay, twine or tissues, sometimes preshredded, and have assigned scores of the quality of the resulting nest with rather rudimentary rating scales; e.g., 0, no nest; 1, flat nest; 2, nest covering the mouse. The protocol described here uses pressed cotton squares and a definitive 5-point nest-rating scale. Any unshredded material left after a bout of nesting can also be weighed, providing a semi-independent objective assay of nesting ability. Nesting has been shown to be sensitive to brain lesions, pharmacological agents and genetic mutations. This is a simple, cheap and easily done test that, along with other tests of species-typical behavior, is a sensitive assay for identifying previously unknown behavioral phenotypes. The test needs to be done overnight, but it should take no more than 5 minutes to set up plus 1 minute to assess one nest and weigh the untorn residue.","container-title":"Nature Protocols","DOI":"10.1038/nprot.2006.170","ISSN":"1754-2189","issue":"3","journalAbbreviation":"Nat. Protoc.","language":"en","page":"1117-1119","source":"www.nature.com","title":"Assessing nest building in mice","volume":"1","author":[{"family":"Deacon","given":"Robert MJ"}],"issued":{"date-parts":[["2006",8]]}}}],"schema":"https://github.com/citation-style-language/schema/raw/master/csl-citation.json"} </w:instrText>
      </w:r>
      <w:r w:rsidR="00F456C3" w:rsidRPr="00814C67">
        <w:rPr>
          <w:lang w:val="en-GB"/>
        </w:rPr>
        <w:fldChar w:fldCharType="separate"/>
      </w:r>
      <w:r w:rsidR="003970EA" w:rsidRPr="00814C67">
        <w:rPr>
          <w:rFonts w:cs="Arial"/>
          <w:vertAlign w:val="superscript"/>
        </w:rPr>
        <w:t>7</w:t>
      </w:r>
      <w:r w:rsidR="00F456C3" w:rsidRPr="00814C67">
        <w:rPr>
          <w:lang w:val="en-GB"/>
        </w:rPr>
        <w:fldChar w:fldCharType="end"/>
      </w:r>
      <w:r w:rsidRPr="00814C67">
        <w:rPr>
          <w:lang w:val="en-GB"/>
        </w:rPr>
        <w:t xml:space="preserve"> </w:t>
      </w:r>
      <w:r w:rsidR="00DA5758" w:rsidRPr="00814C67">
        <w:rPr>
          <w:lang w:val="en-GB"/>
        </w:rPr>
        <w:t>and the unused Nestlet material was weighed.</w:t>
      </w:r>
    </w:p>
    <w:p w:rsidR="00A226D5" w:rsidRPr="00814C67" w:rsidRDefault="00A226D5" w:rsidP="00F444AA">
      <w:pPr>
        <w:rPr>
          <w:lang w:val="en-GB"/>
        </w:rPr>
      </w:pPr>
    </w:p>
    <w:p w:rsidR="00F444AA" w:rsidRPr="00814C67" w:rsidRDefault="00F444AA" w:rsidP="00F444AA">
      <w:pPr>
        <w:pStyle w:val="Heading2"/>
        <w:spacing w:line="276" w:lineRule="auto"/>
        <w:rPr>
          <w:rFonts w:eastAsiaTheme="minorHAnsi"/>
          <w:color w:val="auto"/>
          <w:lang w:val="en-GB"/>
        </w:rPr>
      </w:pPr>
      <w:r w:rsidRPr="00814C67">
        <w:rPr>
          <w:rFonts w:eastAsiaTheme="minorHAnsi"/>
          <w:color w:val="auto"/>
          <w:lang w:val="en-GB"/>
        </w:rPr>
        <w:t>Histology</w:t>
      </w:r>
    </w:p>
    <w:p w:rsidR="00F444AA" w:rsidRPr="00814C67" w:rsidRDefault="00F444AA" w:rsidP="00F444AA">
      <w:pPr>
        <w:pStyle w:val="Heading3"/>
        <w:spacing w:after="120" w:line="276" w:lineRule="auto"/>
        <w:rPr>
          <w:rFonts w:eastAsiaTheme="minorHAnsi" w:cs="Arial"/>
          <w:color w:val="auto"/>
          <w:lang w:val="en-GB"/>
        </w:rPr>
      </w:pPr>
      <w:r w:rsidRPr="00814C67">
        <w:rPr>
          <w:rFonts w:eastAsiaTheme="minorHAnsi" w:cs="Arial"/>
          <w:color w:val="auto"/>
          <w:lang w:val="en-GB"/>
        </w:rPr>
        <w:t>Histological validation of GFP expression</w:t>
      </w:r>
    </w:p>
    <w:p w:rsidR="00F444AA" w:rsidRPr="00814C67" w:rsidRDefault="00F444AA" w:rsidP="00F444AA">
      <w:pPr>
        <w:rPr>
          <w:lang w:val="en-GB"/>
        </w:rPr>
      </w:pPr>
      <w:r w:rsidRPr="00814C67">
        <w:rPr>
          <w:lang w:val="en-GB"/>
        </w:rPr>
        <w:t xml:space="preserve">Upon completion of the behavioural tests, mice were transcardially perfused under deep, terminal anaesthesia induced by a mixture of ketamine and medetomidine </w:t>
      </w:r>
      <w:r w:rsidRPr="00814C67">
        <w:rPr>
          <w:rFonts w:cs="Arial"/>
          <w:lang w:val="en-GB"/>
        </w:rPr>
        <w:t>(≥ 200 mg/kg ketamine, Zoetis, G; ≥ 2</w:t>
      </w:r>
      <w:r w:rsidRPr="00814C67">
        <w:rPr>
          <w:lang w:val="en-GB"/>
        </w:rPr>
        <w:t xml:space="preserve">mg/kg medetomidine, Pfizer, US) injected i.p.. After perfusion with phosphate-buffered saline (PBS, Sigma, D) and, thereafter, 4 % paraformaldehyde (PFA) in PBS (SantaCruz, US), the brain was post-fixed in 4 % PFA/PBS for one night, followed by incubation in a storing solution (0.05 % sodium azide in PBS) at 4°C. Then, the PFC of the fixed brain was incubated for at least 1 h in a cutting solution (0.05 % sodium azide and 10 % sucrose in PBS) and cut into 60 µm coronal slices using a vibratome (VT1000, Leica, G) at room temperature (RT). Subsequently, the slices were transferred onto a multi-well plate filled with storing solution at 4°C. </w:t>
      </w:r>
      <w:r w:rsidR="003851A6" w:rsidRPr="00814C67">
        <w:rPr>
          <w:lang w:val="en-GB"/>
        </w:rPr>
        <w:t>For inspection of GFP expression in the AAV-cohort, s</w:t>
      </w:r>
      <w:r w:rsidRPr="00814C67">
        <w:rPr>
          <w:lang w:val="en-GB"/>
        </w:rPr>
        <w:t xml:space="preserve">lices were washed with PBS (3x 10 min), stained with DAPI (0.0005 % w/v DAPI in PBS) for 20 min, washed again in PBS (3x 10 min), and mounted on glass slides in VectaShield (H-1000; Vector Labs, US) </w:t>
      </w:r>
      <w:r w:rsidR="003851A6" w:rsidRPr="00814C67">
        <w:rPr>
          <w:lang w:val="en-GB"/>
        </w:rPr>
        <w:t>before imaging</w:t>
      </w:r>
      <w:r w:rsidRPr="00814C67">
        <w:rPr>
          <w:lang w:val="en-GB"/>
        </w:rPr>
        <w:t xml:space="preserve"> with an epifluorescence microscope (DM6, Leica).</w:t>
      </w:r>
    </w:p>
    <w:p w:rsidR="00F444AA" w:rsidRPr="00814C67" w:rsidRDefault="00F444AA" w:rsidP="00F444AA">
      <w:pPr>
        <w:pStyle w:val="Heading3"/>
        <w:spacing w:after="120" w:line="276" w:lineRule="auto"/>
        <w:rPr>
          <w:rFonts w:eastAsiaTheme="minorHAnsi" w:cs="Arial"/>
          <w:color w:val="auto"/>
          <w:lang w:val="en-GB"/>
        </w:rPr>
      </w:pPr>
      <w:r w:rsidRPr="00814C67">
        <w:rPr>
          <w:rFonts w:eastAsiaTheme="minorHAnsi" w:cs="Arial"/>
          <w:color w:val="auto"/>
          <w:lang w:val="en-GB"/>
        </w:rPr>
        <w:t xml:space="preserve">Immunohistochemistry (IHC) </w:t>
      </w:r>
    </w:p>
    <w:p w:rsidR="00DA5758" w:rsidRPr="00814C67" w:rsidRDefault="00F444AA" w:rsidP="00DA5758">
      <w:pPr>
        <w:rPr>
          <w:lang w:val="en-GB"/>
        </w:rPr>
      </w:pPr>
      <w:r w:rsidRPr="00814C67">
        <w:rPr>
          <w:lang w:val="en-GB"/>
        </w:rPr>
        <w:t xml:space="preserve">To evaluate the ablation of </w:t>
      </w:r>
      <w:r w:rsidR="003851A6" w:rsidRPr="00814C67">
        <w:rPr>
          <w:lang w:val="en-GB"/>
        </w:rPr>
        <w:t>GLUA1</w:t>
      </w:r>
      <w:r w:rsidRPr="00814C67">
        <w:rPr>
          <w:lang w:val="en-GB"/>
        </w:rPr>
        <w:t xml:space="preserve">, tissue was used from </w:t>
      </w:r>
      <w:r w:rsidR="00DA5758" w:rsidRPr="00814C67">
        <w:rPr>
          <w:lang w:val="en-GB"/>
        </w:rPr>
        <w:t>14</w:t>
      </w:r>
      <w:r w:rsidRPr="00814C67">
        <w:rPr>
          <w:lang w:val="en-GB"/>
        </w:rPr>
        <w:t xml:space="preserve"> mice</w:t>
      </w:r>
      <w:r w:rsidR="003851A6" w:rsidRPr="00814C67">
        <w:rPr>
          <w:lang w:val="en-GB"/>
        </w:rPr>
        <w:t xml:space="preserve"> of the AAV-cohort</w:t>
      </w:r>
      <w:r w:rsidRPr="00814C67">
        <w:rPr>
          <w:lang w:val="en-GB"/>
        </w:rPr>
        <w:t xml:space="preserve"> transfect</w:t>
      </w:r>
      <w:r w:rsidR="003851A6" w:rsidRPr="00814C67">
        <w:rPr>
          <w:lang w:val="en-GB"/>
        </w:rPr>
        <w:t>ed with either the GFP vector (</w:t>
      </w:r>
      <w:r w:rsidR="00DA5758" w:rsidRPr="00814C67">
        <w:rPr>
          <w:lang w:val="en-GB"/>
        </w:rPr>
        <w:t>7</w:t>
      </w:r>
      <w:r w:rsidRPr="00814C67">
        <w:rPr>
          <w:lang w:val="en-GB"/>
        </w:rPr>
        <w:t xml:space="preserve"> mice</w:t>
      </w:r>
      <w:r w:rsidR="003851A6" w:rsidRPr="00814C67">
        <w:rPr>
          <w:lang w:val="en-GB"/>
        </w:rPr>
        <w:t>) or GFP-Cre vector, as well as from 2-3 mice each</w:t>
      </w:r>
      <w:r w:rsidRPr="00814C67">
        <w:rPr>
          <w:lang w:val="en-GB"/>
        </w:rPr>
        <w:t xml:space="preserve"> </w:t>
      </w:r>
      <w:r w:rsidR="003851A6" w:rsidRPr="00814C67">
        <w:rPr>
          <w:lang w:val="en-GB"/>
        </w:rPr>
        <w:t xml:space="preserve">of </w:t>
      </w:r>
      <w:r w:rsidR="003851A6" w:rsidRPr="00814C67">
        <w:rPr>
          <w:i/>
          <w:lang w:val="en-GB"/>
        </w:rPr>
        <w:t>Gria1</w:t>
      </w:r>
      <w:r w:rsidR="003851A6" w:rsidRPr="00814C67">
        <w:rPr>
          <w:rFonts w:ascii="Symbol" w:hAnsi="Symbol"/>
          <w:vertAlign w:val="superscript"/>
          <w:lang w:val="en-GB"/>
        </w:rPr>
        <w:t></w:t>
      </w:r>
      <w:r w:rsidR="003851A6" w:rsidRPr="00814C67">
        <w:rPr>
          <w:vertAlign w:val="superscript"/>
          <w:lang w:val="en-GB"/>
        </w:rPr>
        <w:t>Amigo2</w:t>
      </w:r>
      <w:r w:rsidR="003851A6" w:rsidRPr="00814C67">
        <w:rPr>
          <w:lang w:val="en-GB"/>
        </w:rPr>
        <w:t xml:space="preserve">, </w:t>
      </w:r>
      <w:r w:rsidR="003851A6" w:rsidRPr="00814C67">
        <w:rPr>
          <w:i/>
          <w:lang w:val="en-GB"/>
        </w:rPr>
        <w:t>Gria1</w:t>
      </w:r>
      <w:r w:rsidR="003851A6" w:rsidRPr="00814C67">
        <w:rPr>
          <w:rFonts w:ascii="Symbol" w:hAnsi="Symbol"/>
          <w:vertAlign w:val="superscript"/>
          <w:lang w:val="en-GB"/>
        </w:rPr>
        <w:t></w:t>
      </w:r>
      <w:r w:rsidR="003851A6" w:rsidRPr="00814C67">
        <w:rPr>
          <w:vertAlign w:val="superscript"/>
          <w:lang w:val="en-GB"/>
        </w:rPr>
        <w:t>Grik4</w:t>
      </w:r>
      <w:r w:rsidR="003851A6" w:rsidRPr="00814C67">
        <w:rPr>
          <w:lang w:val="en-GB"/>
        </w:rPr>
        <w:t>, and Cre-negative floxed-</w:t>
      </w:r>
      <w:r w:rsidR="003851A6" w:rsidRPr="00814C67">
        <w:rPr>
          <w:i/>
          <w:lang w:val="en-GB"/>
        </w:rPr>
        <w:t>Gria1</w:t>
      </w:r>
      <w:r w:rsidR="003851A6" w:rsidRPr="00814C67">
        <w:rPr>
          <w:lang w:val="en-GB"/>
        </w:rPr>
        <w:t xml:space="preserve"> control mice of the transgenic cohorts (perfused and brains processed as described above). </w:t>
      </w:r>
      <w:r w:rsidR="00DA5758" w:rsidRPr="00814C67">
        <w:t>60 </w:t>
      </w:r>
      <w:r w:rsidR="00DA5758" w:rsidRPr="00814C67">
        <w:rPr>
          <w:rFonts w:cs="Arial"/>
        </w:rPr>
        <w:t>µ</w:t>
      </w:r>
      <w:r w:rsidR="00DA5758" w:rsidRPr="00814C67">
        <w:t>m s</w:t>
      </w:r>
      <w:r w:rsidR="00DA5758" w:rsidRPr="00814C67">
        <w:rPr>
          <w:sz w:val="23"/>
          <w:szCs w:val="23"/>
        </w:rPr>
        <w:t xml:space="preserve">lices </w:t>
      </w:r>
      <w:r w:rsidR="00DA5758" w:rsidRPr="00814C67">
        <w:rPr>
          <w:lang w:val="en-GB"/>
        </w:rPr>
        <w:t>were transferred into CELLSTAR (Cat# 662160 Greiner Bio-One, Austria) multi-well cell-culture plates and</w:t>
      </w:r>
      <w:r w:rsidR="00DA5758" w:rsidRPr="00814C67">
        <w:rPr>
          <w:sz w:val="23"/>
          <w:szCs w:val="23"/>
        </w:rPr>
        <w:t xml:space="preserve"> washed thrice for 10 min in PBS at room temperature (RT). They were thereafter immersed in a detergent (0.5% TritonX in </w:t>
      </w:r>
      <w:r w:rsidR="00F11691" w:rsidRPr="00814C67">
        <w:rPr>
          <w:sz w:val="23"/>
          <w:szCs w:val="23"/>
        </w:rPr>
        <w:t>PBS) for 20 </w:t>
      </w:r>
      <w:r w:rsidR="00DA5758" w:rsidRPr="00814C67">
        <w:rPr>
          <w:sz w:val="23"/>
          <w:szCs w:val="23"/>
        </w:rPr>
        <w:t xml:space="preserve">min. To block potential nonspecific binding sites, the slices were kept in blocking solution </w:t>
      </w:r>
      <w:r w:rsidR="00F11691" w:rsidRPr="00814C67">
        <w:rPr>
          <w:lang w:val="en-GB"/>
        </w:rPr>
        <w:t>containing 0.3</w:t>
      </w:r>
      <w:r w:rsidR="00DA5758" w:rsidRPr="00814C67">
        <w:rPr>
          <w:lang w:val="en-GB"/>
        </w:rPr>
        <w:t>% TritonX, 20 % normal goat serum (order# S-1000, Vector laboratories, USA) in PBS for 1 h at RT. After a short wash in PBS, the slices were then incubated over two nights at 4°C in carrier solution containing the primary antibody and 0.3% TritonX, 1 % normal goat serum in PBS. Polyclonal rabbit anti-</w:t>
      </w:r>
      <w:r w:rsidR="00F11691" w:rsidRPr="00814C67">
        <w:rPr>
          <w:lang w:val="en-GB"/>
        </w:rPr>
        <w:t>GLUA1</w:t>
      </w:r>
      <w:r w:rsidR="00DA5758" w:rsidRPr="00814C67">
        <w:rPr>
          <w:lang w:val="en-GB"/>
        </w:rPr>
        <w:t xml:space="preserve"> (anti-GluR1; order# AB1504, Millipore, USA; diluted 1:500) was used as the primary antibody. After this incubation, slices were washed twice for 10</w:t>
      </w:r>
      <w:r w:rsidR="00F11691" w:rsidRPr="00814C67">
        <w:rPr>
          <w:lang w:val="en-GB"/>
        </w:rPr>
        <w:t> </w:t>
      </w:r>
      <w:r w:rsidR="00DA5758" w:rsidRPr="00814C67">
        <w:rPr>
          <w:lang w:val="en-GB"/>
        </w:rPr>
        <w:t>min in PBS at RT, and subsequently stained for 2</w:t>
      </w:r>
      <w:r w:rsidR="00F11691" w:rsidRPr="00814C67">
        <w:rPr>
          <w:lang w:val="en-GB"/>
        </w:rPr>
        <w:t> </w:t>
      </w:r>
      <w:r w:rsidR="00DA5758" w:rsidRPr="00814C67">
        <w:rPr>
          <w:lang w:val="en-GB"/>
        </w:rPr>
        <w:t>h in light-safe conditions at RT with a secondary AlexaFluor-546-labelled goat anti-rabbit antibody (order# A-11010, Invitrogen/ThermoFisher, USA) diluted at 1:1000 in carrier solution containing 0.05% TritonX, 2% normal goat serum in PBS. Slices were then briefly washed</w:t>
      </w:r>
      <w:r w:rsidR="00F11691" w:rsidRPr="00814C67">
        <w:rPr>
          <w:lang w:val="en-GB"/>
        </w:rPr>
        <w:t xml:space="preserve"> in PBS at RT, incubated for 10 </w:t>
      </w:r>
      <w:r w:rsidR="00DA5758" w:rsidRPr="00814C67">
        <w:rPr>
          <w:lang w:val="en-GB"/>
        </w:rPr>
        <w:t>min in a 1:1000 DAPI-solution diluted in PBS, and washed thrice for 10</w:t>
      </w:r>
      <w:r w:rsidR="00F11691" w:rsidRPr="00814C67">
        <w:rPr>
          <w:lang w:val="en-GB"/>
        </w:rPr>
        <w:t> </w:t>
      </w:r>
      <w:r w:rsidR="00DA5758" w:rsidRPr="00814C67">
        <w:rPr>
          <w:lang w:val="en-GB"/>
        </w:rPr>
        <w:t>min in PBS at RT. Finally, the slices were mounted on microscopy slides, they were embedded in VectaShield antifade mounting medium (VectorLabs) and stored at 4°C until epifluorescence (DM6, Leica; Aperio VERSA Brightfield, Fluorescence &amp; FISH Digital Pathology Scanner, Leica) or confocal imaging (LSM 710, Leica).</w:t>
      </w:r>
    </w:p>
    <w:p w:rsidR="00F444AA" w:rsidRPr="00814C67" w:rsidRDefault="00F444AA" w:rsidP="00DA5758">
      <w:pPr>
        <w:rPr>
          <w:lang w:val="en-GB"/>
        </w:rPr>
      </w:pPr>
    </w:p>
    <w:p w:rsidR="00F92AD3" w:rsidRPr="00814C67" w:rsidRDefault="00F92AD3">
      <w:pPr>
        <w:spacing w:line="240" w:lineRule="auto"/>
        <w:jc w:val="left"/>
        <w:rPr>
          <w:rFonts w:eastAsiaTheme="majorEastAsia" w:cstheme="majorBidi"/>
          <w:b/>
          <w:bCs/>
          <w:sz w:val="32"/>
          <w:szCs w:val="28"/>
        </w:rPr>
      </w:pPr>
      <w:r w:rsidRPr="00814C67">
        <w:br w:type="page"/>
      </w:r>
    </w:p>
    <w:p w:rsidR="00105945" w:rsidRPr="00814C67" w:rsidRDefault="00F92AD3" w:rsidP="00D76B89">
      <w:pPr>
        <w:pStyle w:val="Heading1"/>
        <w:rPr>
          <w:color w:val="auto"/>
        </w:rPr>
      </w:pPr>
      <w:r w:rsidRPr="00814C67">
        <w:rPr>
          <w:color w:val="auto"/>
        </w:rPr>
        <w:t>Supplementary Figures</w:t>
      </w:r>
    </w:p>
    <w:p w:rsidR="00F92AD3" w:rsidRPr="00814C67" w:rsidRDefault="003020B3" w:rsidP="00F92AD3">
      <w:r w:rsidRPr="00814C67">
        <w:rPr>
          <w:noProof/>
          <w:lang w:val="de-DE" w:eastAsia="de-DE"/>
        </w:rPr>
        <w:drawing>
          <wp:inline distT="0" distB="0" distL="0" distR="0">
            <wp:extent cx="5727700" cy="5884458"/>
            <wp:effectExtent l="19050" t="0" r="6350" b="0"/>
            <wp:docPr id="13" name="Picture 12" descr="Supplementary Fig 1 fGlu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ementary Fig 1 fGluA1.png"/>
                    <pic:cNvPicPr/>
                  </pic:nvPicPr>
                  <pic:blipFill>
                    <a:blip r:embed="rId8"/>
                    <a:stretch>
                      <a:fillRect/>
                    </a:stretch>
                  </pic:blipFill>
                  <pic:spPr>
                    <a:xfrm>
                      <a:off x="0" y="0"/>
                      <a:ext cx="5727700" cy="5884458"/>
                    </a:xfrm>
                    <a:prstGeom prst="rect">
                      <a:avLst/>
                    </a:prstGeom>
                  </pic:spPr>
                </pic:pic>
              </a:graphicData>
            </a:graphic>
          </wp:inline>
        </w:drawing>
      </w:r>
    </w:p>
    <w:p w:rsidR="00F92AD3" w:rsidRPr="00814C67" w:rsidRDefault="00F92AD3" w:rsidP="00F92AD3">
      <w:pPr>
        <w:shd w:val="clear" w:color="auto" w:fill="FFFFFF" w:themeFill="background1"/>
      </w:pPr>
      <w:r w:rsidRPr="00814C67">
        <w:rPr>
          <w:b/>
        </w:rPr>
        <w:t>Supplementary Figure 1.</w:t>
      </w:r>
      <w:r w:rsidRPr="00814C67">
        <w:t xml:space="preserve"> </w:t>
      </w:r>
      <w:r w:rsidRPr="00814C67">
        <w:rPr>
          <w:b/>
        </w:rPr>
        <w:t>Ablation of GLUA1.</w:t>
      </w:r>
      <w:r w:rsidR="003020B3" w:rsidRPr="00814C67">
        <w:rPr>
          <w:b/>
        </w:rPr>
        <w:t xml:space="preserve"> </w:t>
      </w:r>
      <w:r w:rsidR="003020B3" w:rsidRPr="00814C67">
        <w:t>(</w:t>
      </w:r>
      <w:r w:rsidR="003020B3" w:rsidRPr="00814C67">
        <w:rPr>
          <w:b/>
        </w:rPr>
        <w:t>a-b</w:t>
      </w:r>
      <w:r w:rsidR="003020B3" w:rsidRPr="00814C67">
        <w:t>) Epifluorescence images of native GFP-Cre expression in mice transfected either</w:t>
      </w:r>
      <w:r w:rsidRPr="00814C67">
        <w:t xml:space="preserve"> </w:t>
      </w:r>
      <w:r w:rsidR="003020B3" w:rsidRPr="00814C67">
        <w:t>specifically in PrL (a) or more broadly in dorsal PFC (b), see also main Fig. 1. (</w:t>
      </w:r>
      <w:r w:rsidR="003020B3" w:rsidRPr="00814C67">
        <w:rPr>
          <w:b/>
        </w:rPr>
        <w:t>c</w:t>
      </w:r>
      <w:r w:rsidR="003020B3" w:rsidRPr="00814C67">
        <w:t xml:space="preserve">) Epifluorescence images of </w:t>
      </w:r>
      <w:r w:rsidR="003020B3" w:rsidRPr="00814C67">
        <w:rPr>
          <w:lang w:val="en-GB"/>
        </w:rPr>
        <w:t>anti-</w:t>
      </w:r>
      <w:r w:rsidR="003020B3" w:rsidRPr="00814C67">
        <w:t>GLUA1 staining (red) and GFP-expression (green) in slices of PFC</w:t>
      </w:r>
      <w:r w:rsidR="003020B3" w:rsidRPr="00814C67">
        <w:rPr>
          <w:lang w:val="en-GB"/>
        </w:rPr>
        <w:t xml:space="preserve"> from floxed-</w:t>
      </w:r>
      <w:r w:rsidR="003020B3" w:rsidRPr="00814C67">
        <w:rPr>
          <w:i/>
          <w:lang w:val="en-GB"/>
        </w:rPr>
        <w:t>Gria1</w:t>
      </w:r>
      <w:r w:rsidR="003020B3" w:rsidRPr="00814C67">
        <w:rPr>
          <w:lang w:val="en-GB"/>
        </w:rPr>
        <w:t xml:space="preserve"> mice infused either with a GFP-expressing control vector (left) or with a Cre-GFP into the PFC</w:t>
      </w:r>
      <w:r w:rsidR="003020B3" w:rsidRPr="00814C67">
        <w:t xml:space="preserve">. The left image of each pair shows GLUA1 only whereas the right image shows an overlay of GLUA1 and GFP. </w:t>
      </w:r>
      <w:r w:rsidRPr="00814C67">
        <w:t>(</w:t>
      </w:r>
      <w:r w:rsidR="003020B3" w:rsidRPr="00814C67">
        <w:rPr>
          <w:b/>
        </w:rPr>
        <w:t>d</w:t>
      </w:r>
      <w:r w:rsidRPr="00814C67">
        <w:t xml:space="preserve">) </w:t>
      </w:r>
      <w:r w:rsidR="003020B3" w:rsidRPr="00814C67">
        <w:t>Epifluorescence</w:t>
      </w:r>
      <w:r w:rsidRPr="00814C67">
        <w:t xml:space="preserve"> images of </w:t>
      </w:r>
      <w:r w:rsidRPr="00814C67">
        <w:rPr>
          <w:lang w:val="en-GB"/>
        </w:rPr>
        <w:t>anti-</w:t>
      </w:r>
      <w:r w:rsidRPr="00814C67">
        <w:t>GLUA1 staining (red)</w:t>
      </w:r>
      <w:r w:rsidR="003020B3" w:rsidRPr="00814C67">
        <w:t xml:space="preserve"> and GFP-expression (green)</w:t>
      </w:r>
      <w:r w:rsidRPr="00814C67">
        <w:t xml:space="preserve"> </w:t>
      </w:r>
      <w:r w:rsidR="003020B3" w:rsidRPr="00814C67">
        <w:t>in</w:t>
      </w:r>
      <w:r w:rsidRPr="00814C67">
        <w:t xml:space="preserve"> slices of dorsal (top</w:t>
      </w:r>
      <w:r w:rsidRPr="00814C67">
        <w:rPr>
          <w:lang w:val="en-GB"/>
        </w:rPr>
        <w:t xml:space="preserve">) and ventral (bottom) hippocampus from </w:t>
      </w:r>
      <w:r w:rsidR="003020B3" w:rsidRPr="00814C67">
        <w:rPr>
          <w:lang w:val="en-GB"/>
        </w:rPr>
        <w:t>floxed-</w:t>
      </w:r>
      <w:r w:rsidR="003020B3" w:rsidRPr="00814C67">
        <w:rPr>
          <w:i/>
          <w:lang w:val="en-GB"/>
        </w:rPr>
        <w:t>Gria1</w:t>
      </w:r>
      <w:r w:rsidR="003020B3" w:rsidRPr="00814C67">
        <w:rPr>
          <w:lang w:val="en-GB"/>
        </w:rPr>
        <w:t xml:space="preserve"> mice infused either with a GFP-expressing control vector (left) or with a Cre-GFP into the hipocampus</w:t>
      </w:r>
      <w:r w:rsidRPr="00814C67">
        <w:t>. Scale bar, 1 mm</w:t>
      </w:r>
      <w:r w:rsidR="003020B3" w:rsidRPr="00814C67">
        <w:t xml:space="preserve"> throughout</w:t>
      </w:r>
      <w:r w:rsidRPr="00814C67">
        <w:t xml:space="preserve">. </w:t>
      </w:r>
    </w:p>
    <w:p w:rsidR="00F92AD3" w:rsidRPr="00814C67" w:rsidRDefault="00F92AD3" w:rsidP="00F92AD3">
      <w:pPr>
        <w:shd w:val="clear" w:color="auto" w:fill="FFFFFF" w:themeFill="background1"/>
      </w:pPr>
    </w:p>
    <w:p w:rsidR="003020B3" w:rsidRPr="00814C67" w:rsidRDefault="003020B3">
      <w:pPr>
        <w:spacing w:line="240" w:lineRule="auto"/>
        <w:jc w:val="left"/>
      </w:pPr>
      <w:r w:rsidRPr="00814C67">
        <w:br w:type="page"/>
      </w:r>
    </w:p>
    <w:p w:rsidR="00F92AD3" w:rsidRPr="00814C67" w:rsidRDefault="00F92AD3" w:rsidP="00F92AD3">
      <w:pPr>
        <w:shd w:val="clear" w:color="auto" w:fill="FFFFFF" w:themeFill="background1"/>
      </w:pPr>
      <w:r w:rsidRPr="00814C67">
        <w:rPr>
          <w:noProof/>
          <w:lang w:val="de-DE" w:eastAsia="de-DE"/>
        </w:rPr>
        <w:drawing>
          <wp:inline distT="0" distB="0" distL="0" distR="0">
            <wp:extent cx="5748539" cy="3014968"/>
            <wp:effectExtent l="19050" t="0" r="4561" b="0"/>
            <wp:docPr id="1" name="Picture 0" descr="Supplementary Fig 2 fGlu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ementary Fig 2 fGluA1.png"/>
                    <pic:cNvPicPr/>
                  </pic:nvPicPr>
                  <pic:blipFill>
                    <a:blip r:embed="rId9"/>
                    <a:stretch>
                      <a:fillRect/>
                    </a:stretch>
                  </pic:blipFill>
                  <pic:spPr>
                    <a:xfrm>
                      <a:off x="0" y="0"/>
                      <a:ext cx="5748539" cy="3014968"/>
                    </a:xfrm>
                    <a:prstGeom prst="rect">
                      <a:avLst/>
                    </a:prstGeom>
                  </pic:spPr>
                </pic:pic>
              </a:graphicData>
            </a:graphic>
          </wp:inline>
        </w:drawing>
      </w:r>
    </w:p>
    <w:p w:rsidR="006E40A4" w:rsidRPr="00814C67" w:rsidRDefault="00F92AD3" w:rsidP="006E40A4">
      <w:pPr>
        <w:shd w:val="clear" w:color="auto" w:fill="FFFFFF" w:themeFill="background1"/>
      </w:pPr>
      <w:r w:rsidRPr="00814C67">
        <w:rPr>
          <w:b/>
        </w:rPr>
        <w:t>Supplementary Figure 2.</w:t>
      </w:r>
      <w:r w:rsidRPr="00814C67">
        <w:t xml:space="preserve"> </w:t>
      </w:r>
      <w:r w:rsidRPr="00814C67">
        <w:rPr>
          <w:b/>
        </w:rPr>
        <w:t xml:space="preserve">Ablation of GLUA1 prefrontal cortex and hippocampus affects locomotion and social interaction. </w:t>
      </w:r>
      <w:r w:rsidRPr="00814C67">
        <w:t>(</w:t>
      </w:r>
      <w:r w:rsidRPr="00814C67">
        <w:rPr>
          <w:b/>
        </w:rPr>
        <w:t>a</w:t>
      </w:r>
      <w:r w:rsidRPr="00814C67">
        <w:t>) Total distance moved in 90 min in a novel open field (a) or during 5 min in the elevated plus-maze (b)</w:t>
      </w:r>
      <w:r w:rsidR="006E40A4" w:rsidRPr="00814C67">
        <w:t>, shown for individual mice</w:t>
      </w:r>
      <w:r w:rsidR="00246702" w:rsidRPr="00814C67">
        <w:t xml:space="preserve"> of the groups identified by colour in (b)</w:t>
      </w:r>
      <w:r w:rsidRPr="00814C67">
        <w:t xml:space="preserve">. </w:t>
      </w:r>
      <w:r w:rsidR="006E40A4" w:rsidRPr="00814C67">
        <w:t>(</w:t>
      </w:r>
      <w:r w:rsidR="006E40A4" w:rsidRPr="00814C67">
        <w:rPr>
          <w:b/>
        </w:rPr>
        <w:t>c</w:t>
      </w:r>
      <w:r w:rsidR="006E40A4" w:rsidRPr="00814C67">
        <w:t>) Social interaction time in 2 min intervals in the cohorts identified in the legend for 16 min exposure. (</w:t>
      </w:r>
      <w:r w:rsidR="006E40A4" w:rsidRPr="00814C67">
        <w:rPr>
          <w:b/>
        </w:rPr>
        <w:t>d</w:t>
      </w:r>
      <w:r w:rsidR="006E40A4" w:rsidRPr="00814C67">
        <w:t>) Same as (b) but summed up total interaction time (left</w:t>
      </w:r>
      <w:r w:rsidR="006E40A4" w:rsidRPr="00814C67">
        <w:rPr>
          <w:lang w:val="en-GB"/>
        </w:rPr>
        <w:t>) and number of contacts (right)</w:t>
      </w:r>
      <w:r w:rsidR="006E40A4" w:rsidRPr="00814C67">
        <w:t>.</w:t>
      </w:r>
      <w:r w:rsidR="00246702" w:rsidRPr="00814C67">
        <w:t xml:space="preserve"> (c-d) shows mean</w:t>
      </w:r>
      <w:r w:rsidR="00246702" w:rsidRPr="00814C67">
        <w:rPr>
          <w:rFonts w:cs="Arial"/>
        </w:rPr>
        <w:t>±</w:t>
      </w:r>
      <w:r w:rsidR="00246702" w:rsidRPr="00814C67">
        <w:t>s.e.m. Data was analysed with ANOVA within the prefrontal and hippocampal cohorts,</w:t>
      </w:r>
      <w:r w:rsidR="006B24F3" w:rsidRPr="00814C67">
        <w:t xml:space="preserve"> pairwise Dunnett post-hoc test was used in (d);</w:t>
      </w:r>
      <w:r w:rsidR="00246702" w:rsidRPr="00814C67">
        <w:t xml:space="preserve"> see Supplementary Table 1-2 for statistical details and </w:t>
      </w:r>
      <w:r w:rsidR="00246702" w:rsidRPr="00814C67">
        <w:rPr>
          <w:i/>
        </w:rPr>
        <w:t>N</w:t>
      </w:r>
      <w:r w:rsidR="00246702" w:rsidRPr="00814C67">
        <w:t>-numbers.</w:t>
      </w:r>
      <w:r w:rsidR="006E40A4" w:rsidRPr="00814C67">
        <w:t xml:space="preserve"> </w:t>
      </w:r>
      <w:r w:rsidR="00246702" w:rsidRPr="00814C67">
        <w:rPr>
          <w:vertAlign w:val="superscript"/>
        </w:rPr>
        <w:t>#</w:t>
      </w:r>
      <w:r w:rsidR="006E40A4" w:rsidRPr="00814C67">
        <w:rPr>
          <w:i/>
        </w:rPr>
        <w:t xml:space="preserve"> P</w:t>
      </w:r>
      <w:r w:rsidR="00246702" w:rsidRPr="00814C67">
        <w:t xml:space="preserve"> &lt; 0.</w:t>
      </w:r>
      <w:r w:rsidR="006E40A4" w:rsidRPr="00814C67">
        <w:t>1, *</w:t>
      </w:r>
      <w:r w:rsidR="006E40A4" w:rsidRPr="00814C67">
        <w:rPr>
          <w:i/>
        </w:rPr>
        <w:t xml:space="preserve"> P</w:t>
      </w:r>
      <w:r w:rsidR="006E40A4" w:rsidRPr="00814C67">
        <w:t xml:space="preserve"> &lt; 0.05.</w:t>
      </w:r>
    </w:p>
    <w:p w:rsidR="00F92AD3" w:rsidRPr="00814C67" w:rsidRDefault="00F92AD3" w:rsidP="00F92AD3">
      <w:pPr>
        <w:shd w:val="clear" w:color="auto" w:fill="FFFFFF" w:themeFill="background1"/>
      </w:pPr>
    </w:p>
    <w:p w:rsidR="00F92AD3" w:rsidRPr="00814C67" w:rsidRDefault="00F92AD3" w:rsidP="00F92AD3">
      <w:pPr>
        <w:shd w:val="clear" w:color="auto" w:fill="FFFFFF" w:themeFill="background1"/>
      </w:pPr>
      <w:r w:rsidRPr="00814C67">
        <w:rPr>
          <w:noProof/>
          <w:lang w:val="de-DE" w:eastAsia="de-DE"/>
        </w:rPr>
        <w:drawing>
          <wp:inline distT="0" distB="0" distL="0" distR="0">
            <wp:extent cx="5797381" cy="4837814"/>
            <wp:effectExtent l="19050" t="0" r="0" b="0"/>
            <wp:docPr id="2" name="Picture 1" descr="Supplementary Fig 3 Amigo Gri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ementary Fig 3 Amigo Grik.png"/>
                    <pic:cNvPicPr/>
                  </pic:nvPicPr>
                  <pic:blipFill>
                    <a:blip r:embed="rId10"/>
                    <a:stretch>
                      <a:fillRect/>
                    </a:stretch>
                  </pic:blipFill>
                  <pic:spPr>
                    <a:xfrm>
                      <a:off x="0" y="0"/>
                      <a:ext cx="5798625" cy="4838852"/>
                    </a:xfrm>
                    <a:prstGeom prst="rect">
                      <a:avLst/>
                    </a:prstGeom>
                  </pic:spPr>
                </pic:pic>
              </a:graphicData>
            </a:graphic>
          </wp:inline>
        </w:drawing>
      </w:r>
    </w:p>
    <w:p w:rsidR="0045716A" w:rsidRPr="00614491" w:rsidRDefault="00AD5038" w:rsidP="0045716A">
      <w:pPr>
        <w:shd w:val="clear" w:color="auto" w:fill="FFFFFF" w:themeFill="background1"/>
      </w:pPr>
      <w:r w:rsidRPr="00614491">
        <w:rPr>
          <w:b/>
        </w:rPr>
        <w:t xml:space="preserve">Supplementary </w:t>
      </w:r>
      <w:r w:rsidR="00F92AD3" w:rsidRPr="00614491">
        <w:rPr>
          <w:b/>
        </w:rPr>
        <w:t xml:space="preserve">Figure </w:t>
      </w:r>
      <w:r w:rsidRPr="00614491">
        <w:rPr>
          <w:b/>
        </w:rPr>
        <w:t>3</w:t>
      </w:r>
      <w:r w:rsidR="00F92AD3" w:rsidRPr="00614491">
        <w:rPr>
          <w:b/>
        </w:rPr>
        <w:t>.</w:t>
      </w:r>
      <w:r w:rsidR="00F92AD3" w:rsidRPr="00614491">
        <w:t xml:space="preserve"> </w:t>
      </w:r>
      <w:r w:rsidRPr="00614491">
        <w:rPr>
          <w:b/>
        </w:rPr>
        <w:t>Effect of a</w:t>
      </w:r>
      <w:r w:rsidR="00F92AD3" w:rsidRPr="00614491">
        <w:rPr>
          <w:b/>
        </w:rPr>
        <w:t xml:space="preserve">blation of GLUA1 from CA2/CA3 </w:t>
      </w:r>
      <w:r w:rsidRPr="00614491">
        <w:rPr>
          <w:b/>
        </w:rPr>
        <w:t>on olfaction, nest-building</w:t>
      </w:r>
      <w:r w:rsidR="00A856DB" w:rsidRPr="00614491">
        <w:rPr>
          <w:b/>
        </w:rPr>
        <w:t>,</w:t>
      </w:r>
      <w:r w:rsidRPr="00614491">
        <w:rPr>
          <w:b/>
        </w:rPr>
        <w:t xml:space="preserve"> latencies during rule-shift</w:t>
      </w:r>
      <w:r w:rsidR="00A856DB" w:rsidRPr="00614491">
        <w:rPr>
          <w:b/>
        </w:rPr>
        <w:t xml:space="preserve"> and spatial-novelty preference</w:t>
      </w:r>
      <w:r w:rsidR="00F92AD3" w:rsidRPr="00614491">
        <w:rPr>
          <w:b/>
        </w:rPr>
        <w:t xml:space="preserve">. </w:t>
      </w:r>
      <w:r w:rsidR="00F92AD3" w:rsidRPr="00614491">
        <w:t>(</w:t>
      </w:r>
      <w:r w:rsidR="00F92AD3" w:rsidRPr="00614491">
        <w:rPr>
          <w:b/>
        </w:rPr>
        <w:t>a</w:t>
      </w:r>
      <w:r w:rsidR="00F92AD3" w:rsidRPr="00614491">
        <w:t xml:space="preserve">) </w:t>
      </w:r>
      <w:r w:rsidRPr="00614491">
        <w:t xml:space="preserve">Time spent sniffing on cotton bud with either rose or lavender odour across 4 exposures of which the first three presented the same odour (O1). The test was only done in </w:t>
      </w:r>
      <w:r w:rsidRPr="00614491">
        <w:rPr>
          <w:i/>
        </w:rPr>
        <w:t>Gria1</w:t>
      </w:r>
      <w:r w:rsidRPr="00614491">
        <w:rPr>
          <w:rFonts w:ascii="Symbol" w:hAnsi="Symbol"/>
          <w:vertAlign w:val="superscript"/>
        </w:rPr>
        <w:t></w:t>
      </w:r>
      <w:r w:rsidR="0076320B" w:rsidRPr="00614491">
        <w:rPr>
          <w:vertAlign w:val="superscript"/>
        </w:rPr>
        <w:t>Amigo2</w:t>
      </w:r>
      <w:r w:rsidRPr="00614491">
        <w:rPr>
          <w:vertAlign w:val="superscript"/>
        </w:rPr>
        <w:t xml:space="preserve"> </w:t>
      </w:r>
      <w:r w:rsidRPr="00614491">
        <w:t>mice because of their deficit in social memory. (</w:t>
      </w:r>
      <w:r w:rsidRPr="00614491">
        <w:rPr>
          <w:b/>
        </w:rPr>
        <w:t>b,c</w:t>
      </w:r>
      <w:r w:rsidRPr="00614491">
        <w:t xml:space="preserve">) </w:t>
      </w:r>
      <w:r w:rsidR="0045716A" w:rsidRPr="00614491">
        <w:t>Remaining nestlet (</w:t>
      </w:r>
      <w:r w:rsidR="0045716A" w:rsidRPr="00614491">
        <w:rPr>
          <w:rFonts w:cs="Arial"/>
        </w:rPr>
        <w:t>≥</w:t>
      </w:r>
      <w:r w:rsidR="0045716A" w:rsidRPr="00614491">
        <w:t xml:space="preserve"> 0.1 g, left) and nest score assigned to nest (right) after a night of nest building from pressed cotton pads (2.5-2.7 g) for the cohorts identified on the left. (</w:t>
      </w:r>
      <w:r w:rsidR="0045716A" w:rsidRPr="00614491">
        <w:rPr>
          <w:b/>
        </w:rPr>
        <w:t>d,e</w:t>
      </w:r>
      <w:r w:rsidR="0045716A" w:rsidRPr="00614491">
        <w:t>) Latencies for the actions identified on x-axes (left) and training sessions needed to achieve criterion (70% accuracy</w:t>
      </w:r>
      <w:r w:rsidR="0045716A" w:rsidRPr="00614491">
        <w:rPr>
          <w:vertAlign w:val="subscript"/>
        </w:rPr>
        <w:t>unlit</w:t>
      </w:r>
      <w:r w:rsidR="0045716A" w:rsidRPr="00614491">
        <w:t xml:space="preserve"> on two consecutive days, right) during rule-shift learning. (a, d-e) shows mean</w:t>
      </w:r>
      <w:r w:rsidR="0045716A" w:rsidRPr="00614491">
        <w:rPr>
          <w:rFonts w:cs="Arial"/>
        </w:rPr>
        <w:t>±</w:t>
      </w:r>
      <w:r w:rsidR="0045716A" w:rsidRPr="00614491">
        <w:t xml:space="preserve">s.e.m., (b-e) data from individual mice. </w:t>
      </w:r>
      <w:r w:rsidR="00A856DB" w:rsidRPr="00614491">
        <w:t>(</w:t>
      </w:r>
      <w:r w:rsidR="00A856DB" w:rsidRPr="00614491">
        <w:rPr>
          <w:b/>
        </w:rPr>
        <w:t>f,g</w:t>
      </w:r>
      <w:r w:rsidR="00A856DB" w:rsidRPr="00614491">
        <w:t xml:space="preserve">) </w:t>
      </w:r>
      <w:r w:rsidR="00063754" w:rsidRPr="00614491">
        <w:t>Novelty-preference d</w:t>
      </w:r>
      <w:r w:rsidR="00A856DB" w:rsidRPr="00614491">
        <w:t xml:space="preserve">ata from the second test of spatial-novelty preference in the Y-maze (at the age of 10 mo), as displayed in main Figure 3c but broken down by sexes given that main effects of sex and a sex-genotype interaction (indicated above each panel) </w:t>
      </w:r>
      <w:r w:rsidR="00063754" w:rsidRPr="00614491">
        <w:t>were</w:t>
      </w:r>
      <w:r w:rsidR="00A856DB" w:rsidRPr="00614491">
        <w:t xml:space="preserve"> found in this data</w:t>
      </w:r>
      <w:r w:rsidR="00063754" w:rsidRPr="00614491">
        <w:t>.</w:t>
      </w:r>
      <w:r w:rsidR="00A856DB" w:rsidRPr="00614491">
        <w:t xml:space="preserve"> </w:t>
      </w:r>
      <w:r w:rsidR="0045716A" w:rsidRPr="00614491">
        <w:t xml:space="preserve">Data was analysed with </w:t>
      </w:r>
      <w:r w:rsidR="00A856DB" w:rsidRPr="00614491">
        <w:t xml:space="preserve">univariate </w:t>
      </w:r>
      <w:r w:rsidR="0045716A" w:rsidRPr="00614491">
        <w:t>ANOVA</w:t>
      </w:r>
      <w:r w:rsidR="00A856DB" w:rsidRPr="00614491">
        <w:t xml:space="preserve"> and, where applicable, Sidak-adjusted pairwise post-hoc tests of simple main-effects</w:t>
      </w:r>
      <w:r w:rsidR="0045716A" w:rsidRPr="00614491">
        <w:t xml:space="preserve"> within the indicated cohorts, see Supplementary Table 3-4 for statistical details.</w:t>
      </w:r>
      <w:r w:rsidR="00063754" w:rsidRPr="00614491">
        <w:t xml:space="preserve"> Grey indicators refer to Sidak-tests between sexes within the respective subgroups.</w:t>
      </w:r>
      <w:r w:rsidR="00831745" w:rsidRPr="00614491">
        <w:t xml:space="preserve"> </w:t>
      </w:r>
      <w:r w:rsidR="00831745" w:rsidRPr="00614491">
        <w:rPr>
          <w:i/>
        </w:rPr>
        <w:t>N</w:t>
      </w:r>
      <w:r w:rsidR="00831745" w:rsidRPr="00614491">
        <w:t>-numbers in brackets</w:t>
      </w:r>
      <w:r w:rsidR="00A856DB" w:rsidRPr="00614491">
        <w:t xml:space="preserve"> (a-e) or in the respective bars (f-g)</w:t>
      </w:r>
      <w:r w:rsidR="00831745" w:rsidRPr="00614491">
        <w:t>.</w:t>
      </w:r>
      <w:r w:rsidR="00063754" w:rsidRPr="00614491">
        <w:t xml:space="preserve"> </w:t>
      </w:r>
      <w:r w:rsidR="00063754" w:rsidRPr="00614491">
        <w:rPr>
          <w:vertAlign w:val="superscript"/>
        </w:rPr>
        <w:t>ns</w:t>
      </w:r>
      <w:r w:rsidR="00063754" w:rsidRPr="00614491">
        <w:t xml:space="preserve"> </w:t>
      </w:r>
      <w:r w:rsidR="00063754" w:rsidRPr="00614491">
        <w:rPr>
          <w:i/>
        </w:rPr>
        <w:t>P</w:t>
      </w:r>
      <w:r w:rsidR="00063754" w:rsidRPr="00614491">
        <w:t xml:space="preserve"> &gt; 0.1, </w:t>
      </w:r>
      <w:r w:rsidR="00063754" w:rsidRPr="00614491">
        <w:rPr>
          <w:vertAlign w:val="superscript"/>
        </w:rPr>
        <w:t>#</w:t>
      </w:r>
      <w:r w:rsidR="00063754" w:rsidRPr="00614491">
        <w:rPr>
          <w:i/>
        </w:rPr>
        <w:t xml:space="preserve"> P</w:t>
      </w:r>
      <w:r w:rsidR="00063754" w:rsidRPr="00614491">
        <w:t xml:space="preserve"> &lt; 0.1, *</w:t>
      </w:r>
      <w:r w:rsidR="00063754" w:rsidRPr="00614491">
        <w:rPr>
          <w:i/>
        </w:rPr>
        <w:t xml:space="preserve"> P</w:t>
      </w:r>
      <w:r w:rsidR="00063754" w:rsidRPr="00614491">
        <w:t xml:space="preserve"> &lt; 0.05, ** </w:t>
      </w:r>
      <w:r w:rsidR="00063754" w:rsidRPr="00614491">
        <w:rPr>
          <w:i/>
        </w:rPr>
        <w:t>P</w:t>
      </w:r>
      <w:r w:rsidR="00063754" w:rsidRPr="00614491">
        <w:t xml:space="preserve"> &lt; 0.01, *** </w:t>
      </w:r>
      <w:r w:rsidR="00063754" w:rsidRPr="00614491">
        <w:rPr>
          <w:i/>
        </w:rPr>
        <w:t>P</w:t>
      </w:r>
      <w:r w:rsidR="00063754" w:rsidRPr="00614491">
        <w:t xml:space="preserve"> &lt; 0.001. </w:t>
      </w:r>
    </w:p>
    <w:p w:rsidR="00AD5038" w:rsidRPr="00814C67" w:rsidRDefault="00AD5038" w:rsidP="00F92AD3">
      <w:pPr>
        <w:shd w:val="clear" w:color="auto" w:fill="FFFFFF" w:themeFill="background1"/>
      </w:pPr>
    </w:p>
    <w:p w:rsidR="00F92AD3" w:rsidRPr="00814C67" w:rsidRDefault="00F92AD3">
      <w:pPr>
        <w:spacing w:line="240" w:lineRule="auto"/>
        <w:jc w:val="left"/>
        <w:rPr>
          <w:rFonts w:eastAsiaTheme="majorEastAsia" w:cstheme="majorBidi"/>
          <w:b/>
          <w:bCs/>
          <w:sz w:val="32"/>
          <w:szCs w:val="28"/>
        </w:rPr>
      </w:pPr>
      <w:r w:rsidRPr="00814C67">
        <w:br w:type="page"/>
      </w:r>
    </w:p>
    <w:p w:rsidR="00F92AD3" w:rsidRPr="00814C67" w:rsidRDefault="00F92AD3" w:rsidP="00F92AD3">
      <w:pPr>
        <w:pStyle w:val="Heading1"/>
        <w:rPr>
          <w:color w:val="auto"/>
        </w:rPr>
      </w:pPr>
      <w:r w:rsidRPr="00814C67">
        <w:rPr>
          <w:color w:val="auto"/>
        </w:rPr>
        <w:t>Supplementary Tables</w:t>
      </w:r>
    </w:p>
    <w:p w:rsidR="00F92AD3" w:rsidRPr="00814C67" w:rsidRDefault="0021494C" w:rsidP="0021494C">
      <w:pPr>
        <w:jc w:val="center"/>
        <w:rPr>
          <w:lang w:val="en-GB"/>
        </w:rPr>
      </w:pPr>
      <w:r w:rsidRPr="00814C67">
        <w:rPr>
          <w:noProof/>
          <w:lang w:val="de-DE" w:eastAsia="de-DE"/>
        </w:rPr>
        <w:drawing>
          <wp:inline distT="0" distB="0" distL="0" distR="0">
            <wp:extent cx="5528793" cy="3999709"/>
            <wp:effectExtent l="19050" t="0" r="0" b="0"/>
            <wp:docPr id="3" name="Picture 2" descr="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a.png"/>
                    <pic:cNvPicPr/>
                  </pic:nvPicPr>
                  <pic:blipFill>
                    <a:blip r:embed="rId11"/>
                    <a:stretch>
                      <a:fillRect/>
                    </a:stretch>
                  </pic:blipFill>
                  <pic:spPr>
                    <a:xfrm>
                      <a:off x="0" y="0"/>
                      <a:ext cx="5528793" cy="3999709"/>
                    </a:xfrm>
                    <a:prstGeom prst="rect">
                      <a:avLst/>
                    </a:prstGeom>
                  </pic:spPr>
                </pic:pic>
              </a:graphicData>
            </a:graphic>
          </wp:inline>
        </w:drawing>
      </w:r>
    </w:p>
    <w:p w:rsidR="00F92AD3" w:rsidRPr="00814C67" w:rsidRDefault="0021494C" w:rsidP="0021494C">
      <w:pPr>
        <w:jc w:val="center"/>
      </w:pPr>
      <w:r w:rsidRPr="00814C67">
        <w:rPr>
          <w:noProof/>
          <w:lang w:val="de-DE" w:eastAsia="de-DE"/>
        </w:rPr>
        <w:drawing>
          <wp:inline distT="0" distB="0" distL="0" distR="0">
            <wp:extent cx="4855848" cy="4251289"/>
            <wp:effectExtent l="19050" t="0" r="1902" b="0"/>
            <wp:docPr id="4" name="Picture 3" descr="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b.png"/>
                    <pic:cNvPicPr/>
                  </pic:nvPicPr>
                  <pic:blipFill>
                    <a:blip r:embed="rId12"/>
                    <a:stretch>
                      <a:fillRect/>
                    </a:stretch>
                  </pic:blipFill>
                  <pic:spPr>
                    <a:xfrm>
                      <a:off x="0" y="0"/>
                      <a:ext cx="4860156" cy="4255061"/>
                    </a:xfrm>
                    <a:prstGeom prst="rect">
                      <a:avLst/>
                    </a:prstGeom>
                  </pic:spPr>
                </pic:pic>
              </a:graphicData>
            </a:graphic>
          </wp:inline>
        </w:drawing>
      </w:r>
    </w:p>
    <w:p w:rsidR="00F92AD3" w:rsidRPr="00814C67" w:rsidRDefault="0021494C" w:rsidP="00F92AD3">
      <w:r w:rsidRPr="00814C67">
        <w:rPr>
          <w:b/>
        </w:rPr>
        <w:t>Supplementary Table 1. Statistics of behavioural assessment after prefrontal GLUA1 ablation.</w:t>
      </w:r>
      <w:r w:rsidRPr="00814C67">
        <w:t xml:space="preserve"> (</w:t>
      </w:r>
      <w:r w:rsidRPr="00814C67">
        <w:rPr>
          <w:b/>
        </w:rPr>
        <w:t>a</w:t>
      </w:r>
      <w:r w:rsidRPr="00814C67">
        <w:t xml:space="preserve">) Statistical assessment of behavior according to stated </w:t>
      </w:r>
      <w:r w:rsidR="00464FA5" w:rsidRPr="00814C67">
        <w:t xml:space="preserve">behavioural </w:t>
      </w:r>
      <w:r w:rsidRPr="00814C67">
        <w:t xml:space="preserve">tests and variables (two left columns) using one-sample </w:t>
      </w:r>
      <w:r w:rsidRPr="00814C67">
        <w:rPr>
          <w:i/>
        </w:rPr>
        <w:t>t</w:t>
      </w:r>
      <w:r w:rsidRPr="00814C67">
        <w:t>-test against chance level where applicable and ANOVA. Use of repeated-measures (RM) ANOVA (Greenhouse-Geisser adjustment) to assess performance across multiple days or challenge conditions indicated in light blue. (</w:t>
      </w:r>
      <w:r w:rsidRPr="00814C67">
        <w:rPr>
          <w:b/>
        </w:rPr>
        <w:t>b-c</w:t>
      </w:r>
      <w:r w:rsidRPr="00814C67">
        <w:t xml:space="preserve">) Individual assessment of individual challenge conditions (left column) in the 5-CSWM (b) or the 5-CSRTT (c) regarding the named parameters using univariate ANOVA. In (a-c) </w:t>
      </w:r>
      <w:r w:rsidRPr="00814C67">
        <w:rPr>
          <w:i/>
        </w:rPr>
        <w:t>P</w:t>
      </w:r>
      <w:r w:rsidRPr="00814C67">
        <w:t xml:space="preserve">-values &lt; .1 are indicated by shades of green; the lower the </w:t>
      </w:r>
      <w:r w:rsidRPr="00814C67">
        <w:rPr>
          <w:i/>
        </w:rPr>
        <w:t>P</w:t>
      </w:r>
      <w:r w:rsidRPr="00814C67">
        <w:t>-value, the darker. The number of animals contributing to each experiment per group are stated under “N” and the corresponding figure under “Fig.”.</w:t>
      </w:r>
      <w:r w:rsidR="006B6C48" w:rsidRPr="00814C67">
        <w:t xml:space="preserve"> Numbers vary due to the exclusion of some animals that did not sufficiently acquire</w:t>
      </w:r>
      <w:r w:rsidR="007E6758" w:rsidRPr="00814C67">
        <w:t xml:space="preserve"> or participate in a task.</w:t>
      </w:r>
      <w:r w:rsidR="006B6C48" w:rsidRPr="00814C67">
        <w:t xml:space="preserve"> </w:t>
      </w:r>
      <w:r w:rsidR="00D84C06" w:rsidRPr="00814C67">
        <w:t xml:space="preserve"> </w:t>
      </w:r>
      <w:r w:rsidR="00004FCB" w:rsidRPr="00814C67">
        <w:t>The total number of animals in this cohort were 13 dPFC-KO, 9 PrL-KO, and 10 PFC-Ctrl mice.</w:t>
      </w:r>
      <w:r w:rsidR="00A50FDA" w:rsidRPr="00814C67">
        <w:t xml:space="preserve"> 3 further dPFC-KO mice had been excluded before analysis due to insufficient bilateral expression. </w:t>
      </w:r>
      <w:r w:rsidR="00004FCB" w:rsidRPr="00814C67">
        <w:t xml:space="preserve"> </w:t>
      </w:r>
      <w:r w:rsidR="00D84C06" w:rsidRPr="00814C67">
        <w:t xml:space="preserve">Parameters analysed with non-parametric Kruskal-Wallis ANOVA are highlighted in purple, with stated numbers representing </w:t>
      </w:r>
      <w:r w:rsidR="00F565D6" w:rsidRPr="00814C67">
        <w:t xml:space="preserve">df, </w:t>
      </w:r>
      <w:r w:rsidR="00D84C06" w:rsidRPr="00814C67">
        <w:t xml:space="preserve">Kruskal-Wallis H (instead of </w:t>
      </w:r>
      <w:r w:rsidR="00D84C06" w:rsidRPr="00814C67">
        <w:rPr>
          <w:i/>
        </w:rPr>
        <w:t>F</w:t>
      </w:r>
      <w:r w:rsidR="00D84C06" w:rsidRPr="00814C67">
        <w:t>)</w:t>
      </w:r>
      <w:r w:rsidR="00F565D6" w:rsidRPr="00814C67">
        <w:t>,</w:t>
      </w:r>
      <w:r w:rsidR="00D84C06" w:rsidRPr="00814C67">
        <w:t xml:space="preserve"> and </w:t>
      </w:r>
      <w:r w:rsidR="00D84C06" w:rsidRPr="00814C67">
        <w:rPr>
          <w:i/>
        </w:rPr>
        <w:t>P</w:t>
      </w:r>
      <w:r w:rsidR="00D84C06" w:rsidRPr="00814C67">
        <w:t>-value.</w:t>
      </w:r>
      <w:r w:rsidRPr="00814C67">
        <w:t xml:space="preserve"> </w:t>
      </w:r>
      <w:r w:rsidRPr="00814C67">
        <w:rPr>
          <w:i/>
        </w:rPr>
        <w:t>Abbreviations:</w:t>
      </w:r>
      <w:r w:rsidRPr="00814C67">
        <w:t xml:space="preserve"> </w:t>
      </w:r>
      <w:r w:rsidR="00C20D1E" w:rsidRPr="00814C67">
        <w:t>CP, choice phase; LMA, novelty-induced locomotor activity; SNP, spatial-novelty preference; SP, sample phase</w:t>
      </w:r>
      <w:r w:rsidR="00464FA5" w:rsidRPr="00814C67">
        <w:t>.</w:t>
      </w:r>
    </w:p>
    <w:p w:rsidR="00F92AD3" w:rsidRPr="00814C67" w:rsidRDefault="00F92AD3" w:rsidP="00F92AD3"/>
    <w:p w:rsidR="00464FA5" w:rsidRPr="00814C67" w:rsidRDefault="00464FA5">
      <w:pPr>
        <w:spacing w:line="240" w:lineRule="auto"/>
        <w:jc w:val="left"/>
      </w:pPr>
      <w:r w:rsidRPr="00814C67">
        <w:br w:type="page"/>
      </w:r>
    </w:p>
    <w:p w:rsidR="00464FA5" w:rsidRPr="00814C67" w:rsidRDefault="00464FA5" w:rsidP="00D84C06">
      <w:pPr>
        <w:jc w:val="center"/>
      </w:pPr>
      <w:r w:rsidRPr="00814C67">
        <w:rPr>
          <w:noProof/>
          <w:lang w:val="de-DE" w:eastAsia="de-DE"/>
        </w:rPr>
        <w:drawing>
          <wp:inline distT="0" distB="0" distL="0" distR="0">
            <wp:extent cx="5330938" cy="4272711"/>
            <wp:effectExtent l="19050" t="0" r="3062" b="0"/>
            <wp:docPr id="5" name="Picture 4" descr="2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a.png"/>
                    <pic:cNvPicPr/>
                  </pic:nvPicPr>
                  <pic:blipFill>
                    <a:blip r:embed="rId13"/>
                    <a:stretch>
                      <a:fillRect/>
                    </a:stretch>
                  </pic:blipFill>
                  <pic:spPr>
                    <a:xfrm>
                      <a:off x="0" y="0"/>
                      <a:ext cx="5330938" cy="4272711"/>
                    </a:xfrm>
                    <a:prstGeom prst="rect">
                      <a:avLst/>
                    </a:prstGeom>
                  </pic:spPr>
                </pic:pic>
              </a:graphicData>
            </a:graphic>
          </wp:inline>
        </w:drawing>
      </w:r>
    </w:p>
    <w:p w:rsidR="00464FA5" w:rsidRPr="00814C67" w:rsidRDefault="00464FA5" w:rsidP="00464FA5">
      <w:pPr>
        <w:jc w:val="center"/>
      </w:pPr>
      <w:r w:rsidRPr="00814C67">
        <w:rPr>
          <w:noProof/>
          <w:lang w:val="de-DE" w:eastAsia="de-DE"/>
        </w:rPr>
        <w:drawing>
          <wp:inline distT="0" distB="0" distL="0" distR="0">
            <wp:extent cx="4829175" cy="4360178"/>
            <wp:effectExtent l="19050" t="0" r="9525" b="0"/>
            <wp:docPr id="6" name="Picture 5" descr="2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c.png"/>
                    <pic:cNvPicPr/>
                  </pic:nvPicPr>
                  <pic:blipFill>
                    <a:blip r:embed="rId14"/>
                    <a:stretch>
                      <a:fillRect/>
                    </a:stretch>
                  </pic:blipFill>
                  <pic:spPr>
                    <a:xfrm>
                      <a:off x="0" y="0"/>
                      <a:ext cx="4829175" cy="4360178"/>
                    </a:xfrm>
                    <a:prstGeom prst="rect">
                      <a:avLst/>
                    </a:prstGeom>
                  </pic:spPr>
                </pic:pic>
              </a:graphicData>
            </a:graphic>
          </wp:inline>
        </w:drawing>
      </w:r>
    </w:p>
    <w:p w:rsidR="00464FA5" w:rsidRPr="00814C67" w:rsidRDefault="00464FA5" w:rsidP="00464FA5">
      <w:r w:rsidRPr="00814C67">
        <w:rPr>
          <w:b/>
        </w:rPr>
        <w:t>Supplementary Table 2. Statistics of behavioural assessment after hippocampal G</w:t>
      </w:r>
      <w:r w:rsidR="00307DBB" w:rsidRPr="00814C67">
        <w:rPr>
          <w:b/>
        </w:rPr>
        <w:t>lu</w:t>
      </w:r>
      <w:r w:rsidRPr="00814C67">
        <w:rPr>
          <w:b/>
        </w:rPr>
        <w:t>A1 ablation.</w:t>
      </w:r>
      <w:r w:rsidRPr="00814C67">
        <w:t xml:space="preserve"> Same as Supplementary Table 1 but for cohort with hippocampal transduction. (</w:t>
      </w:r>
      <w:r w:rsidRPr="00814C67">
        <w:rPr>
          <w:b/>
        </w:rPr>
        <w:t>a</w:t>
      </w:r>
      <w:r w:rsidRPr="00814C67">
        <w:t xml:space="preserve">) Statistical assessment of behavior according to stated tests and variables (two left columns) using one-sample </w:t>
      </w:r>
      <w:r w:rsidRPr="00814C67">
        <w:rPr>
          <w:i/>
        </w:rPr>
        <w:t>t</w:t>
      </w:r>
      <w:r w:rsidRPr="00814C67">
        <w:t>-test against chance level where applicable and ANOVA. Use of repeated-measures (RM) ANOVA (Greenhouse-Geisser adjustment) to assess performance across multiple days or challenge conditions indicated in light blue.</w:t>
      </w:r>
      <w:r w:rsidR="00BA31AE" w:rsidRPr="00814C67">
        <w:t xml:space="preserve"> Parameters analysed with non-parametric Mann-Whitney-U (MWU) test are highlighted in purple, with stated numbers representing</w:t>
      </w:r>
      <w:r w:rsidR="00F565D6" w:rsidRPr="00814C67">
        <w:t xml:space="preserve"> MWU- (instead of df),</w:t>
      </w:r>
      <w:r w:rsidR="00BA31AE" w:rsidRPr="00814C67">
        <w:t xml:space="preserve"> Z- (instead of </w:t>
      </w:r>
      <w:r w:rsidR="00BA31AE" w:rsidRPr="00814C67">
        <w:rPr>
          <w:i/>
        </w:rPr>
        <w:t>F</w:t>
      </w:r>
      <w:r w:rsidR="00BA31AE" w:rsidRPr="00814C67">
        <w:t xml:space="preserve">) and </w:t>
      </w:r>
      <w:r w:rsidR="00BA31AE" w:rsidRPr="00814C67">
        <w:rPr>
          <w:i/>
        </w:rPr>
        <w:t>P</w:t>
      </w:r>
      <w:r w:rsidR="00BA31AE" w:rsidRPr="00814C67">
        <w:t>-values.</w:t>
      </w:r>
      <w:r w:rsidRPr="00814C67">
        <w:t xml:space="preserve"> (</w:t>
      </w:r>
      <w:r w:rsidRPr="00814C67">
        <w:rPr>
          <w:b/>
        </w:rPr>
        <w:t>b-c</w:t>
      </w:r>
      <w:r w:rsidRPr="00814C67">
        <w:t xml:space="preserve">) Individual assessment of individual challenge conditions (left column) in the 5-CSWM (b) or the 5-CSRTT (c) regarding the named parameters using univariate ANOVA. In (a-c) </w:t>
      </w:r>
      <w:r w:rsidRPr="00814C67">
        <w:rPr>
          <w:i/>
        </w:rPr>
        <w:t>P</w:t>
      </w:r>
      <w:r w:rsidRPr="00814C67">
        <w:t xml:space="preserve">-values &lt; .1 are indicated by shades of green; the lower the </w:t>
      </w:r>
      <w:r w:rsidRPr="00814C67">
        <w:rPr>
          <w:i/>
        </w:rPr>
        <w:t>P</w:t>
      </w:r>
      <w:r w:rsidRPr="00814C67">
        <w:t xml:space="preserve">-value, the darker. </w:t>
      </w:r>
      <w:r w:rsidR="00307DBB" w:rsidRPr="00814C67">
        <w:t xml:space="preserve">Numbers vary due to the exclusion of some animals that did not sufficiently acquire or participate in a task. The total number of animals in this cohort were 9 HC-KO and  6 HC-Ctrl mice. </w:t>
      </w:r>
      <w:r w:rsidR="00A50FDA" w:rsidRPr="00814C67">
        <w:t xml:space="preserve">2 further HC-KO mice had been excluded before analysis due to insufficient bilateral expression.  </w:t>
      </w:r>
      <w:r w:rsidRPr="00814C67">
        <w:rPr>
          <w:i/>
        </w:rPr>
        <w:t>Abbreviations:</w:t>
      </w:r>
      <w:r w:rsidRPr="00814C67">
        <w:t xml:space="preserve"> CP, choice phase; LMA, novelty-induced locomotor activity; SNP, spatial-novelty preference; SP, sample phase.</w:t>
      </w:r>
    </w:p>
    <w:p w:rsidR="00464FA5" w:rsidRPr="00814C67" w:rsidRDefault="00464FA5" w:rsidP="00F92AD3"/>
    <w:p w:rsidR="00464FA5" w:rsidRPr="00814C67" w:rsidRDefault="00464FA5">
      <w:pPr>
        <w:spacing w:line="240" w:lineRule="auto"/>
        <w:jc w:val="left"/>
      </w:pPr>
      <w:r w:rsidRPr="00814C67">
        <w:br w:type="page"/>
      </w:r>
    </w:p>
    <w:p w:rsidR="00464FA5" w:rsidRPr="00814C67" w:rsidRDefault="00464FA5" w:rsidP="00F92AD3">
      <w:r w:rsidRPr="00814C67">
        <w:rPr>
          <w:noProof/>
          <w:lang w:val="de-DE" w:eastAsia="de-DE"/>
        </w:rPr>
        <w:drawing>
          <wp:inline distT="0" distB="0" distL="0" distR="0">
            <wp:extent cx="5712636" cy="6459060"/>
            <wp:effectExtent l="19050" t="0" r="2364" b="0"/>
            <wp:docPr id="7" name="Picture 6" descr="3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a.png"/>
                    <pic:cNvPicPr/>
                  </pic:nvPicPr>
                  <pic:blipFill>
                    <a:blip r:embed="rId15"/>
                    <a:stretch>
                      <a:fillRect/>
                    </a:stretch>
                  </pic:blipFill>
                  <pic:spPr>
                    <a:xfrm>
                      <a:off x="0" y="0"/>
                      <a:ext cx="5712636" cy="6459060"/>
                    </a:xfrm>
                    <a:prstGeom prst="rect">
                      <a:avLst/>
                    </a:prstGeom>
                  </pic:spPr>
                </pic:pic>
              </a:graphicData>
            </a:graphic>
          </wp:inline>
        </w:drawing>
      </w:r>
    </w:p>
    <w:p w:rsidR="00464FA5" w:rsidRPr="00814C67" w:rsidRDefault="00464FA5" w:rsidP="00464FA5">
      <w:pPr>
        <w:jc w:val="center"/>
      </w:pPr>
      <w:r w:rsidRPr="00814C67">
        <w:rPr>
          <w:noProof/>
          <w:lang w:val="de-DE" w:eastAsia="de-DE"/>
        </w:rPr>
        <w:drawing>
          <wp:inline distT="0" distB="0" distL="0" distR="0">
            <wp:extent cx="5612823" cy="2181658"/>
            <wp:effectExtent l="19050" t="0" r="6927" b="0"/>
            <wp:docPr id="8" name="Picture 7" descr="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b.png"/>
                    <pic:cNvPicPr/>
                  </pic:nvPicPr>
                  <pic:blipFill>
                    <a:blip r:embed="rId16"/>
                    <a:stretch>
                      <a:fillRect/>
                    </a:stretch>
                  </pic:blipFill>
                  <pic:spPr>
                    <a:xfrm>
                      <a:off x="0" y="0"/>
                      <a:ext cx="5616489" cy="2183083"/>
                    </a:xfrm>
                    <a:prstGeom prst="rect">
                      <a:avLst/>
                    </a:prstGeom>
                  </pic:spPr>
                </pic:pic>
              </a:graphicData>
            </a:graphic>
          </wp:inline>
        </w:drawing>
      </w:r>
    </w:p>
    <w:p w:rsidR="00464FA5" w:rsidRPr="00814C67" w:rsidRDefault="00464FA5" w:rsidP="00464FA5">
      <w:pPr>
        <w:jc w:val="center"/>
      </w:pPr>
      <w:r w:rsidRPr="00814C67">
        <w:rPr>
          <w:noProof/>
          <w:lang w:val="de-DE" w:eastAsia="de-DE"/>
        </w:rPr>
        <w:drawing>
          <wp:inline distT="0" distB="0" distL="0" distR="0">
            <wp:extent cx="2826457" cy="5429250"/>
            <wp:effectExtent l="19050" t="0" r="0" b="0"/>
            <wp:docPr id="9" name="Picture 8" descr="3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c.png"/>
                    <pic:cNvPicPr/>
                  </pic:nvPicPr>
                  <pic:blipFill>
                    <a:blip r:embed="rId17"/>
                    <a:stretch>
                      <a:fillRect/>
                    </a:stretch>
                  </pic:blipFill>
                  <pic:spPr>
                    <a:xfrm>
                      <a:off x="0" y="0"/>
                      <a:ext cx="2825977" cy="5428327"/>
                    </a:xfrm>
                    <a:prstGeom prst="rect">
                      <a:avLst/>
                    </a:prstGeom>
                  </pic:spPr>
                </pic:pic>
              </a:graphicData>
            </a:graphic>
          </wp:inline>
        </w:drawing>
      </w:r>
    </w:p>
    <w:p w:rsidR="00464FA5" w:rsidRPr="00814C67" w:rsidRDefault="00464FA5" w:rsidP="00F92AD3">
      <w:r w:rsidRPr="00814C67">
        <w:rPr>
          <w:b/>
        </w:rPr>
        <w:t xml:space="preserve">Supplementary Table 3. Statistics of behavioural assessment after CA2-GLUA1 ablation. </w:t>
      </w:r>
      <w:r w:rsidRPr="00814C67">
        <w:t>(</w:t>
      </w:r>
      <w:r w:rsidRPr="00814C67">
        <w:rPr>
          <w:b/>
        </w:rPr>
        <w:t>a</w:t>
      </w:r>
      <w:r w:rsidRPr="00814C67">
        <w:t xml:space="preserve">) Statistical assessment of behavior according to stated behavioural tests and variables (two left columns) using one-sample </w:t>
      </w:r>
      <w:r w:rsidRPr="00814C67">
        <w:rPr>
          <w:i/>
        </w:rPr>
        <w:t>t</w:t>
      </w:r>
      <w:r w:rsidRPr="00814C67">
        <w:t>-test against chance level where applicable and univariate ANOVA. Sex was included as independent variable unless only the male part of the cohort was analysed (</w:t>
      </w:r>
      <w:r w:rsidR="00142EAF" w:rsidRPr="00814C67">
        <w:t xml:space="preserve">indicated by </w:t>
      </w:r>
      <w:r w:rsidRPr="00814C67">
        <w:t xml:space="preserve">blue </w:t>
      </w:r>
      <w:r w:rsidR="00142EAF" w:rsidRPr="00814C67">
        <w:t>test name in first column</w:t>
      </w:r>
      <w:r w:rsidRPr="00814C67">
        <w:t>)</w:t>
      </w:r>
      <w:r w:rsidR="00142EAF" w:rsidRPr="00814C67">
        <w:t xml:space="preserve"> or the number of mice per genotype was considerably reduced because some animals did not reach training criterion.</w:t>
      </w:r>
      <w:r w:rsidR="00BA31AE" w:rsidRPr="00814C67">
        <w:t xml:space="preserve"> Parameters analysed with non-parametric Mann-Whitney-U (MWU) test are highlighted in purple, with stated numbers representing</w:t>
      </w:r>
      <w:r w:rsidR="00F565D6" w:rsidRPr="00814C67">
        <w:t xml:space="preserve"> MWU- (instead of df),</w:t>
      </w:r>
      <w:r w:rsidR="00BA31AE" w:rsidRPr="00814C67">
        <w:t xml:space="preserve"> Z- (instead of </w:t>
      </w:r>
      <w:r w:rsidR="00BA31AE" w:rsidRPr="00814C67">
        <w:rPr>
          <w:i/>
        </w:rPr>
        <w:t>F</w:t>
      </w:r>
      <w:r w:rsidR="00BA31AE" w:rsidRPr="00814C67">
        <w:t xml:space="preserve">) and </w:t>
      </w:r>
      <w:r w:rsidR="00BA31AE" w:rsidRPr="00814C67">
        <w:rPr>
          <w:i/>
        </w:rPr>
        <w:t>P</w:t>
      </w:r>
      <w:r w:rsidR="00BA31AE" w:rsidRPr="00814C67">
        <w:t>-values.</w:t>
      </w:r>
      <w:r w:rsidRPr="00814C67">
        <w:t xml:space="preserve"> </w:t>
      </w:r>
      <w:r w:rsidR="00142EAF" w:rsidRPr="00814C67">
        <w:t>(</w:t>
      </w:r>
      <w:r w:rsidR="00142EAF" w:rsidRPr="00814C67">
        <w:rPr>
          <w:b/>
        </w:rPr>
        <w:t>b</w:t>
      </w:r>
      <w:r w:rsidR="00142EAF" w:rsidRPr="00814C67">
        <w:t>) Assessment of</w:t>
      </w:r>
      <w:r w:rsidRPr="00814C67">
        <w:t xml:space="preserve"> </w:t>
      </w:r>
      <w:r w:rsidR="00142EAF" w:rsidRPr="00814C67">
        <w:t xml:space="preserve">performance across multiple days or challenge conditions using </w:t>
      </w:r>
      <w:r w:rsidRPr="00814C67">
        <w:t>repeated-measures (RM) ANOVA (Greenhouse-Geisser adjustment). (</w:t>
      </w:r>
      <w:r w:rsidRPr="00814C67">
        <w:rPr>
          <w:b/>
        </w:rPr>
        <w:t>c</w:t>
      </w:r>
      <w:r w:rsidRPr="00814C67">
        <w:t xml:space="preserve">) </w:t>
      </w:r>
      <w:r w:rsidR="00142EAF" w:rsidRPr="00814C67">
        <w:t xml:space="preserve">Statistical </w:t>
      </w:r>
      <w:r w:rsidRPr="00814C67">
        <w:t xml:space="preserve">assessment of individual challenge conditions (left column) in the </w:t>
      </w:r>
      <w:r w:rsidR="00142EAF" w:rsidRPr="00814C67">
        <w:t>5-CSRTT</w:t>
      </w:r>
      <w:r w:rsidRPr="00814C67">
        <w:t xml:space="preserve"> regarding the named parameters using univariate ANOVA. In (a-c) </w:t>
      </w:r>
      <w:r w:rsidRPr="00814C67">
        <w:rPr>
          <w:i/>
        </w:rPr>
        <w:t>P</w:t>
      </w:r>
      <w:r w:rsidRPr="00814C67">
        <w:t xml:space="preserve">-values &lt; .1 are indicated by shades of green; the lower the </w:t>
      </w:r>
      <w:r w:rsidRPr="00814C67">
        <w:rPr>
          <w:i/>
        </w:rPr>
        <w:t>P</w:t>
      </w:r>
      <w:r w:rsidRPr="00814C67">
        <w:t>-value, the darker. The number of animals contributing to each experiment per group are stated under “N” and the corresponding figure under “Fig.”.</w:t>
      </w:r>
      <w:r w:rsidR="00307DBB" w:rsidRPr="00814C67">
        <w:t xml:space="preserve"> Numbers vary due to the exclusion of some animals that did not sufficiently acquire or participate in a task.</w:t>
      </w:r>
      <w:r w:rsidR="003970EA" w:rsidRPr="00814C67">
        <w:t xml:space="preserve"> The total number of animals in this cohort were 19 </w:t>
      </w:r>
      <w:r w:rsidR="003970EA" w:rsidRPr="00814C67">
        <w:rPr>
          <w:i/>
        </w:rPr>
        <w:t>Gria1</w:t>
      </w:r>
      <w:r w:rsidR="003970EA" w:rsidRPr="00814C67">
        <w:rPr>
          <w:vertAlign w:val="superscript"/>
        </w:rPr>
        <w:t>Ctrl</w:t>
      </w:r>
      <w:r w:rsidR="003970EA" w:rsidRPr="00814C67">
        <w:t xml:space="preserve"> (11 male, 8 female) and 19 </w:t>
      </w:r>
      <w:r w:rsidR="003970EA" w:rsidRPr="00814C67">
        <w:rPr>
          <w:i/>
        </w:rPr>
        <w:t>Gria1</w:t>
      </w:r>
      <w:r w:rsidR="003970EA" w:rsidRPr="00814C67">
        <w:rPr>
          <w:rFonts w:ascii="Symbol" w:hAnsi="Symbol"/>
          <w:vertAlign w:val="superscript"/>
        </w:rPr>
        <w:t></w:t>
      </w:r>
      <w:r w:rsidR="003970EA" w:rsidRPr="00814C67">
        <w:rPr>
          <w:vertAlign w:val="superscript"/>
        </w:rPr>
        <w:t>Amigo2</w:t>
      </w:r>
      <w:r w:rsidRPr="00814C67">
        <w:t xml:space="preserve"> </w:t>
      </w:r>
      <w:r w:rsidR="003970EA" w:rsidRPr="00814C67">
        <w:t xml:space="preserve">(12 male, 7 female) mice. Tests stated in blue font were conducted only in males. </w:t>
      </w:r>
      <w:r w:rsidRPr="00814C67">
        <w:rPr>
          <w:i/>
        </w:rPr>
        <w:t>Abbreviations:</w:t>
      </w:r>
      <w:r w:rsidRPr="00814C67">
        <w:t xml:space="preserve"> CP, choice phase; </w:t>
      </w:r>
      <w:r w:rsidR="00BA31AE" w:rsidRPr="00814C67">
        <w:t xml:space="preserve">IA, interaction; </w:t>
      </w:r>
      <w:r w:rsidRPr="00814C67">
        <w:t>LMA, novelty-induced locomotor activity; SNP, spatial-novelty preference; SP, sample phase.</w:t>
      </w:r>
    </w:p>
    <w:p w:rsidR="00BA31AE" w:rsidRPr="00814C67" w:rsidRDefault="00BA31AE">
      <w:pPr>
        <w:spacing w:line="240" w:lineRule="auto"/>
        <w:jc w:val="left"/>
      </w:pPr>
      <w:r w:rsidRPr="00814C67">
        <w:br w:type="page"/>
      </w:r>
    </w:p>
    <w:p w:rsidR="00464FA5" w:rsidRPr="00814C67" w:rsidRDefault="00BA31AE" w:rsidP="00523923">
      <w:pPr>
        <w:jc w:val="center"/>
      </w:pPr>
      <w:r w:rsidRPr="00814C67">
        <w:rPr>
          <w:noProof/>
          <w:lang w:val="de-DE" w:eastAsia="de-DE"/>
        </w:rPr>
        <w:drawing>
          <wp:inline distT="0" distB="0" distL="0" distR="0">
            <wp:extent cx="4889380" cy="5814687"/>
            <wp:effectExtent l="19050" t="0" r="6470" b="0"/>
            <wp:docPr id="10" name="Picture 9" descr="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a.png"/>
                    <pic:cNvPicPr/>
                  </pic:nvPicPr>
                  <pic:blipFill>
                    <a:blip r:embed="rId18"/>
                    <a:stretch>
                      <a:fillRect/>
                    </a:stretch>
                  </pic:blipFill>
                  <pic:spPr>
                    <a:xfrm>
                      <a:off x="0" y="0"/>
                      <a:ext cx="4894628" cy="5820928"/>
                    </a:xfrm>
                    <a:prstGeom prst="rect">
                      <a:avLst/>
                    </a:prstGeom>
                  </pic:spPr>
                </pic:pic>
              </a:graphicData>
            </a:graphic>
          </wp:inline>
        </w:drawing>
      </w:r>
    </w:p>
    <w:p w:rsidR="00BA31AE" w:rsidRPr="00814C67" w:rsidRDefault="00BA31AE" w:rsidP="00BA31AE">
      <w:pPr>
        <w:jc w:val="center"/>
      </w:pPr>
      <w:r w:rsidRPr="00814C67">
        <w:rPr>
          <w:noProof/>
          <w:lang w:val="de-DE" w:eastAsia="de-DE"/>
        </w:rPr>
        <w:drawing>
          <wp:inline distT="0" distB="0" distL="0" distR="0">
            <wp:extent cx="4923886" cy="2625076"/>
            <wp:effectExtent l="19050" t="0" r="0" b="0"/>
            <wp:docPr id="11" name="Picture 10" descr="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b.png"/>
                    <pic:cNvPicPr/>
                  </pic:nvPicPr>
                  <pic:blipFill>
                    <a:blip r:embed="rId19"/>
                    <a:stretch>
                      <a:fillRect/>
                    </a:stretch>
                  </pic:blipFill>
                  <pic:spPr>
                    <a:xfrm>
                      <a:off x="0" y="0"/>
                      <a:ext cx="4922106" cy="2624127"/>
                    </a:xfrm>
                    <a:prstGeom prst="rect">
                      <a:avLst/>
                    </a:prstGeom>
                  </pic:spPr>
                </pic:pic>
              </a:graphicData>
            </a:graphic>
          </wp:inline>
        </w:drawing>
      </w:r>
    </w:p>
    <w:p w:rsidR="00BA31AE" w:rsidRPr="00814C67" w:rsidRDefault="00BA31AE" w:rsidP="00BA31AE">
      <w:pPr>
        <w:jc w:val="center"/>
      </w:pPr>
      <w:r w:rsidRPr="00814C67">
        <w:rPr>
          <w:noProof/>
          <w:lang w:val="de-DE" w:eastAsia="de-DE"/>
        </w:rPr>
        <w:drawing>
          <wp:inline distT="0" distB="0" distL="0" distR="0">
            <wp:extent cx="3173798" cy="7817225"/>
            <wp:effectExtent l="19050" t="0" r="7552" b="0"/>
            <wp:docPr id="12" name="Picture 11" descr="4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c.png"/>
                    <pic:cNvPicPr/>
                  </pic:nvPicPr>
                  <pic:blipFill>
                    <a:blip r:embed="rId20"/>
                    <a:stretch>
                      <a:fillRect/>
                    </a:stretch>
                  </pic:blipFill>
                  <pic:spPr>
                    <a:xfrm>
                      <a:off x="0" y="0"/>
                      <a:ext cx="3173798" cy="7817225"/>
                    </a:xfrm>
                    <a:prstGeom prst="rect">
                      <a:avLst/>
                    </a:prstGeom>
                  </pic:spPr>
                </pic:pic>
              </a:graphicData>
            </a:graphic>
          </wp:inline>
        </w:drawing>
      </w:r>
    </w:p>
    <w:p w:rsidR="00BA31AE" w:rsidRPr="00814C67" w:rsidRDefault="00BA31AE" w:rsidP="00BA31AE">
      <w:r w:rsidRPr="00814C67">
        <w:rPr>
          <w:b/>
        </w:rPr>
        <w:t xml:space="preserve">Supplementary Table 4. Statistics of behavioural assessment after CA3-GLUA1 ablation. </w:t>
      </w:r>
      <w:r w:rsidRPr="00814C67">
        <w:t xml:space="preserve">Similar to Supplementary Table 3, but for </w:t>
      </w:r>
      <w:r w:rsidRPr="00814C67">
        <w:rPr>
          <w:i/>
        </w:rPr>
        <w:t>Gria1</w:t>
      </w:r>
      <w:r w:rsidRPr="00814C67">
        <w:rPr>
          <w:rFonts w:ascii="Symbol" w:hAnsi="Symbol"/>
          <w:vertAlign w:val="superscript"/>
        </w:rPr>
        <w:t></w:t>
      </w:r>
      <w:r w:rsidRPr="00814C67">
        <w:rPr>
          <w:vertAlign w:val="superscript"/>
        </w:rPr>
        <w:t>Grik4</w:t>
      </w:r>
      <w:r w:rsidRPr="00814C67">
        <w:t xml:space="preserve"> cohort.</w:t>
      </w:r>
      <w:r w:rsidRPr="00814C67">
        <w:rPr>
          <w:b/>
        </w:rPr>
        <w:t xml:space="preserve"> </w:t>
      </w:r>
      <w:r w:rsidRPr="00814C67">
        <w:t>(</w:t>
      </w:r>
      <w:r w:rsidRPr="00814C67">
        <w:rPr>
          <w:b/>
        </w:rPr>
        <w:t>a</w:t>
      </w:r>
      <w:r w:rsidRPr="00814C67">
        <w:t xml:space="preserve">) Statistical assessment of behavior according to stated behavioural tests and variables (two left columns) using one-sample </w:t>
      </w:r>
      <w:r w:rsidRPr="00814C67">
        <w:rPr>
          <w:i/>
        </w:rPr>
        <w:t>t</w:t>
      </w:r>
      <w:r w:rsidRPr="00814C67">
        <w:t>-test against chance level where applicable and univariate ANOVA. Sex was included as independent variable unless only the male part of the cohort was analysed (indicated by blue test name in first column) or the number of mice per genotype was considerably reduced because some animals did not reach training criterion. Parameters analysed with non-parametric Mann-Whitney-U (MWU) test are highlighted in purple, with stated numbers representing</w:t>
      </w:r>
      <w:r w:rsidR="00F565D6" w:rsidRPr="00814C67">
        <w:t xml:space="preserve"> MWU- (instead of df),</w:t>
      </w:r>
      <w:r w:rsidRPr="00814C67">
        <w:t xml:space="preserve"> Z- (instead of </w:t>
      </w:r>
      <w:r w:rsidRPr="00814C67">
        <w:rPr>
          <w:i/>
        </w:rPr>
        <w:t>F</w:t>
      </w:r>
      <w:r w:rsidRPr="00814C67">
        <w:t xml:space="preserve">) and </w:t>
      </w:r>
      <w:r w:rsidRPr="00814C67">
        <w:rPr>
          <w:i/>
        </w:rPr>
        <w:t>P</w:t>
      </w:r>
      <w:r w:rsidRPr="00814C67">
        <w:t>-values. (</w:t>
      </w:r>
      <w:r w:rsidRPr="00814C67">
        <w:rPr>
          <w:b/>
        </w:rPr>
        <w:t>b</w:t>
      </w:r>
      <w:r w:rsidRPr="00814C67">
        <w:t>) Assessment of performance across multiple days or challenge conditions using repeated-measures (RM) ANOVA (Greenhouse-Geisser adjustment). (</w:t>
      </w:r>
      <w:r w:rsidRPr="00814C67">
        <w:rPr>
          <w:b/>
        </w:rPr>
        <w:t>c</w:t>
      </w:r>
      <w:r w:rsidRPr="00814C67">
        <w:t xml:space="preserve">) Statistical assessment of individual challenge conditions (left column) in the 5-CSRTT regarding the named parameters using univariate ANOVA. In (a-c) </w:t>
      </w:r>
      <w:r w:rsidRPr="00814C67">
        <w:rPr>
          <w:i/>
        </w:rPr>
        <w:t>P</w:t>
      </w:r>
      <w:r w:rsidRPr="00814C67">
        <w:t xml:space="preserve">-values &lt; .1 are indicated by shades of green; the lower the </w:t>
      </w:r>
      <w:r w:rsidRPr="00814C67">
        <w:rPr>
          <w:i/>
        </w:rPr>
        <w:t>P</w:t>
      </w:r>
      <w:r w:rsidRPr="00814C67">
        <w:t>-value, the darker. The number of animals contributing to each experiment per group are stated under “N” and the corresponding figure under “Fig.”.</w:t>
      </w:r>
      <w:r w:rsidR="00307DBB" w:rsidRPr="00814C67">
        <w:t xml:space="preserve"> Numbers vary due to the exclusion of some animals that did not sufficiently acquire or participate in a task.</w:t>
      </w:r>
      <w:r w:rsidRPr="00814C67">
        <w:t xml:space="preserve"> </w:t>
      </w:r>
      <w:r w:rsidR="003970EA" w:rsidRPr="00814C67">
        <w:t xml:space="preserve">The total number of animals in this cohort were 19 </w:t>
      </w:r>
      <w:r w:rsidR="003970EA" w:rsidRPr="00814C67">
        <w:rPr>
          <w:i/>
        </w:rPr>
        <w:t>Gria1</w:t>
      </w:r>
      <w:r w:rsidR="003970EA" w:rsidRPr="00814C67">
        <w:rPr>
          <w:vertAlign w:val="superscript"/>
        </w:rPr>
        <w:t>Ctrl</w:t>
      </w:r>
      <w:r w:rsidR="003970EA" w:rsidRPr="00814C67">
        <w:t xml:space="preserve"> (12 male, 7 female) and 19 </w:t>
      </w:r>
      <w:r w:rsidR="003970EA" w:rsidRPr="00814C67">
        <w:rPr>
          <w:i/>
        </w:rPr>
        <w:t>Gria1</w:t>
      </w:r>
      <w:r w:rsidR="003970EA" w:rsidRPr="00814C67">
        <w:rPr>
          <w:rFonts w:ascii="Symbol" w:hAnsi="Symbol"/>
          <w:vertAlign w:val="superscript"/>
        </w:rPr>
        <w:t></w:t>
      </w:r>
      <w:r w:rsidR="003970EA" w:rsidRPr="00814C67">
        <w:rPr>
          <w:vertAlign w:val="superscript"/>
        </w:rPr>
        <w:t>Grik4</w:t>
      </w:r>
      <w:r w:rsidR="003970EA" w:rsidRPr="00814C67">
        <w:t xml:space="preserve"> (12 male, 7 female) mice. Tests stated in blue font were conducted only in males. </w:t>
      </w:r>
      <w:r w:rsidRPr="00814C67">
        <w:rPr>
          <w:i/>
        </w:rPr>
        <w:t>Abbreviations:</w:t>
      </w:r>
      <w:r w:rsidRPr="00814C67">
        <w:t xml:space="preserve"> CP, choice phase; IA, interaction; LMA, novelty-induced locomotor activity; SNP, spatial-novelty preference; SP, sample phase.</w:t>
      </w:r>
    </w:p>
    <w:p w:rsidR="00573FEC" w:rsidRPr="00814C67" w:rsidRDefault="00573FEC">
      <w:pPr>
        <w:spacing w:line="240" w:lineRule="auto"/>
        <w:jc w:val="left"/>
      </w:pPr>
      <w:r w:rsidRPr="00814C67">
        <w:br w:type="page"/>
      </w:r>
    </w:p>
    <w:tbl>
      <w:tblPr>
        <w:tblW w:w="9087" w:type="dxa"/>
        <w:tblInd w:w="93" w:type="dxa"/>
        <w:tblLayout w:type="fixed"/>
        <w:tblLook w:val="04A0"/>
      </w:tblPr>
      <w:tblGrid>
        <w:gridCol w:w="1291"/>
        <w:gridCol w:w="709"/>
        <w:gridCol w:w="283"/>
        <w:gridCol w:w="993"/>
        <w:gridCol w:w="1134"/>
        <w:gridCol w:w="141"/>
        <w:gridCol w:w="1134"/>
        <w:gridCol w:w="142"/>
        <w:gridCol w:w="1276"/>
        <w:gridCol w:w="1984"/>
      </w:tblGrid>
      <w:tr w:rsidR="00573FEC" w:rsidRPr="00814C67" w:rsidTr="00114E6B">
        <w:trPr>
          <w:trHeight w:val="231"/>
        </w:trPr>
        <w:tc>
          <w:tcPr>
            <w:tcW w:w="12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73FEC" w:rsidRPr="00814C67" w:rsidRDefault="00573FEC" w:rsidP="00114E6B">
            <w:pPr>
              <w:spacing w:line="240" w:lineRule="auto"/>
              <w:rPr>
                <w:rFonts w:eastAsia="Times New Roman" w:cs="Arial"/>
                <w:sz w:val="18"/>
                <w:szCs w:val="18"/>
                <w:lang w:val="en-GB" w:eastAsia="en-GB"/>
              </w:rPr>
            </w:pPr>
            <w:r w:rsidRPr="00814C67">
              <w:rPr>
                <w:rFonts w:eastAsia="Times New Roman" w:cs="Arial"/>
                <w:sz w:val="18"/>
                <w:szCs w:val="18"/>
                <w:lang w:val="en-GB" w:eastAsia="en-GB"/>
              </w:rPr>
              <w:t> </w:t>
            </w:r>
          </w:p>
        </w:tc>
        <w:tc>
          <w:tcPr>
            <w:tcW w:w="7796" w:type="dxa"/>
            <w:gridSpan w:val="9"/>
            <w:tcBorders>
              <w:top w:val="single" w:sz="4" w:space="0" w:color="auto"/>
              <w:left w:val="nil"/>
              <w:bottom w:val="single" w:sz="4" w:space="0" w:color="auto"/>
              <w:right w:val="single" w:sz="4" w:space="0" w:color="auto"/>
            </w:tcBorders>
          </w:tcPr>
          <w:p w:rsidR="00573FEC" w:rsidRPr="00814C67" w:rsidRDefault="00573FEC" w:rsidP="00114E6B">
            <w:pPr>
              <w:spacing w:line="240" w:lineRule="auto"/>
              <w:jc w:val="center"/>
              <w:rPr>
                <w:rFonts w:eastAsia="Times New Roman" w:cs="Arial"/>
                <w:b/>
                <w:sz w:val="18"/>
                <w:szCs w:val="18"/>
                <w:lang w:val="en-GB" w:eastAsia="en-GB"/>
              </w:rPr>
            </w:pPr>
            <w:r w:rsidRPr="00814C67">
              <w:rPr>
                <w:rFonts w:eastAsia="Times New Roman" w:cs="Arial"/>
                <w:b/>
                <w:sz w:val="18"/>
                <w:szCs w:val="18"/>
                <w:lang w:val="en-GB" w:eastAsia="en-GB"/>
              </w:rPr>
              <w:t>Parameters of training and baseline stages</w:t>
            </w:r>
          </w:p>
        </w:tc>
      </w:tr>
      <w:tr w:rsidR="00573FEC" w:rsidRPr="00814C67" w:rsidTr="00114E6B">
        <w:trPr>
          <w:trHeight w:val="253"/>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573FEC" w:rsidRPr="00814C67" w:rsidRDefault="00573FEC" w:rsidP="00114E6B">
            <w:pPr>
              <w:spacing w:line="240" w:lineRule="auto"/>
              <w:rPr>
                <w:rFonts w:eastAsia="Times New Roman" w:cs="Arial"/>
                <w:sz w:val="18"/>
                <w:szCs w:val="18"/>
                <w:lang w:eastAsia="en-GB"/>
              </w:rPr>
            </w:pPr>
            <w:r w:rsidRPr="00814C67">
              <w:rPr>
                <w:rFonts w:eastAsia="Times New Roman" w:cs="Arial"/>
                <w:sz w:val="18"/>
                <w:szCs w:val="18"/>
                <w:lang w:eastAsia="en-GB"/>
              </w:rPr>
              <w:t>Stage</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573FEC" w:rsidRPr="00814C67" w:rsidRDefault="00573FEC" w:rsidP="00114E6B">
            <w:pPr>
              <w:spacing w:line="240" w:lineRule="auto"/>
              <w:rPr>
                <w:rFonts w:eastAsia="Times New Roman" w:cs="Arial"/>
                <w:sz w:val="18"/>
                <w:szCs w:val="18"/>
                <w:lang w:eastAsia="en-GB"/>
              </w:rPr>
            </w:pPr>
            <w:r w:rsidRPr="00814C67">
              <w:rPr>
                <w:rFonts w:eastAsia="Times New Roman" w:cs="Arial"/>
                <w:sz w:val="18"/>
                <w:szCs w:val="18"/>
                <w:lang w:eastAsia="en-GB"/>
              </w:rPr>
              <w:t>SP-SD, s</w:t>
            </w:r>
          </w:p>
        </w:tc>
        <w:tc>
          <w:tcPr>
            <w:tcW w:w="993" w:type="dxa"/>
            <w:tcBorders>
              <w:top w:val="nil"/>
              <w:left w:val="nil"/>
              <w:bottom w:val="single" w:sz="4" w:space="0" w:color="auto"/>
              <w:right w:val="single" w:sz="4" w:space="0" w:color="auto"/>
            </w:tcBorders>
            <w:shd w:val="clear" w:color="auto" w:fill="auto"/>
            <w:noWrap/>
            <w:vAlign w:val="bottom"/>
            <w:hideMark/>
          </w:tcPr>
          <w:p w:rsidR="00573FEC" w:rsidRPr="00814C67" w:rsidRDefault="00573FEC" w:rsidP="00114E6B">
            <w:pPr>
              <w:spacing w:line="240" w:lineRule="auto"/>
              <w:rPr>
                <w:rFonts w:eastAsia="Times New Roman" w:cs="Arial"/>
                <w:sz w:val="18"/>
                <w:szCs w:val="18"/>
                <w:lang w:eastAsia="en-GB"/>
              </w:rPr>
            </w:pPr>
            <w:r w:rsidRPr="00814C67">
              <w:rPr>
                <w:rFonts w:eastAsia="Times New Roman" w:cs="Arial"/>
                <w:sz w:val="18"/>
                <w:szCs w:val="18"/>
                <w:lang w:eastAsia="en-GB"/>
              </w:rPr>
              <w:t>CP-SD, s</w:t>
            </w:r>
          </w:p>
        </w:tc>
        <w:tc>
          <w:tcPr>
            <w:tcW w:w="1275" w:type="dxa"/>
            <w:gridSpan w:val="2"/>
            <w:tcBorders>
              <w:top w:val="nil"/>
              <w:left w:val="nil"/>
              <w:bottom w:val="single" w:sz="4" w:space="0" w:color="auto"/>
              <w:right w:val="single" w:sz="4" w:space="0" w:color="auto"/>
            </w:tcBorders>
          </w:tcPr>
          <w:p w:rsidR="00573FEC" w:rsidRPr="00814C67" w:rsidRDefault="00573FEC" w:rsidP="00114E6B">
            <w:pPr>
              <w:spacing w:line="240" w:lineRule="auto"/>
              <w:rPr>
                <w:rFonts w:eastAsia="Times New Roman" w:cs="Arial"/>
                <w:sz w:val="18"/>
                <w:szCs w:val="18"/>
                <w:lang w:eastAsia="en-GB"/>
              </w:rPr>
            </w:pPr>
            <w:r w:rsidRPr="00814C67">
              <w:rPr>
                <w:rFonts w:eastAsia="Times New Roman" w:cs="Arial"/>
                <w:sz w:val="18"/>
                <w:szCs w:val="18"/>
                <w:lang w:eastAsia="en-GB"/>
              </w:rPr>
              <w:t>Pre-delay, s</w:t>
            </w:r>
          </w:p>
        </w:tc>
        <w:tc>
          <w:tcPr>
            <w:tcW w:w="1276" w:type="dxa"/>
            <w:gridSpan w:val="2"/>
            <w:tcBorders>
              <w:top w:val="nil"/>
              <w:left w:val="single" w:sz="4" w:space="0" w:color="auto"/>
              <w:bottom w:val="single" w:sz="4" w:space="0" w:color="auto"/>
              <w:right w:val="single" w:sz="4" w:space="0" w:color="auto"/>
            </w:tcBorders>
          </w:tcPr>
          <w:p w:rsidR="00573FEC" w:rsidRPr="00814C67" w:rsidRDefault="00573FEC" w:rsidP="00114E6B">
            <w:pPr>
              <w:spacing w:line="240" w:lineRule="auto"/>
              <w:rPr>
                <w:rFonts w:eastAsia="Times New Roman" w:cs="Arial"/>
                <w:sz w:val="18"/>
                <w:szCs w:val="18"/>
                <w:lang w:eastAsia="en-GB"/>
              </w:rPr>
            </w:pPr>
            <w:r w:rsidRPr="00814C67">
              <w:rPr>
                <w:rFonts w:eastAsia="Times New Roman" w:cs="Arial"/>
                <w:sz w:val="18"/>
                <w:szCs w:val="18"/>
                <w:lang w:eastAsia="en-GB"/>
              </w:rPr>
              <w:t>Post-delay, s</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573FEC" w:rsidRPr="00814C67" w:rsidRDefault="00573FEC" w:rsidP="00114E6B">
            <w:pPr>
              <w:spacing w:line="240" w:lineRule="auto"/>
              <w:rPr>
                <w:rFonts w:eastAsia="Times New Roman" w:cs="Arial"/>
                <w:sz w:val="18"/>
                <w:szCs w:val="18"/>
                <w:lang w:eastAsia="en-GB"/>
              </w:rPr>
            </w:pPr>
            <w:r w:rsidRPr="00814C67">
              <w:rPr>
                <w:rFonts w:eastAsia="Times New Roman" w:cs="Arial"/>
                <w:sz w:val="18"/>
                <w:szCs w:val="18"/>
                <w:lang w:eastAsia="en-GB"/>
              </w:rPr>
              <w:t>Reward (</w:t>
            </w:r>
            <w:r w:rsidRPr="00814C67">
              <w:rPr>
                <w:rFonts w:ascii="Symbol" w:eastAsia="Times New Roman" w:hAnsi="Symbol" w:cs="Arial"/>
                <w:sz w:val="18"/>
                <w:szCs w:val="18"/>
                <w:lang w:eastAsia="en-GB"/>
              </w:rPr>
              <w:t></w:t>
            </w:r>
            <w:r w:rsidRPr="00814C67">
              <w:rPr>
                <w:rFonts w:eastAsia="Times New Roman" w:cs="Arial"/>
                <w:sz w:val="18"/>
                <w:szCs w:val="18"/>
                <w:lang w:eastAsia="en-GB"/>
              </w:rPr>
              <w:t>l)</w:t>
            </w:r>
          </w:p>
        </w:tc>
        <w:tc>
          <w:tcPr>
            <w:tcW w:w="1984" w:type="dxa"/>
            <w:tcBorders>
              <w:left w:val="nil"/>
              <w:bottom w:val="single" w:sz="4" w:space="0" w:color="auto"/>
              <w:right w:val="single" w:sz="4" w:space="0" w:color="auto"/>
            </w:tcBorders>
          </w:tcPr>
          <w:p w:rsidR="00573FEC" w:rsidRPr="00814C67" w:rsidRDefault="00573FEC" w:rsidP="00114E6B">
            <w:pPr>
              <w:spacing w:line="240" w:lineRule="auto"/>
              <w:rPr>
                <w:rFonts w:eastAsia="Times New Roman" w:cs="Arial"/>
                <w:sz w:val="18"/>
                <w:szCs w:val="18"/>
                <w:lang w:eastAsia="en-GB"/>
              </w:rPr>
            </w:pPr>
            <w:r w:rsidRPr="00814C67">
              <w:rPr>
                <w:rFonts w:eastAsia="Times New Roman" w:cs="Arial"/>
                <w:sz w:val="18"/>
                <w:szCs w:val="18"/>
                <w:lang w:eastAsia="en-GB"/>
              </w:rPr>
              <w:t>CP configurations</w:t>
            </w:r>
          </w:p>
        </w:tc>
      </w:tr>
      <w:tr w:rsidR="00573FEC" w:rsidRPr="00814C67" w:rsidTr="00114E6B">
        <w:trPr>
          <w:trHeight w:val="300"/>
        </w:trPr>
        <w:tc>
          <w:tcPr>
            <w:tcW w:w="1291" w:type="dxa"/>
            <w:tcBorders>
              <w:top w:val="nil"/>
              <w:left w:val="single" w:sz="4" w:space="0" w:color="auto"/>
              <w:bottom w:val="single" w:sz="4" w:space="0" w:color="auto"/>
              <w:right w:val="single" w:sz="4" w:space="0" w:color="auto"/>
            </w:tcBorders>
            <w:shd w:val="clear" w:color="auto" w:fill="auto"/>
            <w:noWrap/>
            <w:vAlign w:val="center"/>
            <w:hideMark/>
          </w:tcPr>
          <w:p w:rsidR="00573FEC" w:rsidRPr="00814C67" w:rsidRDefault="00573FEC" w:rsidP="00114E6B">
            <w:pPr>
              <w:spacing w:line="240" w:lineRule="auto"/>
              <w:jc w:val="center"/>
              <w:rPr>
                <w:rFonts w:eastAsia="Times New Roman" w:cs="Arial"/>
                <w:sz w:val="18"/>
                <w:szCs w:val="18"/>
                <w:lang w:eastAsia="en-GB"/>
              </w:rPr>
            </w:pPr>
            <w:r w:rsidRPr="00814C67">
              <w:rPr>
                <w:rFonts w:eastAsia="Times New Roman" w:cs="Arial"/>
                <w:sz w:val="18"/>
                <w:szCs w:val="18"/>
                <w:lang w:eastAsia="en-GB"/>
              </w:rPr>
              <w:t>1</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573FEC" w:rsidRPr="00814C67" w:rsidRDefault="00573FEC" w:rsidP="00114E6B">
            <w:pPr>
              <w:spacing w:line="240" w:lineRule="auto"/>
              <w:jc w:val="center"/>
              <w:rPr>
                <w:rFonts w:eastAsia="Times New Roman" w:cs="Arial"/>
                <w:sz w:val="18"/>
                <w:szCs w:val="18"/>
                <w:lang w:eastAsia="en-GB"/>
              </w:rPr>
            </w:pPr>
            <w:r w:rsidRPr="00814C67">
              <w:rPr>
                <w:rFonts w:eastAsia="Times New Roman" w:cs="Arial"/>
                <w:sz w:val="18"/>
                <w:szCs w:val="18"/>
                <w:lang w:eastAsia="en-GB"/>
              </w:rPr>
              <w:t>20</w:t>
            </w:r>
          </w:p>
        </w:tc>
        <w:tc>
          <w:tcPr>
            <w:tcW w:w="993" w:type="dxa"/>
            <w:tcBorders>
              <w:top w:val="nil"/>
              <w:left w:val="nil"/>
              <w:bottom w:val="single" w:sz="4" w:space="0" w:color="auto"/>
              <w:right w:val="single" w:sz="4" w:space="0" w:color="auto"/>
            </w:tcBorders>
            <w:shd w:val="clear" w:color="auto" w:fill="auto"/>
            <w:noWrap/>
            <w:vAlign w:val="center"/>
            <w:hideMark/>
          </w:tcPr>
          <w:p w:rsidR="00573FEC" w:rsidRPr="00814C67" w:rsidRDefault="00573FEC" w:rsidP="00114E6B">
            <w:pPr>
              <w:spacing w:line="240" w:lineRule="auto"/>
              <w:jc w:val="center"/>
              <w:rPr>
                <w:rFonts w:eastAsia="Times New Roman" w:cs="Arial"/>
                <w:sz w:val="18"/>
                <w:szCs w:val="18"/>
                <w:lang w:eastAsia="en-GB"/>
              </w:rPr>
            </w:pPr>
            <w:r w:rsidRPr="00814C67">
              <w:rPr>
                <w:rFonts w:eastAsia="Times New Roman" w:cs="Arial"/>
                <w:sz w:val="18"/>
                <w:szCs w:val="18"/>
                <w:lang w:eastAsia="en-GB"/>
              </w:rPr>
              <w:t>20</w:t>
            </w:r>
          </w:p>
        </w:tc>
        <w:tc>
          <w:tcPr>
            <w:tcW w:w="1275" w:type="dxa"/>
            <w:gridSpan w:val="2"/>
            <w:tcBorders>
              <w:top w:val="single" w:sz="4" w:space="0" w:color="auto"/>
              <w:left w:val="nil"/>
              <w:bottom w:val="single" w:sz="4" w:space="0" w:color="auto"/>
              <w:right w:val="single" w:sz="4" w:space="0" w:color="auto"/>
            </w:tcBorders>
            <w:vAlign w:val="center"/>
          </w:tcPr>
          <w:p w:rsidR="00573FEC" w:rsidRPr="00814C67" w:rsidRDefault="00573FEC" w:rsidP="00114E6B">
            <w:pPr>
              <w:spacing w:line="240" w:lineRule="auto"/>
              <w:jc w:val="center"/>
              <w:rPr>
                <w:rFonts w:eastAsia="Times New Roman" w:cs="Arial"/>
                <w:sz w:val="18"/>
                <w:szCs w:val="18"/>
                <w:lang w:eastAsia="en-GB"/>
              </w:rPr>
            </w:pPr>
            <w:r w:rsidRPr="00814C67">
              <w:rPr>
                <w:rFonts w:eastAsia="Times New Roman" w:cs="Arial"/>
                <w:sz w:val="18"/>
                <w:szCs w:val="18"/>
                <w:lang w:eastAsia="en-GB"/>
              </w:rPr>
              <w:t>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573FEC" w:rsidRPr="00814C67" w:rsidRDefault="00573FEC" w:rsidP="00114E6B">
            <w:pPr>
              <w:spacing w:line="240" w:lineRule="auto"/>
              <w:jc w:val="center"/>
              <w:rPr>
                <w:rFonts w:eastAsia="Times New Roman" w:cs="Arial"/>
                <w:sz w:val="18"/>
                <w:szCs w:val="18"/>
                <w:lang w:eastAsia="en-GB"/>
              </w:rPr>
            </w:pPr>
            <w:r w:rsidRPr="00814C67">
              <w:rPr>
                <w:rFonts w:eastAsia="Times New Roman" w:cs="Arial"/>
                <w:sz w:val="18"/>
                <w:szCs w:val="18"/>
                <w:lang w:eastAsia="en-GB"/>
              </w:rPr>
              <w:t>2</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73FEC" w:rsidRPr="00814C67" w:rsidRDefault="00573FEC" w:rsidP="00114E6B">
            <w:pPr>
              <w:spacing w:line="240" w:lineRule="auto"/>
              <w:jc w:val="center"/>
              <w:rPr>
                <w:rFonts w:eastAsia="Times New Roman" w:cs="Arial"/>
                <w:sz w:val="18"/>
                <w:szCs w:val="18"/>
                <w:lang w:eastAsia="en-GB"/>
              </w:rPr>
            </w:pPr>
            <w:r w:rsidRPr="00814C67">
              <w:rPr>
                <w:rFonts w:eastAsia="Times New Roman" w:cs="Arial"/>
                <w:sz w:val="18"/>
                <w:szCs w:val="18"/>
                <w:lang w:eastAsia="en-GB"/>
              </w:rPr>
              <w:t>20</w:t>
            </w:r>
            <w:r w:rsidR="00F11691" w:rsidRPr="00814C67">
              <w:rPr>
                <w:rFonts w:eastAsia="Times New Roman" w:cs="Arial"/>
                <w:sz w:val="18"/>
                <w:szCs w:val="18"/>
                <w:lang w:eastAsia="en-GB"/>
              </w:rPr>
              <w:t xml:space="preserve"> / 10 / 0</w:t>
            </w:r>
          </w:p>
        </w:tc>
        <w:tc>
          <w:tcPr>
            <w:tcW w:w="1984" w:type="dxa"/>
            <w:tcBorders>
              <w:top w:val="nil"/>
              <w:left w:val="nil"/>
              <w:bottom w:val="single" w:sz="4" w:space="0" w:color="auto"/>
              <w:right w:val="single" w:sz="4" w:space="0" w:color="auto"/>
            </w:tcBorders>
            <w:vAlign w:val="center"/>
          </w:tcPr>
          <w:p w:rsidR="00573FEC" w:rsidRPr="00814C67" w:rsidRDefault="00F11691" w:rsidP="00F11691">
            <w:pPr>
              <w:spacing w:line="240" w:lineRule="auto"/>
              <w:jc w:val="center"/>
              <w:rPr>
                <w:rFonts w:eastAsia="Times New Roman" w:cs="Arial"/>
                <w:sz w:val="18"/>
                <w:szCs w:val="18"/>
                <w:lang w:eastAsia="en-GB"/>
              </w:rPr>
            </w:pPr>
            <w:r w:rsidRPr="00814C67">
              <w:rPr>
                <w:rFonts w:eastAsia="Times New Roman" w:cs="Arial"/>
                <w:sz w:val="18"/>
                <w:szCs w:val="18"/>
                <w:lang w:eastAsia="en-GB"/>
              </w:rPr>
              <w:t>1-4</w:t>
            </w:r>
            <w:r w:rsidR="00573FEC" w:rsidRPr="00814C67">
              <w:rPr>
                <w:rFonts w:eastAsia="Times New Roman" w:cs="Arial"/>
                <w:sz w:val="18"/>
                <w:szCs w:val="18"/>
                <w:lang w:eastAsia="en-GB"/>
              </w:rPr>
              <w:t>, 2-</w:t>
            </w:r>
            <w:r w:rsidRPr="00814C67">
              <w:rPr>
                <w:rFonts w:eastAsia="Times New Roman" w:cs="Arial"/>
                <w:sz w:val="18"/>
                <w:szCs w:val="18"/>
                <w:lang w:eastAsia="en-GB"/>
              </w:rPr>
              <w:t>5</w:t>
            </w:r>
          </w:p>
        </w:tc>
      </w:tr>
      <w:tr w:rsidR="00573FEC" w:rsidRPr="00814C67" w:rsidTr="00114E6B">
        <w:trPr>
          <w:trHeight w:val="300"/>
        </w:trPr>
        <w:tc>
          <w:tcPr>
            <w:tcW w:w="1291" w:type="dxa"/>
            <w:tcBorders>
              <w:top w:val="nil"/>
              <w:left w:val="single" w:sz="4" w:space="0" w:color="auto"/>
              <w:bottom w:val="single" w:sz="4" w:space="0" w:color="auto"/>
              <w:right w:val="single" w:sz="4" w:space="0" w:color="auto"/>
            </w:tcBorders>
            <w:shd w:val="clear" w:color="auto" w:fill="auto"/>
            <w:noWrap/>
            <w:vAlign w:val="center"/>
            <w:hideMark/>
          </w:tcPr>
          <w:p w:rsidR="00573FEC" w:rsidRPr="00814C67" w:rsidRDefault="00573FEC" w:rsidP="00114E6B">
            <w:pPr>
              <w:spacing w:line="240" w:lineRule="auto"/>
              <w:jc w:val="center"/>
              <w:rPr>
                <w:rFonts w:eastAsia="Times New Roman" w:cs="Arial"/>
                <w:sz w:val="18"/>
                <w:szCs w:val="18"/>
                <w:lang w:eastAsia="en-GB"/>
              </w:rPr>
            </w:pPr>
            <w:r w:rsidRPr="00814C67">
              <w:rPr>
                <w:rFonts w:eastAsia="Times New Roman" w:cs="Arial"/>
                <w:sz w:val="18"/>
                <w:szCs w:val="18"/>
                <w:lang w:eastAsia="en-GB"/>
              </w:rPr>
              <w:t>2</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573FEC" w:rsidRPr="00814C67" w:rsidRDefault="00573FEC" w:rsidP="00114E6B">
            <w:pPr>
              <w:spacing w:line="240" w:lineRule="auto"/>
              <w:jc w:val="center"/>
              <w:rPr>
                <w:rFonts w:eastAsia="Times New Roman" w:cs="Arial"/>
                <w:sz w:val="18"/>
                <w:szCs w:val="18"/>
                <w:lang w:eastAsia="en-GB"/>
              </w:rPr>
            </w:pPr>
            <w:r w:rsidRPr="00814C67">
              <w:rPr>
                <w:rFonts w:eastAsia="Times New Roman" w:cs="Arial"/>
                <w:sz w:val="18"/>
                <w:szCs w:val="18"/>
                <w:lang w:eastAsia="en-GB"/>
              </w:rPr>
              <w:t>20</w:t>
            </w:r>
          </w:p>
        </w:tc>
        <w:tc>
          <w:tcPr>
            <w:tcW w:w="993" w:type="dxa"/>
            <w:tcBorders>
              <w:top w:val="nil"/>
              <w:left w:val="nil"/>
              <w:bottom w:val="single" w:sz="4" w:space="0" w:color="auto"/>
              <w:right w:val="single" w:sz="4" w:space="0" w:color="auto"/>
            </w:tcBorders>
            <w:shd w:val="clear" w:color="auto" w:fill="auto"/>
            <w:noWrap/>
            <w:vAlign w:val="center"/>
            <w:hideMark/>
          </w:tcPr>
          <w:p w:rsidR="00573FEC" w:rsidRPr="00814C67" w:rsidRDefault="00573FEC" w:rsidP="00114E6B">
            <w:pPr>
              <w:spacing w:line="240" w:lineRule="auto"/>
              <w:jc w:val="center"/>
              <w:rPr>
                <w:rFonts w:eastAsia="Times New Roman" w:cs="Arial"/>
                <w:sz w:val="18"/>
                <w:szCs w:val="18"/>
                <w:lang w:eastAsia="en-GB"/>
              </w:rPr>
            </w:pPr>
            <w:r w:rsidRPr="00814C67">
              <w:rPr>
                <w:rFonts w:eastAsia="Times New Roman" w:cs="Arial"/>
                <w:sz w:val="18"/>
                <w:szCs w:val="18"/>
                <w:lang w:eastAsia="en-GB"/>
              </w:rPr>
              <w:t>20</w:t>
            </w:r>
          </w:p>
        </w:tc>
        <w:tc>
          <w:tcPr>
            <w:tcW w:w="1275" w:type="dxa"/>
            <w:gridSpan w:val="2"/>
            <w:tcBorders>
              <w:top w:val="single" w:sz="4" w:space="0" w:color="auto"/>
              <w:left w:val="nil"/>
              <w:bottom w:val="single" w:sz="4" w:space="0" w:color="auto"/>
              <w:right w:val="single" w:sz="4" w:space="0" w:color="auto"/>
            </w:tcBorders>
            <w:vAlign w:val="center"/>
          </w:tcPr>
          <w:p w:rsidR="00573FEC" w:rsidRPr="00814C67" w:rsidRDefault="00573FEC" w:rsidP="00114E6B">
            <w:pPr>
              <w:spacing w:line="240" w:lineRule="auto"/>
              <w:jc w:val="center"/>
              <w:rPr>
                <w:rFonts w:eastAsia="Times New Roman" w:cs="Arial"/>
                <w:sz w:val="18"/>
                <w:szCs w:val="18"/>
                <w:lang w:eastAsia="en-GB"/>
              </w:rPr>
            </w:pPr>
            <w:r w:rsidRPr="00814C67">
              <w:rPr>
                <w:rFonts w:eastAsia="Times New Roman" w:cs="Arial"/>
                <w:sz w:val="18"/>
                <w:szCs w:val="18"/>
                <w:lang w:eastAsia="en-GB"/>
              </w:rPr>
              <w:t>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573FEC" w:rsidRPr="00814C67" w:rsidRDefault="00573FEC" w:rsidP="00114E6B">
            <w:pPr>
              <w:spacing w:line="240" w:lineRule="auto"/>
              <w:jc w:val="center"/>
              <w:rPr>
                <w:rFonts w:eastAsia="Times New Roman" w:cs="Arial"/>
                <w:sz w:val="18"/>
                <w:szCs w:val="18"/>
                <w:lang w:eastAsia="en-GB"/>
              </w:rPr>
            </w:pPr>
            <w:r w:rsidRPr="00814C67">
              <w:rPr>
                <w:rFonts w:eastAsia="Times New Roman" w:cs="Arial"/>
                <w:sz w:val="18"/>
                <w:szCs w:val="18"/>
                <w:lang w:eastAsia="en-GB"/>
              </w:rPr>
              <w:t>2</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73FEC" w:rsidRPr="00814C67" w:rsidRDefault="00573FEC" w:rsidP="00114E6B">
            <w:pPr>
              <w:spacing w:line="240" w:lineRule="auto"/>
              <w:jc w:val="center"/>
              <w:rPr>
                <w:rFonts w:eastAsia="Times New Roman" w:cs="Arial"/>
                <w:sz w:val="18"/>
                <w:szCs w:val="18"/>
                <w:lang w:val="en-GB" w:eastAsia="en-GB"/>
              </w:rPr>
            </w:pPr>
            <w:r w:rsidRPr="00814C67">
              <w:rPr>
                <w:rFonts w:eastAsia="Times New Roman" w:cs="Arial"/>
                <w:sz w:val="18"/>
                <w:szCs w:val="18"/>
                <w:lang w:eastAsia="en-GB"/>
              </w:rPr>
              <w:t>10</w:t>
            </w:r>
            <w:r w:rsidR="00F11691" w:rsidRPr="00814C67">
              <w:rPr>
                <w:rFonts w:eastAsia="Times New Roman" w:cs="Arial"/>
                <w:sz w:val="18"/>
                <w:szCs w:val="18"/>
                <w:lang w:eastAsia="en-GB"/>
              </w:rPr>
              <w:t xml:space="preserve"> /</w:t>
            </w:r>
            <w:r w:rsidR="00F11691" w:rsidRPr="00814C67">
              <w:rPr>
                <w:rFonts w:eastAsia="Times New Roman" w:cs="Arial"/>
                <w:sz w:val="18"/>
                <w:szCs w:val="18"/>
                <w:lang w:val="en-GB" w:eastAsia="en-GB"/>
              </w:rPr>
              <w:t xml:space="preserve"> 0</w:t>
            </w:r>
          </w:p>
        </w:tc>
        <w:tc>
          <w:tcPr>
            <w:tcW w:w="1984" w:type="dxa"/>
            <w:tcBorders>
              <w:top w:val="nil"/>
              <w:left w:val="nil"/>
              <w:bottom w:val="single" w:sz="4" w:space="0" w:color="auto"/>
              <w:right w:val="single" w:sz="4" w:space="0" w:color="auto"/>
            </w:tcBorders>
            <w:vAlign w:val="center"/>
          </w:tcPr>
          <w:p w:rsidR="00573FEC" w:rsidRPr="00814C67" w:rsidRDefault="00573FEC" w:rsidP="00114E6B">
            <w:pPr>
              <w:spacing w:line="240" w:lineRule="auto"/>
              <w:jc w:val="center"/>
              <w:rPr>
                <w:rFonts w:eastAsia="Times New Roman" w:cs="Arial"/>
                <w:sz w:val="18"/>
                <w:szCs w:val="18"/>
                <w:lang w:eastAsia="en-GB"/>
              </w:rPr>
            </w:pPr>
            <w:r w:rsidRPr="00814C67">
              <w:rPr>
                <w:rFonts w:eastAsia="Times New Roman" w:cs="Arial"/>
                <w:sz w:val="18"/>
                <w:szCs w:val="18"/>
                <w:lang w:eastAsia="en-GB"/>
              </w:rPr>
              <w:t>1-3, 2-4, 3-5</w:t>
            </w:r>
          </w:p>
        </w:tc>
      </w:tr>
      <w:tr w:rsidR="00573FEC" w:rsidRPr="00814C67" w:rsidTr="00114E6B">
        <w:trPr>
          <w:trHeight w:val="300"/>
        </w:trPr>
        <w:tc>
          <w:tcPr>
            <w:tcW w:w="1291" w:type="dxa"/>
            <w:tcBorders>
              <w:top w:val="nil"/>
              <w:left w:val="single" w:sz="4" w:space="0" w:color="auto"/>
              <w:bottom w:val="single" w:sz="4" w:space="0" w:color="auto"/>
              <w:right w:val="single" w:sz="4" w:space="0" w:color="auto"/>
            </w:tcBorders>
            <w:shd w:val="clear" w:color="auto" w:fill="auto"/>
            <w:noWrap/>
            <w:vAlign w:val="center"/>
            <w:hideMark/>
          </w:tcPr>
          <w:p w:rsidR="00573FEC" w:rsidRPr="00814C67" w:rsidRDefault="00573FEC" w:rsidP="00114E6B">
            <w:pPr>
              <w:spacing w:line="240" w:lineRule="auto"/>
              <w:jc w:val="center"/>
              <w:rPr>
                <w:rFonts w:eastAsia="Times New Roman" w:cs="Arial"/>
                <w:sz w:val="18"/>
                <w:szCs w:val="18"/>
                <w:lang w:eastAsia="en-GB"/>
              </w:rPr>
            </w:pPr>
            <w:r w:rsidRPr="00814C67">
              <w:rPr>
                <w:rFonts w:eastAsia="Times New Roman" w:cs="Arial"/>
                <w:sz w:val="18"/>
                <w:szCs w:val="18"/>
                <w:lang w:eastAsia="en-GB"/>
              </w:rPr>
              <w:t>3</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573FEC" w:rsidRPr="00814C67" w:rsidRDefault="00573FEC" w:rsidP="00114E6B">
            <w:pPr>
              <w:spacing w:line="240" w:lineRule="auto"/>
              <w:jc w:val="center"/>
              <w:rPr>
                <w:rFonts w:eastAsia="Times New Roman" w:cs="Arial"/>
                <w:sz w:val="18"/>
                <w:szCs w:val="18"/>
                <w:lang w:eastAsia="en-GB"/>
              </w:rPr>
            </w:pPr>
            <w:r w:rsidRPr="00814C67">
              <w:rPr>
                <w:rFonts w:eastAsia="Times New Roman" w:cs="Arial"/>
                <w:sz w:val="18"/>
                <w:szCs w:val="18"/>
                <w:lang w:eastAsia="en-GB"/>
              </w:rPr>
              <w:t>20</w:t>
            </w:r>
          </w:p>
        </w:tc>
        <w:tc>
          <w:tcPr>
            <w:tcW w:w="993" w:type="dxa"/>
            <w:tcBorders>
              <w:top w:val="nil"/>
              <w:left w:val="nil"/>
              <w:bottom w:val="single" w:sz="4" w:space="0" w:color="auto"/>
              <w:right w:val="single" w:sz="4" w:space="0" w:color="auto"/>
            </w:tcBorders>
            <w:shd w:val="clear" w:color="auto" w:fill="auto"/>
            <w:noWrap/>
            <w:vAlign w:val="center"/>
            <w:hideMark/>
          </w:tcPr>
          <w:p w:rsidR="00573FEC" w:rsidRPr="00814C67" w:rsidRDefault="00573FEC" w:rsidP="00114E6B">
            <w:pPr>
              <w:spacing w:line="240" w:lineRule="auto"/>
              <w:jc w:val="center"/>
              <w:rPr>
                <w:rFonts w:eastAsia="Times New Roman" w:cs="Arial"/>
                <w:sz w:val="18"/>
                <w:szCs w:val="18"/>
                <w:lang w:eastAsia="en-GB"/>
              </w:rPr>
            </w:pPr>
            <w:r w:rsidRPr="00814C67">
              <w:rPr>
                <w:rFonts w:eastAsia="Times New Roman" w:cs="Arial"/>
                <w:sz w:val="18"/>
                <w:szCs w:val="18"/>
                <w:lang w:eastAsia="en-GB"/>
              </w:rPr>
              <w:t>20</w:t>
            </w:r>
          </w:p>
        </w:tc>
        <w:tc>
          <w:tcPr>
            <w:tcW w:w="1275" w:type="dxa"/>
            <w:gridSpan w:val="2"/>
            <w:tcBorders>
              <w:top w:val="single" w:sz="4" w:space="0" w:color="auto"/>
              <w:left w:val="nil"/>
              <w:bottom w:val="single" w:sz="4" w:space="0" w:color="auto"/>
              <w:right w:val="single" w:sz="4" w:space="0" w:color="auto"/>
            </w:tcBorders>
            <w:vAlign w:val="center"/>
          </w:tcPr>
          <w:p w:rsidR="00573FEC" w:rsidRPr="00814C67" w:rsidRDefault="00573FEC" w:rsidP="00114E6B">
            <w:pPr>
              <w:spacing w:line="240" w:lineRule="auto"/>
              <w:jc w:val="center"/>
              <w:rPr>
                <w:rFonts w:eastAsia="Times New Roman" w:cs="Arial"/>
                <w:sz w:val="18"/>
                <w:szCs w:val="18"/>
                <w:lang w:eastAsia="en-GB"/>
              </w:rPr>
            </w:pPr>
            <w:r w:rsidRPr="00814C67">
              <w:rPr>
                <w:rFonts w:eastAsia="Times New Roman" w:cs="Arial"/>
                <w:sz w:val="18"/>
                <w:szCs w:val="18"/>
                <w:lang w:eastAsia="en-GB"/>
              </w:rPr>
              <w:t>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573FEC" w:rsidRPr="00814C67" w:rsidRDefault="00573FEC" w:rsidP="00114E6B">
            <w:pPr>
              <w:spacing w:line="240" w:lineRule="auto"/>
              <w:jc w:val="center"/>
              <w:rPr>
                <w:rFonts w:eastAsia="Times New Roman" w:cs="Arial"/>
                <w:sz w:val="18"/>
                <w:szCs w:val="18"/>
                <w:lang w:eastAsia="en-GB"/>
              </w:rPr>
            </w:pPr>
            <w:r w:rsidRPr="00814C67">
              <w:rPr>
                <w:rFonts w:eastAsia="Times New Roman" w:cs="Arial"/>
                <w:sz w:val="18"/>
                <w:szCs w:val="18"/>
                <w:lang w:eastAsia="en-GB"/>
              </w:rPr>
              <w:t>2</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573FEC" w:rsidRPr="00814C67" w:rsidRDefault="00F11691" w:rsidP="00114E6B">
            <w:pPr>
              <w:spacing w:line="240" w:lineRule="auto"/>
              <w:jc w:val="center"/>
              <w:rPr>
                <w:rFonts w:eastAsia="Times New Roman" w:cs="Arial"/>
                <w:sz w:val="18"/>
                <w:szCs w:val="18"/>
                <w:lang w:eastAsia="en-GB"/>
              </w:rPr>
            </w:pPr>
            <w:r w:rsidRPr="00814C67">
              <w:rPr>
                <w:rFonts w:eastAsia="Times New Roman" w:cs="Arial"/>
                <w:sz w:val="18"/>
                <w:szCs w:val="18"/>
                <w:lang w:eastAsia="en-GB"/>
              </w:rPr>
              <w:t>1</w:t>
            </w:r>
            <w:r w:rsidR="00573FEC" w:rsidRPr="00814C67">
              <w:rPr>
                <w:rFonts w:eastAsia="Times New Roman" w:cs="Arial"/>
                <w:sz w:val="18"/>
                <w:szCs w:val="18"/>
                <w:lang w:eastAsia="en-GB"/>
              </w:rPr>
              <w:t>0</w:t>
            </w:r>
          </w:p>
        </w:tc>
        <w:tc>
          <w:tcPr>
            <w:tcW w:w="1984" w:type="dxa"/>
            <w:tcBorders>
              <w:top w:val="nil"/>
              <w:left w:val="nil"/>
              <w:bottom w:val="single" w:sz="4" w:space="0" w:color="auto"/>
              <w:right w:val="single" w:sz="4" w:space="0" w:color="auto"/>
            </w:tcBorders>
            <w:vAlign w:val="center"/>
          </w:tcPr>
          <w:p w:rsidR="00573FEC" w:rsidRPr="00814C67" w:rsidRDefault="004C56BD" w:rsidP="00114E6B">
            <w:pPr>
              <w:spacing w:line="240" w:lineRule="auto"/>
              <w:jc w:val="center"/>
              <w:rPr>
                <w:rFonts w:eastAsia="Times New Roman" w:cs="Arial"/>
                <w:sz w:val="18"/>
                <w:szCs w:val="18"/>
                <w:lang w:eastAsia="en-GB"/>
              </w:rPr>
            </w:pPr>
            <w:r w:rsidRPr="00814C67">
              <w:rPr>
                <w:rFonts w:eastAsia="Times New Roman" w:cs="Arial"/>
                <w:sz w:val="18"/>
                <w:szCs w:val="18"/>
                <w:lang w:eastAsia="en-GB"/>
              </w:rPr>
              <w:t>1-2, 1-3, 1-4, 2-3, 2-4, 2-5, 3-4, 3-5, 4-5</w:t>
            </w:r>
          </w:p>
        </w:tc>
      </w:tr>
      <w:tr w:rsidR="00573FEC" w:rsidRPr="00814C67" w:rsidTr="00114E6B">
        <w:trPr>
          <w:trHeight w:val="300"/>
        </w:trPr>
        <w:tc>
          <w:tcPr>
            <w:tcW w:w="12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FEC" w:rsidRPr="00814C67" w:rsidRDefault="00573FEC" w:rsidP="00114E6B">
            <w:pPr>
              <w:spacing w:line="240" w:lineRule="auto"/>
              <w:jc w:val="center"/>
              <w:rPr>
                <w:rFonts w:eastAsia="Times New Roman" w:cs="Arial"/>
                <w:sz w:val="18"/>
                <w:szCs w:val="18"/>
                <w:lang w:eastAsia="en-GB"/>
              </w:rPr>
            </w:pPr>
            <w:r w:rsidRPr="00814C67">
              <w:rPr>
                <w:rFonts w:eastAsia="Times New Roman" w:cs="Arial"/>
                <w:sz w:val="18"/>
                <w:szCs w:val="18"/>
                <w:lang w:eastAsia="en-GB"/>
              </w:rPr>
              <w:t>4</w:t>
            </w:r>
          </w:p>
        </w:tc>
        <w:tc>
          <w:tcPr>
            <w:tcW w:w="992" w:type="dxa"/>
            <w:gridSpan w:val="2"/>
            <w:tcBorders>
              <w:top w:val="single" w:sz="4" w:space="0" w:color="auto"/>
              <w:left w:val="nil"/>
              <w:bottom w:val="single" w:sz="4" w:space="0" w:color="auto"/>
              <w:right w:val="single" w:sz="4" w:space="0" w:color="auto"/>
            </w:tcBorders>
            <w:shd w:val="clear" w:color="auto" w:fill="auto"/>
            <w:noWrap/>
            <w:vAlign w:val="center"/>
            <w:hideMark/>
          </w:tcPr>
          <w:p w:rsidR="00573FEC" w:rsidRPr="00814C67" w:rsidRDefault="00F11691" w:rsidP="00114E6B">
            <w:pPr>
              <w:spacing w:line="240" w:lineRule="auto"/>
              <w:jc w:val="center"/>
              <w:rPr>
                <w:rFonts w:eastAsia="Times New Roman" w:cs="Arial"/>
                <w:sz w:val="18"/>
                <w:szCs w:val="18"/>
                <w:lang w:eastAsia="en-GB"/>
              </w:rPr>
            </w:pPr>
            <w:r w:rsidRPr="00814C67">
              <w:rPr>
                <w:rFonts w:eastAsia="Times New Roman" w:cs="Arial"/>
                <w:sz w:val="18"/>
                <w:szCs w:val="18"/>
                <w:lang w:eastAsia="en-GB"/>
              </w:rPr>
              <w:t>8</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573FEC" w:rsidRPr="00814C67" w:rsidRDefault="00573FEC" w:rsidP="00114E6B">
            <w:pPr>
              <w:spacing w:line="240" w:lineRule="auto"/>
              <w:jc w:val="center"/>
              <w:rPr>
                <w:rFonts w:eastAsia="Times New Roman" w:cs="Arial"/>
                <w:sz w:val="18"/>
                <w:szCs w:val="18"/>
                <w:lang w:eastAsia="en-GB"/>
              </w:rPr>
            </w:pPr>
            <w:r w:rsidRPr="00814C67">
              <w:rPr>
                <w:rFonts w:eastAsia="Times New Roman" w:cs="Arial"/>
                <w:sz w:val="18"/>
                <w:szCs w:val="18"/>
                <w:lang w:eastAsia="en-GB"/>
              </w:rPr>
              <w:t>20</w:t>
            </w:r>
          </w:p>
        </w:tc>
        <w:tc>
          <w:tcPr>
            <w:tcW w:w="1275" w:type="dxa"/>
            <w:gridSpan w:val="2"/>
            <w:tcBorders>
              <w:top w:val="single" w:sz="4" w:space="0" w:color="auto"/>
              <w:left w:val="nil"/>
              <w:bottom w:val="single" w:sz="4" w:space="0" w:color="auto"/>
              <w:right w:val="single" w:sz="4" w:space="0" w:color="auto"/>
            </w:tcBorders>
            <w:vAlign w:val="center"/>
          </w:tcPr>
          <w:p w:rsidR="00573FEC" w:rsidRPr="00814C67" w:rsidRDefault="00573FEC" w:rsidP="00114E6B">
            <w:pPr>
              <w:spacing w:line="240" w:lineRule="auto"/>
              <w:jc w:val="center"/>
              <w:rPr>
                <w:rFonts w:eastAsia="Times New Roman" w:cs="Arial"/>
                <w:sz w:val="18"/>
                <w:szCs w:val="18"/>
                <w:lang w:eastAsia="en-GB"/>
              </w:rPr>
            </w:pPr>
            <w:r w:rsidRPr="00814C67">
              <w:rPr>
                <w:rFonts w:eastAsia="Times New Roman" w:cs="Arial"/>
                <w:sz w:val="18"/>
                <w:szCs w:val="18"/>
                <w:lang w:eastAsia="en-GB"/>
              </w:rPr>
              <w:t>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573FEC" w:rsidRPr="00814C67" w:rsidRDefault="00573FEC" w:rsidP="00114E6B">
            <w:pPr>
              <w:spacing w:line="240" w:lineRule="auto"/>
              <w:jc w:val="center"/>
              <w:rPr>
                <w:rFonts w:eastAsia="Times New Roman" w:cs="Arial"/>
                <w:sz w:val="18"/>
                <w:szCs w:val="18"/>
                <w:lang w:eastAsia="en-GB"/>
              </w:rPr>
            </w:pPr>
            <w:r w:rsidRPr="00814C67">
              <w:rPr>
                <w:rFonts w:eastAsia="Times New Roman" w:cs="Arial"/>
                <w:sz w:val="18"/>
                <w:szCs w:val="18"/>
                <w:lang w:eastAsia="en-GB"/>
              </w:rPr>
              <w:t>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FEC" w:rsidRPr="00814C67" w:rsidRDefault="00573FEC" w:rsidP="00114E6B">
            <w:pPr>
              <w:spacing w:line="240" w:lineRule="auto"/>
              <w:jc w:val="center"/>
              <w:rPr>
                <w:rFonts w:eastAsia="Times New Roman" w:cs="Arial"/>
                <w:sz w:val="18"/>
                <w:szCs w:val="18"/>
                <w:lang w:eastAsia="en-GB"/>
              </w:rPr>
            </w:pPr>
            <w:r w:rsidRPr="00814C67">
              <w:rPr>
                <w:rFonts w:eastAsia="Times New Roman" w:cs="Arial"/>
                <w:sz w:val="18"/>
                <w:szCs w:val="18"/>
                <w:lang w:eastAsia="en-GB"/>
              </w:rPr>
              <w:t>10</w:t>
            </w:r>
          </w:p>
        </w:tc>
        <w:tc>
          <w:tcPr>
            <w:tcW w:w="1984" w:type="dxa"/>
            <w:tcBorders>
              <w:top w:val="single" w:sz="4" w:space="0" w:color="auto"/>
              <w:left w:val="nil"/>
              <w:bottom w:val="single" w:sz="4" w:space="0" w:color="auto"/>
              <w:right w:val="single" w:sz="4" w:space="0" w:color="auto"/>
            </w:tcBorders>
            <w:vAlign w:val="center"/>
          </w:tcPr>
          <w:p w:rsidR="00573FEC" w:rsidRPr="00814C67" w:rsidRDefault="00573FEC" w:rsidP="00114E6B">
            <w:pPr>
              <w:spacing w:line="240" w:lineRule="auto"/>
              <w:jc w:val="center"/>
              <w:rPr>
                <w:rFonts w:eastAsia="Times New Roman" w:cs="Arial"/>
                <w:sz w:val="18"/>
                <w:szCs w:val="18"/>
                <w:lang w:eastAsia="en-GB"/>
              </w:rPr>
            </w:pPr>
            <w:r w:rsidRPr="00814C67">
              <w:rPr>
                <w:rFonts w:eastAsia="Times New Roman" w:cs="Arial"/>
                <w:sz w:val="18"/>
                <w:szCs w:val="18"/>
                <w:lang w:eastAsia="en-GB"/>
              </w:rPr>
              <w:t>1-2, 1-3, 1-4, 2-3, 2-4, 2-5, 3-4, 3-5, 4-5</w:t>
            </w:r>
          </w:p>
        </w:tc>
      </w:tr>
      <w:tr w:rsidR="00573FEC" w:rsidRPr="00814C67" w:rsidTr="00114E6B">
        <w:trPr>
          <w:trHeight w:val="300"/>
        </w:trPr>
        <w:tc>
          <w:tcPr>
            <w:tcW w:w="12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FEC" w:rsidRPr="00814C67" w:rsidRDefault="00573FEC" w:rsidP="00114E6B">
            <w:pPr>
              <w:spacing w:line="240" w:lineRule="auto"/>
              <w:jc w:val="center"/>
              <w:rPr>
                <w:rFonts w:eastAsia="Times New Roman" w:cs="Arial"/>
                <w:sz w:val="18"/>
                <w:szCs w:val="18"/>
                <w:lang w:eastAsia="en-GB"/>
              </w:rPr>
            </w:pPr>
            <w:r w:rsidRPr="00814C67">
              <w:rPr>
                <w:rFonts w:eastAsia="Times New Roman" w:cs="Arial"/>
                <w:sz w:val="18"/>
                <w:szCs w:val="18"/>
                <w:lang w:eastAsia="en-GB"/>
              </w:rPr>
              <w:t>5</w:t>
            </w:r>
            <w:r w:rsidR="004C56BD" w:rsidRPr="00814C67">
              <w:rPr>
                <w:rFonts w:eastAsia="Times New Roman" w:cs="Arial"/>
                <w:sz w:val="18"/>
                <w:szCs w:val="18"/>
                <w:lang w:eastAsia="en-GB"/>
              </w:rPr>
              <w:t>, BL1</w:t>
            </w:r>
          </w:p>
        </w:tc>
        <w:tc>
          <w:tcPr>
            <w:tcW w:w="992" w:type="dxa"/>
            <w:gridSpan w:val="2"/>
            <w:tcBorders>
              <w:top w:val="single" w:sz="4" w:space="0" w:color="auto"/>
              <w:left w:val="nil"/>
              <w:bottom w:val="single" w:sz="4" w:space="0" w:color="auto"/>
              <w:right w:val="single" w:sz="4" w:space="0" w:color="auto"/>
            </w:tcBorders>
            <w:shd w:val="clear" w:color="auto" w:fill="auto"/>
            <w:noWrap/>
            <w:vAlign w:val="center"/>
            <w:hideMark/>
          </w:tcPr>
          <w:p w:rsidR="00573FEC" w:rsidRPr="00814C67" w:rsidRDefault="00F11691" w:rsidP="00114E6B">
            <w:pPr>
              <w:spacing w:line="240" w:lineRule="auto"/>
              <w:jc w:val="center"/>
              <w:rPr>
                <w:rFonts w:eastAsia="Times New Roman" w:cs="Arial"/>
                <w:sz w:val="18"/>
                <w:szCs w:val="18"/>
                <w:lang w:eastAsia="en-GB"/>
              </w:rPr>
            </w:pPr>
            <w:r w:rsidRPr="00814C67">
              <w:rPr>
                <w:rFonts w:eastAsia="Times New Roman" w:cs="Arial"/>
                <w:sz w:val="18"/>
                <w:szCs w:val="18"/>
                <w:lang w:eastAsia="en-GB"/>
              </w:rPr>
              <w:t>8</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573FEC" w:rsidRPr="00814C67" w:rsidRDefault="00F11691" w:rsidP="00114E6B">
            <w:pPr>
              <w:spacing w:line="240" w:lineRule="auto"/>
              <w:jc w:val="center"/>
              <w:rPr>
                <w:rFonts w:eastAsia="Times New Roman" w:cs="Arial"/>
                <w:sz w:val="18"/>
                <w:szCs w:val="18"/>
                <w:lang w:eastAsia="en-GB"/>
              </w:rPr>
            </w:pPr>
            <w:r w:rsidRPr="00814C67">
              <w:rPr>
                <w:rFonts w:eastAsia="Times New Roman" w:cs="Arial"/>
                <w:sz w:val="18"/>
                <w:szCs w:val="18"/>
                <w:lang w:eastAsia="en-GB"/>
              </w:rPr>
              <w:t>20</w:t>
            </w:r>
          </w:p>
        </w:tc>
        <w:tc>
          <w:tcPr>
            <w:tcW w:w="1275" w:type="dxa"/>
            <w:gridSpan w:val="2"/>
            <w:tcBorders>
              <w:top w:val="single" w:sz="4" w:space="0" w:color="auto"/>
              <w:left w:val="nil"/>
              <w:bottom w:val="single" w:sz="4" w:space="0" w:color="auto"/>
              <w:right w:val="single" w:sz="4" w:space="0" w:color="auto"/>
            </w:tcBorders>
            <w:vAlign w:val="center"/>
          </w:tcPr>
          <w:p w:rsidR="00573FEC" w:rsidRPr="00814C67" w:rsidRDefault="00573FEC" w:rsidP="00114E6B">
            <w:pPr>
              <w:spacing w:line="240" w:lineRule="auto"/>
              <w:jc w:val="center"/>
              <w:rPr>
                <w:rFonts w:eastAsia="Times New Roman" w:cs="Arial"/>
                <w:sz w:val="18"/>
                <w:szCs w:val="18"/>
                <w:lang w:eastAsia="en-GB"/>
              </w:rPr>
            </w:pPr>
            <w:r w:rsidRPr="00814C67">
              <w:rPr>
                <w:rFonts w:eastAsia="Times New Roman" w:cs="Arial"/>
                <w:sz w:val="18"/>
                <w:szCs w:val="18"/>
                <w:lang w:eastAsia="en-GB"/>
              </w:rPr>
              <w:t>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573FEC" w:rsidRPr="00814C67" w:rsidRDefault="00573FEC" w:rsidP="00114E6B">
            <w:pPr>
              <w:spacing w:line="240" w:lineRule="auto"/>
              <w:jc w:val="center"/>
              <w:rPr>
                <w:rFonts w:eastAsia="Times New Roman" w:cs="Arial"/>
                <w:sz w:val="18"/>
                <w:szCs w:val="18"/>
                <w:lang w:eastAsia="en-GB"/>
              </w:rPr>
            </w:pPr>
            <w:r w:rsidRPr="00814C67">
              <w:rPr>
                <w:rFonts w:eastAsia="Times New Roman" w:cs="Arial"/>
                <w:sz w:val="18"/>
                <w:szCs w:val="18"/>
                <w:lang w:eastAsia="en-GB"/>
              </w:rPr>
              <w:t>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FEC" w:rsidRPr="00814C67" w:rsidRDefault="00573FEC" w:rsidP="00114E6B">
            <w:pPr>
              <w:spacing w:line="240" w:lineRule="auto"/>
              <w:jc w:val="center"/>
              <w:rPr>
                <w:rFonts w:eastAsia="Times New Roman" w:cs="Arial"/>
                <w:sz w:val="18"/>
                <w:szCs w:val="18"/>
                <w:lang w:eastAsia="en-GB"/>
              </w:rPr>
            </w:pPr>
            <w:r w:rsidRPr="00814C67">
              <w:rPr>
                <w:rFonts w:eastAsia="Times New Roman" w:cs="Arial"/>
                <w:sz w:val="18"/>
                <w:szCs w:val="18"/>
                <w:lang w:eastAsia="en-GB"/>
              </w:rPr>
              <w:t>0</w:t>
            </w:r>
          </w:p>
        </w:tc>
        <w:tc>
          <w:tcPr>
            <w:tcW w:w="1984" w:type="dxa"/>
            <w:tcBorders>
              <w:top w:val="single" w:sz="4" w:space="0" w:color="auto"/>
              <w:left w:val="nil"/>
              <w:bottom w:val="single" w:sz="4" w:space="0" w:color="auto"/>
              <w:right w:val="single" w:sz="4" w:space="0" w:color="auto"/>
            </w:tcBorders>
            <w:vAlign w:val="center"/>
          </w:tcPr>
          <w:p w:rsidR="00573FEC" w:rsidRPr="00814C67" w:rsidRDefault="00573FEC" w:rsidP="00114E6B">
            <w:pPr>
              <w:spacing w:line="240" w:lineRule="auto"/>
              <w:jc w:val="center"/>
              <w:rPr>
                <w:rFonts w:eastAsia="Times New Roman" w:cs="Arial"/>
                <w:sz w:val="18"/>
                <w:szCs w:val="18"/>
                <w:lang w:eastAsia="en-GB"/>
              </w:rPr>
            </w:pPr>
            <w:r w:rsidRPr="00814C67">
              <w:rPr>
                <w:rFonts w:eastAsia="Times New Roman" w:cs="Arial"/>
                <w:sz w:val="18"/>
                <w:szCs w:val="18"/>
                <w:lang w:eastAsia="en-GB"/>
              </w:rPr>
              <w:t>1-2, 1-3, 1-4, 2-3, 2-4, 2-5, 3-4, 3-5, 4-5</w:t>
            </w:r>
          </w:p>
        </w:tc>
      </w:tr>
      <w:tr w:rsidR="00573FEC" w:rsidRPr="00814C67" w:rsidTr="00114E6B">
        <w:trPr>
          <w:trHeight w:val="300"/>
        </w:trPr>
        <w:tc>
          <w:tcPr>
            <w:tcW w:w="12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FEC" w:rsidRPr="00814C67" w:rsidRDefault="00573FEC" w:rsidP="00114E6B">
            <w:pPr>
              <w:spacing w:line="240" w:lineRule="auto"/>
              <w:jc w:val="center"/>
              <w:rPr>
                <w:rFonts w:eastAsia="Times New Roman" w:cs="Arial"/>
                <w:sz w:val="18"/>
                <w:szCs w:val="18"/>
                <w:lang w:eastAsia="en-GB"/>
              </w:rPr>
            </w:pPr>
            <w:r w:rsidRPr="00814C67">
              <w:rPr>
                <w:rFonts w:eastAsia="Times New Roman" w:cs="Arial"/>
                <w:sz w:val="18"/>
                <w:szCs w:val="18"/>
                <w:lang w:eastAsia="en-GB"/>
              </w:rPr>
              <w:t>6</w:t>
            </w:r>
            <w:r w:rsidR="00E85476" w:rsidRPr="00814C67">
              <w:rPr>
                <w:rFonts w:eastAsia="Times New Roman" w:cs="Arial"/>
                <w:sz w:val="18"/>
                <w:szCs w:val="18"/>
                <w:lang w:eastAsia="en-GB"/>
              </w:rPr>
              <w:t>, BL</w:t>
            </w:r>
            <w:r w:rsidR="004C56BD" w:rsidRPr="00814C67">
              <w:rPr>
                <w:rFonts w:eastAsia="Times New Roman" w:cs="Arial"/>
                <w:sz w:val="18"/>
                <w:szCs w:val="18"/>
                <w:lang w:eastAsia="en-GB"/>
              </w:rPr>
              <w:t>2 (pre-delay)</w:t>
            </w:r>
          </w:p>
        </w:tc>
        <w:tc>
          <w:tcPr>
            <w:tcW w:w="992" w:type="dxa"/>
            <w:gridSpan w:val="2"/>
            <w:tcBorders>
              <w:top w:val="single" w:sz="4" w:space="0" w:color="auto"/>
              <w:left w:val="nil"/>
              <w:bottom w:val="single" w:sz="4" w:space="0" w:color="auto"/>
              <w:right w:val="single" w:sz="4" w:space="0" w:color="auto"/>
            </w:tcBorders>
            <w:shd w:val="clear" w:color="auto" w:fill="auto"/>
            <w:noWrap/>
            <w:vAlign w:val="center"/>
            <w:hideMark/>
          </w:tcPr>
          <w:p w:rsidR="00573FEC" w:rsidRPr="00814C67" w:rsidRDefault="00F11691" w:rsidP="00114E6B">
            <w:pPr>
              <w:spacing w:line="240" w:lineRule="auto"/>
              <w:jc w:val="center"/>
              <w:rPr>
                <w:rFonts w:eastAsia="Times New Roman" w:cs="Arial"/>
                <w:sz w:val="18"/>
                <w:szCs w:val="18"/>
                <w:lang w:eastAsia="en-GB"/>
              </w:rPr>
            </w:pPr>
            <w:r w:rsidRPr="00814C67">
              <w:rPr>
                <w:rFonts w:eastAsia="Times New Roman" w:cs="Arial"/>
                <w:sz w:val="18"/>
                <w:szCs w:val="18"/>
                <w:lang w:eastAsia="en-GB"/>
              </w:rPr>
              <w:t>8</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573FEC" w:rsidRPr="00814C67" w:rsidRDefault="00F11691" w:rsidP="00114E6B">
            <w:pPr>
              <w:spacing w:line="240" w:lineRule="auto"/>
              <w:jc w:val="center"/>
              <w:rPr>
                <w:rFonts w:eastAsia="Times New Roman" w:cs="Arial"/>
                <w:sz w:val="18"/>
                <w:szCs w:val="18"/>
                <w:lang w:eastAsia="en-GB"/>
              </w:rPr>
            </w:pPr>
            <w:r w:rsidRPr="00814C67">
              <w:rPr>
                <w:rFonts w:eastAsia="Times New Roman" w:cs="Arial"/>
                <w:sz w:val="18"/>
                <w:szCs w:val="18"/>
                <w:lang w:eastAsia="en-GB"/>
              </w:rPr>
              <w:t>20</w:t>
            </w:r>
          </w:p>
        </w:tc>
        <w:tc>
          <w:tcPr>
            <w:tcW w:w="1275" w:type="dxa"/>
            <w:gridSpan w:val="2"/>
            <w:tcBorders>
              <w:top w:val="single" w:sz="4" w:space="0" w:color="auto"/>
              <w:left w:val="nil"/>
              <w:bottom w:val="single" w:sz="4" w:space="0" w:color="auto"/>
              <w:right w:val="single" w:sz="4" w:space="0" w:color="auto"/>
            </w:tcBorders>
            <w:vAlign w:val="center"/>
          </w:tcPr>
          <w:p w:rsidR="00573FEC" w:rsidRPr="00814C67" w:rsidRDefault="00547686" w:rsidP="00114E6B">
            <w:pPr>
              <w:spacing w:line="240" w:lineRule="auto"/>
              <w:jc w:val="center"/>
              <w:rPr>
                <w:rFonts w:eastAsia="Times New Roman" w:cs="Arial"/>
                <w:sz w:val="18"/>
                <w:szCs w:val="18"/>
                <w:lang w:eastAsia="en-GB"/>
              </w:rPr>
            </w:pPr>
            <w:r w:rsidRPr="00814C67">
              <w:rPr>
                <w:rFonts w:eastAsia="Times New Roman" w:cs="Arial"/>
                <w:sz w:val="18"/>
                <w:szCs w:val="18"/>
                <w:lang w:eastAsia="en-GB"/>
              </w:rPr>
              <w:t>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573FEC" w:rsidRPr="00814C67" w:rsidRDefault="00573FEC" w:rsidP="00114E6B">
            <w:pPr>
              <w:spacing w:line="240" w:lineRule="auto"/>
              <w:jc w:val="center"/>
              <w:rPr>
                <w:rFonts w:eastAsia="Times New Roman" w:cs="Arial"/>
                <w:sz w:val="18"/>
                <w:szCs w:val="18"/>
                <w:lang w:eastAsia="en-GB"/>
              </w:rPr>
            </w:pPr>
            <w:r w:rsidRPr="00814C67">
              <w:rPr>
                <w:rFonts w:eastAsia="Times New Roman" w:cs="Arial"/>
                <w:sz w:val="18"/>
                <w:szCs w:val="18"/>
                <w:lang w:eastAsia="en-GB"/>
              </w:rPr>
              <w:t>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FEC" w:rsidRPr="00814C67" w:rsidRDefault="00573FEC" w:rsidP="00114E6B">
            <w:pPr>
              <w:spacing w:line="240" w:lineRule="auto"/>
              <w:jc w:val="center"/>
              <w:rPr>
                <w:rFonts w:eastAsia="Times New Roman" w:cs="Arial"/>
                <w:sz w:val="18"/>
                <w:szCs w:val="18"/>
                <w:lang w:eastAsia="en-GB"/>
              </w:rPr>
            </w:pPr>
            <w:r w:rsidRPr="00814C67">
              <w:rPr>
                <w:rFonts w:eastAsia="Times New Roman" w:cs="Arial"/>
                <w:sz w:val="18"/>
                <w:szCs w:val="18"/>
                <w:lang w:eastAsia="en-GB"/>
              </w:rPr>
              <w:t>10</w:t>
            </w:r>
          </w:p>
        </w:tc>
        <w:tc>
          <w:tcPr>
            <w:tcW w:w="1984" w:type="dxa"/>
            <w:tcBorders>
              <w:top w:val="single" w:sz="4" w:space="0" w:color="auto"/>
              <w:left w:val="nil"/>
              <w:bottom w:val="single" w:sz="4" w:space="0" w:color="auto"/>
              <w:right w:val="single" w:sz="4" w:space="0" w:color="auto"/>
            </w:tcBorders>
            <w:vAlign w:val="center"/>
          </w:tcPr>
          <w:p w:rsidR="00573FEC" w:rsidRPr="00814C67" w:rsidRDefault="00573FEC" w:rsidP="00114E6B">
            <w:pPr>
              <w:spacing w:line="240" w:lineRule="auto"/>
              <w:jc w:val="center"/>
              <w:rPr>
                <w:rFonts w:eastAsia="Times New Roman" w:cs="Arial"/>
                <w:sz w:val="18"/>
                <w:szCs w:val="18"/>
                <w:lang w:eastAsia="en-GB"/>
              </w:rPr>
            </w:pPr>
            <w:r w:rsidRPr="00814C67">
              <w:rPr>
                <w:rFonts w:eastAsia="Times New Roman" w:cs="Arial"/>
                <w:sz w:val="18"/>
                <w:szCs w:val="18"/>
                <w:lang w:eastAsia="en-GB"/>
              </w:rPr>
              <w:t>1-2, 1-3, 1-4, 2-3, 2-4, 2-5, 3-4, 3-5, 4-5</w:t>
            </w:r>
          </w:p>
        </w:tc>
      </w:tr>
      <w:tr w:rsidR="00573FEC" w:rsidRPr="00814C67" w:rsidTr="00114E6B">
        <w:trPr>
          <w:trHeight w:val="300"/>
        </w:trPr>
        <w:tc>
          <w:tcPr>
            <w:tcW w:w="12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FEC" w:rsidRPr="00814C67" w:rsidRDefault="00573FEC" w:rsidP="00114E6B">
            <w:pPr>
              <w:spacing w:line="240" w:lineRule="auto"/>
              <w:jc w:val="center"/>
              <w:rPr>
                <w:rFonts w:eastAsia="Times New Roman" w:cs="Arial"/>
                <w:sz w:val="18"/>
                <w:szCs w:val="18"/>
                <w:lang w:eastAsia="en-GB"/>
              </w:rPr>
            </w:pPr>
          </w:p>
        </w:tc>
        <w:tc>
          <w:tcPr>
            <w:tcW w:w="7796" w:type="dxa"/>
            <w:gridSpan w:val="9"/>
            <w:tcBorders>
              <w:top w:val="single" w:sz="4" w:space="0" w:color="auto"/>
              <w:left w:val="nil"/>
              <w:bottom w:val="single" w:sz="4" w:space="0" w:color="auto"/>
              <w:right w:val="single" w:sz="4" w:space="0" w:color="auto"/>
            </w:tcBorders>
            <w:shd w:val="clear" w:color="auto" w:fill="auto"/>
            <w:noWrap/>
            <w:vAlign w:val="center"/>
            <w:hideMark/>
          </w:tcPr>
          <w:p w:rsidR="00573FEC" w:rsidRPr="00814C67" w:rsidRDefault="00573FEC" w:rsidP="00114E6B">
            <w:pPr>
              <w:spacing w:line="240" w:lineRule="auto"/>
              <w:jc w:val="center"/>
              <w:rPr>
                <w:rFonts w:eastAsia="Times New Roman" w:cs="Arial"/>
                <w:b/>
                <w:sz w:val="18"/>
                <w:szCs w:val="18"/>
                <w:highlight w:val="yellow"/>
                <w:lang w:val="en-GB" w:eastAsia="en-GB"/>
              </w:rPr>
            </w:pPr>
            <w:r w:rsidRPr="00814C67">
              <w:rPr>
                <w:rFonts w:eastAsia="Times New Roman" w:cs="Arial"/>
                <w:b/>
                <w:sz w:val="18"/>
                <w:szCs w:val="18"/>
                <w:lang w:val="en-GB" w:eastAsia="en-GB"/>
              </w:rPr>
              <w:t>Parameters of challenge stages</w:t>
            </w:r>
          </w:p>
        </w:tc>
      </w:tr>
      <w:tr w:rsidR="00573FEC" w:rsidRPr="00814C67" w:rsidTr="00114E6B">
        <w:trPr>
          <w:trHeight w:val="300"/>
        </w:trPr>
        <w:tc>
          <w:tcPr>
            <w:tcW w:w="12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FEC" w:rsidRPr="00814C67" w:rsidRDefault="00573FEC" w:rsidP="00114E6B">
            <w:pPr>
              <w:spacing w:line="240" w:lineRule="auto"/>
              <w:jc w:val="center"/>
              <w:rPr>
                <w:rFonts w:eastAsia="Times New Roman" w:cs="Arial"/>
                <w:sz w:val="18"/>
                <w:szCs w:val="18"/>
                <w:lang w:eastAsia="en-GB"/>
              </w:rPr>
            </w:pPr>
            <w:r w:rsidRPr="00814C67">
              <w:rPr>
                <w:rFonts w:eastAsia="Times New Roman" w:cs="Arial"/>
                <w:sz w:val="18"/>
                <w:szCs w:val="18"/>
                <w:lang w:eastAsia="en-GB"/>
              </w:rPr>
              <w:t>Pre-Delay 5s</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573FEC" w:rsidRPr="00814C67" w:rsidRDefault="00F11691" w:rsidP="00114E6B">
            <w:pPr>
              <w:spacing w:line="240" w:lineRule="auto"/>
              <w:jc w:val="center"/>
              <w:rPr>
                <w:rFonts w:eastAsia="Times New Roman" w:cs="Arial"/>
                <w:sz w:val="18"/>
                <w:szCs w:val="18"/>
                <w:lang w:eastAsia="en-GB"/>
              </w:rPr>
            </w:pPr>
            <w:r w:rsidRPr="00814C67">
              <w:rPr>
                <w:rFonts w:eastAsia="Times New Roman" w:cs="Arial"/>
                <w:sz w:val="18"/>
                <w:szCs w:val="18"/>
                <w:lang w:eastAsia="en-GB"/>
              </w:rPr>
              <w:t>8</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hideMark/>
          </w:tcPr>
          <w:p w:rsidR="00573FEC" w:rsidRPr="00814C67" w:rsidRDefault="00F11691" w:rsidP="00114E6B">
            <w:pPr>
              <w:spacing w:line="240" w:lineRule="auto"/>
              <w:jc w:val="center"/>
              <w:rPr>
                <w:rFonts w:eastAsia="Times New Roman" w:cs="Arial"/>
                <w:sz w:val="18"/>
                <w:szCs w:val="18"/>
                <w:lang w:eastAsia="en-GB"/>
              </w:rPr>
            </w:pPr>
            <w:r w:rsidRPr="00814C67">
              <w:rPr>
                <w:rFonts w:eastAsia="Times New Roman" w:cs="Arial"/>
                <w:sz w:val="18"/>
                <w:szCs w:val="18"/>
                <w:lang w:eastAsia="en-GB"/>
              </w:rPr>
              <w:t>20</w:t>
            </w:r>
          </w:p>
        </w:tc>
        <w:tc>
          <w:tcPr>
            <w:tcW w:w="1134" w:type="dxa"/>
            <w:tcBorders>
              <w:top w:val="single" w:sz="4" w:space="0" w:color="auto"/>
              <w:left w:val="nil"/>
              <w:bottom w:val="single" w:sz="4" w:space="0" w:color="auto"/>
              <w:right w:val="single" w:sz="4" w:space="0" w:color="auto"/>
            </w:tcBorders>
            <w:vAlign w:val="center"/>
          </w:tcPr>
          <w:p w:rsidR="00573FEC" w:rsidRPr="00814C67" w:rsidRDefault="00547686" w:rsidP="00114E6B">
            <w:pPr>
              <w:spacing w:line="240" w:lineRule="auto"/>
              <w:jc w:val="center"/>
              <w:rPr>
                <w:rFonts w:eastAsia="Times New Roman" w:cs="Arial"/>
                <w:sz w:val="18"/>
                <w:szCs w:val="18"/>
                <w:lang w:eastAsia="en-GB"/>
              </w:rPr>
            </w:pPr>
            <w:r w:rsidRPr="00814C67">
              <w:rPr>
                <w:rFonts w:eastAsia="Times New Roman" w:cs="Arial"/>
                <w:sz w:val="18"/>
                <w:szCs w:val="18"/>
                <w:lang w:eastAsia="en-GB"/>
              </w:rPr>
              <w:t>5</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573FEC" w:rsidRPr="00814C67" w:rsidRDefault="00573FEC" w:rsidP="00114E6B">
            <w:pPr>
              <w:spacing w:line="240" w:lineRule="auto"/>
              <w:jc w:val="center"/>
              <w:rPr>
                <w:rFonts w:eastAsia="Times New Roman" w:cs="Arial"/>
                <w:sz w:val="18"/>
                <w:szCs w:val="18"/>
                <w:lang w:eastAsia="en-GB"/>
              </w:rPr>
            </w:pPr>
            <w:r w:rsidRPr="00814C67">
              <w:rPr>
                <w:rFonts w:eastAsia="Times New Roman" w:cs="Arial"/>
                <w:sz w:val="18"/>
                <w:szCs w:val="18"/>
                <w:lang w:eastAsia="en-GB"/>
              </w:rPr>
              <w:t>2</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FEC" w:rsidRPr="00814C67" w:rsidRDefault="00573FEC" w:rsidP="00114E6B">
            <w:pPr>
              <w:spacing w:line="240" w:lineRule="auto"/>
              <w:jc w:val="center"/>
              <w:rPr>
                <w:rFonts w:eastAsia="Times New Roman" w:cs="Arial"/>
                <w:sz w:val="18"/>
                <w:szCs w:val="18"/>
                <w:lang w:eastAsia="en-GB"/>
              </w:rPr>
            </w:pPr>
            <w:r w:rsidRPr="00814C67">
              <w:rPr>
                <w:rFonts w:eastAsia="Times New Roman" w:cs="Arial"/>
                <w:sz w:val="18"/>
                <w:szCs w:val="18"/>
                <w:lang w:eastAsia="en-GB"/>
              </w:rPr>
              <w:t>10</w:t>
            </w:r>
          </w:p>
        </w:tc>
        <w:tc>
          <w:tcPr>
            <w:tcW w:w="1984" w:type="dxa"/>
            <w:tcBorders>
              <w:top w:val="single" w:sz="4" w:space="0" w:color="auto"/>
              <w:left w:val="nil"/>
              <w:bottom w:val="single" w:sz="4" w:space="0" w:color="auto"/>
              <w:right w:val="single" w:sz="4" w:space="0" w:color="auto"/>
            </w:tcBorders>
            <w:vAlign w:val="center"/>
          </w:tcPr>
          <w:p w:rsidR="00573FEC" w:rsidRPr="00814C67" w:rsidRDefault="00573FEC" w:rsidP="00114E6B">
            <w:pPr>
              <w:spacing w:line="240" w:lineRule="auto"/>
              <w:jc w:val="center"/>
              <w:rPr>
                <w:rFonts w:eastAsia="Times New Roman" w:cs="Arial"/>
                <w:sz w:val="18"/>
                <w:szCs w:val="18"/>
                <w:lang w:eastAsia="en-GB"/>
              </w:rPr>
            </w:pPr>
            <w:r w:rsidRPr="00814C67">
              <w:rPr>
                <w:rFonts w:eastAsia="Times New Roman" w:cs="Arial"/>
                <w:sz w:val="18"/>
                <w:szCs w:val="18"/>
                <w:lang w:eastAsia="en-GB"/>
              </w:rPr>
              <w:t>As baseline</w:t>
            </w:r>
          </w:p>
        </w:tc>
      </w:tr>
      <w:tr w:rsidR="00573FEC" w:rsidRPr="00814C67" w:rsidTr="00114E6B">
        <w:trPr>
          <w:trHeight w:val="300"/>
        </w:trPr>
        <w:tc>
          <w:tcPr>
            <w:tcW w:w="12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FEC" w:rsidRPr="00814C67" w:rsidRDefault="00573FEC" w:rsidP="00114E6B">
            <w:pPr>
              <w:spacing w:line="240" w:lineRule="auto"/>
              <w:jc w:val="center"/>
              <w:rPr>
                <w:rFonts w:eastAsia="Times New Roman" w:cs="Arial"/>
                <w:sz w:val="18"/>
                <w:szCs w:val="18"/>
                <w:lang w:eastAsia="en-GB"/>
              </w:rPr>
            </w:pPr>
            <w:r w:rsidRPr="00814C67">
              <w:rPr>
                <w:rFonts w:eastAsia="Times New Roman" w:cs="Arial"/>
                <w:sz w:val="18"/>
                <w:szCs w:val="18"/>
                <w:lang w:eastAsia="en-GB"/>
              </w:rPr>
              <w:t>Pre-Delay 10s</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573FEC" w:rsidRPr="00814C67" w:rsidRDefault="00F11691" w:rsidP="00114E6B">
            <w:pPr>
              <w:spacing w:line="240" w:lineRule="auto"/>
              <w:jc w:val="center"/>
              <w:rPr>
                <w:rFonts w:eastAsia="Times New Roman" w:cs="Arial"/>
                <w:sz w:val="18"/>
                <w:szCs w:val="18"/>
                <w:lang w:eastAsia="en-GB"/>
              </w:rPr>
            </w:pPr>
            <w:r w:rsidRPr="00814C67">
              <w:rPr>
                <w:rFonts w:eastAsia="Times New Roman" w:cs="Arial"/>
                <w:sz w:val="18"/>
                <w:szCs w:val="18"/>
                <w:lang w:eastAsia="en-GB"/>
              </w:rPr>
              <w:t>8</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hideMark/>
          </w:tcPr>
          <w:p w:rsidR="00573FEC" w:rsidRPr="00814C67" w:rsidRDefault="00F11691" w:rsidP="00114E6B">
            <w:pPr>
              <w:spacing w:line="240" w:lineRule="auto"/>
              <w:jc w:val="center"/>
              <w:rPr>
                <w:rFonts w:eastAsia="Times New Roman" w:cs="Arial"/>
                <w:sz w:val="18"/>
                <w:szCs w:val="18"/>
                <w:lang w:eastAsia="en-GB"/>
              </w:rPr>
            </w:pPr>
            <w:r w:rsidRPr="00814C67">
              <w:rPr>
                <w:rFonts w:eastAsia="Times New Roman" w:cs="Arial"/>
                <w:sz w:val="18"/>
                <w:szCs w:val="18"/>
                <w:lang w:eastAsia="en-GB"/>
              </w:rPr>
              <w:t>20</w:t>
            </w:r>
          </w:p>
        </w:tc>
        <w:tc>
          <w:tcPr>
            <w:tcW w:w="1134" w:type="dxa"/>
            <w:tcBorders>
              <w:top w:val="single" w:sz="4" w:space="0" w:color="auto"/>
              <w:left w:val="nil"/>
              <w:bottom w:val="single" w:sz="4" w:space="0" w:color="auto"/>
              <w:right w:val="single" w:sz="4" w:space="0" w:color="auto"/>
            </w:tcBorders>
            <w:vAlign w:val="center"/>
          </w:tcPr>
          <w:p w:rsidR="00573FEC" w:rsidRPr="00814C67" w:rsidRDefault="00547686" w:rsidP="00114E6B">
            <w:pPr>
              <w:spacing w:line="240" w:lineRule="auto"/>
              <w:jc w:val="center"/>
              <w:rPr>
                <w:rFonts w:eastAsia="Times New Roman" w:cs="Arial"/>
                <w:sz w:val="18"/>
                <w:szCs w:val="18"/>
                <w:lang w:eastAsia="en-GB"/>
              </w:rPr>
            </w:pPr>
            <w:r w:rsidRPr="00814C67">
              <w:rPr>
                <w:rFonts w:eastAsia="Times New Roman" w:cs="Arial"/>
                <w:sz w:val="18"/>
                <w:szCs w:val="18"/>
                <w:lang w:eastAsia="en-GB"/>
              </w:rPr>
              <w:t>10</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573FEC" w:rsidRPr="00814C67" w:rsidRDefault="00573FEC" w:rsidP="00114E6B">
            <w:pPr>
              <w:spacing w:line="240" w:lineRule="auto"/>
              <w:jc w:val="center"/>
              <w:rPr>
                <w:rFonts w:eastAsia="Times New Roman" w:cs="Arial"/>
                <w:sz w:val="18"/>
                <w:szCs w:val="18"/>
                <w:lang w:eastAsia="en-GB"/>
              </w:rPr>
            </w:pPr>
            <w:r w:rsidRPr="00814C67">
              <w:rPr>
                <w:rFonts w:eastAsia="Times New Roman" w:cs="Arial"/>
                <w:sz w:val="18"/>
                <w:szCs w:val="18"/>
                <w:lang w:eastAsia="en-GB"/>
              </w:rPr>
              <w:t>2</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FEC" w:rsidRPr="00814C67" w:rsidRDefault="00573FEC" w:rsidP="00114E6B">
            <w:pPr>
              <w:spacing w:line="240" w:lineRule="auto"/>
              <w:jc w:val="center"/>
              <w:rPr>
                <w:rFonts w:eastAsia="Times New Roman" w:cs="Arial"/>
                <w:sz w:val="18"/>
                <w:szCs w:val="18"/>
                <w:lang w:eastAsia="en-GB"/>
              </w:rPr>
            </w:pPr>
            <w:r w:rsidRPr="00814C67">
              <w:rPr>
                <w:rFonts w:eastAsia="Times New Roman" w:cs="Arial"/>
                <w:sz w:val="18"/>
                <w:szCs w:val="18"/>
                <w:lang w:eastAsia="en-GB"/>
              </w:rPr>
              <w:t>10</w:t>
            </w:r>
          </w:p>
        </w:tc>
        <w:tc>
          <w:tcPr>
            <w:tcW w:w="1984" w:type="dxa"/>
            <w:tcBorders>
              <w:top w:val="single" w:sz="4" w:space="0" w:color="auto"/>
              <w:left w:val="nil"/>
              <w:bottom w:val="single" w:sz="4" w:space="0" w:color="auto"/>
              <w:right w:val="single" w:sz="4" w:space="0" w:color="auto"/>
            </w:tcBorders>
            <w:vAlign w:val="center"/>
          </w:tcPr>
          <w:p w:rsidR="00573FEC" w:rsidRPr="00814C67" w:rsidRDefault="00573FEC" w:rsidP="00114E6B">
            <w:pPr>
              <w:spacing w:line="240" w:lineRule="auto"/>
              <w:jc w:val="center"/>
              <w:rPr>
                <w:rFonts w:eastAsia="Times New Roman" w:cs="Arial"/>
                <w:sz w:val="18"/>
                <w:szCs w:val="18"/>
                <w:lang w:eastAsia="en-GB"/>
              </w:rPr>
            </w:pPr>
            <w:r w:rsidRPr="00814C67">
              <w:rPr>
                <w:rFonts w:eastAsia="Times New Roman" w:cs="Arial"/>
                <w:sz w:val="18"/>
                <w:szCs w:val="18"/>
                <w:lang w:eastAsia="en-GB"/>
              </w:rPr>
              <w:t>As baseline</w:t>
            </w:r>
          </w:p>
        </w:tc>
      </w:tr>
      <w:tr w:rsidR="00573FEC" w:rsidRPr="00814C67" w:rsidTr="00114E6B">
        <w:trPr>
          <w:trHeight w:val="300"/>
        </w:trPr>
        <w:tc>
          <w:tcPr>
            <w:tcW w:w="12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FEC" w:rsidRPr="00814C67" w:rsidRDefault="00573FEC" w:rsidP="00114E6B">
            <w:pPr>
              <w:spacing w:line="240" w:lineRule="auto"/>
              <w:jc w:val="center"/>
              <w:rPr>
                <w:rFonts w:eastAsia="Times New Roman" w:cs="Arial"/>
                <w:sz w:val="18"/>
                <w:szCs w:val="18"/>
                <w:lang w:eastAsia="en-GB"/>
              </w:rPr>
            </w:pPr>
            <w:r w:rsidRPr="00814C67">
              <w:rPr>
                <w:rFonts w:eastAsia="Times New Roman" w:cs="Arial"/>
                <w:sz w:val="18"/>
                <w:szCs w:val="18"/>
                <w:lang w:eastAsia="en-GB"/>
              </w:rPr>
              <w:t>Distraction</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573FEC" w:rsidRPr="00814C67" w:rsidRDefault="00F11691" w:rsidP="00114E6B">
            <w:pPr>
              <w:spacing w:line="240" w:lineRule="auto"/>
              <w:jc w:val="center"/>
              <w:rPr>
                <w:rFonts w:eastAsia="Times New Roman" w:cs="Arial"/>
                <w:sz w:val="18"/>
                <w:szCs w:val="18"/>
                <w:lang w:eastAsia="en-GB"/>
              </w:rPr>
            </w:pPr>
            <w:r w:rsidRPr="00814C67">
              <w:rPr>
                <w:rFonts w:eastAsia="Times New Roman" w:cs="Arial"/>
                <w:sz w:val="18"/>
                <w:szCs w:val="18"/>
                <w:lang w:eastAsia="en-GB"/>
              </w:rPr>
              <w:t>8</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hideMark/>
          </w:tcPr>
          <w:p w:rsidR="00573FEC" w:rsidRPr="00814C67" w:rsidRDefault="00F11691" w:rsidP="00114E6B">
            <w:pPr>
              <w:spacing w:line="240" w:lineRule="auto"/>
              <w:jc w:val="center"/>
              <w:rPr>
                <w:rFonts w:eastAsia="Times New Roman" w:cs="Arial"/>
                <w:sz w:val="18"/>
                <w:szCs w:val="18"/>
                <w:lang w:eastAsia="en-GB"/>
              </w:rPr>
            </w:pPr>
            <w:r w:rsidRPr="00814C67">
              <w:rPr>
                <w:rFonts w:eastAsia="Times New Roman" w:cs="Arial"/>
                <w:sz w:val="18"/>
                <w:szCs w:val="18"/>
                <w:lang w:eastAsia="en-GB"/>
              </w:rPr>
              <w:t>20</w:t>
            </w:r>
          </w:p>
        </w:tc>
        <w:tc>
          <w:tcPr>
            <w:tcW w:w="1134" w:type="dxa"/>
            <w:tcBorders>
              <w:top w:val="single" w:sz="4" w:space="0" w:color="auto"/>
              <w:left w:val="nil"/>
              <w:bottom w:val="single" w:sz="4" w:space="0" w:color="auto"/>
              <w:right w:val="single" w:sz="4" w:space="0" w:color="auto"/>
            </w:tcBorders>
            <w:vAlign w:val="center"/>
          </w:tcPr>
          <w:p w:rsidR="00573FEC" w:rsidRPr="00814C67" w:rsidRDefault="00573FEC" w:rsidP="00114E6B">
            <w:pPr>
              <w:spacing w:line="240" w:lineRule="auto"/>
              <w:jc w:val="center"/>
              <w:rPr>
                <w:rFonts w:eastAsia="Times New Roman" w:cs="Arial"/>
                <w:sz w:val="18"/>
                <w:szCs w:val="18"/>
                <w:lang w:eastAsia="en-GB"/>
              </w:rPr>
            </w:pPr>
            <w:r w:rsidRPr="00814C67">
              <w:rPr>
                <w:rFonts w:eastAsia="Times New Roman" w:cs="Arial"/>
                <w:sz w:val="18"/>
                <w:szCs w:val="18"/>
                <w:lang w:eastAsia="en-GB"/>
              </w:rPr>
              <w:t>0</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573FEC" w:rsidRPr="00814C67" w:rsidRDefault="004C56BD" w:rsidP="00114E6B">
            <w:pPr>
              <w:spacing w:line="240" w:lineRule="auto"/>
              <w:jc w:val="center"/>
              <w:rPr>
                <w:rFonts w:eastAsia="Times New Roman" w:cs="Arial"/>
                <w:sz w:val="18"/>
                <w:szCs w:val="18"/>
                <w:lang w:eastAsia="en-GB"/>
              </w:rPr>
            </w:pPr>
            <w:r w:rsidRPr="00814C67">
              <w:rPr>
                <w:rFonts w:eastAsia="Times New Roman" w:cs="Arial"/>
                <w:sz w:val="18"/>
                <w:szCs w:val="18"/>
                <w:lang w:eastAsia="en-GB"/>
              </w:rPr>
              <w:t>5</w:t>
            </w:r>
            <w:r w:rsidR="00573FEC" w:rsidRPr="00814C67">
              <w:rPr>
                <w:rFonts w:eastAsia="Times New Roman" w:cs="Arial"/>
                <w:sz w:val="18"/>
                <w:szCs w:val="18"/>
                <w:lang w:eastAsia="en-GB"/>
              </w:rPr>
              <w:t xml:space="preserve"> (Distract.)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FEC" w:rsidRPr="00814C67" w:rsidRDefault="00573FEC" w:rsidP="00114E6B">
            <w:pPr>
              <w:spacing w:line="240" w:lineRule="auto"/>
              <w:jc w:val="center"/>
              <w:rPr>
                <w:rFonts w:eastAsia="Times New Roman" w:cs="Arial"/>
                <w:sz w:val="18"/>
                <w:szCs w:val="18"/>
                <w:lang w:eastAsia="en-GB"/>
              </w:rPr>
            </w:pPr>
            <w:r w:rsidRPr="00814C67">
              <w:rPr>
                <w:rFonts w:eastAsia="Times New Roman" w:cs="Arial"/>
                <w:sz w:val="18"/>
                <w:szCs w:val="18"/>
                <w:lang w:eastAsia="en-GB"/>
              </w:rPr>
              <w:t>0</w:t>
            </w:r>
          </w:p>
        </w:tc>
        <w:tc>
          <w:tcPr>
            <w:tcW w:w="1984" w:type="dxa"/>
            <w:tcBorders>
              <w:top w:val="single" w:sz="4" w:space="0" w:color="auto"/>
              <w:left w:val="nil"/>
              <w:bottom w:val="single" w:sz="4" w:space="0" w:color="auto"/>
              <w:right w:val="single" w:sz="4" w:space="0" w:color="auto"/>
            </w:tcBorders>
            <w:vAlign w:val="center"/>
          </w:tcPr>
          <w:p w:rsidR="00573FEC" w:rsidRPr="00814C67" w:rsidRDefault="00573FEC" w:rsidP="00114E6B">
            <w:pPr>
              <w:spacing w:line="240" w:lineRule="auto"/>
              <w:jc w:val="center"/>
              <w:rPr>
                <w:rFonts w:eastAsia="Times New Roman" w:cs="Arial"/>
                <w:sz w:val="18"/>
                <w:szCs w:val="18"/>
                <w:lang w:eastAsia="en-GB"/>
              </w:rPr>
            </w:pPr>
            <w:r w:rsidRPr="00814C67">
              <w:rPr>
                <w:rFonts w:eastAsia="Times New Roman" w:cs="Arial"/>
                <w:sz w:val="18"/>
                <w:szCs w:val="18"/>
                <w:lang w:eastAsia="en-GB"/>
              </w:rPr>
              <w:t>As baseline</w:t>
            </w:r>
          </w:p>
        </w:tc>
      </w:tr>
      <w:tr w:rsidR="00573FEC" w:rsidRPr="00814C67" w:rsidTr="00114E6B">
        <w:trPr>
          <w:trHeight w:val="300"/>
        </w:trPr>
        <w:tc>
          <w:tcPr>
            <w:tcW w:w="12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FEC" w:rsidRPr="00814C67" w:rsidRDefault="00573FEC" w:rsidP="00114E6B">
            <w:pPr>
              <w:spacing w:line="240" w:lineRule="auto"/>
              <w:jc w:val="center"/>
              <w:rPr>
                <w:rFonts w:eastAsia="Times New Roman" w:cs="Arial"/>
                <w:sz w:val="18"/>
                <w:szCs w:val="18"/>
                <w:lang w:eastAsia="en-GB"/>
              </w:rPr>
            </w:pPr>
            <w:r w:rsidRPr="00814C67">
              <w:rPr>
                <w:rFonts w:eastAsia="Times New Roman" w:cs="Arial"/>
                <w:sz w:val="18"/>
                <w:szCs w:val="18"/>
                <w:lang w:eastAsia="en-GB"/>
              </w:rPr>
              <w:t>Post-Delay 10s</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573FEC" w:rsidRPr="00814C67" w:rsidRDefault="00F11691" w:rsidP="00114E6B">
            <w:pPr>
              <w:spacing w:line="240" w:lineRule="auto"/>
              <w:jc w:val="center"/>
              <w:rPr>
                <w:rFonts w:eastAsia="Times New Roman" w:cs="Arial"/>
                <w:sz w:val="18"/>
                <w:szCs w:val="18"/>
                <w:lang w:eastAsia="en-GB"/>
              </w:rPr>
            </w:pPr>
            <w:r w:rsidRPr="00814C67">
              <w:rPr>
                <w:rFonts w:eastAsia="Times New Roman" w:cs="Arial"/>
                <w:sz w:val="18"/>
                <w:szCs w:val="18"/>
                <w:lang w:eastAsia="en-GB"/>
              </w:rPr>
              <w:t>8</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hideMark/>
          </w:tcPr>
          <w:p w:rsidR="00573FEC" w:rsidRPr="00814C67" w:rsidRDefault="00F11691" w:rsidP="00114E6B">
            <w:pPr>
              <w:spacing w:line="240" w:lineRule="auto"/>
              <w:jc w:val="center"/>
              <w:rPr>
                <w:rFonts w:eastAsia="Times New Roman" w:cs="Arial"/>
                <w:sz w:val="18"/>
                <w:szCs w:val="18"/>
                <w:lang w:eastAsia="en-GB"/>
              </w:rPr>
            </w:pPr>
            <w:r w:rsidRPr="00814C67">
              <w:rPr>
                <w:rFonts w:eastAsia="Times New Roman" w:cs="Arial"/>
                <w:sz w:val="18"/>
                <w:szCs w:val="18"/>
                <w:lang w:eastAsia="en-GB"/>
              </w:rPr>
              <w:t>20</w:t>
            </w:r>
          </w:p>
        </w:tc>
        <w:tc>
          <w:tcPr>
            <w:tcW w:w="1134" w:type="dxa"/>
            <w:tcBorders>
              <w:top w:val="single" w:sz="4" w:space="0" w:color="auto"/>
              <w:left w:val="nil"/>
              <w:bottom w:val="single" w:sz="4" w:space="0" w:color="auto"/>
              <w:right w:val="single" w:sz="4" w:space="0" w:color="auto"/>
            </w:tcBorders>
            <w:vAlign w:val="center"/>
          </w:tcPr>
          <w:p w:rsidR="00573FEC" w:rsidRPr="00814C67" w:rsidRDefault="00573FEC" w:rsidP="00114E6B">
            <w:pPr>
              <w:spacing w:line="240" w:lineRule="auto"/>
              <w:jc w:val="center"/>
              <w:rPr>
                <w:rFonts w:eastAsia="Times New Roman" w:cs="Arial"/>
                <w:sz w:val="18"/>
                <w:szCs w:val="18"/>
                <w:lang w:eastAsia="en-GB"/>
              </w:rPr>
            </w:pPr>
            <w:r w:rsidRPr="00814C67">
              <w:rPr>
                <w:rFonts w:eastAsia="Times New Roman" w:cs="Arial"/>
                <w:sz w:val="18"/>
                <w:szCs w:val="18"/>
                <w:lang w:eastAsia="en-GB"/>
              </w:rPr>
              <w:t>0</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573FEC" w:rsidRPr="00814C67" w:rsidRDefault="00573FEC" w:rsidP="00573FEC">
            <w:pPr>
              <w:spacing w:line="240" w:lineRule="auto"/>
              <w:jc w:val="center"/>
              <w:rPr>
                <w:rFonts w:eastAsia="Times New Roman" w:cs="Arial"/>
                <w:sz w:val="18"/>
                <w:szCs w:val="18"/>
                <w:lang w:eastAsia="en-GB"/>
              </w:rPr>
            </w:pPr>
            <w:r w:rsidRPr="00814C67">
              <w:rPr>
                <w:rFonts w:eastAsia="Times New Roman" w:cs="Arial"/>
                <w:sz w:val="18"/>
                <w:szCs w:val="18"/>
                <w:lang w:eastAsia="en-GB"/>
              </w:rPr>
              <w:t>12</w:t>
            </w:r>
            <w:r w:rsidR="004C56BD" w:rsidRPr="00814C67">
              <w:rPr>
                <w:rFonts w:eastAsia="Times New Roman" w:cs="Arial"/>
                <w:sz w:val="18"/>
                <w:szCs w:val="18"/>
                <w:lang w:eastAsia="en-GB"/>
              </w:rPr>
              <w:t xml:space="preserve"> (2+10)</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FEC" w:rsidRPr="00814C67" w:rsidRDefault="00573FEC" w:rsidP="00114E6B">
            <w:pPr>
              <w:spacing w:line="240" w:lineRule="auto"/>
              <w:jc w:val="center"/>
              <w:rPr>
                <w:rFonts w:eastAsia="Times New Roman" w:cs="Arial"/>
                <w:sz w:val="18"/>
                <w:szCs w:val="18"/>
                <w:lang w:eastAsia="en-GB"/>
              </w:rPr>
            </w:pPr>
            <w:r w:rsidRPr="00814C67">
              <w:rPr>
                <w:rFonts w:eastAsia="Times New Roman" w:cs="Arial"/>
                <w:sz w:val="18"/>
                <w:szCs w:val="18"/>
                <w:lang w:eastAsia="en-GB"/>
              </w:rPr>
              <w:t>0</w:t>
            </w:r>
          </w:p>
        </w:tc>
        <w:tc>
          <w:tcPr>
            <w:tcW w:w="1984" w:type="dxa"/>
            <w:tcBorders>
              <w:top w:val="single" w:sz="4" w:space="0" w:color="auto"/>
              <w:left w:val="nil"/>
              <w:bottom w:val="single" w:sz="4" w:space="0" w:color="auto"/>
              <w:right w:val="single" w:sz="4" w:space="0" w:color="auto"/>
            </w:tcBorders>
            <w:vAlign w:val="center"/>
          </w:tcPr>
          <w:p w:rsidR="00573FEC" w:rsidRPr="00814C67" w:rsidRDefault="00573FEC" w:rsidP="00114E6B">
            <w:pPr>
              <w:spacing w:line="240" w:lineRule="auto"/>
              <w:jc w:val="center"/>
              <w:rPr>
                <w:rFonts w:eastAsia="Times New Roman" w:cs="Arial"/>
                <w:sz w:val="18"/>
                <w:szCs w:val="18"/>
                <w:lang w:eastAsia="en-GB"/>
              </w:rPr>
            </w:pPr>
            <w:r w:rsidRPr="00814C67">
              <w:rPr>
                <w:rFonts w:eastAsia="Times New Roman" w:cs="Arial"/>
                <w:sz w:val="18"/>
                <w:szCs w:val="18"/>
                <w:lang w:eastAsia="en-GB"/>
              </w:rPr>
              <w:t>As baseline</w:t>
            </w:r>
          </w:p>
        </w:tc>
      </w:tr>
      <w:tr w:rsidR="00573FEC" w:rsidRPr="00814C67" w:rsidTr="00114E6B">
        <w:trPr>
          <w:trHeight w:val="300"/>
        </w:trPr>
        <w:tc>
          <w:tcPr>
            <w:tcW w:w="12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FEC" w:rsidRPr="00814C67" w:rsidRDefault="004C56BD" w:rsidP="00114E6B">
            <w:pPr>
              <w:spacing w:line="240" w:lineRule="auto"/>
              <w:jc w:val="center"/>
              <w:rPr>
                <w:rFonts w:eastAsia="Times New Roman" w:cs="Arial"/>
                <w:sz w:val="18"/>
                <w:szCs w:val="18"/>
                <w:lang w:eastAsia="en-GB"/>
              </w:rPr>
            </w:pPr>
            <w:r w:rsidRPr="00814C67">
              <w:rPr>
                <w:rFonts w:eastAsia="Times New Roman" w:cs="Arial"/>
                <w:sz w:val="18"/>
                <w:szCs w:val="18"/>
                <w:lang w:eastAsia="en-GB"/>
              </w:rPr>
              <w:t>Post-Delay 2</w:t>
            </w:r>
            <w:r w:rsidR="00573FEC" w:rsidRPr="00814C67">
              <w:rPr>
                <w:rFonts w:eastAsia="Times New Roman" w:cs="Arial"/>
                <w:sz w:val="18"/>
                <w:szCs w:val="18"/>
                <w:lang w:eastAsia="en-GB"/>
              </w:rPr>
              <w:t>0s</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573FEC" w:rsidRPr="00814C67" w:rsidRDefault="00F11691" w:rsidP="00114E6B">
            <w:pPr>
              <w:spacing w:line="240" w:lineRule="auto"/>
              <w:jc w:val="center"/>
              <w:rPr>
                <w:rFonts w:eastAsia="Times New Roman" w:cs="Arial"/>
                <w:sz w:val="18"/>
                <w:szCs w:val="18"/>
                <w:lang w:eastAsia="en-GB"/>
              </w:rPr>
            </w:pPr>
            <w:r w:rsidRPr="00814C67">
              <w:rPr>
                <w:rFonts w:eastAsia="Times New Roman" w:cs="Arial"/>
                <w:sz w:val="18"/>
                <w:szCs w:val="18"/>
                <w:lang w:eastAsia="en-GB"/>
              </w:rPr>
              <w:t>8</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hideMark/>
          </w:tcPr>
          <w:p w:rsidR="00573FEC" w:rsidRPr="00814C67" w:rsidRDefault="00F11691" w:rsidP="00114E6B">
            <w:pPr>
              <w:spacing w:line="240" w:lineRule="auto"/>
              <w:jc w:val="center"/>
              <w:rPr>
                <w:rFonts w:eastAsia="Times New Roman" w:cs="Arial"/>
                <w:sz w:val="18"/>
                <w:szCs w:val="18"/>
                <w:lang w:eastAsia="en-GB"/>
              </w:rPr>
            </w:pPr>
            <w:r w:rsidRPr="00814C67">
              <w:rPr>
                <w:rFonts w:eastAsia="Times New Roman" w:cs="Arial"/>
                <w:sz w:val="18"/>
                <w:szCs w:val="18"/>
                <w:lang w:eastAsia="en-GB"/>
              </w:rPr>
              <w:t>20</w:t>
            </w:r>
          </w:p>
        </w:tc>
        <w:tc>
          <w:tcPr>
            <w:tcW w:w="1134" w:type="dxa"/>
            <w:tcBorders>
              <w:top w:val="single" w:sz="4" w:space="0" w:color="auto"/>
              <w:left w:val="nil"/>
              <w:bottom w:val="single" w:sz="4" w:space="0" w:color="auto"/>
              <w:right w:val="single" w:sz="4" w:space="0" w:color="auto"/>
            </w:tcBorders>
            <w:vAlign w:val="center"/>
          </w:tcPr>
          <w:p w:rsidR="00573FEC" w:rsidRPr="00814C67" w:rsidRDefault="00573FEC" w:rsidP="00114E6B">
            <w:pPr>
              <w:spacing w:line="240" w:lineRule="auto"/>
              <w:jc w:val="center"/>
              <w:rPr>
                <w:rFonts w:eastAsia="Times New Roman" w:cs="Arial"/>
                <w:sz w:val="18"/>
                <w:szCs w:val="18"/>
                <w:lang w:eastAsia="en-GB"/>
              </w:rPr>
            </w:pPr>
            <w:r w:rsidRPr="00814C67">
              <w:rPr>
                <w:rFonts w:eastAsia="Times New Roman" w:cs="Arial"/>
                <w:sz w:val="18"/>
                <w:szCs w:val="18"/>
                <w:lang w:eastAsia="en-GB"/>
              </w:rPr>
              <w:t>0</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573FEC" w:rsidRPr="00814C67" w:rsidRDefault="00573FEC" w:rsidP="00573FEC">
            <w:pPr>
              <w:spacing w:line="240" w:lineRule="auto"/>
              <w:jc w:val="center"/>
              <w:rPr>
                <w:rFonts w:eastAsia="Times New Roman" w:cs="Arial"/>
                <w:sz w:val="18"/>
                <w:szCs w:val="18"/>
                <w:lang w:eastAsia="en-GB"/>
              </w:rPr>
            </w:pPr>
            <w:r w:rsidRPr="00814C67">
              <w:rPr>
                <w:rFonts w:eastAsia="Times New Roman" w:cs="Arial"/>
                <w:sz w:val="18"/>
                <w:szCs w:val="18"/>
                <w:lang w:eastAsia="en-GB"/>
              </w:rPr>
              <w:t>22</w:t>
            </w:r>
            <w:r w:rsidR="004C56BD" w:rsidRPr="00814C67">
              <w:rPr>
                <w:rFonts w:eastAsia="Times New Roman" w:cs="Arial"/>
                <w:sz w:val="18"/>
                <w:szCs w:val="18"/>
                <w:lang w:eastAsia="en-GB"/>
              </w:rPr>
              <w:t xml:space="preserve"> (2+20)</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3FEC" w:rsidRPr="00814C67" w:rsidRDefault="00573FEC" w:rsidP="00114E6B">
            <w:pPr>
              <w:spacing w:line="240" w:lineRule="auto"/>
              <w:jc w:val="center"/>
              <w:rPr>
                <w:rFonts w:eastAsia="Times New Roman" w:cs="Arial"/>
                <w:sz w:val="18"/>
                <w:szCs w:val="18"/>
                <w:lang w:eastAsia="en-GB"/>
              </w:rPr>
            </w:pPr>
            <w:r w:rsidRPr="00814C67">
              <w:rPr>
                <w:rFonts w:eastAsia="Times New Roman" w:cs="Arial"/>
                <w:sz w:val="18"/>
                <w:szCs w:val="18"/>
                <w:lang w:eastAsia="en-GB"/>
              </w:rPr>
              <w:t>0</w:t>
            </w:r>
          </w:p>
        </w:tc>
        <w:tc>
          <w:tcPr>
            <w:tcW w:w="1984" w:type="dxa"/>
            <w:tcBorders>
              <w:top w:val="single" w:sz="4" w:space="0" w:color="auto"/>
              <w:left w:val="nil"/>
              <w:bottom w:val="single" w:sz="4" w:space="0" w:color="auto"/>
              <w:right w:val="single" w:sz="4" w:space="0" w:color="auto"/>
            </w:tcBorders>
            <w:vAlign w:val="center"/>
          </w:tcPr>
          <w:p w:rsidR="00573FEC" w:rsidRPr="00814C67" w:rsidRDefault="00573FEC" w:rsidP="00114E6B">
            <w:pPr>
              <w:spacing w:line="240" w:lineRule="auto"/>
              <w:jc w:val="center"/>
              <w:rPr>
                <w:rFonts w:eastAsia="Times New Roman" w:cs="Arial"/>
                <w:sz w:val="18"/>
                <w:szCs w:val="18"/>
                <w:lang w:eastAsia="en-GB"/>
              </w:rPr>
            </w:pPr>
            <w:r w:rsidRPr="00814C67">
              <w:rPr>
                <w:rFonts w:eastAsia="Times New Roman" w:cs="Arial"/>
                <w:sz w:val="18"/>
                <w:szCs w:val="18"/>
                <w:lang w:eastAsia="en-GB"/>
              </w:rPr>
              <w:t>As baseline</w:t>
            </w:r>
          </w:p>
        </w:tc>
      </w:tr>
    </w:tbl>
    <w:p w:rsidR="00573FEC" w:rsidRPr="00814C67" w:rsidRDefault="00573FEC" w:rsidP="004C56BD">
      <w:pPr>
        <w:spacing w:before="60"/>
      </w:pPr>
      <w:r w:rsidRPr="00814C67">
        <w:rPr>
          <w:b/>
        </w:rPr>
        <w:t xml:space="preserve">Supplementary Table </w:t>
      </w:r>
      <w:r w:rsidR="003029D3" w:rsidRPr="00814C67">
        <w:rPr>
          <w:b/>
        </w:rPr>
        <w:t>5</w:t>
      </w:r>
      <w:r w:rsidRPr="00814C67">
        <w:rPr>
          <w:b/>
        </w:rPr>
        <w:t>. Training and test stages of the 5-CSWM task.</w:t>
      </w:r>
      <w:r w:rsidRPr="00814C67">
        <w:t xml:space="preserve"> </w:t>
      </w:r>
      <w:r w:rsidR="00F11691" w:rsidRPr="00814C67">
        <w:t>The reward volume relates to the SP. CP reward was always 60 </w:t>
      </w:r>
      <w:r w:rsidR="00F11691" w:rsidRPr="00814C67">
        <w:rPr>
          <w:rFonts w:ascii="Symbol" w:hAnsi="Symbol"/>
        </w:rPr>
        <w:t></w:t>
      </w:r>
      <w:r w:rsidR="00F11691" w:rsidRPr="00814C67">
        <w:t xml:space="preserve">l. The SP reward was decreased as mice reached </w:t>
      </w:r>
      <w:r w:rsidR="00014D1A" w:rsidRPr="00814C67">
        <w:rPr>
          <w:rFonts w:cs="Arial"/>
        </w:rPr>
        <w:t>≥</w:t>
      </w:r>
      <w:r w:rsidR="00F11691" w:rsidRPr="00814C67">
        <w:t xml:space="preserve">25 correct SP responses on </w:t>
      </w:r>
      <w:r w:rsidR="00547686" w:rsidRPr="00814C67">
        <w:t>three</w:t>
      </w:r>
      <w:r w:rsidR="00F11691" w:rsidRPr="00814C67">
        <w:t xml:space="preserve"> consecutive days within each stage.</w:t>
      </w:r>
      <w:r w:rsidR="00014D1A" w:rsidRPr="00814C67">
        <w:t xml:space="preserve"> The mice transitioned incrementally to the next main training stage (from 1 through to 5) if they achieved </w:t>
      </w:r>
      <w:r w:rsidR="00014D1A" w:rsidRPr="00814C67">
        <w:rPr>
          <w:rFonts w:cs="Arial"/>
        </w:rPr>
        <w:t>≥</w:t>
      </w:r>
      <w:r w:rsidR="00014D1A" w:rsidRPr="00814C67">
        <w:t>70% CP accuracy</w:t>
      </w:r>
      <w:r w:rsidR="00014D1A" w:rsidRPr="00814C67">
        <w:rPr>
          <w:vertAlign w:val="subscript"/>
        </w:rPr>
        <w:t>lit</w:t>
      </w:r>
      <w:r w:rsidR="00014D1A" w:rsidRPr="00814C67">
        <w:t xml:space="preserve"> and </w:t>
      </w:r>
      <w:r w:rsidR="00014D1A" w:rsidRPr="00814C67">
        <w:rPr>
          <w:rFonts w:cs="Arial"/>
        </w:rPr>
        <w:t>≥</w:t>
      </w:r>
      <w:r w:rsidR="00014D1A" w:rsidRPr="00814C67">
        <w:t xml:space="preserve">10 correct CP responses in 30 min in three consecutive sessions. Additionally, to transition from stage 3 to 4 (reduction of SP-SD) mice had to achieve an SP accuracy of </w:t>
      </w:r>
      <w:r w:rsidR="00014D1A" w:rsidRPr="00814C67">
        <w:rPr>
          <w:rFonts w:cs="Arial"/>
        </w:rPr>
        <w:t>≥</w:t>
      </w:r>
      <w:r w:rsidR="00014D1A" w:rsidRPr="00814C67">
        <w:t xml:space="preserve">80% in three consecutive sessions. To transition from stage 5 (baseline 1) to the first challenge protocol, mice had to achieve at least </w:t>
      </w:r>
      <w:r w:rsidR="00014D1A" w:rsidRPr="00814C67">
        <w:rPr>
          <w:rFonts w:cs="Arial"/>
        </w:rPr>
        <w:t>≥</w:t>
      </w:r>
      <w:r w:rsidR="00014D1A" w:rsidRPr="00814C67">
        <w:t>60% CP accuracy</w:t>
      </w:r>
      <w:r w:rsidR="00014D1A" w:rsidRPr="00814C67">
        <w:rPr>
          <w:vertAlign w:val="subscript"/>
        </w:rPr>
        <w:t>lit</w:t>
      </w:r>
      <w:r w:rsidR="00014D1A" w:rsidRPr="00814C67">
        <w:t xml:space="preserve"> and </w:t>
      </w:r>
      <w:r w:rsidR="00014D1A" w:rsidRPr="00814C67">
        <w:rPr>
          <w:rFonts w:cs="Arial"/>
        </w:rPr>
        <w:t>≥</w:t>
      </w:r>
      <w:r w:rsidR="00C25B2F" w:rsidRPr="00814C67">
        <w:t>9</w:t>
      </w:r>
      <w:r w:rsidR="00014D1A" w:rsidRPr="00814C67">
        <w:t xml:space="preserve"> correct CP responses in 30 min</w:t>
      </w:r>
      <w:r w:rsidR="00C25B2F" w:rsidRPr="00814C67">
        <w:t xml:space="preserve"> on stage 5.</w:t>
      </w:r>
      <w:r w:rsidR="00014D1A" w:rsidRPr="00814C67">
        <w:t xml:space="preserve"> </w:t>
      </w:r>
      <w:r w:rsidR="004C56BD" w:rsidRPr="00814C67">
        <w:t>BL1, baseline stage 1, use before challenges with post-delay extension or distraction; BL2, baseline 2, used before challenges with pre-delay extension.</w:t>
      </w:r>
      <w:r w:rsidR="00C25B2F" w:rsidRPr="00814C67">
        <w:t xml:space="preserve"> CP-SD, stimulus duration in the choice phase; SP-SD, stimulus duration in the sample phase.</w:t>
      </w:r>
    </w:p>
    <w:p w:rsidR="00C25B2F" w:rsidRPr="00814C67" w:rsidRDefault="00C25B2F">
      <w:pPr>
        <w:spacing w:line="240" w:lineRule="auto"/>
        <w:jc w:val="left"/>
      </w:pPr>
      <w:r w:rsidRPr="00814C67">
        <w:br w:type="page"/>
      </w:r>
    </w:p>
    <w:p w:rsidR="00C25B2F" w:rsidRPr="00814C67" w:rsidRDefault="00C25B2F" w:rsidP="004C56BD">
      <w:pPr>
        <w:spacing w:before="60"/>
      </w:pPr>
    </w:p>
    <w:tbl>
      <w:tblPr>
        <w:tblW w:w="8953" w:type="dxa"/>
        <w:tblInd w:w="93" w:type="dxa"/>
        <w:tblLook w:val="04A0"/>
      </w:tblPr>
      <w:tblGrid>
        <w:gridCol w:w="803"/>
        <w:gridCol w:w="48"/>
        <w:gridCol w:w="851"/>
        <w:gridCol w:w="889"/>
        <w:gridCol w:w="1535"/>
        <w:gridCol w:w="1134"/>
        <w:gridCol w:w="1134"/>
        <w:gridCol w:w="1276"/>
        <w:gridCol w:w="1283"/>
      </w:tblGrid>
      <w:tr w:rsidR="00E85476" w:rsidRPr="00814C67" w:rsidTr="00114E6B">
        <w:trPr>
          <w:trHeight w:val="300"/>
        </w:trPr>
        <w:tc>
          <w:tcPr>
            <w:tcW w:w="8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85476" w:rsidRPr="00814C67" w:rsidRDefault="00E85476" w:rsidP="00114E6B">
            <w:pPr>
              <w:spacing w:line="240" w:lineRule="auto"/>
              <w:rPr>
                <w:rFonts w:eastAsia="Times New Roman" w:cs="Arial"/>
                <w:sz w:val="20"/>
                <w:szCs w:val="20"/>
                <w:lang w:val="en-GB" w:eastAsia="en-GB"/>
              </w:rPr>
            </w:pPr>
            <w:r w:rsidRPr="00814C67">
              <w:rPr>
                <w:rFonts w:eastAsia="Times New Roman" w:cs="Arial"/>
                <w:sz w:val="20"/>
                <w:szCs w:val="20"/>
                <w:lang w:val="en-GB" w:eastAsia="en-GB"/>
              </w:rPr>
              <w:t> </w:t>
            </w:r>
          </w:p>
        </w:tc>
        <w:tc>
          <w:tcPr>
            <w:tcW w:w="3323" w:type="dxa"/>
            <w:gridSpan w:val="4"/>
            <w:tcBorders>
              <w:top w:val="single" w:sz="4" w:space="0" w:color="auto"/>
              <w:left w:val="nil"/>
              <w:bottom w:val="single" w:sz="4" w:space="0" w:color="auto"/>
              <w:right w:val="single" w:sz="4" w:space="0" w:color="auto"/>
            </w:tcBorders>
            <w:shd w:val="clear" w:color="auto" w:fill="auto"/>
            <w:noWrap/>
            <w:vAlign w:val="bottom"/>
            <w:hideMark/>
          </w:tcPr>
          <w:p w:rsidR="00E85476" w:rsidRPr="00814C67" w:rsidRDefault="00E85476" w:rsidP="00114E6B">
            <w:pPr>
              <w:spacing w:line="240" w:lineRule="auto"/>
              <w:rPr>
                <w:rFonts w:eastAsia="Times New Roman" w:cs="Arial"/>
                <w:b/>
                <w:sz w:val="20"/>
                <w:szCs w:val="20"/>
                <w:lang w:val="en-GB" w:eastAsia="en-GB"/>
              </w:rPr>
            </w:pPr>
            <w:r w:rsidRPr="00814C67">
              <w:rPr>
                <w:rFonts w:eastAsia="Times New Roman" w:cs="Arial"/>
                <w:b/>
                <w:sz w:val="20"/>
                <w:szCs w:val="20"/>
                <w:lang w:val="en-GB" w:eastAsia="en-GB"/>
              </w:rPr>
              <w:t>Parameters of training</w:t>
            </w:r>
          </w:p>
        </w:tc>
        <w:tc>
          <w:tcPr>
            <w:tcW w:w="4827" w:type="dxa"/>
            <w:gridSpan w:val="4"/>
            <w:tcBorders>
              <w:top w:val="single" w:sz="4" w:space="0" w:color="auto"/>
              <w:left w:val="nil"/>
              <w:bottom w:val="single" w:sz="4" w:space="0" w:color="auto"/>
              <w:right w:val="single" w:sz="4" w:space="0" w:color="auto"/>
            </w:tcBorders>
            <w:shd w:val="clear" w:color="auto" w:fill="auto"/>
            <w:noWrap/>
            <w:vAlign w:val="bottom"/>
            <w:hideMark/>
          </w:tcPr>
          <w:p w:rsidR="00E85476" w:rsidRPr="00814C67" w:rsidRDefault="00E85476" w:rsidP="00114E6B">
            <w:pPr>
              <w:spacing w:line="240" w:lineRule="auto"/>
              <w:jc w:val="center"/>
              <w:rPr>
                <w:rFonts w:eastAsia="Times New Roman" w:cs="Arial"/>
                <w:b/>
                <w:sz w:val="20"/>
                <w:szCs w:val="20"/>
                <w:lang w:val="en-GB" w:eastAsia="en-GB"/>
              </w:rPr>
            </w:pPr>
            <w:r w:rsidRPr="00814C67">
              <w:rPr>
                <w:rFonts w:eastAsia="Times New Roman" w:cs="Arial"/>
                <w:b/>
                <w:sz w:val="20"/>
                <w:szCs w:val="20"/>
                <w:lang w:val="en-GB" w:eastAsia="en-GB"/>
              </w:rPr>
              <w:t>Criteria for stage transition (2 consecutive days)</w:t>
            </w:r>
          </w:p>
        </w:tc>
      </w:tr>
      <w:tr w:rsidR="00E85476" w:rsidRPr="00814C67" w:rsidTr="00114E6B">
        <w:trPr>
          <w:trHeight w:val="300"/>
        </w:trPr>
        <w:tc>
          <w:tcPr>
            <w:tcW w:w="803" w:type="dxa"/>
            <w:tcBorders>
              <w:top w:val="nil"/>
              <w:left w:val="single" w:sz="4" w:space="0" w:color="auto"/>
              <w:bottom w:val="single" w:sz="4" w:space="0" w:color="auto"/>
              <w:right w:val="single" w:sz="4" w:space="0" w:color="auto"/>
            </w:tcBorders>
            <w:shd w:val="clear" w:color="auto" w:fill="auto"/>
            <w:noWrap/>
            <w:vAlign w:val="bottom"/>
            <w:hideMark/>
          </w:tcPr>
          <w:p w:rsidR="00E85476" w:rsidRPr="00814C67" w:rsidRDefault="00E85476" w:rsidP="00114E6B">
            <w:pPr>
              <w:spacing w:line="240" w:lineRule="auto"/>
              <w:rPr>
                <w:rFonts w:eastAsia="Times New Roman" w:cs="Arial"/>
                <w:b/>
                <w:sz w:val="20"/>
                <w:szCs w:val="20"/>
                <w:lang w:val="en-GB" w:eastAsia="en-GB"/>
              </w:rPr>
            </w:pPr>
            <w:r w:rsidRPr="00814C67">
              <w:rPr>
                <w:rFonts w:eastAsia="Times New Roman" w:cs="Arial"/>
                <w:b/>
                <w:sz w:val="20"/>
                <w:szCs w:val="20"/>
                <w:lang w:val="en-GB" w:eastAsia="en-GB"/>
              </w:rPr>
              <w:t>Stage</w:t>
            </w:r>
          </w:p>
        </w:tc>
        <w:tc>
          <w:tcPr>
            <w:tcW w:w="899" w:type="dxa"/>
            <w:gridSpan w:val="2"/>
            <w:tcBorders>
              <w:top w:val="nil"/>
              <w:left w:val="nil"/>
              <w:bottom w:val="single" w:sz="4" w:space="0" w:color="auto"/>
              <w:right w:val="single" w:sz="4" w:space="0" w:color="auto"/>
            </w:tcBorders>
            <w:shd w:val="clear" w:color="auto" w:fill="auto"/>
            <w:noWrap/>
            <w:vAlign w:val="bottom"/>
            <w:hideMark/>
          </w:tcPr>
          <w:p w:rsidR="00E85476" w:rsidRPr="00814C67" w:rsidRDefault="00E85476" w:rsidP="00114E6B">
            <w:pPr>
              <w:spacing w:line="240" w:lineRule="auto"/>
              <w:rPr>
                <w:rFonts w:eastAsia="Times New Roman" w:cs="Arial"/>
                <w:sz w:val="20"/>
                <w:szCs w:val="20"/>
                <w:lang w:val="en-GB" w:eastAsia="en-GB"/>
              </w:rPr>
            </w:pPr>
            <w:r w:rsidRPr="00814C67">
              <w:rPr>
                <w:rFonts w:eastAsia="Times New Roman" w:cs="Arial"/>
                <w:sz w:val="20"/>
                <w:szCs w:val="20"/>
                <w:lang w:val="en-GB" w:eastAsia="en-GB"/>
              </w:rPr>
              <w:t>SD (s)</w:t>
            </w:r>
          </w:p>
        </w:tc>
        <w:tc>
          <w:tcPr>
            <w:tcW w:w="889" w:type="dxa"/>
            <w:tcBorders>
              <w:top w:val="nil"/>
              <w:left w:val="nil"/>
              <w:bottom w:val="single" w:sz="4" w:space="0" w:color="auto"/>
              <w:right w:val="single" w:sz="4" w:space="0" w:color="auto"/>
            </w:tcBorders>
            <w:shd w:val="clear" w:color="auto" w:fill="auto"/>
            <w:noWrap/>
            <w:vAlign w:val="bottom"/>
            <w:hideMark/>
          </w:tcPr>
          <w:p w:rsidR="00E85476" w:rsidRPr="00814C67" w:rsidRDefault="00E85476" w:rsidP="00114E6B">
            <w:pPr>
              <w:spacing w:line="240" w:lineRule="auto"/>
              <w:rPr>
                <w:rFonts w:eastAsia="Times New Roman" w:cs="Arial"/>
                <w:sz w:val="20"/>
                <w:szCs w:val="20"/>
                <w:lang w:val="en-GB" w:eastAsia="en-GB"/>
              </w:rPr>
            </w:pPr>
            <w:r w:rsidRPr="00814C67">
              <w:rPr>
                <w:rFonts w:eastAsia="Times New Roman" w:cs="Arial"/>
                <w:sz w:val="20"/>
                <w:szCs w:val="20"/>
                <w:lang w:val="en-GB" w:eastAsia="en-GB"/>
              </w:rPr>
              <w:t>LH (s)</w:t>
            </w:r>
          </w:p>
        </w:tc>
        <w:tc>
          <w:tcPr>
            <w:tcW w:w="1535" w:type="dxa"/>
            <w:tcBorders>
              <w:top w:val="nil"/>
              <w:left w:val="nil"/>
              <w:bottom w:val="single" w:sz="4" w:space="0" w:color="auto"/>
              <w:right w:val="single" w:sz="4" w:space="0" w:color="auto"/>
            </w:tcBorders>
            <w:shd w:val="clear" w:color="auto" w:fill="auto"/>
            <w:noWrap/>
            <w:vAlign w:val="bottom"/>
            <w:hideMark/>
          </w:tcPr>
          <w:p w:rsidR="00E85476" w:rsidRPr="00814C67" w:rsidRDefault="00E85476" w:rsidP="00114E6B">
            <w:pPr>
              <w:spacing w:line="240" w:lineRule="auto"/>
              <w:rPr>
                <w:rFonts w:eastAsia="Times New Roman" w:cs="Arial"/>
                <w:sz w:val="20"/>
                <w:szCs w:val="20"/>
                <w:lang w:val="en-GB" w:eastAsia="en-GB"/>
              </w:rPr>
            </w:pPr>
            <w:r w:rsidRPr="00814C67">
              <w:rPr>
                <w:rFonts w:eastAsia="Times New Roman" w:cs="Arial"/>
                <w:sz w:val="20"/>
                <w:szCs w:val="20"/>
                <w:lang w:val="en-GB" w:eastAsia="en-GB"/>
              </w:rPr>
              <w:t>ITI (s)</w:t>
            </w:r>
          </w:p>
        </w:tc>
        <w:tc>
          <w:tcPr>
            <w:tcW w:w="1134" w:type="dxa"/>
            <w:tcBorders>
              <w:top w:val="nil"/>
              <w:left w:val="nil"/>
              <w:bottom w:val="single" w:sz="4" w:space="0" w:color="auto"/>
              <w:right w:val="single" w:sz="4" w:space="0" w:color="auto"/>
            </w:tcBorders>
            <w:shd w:val="clear" w:color="auto" w:fill="auto"/>
            <w:noWrap/>
            <w:vAlign w:val="bottom"/>
            <w:hideMark/>
          </w:tcPr>
          <w:p w:rsidR="00E85476" w:rsidRPr="00814C67" w:rsidRDefault="00E85476" w:rsidP="00114E6B">
            <w:pPr>
              <w:spacing w:line="240" w:lineRule="auto"/>
              <w:rPr>
                <w:rFonts w:eastAsia="Times New Roman" w:cs="Arial"/>
                <w:sz w:val="20"/>
                <w:szCs w:val="20"/>
                <w:lang w:val="en-GB" w:eastAsia="en-GB"/>
              </w:rPr>
            </w:pPr>
            <w:r w:rsidRPr="00814C67">
              <w:rPr>
                <w:rFonts w:eastAsia="Times New Roman" w:cs="Arial"/>
                <w:sz w:val="20"/>
                <w:szCs w:val="20"/>
                <w:lang w:val="en-GB" w:eastAsia="en-GB"/>
              </w:rPr>
              <w:t># correct</w:t>
            </w:r>
          </w:p>
        </w:tc>
        <w:tc>
          <w:tcPr>
            <w:tcW w:w="1134" w:type="dxa"/>
            <w:tcBorders>
              <w:top w:val="nil"/>
              <w:left w:val="nil"/>
              <w:bottom w:val="single" w:sz="4" w:space="0" w:color="auto"/>
              <w:right w:val="single" w:sz="4" w:space="0" w:color="auto"/>
            </w:tcBorders>
            <w:shd w:val="clear" w:color="auto" w:fill="auto"/>
            <w:noWrap/>
            <w:vAlign w:val="bottom"/>
            <w:hideMark/>
          </w:tcPr>
          <w:p w:rsidR="00E85476" w:rsidRPr="00814C67" w:rsidRDefault="00E85476" w:rsidP="00114E6B">
            <w:pPr>
              <w:spacing w:line="240" w:lineRule="auto"/>
              <w:rPr>
                <w:rFonts w:eastAsia="Times New Roman" w:cs="Arial"/>
                <w:sz w:val="20"/>
                <w:szCs w:val="20"/>
                <w:lang w:val="en-GB" w:eastAsia="en-GB"/>
              </w:rPr>
            </w:pPr>
            <w:r w:rsidRPr="00814C67">
              <w:rPr>
                <w:rFonts w:eastAsia="Times New Roman" w:cs="Arial"/>
                <w:sz w:val="20"/>
                <w:szCs w:val="20"/>
                <w:lang w:val="en-GB" w:eastAsia="en-GB"/>
              </w:rPr>
              <w:t>% correct</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E85476" w:rsidRPr="00814C67" w:rsidRDefault="00E85476" w:rsidP="00114E6B">
            <w:pPr>
              <w:spacing w:line="240" w:lineRule="auto"/>
              <w:rPr>
                <w:rFonts w:eastAsia="Times New Roman" w:cs="Arial"/>
                <w:sz w:val="20"/>
                <w:szCs w:val="20"/>
                <w:lang w:val="en-GB" w:eastAsia="en-GB"/>
              </w:rPr>
            </w:pPr>
            <w:r w:rsidRPr="00814C67">
              <w:rPr>
                <w:rFonts w:eastAsia="Times New Roman" w:cs="Arial"/>
                <w:sz w:val="20"/>
                <w:szCs w:val="20"/>
                <w:lang w:val="en-GB" w:eastAsia="en-GB"/>
              </w:rPr>
              <w:t>% accuracy</w:t>
            </w:r>
          </w:p>
        </w:tc>
        <w:tc>
          <w:tcPr>
            <w:tcW w:w="1283" w:type="dxa"/>
            <w:tcBorders>
              <w:top w:val="nil"/>
              <w:left w:val="nil"/>
              <w:bottom w:val="single" w:sz="4" w:space="0" w:color="auto"/>
              <w:right w:val="single" w:sz="4" w:space="0" w:color="auto"/>
            </w:tcBorders>
            <w:shd w:val="clear" w:color="auto" w:fill="auto"/>
            <w:noWrap/>
            <w:vAlign w:val="bottom"/>
            <w:hideMark/>
          </w:tcPr>
          <w:p w:rsidR="00E85476" w:rsidRPr="00814C67" w:rsidRDefault="00E85476" w:rsidP="00114E6B">
            <w:pPr>
              <w:spacing w:line="240" w:lineRule="auto"/>
              <w:rPr>
                <w:rFonts w:eastAsia="Times New Roman" w:cs="Arial"/>
                <w:sz w:val="20"/>
                <w:szCs w:val="20"/>
                <w:lang w:val="en-GB" w:eastAsia="en-GB"/>
              </w:rPr>
            </w:pPr>
            <w:r w:rsidRPr="00814C67">
              <w:rPr>
                <w:rFonts w:eastAsia="Times New Roman" w:cs="Arial"/>
                <w:sz w:val="20"/>
                <w:szCs w:val="20"/>
                <w:lang w:val="en-GB" w:eastAsia="en-GB"/>
              </w:rPr>
              <w:t>%omissions</w:t>
            </w:r>
          </w:p>
        </w:tc>
      </w:tr>
      <w:tr w:rsidR="00E85476" w:rsidRPr="00814C67" w:rsidTr="00114E6B">
        <w:trPr>
          <w:trHeight w:val="300"/>
        </w:trPr>
        <w:tc>
          <w:tcPr>
            <w:tcW w:w="803" w:type="dxa"/>
            <w:tcBorders>
              <w:top w:val="nil"/>
              <w:left w:val="single" w:sz="4" w:space="0" w:color="auto"/>
              <w:bottom w:val="single" w:sz="4" w:space="0" w:color="auto"/>
              <w:right w:val="single" w:sz="4" w:space="0" w:color="auto"/>
            </w:tcBorders>
            <w:shd w:val="clear" w:color="auto" w:fill="auto"/>
            <w:noWrap/>
            <w:vAlign w:val="bottom"/>
            <w:hideMark/>
          </w:tcPr>
          <w:p w:rsidR="00E85476" w:rsidRPr="00814C67" w:rsidRDefault="00E85476" w:rsidP="00114E6B">
            <w:pPr>
              <w:spacing w:line="240" w:lineRule="auto"/>
              <w:jc w:val="center"/>
              <w:rPr>
                <w:rFonts w:eastAsia="Times New Roman" w:cs="Arial"/>
                <w:b/>
                <w:sz w:val="20"/>
                <w:szCs w:val="20"/>
                <w:lang w:val="en-GB" w:eastAsia="en-GB"/>
              </w:rPr>
            </w:pPr>
            <w:r w:rsidRPr="00814C67">
              <w:rPr>
                <w:rFonts w:eastAsia="Times New Roman" w:cs="Arial"/>
                <w:b/>
                <w:sz w:val="20"/>
                <w:szCs w:val="20"/>
                <w:lang w:val="en-GB" w:eastAsia="en-GB"/>
              </w:rPr>
              <w:t>1</w:t>
            </w:r>
          </w:p>
        </w:tc>
        <w:tc>
          <w:tcPr>
            <w:tcW w:w="899" w:type="dxa"/>
            <w:gridSpan w:val="2"/>
            <w:tcBorders>
              <w:top w:val="nil"/>
              <w:left w:val="nil"/>
              <w:bottom w:val="single" w:sz="4" w:space="0" w:color="auto"/>
              <w:right w:val="single" w:sz="4" w:space="0" w:color="auto"/>
            </w:tcBorders>
            <w:shd w:val="clear" w:color="auto" w:fill="auto"/>
            <w:noWrap/>
            <w:vAlign w:val="bottom"/>
            <w:hideMark/>
          </w:tcPr>
          <w:p w:rsidR="00E85476" w:rsidRPr="00814C67" w:rsidRDefault="00E85476" w:rsidP="00114E6B">
            <w:pPr>
              <w:spacing w:line="240" w:lineRule="auto"/>
              <w:jc w:val="right"/>
              <w:rPr>
                <w:rFonts w:eastAsia="Times New Roman" w:cs="Arial"/>
                <w:sz w:val="20"/>
                <w:szCs w:val="20"/>
                <w:lang w:val="en-GB" w:eastAsia="en-GB"/>
              </w:rPr>
            </w:pPr>
            <w:r w:rsidRPr="00814C67">
              <w:rPr>
                <w:rFonts w:eastAsia="Times New Roman" w:cs="Arial"/>
                <w:sz w:val="20"/>
                <w:szCs w:val="20"/>
                <w:lang w:val="en-GB" w:eastAsia="en-GB"/>
              </w:rPr>
              <w:t>20</w:t>
            </w:r>
          </w:p>
        </w:tc>
        <w:tc>
          <w:tcPr>
            <w:tcW w:w="889" w:type="dxa"/>
            <w:tcBorders>
              <w:top w:val="nil"/>
              <w:left w:val="nil"/>
              <w:bottom w:val="single" w:sz="4" w:space="0" w:color="auto"/>
              <w:right w:val="single" w:sz="4" w:space="0" w:color="auto"/>
            </w:tcBorders>
            <w:shd w:val="clear" w:color="auto" w:fill="auto"/>
            <w:noWrap/>
            <w:vAlign w:val="bottom"/>
            <w:hideMark/>
          </w:tcPr>
          <w:p w:rsidR="00E85476" w:rsidRPr="00814C67" w:rsidRDefault="00E85476" w:rsidP="00114E6B">
            <w:pPr>
              <w:spacing w:line="240" w:lineRule="auto"/>
              <w:jc w:val="right"/>
              <w:rPr>
                <w:rFonts w:eastAsia="Times New Roman" w:cs="Arial"/>
                <w:sz w:val="20"/>
                <w:szCs w:val="20"/>
                <w:lang w:val="en-GB" w:eastAsia="en-GB"/>
              </w:rPr>
            </w:pPr>
            <w:r w:rsidRPr="00814C67">
              <w:rPr>
                <w:rFonts w:eastAsia="Times New Roman" w:cs="Arial"/>
                <w:sz w:val="20"/>
                <w:szCs w:val="20"/>
                <w:lang w:val="en-GB" w:eastAsia="en-GB"/>
              </w:rPr>
              <w:t>22</w:t>
            </w:r>
          </w:p>
        </w:tc>
        <w:tc>
          <w:tcPr>
            <w:tcW w:w="1535" w:type="dxa"/>
            <w:tcBorders>
              <w:top w:val="nil"/>
              <w:left w:val="nil"/>
              <w:bottom w:val="single" w:sz="4" w:space="0" w:color="auto"/>
              <w:right w:val="single" w:sz="4" w:space="0" w:color="auto"/>
            </w:tcBorders>
            <w:shd w:val="clear" w:color="auto" w:fill="auto"/>
            <w:noWrap/>
            <w:vAlign w:val="bottom"/>
            <w:hideMark/>
          </w:tcPr>
          <w:p w:rsidR="00E85476" w:rsidRPr="00814C67" w:rsidRDefault="00E85476" w:rsidP="00114E6B">
            <w:pPr>
              <w:spacing w:line="240" w:lineRule="auto"/>
              <w:jc w:val="right"/>
              <w:rPr>
                <w:rFonts w:eastAsia="Times New Roman" w:cs="Arial"/>
                <w:sz w:val="20"/>
                <w:szCs w:val="20"/>
                <w:lang w:val="en-GB" w:eastAsia="en-GB"/>
              </w:rPr>
            </w:pPr>
            <w:r w:rsidRPr="00814C67">
              <w:rPr>
                <w:rFonts w:eastAsia="Times New Roman" w:cs="Arial"/>
                <w:sz w:val="20"/>
                <w:szCs w:val="20"/>
                <w:lang w:val="en-GB" w:eastAsia="en-GB"/>
              </w:rPr>
              <w:t>2</w:t>
            </w:r>
          </w:p>
        </w:tc>
        <w:tc>
          <w:tcPr>
            <w:tcW w:w="1134" w:type="dxa"/>
            <w:tcBorders>
              <w:top w:val="nil"/>
              <w:left w:val="nil"/>
              <w:bottom w:val="single" w:sz="4" w:space="0" w:color="auto"/>
              <w:right w:val="single" w:sz="4" w:space="0" w:color="auto"/>
            </w:tcBorders>
            <w:shd w:val="clear" w:color="auto" w:fill="auto"/>
            <w:noWrap/>
            <w:vAlign w:val="bottom"/>
            <w:hideMark/>
          </w:tcPr>
          <w:p w:rsidR="00E85476" w:rsidRPr="00814C67" w:rsidRDefault="00E85476" w:rsidP="00114E6B">
            <w:pPr>
              <w:spacing w:line="240" w:lineRule="auto"/>
              <w:rPr>
                <w:rFonts w:eastAsia="Times New Roman" w:cs="Arial"/>
                <w:sz w:val="20"/>
                <w:szCs w:val="20"/>
                <w:lang w:val="en-GB" w:eastAsia="en-GB"/>
              </w:rPr>
            </w:pPr>
            <w:r w:rsidRPr="00814C67">
              <w:rPr>
                <w:rFonts w:eastAsia="Times New Roman" w:cs="Arial"/>
                <w:sz w:val="20"/>
                <w:szCs w:val="20"/>
                <w:lang w:val="en-GB" w:eastAsia="en-GB"/>
              </w:rPr>
              <w:t>&gt;= 30</w:t>
            </w:r>
          </w:p>
        </w:tc>
        <w:tc>
          <w:tcPr>
            <w:tcW w:w="1134" w:type="dxa"/>
            <w:tcBorders>
              <w:top w:val="nil"/>
              <w:left w:val="nil"/>
              <w:bottom w:val="single" w:sz="4" w:space="0" w:color="auto"/>
              <w:right w:val="single" w:sz="4" w:space="0" w:color="auto"/>
            </w:tcBorders>
            <w:shd w:val="clear" w:color="auto" w:fill="auto"/>
            <w:noWrap/>
            <w:vAlign w:val="bottom"/>
            <w:hideMark/>
          </w:tcPr>
          <w:p w:rsidR="00E85476" w:rsidRPr="00814C67" w:rsidRDefault="00E85476" w:rsidP="00114E6B">
            <w:pPr>
              <w:spacing w:line="240" w:lineRule="auto"/>
              <w:rPr>
                <w:rFonts w:eastAsia="Times New Roman" w:cs="Arial"/>
                <w:sz w:val="20"/>
                <w:szCs w:val="20"/>
                <w:lang w:val="en-GB" w:eastAsia="en-GB"/>
              </w:rPr>
            </w:pPr>
            <w:r w:rsidRPr="00814C67">
              <w:rPr>
                <w:rFonts w:eastAsia="Times New Roman" w:cs="Arial"/>
                <w:sz w:val="20"/>
                <w:szCs w:val="20"/>
                <w:lang w:val="en-GB" w:eastAsia="en-GB"/>
              </w:rPr>
              <w:t>&gt;= 40</w:t>
            </w:r>
          </w:p>
        </w:tc>
        <w:tc>
          <w:tcPr>
            <w:tcW w:w="1276" w:type="dxa"/>
            <w:tcBorders>
              <w:top w:val="nil"/>
              <w:left w:val="nil"/>
              <w:bottom w:val="single" w:sz="4" w:space="0" w:color="auto"/>
              <w:right w:val="single" w:sz="4" w:space="0" w:color="auto"/>
            </w:tcBorders>
            <w:shd w:val="clear" w:color="auto" w:fill="auto"/>
            <w:noWrap/>
            <w:vAlign w:val="bottom"/>
            <w:hideMark/>
          </w:tcPr>
          <w:p w:rsidR="00E85476" w:rsidRPr="00814C67" w:rsidRDefault="00E85476" w:rsidP="00114E6B">
            <w:pPr>
              <w:spacing w:line="240" w:lineRule="auto"/>
              <w:rPr>
                <w:rFonts w:eastAsia="Times New Roman" w:cs="Arial"/>
                <w:sz w:val="20"/>
                <w:szCs w:val="20"/>
                <w:lang w:val="en-GB" w:eastAsia="en-GB"/>
              </w:rPr>
            </w:pPr>
            <w:r w:rsidRPr="00814C67">
              <w:rPr>
                <w:rFonts w:eastAsia="Times New Roman" w:cs="Arial"/>
                <w:sz w:val="20"/>
                <w:szCs w:val="20"/>
                <w:lang w:val="en-GB" w:eastAsia="en-GB"/>
              </w:rPr>
              <w:t>-</w:t>
            </w:r>
          </w:p>
        </w:tc>
        <w:tc>
          <w:tcPr>
            <w:tcW w:w="1283" w:type="dxa"/>
            <w:tcBorders>
              <w:top w:val="nil"/>
              <w:left w:val="nil"/>
              <w:bottom w:val="single" w:sz="4" w:space="0" w:color="auto"/>
              <w:right w:val="single" w:sz="4" w:space="0" w:color="auto"/>
            </w:tcBorders>
            <w:shd w:val="clear" w:color="auto" w:fill="auto"/>
            <w:noWrap/>
            <w:vAlign w:val="bottom"/>
            <w:hideMark/>
          </w:tcPr>
          <w:p w:rsidR="00E85476" w:rsidRPr="00814C67" w:rsidRDefault="00E85476" w:rsidP="00114E6B">
            <w:pPr>
              <w:spacing w:line="240" w:lineRule="auto"/>
              <w:rPr>
                <w:rFonts w:eastAsia="Times New Roman" w:cs="Arial"/>
                <w:sz w:val="20"/>
                <w:szCs w:val="20"/>
                <w:lang w:val="en-GB" w:eastAsia="en-GB"/>
              </w:rPr>
            </w:pPr>
            <w:r w:rsidRPr="00814C67">
              <w:rPr>
                <w:rFonts w:eastAsia="Times New Roman" w:cs="Arial"/>
                <w:sz w:val="20"/>
                <w:szCs w:val="20"/>
                <w:lang w:val="en-GB" w:eastAsia="en-GB"/>
              </w:rPr>
              <w:t>-</w:t>
            </w:r>
          </w:p>
        </w:tc>
      </w:tr>
      <w:tr w:rsidR="00E85476" w:rsidRPr="00814C67" w:rsidTr="00114E6B">
        <w:trPr>
          <w:trHeight w:val="300"/>
        </w:trPr>
        <w:tc>
          <w:tcPr>
            <w:tcW w:w="803" w:type="dxa"/>
            <w:tcBorders>
              <w:top w:val="nil"/>
              <w:left w:val="single" w:sz="4" w:space="0" w:color="auto"/>
              <w:bottom w:val="single" w:sz="4" w:space="0" w:color="auto"/>
              <w:right w:val="single" w:sz="4" w:space="0" w:color="auto"/>
            </w:tcBorders>
            <w:shd w:val="clear" w:color="auto" w:fill="auto"/>
            <w:noWrap/>
            <w:vAlign w:val="bottom"/>
            <w:hideMark/>
          </w:tcPr>
          <w:p w:rsidR="00E85476" w:rsidRPr="00814C67" w:rsidRDefault="00E85476" w:rsidP="00114E6B">
            <w:pPr>
              <w:spacing w:line="240" w:lineRule="auto"/>
              <w:jc w:val="center"/>
              <w:rPr>
                <w:rFonts w:eastAsia="Times New Roman" w:cs="Arial"/>
                <w:b/>
                <w:sz w:val="20"/>
                <w:szCs w:val="20"/>
                <w:lang w:val="en-GB" w:eastAsia="en-GB"/>
              </w:rPr>
            </w:pPr>
            <w:r w:rsidRPr="00814C67">
              <w:rPr>
                <w:rFonts w:eastAsia="Times New Roman" w:cs="Arial"/>
                <w:b/>
                <w:sz w:val="20"/>
                <w:szCs w:val="20"/>
                <w:lang w:val="en-GB" w:eastAsia="en-GB"/>
              </w:rPr>
              <w:t>2</w:t>
            </w:r>
          </w:p>
        </w:tc>
        <w:tc>
          <w:tcPr>
            <w:tcW w:w="899" w:type="dxa"/>
            <w:gridSpan w:val="2"/>
            <w:tcBorders>
              <w:top w:val="nil"/>
              <w:left w:val="nil"/>
              <w:bottom w:val="single" w:sz="4" w:space="0" w:color="auto"/>
              <w:right w:val="single" w:sz="4" w:space="0" w:color="auto"/>
            </w:tcBorders>
            <w:shd w:val="clear" w:color="auto" w:fill="auto"/>
            <w:noWrap/>
            <w:vAlign w:val="bottom"/>
            <w:hideMark/>
          </w:tcPr>
          <w:p w:rsidR="00E85476" w:rsidRPr="00814C67" w:rsidRDefault="00E85476" w:rsidP="00114E6B">
            <w:pPr>
              <w:spacing w:line="240" w:lineRule="auto"/>
              <w:jc w:val="right"/>
              <w:rPr>
                <w:rFonts w:eastAsia="Times New Roman" w:cs="Arial"/>
                <w:sz w:val="20"/>
                <w:szCs w:val="20"/>
                <w:lang w:val="en-GB" w:eastAsia="en-GB"/>
              </w:rPr>
            </w:pPr>
            <w:r w:rsidRPr="00814C67">
              <w:rPr>
                <w:rFonts w:eastAsia="Times New Roman" w:cs="Arial"/>
                <w:sz w:val="20"/>
                <w:szCs w:val="20"/>
                <w:lang w:val="en-GB" w:eastAsia="en-GB"/>
              </w:rPr>
              <w:t>8</w:t>
            </w:r>
          </w:p>
        </w:tc>
        <w:tc>
          <w:tcPr>
            <w:tcW w:w="889" w:type="dxa"/>
            <w:tcBorders>
              <w:top w:val="nil"/>
              <w:left w:val="nil"/>
              <w:bottom w:val="single" w:sz="4" w:space="0" w:color="auto"/>
              <w:right w:val="single" w:sz="4" w:space="0" w:color="auto"/>
            </w:tcBorders>
            <w:shd w:val="clear" w:color="auto" w:fill="auto"/>
            <w:noWrap/>
            <w:vAlign w:val="bottom"/>
            <w:hideMark/>
          </w:tcPr>
          <w:p w:rsidR="00E85476" w:rsidRPr="00814C67" w:rsidRDefault="00E85476" w:rsidP="00114E6B">
            <w:pPr>
              <w:spacing w:line="240" w:lineRule="auto"/>
              <w:jc w:val="right"/>
              <w:rPr>
                <w:rFonts w:eastAsia="Times New Roman" w:cs="Arial"/>
                <w:sz w:val="20"/>
                <w:szCs w:val="20"/>
                <w:lang w:val="en-GB" w:eastAsia="en-GB"/>
              </w:rPr>
            </w:pPr>
            <w:r w:rsidRPr="00814C67">
              <w:rPr>
                <w:rFonts w:eastAsia="Times New Roman" w:cs="Arial"/>
                <w:sz w:val="20"/>
                <w:szCs w:val="20"/>
                <w:lang w:val="en-GB" w:eastAsia="en-GB"/>
              </w:rPr>
              <w:t>10</w:t>
            </w:r>
          </w:p>
        </w:tc>
        <w:tc>
          <w:tcPr>
            <w:tcW w:w="1535" w:type="dxa"/>
            <w:tcBorders>
              <w:top w:val="nil"/>
              <w:left w:val="nil"/>
              <w:bottom w:val="single" w:sz="4" w:space="0" w:color="auto"/>
              <w:right w:val="single" w:sz="4" w:space="0" w:color="auto"/>
            </w:tcBorders>
            <w:shd w:val="clear" w:color="auto" w:fill="auto"/>
            <w:noWrap/>
            <w:vAlign w:val="bottom"/>
            <w:hideMark/>
          </w:tcPr>
          <w:p w:rsidR="00E85476" w:rsidRPr="00814C67" w:rsidRDefault="00E85476" w:rsidP="00114E6B">
            <w:pPr>
              <w:spacing w:line="240" w:lineRule="auto"/>
              <w:jc w:val="right"/>
              <w:rPr>
                <w:rFonts w:eastAsia="Times New Roman" w:cs="Arial"/>
                <w:sz w:val="20"/>
                <w:szCs w:val="20"/>
                <w:lang w:val="en-GB" w:eastAsia="en-GB"/>
              </w:rPr>
            </w:pPr>
            <w:r w:rsidRPr="00814C67">
              <w:rPr>
                <w:rFonts w:eastAsia="Times New Roman" w:cs="Arial"/>
                <w:sz w:val="20"/>
                <w:szCs w:val="20"/>
                <w:lang w:val="en-GB" w:eastAsia="en-GB"/>
              </w:rPr>
              <w:t>2</w:t>
            </w:r>
          </w:p>
        </w:tc>
        <w:tc>
          <w:tcPr>
            <w:tcW w:w="1134" w:type="dxa"/>
            <w:tcBorders>
              <w:top w:val="nil"/>
              <w:left w:val="nil"/>
              <w:bottom w:val="single" w:sz="4" w:space="0" w:color="auto"/>
              <w:right w:val="single" w:sz="4" w:space="0" w:color="auto"/>
            </w:tcBorders>
            <w:shd w:val="clear" w:color="auto" w:fill="auto"/>
            <w:noWrap/>
            <w:vAlign w:val="bottom"/>
            <w:hideMark/>
          </w:tcPr>
          <w:p w:rsidR="00E85476" w:rsidRPr="00814C67" w:rsidRDefault="00E85476" w:rsidP="00114E6B">
            <w:pPr>
              <w:spacing w:line="240" w:lineRule="auto"/>
              <w:rPr>
                <w:rFonts w:eastAsia="Times New Roman" w:cs="Arial"/>
                <w:sz w:val="20"/>
                <w:szCs w:val="20"/>
                <w:lang w:val="en-GB" w:eastAsia="en-GB"/>
              </w:rPr>
            </w:pPr>
            <w:r w:rsidRPr="00814C67">
              <w:rPr>
                <w:rFonts w:eastAsia="Times New Roman" w:cs="Arial"/>
                <w:sz w:val="20"/>
                <w:szCs w:val="20"/>
                <w:lang w:val="en-GB" w:eastAsia="en-GB"/>
              </w:rPr>
              <w:t>&gt;= 40</w:t>
            </w:r>
          </w:p>
        </w:tc>
        <w:tc>
          <w:tcPr>
            <w:tcW w:w="1134" w:type="dxa"/>
            <w:tcBorders>
              <w:top w:val="nil"/>
              <w:left w:val="nil"/>
              <w:bottom w:val="single" w:sz="4" w:space="0" w:color="auto"/>
              <w:right w:val="single" w:sz="4" w:space="0" w:color="auto"/>
            </w:tcBorders>
            <w:shd w:val="clear" w:color="auto" w:fill="auto"/>
            <w:noWrap/>
            <w:vAlign w:val="bottom"/>
            <w:hideMark/>
          </w:tcPr>
          <w:p w:rsidR="00E85476" w:rsidRPr="00814C67" w:rsidRDefault="00E85476" w:rsidP="00114E6B">
            <w:pPr>
              <w:spacing w:line="240" w:lineRule="auto"/>
              <w:rPr>
                <w:rFonts w:eastAsia="Times New Roman" w:cs="Arial"/>
                <w:sz w:val="20"/>
                <w:szCs w:val="20"/>
                <w:lang w:val="en-GB" w:eastAsia="en-GB"/>
              </w:rPr>
            </w:pPr>
            <w:r w:rsidRPr="00814C67">
              <w:rPr>
                <w:rFonts w:eastAsia="Times New Roman" w:cs="Arial"/>
                <w:sz w:val="20"/>
                <w:szCs w:val="20"/>
                <w:lang w:val="en-GB" w:eastAsia="en-GB"/>
              </w:rPr>
              <w:t>&gt;= 50</w:t>
            </w:r>
          </w:p>
        </w:tc>
        <w:tc>
          <w:tcPr>
            <w:tcW w:w="1276" w:type="dxa"/>
            <w:tcBorders>
              <w:top w:val="nil"/>
              <w:left w:val="nil"/>
              <w:bottom w:val="single" w:sz="4" w:space="0" w:color="auto"/>
              <w:right w:val="single" w:sz="4" w:space="0" w:color="auto"/>
            </w:tcBorders>
            <w:shd w:val="clear" w:color="auto" w:fill="auto"/>
            <w:noWrap/>
            <w:vAlign w:val="bottom"/>
            <w:hideMark/>
          </w:tcPr>
          <w:p w:rsidR="00E85476" w:rsidRPr="00814C67" w:rsidRDefault="00E85476" w:rsidP="00114E6B">
            <w:pPr>
              <w:spacing w:line="240" w:lineRule="auto"/>
              <w:rPr>
                <w:rFonts w:eastAsia="Times New Roman" w:cs="Arial"/>
                <w:sz w:val="20"/>
                <w:szCs w:val="20"/>
                <w:lang w:val="en-GB" w:eastAsia="en-GB"/>
              </w:rPr>
            </w:pPr>
            <w:r w:rsidRPr="00814C67">
              <w:rPr>
                <w:rFonts w:eastAsia="Times New Roman" w:cs="Arial"/>
                <w:sz w:val="20"/>
                <w:szCs w:val="20"/>
                <w:lang w:val="en-GB" w:eastAsia="en-GB"/>
              </w:rPr>
              <w:t>-</w:t>
            </w:r>
          </w:p>
        </w:tc>
        <w:tc>
          <w:tcPr>
            <w:tcW w:w="1283" w:type="dxa"/>
            <w:tcBorders>
              <w:top w:val="nil"/>
              <w:left w:val="nil"/>
              <w:bottom w:val="single" w:sz="4" w:space="0" w:color="auto"/>
              <w:right w:val="single" w:sz="4" w:space="0" w:color="auto"/>
            </w:tcBorders>
            <w:shd w:val="clear" w:color="auto" w:fill="auto"/>
            <w:noWrap/>
            <w:vAlign w:val="bottom"/>
            <w:hideMark/>
          </w:tcPr>
          <w:p w:rsidR="00E85476" w:rsidRPr="00814C67" w:rsidRDefault="00E85476" w:rsidP="00114E6B">
            <w:pPr>
              <w:spacing w:line="240" w:lineRule="auto"/>
              <w:rPr>
                <w:rFonts w:eastAsia="Times New Roman" w:cs="Arial"/>
                <w:sz w:val="20"/>
                <w:szCs w:val="20"/>
                <w:lang w:val="en-GB" w:eastAsia="en-GB"/>
              </w:rPr>
            </w:pPr>
            <w:r w:rsidRPr="00814C67">
              <w:rPr>
                <w:rFonts w:eastAsia="Times New Roman" w:cs="Arial"/>
                <w:sz w:val="20"/>
                <w:szCs w:val="20"/>
                <w:lang w:val="en-GB" w:eastAsia="en-GB"/>
              </w:rPr>
              <w:t>-</w:t>
            </w:r>
          </w:p>
        </w:tc>
      </w:tr>
      <w:tr w:rsidR="00E85476" w:rsidRPr="00814C67" w:rsidTr="00114E6B">
        <w:trPr>
          <w:trHeight w:val="300"/>
        </w:trPr>
        <w:tc>
          <w:tcPr>
            <w:tcW w:w="803" w:type="dxa"/>
            <w:tcBorders>
              <w:top w:val="nil"/>
              <w:left w:val="single" w:sz="4" w:space="0" w:color="auto"/>
              <w:bottom w:val="single" w:sz="4" w:space="0" w:color="auto"/>
              <w:right w:val="single" w:sz="4" w:space="0" w:color="auto"/>
            </w:tcBorders>
            <w:shd w:val="clear" w:color="auto" w:fill="auto"/>
            <w:noWrap/>
            <w:vAlign w:val="bottom"/>
            <w:hideMark/>
          </w:tcPr>
          <w:p w:rsidR="00E85476" w:rsidRPr="00814C67" w:rsidRDefault="00E85476" w:rsidP="00114E6B">
            <w:pPr>
              <w:spacing w:line="240" w:lineRule="auto"/>
              <w:jc w:val="center"/>
              <w:rPr>
                <w:rFonts w:eastAsia="Times New Roman" w:cs="Arial"/>
                <w:b/>
                <w:sz w:val="20"/>
                <w:szCs w:val="20"/>
                <w:lang w:val="en-GB" w:eastAsia="en-GB"/>
              </w:rPr>
            </w:pPr>
            <w:r w:rsidRPr="00814C67">
              <w:rPr>
                <w:rFonts w:eastAsia="Times New Roman" w:cs="Arial"/>
                <w:b/>
                <w:sz w:val="20"/>
                <w:szCs w:val="20"/>
                <w:lang w:val="en-GB" w:eastAsia="en-GB"/>
              </w:rPr>
              <w:t>3</w:t>
            </w:r>
          </w:p>
        </w:tc>
        <w:tc>
          <w:tcPr>
            <w:tcW w:w="899" w:type="dxa"/>
            <w:gridSpan w:val="2"/>
            <w:tcBorders>
              <w:top w:val="nil"/>
              <w:left w:val="nil"/>
              <w:bottom w:val="single" w:sz="4" w:space="0" w:color="auto"/>
              <w:right w:val="single" w:sz="4" w:space="0" w:color="auto"/>
            </w:tcBorders>
            <w:shd w:val="clear" w:color="auto" w:fill="auto"/>
            <w:noWrap/>
            <w:vAlign w:val="bottom"/>
            <w:hideMark/>
          </w:tcPr>
          <w:p w:rsidR="00E85476" w:rsidRPr="00814C67" w:rsidRDefault="00E85476" w:rsidP="00114E6B">
            <w:pPr>
              <w:spacing w:line="240" w:lineRule="auto"/>
              <w:jc w:val="right"/>
              <w:rPr>
                <w:rFonts w:eastAsia="Times New Roman" w:cs="Arial"/>
                <w:sz w:val="20"/>
                <w:szCs w:val="20"/>
                <w:lang w:val="en-GB" w:eastAsia="en-GB"/>
              </w:rPr>
            </w:pPr>
            <w:r w:rsidRPr="00814C67">
              <w:rPr>
                <w:rFonts w:eastAsia="Times New Roman" w:cs="Arial"/>
                <w:sz w:val="20"/>
                <w:szCs w:val="20"/>
                <w:lang w:val="en-GB" w:eastAsia="en-GB"/>
              </w:rPr>
              <w:t>8</w:t>
            </w:r>
          </w:p>
        </w:tc>
        <w:tc>
          <w:tcPr>
            <w:tcW w:w="889" w:type="dxa"/>
            <w:tcBorders>
              <w:top w:val="nil"/>
              <w:left w:val="nil"/>
              <w:bottom w:val="single" w:sz="4" w:space="0" w:color="auto"/>
              <w:right w:val="single" w:sz="4" w:space="0" w:color="auto"/>
            </w:tcBorders>
            <w:shd w:val="clear" w:color="auto" w:fill="auto"/>
            <w:noWrap/>
            <w:vAlign w:val="bottom"/>
            <w:hideMark/>
          </w:tcPr>
          <w:p w:rsidR="00E85476" w:rsidRPr="00814C67" w:rsidRDefault="00E85476" w:rsidP="00114E6B">
            <w:pPr>
              <w:spacing w:line="240" w:lineRule="auto"/>
              <w:jc w:val="right"/>
              <w:rPr>
                <w:rFonts w:eastAsia="Times New Roman" w:cs="Arial"/>
                <w:sz w:val="20"/>
                <w:szCs w:val="20"/>
                <w:lang w:val="en-GB" w:eastAsia="en-GB"/>
              </w:rPr>
            </w:pPr>
            <w:r w:rsidRPr="00814C67">
              <w:rPr>
                <w:rFonts w:eastAsia="Times New Roman" w:cs="Arial"/>
                <w:sz w:val="20"/>
                <w:szCs w:val="20"/>
                <w:lang w:val="en-GB" w:eastAsia="en-GB"/>
              </w:rPr>
              <w:t>10</w:t>
            </w:r>
          </w:p>
        </w:tc>
        <w:tc>
          <w:tcPr>
            <w:tcW w:w="1535" w:type="dxa"/>
            <w:tcBorders>
              <w:top w:val="nil"/>
              <w:left w:val="nil"/>
              <w:bottom w:val="single" w:sz="4" w:space="0" w:color="auto"/>
              <w:right w:val="single" w:sz="4" w:space="0" w:color="auto"/>
            </w:tcBorders>
            <w:shd w:val="clear" w:color="auto" w:fill="auto"/>
            <w:noWrap/>
            <w:vAlign w:val="bottom"/>
            <w:hideMark/>
          </w:tcPr>
          <w:p w:rsidR="00E85476" w:rsidRPr="00814C67" w:rsidRDefault="00E85476" w:rsidP="00114E6B">
            <w:pPr>
              <w:spacing w:line="240" w:lineRule="auto"/>
              <w:jc w:val="right"/>
              <w:rPr>
                <w:rFonts w:eastAsia="Times New Roman" w:cs="Arial"/>
                <w:sz w:val="20"/>
                <w:szCs w:val="20"/>
                <w:lang w:val="en-GB" w:eastAsia="en-GB"/>
              </w:rPr>
            </w:pPr>
            <w:r w:rsidRPr="00814C67">
              <w:rPr>
                <w:rFonts w:eastAsia="Times New Roman" w:cs="Arial"/>
                <w:sz w:val="20"/>
                <w:szCs w:val="20"/>
                <w:lang w:val="en-GB" w:eastAsia="en-GB"/>
              </w:rPr>
              <w:t>5</w:t>
            </w:r>
          </w:p>
        </w:tc>
        <w:tc>
          <w:tcPr>
            <w:tcW w:w="1134" w:type="dxa"/>
            <w:tcBorders>
              <w:top w:val="nil"/>
              <w:left w:val="nil"/>
              <w:bottom w:val="single" w:sz="4" w:space="0" w:color="auto"/>
              <w:right w:val="single" w:sz="4" w:space="0" w:color="auto"/>
            </w:tcBorders>
            <w:shd w:val="clear" w:color="auto" w:fill="auto"/>
            <w:noWrap/>
            <w:vAlign w:val="bottom"/>
            <w:hideMark/>
          </w:tcPr>
          <w:p w:rsidR="00E85476" w:rsidRPr="00814C67" w:rsidRDefault="00E85476" w:rsidP="00114E6B">
            <w:pPr>
              <w:spacing w:line="240" w:lineRule="auto"/>
              <w:rPr>
                <w:rFonts w:eastAsia="Times New Roman" w:cs="Arial"/>
                <w:sz w:val="20"/>
                <w:szCs w:val="20"/>
                <w:highlight w:val="yellow"/>
                <w:lang w:val="en-GB"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rsidR="00E85476" w:rsidRPr="00814C67" w:rsidRDefault="00E85476" w:rsidP="00114E6B">
            <w:pPr>
              <w:spacing w:line="240" w:lineRule="auto"/>
              <w:rPr>
                <w:rFonts w:eastAsia="Times New Roman" w:cs="Arial"/>
                <w:sz w:val="20"/>
                <w:szCs w:val="20"/>
                <w:lang w:val="en-GB" w:eastAsia="en-GB"/>
              </w:rPr>
            </w:pPr>
          </w:p>
        </w:tc>
        <w:tc>
          <w:tcPr>
            <w:tcW w:w="1276" w:type="dxa"/>
            <w:tcBorders>
              <w:top w:val="nil"/>
              <w:left w:val="nil"/>
              <w:bottom w:val="single" w:sz="4" w:space="0" w:color="auto"/>
              <w:right w:val="single" w:sz="4" w:space="0" w:color="auto"/>
            </w:tcBorders>
            <w:shd w:val="clear" w:color="auto" w:fill="auto"/>
            <w:noWrap/>
            <w:vAlign w:val="bottom"/>
            <w:hideMark/>
          </w:tcPr>
          <w:p w:rsidR="00E85476" w:rsidRPr="00814C67" w:rsidRDefault="00E85476" w:rsidP="00114E6B">
            <w:pPr>
              <w:spacing w:line="240" w:lineRule="auto"/>
              <w:rPr>
                <w:rFonts w:eastAsia="Times New Roman" w:cs="Arial"/>
                <w:sz w:val="20"/>
                <w:szCs w:val="20"/>
                <w:lang w:val="en-GB" w:eastAsia="en-GB"/>
              </w:rPr>
            </w:pPr>
            <w:r w:rsidRPr="00814C67">
              <w:rPr>
                <w:rFonts w:eastAsia="Times New Roman" w:cs="Arial"/>
                <w:sz w:val="20"/>
                <w:szCs w:val="20"/>
                <w:lang w:val="en-GB" w:eastAsia="en-GB"/>
              </w:rPr>
              <w:t>&gt;= 80</w:t>
            </w:r>
          </w:p>
        </w:tc>
        <w:tc>
          <w:tcPr>
            <w:tcW w:w="1283" w:type="dxa"/>
            <w:tcBorders>
              <w:top w:val="nil"/>
              <w:left w:val="nil"/>
              <w:bottom w:val="single" w:sz="4" w:space="0" w:color="auto"/>
              <w:right w:val="single" w:sz="4" w:space="0" w:color="auto"/>
            </w:tcBorders>
            <w:shd w:val="clear" w:color="auto" w:fill="auto"/>
            <w:noWrap/>
            <w:vAlign w:val="bottom"/>
            <w:hideMark/>
          </w:tcPr>
          <w:p w:rsidR="00E85476" w:rsidRPr="00814C67" w:rsidRDefault="00E85476" w:rsidP="00114E6B">
            <w:pPr>
              <w:spacing w:line="240" w:lineRule="auto"/>
              <w:rPr>
                <w:rFonts w:eastAsia="Times New Roman" w:cs="Arial"/>
                <w:sz w:val="20"/>
                <w:szCs w:val="20"/>
                <w:lang w:val="en-GB" w:eastAsia="en-GB"/>
              </w:rPr>
            </w:pPr>
            <w:r w:rsidRPr="00814C67">
              <w:rPr>
                <w:rFonts w:eastAsia="Times New Roman" w:cs="Arial"/>
                <w:sz w:val="20"/>
                <w:szCs w:val="20"/>
                <w:lang w:val="en-GB" w:eastAsia="en-GB"/>
              </w:rPr>
              <w:t>&lt;= 50</w:t>
            </w:r>
          </w:p>
        </w:tc>
      </w:tr>
      <w:tr w:rsidR="00E85476" w:rsidRPr="00814C67" w:rsidTr="00114E6B">
        <w:trPr>
          <w:trHeight w:val="300"/>
        </w:trPr>
        <w:tc>
          <w:tcPr>
            <w:tcW w:w="8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85476" w:rsidRPr="00814C67" w:rsidRDefault="00E85476" w:rsidP="00114E6B">
            <w:pPr>
              <w:spacing w:line="240" w:lineRule="auto"/>
              <w:jc w:val="center"/>
              <w:rPr>
                <w:rFonts w:eastAsia="Times New Roman" w:cs="Arial"/>
                <w:b/>
                <w:sz w:val="20"/>
                <w:szCs w:val="20"/>
                <w:lang w:val="en-GB" w:eastAsia="en-GB"/>
              </w:rPr>
            </w:pPr>
            <w:r w:rsidRPr="00814C67">
              <w:rPr>
                <w:rFonts w:eastAsia="Times New Roman" w:cs="Arial"/>
                <w:b/>
                <w:sz w:val="20"/>
                <w:szCs w:val="20"/>
                <w:lang w:val="en-GB" w:eastAsia="en-GB"/>
              </w:rPr>
              <w:t>4</w:t>
            </w:r>
          </w:p>
        </w:tc>
        <w:tc>
          <w:tcPr>
            <w:tcW w:w="899" w:type="dxa"/>
            <w:gridSpan w:val="2"/>
            <w:tcBorders>
              <w:top w:val="single" w:sz="4" w:space="0" w:color="auto"/>
              <w:left w:val="nil"/>
              <w:bottom w:val="single" w:sz="4" w:space="0" w:color="auto"/>
              <w:right w:val="single" w:sz="4" w:space="0" w:color="auto"/>
            </w:tcBorders>
            <w:shd w:val="clear" w:color="auto" w:fill="auto"/>
            <w:noWrap/>
            <w:vAlign w:val="bottom"/>
            <w:hideMark/>
          </w:tcPr>
          <w:p w:rsidR="00E85476" w:rsidRPr="00814C67" w:rsidRDefault="00E85476" w:rsidP="00114E6B">
            <w:pPr>
              <w:spacing w:line="240" w:lineRule="auto"/>
              <w:jc w:val="right"/>
              <w:rPr>
                <w:rFonts w:eastAsia="Times New Roman" w:cs="Arial"/>
                <w:sz w:val="20"/>
                <w:szCs w:val="20"/>
                <w:lang w:val="en-GB" w:eastAsia="en-GB"/>
              </w:rPr>
            </w:pPr>
            <w:r w:rsidRPr="00814C67">
              <w:rPr>
                <w:rFonts w:eastAsia="Times New Roman" w:cs="Arial"/>
                <w:sz w:val="20"/>
                <w:szCs w:val="20"/>
                <w:lang w:val="en-GB" w:eastAsia="en-GB"/>
              </w:rPr>
              <w:t>4</w:t>
            </w:r>
          </w:p>
        </w:tc>
        <w:tc>
          <w:tcPr>
            <w:tcW w:w="889" w:type="dxa"/>
            <w:tcBorders>
              <w:top w:val="single" w:sz="4" w:space="0" w:color="auto"/>
              <w:left w:val="nil"/>
              <w:bottom w:val="single" w:sz="4" w:space="0" w:color="auto"/>
              <w:right w:val="single" w:sz="4" w:space="0" w:color="auto"/>
            </w:tcBorders>
            <w:shd w:val="clear" w:color="auto" w:fill="auto"/>
            <w:noWrap/>
            <w:vAlign w:val="bottom"/>
            <w:hideMark/>
          </w:tcPr>
          <w:p w:rsidR="00E85476" w:rsidRPr="00814C67" w:rsidRDefault="00E85476" w:rsidP="00114E6B">
            <w:pPr>
              <w:spacing w:line="240" w:lineRule="auto"/>
              <w:jc w:val="right"/>
              <w:rPr>
                <w:rFonts w:eastAsia="Times New Roman" w:cs="Arial"/>
                <w:sz w:val="20"/>
                <w:szCs w:val="20"/>
                <w:lang w:val="en-GB" w:eastAsia="en-GB"/>
              </w:rPr>
            </w:pPr>
            <w:r w:rsidRPr="00814C67">
              <w:rPr>
                <w:rFonts w:eastAsia="Times New Roman" w:cs="Arial"/>
                <w:sz w:val="20"/>
                <w:szCs w:val="20"/>
                <w:lang w:val="en-GB" w:eastAsia="en-GB"/>
              </w:rPr>
              <w:t>6</w:t>
            </w:r>
          </w:p>
        </w:tc>
        <w:tc>
          <w:tcPr>
            <w:tcW w:w="1535" w:type="dxa"/>
            <w:tcBorders>
              <w:top w:val="single" w:sz="4" w:space="0" w:color="auto"/>
              <w:left w:val="nil"/>
              <w:bottom w:val="single" w:sz="4" w:space="0" w:color="auto"/>
              <w:right w:val="single" w:sz="4" w:space="0" w:color="auto"/>
            </w:tcBorders>
            <w:shd w:val="clear" w:color="auto" w:fill="auto"/>
            <w:noWrap/>
            <w:vAlign w:val="bottom"/>
            <w:hideMark/>
          </w:tcPr>
          <w:p w:rsidR="00E85476" w:rsidRPr="00814C67" w:rsidRDefault="00E85476" w:rsidP="00114E6B">
            <w:pPr>
              <w:spacing w:line="240" w:lineRule="auto"/>
              <w:jc w:val="right"/>
              <w:rPr>
                <w:rFonts w:eastAsia="Times New Roman" w:cs="Arial"/>
                <w:sz w:val="20"/>
                <w:szCs w:val="20"/>
                <w:lang w:val="en-GB" w:eastAsia="en-GB"/>
              </w:rPr>
            </w:pPr>
            <w:r w:rsidRPr="00814C67">
              <w:rPr>
                <w:rFonts w:eastAsia="Times New Roman" w:cs="Arial"/>
                <w:sz w:val="20"/>
                <w:szCs w:val="20"/>
                <w:lang w:val="en-GB" w:eastAsia="en-GB"/>
              </w:rPr>
              <w:t>5</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E85476" w:rsidRPr="00814C67" w:rsidRDefault="00E85476" w:rsidP="00114E6B">
            <w:pPr>
              <w:spacing w:line="240" w:lineRule="auto"/>
              <w:rPr>
                <w:rFonts w:eastAsia="Times New Roman" w:cs="Arial"/>
                <w:sz w:val="20"/>
                <w:szCs w:val="20"/>
                <w:highlight w:val="yellow"/>
                <w:lang w:val="en-GB" w:eastAsia="en-GB"/>
              </w:rPr>
            </w:pP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E85476" w:rsidRPr="00814C67" w:rsidRDefault="00E85476" w:rsidP="00114E6B">
            <w:pPr>
              <w:spacing w:line="240" w:lineRule="auto"/>
              <w:rPr>
                <w:rFonts w:eastAsia="Times New Roman" w:cs="Arial"/>
                <w:sz w:val="20"/>
                <w:szCs w:val="20"/>
                <w:lang w:val="en-GB" w:eastAsia="en-GB"/>
              </w:rPr>
            </w:pP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E85476" w:rsidRPr="00814C67" w:rsidRDefault="00E85476" w:rsidP="00114E6B">
            <w:pPr>
              <w:spacing w:line="240" w:lineRule="auto"/>
              <w:rPr>
                <w:rFonts w:eastAsia="Times New Roman" w:cs="Arial"/>
                <w:sz w:val="20"/>
                <w:szCs w:val="20"/>
                <w:lang w:val="en-GB" w:eastAsia="en-GB"/>
              </w:rPr>
            </w:pPr>
            <w:r w:rsidRPr="00814C67">
              <w:rPr>
                <w:rFonts w:eastAsia="Times New Roman" w:cs="Arial"/>
                <w:sz w:val="20"/>
                <w:szCs w:val="20"/>
                <w:lang w:val="en-GB" w:eastAsia="en-GB"/>
              </w:rPr>
              <w:t>&gt;= 80</w:t>
            </w:r>
          </w:p>
        </w:tc>
        <w:tc>
          <w:tcPr>
            <w:tcW w:w="1283" w:type="dxa"/>
            <w:tcBorders>
              <w:top w:val="single" w:sz="4" w:space="0" w:color="auto"/>
              <w:left w:val="nil"/>
              <w:bottom w:val="single" w:sz="4" w:space="0" w:color="auto"/>
              <w:right w:val="single" w:sz="4" w:space="0" w:color="auto"/>
            </w:tcBorders>
            <w:shd w:val="clear" w:color="auto" w:fill="auto"/>
            <w:noWrap/>
            <w:vAlign w:val="bottom"/>
            <w:hideMark/>
          </w:tcPr>
          <w:p w:rsidR="00E85476" w:rsidRPr="00814C67" w:rsidRDefault="00E85476" w:rsidP="00114E6B">
            <w:pPr>
              <w:spacing w:line="240" w:lineRule="auto"/>
              <w:rPr>
                <w:rFonts w:eastAsia="Times New Roman" w:cs="Arial"/>
                <w:sz w:val="20"/>
                <w:szCs w:val="20"/>
                <w:lang w:val="en-GB" w:eastAsia="en-GB"/>
              </w:rPr>
            </w:pPr>
            <w:r w:rsidRPr="00814C67">
              <w:rPr>
                <w:rFonts w:eastAsia="Times New Roman" w:cs="Arial"/>
                <w:sz w:val="20"/>
                <w:szCs w:val="20"/>
                <w:lang w:val="en-GB" w:eastAsia="en-GB"/>
              </w:rPr>
              <w:t>&lt;= 50</w:t>
            </w:r>
          </w:p>
        </w:tc>
      </w:tr>
      <w:tr w:rsidR="00E85476" w:rsidRPr="00814C67" w:rsidTr="00114E6B">
        <w:trPr>
          <w:trHeight w:val="300"/>
        </w:trPr>
        <w:tc>
          <w:tcPr>
            <w:tcW w:w="803" w:type="dxa"/>
            <w:tcBorders>
              <w:top w:val="single" w:sz="4" w:space="0" w:color="auto"/>
              <w:left w:val="single" w:sz="4" w:space="0" w:color="auto"/>
              <w:bottom w:val="single" w:sz="18" w:space="0" w:color="auto"/>
              <w:right w:val="single" w:sz="4" w:space="0" w:color="auto"/>
            </w:tcBorders>
            <w:shd w:val="clear" w:color="auto" w:fill="auto"/>
            <w:noWrap/>
            <w:vAlign w:val="bottom"/>
            <w:hideMark/>
          </w:tcPr>
          <w:p w:rsidR="00E85476" w:rsidRPr="00814C67" w:rsidRDefault="00E85476" w:rsidP="00114E6B">
            <w:pPr>
              <w:spacing w:line="240" w:lineRule="auto"/>
              <w:jc w:val="center"/>
              <w:rPr>
                <w:rFonts w:eastAsia="Times New Roman" w:cs="Arial"/>
                <w:b/>
                <w:sz w:val="20"/>
                <w:szCs w:val="20"/>
                <w:lang w:val="en-GB" w:eastAsia="en-GB"/>
              </w:rPr>
            </w:pPr>
            <w:r w:rsidRPr="00814C67">
              <w:rPr>
                <w:rFonts w:eastAsia="Times New Roman" w:cs="Arial"/>
                <w:b/>
                <w:sz w:val="20"/>
                <w:szCs w:val="20"/>
                <w:lang w:val="en-GB" w:eastAsia="en-GB"/>
              </w:rPr>
              <w:t>5, BL</w:t>
            </w:r>
          </w:p>
        </w:tc>
        <w:tc>
          <w:tcPr>
            <w:tcW w:w="899" w:type="dxa"/>
            <w:gridSpan w:val="2"/>
            <w:tcBorders>
              <w:top w:val="single" w:sz="4" w:space="0" w:color="auto"/>
              <w:left w:val="nil"/>
              <w:bottom w:val="single" w:sz="18" w:space="0" w:color="auto"/>
              <w:right w:val="single" w:sz="4" w:space="0" w:color="auto"/>
            </w:tcBorders>
            <w:shd w:val="clear" w:color="auto" w:fill="auto"/>
            <w:noWrap/>
            <w:vAlign w:val="bottom"/>
            <w:hideMark/>
          </w:tcPr>
          <w:p w:rsidR="00E85476" w:rsidRPr="00814C67" w:rsidRDefault="00E85476" w:rsidP="00114E6B">
            <w:pPr>
              <w:spacing w:line="240" w:lineRule="auto"/>
              <w:jc w:val="right"/>
              <w:rPr>
                <w:rFonts w:eastAsia="Times New Roman" w:cs="Arial"/>
                <w:sz w:val="20"/>
                <w:szCs w:val="20"/>
                <w:lang w:val="en-GB" w:eastAsia="en-GB"/>
              </w:rPr>
            </w:pPr>
            <w:r w:rsidRPr="00814C67">
              <w:rPr>
                <w:rFonts w:eastAsia="Times New Roman" w:cs="Arial"/>
                <w:sz w:val="20"/>
                <w:szCs w:val="20"/>
                <w:lang w:val="en-GB" w:eastAsia="en-GB"/>
              </w:rPr>
              <w:t>2</w:t>
            </w:r>
          </w:p>
        </w:tc>
        <w:tc>
          <w:tcPr>
            <w:tcW w:w="889" w:type="dxa"/>
            <w:tcBorders>
              <w:top w:val="single" w:sz="4" w:space="0" w:color="auto"/>
              <w:left w:val="nil"/>
              <w:bottom w:val="single" w:sz="18" w:space="0" w:color="auto"/>
              <w:right w:val="single" w:sz="4" w:space="0" w:color="auto"/>
            </w:tcBorders>
            <w:shd w:val="clear" w:color="auto" w:fill="auto"/>
            <w:noWrap/>
            <w:vAlign w:val="bottom"/>
            <w:hideMark/>
          </w:tcPr>
          <w:p w:rsidR="00E85476" w:rsidRPr="00814C67" w:rsidRDefault="00E85476" w:rsidP="00114E6B">
            <w:pPr>
              <w:spacing w:line="240" w:lineRule="auto"/>
              <w:jc w:val="right"/>
              <w:rPr>
                <w:rFonts w:eastAsia="Times New Roman" w:cs="Arial"/>
                <w:sz w:val="20"/>
                <w:szCs w:val="20"/>
                <w:lang w:val="en-GB" w:eastAsia="en-GB"/>
              </w:rPr>
            </w:pPr>
            <w:r w:rsidRPr="00814C67">
              <w:rPr>
                <w:rFonts w:eastAsia="Times New Roman" w:cs="Arial"/>
                <w:sz w:val="20"/>
                <w:szCs w:val="20"/>
                <w:lang w:val="en-GB" w:eastAsia="en-GB"/>
              </w:rPr>
              <w:t>4</w:t>
            </w:r>
          </w:p>
        </w:tc>
        <w:tc>
          <w:tcPr>
            <w:tcW w:w="1535" w:type="dxa"/>
            <w:tcBorders>
              <w:top w:val="single" w:sz="4" w:space="0" w:color="auto"/>
              <w:left w:val="nil"/>
              <w:bottom w:val="single" w:sz="18" w:space="0" w:color="auto"/>
              <w:right w:val="single" w:sz="4" w:space="0" w:color="auto"/>
            </w:tcBorders>
            <w:shd w:val="clear" w:color="auto" w:fill="auto"/>
            <w:noWrap/>
            <w:vAlign w:val="bottom"/>
            <w:hideMark/>
          </w:tcPr>
          <w:p w:rsidR="00E85476" w:rsidRPr="00814C67" w:rsidRDefault="00E85476" w:rsidP="00114E6B">
            <w:pPr>
              <w:spacing w:line="240" w:lineRule="auto"/>
              <w:jc w:val="right"/>
              <w:rPr>
                <w:rFonts w:eastAsia="Times New Roman" w:cs="Arial"/>
                <w:sz w:val="20"/>
                <w:szCs w:val="20"/>
                <w:lang w:val="en-GB" w:eastAsia="en-GB"/>
              </w:rPr>
            </w:pPr>
            <w:r w:rsidRPr="00814C67">
              <w:rPr>
                <w:rFonts w:eastAsia="Times New Roman" w:cs="Arial"/>
                <w:sz w:val="20"/>
                <w:szCs w:val="20"/>
                <w:lang w:val="en-GB" w:eastAsia="en-GB"/>
              </w:rPr>
              <w:t>5</w:t>
            </w:r>
          </w:p>
        </w:tc>
        <w:tc>
          <w:tcPr>
            <w:tcW w:w="1134" w:type="dxa"/>
            <w:tcBorders>
              <w:top w:val="single" w:sz="4" w:space="0" w:color="auto"/>
              <w:left w:val="nil"/>
              <w:bottom w:val="single" w:sz="18" w:space="0" w:color="auto"/>
              <w:right w:val="single" w:sz="4" w:space="0" w:color="auto"/>
            </w:tcBorders>
            <w:shd w:val="clear" w:color="auto" w:fill="auto"/>
            <w:noWrap/>
            <w:vAlign w:val="bottom"/>
            <w:hideMark/>
          </w:tcPr>
          <w:p w:rsidR="00E85476" w:rsidRPr="00814C67" w:rsidRDefault="00E85476" w:rsidP="00114E6B">
            <w:pPr>
              <w:spacing w:line="240" w:lineRule="auto"/>
              <w:rPr>
                <w:rFonts w:eastAsia="Times New Roman" w:cs="Arial"/>
                <w:sz w:val="20"/>
                <w:szCs w:val="20"/>
                <w:highlight w:val="yellow"/>
                <w:lang w:val="en-GB" w:eastAsia="en-GB"/>
              </w:rPr>
            </w:pPr>
          </w:p>
        </w:tc>
        <w:tc>
          <w:tcPr>
            <w:tcW w:w="1134" w:type="dxa"/>
            <w:tcBorders>
              <w:top w:val="single" w:sz="4" w:space="0" w:color="auto"/>
              <w:left w:val="nil"/>
              <w:bottom w:val="single" w:sz="18" w:space="0" w:color="auto"/>
              <w:right w:val="single" w:sz="4" w:space="0" w:color="auto"/>
            </w:tcBorders>
            <w:shd w:val="clear" w:color="auto" w:fill="auto"/>
            <w:noWrap/>
            <w:vAlign w:val="bottom"/>
            <w:hideMark/>
          </w:tcPr>
          <w:p w:rsidR="00E85476" w:rsidRPr="00814C67" w:rsidRDefault="00E85476" w:rsidP="00114E6B">
            <w:pPr>
              <w:spacing w:line="240" w:lineRule="auto"/>
              <w:rPr>
                <w:rFonts w:eastAsia="Times New Roman" w:cs="Arial"/>
                <w:sz w:val="20"/>
                <w:szCs w:val="20"/>
                <w:lang w:val="en-GB" w:eastAsia="en-GB"/>
              </w:rPr>
            </w:pPr>
          </w:p>
        </w:tc>
        <w:tc>
          <w:tcPr>
            <w:tcW w:w="1276" w:type="dxa"/>
            <w:tcBorders>
              <w:top w:val="single" w:sz="4" w:space="0" w:color="auto"/>
              <w:left w:val="nil"/>
              <w:bottom w:val="single" w:sz="18" w:space="0" w:color="auto"/>
              <w:right w:val="single" w:sz="4" w:space="0" w:color="auto"/>
            </w:tcBorders>
            <w:shd w:val="clear" w:color="auto" w:fill="auto"/>
            <w:noWrap/>
            <w:vAlign w:val="bottom"/>
            <w:hideMark/>
          </w:tcPr>
          <w:p w:rsidR="00E85476" w:rsidRPr="00814C67" w:rsidRDefault="00E85476" w:rsidP="00114E6B">
            <w:pPr>
              <w:spacing w:line="240" w:lineRule="auto"/>
              <w:rPr>
                <w:rFonts w:eastAsia="Times New Roman" w:cs="Arial"/>
                <w:sz w:val="20"/>
                <w:szCs w:val="20"/>
                <w:lang w:val="en-GB" w:eastAsia="en-GB"/>
              </w:rPr>
            </w:pPr>
            <w:r w:rsidRPr="00814C67">
              <w:rPr>
                <w:rFonts w:eastAsia="Times New Roman" w:cs="Arial"/>
                <w:sz w:val="20"/>
                <w:szCs w:val="20"/>
                <w:lang w:val="en-GB" w:eastAsia="en-GB"/>
              </w:rPr>
              <w:t>&gt;= 80</w:t>
            </w:r>
          </w:p>
        </w:tc>
        <w:tc>
          <w:tcPr>
            <w:tcW w:w="1283" w:type="dxa"/>
            <w:tcBorders>
              <w:top w:val="single" w:sz="4" w:space="0" w:color="auto"/>
              <w:left w:val="nil"/>
              <w:bottom w:val="single" w:sz="18" w:space="0" w:color="auto"/>
              <w:right w:val="single" w:sz="4" w:space="0" w:color="auto"/>
            </w:tcBorders>
            <w:shd w:val="clear" w:color="auto" w:fill="auto"/>
            <w:noWrap/>
            <w:vAlign w:val="bottom"/>
            <w:hideMark/>
          </w:tcPr>
          <w:p w:rsidR="00E85476" w:rsidRPr="00814C67" w:rsidRDefault="00E85476" w:rsidP="00114E6B">
            <w:pPr>
              <w:spacing w:line="240" w:lineRule="auto"/>
              <w:rPr>
                <w:rFonts w:eastAsia="Times New Roman" w:cs="Arial"/>
                <w:sz w:val="20"/>
                <w:szCs w:val="20"/>
                <w:lang w:val="en-GB" w:eastAsia="en-GB"/>
              </w:rPr>
            </w:pPr>
            <w:r w:rsidRPr="00814C67">
              <w:rPr>
                <w:rFonts w:eastAsia="Times New Roman" w:cs="Arial"/>
                <w:sz w:val="20"/>
                <w:szCs w:val="20"/>
                <w:lang w:val="en-GB" w:eastAsia="en-GB"/>
              </w:rPr>
              <w:t>&lt;= 50</w:t>
            </w:r>
          </w:p>
        </w:tc>
      </w:tr>
      <w:tr w:rsidR="00E85476" w:rsidRPr="00814C67" w:rsidTr="00114E6B">
        <w:trPr>
          <w:trHeight w:val="300"/>
        </w:trPr>
        <w:tc>
          <w:tcPr>
            <w:tcW w:w="8953" w:type="dxa"/>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85476" w:rsidRPr="00814C67" w:rsidRDefault="00E85476" w:rsidP="00114E6B">
            <w:pPr>
              <w:spacing w:line="240" w:lineRule="auto"/>
              <w:rPr>
                <w:rFonts w:eastAsia="Times New Roman" w:cs="Arial"/>
                <w:sz w:val="20"/>
                <w:szCs w:val="20"/>
                <w:lang w:val="en-GB" w:eastAsia="en-GB"/>
              </w:rPr>
            </w:pPr>
            <w:r w:rsidRPr="00814C67">
              <w:rPr>
                <w:rFonts w:eastAsia="Times New Roman" w:cs="Arial"/>
                <w:b/>
                <w:sz w:val="20"/>
                <w:szCs w:val="20"/>
                <w:lang w:val="en-GB" w:eastAsia="en-GB"/>
              </w:rPr>
              <w:t>Challenge</w:t>
            </w:r>
          </w:p>
        </w:tc>
      </w:tr>
      <w:tr w:rsidR="00E85476" w:rsidRPr="00814C67" w:rsidTr="00114E6B">
        <w:trPr>
          <w:trHeight w:val="300"/>
        </w:trPr>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85476" w:rsidRPr="00814C67" w:rsidRDefault="00E85476" w:rsidP="00114E6B">
            <w:pPr>
              <w:spacing w:line="240" w:lineRule="auto"/>
              <w:jc w:val="center"/>
              <w:rPr>
                <w:rFonts w:eastAsia="Times New Roman" w:cs="Arial"/>
                <w:sz w:val="20"/>
                <w:szCs w:val="20"/>
                <w:lang w:val="en-GB" w:eastAsia="en-GB"/>
              </w:rPr>
            </w:pPr>
            <w:r w:rsidRPr="00814C67">
              <w:rPr>
                <w:rFonts w:eastAsia="Times New Roman" w:cs="Arial"/>
                <w:sz w:val="20"/>
                <w:szCs w:val="20"/>
                <w:lang w:val="en-GB" w:eastAsia="en-GB"/>
              </w:rPr>
              <w:t>6</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E85476" w:rsidRPr="00814C67" w:rsidRDefault="00E85476" w:rsidP="00114E6B">
            <w:pPr>
              <w:spacing w:line="240" w:lineRule="auto"/>
              <w:jc w:val="center"/>
              <w:rPr>
                <w:rFonts w:eastAsia="Times New Roman" w:cs="Arial"/>
                <w:sz w:val="20"/>
                <w:szCs w:val="20"/>
                <w:lang w:val="en-GB" w:eastAsia="en-GB"/>
              </w:rPr>
            </w:pPr>
            <w:r w:rsidRPr="00814C67">
              <w:rPr>
                <w:rFonts w:eastAsia="Times New Roman" w:cs="Arial"/>
                <w:sz w:val="20"/>
                <w:szCs w:val="20"/>
                <w:lang w:val="en-GB" w:eastAsia="en-GB"/>
              </w:rPr>
              <w:t>1</w:t>
            </w:r>
          </w:p>
        </w:tc>
        <w:tc>
          <w:tcPr>
            <w:tcW w:w="889" w:type="dxa"/>
            <w:tcBorders>
              <w:top w:val="single" w:sz="4" w:space="0" w:color="auto"/>
              <w:left w:val="nil"/>
              <w:bottom w:val="single" w:sz="4" w:space="0" w:color="auto"/>
              <w:right w:val="single" w:sz="4" w:space="0" w:color="auto"/>
            </w:tcBorders>
            <w:shd w:val="clear" w:color="auto" w:fill="auto"/>
            <w:noWrap/>
            <w:vAlign w:val="bottom"/>
            <w:hideMark/>
          </w:tcPr>
          <w:p w:rsidR="00E85476" w:rsidRPr="00814C67" w:rsidRDefault="00E85476" w:rsidP="00114E6B">
            <w:pPr>
              <w:spacing w:line="240" w:lineRule="auto"/>
              <w:jc w:val="right"/>
              <w:rPr>
                <w:rFonts w:eastAsia="Times New Roman" w:cs="Arial"/>
                <w:sz w:val="20"/>
                <w:szCs w:val="20"/>
                <w:lang w:val="en-GB" w:eastAsia="en-GB"/>
              </w:rPr>
            </w:pPr>
            <w:r w:rsidRPr="00814C67">
              <w:rPr>
                <w:rFonts w:eastAsia="Times New Roman" w:cs="Arial"/>
                <w:sz w:val="20"/>
                <w:szCs w:val="20"/>
                <w:lang w:val="en-GB" w:eastAsia="en-GB"/>
              </w:rPr>
              <w:t>3</w:t>
            </w:r>
          </w:p>
        </w:tc>
        <w:tc>
          <w:tcPr>
            <w:tcW w:w="1535" w:type="dxa"/>
            <w:tcBorders>
              <w:top w:val="single" w:sz="4" w:space="0" w:color="auto"/>
              <w:left w:val="nil"/>
              <w:bottom w:val="single" w:sz="4" w:space="0" w:color="auto"/>
              <w:right w:val="single" w:sz="4" w:space="0" w:color="auto"/>
            </w:tcBorders>
            <w:shd w:val="clear" w:color="auto" w:fill="auto"/>
            <w:noWrap/>
            <w:vAlign w:val="bottom"/>
            <w:hideMark/>
          </w:tcPr>
          <w:p w:rsidR="00E85476" w:rsidRPr="00814C67" w:rsidRDefault="00E85476" w:rsidP="00114E6B">
            <w:pPr>
              <w:spacing w:line="240" w:lineRule="auto"/>
              <w:jc w:val="right"/>
              <w:rPr>
                <w:rFonts w:eastAsia="Times New Roman" w:cs="Arial"/>
                <w:sz w:val="20"/>
                <w:szCs w:val="20"/>
                <w:lang w:val="en-GB" w:eastAsia="en-GB"/>
              </w:rPr>
            </w:pPr>
            <w:r w:rsidRPr="00814C67">
              <w:rPr>
                <w:rFonts w:eastAsia="Times New Roman" w:cs="Arial"/>
                <w:sz w:val="20"/>
                <w:szCs w:val="20"/>
                <w:lang w:val="en-GB" w:eastAsia="en-GB"/>
              </w:rPr>
              <w:t>5</w:t>
            </w:r>
          </w:p>
        </w:tc>
        <w:tc>
          <w:tcPr>
            <w:tcW w:w="4827" w:type="dxa"/>
            <w:gridSpan w:val="4"/>
            <w:tcBorders>
              <w:top w:val="single" w:sz="4" w:space="0" w:color="auto"/>
              <w:left w:val="nil"/>
              <w:bottom w:val="single" w:sz="4" w:space="0" w:color="auto"/>
              <w:right w:val="single" w:sz="4" w:space="0" w:color="auto"/>
            </w:tcBorders>
            <w:shd w:val="clear" w:color="auto" w:fill="auto"/>
            <w:noWrap/>
            <w:vAlign w:val="bottom"/>
            <w:hideMark/>
          </w:tcPr>
          <w:p w:rsidR="00E85476" w:rsidRPr="00814C67" w:rsidRDefault="00E85476" w:rsidP="00114E6B">
            <w:pPr>
              <w:spacing w:line="240" w:lineRule="auto"/>
              <w:rPr>
                <w:rFonts w:eastAsia="Times New Roman" w:cs="Arial"/>
                <w:sz w:val="20"/>
                <w:szCs w:val="20"/>
                <w:lang w:val="en-GB" w:eastAsia="en-GB"/>
              </w:rPr>
            </w:pPr>
            <w:r w:rsidRPr="00814C67">
              <w:rPr>
                <w:rFonts w:eastAsia="Times New Roman" w:cs="Arial"/>
                <w:sz w:val="20"/>
                <w:szCs w:val="20"/>
                <w:lang w:val="en-GB" w:eastAsia="en-GB"/>
              </w:rPr>
              <w:t>Attention challenge, 1s SD</w:t>
            </w:r>
          </w:p>
        </w:tc>
      </w:tr>
      <w:tr w:rsidR="00E85476" w:rsidRPr="00814C67" w:rsidTr="00114E6B">
        <w:trPr>
          <w:trHeight w:val="300"/>
        </w:trPr>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85476" w:rsidRPr="00814C67" w:rsidRDefault="00E85476" w:rsidP="00114E6B">
            <w:pPr>
              <w:spacing w:line="240" w:lineRule="auto"/>
              <w:jc w:val="center"/>
              <w:rPr>
                <w:rFonts w:eastAsia="Times New Roman" w:cs="Arial"/>
                <w:sz w:val="20"/>
                <w:szCs w:val="20"/>
                <w:lang w:val="en-GB" w:eastAsia="en-GB"/>
              </w:rPr>
            </w:pPr>
            <w:r w:rsidRPr="00814C67">
              <w:rPr>
                <w:rFonts w:eastAsia="Times New Roman" w:cs="Arial"/>
                <w:sz w:val="20"/>
                <w:szCs w:val="20"/>
                <w:lang w:val="en-GB" w:eastAsia="en-GB"/>
              </w:rPr>
              <w:t>7</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E85476" w:rsidRPr="00814C67" w:rsidRDefault="00E85476" w:rsidP="00114E6B">
            <w:pPr>
              <w:spacing w:line="240" w:lineRule="auto"/>
              <w:jc w:val="center"/>
              <w:rPr>
                <w:rFonts w:eastAsia="Times New Roman" w:cs="Arial"/>
                <w:sz w:val="20"/>
                <w:szCs w:val="20"/>
                <w:lang w:val="en-GB" w:eastAsia="en-GB"/>
              </w:rPr>
            </w:pPr>
            <w:r w:rsidRPr="00814C67">
              <w:rPr>
                <w:rFonts w:eastAsia="Times New Roman" w:cs="Arial"/>
                <w:sz w:val="20"/>
                <w:szCs w:val="20"/>
                <w:lang w:val="en-GB" w:eastAsia="en-GB"/>
              </w:rPr>
              <w:t>0.8</w:t>
            </w:r>
          </w:p>
        </w:tc>
        <w:tc>
          <w:tcPr>
            <w:tcW w:w="889" w:type="dxa"/>
            <w:tcBorders>
              <w:top w:val="single" w:sz="4" w:space="0" w:color="auto"/>
              <w:left w:val="nil"/>
              <w:bottom w:val="single" w:sz="4" w:space="0" w:color="auto"/>
              <w:right w:val="single" w:sz="4" w:space="0" w:color="auto"/>
            </w:tcBorders>
            <w:shd w:val="clear" w:color="auto" w:fill="auto"/>
            <w:noWrap/>
            <w:vAlign w:val="bottom"/>
            <w:hideMark/>
          </w:tcPr>
          <w:p w:rsidR="00E85476" w:rsidRPr="00814C67" w:rsidRDefault="004C56BD" w:rsidP="00114E6B">
            <w:pPr>
              <w:spacing w:line="240" w:lineRule="auto"/>
              <w:jc w:val="right"/>
              <w:rPr>
                <w:rFonts w:eastAsia="Times New Roman" w:cs="Arial"/>
                <w:sz w:val="20"/>
                <w:szCs w:val="20"/>
                <w:lang w:val="en-GB" w:eastAsia="en-GB"/>
              </w:rPr>
            </w:pPr>
            <w:r w:rsidRPr="00814C67">
              <w:rPr>
                <w:rFonts w:eastAsia="Times New Roman" w:cs="Arial"/>
                <w:sz w:val="20"/>
                <w:szCs w:val="20"/>
                <w:lang w:val="en-GB" w:eastAsia="en-GB"/>
              </w:rPr>
              <w:t>2.8</w:t>
            </w:r>
          </w:p>
        </w:tc>
        <w:tc>
          <w:tcPr>
            <w:tcW w:w="1535" w:type="dxa"/>
            <w:tcBorders>
              <w:top w:val="single" w:sz="4" w:space="0" w:color="auto"/>
              <w:left w:val="nil"/>
              <w:bottom w:val="single" w:sz="4" w:space="0" w:color="auto"/>
              <w:right w:val="single" w:sz="4" w:space="0" w:color="auto"/>
            </w:tcBorders>
            <w:shd w:val="clear" w:color="auto" w:fill="auto"/>
            <w:noWrap/>
            <w:vAlign w:val="bottom"/>
            <w:hideMark/>
          </w:tcPr>
          <w:p w:rsidR="00E85476" w:rsidRPr="00814C67" w:rsidRDefault="00E85476" w:rsidP="00114E6B">
            <w:pPr>
              <w:spacing w:line="240" w:lineRule="auto"/>
              <w:jc w:val="right"/>
              <w:rPr>
                <w:rFonts w:eastAsia="Times New Roman" w:cs="Arial"/>
                <w:sz w:val="20"/>
                <w:szCs w:val="20"/>
                <w:lang w:val="en-GB" w:eastAsia="en-GB"/>
              </w:rPr>
            </w:pPr>
            <w:r w:rsidRPr="00814C67">
              <w:rPr>
                <w:rFonts w:eastAsia="Times New Roman" w:cs="Arial"/>
                <w:sz w:val="20"/>
                <w:szCs w:val="20"/>
                <w:lang w:val="en-GB" w:eastAsia="en-GB"/>
              </w:rPr>
              <w:t>5</w:t>
            </w:r>
          </w:p>
        </w:tc>
        <w:tc>
          <w:tcPr>
            <w:tcW w:w="4827" w:type="dxa"/>
            <w:gridSpan w:val="4"/>
            <w:tcBorders>
              <w:top w:val="single" w:sz="4" w:space="0" w:color="auto"/>
              <w:left w:val="nil"/>
              <w:bottom w:val="single" w:sz="4" w:space="0" w:color="auto"/>
              <w:right w:val="single" w:sz="4" w:space="0" w:color="auto"/>
            </w:tcBorders>
            <w:shd w:val="clear" w:color="auto" w:fill="auto"/>
            <w:noWrap/>
            <w:vAlign w:val="bottom"/>
            <w:hideMark/>
          </w:tcPr>
          <w:p w:rsidR="00E85476" w:rsidRPr="00814C67" w:rsidRDefault="00E85476" w:rsidP="00114E6B">
            <w:pPr>
              <w:spacing w:line="240" w:lineRule="auto"/>
              <w:rPr>
                <w:rFonts w:eastAsia="Times New Roman" w:cs="Arial"/>
                <w:sz w:val="20"/>
                <w:szCs w:val="20"/>
                <w:lang w:val="en-GB" w:eastAsia="en-GB"/>
              </w:rPr>
            </w:pPr>
            <w:r w:rsidRPr="00814C67">
              <w:rPr>
                <w:rFonts w:eastAsia="Times New Roman" w:cs="Arial"/>
                <w:sz w:val="20"/>
                <w:szCs w:val="20"/>
                <w:lang w:val="en-GB" w:eastAsia="en-GB"/>
              </w:rPr>
              <w:t>Attention challenge, 0.8 SD</w:t>
            </w:r>
          </w:p>
        </w:tc>
      </w:tr>
      <w:tr w:rsidR="00E85476" w:rsidRPr="00814C67" w:rsidTr="00114E6B">
        <w:trPr>
          <w:trHeight w:val="300"/>
        </w:trPr>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85476" w:rsidRPr="00814C67" w:rsidRDefault="00E85476" w:rsidP="00114E6B">
            <w:pPr>
              <w:spacing w:line="240" w:lineRule="auto"/>
              <w:jc w:val="center"/>
              <w:rPr>
                <w:rFonts w:eastAsia="Times New Roman" w:cs="Arial"/>
                <w:sz w:val="20"/>
                <w:szCs w:val="20"/>
                <w:lang w:val="en-GB" w:eastAsia="en-GB"/>
              </w:rPr>
            </w:pPr>
            <w:r w:rsidRPr="00814C67">
              <w:rPr>
                <w:rFonts w:eastAsia="Times New Roman" w:cs="Arial"/>
                <w:sz w:val="20"/>
                <w:szCs w:val="20"/>
                <w:lang w:val="en-GB" w:eastAsia="en-GB"/>
              </w:rPr>
              <w:t>8</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E85476" w:rsidRPr="00814C67" w:rsidRDefault="00E85476" w:rsidP="00114E6B">
            <w:pPr>
              <w:spacing w:line="240" w:lineRule="auto"/>
              <w:jc w:val="center"/>
              <w:rPr>
                <w:rFonts w:eastAsia="Times New Roman" w:cs="Arial"/>
                <w:sz w:val="20"/>
                <w:szCs w:val="20"/>
                <w:lang w:val="en-GB" w:eastAsia="en-GB"/>
              </w:rPr>
            </w:pPr>
            <w:r w:rsidRPr="00814C67">
              <w:rPr>
                <w:rFonts w:eastAsia="Times New Roman" w:cs="Arial"/>
                <w:sz w:val="20"/>
                <w:szCs w:val="20"/>
                <w:lang w:val="en-GB" w:eastAsia="en-GB"/>
              </w:rPr>
              <w:t>2</w:t>
            </w:r>
          </w:p>
        </w:tc>
        <w:tc>
          <w:tcPr>
            <w:tcW w:w="889" w:type="dxa"/>
            <w:tcBorders>
              <w:top w:val="single" w:sz="4" w:space="0" w:color="auto"/>
              <w:left w:val="nil"/>
              <w:bottom w:val="single" w:sz="4" w:space="0" w:color="auto"/>
              <w:right w:val="single" w:sz="4" w:space="0" w:color="auto"/>
            </w:tcBorders>
            <w:shd w:val="clear" w:color="auto" w:fill="auto"/>
            <w:noWrap/>
            <w:vAlign w:val="bottom"/>
            <w:hideMark/>
          </w:tcPr>
          <w:p w:rsidR="00E85476" w:rsidRPr="00814C67" w:rsidRDefault="004C56BD" w:rsidP="00114E6B">
            <w:pPr>
              <w:spacing w:line="240" w:lineRule="auto"/>
              <w:jc w:val="right"/>
              <w:rPr>
                <w:rFonts w:eastAsia="Times New Roman" w:cs="Arial"/>
                <w:sz w:val="20"/>
                <w:szCs w:val="20"/>
                <w:lang w:val="en-GB" w:eastAsia="en-GB"/>
              </w:rPr>
            </w:pPr>
            <w:r w:rsidRPr="00814C67">
              <w:rPr>
                <w:rFonts w:eastAsia="Times New Roman" w:cs="Arial"/>
                <w:sz w:val="20"/>
                <w:szCs w:val="20"/>
                <w:lang w:val="en-GB" w:eastAsia="en-GB"/>
              </w:rPr>
              <w:t>4</w:t>
            </w:r>
          </w:p>
        </w:tc>
        <w:tc>
          <w:tcPr>
            <w:tcW w:w="1535" w:type="dxa"/>
            <w:tcBorders>
              <w:top w:val="single" w:sz="4" w:space="0" w:color="auto"/>
              <w:left w:val="nil"/>
              <w:bottom w:val="single" w:sz="4" w:space="0" w:color="auto"/>
              <w:right w:val="single" w:sz="4" w:space="0" w:color="auto"/>
            </w:tcBorders>
            <w:shd w:val="clear" w:color="auto" w:fill="auto"/>
            <w:noWrap/>
            <w:vAlign w:val="bottom"/>
            <w:hideMark/>
          </w:tcPr>
          <w:p w:rsidR="00E85476" w:rsidRPr="00814C67" w:rsidRDefault="00E85476" w:rsidP="00114E6B">
            <w:pPr>
              <w:spacing w:line="240" w:lineRule="auto"/>
              <w:jc w:val="right"/>
              <w:rPr>
                <w:rFonts w:eastAsia="Times New Roman" w:cs="Arial"/>
                <w:sz w:val="20"/>
                <w:szCs w:val="20"/>
                <w:lang w:val="en-GB" w:eastAsia="en-GB"/>
              </w:rPr>
            </w:pPr>
            <w:r w:rsidRPr="00814C67">
              <w:rPr>
                <w:rFonts w:eastAsia="Times New Roman" w:cs="Arial"/>
                <w:sz w:val="20"/>
                <w:szCs w:val="20"/>
                <w:lang w:val="en-GB" w:eastAsia="en-GB"/>
              </w:rPr>
              <w:t>5</w:t>
            </w:r>
          </w:p>
        </w:tc>
        <w:tc>
          <w:tcPr>
            <w:tcW w:w="4827" w:type="dxa"/>
            <w:gridSpan w:val="4"/>
            <w:tcBorders>
              <w:top w:val="single" w:sz="4" w:space="0" w:color="auto"/>
              <w:left w:val="nil"/>
              <w:bottom w:val="single" w:sz="4" w:space="0" w:color="auto"/>
              <w:right w:val="single" w:sz="4" w:space="0" w:color="auto"/>
            </w:tcBorders>
            <w:shd w:val="clear" w:color="auto" w:fill="auto"/>
            <w:noWrap/>
            <w:vAlign w:val="bottom"/>
            <w:hideMark/>
          </w:tcPr>
          <w:p w:rsidR="00E85476" w:rsidRPr="00814C67" w:rsidRDefault="00353AD3" w:rsidP="00547686">
            <w:pPr>
              <w:spacing w:line="240" w:lineRule="auto"/>
              <w:rPr>
                <w:rFonts w:eastAsia="Times New Roman" w:cs="Arial"/>
                <w:sz w:val="20"/>
                <w:szCs w:val="20"/>
                <w:lang w:val="en-GB" w:eastAsia="en-GB"/>
              </w:rPr>
            </w:pPr>
            <w:r w:rsidRPr="00814C67">
              <w:rPr>
                <w:rFonts w:eastAsia="Times New Roman" w:cs="Arial"/>
                <w:sz w:val="20"/>
                <w:szCs w:val="20"/>
                <w:lang w:val="en-GB" w:eastAsia="en-GB"/>
              </w:rPr>
              <w:t>Auditory d</w:t>
            </w:r>
            <w:r w:rsidR="00E85476" w:rsidRPr="00814C67">
              <w:rPr>
                <w:rFonts w:eastAsia="Times New Roman" w:cs="Arial"/>
                <w:sz w:val="20"/>
                <w:szCs w:val="20"/>
                <w:lang w:val="en-GB" w:eastAsia="en-GB"/>
              </w:rPr>
              <w:t xml:space="preserve">istraction: </w:t>
            </w:r>
            <w:r w:rsidRPr="00814C67">
              <w:rPr>
                <w:rFonts w:eastAsia="Times New Roman" w:cs="Arial"/>
                <w:sz w:val="20"/>
                <w:szCs w:val="20"/>
                <w:lang w:val="en-GB" w:eastAsia="en-GB"/>
              </w:rPr>
              <w:t xml:space="preserve">1s white-noise of 70dB randomly </w:t>
            </w:r>
            <w:r w:rsidR="00547686" w:rsidRPr="00814C67">
              <w:rPr>
                <w:rFonts w:eastAsia="Times New Roman" w:cs="Arial"/>
                <w:sz w:val="20"/>
                <w:szCs w:val="20"/>
                <w:lang w:val="en-GB" w:eastAsia="en-GB"/>
              </w:rPr>
              <w:t>between 0.5-3.5 s of the</w:t>
            </w:r>
            <w:r w:rsidRPr="00814C67">
              <w:rPr>
                <w:rFonts w:eastAsia="Times New Roman" w:cs="Arial"/>
                <w:sz w:val="20"/>
                <w:szCs w:val="20"/>
                <w:lang w:val="en-GB" w:eastAsia="en-GB"/>
              </w:rPr>
              <w:t xml:space="preserve"> ITI</w:t>
            </w:r>
          </w:p>
        </w:tc>
      </w:tr>
      <w:tr w:rsidR="00E85476" w:rsidRPr="00814C67" w:rsidTr="00114E6B">
        <w:trPr>
          <w:trHeight w:val="300"/>
        </w:trPr>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85476" w:rsidRPr="00814C67" w:rsidRDefault="00E85476" w:rsidP="00114E6B">
            <w:pPr>
              <w:spacing w:line="240" w:lineRule="auto"/>
              <w:jc w:val="center"/>
              <w:rPr>
                <w:rFonts w:eastAsia="Times New Roman" w:cs="Arial"/>
                <w:sz w:val="20"/>
                <w:szCs w:val="20"/>
                <w:lang w:val="en-GB" w:eastAsia="en-GB"/>
              </w:rPr>
            </w:pPr>
            <w:r w:rsidRPr="00814C67">
              <w:rPr>
                <w:rFonts w:eastAsia="Times New Roman" w:cs="Arial"/>
                <w:sz w:val="20"/>
                <w:szCs w:val="20"/>
                <w:lang w:val="en-GB" w:eastAsia="en-GB"/>
              </w:rPr>
              <w:t>9</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E85476" w:rsidRPr="00814C67" w:rsidRDefault="00E85476" w:rsidP="00114E6B">
            <w:pPr>
              <w:spacing w:line="240" w:lineRule="auto"/>
              <w:jc w:val="center"/>
              <w:rPr>
                <w:rFonts w:eastAsia="Times New Roman" w:cs="Arial"/>
                <w:sz w:val="20"/>
                <w:szCs w:val="20"/>
                <w:lang w:val="en-GB" w:eastAsia="en-GB"/>
              </w:rPr>
            </w:pPr>
            <w:r w:rsidRPr="00814C67">
              <w:rPr>
                <w:rFonts w:eastAsia="Times New Roman" w:cs="Arial"/>
                <w:sz w:val="20"/>
                <w:szCs w:val="20"/>
                <w:lang w:val="en-GB" w:eastAsia="en-GB"/>
              </w:rPr>
              <w:t>2</w:t>
            </w:r>
          </w:p>
        </w:tc>
        <w:tc>
          <w:tcPr>
            <w:tcW w:w="889" w:type="dxa"/>
            <w:tcBorders>
              <w:top w:val="single" w:sz="4" w:space="0" w:color="auto"/>
              <w:left w:val="nil"/>
              <w:bottom w:val="single" w:sz="4" w:space="0" w:color="auto"/>
              <w:right w:val="single" w:sz="4" w:space="0" w:color="auto"/>
            </w:tcBorders>
            <w:shd w:val="clear" w:color="auto" w:fill="auto"/>
            <w:noWrap/>
            <w:vAlign w:val="bottom"/>
            <w:hideMark/>
          </w:tcPr>
          <w:p w:rsidR="00E85476" w:rsidRPr="00814C67" w:rsidRDefault="004C56BD" w:rsidP="00114E6B">
            <w:pPr>
              <w:spacing w:line="240" w:lineRule="auto"/>
              <w:jc w:val="right"/>
              <w:rPr>
                <w:rFonts w:eastAsia="Times New Roman" w:cs="Arial"/>
                <w:sz w:val="20"/>
                <w:szCs w:val="20"/>
                <w:lang w:val="en-GB" w:eastAsia="en-GB"/>
              </w:rPr>
            </w:pPr>
            <w:r w:rsidRPr="00814C67">
              <w:rPr>
                <w:rFonts w:eastAsia="Times New Roman" w:cs="Arial"/>
                <w:sz w:val="20"/>
                <w:szCs w:val="20"/>
                <w:lang w:val="en-GB" w:eastAsia="en-GB"/>
              </w:rPr>
              <w:t>4</w:t>
            </w:r>
          </w:p>
        </w:tc>
        <w:tc>
          <w:tcPr>
            <w:tcW w:w="1535" w:type="dxa"/>
            <w:tcBorders>
              <w:top w:val="single" w:sz="4" w:space="0" w:color="auto"/>
              <w:left w:val="nil"/>
              <w:bottom w:val="single" w:sz="4" w:space="0" w:color="auto"/>
              <w:right w:val="single" w:sz="4" w:space="0" w:color="auto"/>
            </w:tcBorders>
            <w:shd w:val="clear" w:color="auto" w:fill="auto"/>
            <w:noWrap/>
            <w:vAlign w:val="bottom"/>
            <w:hideMark/>
          </w:tcPr>
          <w:p w:rsidR="00E85476" w:rsidRPr="00814C67" w:rsidRDefault="00E85476" w:rsidP="00114E6B">
            <w:pPr>
              <w:spacing w:line="240" w:lineRule="auto"/>
              <w:jc w:val="right"/>
              <w:rPr>
                <w:rFonts w:eastAsia="Times New Roman" w:cs="Arial"/>
                <w:sz w:val="20"/>
                <w:szCs w:val="20"/>
                <w:lang w:val="en-GB" w:eastAsia="en-GB"/>
              </w:rPr>
            </w:pPr>
            <w:r w:rsidRPr="00814C67">
              <w:rPr>
                <w:rFonts w:eastAsia="Times New Roman" w:cs="Arial"/>
                <w:sz w:val="20"/>
                <w:szCs w:val="20"/>
                <w:lang w:val="en-GB" w:eastAsia="en-GB"/>
              </w:rPr>
              <w:t>9</w:t>
            </w:r>
          </w:p>
        </w:tc>
        <w:tc>
          <w:tcPr>
            <w:tcW w:w="4827" w:type="dxa"/>
            <w:gridSpan w:val="4"/>
            <w:tcBorders>
              <w:top w:val="single" w:sz="4" w:space="0" w:color="auto"/>
              <w:left w:val="nil"/>
              <w:bottom w:val="single" w:sz="4" w:space="0" w:color="auto"/>
              <w:right w:val="single" w:sz="4" w:space="0" w:color="auto"/>
            </w:tcBorders>
            <w:shd w:val="clear" w:color="auto" w:fill="auto"/>
            <w:noWrap/>
            <w:vAlign w:val="bottom"/>
            <w:hideMark/>
          </w:tcPr>
          <w:p w:rsidR="00E85476" w:rsidRPr="00814C67" w:rsidRDefault="00E85476" w:rsidP="00114E6B">
            <w:pPr>
              <w:spacing w:line="240" w:lineRule="auto"/>
              <w:rPr>
                <w:rFonts w:eastAsia="Times New Roman" w:cs="Arial"/>
                <w:sz w:val="20"/>
                <w:szCs w:val="20"/>
                <w:lang w:val="en-GB" w:eastAsia="en-GB"/>
              </w:rPr>
            </w:pPr>
            <w:r w:rsidRPr="00814C67">
              <w:rPr>
                <w:rFonts w:eastAsia="Times New Roman" w:cs="Arial"/>
                <w:sz w:val="20"/>
                <w:szCs w:val="20"/>
                <w:lang w:val="en-GB" w:eastAsia="en-GB"/>
              </w:rPr>
              <w:t>9s fixed ITI impulsivity challenge</w:t>
            </w:r>
          </w:p>
        </w:tc>
      </w:tr>
      <w:tr w:rsidR="00E85476" w:rsidRPr="00814C67" w:rsidTr="00114E6B">
        <w:trPr>
          <w:trHeight w:val="300"/>
        </w:trPr>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85476" w:rsidRPr="00814C67" w:rsidRDefault="00E85476" w:rsidP="00114E6B">
            <w:pPr>
              <w:spacing w:line="240" w:lineRule="auto"/>
              <w:jc w:val="center"/>
              <w:rPr>
                <w:rFonts w:eastAsia="Times New Roman" w:cs="Arial"/>
                <w:sz w:val="20"/>
                <w:szCs w:val="20"/>
                <w:lang w:val="en-GB" w:eastAsia="en-GB"/>
              </w:rPr>
            </w:pPr>
            <w:r w:rsidRPr="00814C67">
              <w:rPr>
                <w:rFonts w:eastAsia="Times New Roman" w:cs="Arial"/>
                <w:sz w:val="20"/>
                <w:szCs w:val="20"/>
                <w:lang w:val="en-GB" w:eastAsia="en-GB"/>
              </w:rPr>
              <w:t>10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E85476" w:rsidRPr="00814C67" w:rsidRDefault="00E85476" w:rsidP="00114E6B">
            <w:pPr>
              <w:spacing w:line="240" w:lineRule="auto"/>
              <w:jc w:val="center"/>
              <w:rPr>
                <w:rFonts w:eastAsia="Times New Roman" w:cs="Arial"/>
                <w:sz w:val="20"/>
                <w:szCs w:val="20"/>
                <w:lang w:val="en-GB" w:eastAsia="en-GB"/>
              </w:rPr>
            </w:pPr>
            <w:r w:rsidRPr="00814C67">
              <w:rPr>
                <w:rFonts w:eastAsia="Times New Roman" w:cs="Arial"/>
                <w:sz w:val="20"/>
                <w:szCs w:val="20"/>
                <w:lang w:val="en-GB" w:eastAsia="en-GB"/>
              </w:rPr>
              <w:t>2</w:t>
            </w:r>
          </w:p>
        </w:tc>
        <w:tc>
          <w:tcPr>
            <w:tcW w:w="889" w:type="dxa"/>
            <w:tcBorders>
              <w:top w:val="single" w:sz="4" w:space="0" w:color="auto"/>
              <w:left w:val="nil"/>
              <w:bottom w:val="single" w:sz="4" w:space="0" w:color="auto"/>
              <w:right w:val="single" w:sz="4" w:space="0" w:color="auto"/>
            </w:tcBorders>
            <w:shd w:val="clear" w:color="auto" w:fill="auto"/>
            <w:noWrap/>
            <w:vAlign w:val="bottom"/>
            <w:hideMark/>
          </w:tcPr>
          <w:p w:rsidR="00E85476" w:rsidRPr="00814C67" w:rsidRDefault="004C56BD" w:rsidP="00114E6B">
            <w:pPr>
              <w:spacing w:line="240" w:lineRule="auto"/>
              <w:jc w:val="right"/>
              <w:rPr>
                <w:rFonts w:eastAsia="Times New Roman" w:cs="Arial"/>
                <w:sz w:val="20"/>
                <w:szCs w:val="20"/>
                <w:lang w:val="en-GB" w:eastAsia="en-GB"/>
              </w:rPr>
            </w:pPr>
            <w:r w:rsidRPr="00814C67">
              <w:rPr>
                <w:rFonts w:eastAsia="Times New Roman" w:cs="Arial"/>
                <w:sz w:val="20"/>
                <w:szCs w:val="20"/>
                <w:lang w:val="en-GB" w:eastAsia="en-GB"/>
              </w:rPr>
              <w:t>4</w:t>
            </w:r>
          </w:p>
        </w:tc>
        <w:tc>
          <w:tcPr>
            <w:tcW w:w="1535" w:type="dxa"/>
            <w:tcBorders>
              <w:top w:val="single" w:sz="4" w:space="0" w:color="auto"/>
              <w:left w:val="nil"/>
              <w:bottom w:val="single" w:sz="4" w:space="0" w:color="auto"/>
              <w:right w:val="single" w:sz="4" w:space="0" w:color="auto"/>
            </w:tcBorders>
            <w:shd w:val="clear" w:color="auto" w:fill="auto"/>
            <w:noWrap/>
            <w:vAlign w:val="bottom"/>
            <w:hideMark/>
          </w:tcPr>
          <w:p w:rsidR="00E85476" w:rsidRPr="00814C67" w:rsidRDefault="00C56566" w:rsidP="00114E6B">
            <w:pPr>
              <w:spacing w:line="240" w:lineRule="auto"/>
              <w:jc w:val="right"/>
              <w:rPr>
                <w:rFonts w:eastAsia="Times New Roman" w:cs="Arial"/>
                <w:sz w:val="20"/>
                <w:szCs w:val="20"/>
                <w:lang w:val="en-GB" w:eastAsia="en-GB"/>
              </w:rPr>
            </w:pPr>
            <w:r w:rsidRPr="00814C67">
              <w:rPr>
                <w:rFonts w:eastAsia="Times New Roman" w:cs="Arial"/>
                <w:sz w:val="20"/>
                <w:szCs w:val="20"/>
                <w:lang w:val="en-GB" w:eastAsia="en-GB"/>
              </w:rPr>
              <w:t>7, 9, 11, 13</w:t>
            </w:r>
          </w:p>
        </w:tc>
        <w:tc>
          <w:tcPr>
            <w:tcW w:w="4827" w:type="dxa"/>
            <w:gridSpan w:val="4"/>
            <w:tcBorders>
              <w:top w:val="single" w:sz="4" w:space="0" w:color="auto"/>
              <w:left w:val="nil"/>
              <w:bottom w:val="single" w:sz="4" w:space="0" w:color="auto"/>
              <w:right w:val="single" w:sz="4" w:space="0" w:color="auto"/>
            </w:tcBorders>
            <w:shd w:val="clear" w:color="auto" w:fill="auto"/>
            <w:noWrap/>
            <w:vAlign w:val="bottom"/>
            <w:hideMark/>
          </w:tcPr>
          <w:p w:rsidR="00E85476" w:rsidRPr="00814C67" w:rsidRDefault="00C56566" w:rsidP="00114E6B">
            <w:pPr>
              <w:spacing w:line="240" w:lineRule="auto"/>
              <w:rPr>
                <w:rFonts w:eastAsia="Times New Roman" w:cs="Arial"/>
                <w:sz w:val="20"/>
                <w:szCs w:val="20"/>
                <w:lang w:val="en-GB" w:eastAsia="en-GB"/>
              </w:rPr>
            </w:pPr>
            <w:r w:rsidRPr="00814C67">
              <w:rPr>
                <w:rFonts w:eastAsia="Times New Roman" w:cs="Arial"/>
                <w:sz w:val="20"/>
                <w:szCs w:val="20"/>
                <w:lang w:val="en-GB" w:eastAsia="en-GB"/>
              </w:rPr>
              <w:t>Variable ITI impulsivity challenge</w:t>
            </w:r>
          </w:p>
        </w:tc>
      </w:tr>
    </w:tbl>
    <w:p w:rsidR="00573FEC" w:rsidRPr="00814C67" w:rsidRDefault="00573FEC" w:rsidP="000B2E21">
      <w:pPr>
        <w:spacing w:before="120"/>
      </w:pPr>
      <w:r w:rsidRPr="00814C67">
        <w:rPr>
          <w:b/>
        </w:rPr>
        <w:t xml:space="preserve">Supplementary Table </w:t>
      </w:r>
      <w:r w:rsidR="003029D3" w:rsidRPr="00814C67">
        <w:rPr>
          <w:b/>
        </w:rPr>
        <w:t>6</w:t>
      </w:r>
      <w:r w:rsidRPr="00814C67">
        <w:rPr>
          <w:b/>
        </w:rPr>
        <w:t>. Training and test stages of the 5-CSRTT.</w:t>
      </w:r>
      <w:r w:rsidR="004C56BD" w:rsidRPr="00814C67">
        <w:rPr>
          <w:b/>
        </w:rPr>
        <w:t xml:space="preserve"> </w:t>
      </w:r>
      <w:r w:rsidR="004C56BD" w:rsidRPr="00814C67">
        <w:t>The limited hold (LH) period includes the SD. Stage 4 was the baseline of the AAV-cohort.</w:t>
      </w:r>
    </w:p>
    <w:p w:rsidR="00F92AD3" w:rsidRPr="00814C67" w:rsidRDefault="00F92AD3">
      <w:pPr>
        <w:spacing w:line="240" w:lineRule="auto"/>
        <w:jc w:val="left"/>
        <w:rPr>
          <w:rFonts w:eastAsiaTheme="majorEastAsia" w:cstheme="majorBidi"/>
          <w:b/>
          <w:bCs/>
          <w:sz w:val="32"/>
          <w:szCs w:val="28"/>
          <w:lang w:val="en-GB"/>
        </w:rPr>
      </w:pPr>
      <w:r w:rsidRPr="00814C67">
        <w:rPr>
          <w:lang w:val="en-GB"/>
        </w:rPr>
        <w:br w:type="page"/>
      </w:r>
    </w:p>
    <w:p w:rsidR="00C92E75" w:rsidRPr="00814C67" w:rsidRDefault="00F92AD3" w:rsidP="00F92AD3">
      <w:pPr>
        <w:pStyle w:val="Heading1"/>
        <w:rPr>
          <w:color w:val="auto"/>
        </w:rPr>
      </w:pPr>
      <w:r w:rsidRPr="00814C67">
        <w:rPr>
          <w:color w:val="auto"/>
          <w:lang w:val="en-GB"/>
        </w:rPr>
        <w:t>Supplementary references</w:t>
      </w:r>
    </w:p>
    <w:p w:rsidR="00814C67" w:rsidRPr="00814C67" w:rsidRDefault="00F456C3" w:rsidP="00814C67">
      <w:pPr>
        <w:pStyle w:val="Bibliography"/>
        <w:rPr>
          <w:rFonts w:cs="Arial"/>
        </w:rPr>
      </w:pPr>
      <w:r w:rsidRPr="00814C67">
        <w:fldChar w:fldCharType="begin"/>
      </w:r>
      <w:r w:rsidR="003970EA" w:rsidRPr="00814C67">
        <w:instrText xml:space="preserve"> ADDIN ZOTERO_BIBL {"uncited":[],"omitted":[],"custom":[]} CSL_BIBLIOGRAPHY </w:instrText>
      </w:r>
      <w:r w:rsidRPr="00814C67">
        <w:fldChar w:fldCharType="separate"/>
      </w:r>
      <w:r w:rsidR="00814C67" w:rsidRPr="00814C67">
        <w:rPr>
          <w:rFonts w:cs="Arial"/>
        </w:rPr>
        <w:t xml:space="preserve">1 </w:t>
      </w:r>
      <w:r w:rsidR="00814C67" w:rsidRPr="00814C67">
        <w:rPr>
          <w:rFonts w:cs="Arial"/>
        </w:rPr>
        <w:tab/>
        <w:t xml:space="preserve">Kapanaiah SKT, van der Veen B, Strahnen D, Akam T, Kätzel D. A low-cost open-source 5-choice operant box system optimized for electrophysiology and optophysiology in mice. </w:t>
      </w:r>
      <w:r w:rsidR="00814C67" w:rsidRPr="00814C67">
        <w:rPr>
          <w:rFonts w:cs="Arial"/>
          <w:i/>
          <w:iCs/>
        </w:rPr>
        <w:t>Sci Rep</w:t>
      </w:r>
      <w:r w:rsidR="00814C67" w:rsidRPr="00814C67">
        <w:rPr>
          <w:rFonts w:cs="Arial"/>
        </w:rPr>
        <w:t xml:space="preserve"> 2021; </w:t>
      </w:r>
      <w:r w:rsidR="00814C67" w:rsidRPr="00814C67">
        <w:rPr>
          <w:rFonts w:cs="Arial"/>
          <w:b/>
          <w:bCs/>
        </w:rPr>
        <w:t>11</w:t>
      </w:r>
      <w:r w:rsidR="00814C67" w:rsidRPr="00814C67">
        <w:rPr>
          <w:rFonts w:cs="Arial"/>
        </w:rPr>
        <w:t>: 22279.</w:t>
      </w:r>
    </w:p>
    <w:p w:rsidR="00814C67" w:rsidRPr="00814C67" w:rsidRDefault="00814C67" w:rsidP="00814C67">
      <w:pPr>
        <w:pStyle w:val="Bibliography"/>
        <w:rPr>
          <w:rFonts w:cs="Arial"/>
        </w:rPr>
      </w:pPr>
      <w:r w:rsidRPr="00814C67">
        <w:rPr>
          <w:rFonts w:cs="Arial"/>
        </w:rPr>
        <w:t xml:space="preserve">2 </w:t>
      </w:r>
      <w:r w:rsidRPr="00814C67">
        <w:rPr>
          <w:rFonts w:cs="Arial"/>
        </w:rPr>
        <w:tab/>
        <w:t xml:space="preserve">Akam T, Lustig A, Rowland JM, Kapanaiah SK, Esteve-Agraz J, Panniello M </w:t>
      </w:r>
      <w:r w:rsidRPr="00814C67">
        <w:rPr>
          <w:rFonts w:cs="Arial"/>
          <w:i/>
          <w:iCs/>
        </w:rPr>
        <w:t>et al.</w:t>
      </w:r>
      <w:r w:rsidRPr="00814C67">
        <w:rPr>
          <w:rFonts w:cs="Arial"/>
        </w:rPr>
        <w:t xml:space="preserve"> Open-source, Python-based, hardware and software for controlling behavioural neuroscience experiments. </w:t>
      </w:r>
      <w:r w:rsidRPr="00814C67">
        <w:rPr>
          <w:rFonts w:cs="Arial"/>
          <w:i/>
          <w:iCs/>
        </w:rPr>
        <w:t>eLife</w:t>
      </w:r>
      <w:r w:rsidRPr="00814C67">
        <w:rPr>
          <w:rFonts w:cs="Arial"/>
        </w:rPr>
        <w:t xml:space="preserve"> 2022; </w:t>
      </w:r>
      <w:r w:rsidRPr="00814C67">
        <w:rPr>
          <w:rFonts w:cs="Arial"/>
          <w:b/>
          <w:bCs/>
        </w:rPr>
        <w:t>11</w:t>
      </w:r>
      <w:r w:rsidRPr="00814C67">
        <w:rPr>
          <w:rFonts w:cs="Arial"/>
        </w:rPr>
        <w:t>: e67846.</w:t>
      </w:r>
    </w:p>
    <w:p w:rsidR="00814C67" w:rsidRPr="00814C67" w:rsidRDefault="00814C67" w:rsidP="00814C67">
      <w:pPr>
        <w:pStyle w:val="Bibliography"/>
        <w:rPr>
          <w:rFonts w:cs="Arial"/>
        </w:rPr>
      </w:pPr>
      <w:r w:rsidRPr="00814C67">
        <w:rPr>
          <w:rFonts w:cs="Arial"/>
        </w:rPr>
        <w:t xml:space="preserve">3 </w:t>
      </w:r>
      <w:r w:rsidRPr="00814C67">
        <w:rPr>
          <w:rFonts w:cs="Arial"/>
        </w:rPr>
        <w:tab/>
        <w:t xml:space="preserve">Grimm CM, Aksamaz S, Schulz S, Teutsch J, Sicinski P, Liss B </w:t>
      </w:r>
      <w:r w:rsidRPr="00814C67">
        <w:rPr>
          <w:rFonts w:cs="Arial"/>
          <w:i/>
          <w:iCs/>
        </w:rPr>
        <w:t>et al.</w:t>
      </w:r>
      <w:r w:rsidRPr="00814C67">
        <w:rPr>
          <w:rFonts w:cs="Arial"/>
        </w:rPr>
        <w:t xml:space="preserve"> Schizophrenia-related cognitive dysfunction in the Cyclin-D2 knockout mouse model of ventral hippocampal hyperactivity. </w:t>
      </w:r>
      <w:r w:rsidRPr="00814C67">
        <w:rPr>
          <w:rFonts w:cs="Arial"/>
          <w:i/>
          <w:iCs/>
        </w:rPr>
        <w:t>Transl Psychiatry</w:t>
      </w:r>
      <w:r w:rsidRPr="00814C67">
        <w:rPr>
          <w:rFonts w:cs="Arial"/>
        </w:rPr>
        <w:t xml:space="preserve"> 2018; </w:t>
      </w:r>
      <w:r w:rsidRPr="00814C67">
        <w:rPr>
          <w:rFonts w:cs="Arial"/>
          <w:b/>
          <w:bCs/>
        </w:rPr>
        <w:t>8</w:t>
      </w:r>
      <w:r w:rsidRPr="00814C67">
        <w:rPr>
          <w:rFonts w:cs="Arial"/>
        </w:rPr>
        <w:t>: 212.</w:t>
      </w:r>
    </w:p>
    <w:p w:rsidR="00814C67" w:rsidRPr="00814C67" w:rsidRDefault="00814C67" w:rsidP="00814C67">
      <w:pPr>
        <w:pStyle w:val="Bibliography"/>
        <w:rPr>
          <w:rFonts w:cs="Arial"/>
          <w:lang w:val="de-DE"/>
        </w:rPr>
      </w:pPr>
      <w:r w:rsidRPr="00814C67">
        <w:rPr>
          <w:rFonts w:cs="Arial"/>
        </w:rPr>
        <w:t xml:space="preserve">4 </w:t>
      </w:r>
      <w:r w:rsidRPr="00814C67">
        <w:rPr>
          <w:rFonts w:cs="Arial"/>
        </w:rPr>
        <w:tab/>
        <w:t xml:space="preserve">Bari A, Dalley JW, Robbins TW. The application of the 5-choice serial reaction time task for the assessment of visual attentional processes and impulse control in rats. </w:t>
      </w:r>
      <w:r w:rsidRPr="00814C67">
        <w:rPr>
          <w:rFonts w:cs="Arial"/>
          <w:i/>
          <w:iCs/>
          <w:lang w:val="de-DE"/>
        </w:rPr>
        <w:t>Nat Protoc</w:t>
      </w:r>
      <w:r w:rsidRPr="00814C67">
        <w:rPr>
          <w:rFonts w:cs="Arial"/>
          <w:lang w:val="de-DE"/>
        </w:rPr>
        <w:t xml:space="preserve"> 2008; </w:t>
      </w:r>
      <w:r w:rsidRPr="00814C67">
        <w:rPr>
          <w:rFonts w:cs="Arial"/>
          <w:b/>
          <w:bCs/>
          <w:lang w:val="de-DE"/>
        </w:rPr>
        <w:t>3</w:t>
      </w:r>
      <w:r w:rsidRPr="00814C67">
        <w:rPr>
          <w:rFonts w:cs="Arial"/>
          <w:lang w:val="de-DE"/>
        </w:rPr>
        <w:t>: 759–767.</w:t>
      </w:r>
    </w:p>
    <w:p w:rsidR="00814C67" w:rsidRPr="00814C67" w:rsidRDefault="00814C67" w:rsidP="00814C67">
      <w:pPr>
        <w:pStyle w:val="Bibliography"/>
        <w:rPr>
          <w:rFonts w:cs="Arial"/>
        </w:rPr>
      </w:pPr>
      <w:r w:rsidRPr="00814C67">
        <w:rPr>
          <w:rFonts w:cs="Arial"/>
          <w:lang w:val="de-DE"/>
        </w:rPr>
        <w:t xml:space="preserve">5 </w:t>
      </w:r>
      <w:r w:rsidRPr="00814C67">
        <w:rPr>
          <w:rFonts w:cs="Arial"/>
          <w:lang w:val="de-DE"/>
        </w:rPr>
        <w:tab/>
        <w:t xml:space="preserve">Kilonzo K, Veen B van der, Teutsch J, Schulz S, Kapanaiah SKT, Liss B </w:t>
      </w:r>
      <w:r w:rsidRPr="00814C67">
        <w:rPr>
          <w:rFonts w:cs="Arial"/>
          <w:i/>
          <w:iCs/>
          <w:lang w:val="de-DE"/>
        </w:rPr>
        <w:t>et al.</w:t>
      </w:r>
      <w:r w:rsidRPr="00814C67">
        <w:rPr>
          <w:rFonts w:cs="Arial"/>
          <w:lang w:val="de-DE"/>
        </w:rPr>
        <w:t xml:space="preserve"> </w:t>
      </w:r>
      <w:r w:rsidRPr="00814C67">
        <w:rPr>
          <w:rFonts w:cs="Arial"/>
        </w:rPr>
        <w:t xml:space="preserve">Delayed-matching-to-position working memory in mice relies on NMDA-receptors in prefrontal pyramidal cells. </w:t>
      </w:r>
      <w:r w:rsidRPr="00814C67">
        <w:rPr>
          <w:rFonts w:cs="Arial"/>
          <w:i/>
          <w:iCs/>
        </w:rPr>
        <w:t>Sci Rep</w:t>
      </w:r>
      <w:r w:rsidRPr="00814C67">
        <w:rPr>
          <w:rFonts w:cs="Arial"/>
        </w:rPr>
        <w:t xml:space="preserve"> 2021; </w:t>
      </w:r>
      <w:r w:rsidRPr="00814C67">
        <w:rPr>
          <w:rFonts w:cs="Arial"/>
          <w:b/>
          <w:bCs/>
        </w:rPr>
        <w:t>11</w:t>
      </w:r>
      <w:r w:rsidRPr="00814C67">
        <w:rPr>
          <w:rFonts w:cs="Arial"/>
        </w:rPr>
        <w:t>: 1–19.</w:t>
      </w:r>
    </w:p>
    <w:p w:rsidR="00814C67" w:rsidRPr="00814C67" w:rsidRDefault="00814C67" w:rsidP="00814C67">
      <w:pPr>
        <w:pStyle w:val="Bibliography"/>
        <w:rPr>
          <w:rFonts w:cs="Arial"/>
        </w:rPr>
      </w:pPr>
      <w:r w:rsidRPr="00814C67">
        <w:rPr>
          <w:rFonts w:cs="Arial"/>
        </w:rPr>
        <w:t xml:space="preserve">6 </w:t>
      </w:r>
      <w:r w:rsidRPr="00814C67">
        <w:rPr>
          <w:rFonts w:cs="Arial"/>
        </w:rPr>
        <w:tab/>
        <w:t xml:space="preserve">Hitti FL, Siegelbaum SA. The hippocampal CA2 region is essential for social memory. </w:t>
      </w:r>
      <w:r w:rsidRPr="00814C67">
        <w:rPr>
          <w:rFonts w:cs="Arial"/>
          <w:i/>
          <w:iCs/>
        </w:rPr>
        <w:t>Nature</w:t>
      </w:r>
      <w:r w:rsidRPr="00814C67">
        <w:rPr>
          <w:rFonts w:cs="Arial"/>
        </w:rPr>
        <w:t xml:space="preserve"> 2014; </w:t>
      </w:r>
      <w:r w:rsidRPr="00814C67">
        <w:rPr>
          <w:rFonts w:cs="Arial"/>
          <w:b/>
          <w:bCs/>
        </w:rPr>
        <w:t>508</w:t>
      </w:r>
      <w:r w:rsidRPr="00814C67">
        <w:rPr>
          <w:rFonts w:cs="Arial"/>
        </w:rPr>
        <w:t>: 88–92.</w:t>
      </w:r>
    </w:p>
    <w:p w:rsidR="00814C67" w:rsidRPr="00814C67" w:rsidRDefault="00814C67" w:rsidP="00814C67">
      <w:pPr>
        <w:pStyle w:val="Bibliography"/>
        <w:rPr>
          <w:rFonts w:cs="Arial"/>
        </w:rPr>
      </w:pPr>
      <w:r w:rsidRPr="00814C67">
        <w:rPr>
          <w:rFonts w:cs="Arial"/>
        </w:rPr>
        <w:t xml:space="preserve">7 </w:t>
      </w:r>
      <w:r w:rsidRPr="00814C67">
        <w:rPr>
          <w:rFonts w:cs="Arial"/>
        </w:rPr>
        <w:tab/>
        <w:t xml:space="preserve">Deacon RM. Assessing nest building in mice. </w:t>
      </w:r>
      <w:r w:rsidRPr="00814C67">
        <w:rPr>
          <w:rFonts w:cs="Arial"/>
          <w:i/>
          <w:iCs/>
        </w:rPr>
        <w:t>Nat Protoc</w:t>
      </w:r>
      <w:r w:rsidRPr="00814C67">
        <w:rPr>
          <w:rFonts w:cs="Arial"/>
        </w:rPr>
        <w:t xml:space="preserve"> 2006; </w:t>
      </w:r>
      <w:r w:rsidRPr="00814C67">
        <w:rPr>
          <w:rFonts w:cs="Arial"/>
          <w:b/>
          <w:bCs/>
        </w:rPr>
        <w:t>1</w:t>
      </w:r>
      <w:r w:rsidRPr="00814C67">
        <w:rPr>
          <w:rFonts w:cs="Arial"/>
        </w:rPr>
        <w:t>: 1117–1119.</w:t>
      </w:r>
    </w:p>
    <w:p w:rsidR="00D76B89" w:rsidRPr="00814C67" w:rsidRDefault="00F456C3" w:rsidP="009A5E38">
      <w:r w:rsidRPr="00814C67">
        <w:fldChar w:fldCharType="end"/>
      </w:r>
      <w:r w:rsidR="00F77EA7" w:rsidRPr="00814C67">
        <w:t>.</w:t>
      </w:r>
    </w:p>
    <w:p w:rsidR="00F87EFC" w:rsidRPr="00814C67" w:rsidRDefault="00F87EFC" w:rsidP="00F92AD3">
      <w:pPr>
        <w:rPr>
          <w:b/>
          <w:lang w:val="en-GB"/>
        </w:rPr>
      </w:pPr>
    </w:p>
    <w:sectPr w:rsidR="00F87EFC" w:rsidRPr="00814C67" w:rsidSect="0031602C">
      <w:footerReference w:type="default" r:id="rId21"/>
      <w:pgSz w:w="11900" w:h="16840"/>
      <w:pgMar w:top="1440" w:right="1440" w:bottom="1440" w:left="1440" w:header="720" w:footer="720" w:gutter="0"/>
      <w:lnNumType w:countBy="1" w:restart="continuous"/>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B464C47" w16cid:durableId="1EAE4D9D"/>
  <w16cid:commentId w16cid:paraId="72E8FAC2" w16cid:durableId="1EAE4D9E"/>
  <w16cid:commentId w16cid:paraId="1A7BF80B" w16cid:durableId="1EAE4D9F"/>
  <w16cid:commentId w16cid:paraId="20E781A9" w16cid:durableId="1EAE4DA0"/>
  <w16cid:commentId w16cid:paraId="6C65E4B1" w16cid:durableId="1EAE4DA1"/>
  <w16cid:commentId w16cid:paraId="1C035243" w16cid:durableId="1EAE4DA2"/>
  <w16cid:commentId w16cid:paraId="4677A6D6" w16cid:durableId="1EAE4DA3"/>
  <w16cid:commentId w16cid:paraId="7748390E" w16cid:durableId="1EAE4DA4"/>
  <w16cid:commentId w16cid:paraId="724E71F5" w16cid:durableId="1EAE4DA5"/>
  <w16cid:commentId w16cid:paraId="4676CAA6" w16cid:durableId="1EAE4DA6"/>
  <w16cid:commentId w16cid:paraId="56492BE1" w16cid:durableId="1EAE4DA7"/>
  <w16cid:commentId w16cid:paraId="50252DF4" w16cid:durableId="1EAE4DA8"/>
  <w16cid:commentId w16cid:paraId="3D60D3F7" w16cid:durableId="1EAE4DA9"/>
  <w16cid:commentId w16cid:paraId="46B07AE7" w16cid:durableId="1EAE4FD3"/>
  <w16cid:commentId w16cid:paraId="776DF84D" w16cid:durableId="1EAE4DAA"/>
  <w16cid:commentId w16cid:paraId="50DB8853" w16cid:durableId="1EAE4DAB"/>
  <w16cid:commentId w16cid:paraId="1109B6CA" w16cid:durableId="1EAE509A"/>
  <w16cid:commentId w16cid:paraId="3CB626AB" w16cid:durableId="1EAE4DAC"/>
  <w16cid:commentId w16cid:paraId="32F64C4F" w16cid:durableId="1EAE4DAD"/>
  <w16cid:commentId w16cid:paraId="5440FF2A" w16cid:durableId="1EAE4DAE"/>
  <w16cid:commentId w16cid:paraId="7FAA5AF5" w16cid:durableId="1EAE4DAF"/>
  <w16cid:commentId w16cid:paraId="45707233" w16cid:durableId="1EAE4DB0"/>
  <w16cid:commentId w16cid:paraId="4DDF1E3D" w16cid:durableId="1EAE4DB1"/>
  <w16cid:commentId w16cid:paraId="0397EB6C" w16cid:durableId="1EAE4DB2"/>
  <w16cid:commentId w16cid:paraId="762F38DE" w16cid:durableId="1EAE4DB3"/>
  <w16cid:commentId w16cid:paraId="0CA5840E" w16cid:durableId="1EAE4DB4"/>
  <w16cid:commentId w16cid:paraId="44C7B3AD" w16cid:durableId="1EAE4DB5"/>
  <w16cid:commentId w16cid:paraId="3C44BC3B" w16cid:durableId="1EAE4DB6"/>
  <w16cid:commentId w16cid:paraId="33F5E8BE" w16cid:durableId="1EAE4DB7"/>
  <w16cid:commentId w16cid:paraId="7BEE9B89" w16cid:durableId="1EAE4DB8"/>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7AD0" w:rsidRDefault="00907AD0" w:rsidP="007711E7">
      <w:pPr>
        <w:spacing w:line="240" w:lineRule="auto"/>
      </w:pPr>
      <w:r>
        <w:separator/>
      </w:r>
    </w:p>
  </w:endnote>
  <w:endnote w:type="continuationSeparator" w:id="0">
    <w:p w:rsidR="00907AD0" w:rsidRDefault="00907AD0" w:rsidP="007711E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26919204"/>
      <w:docPartObj>
        <w:docPartGallery w:val="Page Numbers (Bottom of Page)"/>
        <w:docPartUnique/>
      </w:docPartObj>
    </w:sdtPr>
    <w:sdtContent>
      <w:p w:rsidR="00A856DB" w:rsidRDefault="00F456C3">
        <w:pPr>
          <w:pStyle w:val="Footer"/>
          <w:jc w:val="center"/>
        </w:pPr>
        <w:fldSimple w:instr=" PAGE   \* MERGEFORMAT ">
          <w:r w:rsidR="00907AD0">
            <w:rPr>
              <w:noProof/>
            </w:rPr>
            <w:t>1</w:t>
          </w:r>
        </w:fldSimple>
      </w:p>
    </w:sdtContent>
  </w:sdt>
  <w:p w:rsidR="00A856DB" w:rsidRDefault="00A856D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7AD0" w:rsidRDefault="00907AD0" w:rsidP="007711E7">
      <w:pPr>
        <w:spacing w:line="240" w:lineRule="auto"/>
      </w:pPr>
      <w:r>
        <w:separator/>
      </w:r>
    </w:p>
  </w:footnote>
  <w:footnote w:type="continuationSeparator" w:id="0">
    <w:p w:rsidR="00907AD0" w:rsidRDefault="00907AD0" w:rsidP="007711E7">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E1EA5"/>
    <w:multiLevelType w:val="hybridMultilevel"/>
    <w:tmpl w:val="BB146590"/>
    <w:lvl w:ilvl="0" w:tplc="D4486F56">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AD72ACC"/>
    <w:multiLevelType w:val="hybridMultilevel"/>
    <w:tmpl w:val="DA44F656"/>
    <w:lvl w:ilvl="0" w:tplc="1848DE12">
      <w:start w:val="1"/>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FA27984"/>
    <w:multiLevelType w:val="hybridMultilevel"/>
    <w:tmpl w:val="0E86839A"/>
    <w:lvl w:ilvl="0" w:tplc="FABA5A3C">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08A2C8B"/>
    <w:multiLevelType w:val="hybridMultilevel"/>
    <w:tmpl w:val="B0C045B6"/>
    <w:lvl w:ilvl="0" w:tplc="F8DE2660">
      <w:start w:val="1"/>
      <w:numFmt w:val="bullet"/>
      <w:lvlText w:val="-"/>
      <w:lvlJc w:val="left"/>
      <w:pPr>
        <w:ind w:left="720" w:hanging="360"/>
      </w:pPr>
      <w:rPr>
        <w:rFonts w:ascii="Calibri" w:eastAsiaTheme="minorEastAsia"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5263584E"/>
    <w:multiLevelType w:val="hybridMultilevel"/>
    <w:tmpl w:val="0660E374"/>
    <w:lvl w:ilvl="0" w:tplc="AC1E64D0">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5D8B6F45"/>
    <w:multiLevelType w:val="hybridMultilevel"/>
    <w:tmpl w:val="F806885E"/>
    <w:lvl w:ilvl="0" w:tplc="22D22432">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E4922FA"/>
    <w:multiLevelType w:val="hybridMultilevel"/>
    <w:tmpl w:val="C3FACB4E"/>
    <w:lvl w:ilvl="0" w:tplc="96E6755C">
      <w:start w:val="1"/>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6AD1481"/>
    <w:multiLevelType w:val="hybridMultilevel"/>
    <w:tmpl w:val="D58606DA"/>
    <w:lvl w:ilvl="0" w:tplc="10EEBF48">
      <w:start w:val="3"/>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7"/>
  </w:num>
  <w:num w:numId="4">
    <w:abstractNumId w:val="0"/>
  </w:num>
  <w:num w:numId="5">
    <w:abstractNumId w:val="6"/>
  </w:num>
  <w:num w:numId="6">
    <w:abstractNumId w:val="3"/>
  </w:num>
  <w:num w:numId="7">
    <w:abstractNumId w:val="1"/>
  </w:num>
  <w:num w:numId="8">
    <w:abstractNumId w:val="5"/>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lexei Bygrave">
    <w15:presenceInfo w15:providerId="Windows Live" w15:userId="9cd2f6f841a862c8"/>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hyphenationZone w:val="425"/>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useFELayout/>
  </w:compat>
  <w:rsids>
    <w:rsidRoot w:val="002E37DB"/>
    <w:rsid w:val="00000705"/>
    <w:rsid w:val="0000104E"/>
    <w:rsid w:val="0000168E"/>
    <w:rsid w:val="00002918"/>
    <w:rsid w:val="0000297F"/>
    <w:rsid w:val="000038D5"/>
    <w:rsid w:val="00004150"/>
    <w:rsid w:val="00004630"/>
    <w:rsid w:val="00004952"/>
    <w:rsid w:val="00004FCB"/>
    <w:rsid w:val="00005589"/>
    <w:rsid w:val="00006505"/>
    <w:rsid w:val="0000700B"/>
    <w:rsid w:val="00007495"/>
    <w:rsid w:val="0000773E"/>
    <w:rsid w:val="00010DC5"/>
    <w:rsid w:val="00011630"/>
    <w:rsid w:val="00012D7A"/>
    <w:rsid w:val="000138FE"/>
    <w:rsid w:val="0001442B"/>
    <w:rsid w:val="0001460E"/>
    <w:rsid w:val="00014D1A"/>
    <w:rsid w:val="00014DA0"/>
    <w:rsid w:val="0001658A"/>
    <w:rsid w:val="00017C49"/>
    <w:rsid w:val="00017CA4"/>
    <w:rsid w:val="00023B52"/>
    <w:rsid w:val="00025111"/>
    <w:rsid w:val="000256C8"/>
    <w:rsid w:val="000267DD"/>
    <w:rsid w:val="00027C55"/>
    <w:rsid w:val="00030109"/>
    <w:rsid w:val="000307AE"/>
    <w:rsid w:val="00031E2E"/>
    <w:rsid w:val="000329A6"/>
    <w:rsid w:val="00032EC4"/>
    <w:rsid w:val="000332E1"/>
    <w:rsid w:val="00033D06"/>
    <w:rsid w:val="000341CF"/>
    <w:rsid w:val="00034958"/>
    <w:rsid w:val="0003503E"/>
    <w:rsid w:val="00036469"/>
    <w:rsid w:val="000376A9"/>
    <w:rsid w:val="00037B86"/>
    <w:rsid w:val="00037C98"/>
    <w:rsid w:val="00041C38"/>
    <w:rsid w:val="000431E6"/>
    <w:rsid w:val="0004491E"/>
    <w:rsid w:val="000465F3"/>
    <w:rsid w:val="00046DA2"/>
    <w:rsid w:val="00050A75"/>
    <w:rsid w:val="00054625"/>
    <w:rsid w:val="00056F5D"/>
    <w:rsid w:val="00057160"/>
    <w:rsid w:val="0005760F"/>
    <w:rsid w:val="00057CE5"/>
    <w:rsid w:val="000605A4"/>
    <w:rsid w:val="00062230"/>
    <w:rsid w:val="0006247A"/>
    <w:rsid w:val="000625A0"/>
    <w:rsid w:val="00063754"/>
    <w:rsid w:val="000643EA"/>
    <w:rsid w:val="0006499A"/>
    <w:rsid w:val="00065AC8"/>
    <w:rsid w:val="00065EB5"/>
    <w:rsid w:val="00067EEC"/>
    <w:rsid w:val="00070361"/>
    <w:rsid w:val="000710FF"/>
    <w:rsid w:val="000715C8"/>
    <w:rsid w:val="00072447"/>
    <w:rsid w:val="00072718"/>
    <w:rsid w:val="00072A46"/>
    <w:rsid w:val="00073AF3"/>
    <w:rsid w:val="00073E92"/>
    <w:rsid w:val="00073F01"/>
    <w:rsid w:val="000743B5"/>
    <w:rsid w:val="000759A0"/>
    <w:rsid w:val="00076012"/>
    <w:rsid w:val="00076138"/>
    <w:rsid w:val="000761CD"/>
    <w:rsid w:val="00082D3C"/>
    <w:rsid w:val="00083629"/>
    <w:rsid w:val="00085AE6"/>
    <w:rsid w:val="00086D73"/>
    <w:rsid w:val="000876AE"/>
    <w:rsid w:val="000934A1"/>
    <w:rsid w:val="000941B1"/>
    <w:rsid w:val="0009470F"/>
    <w:rsid w:val="000951FB"/>
    <w:rsid w:val="00097226"/>
    <w:rsid w:val="00097B08"/>
    <w:rsid w:val="000A1083"/>
    <w:rsid w:val="000A254E"/>
    <w:rsid w:val="000A2A8F"/>
    <w:rsid w:val="000A6216"/>
    <w:rsid w:val="000A7C9F"/>
    <w:rsid w:val="000B1239"/>
    <w:rsid w:val="000B16F0"/>
    <w:rsid w:val="000B1C03"/>
    <w:rsid w:val="000B2A47"/>
    <w:rsid w:val="000B2E21"/>
    <w:rsid w:val="000B3CD9"/>
    <w:rsid w:val="000B3CEC"/>
    <w:rsid w:val="000B3F4A"/>
    <w:rsid w:val="000B5C2F"/>
    <w:rsid w:val="000B74CF"/>
    <w:rsid w:val="000B7956"/>
    <w:rsid w:val="000C10D9"/>
    <w:rsid w:val="000C1394"/>
    <w:rsid w:val="000C1F14"/>
    <w:rsid w:val="000C3BD1"/>
    <w:rsid w:val="000C4143"/>
    <w:rsid w:val="000C4AC1"/>
    <w:rsid w:val="000C50BC"/>
    <w:rsid w:val="000C5560"/>
    <w:rsid w:val="000D1406"/>
    <w:rsid w:val="000D1A10"/>
    <w:rsid w:val="000D2280"/>
    <w:rsid w:val="000D306B"/>
    <w:rsid w:val="000D4557"/>
    <w:rsid w:val="000D4939"/>
    <w:rsid w:val="000D4FA6"/>
    <w:rsid w:val="000D511C"/>
    <w:rsid w:val="000D51CB"/>
    <w:rsid w:val="000D708D"/>
    <w:rsid w:val="000D73BD"/>
    <w:rsid w:val="000E0D88"/>
    <w:rsid w:val="000E15B0"/>
    <w:rsid w:val="000E1951"/>
    <w:rsid w:val="000E2772"/>
    <w:rsid w:val="000E277F"/>
    <w:rsid w:val="000E2CB3"/>
    <w:rsid w:val="000E5421"/>
    <w:rsid w:val="000E65B6"/>
    <w:rsid w:val="000E66E0"/>
    <w:rsid w:val="000E6805"/>
    <w:rsid w:val="000E7115"/>
    <w:rsid w:val="000E75C7"/>
    <w:rsid w:val="000F0F78"/>
    <w:rsid w:val="000F11E4"/>
    <w:rsid w:val="000F12D8"/>
    <w:rsid w:val="000F130E"/>
    <w:rsid w:val="000F1F4C"/>
    <w:rsid w:val="000F2723"/>
    <w:rsid w:val="000F2A40"/>
    <w:rsid w:val="000F338B"/>
    <w:rsid w:val="000F409F"/>
    <w:rsid w:val="000F562F"/>
    <w:rsid w:val="000F5951"/>
    <w:rsid w:val="000F7167"/>
    <w:rsid w:val="000F71BA"/>
    <w:rsid w:val="000F7827"/>
    <w:rsid w:val="000F7B55"/>
    <w:rsid w:val="00100CBF"/>
    <w:rsid w:val="00100D14"/>
    <w:rsid w:val="00102CF1"/>
    <w:rsid w:val="00104124"/>
    <w:rsid w:val="0010500E"/>
    <w:rsid w:val="001055E1"/>
    <w:rsid w:val="001057C3"/>
    <w:rsid w:val="00105945"/>
    <w:rsid w:val="00105C53"/>
    <w:rsid w:val="0010656B"/>
    <w:rsid w:val="00106F35"/>
    <w:rsid w:val="00106FCB"/>
    <w:rsid w:val="00107008"/>
    <w:rsid w:val="0010754F"/>
    <w:rsid w:val="001077B0"/>
    <w:rsid w:val="00107C40"/>
    <w:rsid w:val="00110603"/>
    <w:rsid w:val="00112262"/>
    <w:rsid w:val="00114E6B"/>
    <w:rsid w:val="00116CF9"/>
    <w:rsid w:val="001176D1"/>
    <w:rsid w:val="00121294"/>
    <w:rsid w:val="001212D3"/>
    <w:rsid w:val="001214C2"/>
    <w:rsid w:val="0012175F"/>
    <w:rsid w:val="00121A18"/>
    <w:rsid w:val="00121E78"/>
    <w:rsid w:val="001231E0"/>
    <w:rsid w:val="00124282"/>
    <w:rsid w:val="0012719C"/>
    <w:rsid w:val="00127728"/>
    <w:rsid w:val="00127845"/>
    <w:rsid w:val="00127F88"/>
    <w:rsid w:val="00130715"/>
    <w:rsid w:val="00130B18"/>
    <w:rsid w:val="001316BC"/>
    <w:rsid w:val="00132B1F"/>
    <w:rsid w:val="00132C80"/>
    <w:rsid w:val="00132DCD"/>
    <w:rsid w:val="00133210"/>
    <w:rsid w:val="00136BF0"/>
    <w:rsid w:val="0013760A"/>
    <w:rsid w:val="00137610"/>
    <w:rsid w:val="001416AA"/>
    <w:rsid w:val="00142181"/>
    <w:rsid w:val="00142EAF"/>
    <w:rsid w:val="00143EAB"/>
    <w:rsid w:val="00147609"/>
    <w:rsid w:val="00150FDF"/>
    <w:rsid w:val="0015394C"/>
    <w:rsid w:val="00153E44"/>
    <w:rsid w:val="00155086"/>
    <w:rsid w:val="001560CB"/>
    <w:rsid w:val="00156439"/>
    <w:rsid w:val="001569AC"/>
    <w:rsid w:val="0015743F"/>
    <w:rsid w:val="0015745C"/>
    <w:rsid w:val="00157CF9"/>
    <w:rsid w:val="00157E1A"/>
    <w:rsid w:val="001602EB"/>
    <w:rsid w:val="00161997"/>
    <w:rsid w:val="00161A8B"/>
    <w:rsid w:val="0016208E"/>
    <w:rsid w:val="0016291E"/>
    <w:rsid w:val="001649F8"/>
    <w:rsid w:val="00165FAE"/>
    <w:rsid w:val="00165FFE"/>
    <w:rsid w:val="001664CD"/>
    <w:rsid w:val="00166EC7"/>
    <w:rsid w:val="00166F76"/>
    <w:rsid w:val="00170D7A"/>
    <w:rsid w:val="001712AF"/>
    <w:rsid w:val="0017301B"/>
    <w:rsid w:val="0017415A"/>
    <w:rsid w:val="001744BF"/>
    <w:rsid w:val="00174A73"/>
    <w:rsid w:val="00175635"/>
    <w:rsid w:val="00176FAF"/>
    <w:rsid w:val="00177567"/>
    <w:rsid w:val="00180812"/>
    <w:rsid w:val="00180B96"/>
    <w:rsid w:val="00183095"/>
    <w:rsid w:val="0018451E"/>
    <w:rsid w:val="001858A3"/>
    <w:rsid w:val="00186E7A"/>
    <w:rsid w:val="001873DF"/>
    <w:rsid w:val="00187EE8"/>
    <w:rsid w:val="00191423"/>
    <w:rsid w:val="00192739"/>
    <w:rsid w:val="001936D9"/>
    <w:rsid w:val="00193EDF"/>
    <w:rsid w:val="00193F75"/>
    <w:rsid w:val="00194828"/>
    <w:rsid w:val="001A078F"/>
    <w:rsid w:val="001A0FC4"/>
    <w:rsid w:val="001A135C"/>
    <w:rsid w:val="001A1F05"/>
    <w:rsid w:val="001A386B"/>
    <w:rsid w:val="001A3EA9"/>
    <w:rsid w:val="001A446D"/>
    <w:rsid w:val="001A728A"/>
    <w:rsid w:val="001B049A"/>
    <w:rsid w:val="001B161C"/>
    <w:rsid w:val="001B184B"/>
    <w:rsid w:val="001B277B"/>
    <w:rsid w:val="001B4103"/>
    <w:rsid w:val="001B46BC"/>
    <w:rsid w:val="001B4AEE"/>
    <w:rsid w:val="001B4AF8"/>
    <w:rsid w:val="001B4F2F"/>
    <w:rsid w:val="001B6497"/>
    <w:rsid w:val="001B65C8"/>
    <w:rsid w:val="001B6F44"/>
    <w:rsid w:val="001B7DDB"/>
    <w:rsid w:val="001C10FB"/>
    <w:rsid w:val="001C1C56"/>
    <w:rsid w:val="001C2C65"/>
    <w:rsid w:val="001C4BC4"/>
    <w:rsid w:val="001C5101"/>
    <w:rsid w:val="001C74C9"/>
    <w:rsid w:val="001D0513"/>
    <w:rsid w:val="001D0936"/>
    <w:rsid w:val="001D24A1"/>
    <w:rsid w:val="001D41A9"/>
    <w:rsid w:val="001D49A3"/>
    <w:rsid w:val="001D522C"/>
    <w:rsid w:val="001D5683"/>
    <w:rsid w:val="001D73EA"/>
    <w:rsid w:val="001D7A8A"/>
    <w:rsid w:val="001E139E"/>
    <w:rsid w:val="001E4515"/>
    <w:rsid w:val="001E5061"/>
    <w:rsid w:val="001E608A"/>
    <w:rsid w:val="001E6C19"/>
    <w:rsid w:val="001E7859"/>
    <w:rsid w:val="001F0A57"/>
    <w:rsid w:val="001F141E"/>
    <w:rsid w:val="001F4C18"/>
    <w:rsid w:val="001F502A"/>
    <w:rsid w:val="001F5AC4"/>
    <w:rsid w:val="001F5C5E"/>
    <w:rsid w:val="001F6D78"/>
    <w:rsid w:val="001F6DA8"/>
    <w:rsid w:val="001F7140"/>
    <w:rsid w:val="001F7734"/>
    <w:rsid w:val="0020128A"/>
    <w:rsid w:val="0020247B"/>
    <w:rsid w:val="002026C0"/>
    <w:rsid w:val="00202C5C"/>
    <w:rsid w:val="00203DDF"/>
    <w:rsid w:val="0020409B"/>
    <w:rsid w:val="002045AA"/>
    <w:rsid w:val="0020540E"/>
    <w:rsid w:val="0020644F"/>
    <w:rsid w:val="0021045F"/>
    <w:rsid w:val="00210CAE"/>
    <w:rsid w:val="002115C5"/>
    <w:rsid w:val="00212BFD"/>
    <w:rsid w:val="00213A1F"/>
    <w:rsid w:val="0021494C"/>
    <w:rsid w:val="002162BC"/>
    <w:rsid w:val="002170C4"/>
    <w:rsid w:val="00220553"/>
    <w:rsid w:val="00220CE2"/>
    <w:rsid w:val="00222D63"/>
    <w:rsid w:val="00222E99"/>
    <w:rsid w:val="00223D80"/>
    <w:rsid w:val="00226A60"/>
    <w:rsid w:val="00227CA1"/>
    <w:rsid w:val="00230EDE"/>
    <w:rsid w:val="00232063"/>
    <w:rsid w:val="002324CD"/>
    <w:rsid w:val="0023403C"/>
    <w:rsid w:val="002350EE"/>
    <w:rsid w:val="00236656"/>
    <w:rsid w:val="0023786C"/>
    <w:rsid w:val="0023790C"/>
    <w:rsid w:val="00237B06"/>
    <w:rsid w:val="00240300"/>
    <w:rsid w:val="002408D6"/>
    <w:rsid w:val="00240EC3"/>
    <w:rsid w:val="00241D64"/>
    <w:rsid w:val="00241E72"/>
    <w:rsid w:val="0024217C"/>
    <w:rsid w:val="00242F02"/>
    <w:rsid w:val="00243E89"/>
    <w:rsid w:val="00244C10"/>
    <w:rsid w:val="00244D2C"/>
    <w:rsid w:val="0024556D"/>
    <w:rsid w:val="0024568D"/>
    <w:rsid w:val="0024590F"/>
    <w:rsid w:val="0024647F"/>
    <w:rsid w:val="00246702"/>
    <w:rsid w:val="00246CB7"/>
    <w:rsid w:val="00250256"/>
    <w:rsid w:val="00250523"/>
    <w:rsid w:val="00250856"/>
    <w:rsid w:val="00251122"/>
    <w:rsid w:val="002547F3"/>
    <w:rsid w:val="002562A8"/>
    <w:rsid w:val="00256549"/>
    <w:rsid w:val="00260B7C"/>
    <w:rsid w:val="00260C25"/>
    <w:rsid w:val="002614D2"/>
    <w:rsid w:val="00261D2A"/>
    <w:rsid w:val="0026448A"/>
    <w:rsid w:val="00264BB1"/>
    <w:rsid w:val="00265B79"/>
    <w:rsid w:val="00267070"/>
    <w:rsid w:val="00267656"/>
    <w:rsid w:val="00267C88"/>
    <w:rsid w:val="00267D62"/>
    <w:rsid w:val="0027386B"/>
    <w:rsid w:val="00273FF9"/>
    <w:rsid w:val="002754E8"/>
    <w:rsid w:val="00276BDA"/>
    <w:rsid w:val="0027761C"/>
    <w:rsid w:val="002816F1"/>
    <w:rsid w:val="00282A29"/>
    <w:rsid w:val="0028336F"/>
    <w:rsid w:val="00285AA9"/>
    <w:rsid w:val="00286163"/>
    <w:rsid w:val="00287243"/>
    <w:rsid w:val="00287D60"/>
    <w:rsid w:val="00290053"/>
    <w:rsid w:val="00292932"/>
    <w:rsid w:val="00292EA3"/>
    <w:rsid w:val="0029328D"/>
    <w:rsid w:val="00293447"/>
    <w:rsid w:val="00293E39"/>
    <w:rsid w:val="00293FEB"/>
    <w:rsid w:val="00294CA8"/>
    <w:rsid w:val="00294D47"/>
    <w:rsid w:val="00295BE5"/>
    <w:rsid w:val="002968A1"/>
    <w:rsid w:val="002A02EC"/>
    <w:rsid w:val="002A06EE"/>
    <w:rsid w:val="002A0A1F"/>
    <w:rsid w:val="002A1C07"/>
    <w:rsid w:val="002A2864"/>
    <w:rsid w:val="002A3AB0"/>
    <w:rsid w:val="002A42D9"/>
    <w:rsid w:val="002A4DCE"/>
    <w:rsid w:val="002A5145"/>
    <w:rsid w:val="002A515C"/>
    <w:rsid w:val="002A5CD3"/>
    <w:rsid w:val="002A684F"/>
    <w:rsid w:val="002A7125"/>
    <w:rsid w:val="002B0689"/>
    <w:rsid w:val="002B1BAF"/>
    <w:rsid w:val="002B3030"/>
    <w:rsid w:val="002B33FC"/>
    <w:rsid w:val="002B4EEB"/>
    <w:rsid w:val="002B5358"/>
    <w:rsid w:val="002C1C94"/>
    <w:rsid w:val="002C5A92"/>
    <w:rsid w:val="002C5E41"/>
    <w:rsid w:val="002C624C"/>
    <w:rsid w:val="002C7204"/>
    <w:rsid w:val="002C752E"/>
    <w:rsid w:val="002C7D43"/>
    <w:rsid w:val="002D0723"/>
    <w:rsid w:val="002D10CF"/>
    <w:rsid w:val="002D163A"/>
    <w:rsid w:val="002D18C4"/>
    <w:rsid w:val="002D21CE"/>
    <w:rsid w:val="002D26AE"/>
    <w:rsid w:val="002D2827"/>
    <w:rsid w:val="002D31C4"/>
    <w:rsid w:val="002D36B1"/>
    <w:rsid w:val="002D398B"/>
    <w:rsid w:val="002D3E8A"/>
    <w:rsid w:val="002D5091"/>
    <w:rsid w:val="002D6FE6"/>
    <w:rsid w:val="002E0AFF"/>
    <w:rsid w:val="002E228E"/>
    <w:rsid w:val="002E3530"/>
    <w:rsid w:val="002E37DB"/>
    <w:rsid w:val="002E3AF6"/>
    <w:rsid w:val="002E4E51"/>
    <w:rsid w:val="002F2A68"/>
    <w:rsid w:val="002F2AD6"/>
    <w:rsid w:val="002F342B"/>
    <w:rsid w:val="002F374C"/>
    <w:rsid w:val="002F3A67"/>
    <w:rsid w:val="002F4C89"/>
    <w:rsid w:val="002F4F96"/>
    <w:rsid w:val="002F5E03"/>
    <w:rsid w:val="002F66EF"/>
    <w:rsid w:val="002F77FC"/>
    <w:rsid w:val="003005F8"/>
    <w:rsid w:val="003020B3"/>
    <w:rsid w:val="0030251C"/>
    <w:rsid w:val="003029D3"/>
    <w:rsid w:val="00303545"/>
    <w:rsid w:val="003038B9"/>
    <w:rsid w:val="003048E3"/>
    <w:rsid w:val="00304FA1"/>
    <w:rsid w:val="00305AFD"/>
    <w:rsid w:val="00305D10"/>
    <w:rsid w:val="00305FE2"/>
    <w:rsid w:val="00307156"/>
    <w:rsid w:val="003072D8"/>
    <w:rsid w:val="00307BA1"/>
    <w:rsid w:val="00307DBB"/>
    <w:rsid w:val="00310503"/>
    <w:rsid w:val="00310712"/>
    <w:rsid w:val="003129CD"/>
    <w:rsid w:val="00312A7D"/>
    <w:rsid w:val="00313416"/>
    <w:rsid w:val="00313768"/>
    <w:rsid w:val="003147E9"/>
    <w:rsid w:val="00315BAE"/>
    <w:rsid w:val="0031602C"/>
    <w:rsid w:val="00316AEF"/>
    <w:rsid w:val="00316E0C"/>
    <w:rsid w:val="003171F6"/>
    <w:rsid w:val="00317A36"/>
    <w:rsid w:val="003218F5"/>
    <w:rsid w:val="0032239C"/>
    <w:rsid w:val="003223B6"/>
    <w:rsid w:val="00322421"/>
    <w:rsid w:val="00322510"/>
    <w:rsid w:val="00322CB2"/>
    <w:rsid w:val="00323774"/>
    <w:rsid w:val="00325A2D"/>
    <w:rsid w:val="00325C15"/>
    <w:rsid w:val="00326745"/>
    <w:rsid w:val="00326F86"/>
    <w:rsid w:val="00327AB5"/>
    <w:rsid w:val="003319DE"/>
    <w:rsid w:val="00332C11"/>
    <w:rsid w:val="00333218"/>
    <w:rsid w:val="00334B94"/>
    <w:rsid w:val="003358AC"/>
    <w:rsid w:val="00341A37"/>
    <w:rsid w:val="003431BB"/>
    <w:rsid w:val="00343798"/>
    <w:rsid w:val="00343D06"/>
    <w:rsid w:val="00344A83"/>
    <w:rsid w:val="00346A2A"/>
    <w:rsid w:val="00347051"/>
    <w:rsid w:val="00347DAE"/>
    <w:rsid w:val="00347F84"/>
    <w:rsid w:val="00351546"/>
    <w:rsid w:val="003516F2"/>
    <w:rsid w:val="00351B6E"/>
    <w:rsid w:val="00352DEE"/>
    <w:rsid w:val="00353104"/>
    <w:rsid w:val="00353AD3"/>
    <w:rsid w:val="00353EE1"/>
    <w:rsid w:val="00355227"/>
    <w:rsid w:val="00357276"/>
    <w:rsid w:val="00357E23"/>
    <w:rsid w:val="0036100D"/>
    <w:rsid w:val="00361F80"/>
    <w:rsid w:val="00362B2F"/>
    <w:rsid w:val="00362ED9"/>
    <w:rsid w:val="00364C46"/>
    <w:rsid w:val="00365C0B"/>
    <w:rsid w:val="0036666F"/>
    <w:rsid w:val="00370EE1"/>
    <w:rsid w:val="003712C7"/>
    <w:rsid w:val="00371389"/>
    <w:rsid w:val="003726D8"/>
    <w:rsid w:val="0037285A"/>
    <w:rsid w:val="00372DBC"/>
    <w:rsid w:val="003743A2"/>
    <w:rsid w:val="00376246"/>
    <w:rsid w:val="00376838"/>
    <w:rsid w:val="0037742E"/>
    <w:rsid w:val="00381458"/>
    <w:rsid w:val="0038229C"/>
    <w:rsid w:val="00383A40"/>
    <w:rsid w:val="0038410F"/>
    <w:rsid w:val="003841C2"/>
    <w:rsid w:val="00384948"/>
    <w:rsid w:val="00385021"/>
    <w:rsid w:val="003851A6"/>
    <w:rsid w:val="00387139"/>
    <w:rsid w:val="00387298"/>
    <w:rsid w:val="00390A02"/>
    <w:rsid w:val="00390AD3"/>
    <w:rsid w:val="00390C18"/>
    <w:rsid w:val="00390C8E"/>
    <w:rsid w:val="003917CF"/>
    <w:rsid w:val="0039195E"/>
    <w:rsid w:val="003919B2"/>
    <w:rsid w:val="003920D1"/>
    <w:rsid w:val="0039444F"/>
    <w:rsid w:val="00394577"/>
    <w:rsid w:val="00395441"/>
    <w:rsid w:val="00395583"/>
    <w:rsid w:val="00395704"/>
    <w:rsid w:val="00396794"/>
    <w:rsid w:val="003970EA"/>
    <w:rsid w:val="00397574"/>
    <w:rsid w:val="003A1986"/>
    <w:rsid w:val="003A3053"/>
    <w:rsid w:val="003A3082"/>
    <w:rsid w:val="003A5339"/>
    <w:rsid w:val="003A5C76"/>
    <w:rsid w:val="003A6959"/>
    <w:rsid w:val="003B1289"/>
    <w:rsid w:val="003B18BC"/>
    <w:rsid w:val="003B1EBE"/>
    <w:rsid w:val="003B2A14"/>
    <w:rsid w:val="003B2DF7"/>
    <w:rsid w:val="003B3322"/>
    <w:rsid w:val="003B3A28"/>
    <w:rsid w:val="003B3F62"/>
    <w:rsid w:val="003B57DA"/>
    <w:rsid w:val="003B67F8"/>
    <w:rsid w:val="003B6B7D"/>
    <w:rsid w:val="003B7ADF"/>
    <w:rsid w:val="003C12B2"/>
    <w:rsid w:val="003C1DF1"/>
    <w:rsid w:val="003C1FDD"/>
    <w:rsid w:val="003C28C2"/>
    <w:rsid w:val="003C32D1"/>
    <w:rsid w:val="003C3A62"/>
    <w:rsid w:val="003C3C74"/>
    <w:rsid w:val="003C5B1C"/>
    <w:rsid w:val="003C618C"/>
    <w:rsid w:val="003C6273"/>
    <w:rsid w:val="003D0CF8"/>
    <w:rsid w:val="003D1430"/>
    <w:rsid w:val="003D1F64"/>
    <w:rsid w:val="003D22FC"/>
    <w:rsid w:val="003D5A4C"/>
    <w:rsid w:val="003D5EAD"/>
    <w:rsid w:val="003D604F"/>
    <w:rsid w:val="003D6630"/>
    <w:rsid w:val="003D6FFB"/>
    <w:rsid w:val="003D73F3"/>
    <w:rsid w:val="003E1580"/>
    <w:rsid w:val="003E28F7"/>
    <w:rsid w:val="003E32F0"/>
    <w:rsid w:val="003E4BAA"/>
    <w:rsid w:val="003E6CE0"/>
    <w:rsid w:val="003E7CF5"/>
    <w:rsid w:val="003E7CF6"/>
    <w:rsid w:val="003E7CF9"/>
    <w:rsid w:val="003F1DA0"/>
    <w:rsid w:val="003F201F"/>
    <w:rsid w:val="003F229A"/>
    <w:rsid w:val="003F46AF"/>
    <w:rsid w:val="003F5892"/>
    <w:rsid w:val="003F656B"/>
    <w:rsid w:val="003F77E7"/>
    <w:rsid w:val="00400DC5"/>
    <w:rsid w:val="0040131F"/>
    <w:rsid w:val="004013DC"/>
    <w:rsid w:val="004025D9"/>
    <w:rsid w:val="00403D4C"/>
    <w:rsid w:val="00404BA0"/>
    <w:rsid w:val="004054E4"/>
    <w:rsid w:val="004055FF"/>
    <w:rsid w:val="0040614C"/>
    <w:rsid w:val="00415051"/>
    <w:rsid w:val="00415438"/>
    <w:rsid w:val="00415D76"/>
    <w:rsid w:val="004165AE"/>
    <w:rsid w:val="00416725"/>
    <w:rsid w:val="004208E4"/>
    <w:rsid w:val="00421F6C"/>
    <w:rsid w:val="0042338F"/>
    <w:rsid w:val="0042494B"/>
    <w:rsid w:val="0042713B"/>
    <w:rsid w:val="0043050F"/>
    <w:rsid w:val="004307C0"/>
    <w:rsid w:val="00430CE1"/>
    <w:rsid w:val="0043107C"/>
    <w:rsid w:val="004313A2"/>
    <w:rsid w:val="00432006"/>
    <w:rsid w:val="004324C6"/>
    <w:rsid w:val="0043295D"/>
    <w:rsid w:val="00432993"/>
    <w:rsid w:val="00433CA4"/>
    <w:rsid w:val="0043423E"/>
    <w:rsid w:val="004342D3"/>
    <w:rsid w:val="0043441A"/>
    <w:rsid w:val="00434C0D"/>
    <w:rsid w:val="004356CC"/>
    <w:rsid w:val="00437773"/>
    <w:rsid w:val="00437D2D"/>
    <w:rsid w:val="0044094E"/>
    <w:rsid w:val="0044131A"/>
    <w:rsid w:val="004414D0"/>
    <w:rsid w:val="00441B41"/>
    <w:rsid w:val="00441D9D"/>
    <w:rsid w:val="00441E95"/>
    <w:rsid w:val="00441F3B"/>
    <w:rsid w:val="00443051"/>
    <w:rsid w:val="0044555A"/>
    <w:rsid w:val="00452523"/>
    <w:rsid w:val="004526E1"/>
    <w:rsid w:val="00454407"/>
    <w:rsid w:val="004556A1"/>
    <w:rsid w:val="0045599E"/>
    <w:rsid w:val="0045668F"/>
    <w:rsid w:val="0045716A"/>
    <w:rsid w:val="0045721D"/>
    <w:rsid w:val="00460226"/>
    <w:rsid w:val="004609B8"/>
    <w:rsid w:val="00462836"/>
    <w:rsid w:val="00462F49"/>
    <w:rsid w:val="00463363"/>
    <w:rsid w:val="0046482B"/>
    <w:rsid w:val="00464FA5"/>
    <w:rsid w:val="00465D67"/>
    <w:rsid w:val="00465DBD"/>
    <w:rsid w:val="00466093"/>
    <w:rsid w:val="00466106"/>
    <w:rsid w:val="004678D8"/>
    <w:rsid w:val="00471CF6"/>
    <w:rsid w:val="00472709"/>
    <w:rsid w:val="00472B72"/>
    <w:rsid w:val="00473906"/>
    <w:rsid w:val="0047398D"/>
    <w:rsid w:val="00473BC3"/>
    <w:rsid w:val="00475F55"/>
    <w:rsid w:val="00476E09"/>
    <w:rsid w:val="004776AC"/>
    <w:rsid w:val="00480155"/>
    <w:rsid w:val="00481DBC"/>
    <w:rsid w:val="00482B43"/>
    <w:rsid w:val="00482DA3"/>
    <w:rsid w:val="00484137"/>
    <w:rsid w:val="00484AA0"/>
    <w:rsid w:val="00484AEA"/>
    <w:rsid w:val="00484B6C"/>
    <w:rsid w:val="004852B0"/>
    <w:rsid w:val="00485ACB"/>
    <w:rsid w:val="00486DAF"/>
    <w:rsid w:val="00487A9F"/>
    <w:rsid w:val="00490F96"/>
    <w:rsid w:val="0049205D"/>
    <w:rsid w:val="00492FC9"/>
    <w:rsid w:val="00495846"/>
    <w:rsid w:val="0049793A"/>
    <w:rsid w:val="004A0097"/>
    <w:rsid w:val="004A118C"/>
    <w:rsid w:val="004A182B"/>
    <w:rsid w:val="004A215F"/>
    <w:rsid w:val="004A4233"/>
    <w:rsid w:val="004A5262"/>
    <w:rsid w:val="004A7369"/>
    <w:rsid w:val="004A744E"/>
    <w:rsid w:val="004A7D5C"/>
    <w:rsid w:val="004B09BE"/>
    <w:rsid w:val="004B1C57"/>
    <w:rsid w:val="004B20F4"/>
    <w:rsid w:val="004B2ACB"/>
    <w:rsid w:val="004B2BB0"/>
    <w:rsid w:val="004B3050"/>
    <w:rsid w:val="004B36B9"/>
    <w:rsid w:val="004B4854"/>
    <w:rsid w:val="004B49B0"/>
    <w:rsid w:val="004B59AB"/>
    <w:rsid w:val="004B6D05"/>
    <w:rsid w:val="004C038F"/>
    <w:rsid w:val="004C05AD"/>
    <w:rsid w:val="004C082E"/>
    <w:rsid w:val="004C088C"/>
    <w:rsid w:val="004C17CA"/>
    <w:rsid w:val="004C2085"/>
    <w:rsid w:val="004C3ACF"/>
    <w:rsid w:val="004C56BD"/>
    <w:rsid w:val="004C5F23"/>
    <w:rsid w:val="004C7D65"/>
    <w:rsid w:val="004D02D9"/>
    <w:rsid w:val="004D217A"/>
    <w:rsid w:val="004D2BE1"/>
    <w:rsid w:val="004D3BE9"/>
    <w:rsid w:val="004D405F"/>
    <w:rsid w:val="004D40FA"/>
    <w:rsid w:val="004D5067"/>
    <w:rsid w:val="004D7A40"/>
    <w:rsid w:val="004D7B43"/>
    <w:rsid w:val="004D7F35"/>
    <w:rsid w:val="004E3689"/>
    <w:rsid w:val="004E4379"/>
    <w:rsid w:val="004E4392"/>
    <w:rsid w:val="004E4F5B"/>
    <w:rsid w:val="004E5911"/>
    <w:rsid w:val="004E665D"/>
    <w:rsid w:val="004E67B6"/>
    <w:rsid w:val="004E67D8"/>
    <w:rsid w:val="004F1351"/>
    <w:rsid w:val="004F1762"/>
    <w:rsid w:val="004F232E"/>
    <w:rsid w:val="004F466F"/>
    <w:rsid w:val="004F5BD5"/>
    <w:rsid w:val="004F5C94"/>
    <w:rsid w:val="004F68FD"/>
    <w:rsid w:val="004F6C15"/>
    <w:rsid w:val="004F6E38"/>
    <w:rsid w:val="004F70FC"/>
    <w:rsid w:val="004F74A7"/>
    <w:rsid w:val="004F7702"/>
    <w:rsid w:val="00501159"/>
    <w:rsid w:val="00501E75"/>
    <w:rsid w:val="005036B7"/>
    <w:rsid w:val="00505A4B"/>
    <w:rsid w:val="00506D50"/>
    <w:rsid w:val="00510E80"/>
    <w:rsid w:val="0051103E"/>
    <w:rsid w:val="0051160D"/>
    <w:rsid w:val="0051288E"/>
    <w:rsid w:val="00513CE9"/>
    <w:rsid w:val="005144BD"/>
    <w:rsid w:val="0051472D"/>
    <w:rsid w:val="00514B4D"/>
    <w:rsid w:val="00516A02"/>
    <w:rsid w:val="0051798A"/>
    <w:rsid w:val="0052159D"/>
    <w:rsid w:val="00522950"/>
    <w:rsid w:val="00523923"/>
    <w:rsid w:val="0052572D"/>
    <w:rsid w:val="00526830"/>
    <w:rsid w:val="0052771F"/>
    <w:rsid w:val="0053016F"/>
    <w:rsid w:val="005333B7"/>
    <w:rsid w:val="005356E0"/>
    <w:rsid w:val="00535E0F"/>
    <w:rsid w:val="00537052"/>
    <w:rsid w:val="00540562"/>
    <w:rsid w:val="00542C1E"/>
    <w:rsid w:val="005448E0"/>
    <w:rsid w:val="0054588D"/>
    <w:rsid w:val="00546679"/>
    <w:rsid w:val="00547686"/>
    <w:rsid w:val="00547DE6"/>
    <w:rsid w:val="00550347"/>
    <w:rsid w:val="00550A94"/>
    <w:rsid w:val="00553616"/>
    <w:rsid w:val="00553727"/>
    <w:rsid w:val="00553FEF"/>
    <w:rsid w:val="0055783C"/>
    <w:rsid w:val="00557EAC"/>
    <w:rsid w:val="0056023A"/>
    <w:rsid w:val="00561EC9"/>
    <w:rsid w:val="00562471"/>
    <w:rsid w:val="005625A3"/>
    <w:rsid w:val="005628AE"/>
    <w:rsid w:val="00562BE2"/>
    <w:rsid w:val="00563984"/>
    <w:rsid w:val="00563BE9"/>
    <w:rsid w:val="00566C20"/>
    <w:rsid w:val="00566F1B"/>
    <w:rsid w:val="00570286"/>
    <w:rsid w:val="00570A4E"/>
    <w:rsid w:val="0057197B"/>
    <w:rsid w:val="00571BA7"/>
    <w:rsid w:val="00572F6D"/>
    <w:rsid w:val="00573119"/>
    <w:rsid w:val="00573FEC"/>
    <w:rsid w:val="00574B43"/>
    <w:rsid w:val="00574CAC"/>
    <w:rsid w:val="005773C2"/>
    <w:rsid w:val="00577E10"/>
    <w:rsid w:val="005802B4"/>
    <w:rsid w:val="00580525"/>
    <w:rsid w:val="005837E3"/>
    <w:rsid w:val="00583C8C"/>
    <w:rsid w:val="00584386"/>
    <w:rsid w:val="00584E08"/>
    <w:rsid w:val="005860E6"/>
    <w:rsid w:val="005878A8"/>
    <w:rsid w:val="00587FA0"/>
    <w:rsid w:val="00590369"/>
    <w:rsid w:val="00590DE3"/>
    <w:rsid w:val="005912A6"/>
    <w:rsid w:val="00594796"/>
    <w:rsid w:val="00594AC3"/>
    <w:rsid w:val="00597001"/>
    <w:rsid w:val="005975C2"/>
    <w:rsid w:val="00597824"/>
    <w:rsid w:val="005A1BEE"/>
    <w:rsid w:val="005A2AAC"/>
    <w:rsid w:val="005A2DEE"/>
    <w:rsid w:val="005A33F2"/>
    <w:rsid w:val="005A3767"/>
    <w:rsid w:val="005A46F3"/>
    <w:rsid w:val="005A578C"/>
    <w:rsid w:val="005A5B98"/>
    <w:rsid w:val="005A61D1"/>
    <w:rsid w:val="005A6B91"/>
    <w:rsid w:val="005A742D"/>
    <w:rsid w:val="005A74A9"/>
    <w:rsid w:val="005A7625"/>
    <w:rsid w:val="005A778A"/>
    <w:rsid w:val="005A7CE1"/>
    <w:rsid w:val="005B037D"/>
    <w:rsid w:val="005B17D7"/>
    <w:rsid w:val="005B1AFD"/>
    <w:rsid w:val="005B2CA2"/>
    <w:rsid w:val="005B3B7C"/>
    <w:rsid w:val="005B459B"/>
    <w:rsid w:val="005B5277"/>
    <w:rsid w:val="005B6007"/>
    <w:rsid w:val="005B6222"/>
    <w:rsid w:val="005B6423"/>
    <w:rsid w:val="005C039F"/>
    <w:rsid w:val="005C1D6D"/>
    <w:rsid w:val="005C270C"/>
    <w:rsid w:val="005C3C3C"/>
    <w:rsid w:val="005C3CCB"/>
    <w:rsid w:val="005C3D4E"/>
    <w:rsid w:val="005C3D94"/>
    <w:rsid w:val="005C3FFE"/>
    <w:rsid w:val="005C5BD0"/>
    <w:rsid w:val="005C6245"/>
    <w:rsid w:val="005C6E78"/>
    <w:rsid w:val="005C7109"/>
    <w:rsid w:val="005C73C0"/>
    <w:rsid w:val="005C7E3F"/>
    <w:rsid w:val="005D0DDA"/>
    <w:rsid w:val="005D24A8"/>
    <w:rsid w:val="005D2EBA"/>
    <w:rsid w:val="005D3AAC"/>
    <w:rsid w:val="005D4B8E"/>
    <w:rsid w:val="005D4CD9"/>
    <w:rsid w:val="005D4D25"/>
    <w:rsid w:val="005D4E65"/>
    <w:rsid w:val="005D5358"/>
    <w:rsid w:val="005D5D66"/>
    <w:rsid w:val="005D5E0E"/>
    <w:rsid w:val="005D6429"/>
    <w:rsid w:val="005D69AB"/>
    <w:rsid w:val="005E1874"/>
    <w:rsid w:val="005E1945"/>
    <w:rsid w:val="005E1FA8"/>
    <w:rsid w:val="005E2AA3"/>
    <w:rsid w:val="005E2F32"/>
    <w:rsid w:val="005E4288"/>
    <w:rsid w:val="005E435D"/>
    <w:rsid w:val="005E49AA"/>
    <w:rsid w:val="005E5028"/>
    <w:rsid w:val="005E72F5"/>
    <w:rsid w:val="005F1B95"/>
    <w:rsid w:val="005F211F"/>
    <w:rsid w:val="005F21EC"/>
    <w:rsid w:val="005F3271"/>
    <w:rsid w:val="005F367E"/>
    <w:rsid w:val="005F3E8A"/>
    <w:rsid w:val="005F4A1F"/>
    <w:rsid w:val="005F4CE0"/>
    <w:rsid w:val="005F5308"/>
    <w:rsid w:val="005F56B7"/>
    <w:rsid w:val="005F57E7"/>
    <w:rsid w:val="005F64F6"/>
    <w:rsid w:val="005F7951"/>
    <w:rsid w:val="006006DC"/>
    <w:rsid w:val="006007F3"/>
    <w:rsid w:val="006011CF"/>
    <w:rsid w:val="00601D6A"/>
    <w:rsid w:val="00601EB3"/>
    <w:rsid w:val="006054BA"/>
    <w:rsid w:val="00605B4C"/>
    <w:rsid w:val="00606DB7"/>
    <w:rsid w:val="0060767F"/>
    <w:rsid w:val="006110F3"/>
    <w:rsid w:val="00612A0A"/>
    <w:rsid w:val="00612F69"/>
    <w:rsid w:val="006143CB"/>
    <w:rsid w:val="00614491"/>
    <w:rsid w:val="00615723"/>
    <w:rsid w:val="006161D5"/>
    <w:rsid w:val="00616200"/>
    <w:rsid w:val="006172B8"/>
    <w:rsid w:val="006205E1"/>
    <w:rsid w:val="006208CA"/>
    <w:rsid w:val="0062159D"/>
    <w:rsid w:val="00623BEF"/>
    <w:rsid w:val="00623EAC"/>
    <w:rsid w:val="00625030"/>
    <w:rsid w:val="00625086"/>
    <w:rsid w:val="0062530A"/>
    <w:rsid w:val="00626937"/>
    <w:rsid w:val="00626CAA"/>
    <w:rsid w:val="00630AF3"/>
    <w:rsid w:val="00630B0C"/>
    <w:rsid w:val="00630CE0"/>
    <w:rsid w:val="00630D88"/>
    <w:rsid w:val="0063267E"/>
    <w:rsid w:val="00632CF8"/>
    <w:rsid w:val="006330F2"/>
    <w:rsid w:val="00633152"/>
    <w:rsid w:val="00633798"/>
    <w:rsid w:val="00633E11"/>
    <w:rsid w:val="00634781"/>
    <w:rsid w:val="00634C08"/>
    <w:rsid w:val="0063509E"/>
    <w:rsid w:val="006357C4"/>
    <w:rsid w:val="00635A73"/>
    <w:rsid w:val="00635CDD"/>
    <w:rsid w:val="00636A19"/>
    <w:rsid w:val="00636A39"/>
    <w:rsid w:val="00637C44"/>
    <w:rsid w:val="00640724"/>
    <w:rsid w:val="00640A05"/>
    <w:rsid w:val="006410E1"/>
    <w:rsid w:val="00641E26"/>
    <w:rsid w:val="00642D1F"/>
    <w:rsid w:val="00643B90"/>
    <w:rsid w:val="00643D4E"/>
    <w:rsid w:val="0064406E"/>
    <w:rsid w:val="006471F0"/>
    <w:rsid w:val="00647625"/>
    <w:rsid w:val="00652B65"/>
    <w:rsid w:val="00654453"/>
    <w:rsid w:val="00655600"/>
    <w:rsid w:val="00655778"/>
    <w:rsid w:val="006571CD"/>
    <w:rsid w:val="00657C2C"/>
    <w:rsid w:val="0066126C"/>
    <w:rsid w:val="00661770"/>
    <w:rsid w:val="006630F0"/>
    <w:rsid w:val="006639D9"/>
    <w:rsid w:val="006644C2"/>
    <w:rsid w:val="006667A8"/>
    <w:rsid w:val="00666B0A"/>
    <w:rsid w:val="00671544"/>
    <w:rsid w:val="00672ED2"/>
    <w:rsid w:val="00673625"/>
    <w:rsid w:val="00673662"/>
    <w:rsid w:val="00673A20"/>
    <w:rsid w:val="00673C61"/>
    <w:rsid w:val="00674646"/>
    <w:rsid w:val="0067594D"/>
    <w:rsid w:val="00675F2C"/>
    <w:rsid w:val="00676926"/>
    <w:rsid w:val="00676B18"/>
    <w:rsid w:val="0068084A"/>
    <w:rsid w:val="006814D5"/>
    <w:rsid w:val="00682FAB"/>
    <w:rsid w:val="00683362"/>
    <w:rsid w:val="0068546F"/>
    <w:rsid w:val="00686877"/>
    <w:rsid w:val="0068738B"/>
    <w:rsid w:val="00687638"/>
    <w:rsid w:val="00687E81"/>
    <w:rsid w:val="006905AE"/>
    <w:rsid w:val="00690F40"/>
    <w:rsid w:val="006921B3"/>
    <w:rsid w:val="006926D1"/>
    <w:rsid w:val="00692778"/>
    <w:rsid w:val="00692991"/>
    <w:rsid w:val="006936C7"/>
    <w:rsid w:val="00694540"/>
    <w:rsid w:val="006946B1"/>
    <w:rsid w:val="00694BA4"/>
    <w:rsid w:val="00694E1F"/>
    <w:rsid w:val="00695C13"/>
    <w:rsid w:val="00696169"/>
    <w:rsid w:val="00697BAE"/>
    <w:rsid w:val="00697C61"/>
    <w:rsid w:val="006A133B"/>
    <w:rsid w:val="006A13FF"/>
    <w:rsid w:val="006A14F8"/>
    <w:rsid w:val="006A2868"/>
    <w:rsid w:val="006A402E"/>
    <w:rsid w:val="006A4F63"/>
    <w:rsid w:val="006A747E"/>
    <w:rsid w:val="006B029B"/>
    <w:rsid w:val="006B03E0"/>
    <w:rsid w:val="006B0992"/>
    <w:rsid w:val="006B1DE9"/>
    <w:rsid w:val="006B24F3"/>
    <w:rsid w:val="006B2D2B"/>
    <w:rsid w:val="006B304A"/>
    <w:rsid w:val="006B4A79"/>
    <w:rsid w:val="006B4CF5"/>
    <w:rsid w:val="006B52FC"/>
    <w:rsid w:val="006B54F7"/>
    <w:rsid w:val="006B5FC3"/>
    <w:rsid w:val="006B6C48"/>
    <w:rsid w:val="006B7517"/>
    <w:rsid w:val="006C18F1"/>
    <w:rsid w:val="006C1E68"/>
    <w:rsid w:val="006C1FE5"/>
    <w:rsid w:val="006C3D61"/>
    <w:rsid w:val="006C43EE"/>
    <w:rsid w:val="006C43EF"/>
    <w:rsid w:val="006C4C5B"/>
    <w:rsid w:val="006C63B7"/>
    <w:rsid w:val="006C692F"/>
    <w:rsid w:val="006C7D44"/>
    <w:rsid w:val="006D01E4"/>
    <w:rsid w:val="006D03F5"/>
    <w:rsid w:val="006D1B70"/>
    <w:rsid w:val="006D1FFC"/>
    <w:rsid w:val="006D22E2"/>
    <w:rsid w:val="006D240A"/>
    <w:rsid w:val="006D34D9"/>
    <w:rsid w:val="006D4240"/>
    <w:rsid w:val="006D470B"/>
    <w:rsid w:val="006D534F"/>
    <w:rsid w:val="006D6ECB"/>
    <w:rsid w:val="006E0AF1"/>
    <w:rsid w:val="006E1094"/>
    <w:rsid w:val="006E198B"/>
    <w:rsid w:val="006E2BF0"/>
    <w:rsid w:val="006E3938"/>
    <w:rsid w:val="006E396B"/>
    <w:rsid w:val="006E3C11"/>
    <w:rsid w:val="006E3D3A"/>
    <w:rsid w:val="006E40A4"/>
    <w:rsid w:val="006E4368"/>
    <w:rsid w:val="006E4B7B"/>
    <w:rsid w:val="006E63EB"/>
    <w:rsid w:val="006E773E"/>
    <w:rsid w:val="006F1BAC"/>
    <w:rsid w:val="006F1F12"/>
    <w:rsid w:val="006F27DB"/>
    <w:rsid w:val="006F2BCA"/>
    <w:rsid w:val="006F4325"/>
    <w:rsid w:val="006F5713"/>
    <w:rsid w:val="006F6F52"/>
    <w:rsid w:val="00702158"/>
    <w:rsid w:val="007034A5"/>
    <w:rsid w:val="007039FE"/>
    <w:rsid w:val="00703F50"/>
    <w:rsid w:val="00704D49"/>
    <w:rsid w:val="007068E5"/>
    <w:rsid w:val="00706988"/>
    <w:rsid w:val="007076E1"/>
    <w:rsid w:val="007116A6"/>
    <w:rsid w:val="00711E3C"/>
    <w:rsid w:val="00713098"/>
    <w:rsid w:val="0071327E"/>
    <w:rsid w:val="007140A9"/>
    <w:rsid w:val="0071598F"/>
    <w:rsid w:val="00716590"/>
    <w:rsid w:val="00716720"/>
    <w:rsid w:val="00720B4B"/>
    <w:rsid w:val="00720B69"/>
    <w:rsid w:val="00722084"/>
    <w:rsid w:val="00724B51"/>
    <w:rsid w:val="007301C5"/>
    <w:rsid w:val="007302BC"/>
    <w:rsid w:val="007302CA"/>
    <w:rsid w:val="0073152A"/>
    <w:rsid w:val="0073274A"/>
    <w:rsid w:val="00733802"/>
    <w:rsid w:val="00735107"/>
    <w:rsid w:val="00736391"/>
    <w:rsid w:val="007367F5"/>
    <w:rsid w:val="007374DF"/>
    <w:rsid w:val="00737D73"/>
    <w:rsid w:val="007403E4"/>
    <w:rsid w:val="00741DF1"/>
    <w:rsid w:val="0074212A"/>
    <w:rsid w:val="007449D8"/>
    <w:rsid w:val="0074599A"/>
    <w:rsid w:val="00745DFF"/>
    <w:rsid w:val="007465D6"/>
    <w:rsid w:val="0075064E"/>
    <w:rsid w:val="007512FB"/>
    <w:rsid w:val="0075222F"/>
    <w:rsid w:val="00752394"/>
    <w:rsid w:val="007545B9"/>
    <w:rsid w:val="00754911"/>
    <w:rsid w:val="00755F96"/>
    <w:rsid w:val="0076253F"/>
    <w:rsid w:val="00762C45"/>
    <w:rsid w:val="0076320B"/>
    <w:rsid w:val="00766002"/>
    <w:rsid w:val="007662FE"/>
    <w:rsid w:val="00766B4D"/>
    <w:rsid w:val="00767B6B"/>
    <w:rsid w:val="007711E7"/>
    <w:rsid w:val="00771C9F"/>
    <w:rsid w:val="00772583"/>
    <w:rsid w:val="00773341"/>
    <w:rsid w:val="00773E37"/>
    <w:rsid w:val="0077503D"/>
    <w:rsid w:val="007752C7"/>
    <w:rsid w:val="00775A1A"/>
    <w:rsid w:val="00776CD5"/>
    <w:rsid w:val="0078023A"/>
    <w:rsid w:val="00780303"/>
    <w:rsid w:val="00780729"/>
    <w:rsid w:val="00780A31"/>
    <w:rsid w:val="00780E45"/>
    <w:rsid w:val="00781E16"/>
    <w:rsid w:val="00782DA0"/>
    <w:rsid w:val="00783818"/>
    <w:rsid w:val="00785143"/>
    <w:rsid w:val="00785BD4"/>
    <w:rsid w:val="00785BD9"/>
    <w:rsid w:val="00787983"/>
    <w:rsid w:val="00787D4A"/>
    <w:rsid w:val="00787D9E"/>
    <w:rsid w:val="00791082"/>
    <w:rsid w:val="007924A2"/>
    <w:rsid w:val="00792867"/>
    <w:rsid w:val="00793E3B"/>
    <w:rsid w:val="00794FA8"/>
    <w:rsid w:val="007A0609"/>
    <w:rsid w:val="007A20EC"/>
    <w:rsid w:val="007A2341"/>
    <w:rsid w:val="007A2D54"/>
    <w:rsid w:val="007A388C"/>
    <w:rsid w:val="007A6346"/>
    <w:rsid w:val="007A672D"/>
    <w:rsid w:val="007A7784"/>
    <w:rsid w:val="007B05A9"/>
    <w:rsid w:val="007B1870"/>
    <w:rsid w:val="007B2CAA"/>
    <w:rsid w:val="007B2F34"/>
    <w:rsid w:val="007B3BA6"/>
    <w:rsid w:val="007B4312"/>
    <w:rsid w:val="007B4B6C"/>
    <w:rsid w:val="007B658B"/>
    <w:rsid w:val="007B671C"/>
    <w:rsid w:val="007C03D2"/>
    <w:rsid w:val="007C2F2B"/>
    <w:rsid w:val="007C392C"/>
    <w:rsid w:val="007C3B4A"/>
    <w:rsid w:val="007C3C96"/>
    <w:rsid w:val="007C5237"/>
    <w:rsid w:val="007C5ECD"/>
    <w:rsid w:val="007C6A86"/>
    <w:rsid w:val="007C6FBB"/>
    <w:rsid w:val="007C73E1"/>
    <w:rsid w:val="007D0FBD"/>
    <w:rsid w:val="007D0FF4"/>
    <w:rsid w:val="007D1430"/>
    <w:rsid w:val="007D1DF6"/>
    <w:rsid w:val="007D21D1"/>
    <w:rsid w:val="007D268D"/>
    <w:rsid w:val="007D2BF7"/>
    <w:rsid w:val="007D4756"/>
    <w:rsid w:val="007D52B9"/>
    <w:rsid w:val="007D5419"/>
    <w:rsid w:val="007D5FC8"/>
    <w:rsid w:val="007D7A23"/>
    <w:rsid w:val="007E001F"/>
    <w:rsid w:val="007E66E9"/>
    <w:rsid w:val="007E6758"/>
    <w:rsid w:val="007E67DB"/>
    <w:rsid w:val="007E7D29"/>
    <w:rsid w:val="007F01A5"/>
    <w:rsid w:val="007F01E3"/>
    <w:rsid w:val="007F0229"/>
    <w:rsid w:val="007F3E31"/>
    <w:rsid w:val="007F4BD8"/>
    <w:rsid w:val="007F64B0"/>
    <w:rsid w:val="007F6FE7"/>
    <w:rsid w:val="008011D5"/>
    <w:rsid w:val="008013FE"/>
    <w:rsid w:val="008039EF"/>
    <w:rsid w:val="008040ED"/>
    <w:rsid w:val="0080486B"/>
    <w:rsid w:val="00807354"/>
    <w:rsid w:val="008117EE"/>
    <w:rsid w:val="00814C67"/>
    <w:rsid w:val="0081583C"/>
    <w:rsid w:val="0081634C"/>
    <w:rsid w:val="00816560"/>
    <w:rsid w:val="00816A01"/>
    <w:rsid w:val="00817030"/>
    <w:rsid w:val="00817140"/>
    <w:rsid w:val="008171C0"/>
    <w:rsid w:val="00817288"/>
    <w:rsid w:val="00820072"/>
    <w:rsid w:val="00820227"/>
    <w:rsid w:val="00820345"/>
    <w:rsid w:val="00820E35"/>
    <w:rsid w:val="00821970"/>
    <w:rsid w:val="00822BE7"/>
    <w:rsid w:val="00823A45"/>
    <w:rsid w:val="00825992"/>
    <w:rsid w:val="0082633B"/>
    <w:rsid w:val="0082648E"/>
    <w:rsid w:val="00826DAB"/>
    <w:rsid w:val="00827774"/>
    <w:rsid w:val="00830263"/>
    <w:rsid w:val="00831745"/>
    <w:rsid w:val="00831A62"/>
    <w:rsid w:val="00831C0B"/>
    <w:rsid w:val="00832D6C"/>
    <w:rsid w:val="00833DF9"/>
    <w:rsid w:val="00834267"/>
    <w:rsid w:val="00835F2F"/>
    <w:rsid w:val="0083700D"/>
    <w:rsid w:val="00837481"/>
    <w:rsid w:val="008374A8"/>
    <w:rsid w:val="00837955"/>
    <w:rsid w:val="00837BBC"/>
    <w:rsid w:val="00840677"/>
    <w:rsid w:val="00841899"/>
    <w:rsid w:val="00841AB9"/>
    <w:rsid w:val="00841CF4"/>
    <w:rsid w:val="00843BB7"/>
    <w:rsid w:val="00844064"/>
    <w:rsid w:val="00844D34"/>
    <w:rsid w:val="008476E0"/>
    <w:rsid w:val="00847C6B"/>
    <w:rsid w:val="008501AE"/>
    <w:rsid w:val="00850CB0"/>
    <w:rsid w:val="0085231A"/>
    <w:rsid w:val="00852AC5"/>
    <w:rsid w:val="00853CE2"/>
    <w:rsid w:val="008553E5"/>
    <w:rsid w:val="00856F93"/>
    <w:rsid w:val="00857415"/>
    <w:rsid w:val="008575AD"/>
    <w:rsid w:val="00857E1D"/>
    <w:rsid w:val="00864393"/>
    <w:rsid w:val="00864C28"/>
    <w:rsid w:val="00865A55"/>
    <w:rsid w:val="00867736"/>
    <w:rsid w:val="008709FA"/>
    <w:rsid w:val="00870BCD"/>
    <w:rsid w:val="00870D4A"/>
    <w:rsid w:val="00871458"/>
    <w:rsid w:val="00871664"/>
    <w:rsid w:val="00871929"/>
    <w:rsid w:val="008729EE"/>
    <w:rsid w:val="00873055"/>
    <w:rsid w:val="00873347"/>
    <w:rsid w:val="008739F8"/>
    <w:rsid w:val="00875971"/>
    <w:rsid w:val="00875C09"/>
    <w:rsid w:val="00877082"/>
    <w:rsid w:val="00877555"/>
    <w:rsid w:val="008819E7"/>
    <w:rsid w:val="0088248D"/>
    <w:rsid w:val="00882AC8"/>
    <w:rsid w:val="00883744"/>
    <w:rsid w:val="008850E5"/>
    <w:rsid w:val="0088670A"/>
    <w:rsid w:val="008872EE"/>
    <w:rsid w:val="008874B9"/>
    <w:rsid w:val="00887CCE"/>
    <w:rsid w:val="0089016D"/>
    <w:rsid w:val="008906D4"/>
    <w:rsid w:val="00892AFC"/>
    <w:rsid w:val="00892E30"/>
    <w:rsid w:val="008935A2"/>
    <w:rsid w:val="00893833"/>
    <w:rsid w:val="00893C23"/>
    <w:rsid w:val="00893C9B"/>
    <w:rsid w:val="00893E0D"/>
    <w:rsid w:val="00894147"/>
    <w:rsid w:val="008945BE"/>
    <w:rsid w:val="00895CB5"/>
    <w:rsid w:val="008A15BE"/>
    <w:rsid w:val="008A22FC"/>
    <w:rsid w:val="008A2B97"/>
    <w:rsid w:val="008A3006"/>
    <w:rsid w:val="008A308F"/>
    <w:rsid w:val="008A3D30"/>
    <w:rsid w:val="008A48D9"/>
    <w:rsid w:val="008A4A4F"/>
    <w:rsid w:val="008A615C"/>
    <w:rsid w:val="008A66B6"/>
    <w:rsid w:val="008A67B4"/>
    <w:rsid w:val="008B03B6"/>
    <w:rsid w:val="008B0AC5"/>
    <w:rsid w:val="008B1D59"/>
    <w:rsid w:val="008B376E"/>
    <w:rsid w:val="008B44BA"/>
    <w:rsid w:val="008B46B9"/>
    <w:rsid w:val="008B4A27"/>
    <w:rsid w:val="008B5123"/>
    <w:rsid w:val="008B561C"/>
    <w:rsid w:val="008B65B2"/>
    <w:rsid w:val="008C00F1"/>
    <w:rsid w:val="008C25C0"/>
    <w:rsid w:val="008C2735"/>
    <w:rsid w:val="008C28E7"/>
    <w:rsid w:val="008C3121"/>
    <w:rsid w:val="008C31B2"/>
    <w:rsid w:val="008C38CA"/>
    <w:rsid w:val="008C511A"/>
    <w:rsid w:val="008C6065"/>
    <w:rsid w:val="008C612F"/>
    <w:rsid w:val="008C7138"/>
    <w:rsid w:val="008C722C"/>
    <w:rsid w:val="008D008A"/>
    <w:rsid w:val="008D0C02"/>
    <w:rsid w:val="008D11C3"/>
    <w:rsid w:val="008D18D7"/>
    <w:rsid w:val="008D3B2D"/>
    <w:rsid w:val="008D576C"/>
    <w:rsid w:val="008D5DED"/>
    <w:rsid w:val="008D6FDF"/>
    <w:rsid w:val="008E011A"/>
    <w:rsid w:val="008E17A8"/>
    <w:rsid w:val="008E2581"/>
    <w:rsid w:val="008E26B4"/>
    <w:rsid w:val="008E2A8B"/>
    <w:rsid w:val="008E303C"/>
    <w:rsid w:val="008E4951"/>
    <w:rsid w:val="008E529F"/>
    <w:rsid w:val="008E619F"/>
    <w:rsid w:val="008E76BD"/>
    <w:rsid w:val="008F0995"/>
    <w:rsid w:val="008F4C29"/>
    <w:rsid w:val="008F5DB5"/>
    <w:rsid w:val="008F6352"/>
    <w:rsid w:val="008F6516"/>
    <w:rsid w:val="008F6A6C"/>
    <w:rsid w:val="008F7476"/>
    <w:rsid w:val="0090135E"/>
    <w:rsid w:val="0090195E"/>
    <w:rsid w:val="009022A3"/>
    <w:rsid w:val="0090287B"/>
    <w:rsid w:val="0090300E"/>
    <w:rsid w:val="00905001"/>
    <w:rsid w:val="00905014"/>
    <w:rsid w:val="00905114"/>
    <w:rsid w:val="00905433"/>
    <w:rsid w:val="00905E1D"/>
    <w:rsid w:val="009063B1"/>
    <w:rsid w:val="00906D4E"/>
    <w:rsid w:val="00907AD0"/>
    <w:rsid w:val="0091106E"/>
    <w:rsid w:val="00911212"/>
    <w:rsid w:val="0091259A"/>
    <w:rsid w:val="00912E45"/>
    <w:rsid w:val="00913827"/>
    <w:rsid w:val="00913AE1"/>
    <w:rsid w:val="00913B27"/>
    <w:rsid w:val="00913B34"/>
    <w:rsid w:val="00913FCC"/>
    <w:rsid w:val="0091415D"/>
    <w:rsid w:val="00914539"/>
    <w:rsid w:val="0091541E"/>
    <w:rsid w:val="00915B4E"/>
    <w:rsid w:val="00916026"/>
    <w:rsid w:val="009179D3"/>
    <w:rsid w:val="009205E3"/>
    <w:rsid w:val="00920CF6"/>
    <w:rsid w:val="00921118"/>
    <w:rsid w:val="00921FB0"/>
    <w:rsid w:val="00922D97"/>
    <w:rsid w:val="0092421F"/>
    <w:rsid w:val="00931048"/>
    <w:rsid w:val="009310EB"/>
    <w:rsid w:val="009319C3"/>
    <w:rsid w:val="0093215D"/>
    <w:rsid w:val="0093299B"/>
    <w:rsid w:val="00933A99"/>
    <w:rsid w:val="009358F4"/>
    <w:rsid w:val="00937294"/>
    <w:rsid w:val="00942D82"/>
    <w:rsid w:val="0094461F"/>
    <w:rsid w:val="00944AB9"/>
    <w:rsid w:val="00945662"/>
    <w:rsid w:val="00946241"/>
    <w:rsid w:val="00946244"/>
    <w:rsid w:val="00947747"/>
    <w:rsid w:val="0095122C"/>
    <w:rsid w:val="00951F07"/>
    <w:rsid w:val="00951FDF"/>
    <w:rsid w:val="00952E00"/>
    <w:rsid w:val="00953ACD"/>
    <w:rsid w:val="00953C2F"/>
    <w:rsid w:val="009544A5"/>
    <w:rsid w:val="00954BE0"/>
    <w:rsid w:val="0095527E"/>
    <w:rsid w:val="00955781"/>
    <w:rsid w:val="00955ADA"/>
    <w:rsid w:val="00956E80"/>
    <w:rsid w:val="009601BE"/>
    <w:rsid w:val="0096136F"/>
    <w:rsid w:val="00961FF0"/>
    <w:rsid w:val="0096242A"/>
    <w:rsid w:val="0096347A"/>
    <w:rsid w:val="0096419C"/>
    <w:rsid w:val="009641D7"/>
    <w:rsid w:val="00964748"/>
    <w:rsid w:val="00966560"/>
    <w:rsid w:val="00970BB5"/>
    <w:rsid w:val="0097126C"/>
    <w:rsid w:val="00971920"/>
    <w:rsid w:val="00972CD2"/>
    <w:rsid w:val="009735B5"/>
    <w:rsid w:val="00973835"/>
    <w:rsid w:val="009741B8"/>
    <w:rsid w:val="009756D8"/>
    <w:rsid w:val="00975A1D"/>
    <w:rsid w:val="009760AA"/>
    <w:rsid w:val="0097631F"/>
    <w:rsid w:val="00976B18"/>
    <w:rsid w:val="00977080"/>
    <w:rsid w:val="00980E6B"/>
    <w:rsid w:val="00981D73"/>
    <w:rsid w:val="00982510"/>
    <w:rsid w:val="00983208"/>
    <w:rsid w:val="00983654"/>
    <w:rsid w:val="00984335"/>
    <w:rsid w:val="00985994"/>
    <w:rsid w:val="00985A88"/>
    <w:rsid w:val="00985EFC"/>
    <w:rsid w:val="00986053"/>
    <w:rsid w:val="00986086"/>
    <w:rsid w:val="009863CB"/>
    <w:rsid w:val="00993B1A"/>
    <w:rsid w:val="00994D70"/>
    <w:rsid w:val="009950A6"/>
    <w:rsid w:val="00995302"/>
    <w:rsid w:val="00995E8D"/>
    <w:rsid w:val="00995F27"/>
    <w:rsid w:val="009972D2"/>
    <w:rsid w:val="0099774D"/>
    <w:rsid w:val="00997FCB"/>
    <w:rsid w:val="009A181A"/>
    <w:rsid w:val="009A3380"/>
    <w:rsid w:val="009A355E"/>
    <w:rsid w:val="009A37EA"/>
    <w:rsid w:val="009A4721"/>
    <w:rsid w:val="009A4A7D"/>
    <w:rsid w:val="009A54E3"/>
    <w:rsid w:val="009A5BA5"/>
    <w:rsid w:val="009A5E0C"/>
    <w:rsid w:val="009A5E38"/>
    <w:rsid w:val="009A61C8"/>
    <w:rsid w:val="009A6807"/>
    <w:rsid w:val="009A6DB8"/>
    <w:rsid w:val="009B0F3E"/>
    <w:rsid w:val="009B2F93"/>
    <w:rsid w:val="009B36B4"/>
    <w:rsid w:val="009B36CD"/>
    <w:rsid w:val="009B4673"/>
    <w:rsid w:val="009B4AB3"/>
    <w:rsid w:val="009B5F34"/>
    <w:rsid w:val="009B6076"/>
    <w:rsid w:val="009B62FB"/>
    <w:rsid w:val="009B6642"/>
    <w:rsid w:val="009B68D9"/>
    <w:rsid w:val="009B7555"/>
    <w:rsid w:val="009B7C3A"/>
    <w:rsid w:val="009C1924"/>
    <w:rsid w:val="009C2717"/>
    <w:rsid w:val="009C34B3"/>
    <w:rsid w:val="009C4675"/>
    <w:rsid w:val="009C4834"/>
    <w:rsid w:val="009C6466"/>
    <w:rsid w:val="009C6988"/>
    <w:rsid w:val="009C6E0C"/>
    <w:rsid w:val="009D2C1C"/>
    <w:rsid w:val="009D3260"/>
    <w:rsid w:val="009D411D"/>
    <w:rsid w:val="009D5086"/>
    <w:rsid w:val="009D5DA3"/>
    <w:rsid w:val="009D5FDE"/>
    <w:rsid w:val="009D7BA2"/>
    <w:rsid w:val="009E028B"/>
    <w:rsid w:val="009E0AF1"/>
    <w:rsid w:val="009E1051"/>
    <w:rsid w:val="009E1A9C"/>
    <w:rsid w:val="009E2EFB"/>
    <w:rsid w:val="009E4A79"/>
    <w:rsid w:val="009E603B"/>
    <w:rsid w:val="009E622D"/>
    <w:rsid w:val="009E6612"/>
    <w:rsid w:val="009E7E9D"/>
    <w:rsid w:val="009F011D"/>
    <w:rsid w:val="009F04DD"/>
    <w:rsid w:val="009F1AEB"/>
    <w:rsid w:val="009F23B4"/>
    <w:rsid w:val="009F2BCA"/>
    <w:rsid w:val="009F3D17"/>
    <w:rsid w:val="009F3E61"/>
    <w:rsid w:val="009F4622"/>
    <w:rsid w:val="009F6377"/>
    <w:rsid w:val="009F6420"/>
    <w:rsid w:val="00A00B51"/>
    <w:rsid w:val="00A012C5"/>
    <w:rsid w:val="00A01CA8"/>
    <w:rsid w:val="00A02604"/>
    <w:rsid w:val="00A03280"/>
    <w:rsid w:val="00A033E8"/>
    <w:rsid w:val="00A04737"/>
    <w:rsid w:val="00A05E9A"/>
    <w:rsid w:val="00A063FE"/>
    <w:rsid w:val="00A06F43"/>
    <w:rsid w:val="00A074E7"/>
    <w:rsid w:val="00A076FD"/>
    <w:rsid w:val="00A07B38"/>
    <w:rsid w:val="00A110D2"/>
    <w:rsid w:val="00A11334"/>
    <w:rsid w:val="00A12037"/>
    <w:rsid w:val="00A12AC3"/>
    <w:rsid w:val="00A13B36"/>
    <w:rsid w:val="00A14299"/>
    <w:rsid w:val="00A14811"/>
    <w:rsid w:val="00A15552"/>
    <w:rsid w:val="00A15C40"/>
    <w:rsid w:val="00A15EF2"/>
    <w:rsid w:val="00A16E94"/>
    <w:rsid w:val="00A17BAF"/>
    <w:rsid w:val="00A17C29"/>
    <w:rsid w:val="00A2187A"/>
    <w:rsid w:val="00A21AD4"/>
    <w:rsid w:val="00A22524"/>
    <w:rsid w:val="00A22673"/>
    <w:rsid w:val="00A226D5"/>
    <w:rsid w:val="00A22E26"/>
    <w:rsid w:val="00A233BF"/>
    <w:rsid w:val="00A25A21"/>
    <w:rsid w:val="00A261EE"/>
    <w:rsid w:val="00A26837"/>
    <w:rsid w:val="00A270B3"/>
    <w:rsid w:val="00A30613"/>
    <w:rsid w:val="00A31BC8"/>
    <w:rsid w:val="00A324E2"/>
    <w:rsid w:val="00A35D47"/>
    <w:rsid w:val="00A365C3"/>
    <w:rsid w:val="00A36E5C"/>
    <w:rsid w:val="00A40D17"/>
    <w:rsid w:val="00A41FA5"/>
    <w:rsid w:val="00A42C4C"/>
    <w:rsid w:val="00A4302E"/>
    <w:rsid w:val="00A43338"/>
    <w:rsid w:val="00A44DFA"/>
    <w:rsid w:val="00A47925"/>
    <w:rsid w:val="00A50A03"/>
    <w:rsid w:val="00A50CAB"/>
    <w:rsid w:val="00A50FDA"/>
    <w:rsid w:val="00A528FD"/>
    <w:rsid w:val="00A53403"/>
    <w:rsid w:val="00A53A12"/>
    <w:rsid w:val="00A556CB"/>
    <w:rsid w:val="00A55B6D"/>
    <w:rsid w:val="00A56DC6"/>
    <w:rsid w:val="00A5765B"/>
    <w:rsid w:val="00A65BAA"/>
    <w:rsid w:val="00A66C99"/>
    <w:rsid w:val="00A67A61"/>
    <w:rsid w:val="00A67AC4"/>
    <w:rsid w:val="00A67E26"/>
    <w:rsid w:val="00A7142E"/>
    <w:rsid w:val="00A716D3"/>
    <w:rsid w:val="00A72533"/>
    <w:rsid w:val="00A734E2"/>
    <w:rsid w:val="00A73794"/>
    <w:rsid w:val="00A73BF3"/>
    <w:rsid w:val="00A73F60"/>
    <w:rsid w:val="00A74412"/>
    <w:rsid w:val="00A744D9"/>
    <w:rsid w:val="00A74F8D"/>
    <w:rsid w:val="00A752CF"/>
    <w:rsid w:val="00A76D0F"/>
    <w:rsid w:val="00A76F49"/>
    <w:rsid w:val="00A771C1"/>
    <w:rsid w:val="00A77316"/>
    <w:rsid w:val="00A77D6A"/>
    <w:rsid w:val="00A77EB4"/>
    <w:rsid w:val="00A8192B"/>
    <w:rsid w:val="00A81CB0"/>
    <w:rsid w:val="00A83B85"/>
    <w:rsid w:val="00A8496C"/>
    <w:rsid w:val="00A85001"/>
    <w:rsid w:val="00A85039"/>
    <w:rsid w:val="00A85197"/>
    <w:rsid w:val="00A856DB"/>
    <w:rsid w:val="00A85C4B"/>
    <w:rsid w:val="00A860DA"/>
    <w:rsid w:val="00A86266"/>
    <w:rsid w:val="00A862CA"/>
    <w:rsid w:val="00A8646C"/>
    <w:rsid w:val="00A86D58"/>
    <w:rsid w:val="00A922C4"/>
    <w:rsid w:val="00A92B1C"/>
    <w:rsid w:val="00A93624"/>
    <w:rsid w:val="00A94AC3"/>
    <w:rsid w:val="00A94DA5"/>
    <w:rsid w:val="00A9527D"/>
    <w:rsid w:val="00A95B52"/>
    <w:rsid w:val="00A965B6"/>
    <w:rsid w:val="00A96B64"/>
    <w:rsid w:val="00A96E68"/>
    <w:rsid w:val="00AA0EEB"/>
    <w:rsid w:val="00AA0F75"/>
    <w:rsid w:val="00AA13B9"/>
    <w:rsid w:val="00AA2C7F"/>
    <w:rsid w:val="00AA3139"/>
    <w:rsid w:val="00AA3688"/>
    <w:rsid w:val="00AA41CC"/>
    <w:rsid w:val="00AA4CEA"/>
    <w:rsid w:val="00AA5803"/>
    <w:rsid w:val="00AA7A2F"/>
    <w:rsid w:val="00AB00AF"/>
    <w:rsid w:val="00AB00FC"/>
    <w:rsid w:val="00AB1B70"/>
    <w:rsid w:val="00AB3B8F"/>
    <w:rsid w:val="00AB4381"/>
    <w:rsid w:val="00AB4EF3"/>
    <w:rsid w:val="00AB5B41"/>
    <w:rsid w:val="00AB7DFC"/>
    <w:rsid w:val="00AC0A20"/>
    <w:rsid w:val="00AC1879"/>
    <w:rsid w:val="00AC1C55"/>
    <w:rsid w:val="00AC1C7A"/>
    <w:rsid w:val="00AC2BAA"/>
    <w:rsid w:val="00AC3BAE"/>
    <w:rsid w:val="00AC480A"/>
    <w:rsid w:val="00AC50B8"/>
    <w:rsid w:val="00AC539F"/>
    <w:rsid w:val="00AC5F36"/>
    <w:rsid w:val="00AC7310"/>
    <w:rsid w:val="00AC7311"/>
    <w:rsid w:val="00AC7F3C"/>
    <w:rsid w:val="00AD03D2"/>
    <w:rsid w:val="00AD04F4"/>
    <w:rsid w:val="00AD1DB3"/>
    <w:rsid w:val="00AD35DE"/>
    <w:rsid w:val="00AD43D2"/>
    <w:rsid w:val="00AD477A"/>
    <w:rsid w:val="00AD5038"/>
    <w:rsid w:val="00AD59B6"/>
    <w:rsid w:val="00AD5E6E"/>
    <w:rsid w:val="00AD7987"/>
    <w:rsid w:val="00AE183C"/>
    <w:rsid w:val="00AE3713"/>
    <w:rsid w:val="00AE4FC1"/>
    <w:rsid w:val="00AE54F6"/>
    <w:rsid w:val="00AE55CA"/>
    <w:rsid w:val="00AE5987"/>
    <w:rsid w:val="00AE6DA3"/>
    <w:rsid w:val="00AE7C33"/>
    <w:rsid w:val="00AF080D"/>
    <w:rsid w:val="00AF0E08"/>
    <w:rsid w:val="00AF108A"/>
    <w:rsid w:val="00AF2605"/>
    <w:rsid w:val="00AF2619"/>
    <w:rsid w:val="00AF3284"/>
    <w:rsid w:val="00AF391F"/>
    <w:rsid w:val="00AF3A43"/>
    <w:rsid w:val="00AF651D"/>
    <w:rsid w:val="00AF7A24"/>
    <w:rsid w:val="00B00108"/>
    <w:rsid w:val="00B00FF1"/>
    <w:rsid w:val="00B01CBF"/>
    <w:rsid w:val="00B028B5"/>
    <w:rsid w:val="00B02D60"/>
    <w:rsid w:val="00B039E1"/>
    <w:rsid w:val="00B040AA"/>
    <w:rsid w:val="00B04F89"/>
    <w:rsid w:val="00B05A07"/>
    <w:rsid w:val="00B05B28"/>
    <w:rsid w:val="00B06229"/>
    <w:rsid w:val="00B066BF"/>
    <w:rsid w:val="00B102C4"/>
    <w:rsid w:val="00B1056A"/>
    <w:rsid w:val="00B10DE2"/>
    <w:rsid w:val="00B113CF"/>
    <w:rsid w:val="00B11B7D"/>
    <w:rsid w:val="00B1254F"/>
    <w:rsid w:val="00B1369B"/>
    <w:rsid w:val="00B147AA"/>
    <w:rsid w:val="00B14CE0"/>
    <w:rsid w:val="00B1516C"/>
    <w:rsid w:val="00B1540B"/>
    <w:rsid w:val="00B16896"/>
    <w:rsid w:val="00B210E1"/>
    <w:rsid w:val="00B22275"/>
    <w:rsid w:val="00B22306"/>
    <w:rsid w:val="00B2277B"/>
    <w:rsid w:val="00B23324"/>
    <w:rsid w:val="00B23D60"/>
    <w:rsid w:val="00B2467F"/>
    <w:rsid w:val="00B27BDC"/>
    <w:rsid w:val="00B30331"/>
    <w:rsid w:val="00B31B31"/>
    <w:rsid w:val="00B32073"/>
    <w:rsid w:val="00B323B1"/>
    <w:rsid w:val="00B33236"/>
    <w:rsid w:val="00B3355E"/>
    <w:rsid w:val="00B33932"/>
    <w:rsid w:val="00B349E9"/>
    <w:rsid w:val="00B3659B"/>
    <w:rsid w:val="00B40F56"/>
    <w:rsid w:val="00B41044"/>
    <w:rsid w:val="00B4197D"/>
    <w:rsid w:val="00B42056"/>
    <w:rsid w:val="00B4263A"/>
    <w:rsid w:val="00B42C11"/>
    <w:rsid w:val="00B446B9"/>
    <w:rsid w:val="00B45679"/>
    <w:rsid w:val="00B45925"/>
    <w:rsid w:val="00B460F7"/>
    <w:rsid w:val="00B466A9"/>
    <w:rsid w:val="00B50CBB"/>
    <w:rsid w:val="00B51616"/>
    <w:rsid w:val="00B51905"/>
    <w:rsid w:val="00B52BD7"/>
    <w:rsid w:val="00B531C8"/>
    <w:rsid w:val="00B53337"/>
    <w:rsid w:val="00B537E1"/>
    <w:rsid w:val="00B56215"/>
    <w:rsid w:val="00B562B7"/>
    <w:rsid w:val="00B5645B"/>
    <w:rsid w:val="00B600F6"/>
    <w:rsid w:val="00B60A71"/>
    <w:rsid w:val="00B622A2"/>
    <w:rsid w:val="00B62CD6"/>
    <w:rsid w:val="00B62E72"/>
    <w:rsid w:val="00B63B53"/>
    <w:rsid w:val="00B64EF3"/>
    <w:rsid w:val="00B6623E"/>
    <w:rsid w:val="00B6708F"/>
    <w:rsid w:val="00B70D55"/>
    <w:rsid w:val="00B72297"/>
    <w:rsid w:val="00B733CE"/>
    <w:rsid w:val="00B73B2B"/>
    <w:rsid w:val="00B74975"/>
    <w:rsid w:val="00B74BB5"/>
    <w:rsid w:val="00B75614"/>
    <w:rsid w:val="00B80646"/>
    <w:rsid w:val="00B831C6"/>
    <w:rsid w:val="00B83B21"/>
    <w:rsid w:val="00B84862"/>
    <w:rsid w:val="00B84A14"/>
    <w:rsid w:val="00B85415"/>
    <w:rsid w:val="00B85909"/>
    <w:rsid w:val="00B86062"/>
    <w:rsid w:val="00B86912"/>
    <w:rsid w:val="00B87749"/>
    <w:rsid w:val="00B87DDF"/>
    <w:rsid w:val="00B901A7"/>
    <w:rsid w:val="00B90BA8"/>
    <w:rsid w:val="00B91363"/>
    <w:rsid w:val="00B92756"/>
    <w:rsid w:val="00B92A66"/>
    <w:rsid w:val="00B92F96"/>
    <w:rsid w:val="00B966FE"/>
    <w:rsid w:val="00B97032"/>
    <w:rsid w:val="00B97823"/>
    <w:rsid w:val="00BA0DA7"/>
    <w:rsid w:val="00BA26EF"/>
    <w:rsid w:val="00BA30BE"/>
    <w:rsid w:val="00BA31AE"/>
    <w:rsid w:val="00BA4672"/>
    <w:rsid w:val="00BA553D"/>
    <w:rsid w:val="00BA5C79"/>
    <w:rsid w:val="00BA6A7A"/>
    <w:rsid w:val="00BA79E1"/>
    <w:rsid w:val="00BB0C97"/>
    <w:rsid w:val="00BB14FA"/>
    <w:rsid w:val="00BB1553"/>
    <w:rsid w:val="00BB1919"/>
    <w:rsid w:val="00BB43E1"/>
    <w:rsid w:val="00BB559E"/>
    <w:rsid w:val="00BB58AE"/>
    <w:rsid w:val="00BB6DAD"/>
    <w:rsid w:val="00BC0BA0"/>
    <w:rsid w:val="00BC10F0"/>
    <w:rsid w:val="00BC2CEA"/>
    <w:rsid w:val="00BC37D3"/>
    <w:rsid w:val="00BC67D7"/>
    <w:rsid w:val="00BC7D11"/>
    <w:rsid w:val="00BD08A8"/>
    <w:rsid w:val="00BD0FD2"/>
    <w:rsid w:val="00BD2319"/>
    <w:rsid w:val="00BD383F"/>
    <w:rsid w:val="00BD4227"/>
    <w:rsid w:val="00BD48FF"/>
    <w:rsid w:val="00BD4DFE"/>
    <w:rsid w:val="00BD4F30"/>
    <w:rsid w:val="00BD5422"/>
    <w:rsid w:val="00BD5C18"/>
    <w:rsid w:val="00BD5F06"/>
    <w:rsid w:val="00BD60DB"/>
    <w:rsid w:val="00BD63B5"/>
    <w:rsid w:val="00BD65E7"/>
    <w:rsid w:val="00BD67C5"/>
    <w:rsid w:val="00BE0208"/>
    <w:rsid w:val="00BE3308"/>
    <w:rsid w:val="00BE58FE"/>
    <w:rsid w:val="00BE6CA7"/>
    <w:rsid w:val="00BE6EBA"/>
    <w:rsid w:val="00BE706B"/>
    <w:rsid w:val="00BF09F2"/>
    <w:rsid w:val="00BF0D73"/>
    <w:rsid w:val="00BF24FA"/>
    <w:rsid w:val="00BF301D"/>
    <w:rsid w:val="00BF5AB9"/>
    <w:rsid w:val="00C00FE7"/>
    <w:rsid w:val="00C010CD"/>
    <w:rsid w:val="00C03B63"/>
    <w:rsid w:val="00C04B7A"/>
    <w:rsid w:val="00C04E9B"/>
    <w:rsid w:val="00C06050"/>
    <w:rsid w:val="00C069F6"/>
    <w:rsid w:val="00C0726E"/>
    <w:rsid w:val="00C07718"/>
    <w:rsid w:val="00C11324"/>
    <w:rsid w:val="00C11ADB"/>
    <w:rsid w:val="00C1306A"/>
    <w:rsid w:val="00C139D2"/>
    <w:rsid w:val="00C1420C"/>
    <w:rsid w:val="00C14256"/>
    <w:rsid w:val="00C14C62"/>
    <w:rsid w:val="00C16940"/>
    <w:rsid w:val="00C17D42"/>
    <w:rsid w:val="00C2058E"/>
    <w:rsid w:val="00C20D1E"/>
    <w:rsid w:val="00C2235C"/>
    <w:rsid w:val="00C2316F"/>
    <w:rsid w:val="00C23436"/>
    <w:rsid w:val="00C23F07"/>
    <w:rsid w:val="00C259A0"/>
    <w:rsid w:val="00C25B2F"/>
    <w:rsid w:val="00C279EE"/>
    <w:rsid w:val="00C30474"/>
    <w:rsid w:val="00C30813"/>
    <w:rsid w:val="00C31D8D"/>
    <w:rsid w:val="00C33B7E"/>
    <w:rsid w:val="00C35CA9"/>
    <w:rsid w:val="00C364DF"/>
    <w:rsid w:val="00C367A2"/>
    <w:rsid w:val="00C36D48"/>
    <w:rsid w:val="00C40105"/>
    <w:rsid w:val="00C40313"/>
    <w:rsid w:val="00C40FA4"/>
    <w:rsid w:val="00C41295"/>
    <w:rsid w:val="00C41480"/>
    <w:rsid w:val="00C4177E"/>
    <w:rsid w:val="00C41FF6"/>
    <w:rsid w:val="00C43167"/>
    <w:rsid w:val="00C440C5"/>
    <w:rsid w:val="00C44582"/>
    <w:rsid w:val="00C44B26"/>
    <w:rsid w:val="00C44F2E"/>
    <w:rsid w:val="00C45C66"/>
    <w:rsid w:val="00C46C9A"/>
    <w:rsid w:val="00C502B7"/>
    <w:rsid w:val="00C50591"/>
    <w:rsid w:val="00C509C2"/>
    <w:rsid w:val="00C51C42"/>
    <w:rsid w:val="00C5435C"/>
    <w:rsid w:val="00C55273"/>
    <w:rsid w:val="00C55965"/>
    <w:rsid w:val="00C56566"/>
    <w:rsid w:val="00C607AD"/>
    <w:rsid w:val="00C60F8F"/>
    <w:rsid w:val="00C61EAF"/>
    <w:rsid w:val="00C62ABD"/>
    <w:rsid w:val="00C63E30"/>
    <w:rsid w:val="00C642BF"/>
    <w:rsid w:val="00C64478"/>
    <w:rsid w:val="00C65A49"/>
    <w:rsid w:val="00C65FD1"/>
    <w:rsid w:val="00C66243"/>
    <w:rsid w:val="00C662E5"/>
    <w:rsid w:val="00C7097A"/>
    <w:rsid w:val="00C725EE"/>
    <w:rsid w:val="00C73FCB"/>
    <w:rsid w:val="00C74B7B"/>
    <w:rsid w:val="00C75D51"/>
    <w:rsid w:val="00C8009B"/>
    <w:rsid w:val="00C8035D"/>
    <w:rsid w:val="00C80B76"/>
    <w:rsid w:val="00C814DD"/>
    <w:rsid w:val="00C81859"/>
    <w:rsid w:val="00C83763"/>
    <w:rsid w:val="00C84F12"/>
    <w:rsid w:val="00C879E0"/>
    <w:rsid w:val="00C87F4A"/>
    <w:rsid w:val="00C91FB4"/>
    <w:rsid w:val="00C928CD"/>
    <w:rsid w:val="00C92E46"/>
    <w:rsid w:val="00C92E75"/>
    <w:rsid w:val="00C92F45"/>
    <w:rsid w:val="00C95344"/>
    <w:rsid w:val="00C95A53"/>
    <w:rsid w:val="00C95BEA"/>
    <w:rsid w:val="00C9651D"/>
    <w:rsid w:val="00C96539"/>
    <w:rsid w:val="00C96D48"/>
    <w:rsid w:val="00C976BB"/>
    <w:rsid w:val="00CA12A3"/>
    <w:rsid w:val="00CA21B2"/>
    <w:rsid w:val="00CA2290"/>
    <w:rsid w:val="00CA3328"/>
    <w:rsid w:val="00CA45AF"/>
    <w:rsid w:val="00CA5C32"/>
    <w:rsid w:val="00CA6149"/>
    <w:rsid w:val="00CA6515"/>
    <w:rsid w:val="00CA662C"/>
    <w:rsid w:val="00CA67AF"/>
    <w:rsid w:val="00CA6B5F"/>
    <w:rsid w:val="00CA73FB"/>
    <w:rsid w:val="00CA7478"/>
    <w:rsid w:val="00CA7C51"/>
    <w:rsid w:val="00CB0A72"/>
    <w:rsid w:val="00CB163F"/>
    <w:rsid w:val="00CB3F77"/>
    <w:rsid w:val="00CB40AA"/>
    <w:rsid w:val="00CB4E2D"/>
    <w:rsid w:val="00CB5419"/>
    <w:rsid w:val="00CB55EC"/>
    <w:rsid w:val="00CB5A41"/>
    <w:rsid w:val="00CB7C1D"/>
    <w:rsid w:val="00CB7D95"/>
    <w:rsid w:val="00CC262D"/>
    <w:rsid w:val="00CC3038"/>
    <w:rsid w:val="00CC4135"/>
    <w:rsid w:val="00CC4710"/>
    <w:rsid w:val="00CC560B"/>
    <w:rsid w:val="00CC5EB2"/>
    <w:rsid w:val="00CC62C1"/>
    <w:rsid w:val="00CC67E1"/>
    <w:rsid w:val="00CC6988"/>
    <w:rsid w:val="00CC69E4"/>
    <w:rsid w:val="00CC7990"/>
    <w:rsid w:val="00CD0E36"/>
    <w:rsid w:val="00CD14FD"/>
    <w:rsid w:val="00CD1BE5"/>
    <w:rsid w:val="00CD20F2"/>
    <w:rsid w:val="00CD585E"/>
    <w:rsid w:val="00CD5F7F"/>
    <w:rsid w:val="00CE1717"/>
    <w:rsid w:val="00CE1A47"/>
    <w:rsid w:val="00CE1DC1"/>
    <w:rsid w:val="00CE2119"/>
    <w:rsid w:val="00CE2A1C"/>
    <w:rsid w:val="00CE4D72"/>
    <w:rsid w:val="00CE5AE7"/>
    <w:rsid w:val="00CE6277"/>
    <w:rsid w:val="00CE632A"/>
    <w:rsid w:val="00CE6363"/>
    <w:rsid w:val="00CE6D04"/>
    <w:rsid w:val="00CF02D5"/>
    <w:rsid w:val="00CF15D8"/>
    <w:rsid w:val="00CF17A9"/>
    <w:rsid w:val="00CF26E2"/>
    <w:rsid w:val="00CF4876"/>
    <w:rsid w:val="00CF5CF9"/>
    <w:rsid w:val="00CF638C"/>
    <w:rsid w:val="00CF72AF"/>
    <w:rsid w:val="00D01891"/>
    <w:rsid w:val="00D02042"/>
    <w:rsid w:val="00D0294C"/>
    <w:rsid w:val="00D02E06"/>
    <w:rsid w:val="00D0301D"/>
    <w:rsid w:val="00D049C5"/>
    <w:rsid w:val="00D05B0D"/>
    <w:rsid w:val="00D06C5A"/>
    <w:rsid w:val="00D0737A"/>
    <w:rsid w:val="00D07F62"/>
    <w:rsid w:val="00D101E7"/>
    <w:rsid w:val="00D108E2"/>
    <w:rsid w:val="00D10C15"/>
    <w:rsid w:val="00D110AA"/>
    <w:rsid w:val="00D11103"/>
    <w:rsid w:val="00D119A2"/>
    <w:rsid w:val="00D11B93"/>
    <w:rsid w:val="00D147DE"/>
    <w:rsid w:val="00D1550D"/>
    <w:rsid w:val="00D159A5"/>
    <w:rsid w:val="00D15CB0"/>
    <w:rsid w:val="00D15F06"/>
    <w:rsid w:val="00D16995"/>
    <w:rsid w:val="00D205AE"/>
    <w:rsid w:val="00D217C8"/>
    <w:rsid w:val="00D21992"/>
    <w:rsid w:val="00D22BA6"/>
    <w:rsid w:val="00D23AB5"/>
    <w:rsid w:val="00D2432B"/>
    <w:rsid w:val="00D25143"/>
    <w:rsid w:val="00D254EC"/>
    <w:rsid w:val="00D257EA"/>
    <w:rsid w:val="00D265B0"/>
    <w:rsid w:val="00D26EC3"/>
    <w:rsid w:val="00D276E1"/>
    <w:rsid w:val="00D31A68"/>
    <w:rsid w:val="00D321DF"/>
    <w:rsid w:val="00D32312"/>
    <w:rsid w:val="00D36D3F"/>
    <w:rsid w:val="00D409D1"/>
    <w:rsid w:val="00D424A4"/>
    <w:rsid w:val="00D43A5B"/>
    <w:rsid w:val="00D44917"/>
    <w:rsid w:val="00D44DC1"/>
    <w:rsid w:val="00D45509"/>
    <w:rsid w:val="00D4717F"/>
    <w:rsid w:val="00D4752A"/>
    <w:rsid w:val="00D479B9"/>
    <w:rsid w:val="00D502C9"/>
    <w:rsid w:val="00D5043A"/>
    <w:rsid w:val="00D50DD2"/>
    <w:rsid w:val="00D52A83"/>
    <w:rsid w:val="00D52E22"/>
    <w:rsid w:val="00D53AD4"/>
    <w:rsid w:val="00D540CB"/>
    <w:rsid w:val="00D56D69"/>
    <w:rsid w:val="00D56F31"/>
    <w:rsid w:val="00D57D92"/>
    <w:rsid w:val="00D603E5"/>
    <w:rsid w:val="00D605FD"/>
    <w:rsid w:val="00D619DB"/>
    <w:rsid w:val="00D61D9F"/>
    <w:rsid w:val="00D62761"/>
    <w:rsid w:val="00D62819"/>
    <w:rsid w:val="00D63C59"/>
    <w:rsid w:val="00D64DB6"/>
    <w:rsid w:val="00D64DF8"/>
    <w:rsid w:val="00D64E6D"/>
    <w:rsid w:val="00D6506C"/>
    <w:rsid w:val="00D66DE6"/>
    <w:rsid w:val="00D66EB4"/>
    <w:rsid w:val="00D67CD6"/>
    <w:rsid w:val="00D70B38"/>
    <w:rsid w:val="00D71253"/>
    <w:rsid w:val="00D74720"/>
    <w:rsid w:val="00D74EC8"/>
    <w:rsid w:val="00D76707"/>
    <w:rsid w:val="00D76827"/>
    <w:rsid w:val="00D76B89"/>
    <w:rsid w:val="00D7723F"/>
    <w:rsid w:val="00D82E2C"/>
    <w:rsid w:val="00D8471D"/>
    <w:rsid w:val="00D84C06"/>
    <w:rsid w:val="00D86C22"/>
    <w:rsid w:val="00D86D85"/>
    <w:rsid w:val="00D878E0"/>
    <w:rsid w:val="00D90FA9"/>
    <w:rsid w:val="00D91AB8"/>
    <w:rsid w:val="00D91C1D"/>
    <w:rsid w:val="00D929DF"/>
    <w:rsid w:val="00D945DD"/>
    <w:rsid w:val="00D950D9"/>
    <w:rsid w:val="00D96B1D"/>
    <w:rsid w:val="00D96F95"/>
    <w:rsid w:val="00D97722"/>
    <w:rsid w:val="00D97876"/>
    <w:rsid w:val="00D97DF1"/>
    <w:rsid w:val="00DA1215"/>
    <w:rsid w:val="00DA1B74"/>
    <w:rsid w:val="00DA1BD8"/>
    <w:rsid w:val="00DA37E4"/>
    <w:rsid w:val="00DA5758"/>
    <w:rsid w:val="00DA5F86"/>
    <w:rsid w:val="00DA6800"/>
    <w:rsid w:val="00DA7866"/>
    <w:rsid w:val="00DB0793"/>
    <w:rsid w:val="00DB0BCD"/>
    <w:rsid w:val="00DB0D2F"/>
    <w:rsid w:val="00DB1503"/>
    <w:rsid w:val="00DB3A6A"/>
    <w:rsid w:val="00DB4A58"/>
    <w:rsid w:val="00DB4D4B"/>
    <w:rsid w:val="00DB6942"/>
    <w:rsid w:val="00DB7529"/>
    <w:rsid w:val="00DB7863"/>
    <w:rsid w:val="00DB7F7F"/>
    <w:rsid w:val="00DC0E51"/>
    <w:rsid w:val="00DC1455"/>
    <w:rsid w:val="00DC20C0"/>
    <w:rsid w:val="00DC214E"/>
    <w:rsid w:val="00DC2C4C"/>
    <w:rsid w:val="00DC359C"/>
    <w:rsid w:val="00DC4054"/>
    <w:rsid w:val="00DC4D8C"/>
    <w:rsid w:val="00DC4F62"/>
    <w:rsid w:val="00DC5DD7"/>
    <w:rsid w:val="00DC65F1"/>
    <w:rsid w:val="00DC66BC"/>
    <w:rsid w:val="00DC7A11"/>
    <w:rsid w:val="00DD01DC"/>
    <w:rsid w:val="00DD02E1"/>
    <w:rsid w:val="00DD10D3"/>
    <w:rsid w:val="00DD13EC"/>
    <w:rsid w:val="00DD1CF0"/>
    <w:rsid w:val="00DD34E2"/>
    <w:rsid w:val="00DD3788"/>
    <w:rsid w:val="00DD5028"/>
    <w:rsid w:val="00DD601D"/>
    <w:rsid w:val="00DD6A69"/>
    <w:rsid w:val="00DE2E6B"/>
    <w:rsid w:val="00DE5AB5"/>
    <w:rsid w:val="00DE6F6A"/>
    <w:rsid w:val="00DE7D5A"/>
    <w:rsid w:val="00DF003C"/>
    <w:rsid w:val="00DF090C"/>
    <w:rsid w:val="00DF1C08"/>
    <w:rsid w:val="00DF1CE8"/>
    <w:rsid w:val="00DF1FF7"/>
    <w:rsid w:val="00DF369D"/>
    <w:rsid w:val="00DF65FC"/>
    <w:rsid w:val="00E0083F"/>
    <w:rsid w:val="00E01314"/>
    <w:rsid w:val="00E020B6"/>
    <w:rsid w:val="00E0313D"/>
    <w:rsid w:val="00E037F7"/>
    <w:rsid w:val="00E038FA"/>
    <w:rsid w:val="00E05631"/>
    <w:rsid w:val="00E05A07"/>
    <w:rsid w:val="00E07057"/>
    <w:rsid w:val="00E07D8B"/>
    <w:rsid w:val="00E10885"/>
    <w:rsid w:val="00E114AC"/>
    <w:rsid w:val="00E137F4"/>
    <w:rsid w:val="00E140FD"/>
    <w:rsid w:val="00E14C50"/>
    <w:rsid w:val="00E17038"/>
    <w:rsid w:val="00E1715D"/>
    <w:rsid w:val="00E1717A"/>
    <w:rsid w:val="00E1760B"/>
    <w:rsid w:val="00E177A1"/>
    <w:rsid w:val="00E2042D"/>
    <w:rsid w:val="00E20ABB"/>
    <w:rsid w:val="00E212BB"/>
    <w:rsid w:val="00E21A3E"/>
    <w:rsid w:val="00E22AC1"/>
    <w:rsid w:val="00E23E1C"/>
    <w:rsid w:val="00E24B14"/>
    <w:rsid w:val="00E24C9E"/>
    <w:rsid w:val="00E2679E"/>
    <w:rsid w:val="00E270EE"/>
    <w:rsid w:val="00E303DF"/>
    <w:rsid w:val="00E30716"/>
    <w:rsid w:val="00E310DD"/>
    <w:rsid w:val="00E320F6"/>
    <w:rsid w:val="00E35680"/>
    <w:rsid w:val="00E35983"/>
    <w:rsid w:val="00E35B7D"/>
    <w:rsid w:val="00E360BB"/>
    <w:rsid w:val="00E36B35"/>
    <w:rsid w:val="00E370DF"/>
    <w:rsid w:val="00E3710D"/>
    <w:rsid w:val="00E40255"/>
    <w:rsid w:val="00E403B0"/>
    <w:rsid w:val="00E42AA7"/>
    <w:rsid w:val="00E42CD8"/>
    <w:rsid w:val="00E4389F"/>
    <w:rsid w:val="00E43A4B"/>
    <w:rsid w:val="00E446F9"/>
    <w:rsid w:val="00E4580D"/>
    <w:rsid w:val="00E473FB"/>
    <w:rsid w:val="00E52247"/>
    <w:rsid w:val="00E541C0"/>
    <w:rsid w:val="00E54729"/>
    <w:rsid w:val="00E5492A"/>
    <w:rsid w:val="00E56C70"/>
    <w:rsid w:val="00E6014D"/>
    <w:rsid w:val="00E616B4"/>
    <w:rsid w:val="00E64266"/>
    <w:rsid w:val="00E6472A"/>
    <w:rsid w:val="00E6531E"/>
    <w:rsid w:val="00E65B7D"/>
    <w:rsid w:val="00E666A0"/>
    <w:rsid w:val="00E7054B"/>
    <w:rsid w:val="00E744EA"/>
    <w:rsid w:val="00E76C70"/>
    <w:rsid w:val="00E77F80"/>
    <w:rsid w:val="00E81372"/>
    <w:rsid w:val="00E82A12"/>
    <w:rsid w:val="00E82D31"/>
    <w:rsid w:val="00E83A9E"/>
    <w:rsid w:val="00E83DD7"/>
    <w:rsid w:val="00E84B23"/>
    <w:rsid w:val="00E84D5E"/>
    <w:rsid w:val="00E84FA2"/>
    <w:rsid w:val="00E8503F"/>
    <w:rsid w:val="00E85476"/>
    <w:rsid w:val="00E858CF"/>
    <w:rsid w:val="00E8648D"/>
    <w:rsid w:val="00E902E8"/>
    <w:rsid w:val="00E9092F"/>
    <w:rsid w:val="00E93174"/>
    <w:rsid w:val="00E93EF9"/>
    <w:rsid w:val="00E94384"/>
    <w:rsid w:val="00E94869"/>
    <w:rsid w:val="00E948A0"/>
    <w:rsid w:val="00E949EC"/>
    <w:rsid w:val="00E94AB7"/>
    <w:rsid w:val="00E96099"/>
    <w:rsid w:val="00E97778"/>
    <w:rsid w:val="00EA0AB7"/>
    <w:rsid w:val="00EA2A74"/>
    <w:rsid w:val="00EA6650"/>
    <w:rsid w:val="00EA77BD"/>
    <w:rsid w:val="00EA7BF1"/>
    <w:rsid w:val="00EB32C1"/>
    <w:rsid w:val="00EB3499"/>
    <w:rsid w:val="00EB4317"/>
    <w:rsid w:val="00EB75C9"/>
    <w:rsid w:val="00EB7B7F"/>
    <w:rsid w:val="00EC062D"/>
    <w:rsid w:val="00EC1365"/>
    <w:rsid w:val="00EC1D80"/>
    <w:rsid w:val="00EC3013"/>
    <w:rsid w:val="00EC3200"/>
    <w:rsid w:val="00EC6FD7"/>
    <w:rsid w:val="00ED045C"/>
    <w:rsid w:val="00ED18D6"/>
    <w:rsid w:val="00ED2C6F"/>
    <w:rsid w:val="00ED5427"/>
    <w:rsid w:val="00ED54AE"/>
    <w:rsid w:val="00ED5C49"/>
    <w:rsid w:val="00ED62D6"/>
    <w:rsid w:val="00ED79D4"/>
    <w:rsid w:val="00EE265F"/>
    <w:rsid w:val="00EE2AFF"/>
    <w:rsid w:val="00EE3790"/>
    <w:rsid w:val="00EE5B9F"/>
    <w:rsid w:val="00EE5BEA"/>
    <w:rsid w:val="00EE5CAF"/>
    <w:rsid w:val="00EF0CD9"/>
    <w:rsid w:val="00EF0CDF"/>
    <w:rsid w:val="00EF34B4"/>
    <w:rsid w:val="00EF50CA"/>
    <w:rsid w:val="00EF6FDF"/>
    <w:rsid w:val="00EF778C"/>
    <w:rsid w:val="00EF7C2B"/>
    <w:rsid w:val="00F00587"/>
    <w:rsid w:val="00F00A79"/>
    <w:rsid w:val="00F00DAB"/>
    <w:rsid w:val="00F01CC3"/>
    <w:rsid w:val="00F031C9"/>
    <w:rsid w:val="00F03BCF"/>
    <w:rsid w:val="00F03D68"/>
    <w:rsid w:val="00F0542E"/>
    <w:rsid w:val="00F05ACE"/>
    <w:rsid w:val="00F061E1"/>
    <w:rsid w:val="00F07740"/>
    <w:rsid w:val="00F07B9C"/>
    <w:rsid w:val="00F111D3"/>
    <w:rsid w:val="00F11691"/>
    <w:rsid w:val="00F12065"/>
    <w:rsid w:val="00F15657"/>
    <w:rsid w:val="00F15BBA"/>
    <w:rsid w:val="00F15CA7"/>
    <w:rsid w:val="00F1617A"/>
    <w:rsid w:val="00F1747B"/>
    <w:rsid w:val="00F17E55"/>
    <w:rsid w:val="00F20159"/>
    <w:rsid w:val="00F212F5"/>
    <w:rsid w:val="00F21593"/>
    <w:rsid w:val="00F231C7"/>
    <w:rsid w:val="00F23B85"/>
    <w:rsid w:val="00F24210"/>
    <w:rsid w:val="00F24E6C"/>
    <w:rsid w:val="00F2505B"/>
    <w:rsid w:val="00F25F7A"/>
    <w:rsid w:val="00F26395"/>
    <w:rsid w:val="00F3008F"/>
    <w:rsid w:val="00F30FC4"/>
    <w:rsid w:val="00F31415"/>
    <w:rsid w:val="00F32014"/>
    <w:rsid w:val="00F3242D"/>
    <w:rsid w:val="00F329A2"/>
    <w:rsid w:val="00F32D4E"/>
    <w:rsid w:val="00F32F48"/>
    <w:rsid w:val="00F3312C"/>
    <w:rsid w:val="00F33C4A"/>
    <w:rsid w:val="00F345EC"/>
    <w:rsid w:val="00F34846"/>
    <w:rsid w:val="00F34DD2"/>
    <w:rsid w:val="00F360E2"/>
    <w:rsid w:val="00F36445"/>
    <w:rsid w:val="00F3724C"/>
    <w:rsid w:val="00F3741A"/>
    <w:rsid w:val="00F374BA"/>
    <w:rsid w:val="00F4183B"/>
    <w:rsid w:val="00F42061"/>
    <w:rsid w:val="00F420EF"/>
    <w:rsid w:val="00F4220A"/>
    <w:rsid w:val="00F426EE"/>
    <w:rsid w:val="00F42BA0"/>
    <w:rsid w:val="00F42C72"/>
    <w:rsid w:val="00F42F5C"/>
    <w:rsid w:val="00F444AA"/>
    <w:rsid w:val="00F451FE"/>
    <w:rsid w:val="00F456C3"/>
    <w:rsid w:val="00F45704"/>
    <w:rsid w:val="00F46CF5"/>
    <w:rsid w:val="00F47DDA"/>
    <w:rsid w:val="00F47F3B"/>
    <w:rsid w:val="00F505EF"/>
    <w:rsid w:val="00F50CAC"/>
    <w:rsid w:val="00F5299E"/>
    <w:rsid w:val="00F54A75"/>
    <w:rsid w:val="00F56213"/>
    <w:rsid w:val="00F565D6"/>
    <w:rsid w:val="00F56A10"/>
    <w:rsid w:val="00F56A32"/>
    <w:rsid w:val="00F57878"/>
    <w:rsid w:val="00F60385"/>
    <w:rsid w:val="00F61AD9"/>
    <w:rsid w:val="00F63291"/>
    <w:rsid w:val="00F638C1"/>
    <w:rsid w:val="00F63945"/>
    <w:rsid w:val="00F64B05"/>
    <w:rsid w:val="00F65665"/>
    <w:rsid w:val="00F662B9"/>
    <w:rsid w:val="00F6649A"/>
    <w:rsid w:val="00F700A6"/>
    <w:rsid w:val="00F707D0"/>
    <w:rsid w:val="00F72EB1"/>
    <w:rsid w:val="00F737ED"/>
    <w:rsid w:val="00F753F9"/>
    <w:rsid w:val="00F766D4"/>
    <w:rsid w:val="00F77EA7"/>
    <w:rsid w:val="00F8069B"/>
    <w:rsid w:val="00F817D5"/>
    <w:rsid w:val="00F81CD5"/>
    <w:rsid w:val="00F82F13"/>
    <w:rsid w:val="00F833FA"/>
    <w:rsid w:val="00F84136"/>
    <w:rsid w:val="00F847D5"/>
    <w:rsid w:val="00F848D1"/>
    <w:rsid w:val="00F85C6D"/>
    <w:rsid w:val="00F87EFC"/>
    <w:rsid w:val="00F90939"/>
    <w:rsid w:val="00F91774"/>
    <w:rsid w:val="00F91897"/>
    <w:rsid w:val="00F9225E"/>
    <w:rsid w:val="00F925BD"/>
    <w:rsid w:val="00F92AD3"/>
    <w:rsid w:val="00F945E2"/>
    <w:rsid w:val="00F94675"/>
    <w:rsid w:val="00F968BE"/>
    <w:rsid w:val="00FA1D0A"/>
    <w:rsid w:val="00FA2497"/>
    <w:rsid w:val="00FA4E69"/>
    <w:rsid w:val="00FA7178"/>
    <w:rsid w:val="00FA71AE"/>
    <w:rsid w:val="00FA7975"/>
    <w:rsid w:val="00FA7C7F"/>
    <w:rsid w:val="00FA7EBF"/>
    <w:rsid w:val="00FB0773"/>
    <w:rsid w:val="00FB2E66"/>
    <w:rsid w:val="00FB4647"/>
    <w:rsid w:val="00FB5EC7"/>
    <w:rsid w:val="00FB66B7"/>
    <w:rsid w:val="00FB69AA"/>
    <w:rsid w:val="00FB6AE5"/>
    <w:rsid w:val="00FB7853"/>
    <w:rsid w:val="00FC0592"/>
    <w:rsid w:val="00FC10B4"/>
    <w:rsid w:val="00FC2EAF"/>
    <w:rsid w:val="00FC3F4F"/>
    <w:rsid w:val="00FC4D1A"/>
    <w:rsid w:val="00FC4E88"/>
    <w:rsid w:val="00FC7547"/>
    <w:rsid w:val="00FD11C8"/>
    <w:rsid w:val="00FD1361"/>
    <w:rsid w:val="00FD1D43"/>
    <w:rsid w:val="00FD2CD7"/>
    <w:rsid w:val="00FD42FF"/>
    <w:rsid w:val="00FD5626"/>
    <w:rsid w:val="00FD63B5"/>
    <w:rsid w:val="00FD7093"/>
    <w:rsid w:val="00FD76AF"/>
    <w:rsid w:val="00FD7E69"/>
    <w:rsid w:val="00FE16A0"/>
    <w:rsid w:val="00FE24BC"/>
    <w:rsid w:val="00FE3B5F"/>
    <w:rsid w:val="00FE6661"/>
    <w:rsid w:val="00FE6978"/>
    <w:rsid w:val="00FE7BAE"/>
    <w:rsid w:val="00FF00C6"/>
    <w:rsid w:val="00FF01DA"/>
    <w:rsid w:val="00FF0653"/>
    <w:rsid w:val="00FF1B2B"/>
    <w:rsid w:val="00FF243F"/>
    <w:rsid w:val="00FF3522"/>
    <w:rsid w:val="00FF47C5"/>
    <w:rsid w:val="00FF7F62"/>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4BD8"/>
    <w:pPr>
      <w:spacing w:line="480" w:lineRule="auto"/>
      <w:jc w:val="both"/>
    </w:pPr>
    <w:rPr>
      <w:rFonts w:ascii="Arial" w:hAnsi="Arial"/>
      <w:sz w:val="22"/>
    </w:rPr>
  </w:style>
  <w:style w:type="paragraph" w:styleId="Heading1">
    <w:name w:val="heading 1"/>
    <w:basedOn w:val="Normal"/>
    <w:next w:val="Normal"/>
    <w:link w:val="Heading1Char"/>
    <w:uiPriority w:val="9"/>
    <w:qFormat/>
    <w:rsid w:val="0021494C"/>
    <w:pPr>
      <w:keepNext/>
      <w:keepLines/>
      <w:spacing w:line="360" w:lineRule="auto"/>
      <w:outlineLvl w:val="0"/>
    </w:pPr>
    <w:rPr>
      <w:rFonts w:eastAsiaTheme="majorEastAsia" w:cstheme="majorBidi"/>
      <w:b/>
      <w:bCs/>
      <w:color w:val="2F5496" w:themeColor="accent1" w:themeShade="BF"/>
      <w:sz w:val="32"/>
      <w:szCs w:val="28"/>
    </w:rPr>
  </w:style>
  <w:style w:type="paragraph" w:styleId="Heading2">
    <w:name w:val="heading 2"/>
    <w:basedOn w:val="Normal"/>
    <w:next w:val="Normal"/>
    <w:link w:val="Heading2Char"/>
    <w:uiPriority w:val="9"/>
    <w:unhideWhenUsed/>
    <w:qFormat/>
    <w:rsid w:val="00132DCD"/>
    <w:pPr>
      <w:keepNext/>
      <w:keepLines/>
      <w:spacing w:before="200" w:line="360" w:lineRule="auto"/>
      <w:outlineLvl w:val="1"/>
    </w:pPr>
    <w:rPr>
      <w:rFonts w:eastAsiaTheme="majorEastAsia" w:cstheme="majorBidi"/>
      <w:b/>
      <w:bCs/>
      <w:color w:val="002060"/>
      <w:sz w:val="26"/>
      <w:szCs w:val="26"/>
    </w:rPr>
  </w:style>
  <w:style w:type="paragraph" w:styleId="Heading3">
    <w:name w:val="heading 3"/>
    <w:basedOn w:val="Normal"/>
    <w:next w:val="Normal"/>
    <w:link w:val="Heading3Char"/>
    <w:uiPriority w:val="9"/>
    <w:unhideWhenUsed/>
    <w:qFormat/>
    <w:rsid w:val="00F444AA"/>
    <w:pPr>
      <w:keepNext/>
      <w:keepLines/>
      <w:spacing w:before="20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3A3082"/>
    <w:rPr>
      <w:sz w:val="16"/>
      <w:szCs w:val="16"/>
    </w:rPr>
  </w:style>
  <w:style w:type="paragraph" w:styleId="CommentText">
    <w:name w:val="annotation text"/>
    <w:basedOn w:val="Normal"/>
    <w:link w:val="CommentTextChar"/>
    <w:uiPriority w:val="99"/>
    <w:unhideWhenUsed/>
    <w:rsid w:val="003A3082"/>
    <w:pPr>
      <w:spacing w:after="200"/>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3A3082"/>
    <w:rPr>
      <w:rFonts w:ascii="Calibri" w:eastAsia="Calibri" w:hAnsi="Calibri" w:cs="Times New Roman"/>
      <w:sz w:val="20"/>
      <w:szCs w:val="20"/>
    </w:rPr>
  </w:style>
  <w:style w:type="character" w:styleId="Hyperlink">
    <w:name w:val="Hyperlink"/>
    <w:basedOn w:val="DefaultParagraphFont"/>
    <w:uiPriority w:val="99"/>
    <w:unhideWhenUsed/>
    <w:rsid w:val="003A3082"/>
    <w:rPr>
      <w:color w:val="0563C1" w:themeColor="hyperlink"/>
      <w:u w:val="single"/>
    </w:rPr>
  </w:style>
  <w:style w:type="paragraph" w:customStyle="1" w:styleId="p1">
    <w:name w:val="p1"/>
    <w:basedOn w:val="Normal"/>
    <w:rsid w:val="003A3082"/>
    <w:rPr>
      <w:rFonts w:ascii="Courier" w:hAnsi="Courier" w:cs="Times New Roman"/>
      <w:color w:val="25992D"/>
      <w:sz w:val="15"/>
      <w:szCs w:val="15"/>
      <w:lang w:eastAsia="en-GB"/>
    </w:rPr>
  </w:style>
  <w:style w:type="table" w:styleId="TableGrid">
    <w:name w:val="Table Grid"/>
    <w:basedOn w:val="TableNormal"/>
    <w:uiPriority w:val="39"/>
    <w:rsid w:val="003A30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A3082"/>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A3082"/>
    <w:rPr>
      <w:rFonts w:ascii="Times New Roman" w:hAnsi="Times New Roman" w:cs="Times New Roman"/>
      <w:sz w:val="18"/>
      <w:szCs w:val="18"/>
    </w:rPr>
  </w:style>
  <w:style w:type="paragraph" w:styleId="ListParagraph">
    <w:name w:val="List Paragraph"/>
    <w:basedOn w:val="Normal"/>
    <w:uiPriority w:val="34"/>
    <w:qFormat/>
    <w:rsid w:val="0042494B"/>
    <w:pPr>
      <w:ind w:left="720"/>
      <w:contextualSpacing/>
    </w:pPr>
  </w:style>
  <w:style w:type="paragraph" w:styleId="CommentSubject">
    <w:name w:val="annotation subject"/>
    <w:basedOn w:val="CommentText"/>
    <w:next w:val="CommentText"/>
    <w:link w:val="CommentSubjectChar"/>
    <w:uiPriority w:val="99"/>
    <w:semiHidden/>
    <w:unhideWhenUsed/>
    <w:rsid w:val="00694E1F"/>
    <w:pPr>
      <w:spacing w:after="0"/>
      <w:jc w:val="left"/>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694E1F"/>
    <w:rPr>
      <w:rFonts w:ascii="Calibri" w:eastAsia="Calibri" w:hAnsi="Calibri" w:cs="Times New Roman"/>
      <w:b/>
      <w:bCs/>
      <w:sz w:val="20"/>
      <w:szCs w:val="20"/>
    </w:rPr>
  </w:style>
  <w:style w:type="paragraph" w:styleId="Revision">
    <w:name w:val="Revision"/>
    <w:hidden/>
    <w:uiPriority w:val="99"/>
    <w:semiHidden/>
    <w:rsid w:val="001D41A9"/>
  </w:style>
  <w:style w:type="character" w:styleId="FollowedHyperlink">
    <w:name w:val="FollowedHyperlink"/>
    <w:basedOn w:val="DefaultParagraphFont"/>
    <w:uiPriority w:val="99"/>
    <w:semiHidden/>
    <w:unhideWhenUsed/>
    <w:rsid w:val="003C5B1C"/>
    <w:rPr>
      <w:color w:val="954F72" w:themeColor="followedHyperlink"/>
      <w:u w:val="single"/>
    </w:rPr>
  </w:style>
  <w:style w:type="character" w:customStyle="1" w:styleId="apple-converted-space">
    <w:name w:val="apple-converted-space"/>
    <w:basedOn w:val="DefaultParagraphFont"/>
    <w:rsid w:val="00C36D48"/>
  </w:style>
  <w:style w:type="character" w:styleId="LineNumber">
    <w:name w:val="line number"/>
    <w:basedOn w:val="DefaultParagraphFont"/>
    <w:uiPriority w:val="99"/>
    <w:semiHidden/>
    <w:unhideWhenUsed/>
    <w:rsid w:val="00B5645B"/>
  </w:style>
  <w:style w:type="character" w:customStyle="1" w:styleId="Heading1Char">
    <w:name w:val="Heading 1 Char"/>
    <w:basedOn w:val="DefaultParagraphFont"/>
    <w:link w:val="Heading1"/>
    <w:uiPriority w:val="9"/>
    <w:rsid w:val="0021494C"/>
    <w:rPr>
      <w:rFonts w:ascii="Arial" w:eastAsiaTheme="majorEastAsia" w:hAnsi="Arial" w:cstheme="majorBidi"/>
      <w:b/>
      <w:bCs/>
      <w:color w:val="2F5496" w:themeColor="accent1" w:themeShade="BF"/>
      <w:sz w:val="32"/>
      <w:szCs w:val="28"/>
    </w:rPr>
  </w:style>
  <w:style w:type="paragraph" w:styleId="Title">
    <w:name w:val="Title"/>
    <w:basedOn w:val="Normal"/>
    <w:next w:val="Normal"/>
    <w:link w:val="TitleChar"/>
    <w:uiPriority w:val="10"/>
    <w:qFormat/>
    <w:rsid w:val="00BA5C79"/>
    <w:pPr>
      <w:pBdr>
        <w:bottom w:val="single" w:sz="8" w:space="4" w:color="4472C4" w:themeColor="accent1"/>
      </w:pBdr>
      <w:spacing w:after="300"/>
      <w:contextualSpacing/>
    </w:pPr>
    <w:rPr>
      <w:rFonts w:asciiTheme="majorHAnsi" w:eastAsiaTheme="majorEastAsia" w:hAnsiTheme="majorHAnsi" w:cstheme="majorBidi"/>
      <w:b/>
      <w:spacing w:val="5"/>
      <w:kern w:val="28"/>
      <w:sz w:val="32"/>
      <w:szCs w:val="52"/>
    </w:rPr>
  </w:style>
  <w:style w:type="character" w:customStyle="1" w:styleId="TitleChar">
    <w:name w:val="Title Char"/>
    <w:basedOn w:val="DefaultParagraphFont"/>
    <w:link w:val="Title"/>
    <w:uiPriority w:val="10"/>
    <w:rsid w:val="00BA5C79"/>
    <w:rPr>
      <w:rFonts w:asciiTheme="majorHAnsi" w:eastAsiaTheme="majorEastAsia" w:hAnsiTheme="majorHAnsi" w:cstheme="majorBidi"/>
      <w:b/>
      <w:spacing w:val="5"/>
      <w:kern w:val="28"/>
      <w:sz w:val="32"/>
      <w:szCs w:val="52"/>
    </w:rPr>
  </w:style>
  <w:style w:type="paragraph" w:styleId="NormalWeb">
    <w:name w:val="Normal (Web)"/>
    <w:basedOn w:val="Normal"/>
    <w:uiPriority w:val="99"/>
    <w:semiHidden/>
    <w:unhideWhenUsed/>
    <w:rsid w:val="00C976BB"/>
    <w:pPr>
      <w:spacing w:before="100" w:beforeAutospacing="1" w:after="100" w:afterAutospacing="1"/>
    </w:pPr>
    <w:rPr>
      <w:rFonts w:ascii="Times New Roman" w:eastAsia="Times New Roman" w:hAnsi="Times New Roman" w:cs="Times New Roman"/>
      <w:lang w:val="en-GB" w:eastAsia="en-GB"/>
    </w:rPr>
  </w:style>
  <w:style w:type="paragraph" w:styleId="Header">
    <w:name w:val="header"/>
    <w:basedOn w:val="Normal"/>
    <w:link w:val="HeaderChar"/>
    <w:uiPriority w:val="99"/>
    <w:semiHidden/>
    <w:unhideWhenUsed/>
    <w:rsid w:val="007711E7"/>
    <w:pPr>
      <w:tabs>
        <w:tab w:val="center" w:pos="4513"/>
        <w:tab w:val="right" w:pos="9026"/>
      </w:tabs>
      <w:spacing w:line="240" w:lineRule="auto"/>
    </w:pPr>
  </w:style>
  <w:style w:type="character" w:customStyle="1" w:styleId="HeaderChar">
    <w:name w:val="Header Char"/>
    <w:basedOn w:val="DefaultParagraphFont"/>
    <w:link w:val="Header"/>
    <w:uiPriority w:val="99"/>
    <w:semiHidden/>
    <w:rsid w:val="007711E7"/>
    <w:rPr>
      <w:rFonts w:ascii="Arial" w:hAnsi="Arial"/>
      <w:sz w:val="22"/>
    </w:rPr>
  </w:style>
  <w:style w:type="paragraph" w:styleId="Footer">
    <w:name w:val="footer"/>
    <w:basedOn w:val="Normal"/>
    <w:link w:val="FooterChar"/>
    <w:uiPriority w:val="99"/>
    <w:unhideWhenUsed/>
    <w:rsid w:val="007711E7"/>
    <w:pPr>
      <w:tabs>
        <w:tab w:val="center" w:pos="4513"/>
        <w:tab w:val="right" w:pos="9026"/>
      </w:tabs>
      <w:spacing w:line="240" w:lineRule="auto"/>
    </w:pPr>
  </w:style>
  <w:style w:type="character" w:customStyle="1" w:styleId="FooterChar">
    <w:name w:val="Footer Char"/>
    <w:basedOn w:val="DefaultParagraphFont"/>
    <w:link w:val="Footer"/>
    <w:uiPriority w:val="99"/>
    <w:rsid w:val="007711E7"/>
    <w:rPr>
      <w:rFonts w:ascii="Arial" w:hAnsi="Arial"/>
      <w:sz w:val="22"/>
    </w:rPr>
  </w:style>
  <w:style w:type="paragraph" w:styleId="Bibliography">
    <w:name w:val="Bibliography"/>
    <w:basedOn w:val="Normal"/>
    <w:next w:val="Normal"/>
    <w:uiPriority w:val="37"/>
    <w:unhideWhenUsed/>
    <w:rsid w:val="00977080"/>
    <w:pPr>
      <w:tabs>
        <w:tab w:val="left" w:pos="384"/>
      </w:tabs>
      <w:spacing w:after="240" w:line="240" w:lineRule="auto"/>
      <w:ind w:left="384" w:hanging="384"/>
    </w:pPr>
  </w:style>
  <w:style w:type="character" w:customStyle="1" w:styleId="Heading2Char">
    <w:name w:val="Heading 2 Char"/>
    <w:basedOn w:val="DefaultParagraphFont"/>
    <w:link w:val="Heading2"/>
    <w:uiPriority w:val="9"/>
    <w:rsid w:val="00132DCD"/>
    <w:rPr>
      <w:rFonts w:ascii="Arial" w:eastAsiaTheme="majorEastAsia" w:hAnsi="Arial" w:cstheme="majorBidi"/>
      <w:b/>
      <w:bCs/>
      <w:color w:val="002060"/>
      <w:sz w:val="26"/>
      <w:szCs w:val="26"/>
    </w:rPr>
  </w:style>
  <w:style w:type="character" w:customStyle="1" w:styleId="Heading3Char">
    <w:name w:val="Heading 3 Char"/>
    <w:basedOn w:val="DefaultParagraphFont"/>
    <w:link w:val="Heading3"/>
    <w:uiPriority w:val="9"/>
    <w:rsid w:val="00F444AA"/>
    <w:rPr>
      <w:rFonts w:asciiTheme="majorHAnsi" w:eastAsiaTheme="majorEastAsia" w:hAnsiTheme="majorHAnsi" w:cstheme="majorBidi"/>
      <w:b/>
      <w:bCs/>
      <w:color w:val="4472C4" w:themeColor="accent1"/>
      <w:sz w:val="22"/>
    </w:rPr>
  </w:style>
</w:styles>
</file>

<file path=word/webSettings.xml><?xml version="1.0" encoding="utf-8"?>
<w:webSettings xmlns:r="http://schemas.openxmlformats.org/officeDocument/2006/relationships" xmlns:w="http://schemas.openxmlformats.org/wordprocessingml/2006/main">
  <w:divs>
    <w:div w:id="195891795">
      <w:bodyDiv w:val="1"/>
      <w:marLeft w:val="0"/>
      <w:marRight w:val="0"/>
      <w:marTop w:val="0"/>
      <w:marBottom w:val="0"/>
      <w:divBdr>
        <w:top w:val="none" w:sz="0" w:space="0" w:color="auto"/>
        <w:left w:val="none" w:sz="0" w:space="0" w:color="auto"/>
        <w:bottom w:val="none" w:sz="0" w:space="0" w:color="auto"/>
        <w:right w:val="none" w:sz="0" w:space="0" w:color="auto"/>
      </w:divBdr>
    </w:div>
    <w:div w:id="729621259">
      <w:bodyDiv w:val="1"/>
      <w:marLeft w:val="0"/>
      <w:marRight w:val="0"/>
      <w:marTop w:val="0"/>
      <w:marBottom w:val="0"/>
      <w:divBdr>
        <w:top w:val="none" w:sz="0" w:space="0" w:color="auto"/>
        <w:left w:val="none" w:sz="0" w:space="0" w:color="auto"/>
        <w:bottom w:val="none" w:sz="0" w:space="0" w:color="auto"/>
        <w:right w:val="none" w:sz="0" w:space="0" w:color="auto"/>
      </w:divBdr>
    </w:div>
    <w:div w:id="790782011">
      <w:bodyDiv w:val="1"/>
      <w:marLeft w:val="0"/>
      <w:marRight w:val="0"/>
      <w:marTop w:val="0"/>
      <w:marBottom w:val="0"/>
      <w:divBdr>
        <w:top w:val="none" w:sz="0" w:space="0" w:color="auto"/>
        <w:left w:val="none" w:sz="0" w:space="0" w:color="auto"/>
        <w:bottom w:val="none" w:sz="0" w:space="0" w:color="auto"/>
        <w:right w:val="none" w:sz="0" w:space="0" w:color="auto"/>
      </w:divBdr>
    </w:div>
    <w:div w:id="879825472">
      <w:bodyDiv w:val="1"/>
      <w:marLeft w:val="0"/>
      <w:marRight w:val="0"/>
      <w:marTop w:val="0"/>
      <w:marBottom w:val="0"/>
      <w:divBdr>
        <w:top w:val="none" w:sz="0" w:space="0" w:color="auto"/>
        <w:left w:val="none" w:sz="0" w:space="0" w:color="auto"/>
        <w:bottom w:val="none" w:sz="0" w:space="0" w:color="auto"/>
        <w:right w:val="none" w:sz="0" w:space="0" w:color="auto"/>
      </w:divBdr>
    </w:div>
    <w:div w:id="961958755">
      <w:bodyDiv w:val="1"/>
      <w:marLeft w:val="0"/>
      <w:marRight w:val="0"/>
      <w:marTop w:val="0"/>
      <w:marBottom w:val="0"/>
      <w:divBdr>
        <w:top w:val="none" w:sz="0" w:space="0" w:color="auto"/>
        <w:left w:val="none" w:sz="0" w:space="0" w:color="auto"/>
        <w:bottom w:val="none" w:sz="0" w:space="0" w:color="auto"/>
        <w:right w:val="none" w:sz="0" w:space="0" w:color="auto"/>
      </w:divBdr>
    </w:div>
    <w:div w:id="1090078127">
      <w:bodyDiv w:val="1"/>
      <w:marLeft w:val="0"/>
      <w:marRight w:val="0"/>
      <w:marTop w:val="0"/>
      <w:marBottom w:val="0"/>
      <w:divBdr>
        <w:top w:val="none" w:sz="0" w:space="0" w:color="auto"/>
        <w:left w:val="none" w:sz="0" w:space="0" w:color="auto"/>
        <w:bottom w:val="none" w:sz="0" w:space="0" w:color="auto"/>
        <w:right w:val="none" w:sz="0" w:space="0" w:color="auto"/>
      </w:divBdr>
    </w:div>
    <w:div w:id="1126385946">
      <w:bodyDiv w:val="1"/>
      <w:marLeft w:val="0"/>
      <w:marRight w:val="0"/>
      <w:marTop w:val="0"/>
      <w:marBottom w:val="0"/>
      <w:divBdr>
        <w:top w:val="none" w:sz="0" w:space="0" w:color="auto"/>
        <w:left w:val="none" w:sz="0" w:space="0" w:color="auto"/>
        <w:bottom w:val="none" w:sz="0" w:space="0" w:color="auto"/>
        <w:right w:val="none" w:sz="0" w:space="0" w:color="auto"/>
      </w:divBdr>
      <w:divsChild>
        <w:div w:id="1077247850">
          <w:marLeft w:val="0"/>
          <w:marRight w:val="0"/>
          <w:marTop w:val="0"/>
          <w:marBottom w:val="0"/>
          <w:divBdr>
            <w:top w:val="none" w:sz="0" w:space="0" w:color="auto"/>
            <w:left w:val="none" w:sz="0" w:space="0" w:color="auto"/>
            <w:bottom w:val="none" w:sz="0" w:space="0" w:color="auto"/>
            <w:right w:val="none" w:sz="0" w:space="0" w:color="auto"/>
          </w:divBdr>
        </w:div>
      </w:divsChild>
    </w:div>
    <w:div w:id="1396508265">
      <w:bodyDiv w:val="1"/>
      <w:marLeft w:val="0"/>
      <w:marRight w:val="0"/>
      <w:marTop w:val="0"/>
      <w:marBottom w:val="0"/>
      <w:divBdr>
        <w:top w:val="none" w:sz="0" w:space="0" w:color="auto"/>
        <w:left w:val="none" w:sz="0" w:space="0" w:color="auto"/>
        <w:bottom w:val="none" w:sz="0" w:space="0" w:color="auto"/>
        <w:right w:val="none" w:sz="0" w:space="0" w:color="auto"/>
      </w:divBdr>
    </w:div>
    <w:div w:id="1477452014">
      <w:bodyDiv w:val="1"/>
      <w:marLeft w:val="0"/>
      <w:marRight w:val="0"/>
      <w:marTop w:val="0"/>
      <w:marBottom w:val="0"/>
      <w:divBdr>
        <w:top w:val="none" w:sz="0" w:space="0" w:color="auto"/>
        <w:left w:val="none" w:sz="0" w:space="0" w:color="auto"/>
        <w:bottom w:val="none" w:sz="0" w:space="0" w:color="auto"/>
        <w:right w:val="none" w:sz="0" w:space="0" w:color="auto"/>
      </w:divBdr>
      <w:divsChild>
        <w:div w:id="1477336086">
          <w:marLeft w:val="0"/>
          <w:marRight w:val="0"/>
          <w:marTop w:val="0"/>
          <w:marBottom w:val="0"/>
          <w:divBdr>
            <w:top w:val="none" w:sz="0" w:space="0" w:color="auto"/>
            <w:left w:val="none" w:sz="0" w:space="0" w:color="auto"/>
            <w:bottom w:val="none" w:sz="0" w:space="0" w:color="auto"/>
            <w:right w:val="none" w:sz="0" w:space="0" w:color="auto"/>
          </w:divBdr>
        </w:div>
      </w:divsChild>
    </w:div>
    <w:div w:id="1622607617">
      <w:bodyDiv w:val="1"/>
      <w:marLeft w:val="0"/>
      <w:marRight w:val="0"/>
      <w:marTop w:val="0"/>
      <w:marBottom w:val="0"/>
      <w:divBdr>
        <w:top w:val="none" w:sz="0" w:space="0" w:color="auto"/>
        <w:left w:val="none" w:sz="0" w:space="0" w:color="auto"/>
        <w:bottom w:val="none" w:sz="0" w:space="0" w:color="auto"/>
        <w:right w:val="none" w:sz="0" w:space="0" w:color="auto"/>
      </w:divBdr>
      <w:divsChild>
        <w:div w:id="97874733">
          <w:marLeft w:val="0"/>
          <w:marRight w:val="0"/>
          <w:marTop w:val="0"/>
          <w:marBottom w:val="0"/>
          <w:divBdr>
            <w:top w:val="none" w:sz="0" w:space="0" w:color="auto"/>
            <w:left w:val="none" w:sz="0" w:space="0" w:color="auto"/>
            <w:bottom w:val="none" w:sz="0" w:space="0" w:color="auto"/>
            <w:right w:val="none" w:sz="0" w:space="0" w:color="auto"/>
          </w:divBdr>
        </w:div>
        <w:div w:id="1029573794">
          <w:marLeft w:val="0"/>
          <w:marRight w:val="0"/>
          <w:marTop w:val="0"/>
          <w:marBottom w:val="0"/>
          <w:divBdr>
            <w:top w:val="none" w:sz="0" w:space="0" w:color="auto"/>
            <w:left w:val="none" w:sz="0" w:space="0" w:color="auto"/>
            <w:bottom w:val="none" w:sz="0" w:space="0" w:color="auto"/>
            <w:right w:val="none" w:sz="0" w:space="0" w:color="auto"/>
          </w:divBdr>
        </w:div>
        <w:div w:id="869612802">
          <w:marLeft w:val="0"/>
          <w:marRight w:val="0"/>
          <w:marTop w:val="0"/>
          <w:marBottom w:val="0"/>
          <w:divBdr>
            <w:top w:val="none" w:sz="0" w:space="0" w:color="auto"/>
            <w:left w:val="none" w:sz="0" w:space="0" w:color="auto"/>
            <w:bottom w:val="none" w:sz="0" w:space="0" w:color="auto"/>
            <w:right w:val="none" w:sz="0" w:space="0" w:color="auto"/>
          </w:divBdr>
        </w:div>
        <w:div w:id="418645285">
          <w:marLeft w:val="0"/>
          <w:marRight w:val="0"/>
          <w:marTop w:val="0"/>
          <w:marBottom w:val="0"/>
          <w:divBdr>
            <w:top w:val="none" w:sz="0" w:space="0" w:color="auto"/>
            <w:left w:val="none" w:sz="0" w:space="0" w:color="auto"/>
            <w:bottom w:val="none" w:sz="0" w:space="0" w:color="auto"/>
            <w:right w:val="none" w:sz="0" w:space="0" w:color="auto"/>
          </w:divBdr>
        </w:div>
        <w:div w:id="1666588500">
          <w:marLeft w:val="0"/>
          <w:marRight w:val="0"/>
          <w:marTop w:val="0"/>
          <w:marBottom w:val="0"/>
          <w:divBdr>
            <w:top w:val="none" w:sz="0" w:space="0" w:color="auto"/>
            <w:left w:val="none" w:sz="0" w:space="0" w:color="auto"/>
            <w:bottom w:val="none" w:sz="0" w:space="0" w:color="auto"/>
            <w:right w:val="none" w:sz="0" w:space="0" w:color="auto"/>
          </w:divBdr>
        </w:div>
      </w:divsChild>
    </w:div>
    <w:div w:id="1696496715">
      <w:bodyDiv w:val="1"/>
      <w:marLeft w:val="0"/>
      <w:marRight w:val="0"/>
      <w:marTop w:val="0"/>
      <w:marBottom w:val="0"/>
      <w:divBdr>
        <w:top w:val="none" w:sz="0" w:space="0" w:color="auto"/>
        <w:left w:val="none" w:sz="0" w:space="0" w:color="auto"/>
        <w:bottom w:val="none" w:sz="0" w:space="0" w:color="auto"/>
        <w:right w:val="none" w:sz="0" w:space="0" w:color="auto"/>
      </w:divBdr>
    </w:div>
    <w:div w:id="1724908293">
      <w:bodyDiv w:val="1"/>
      <w:marLeft w:val="0"/>
      <w:marRight w:val="0"/>
      <w:marTop w:val="0"/>
      <w:marBottom w:val="0"/>
      <w:divBdr>
        <w:top w:val="none" w:sz="0" w:space="0" w:color="auto"/>
        <w:left w:val="none" w:sz="0" w:space="0" w:color="auto"/>
        <w:bottom w:val="none" w:sz="0" w:space="0" w:color="auto"/>
        <w:right w:val="none" w:sz="0" w:space="0" w:color="auto"/>
      </w:divBdr>
    </w:div>
    <w:div w:id="1747651205">
      <w:bodyDiv w:val="1"/>
      <w:marLeft w:val="0"/>
      <w:marRight w:val="0"/>
      <w:marTop w:val="0"/>
      <w:marBottom w:val="0"/>
      <w:divBdr>
        <w:top w:val="none" w:sz="0" w:space="0" w:color="auto"/>
        <w:left w:val="none" w:sz="0" w:space="0" w:color="auto"/>
        <w:bottom w:val="none" w:sz="0" w:space="0" w:color="auto"/>
        <w:right w:val="none" w:sz="0" w:space="0" w:color="auto"/>
      </w:divBdr>
    </w:div>
    <w:div w:id="1897013536">
      <w:bodyDiv w:val="1"/>
      <w:marLeft w:val="0"/>
      <w:marRight w:val="0"/>
      <w:marTop w:val="0"/>
      <w:marBottom w:val="0"/>
      <w:divBdr>
        <w:top w:val="none" w:sz="0" w:space="0" w:color="auto"/>
        <w:left w:val="none" w:sz="0" w:space="0" w:color="auto"/>
        <w:bottom w:val="none" w:sz="0" w:space="0" w:color="auto"/>
        <w:right w:val="none" w:sz="0" w:space="0" w:color="auto"/>
      </w:divBdr>
    </w:div>
    <w:div w:id="1920139418">
      <w:bodyDiv w:val="1"/>
      <w:marLeft w:val="0"/>
      <w:marRight w:val="0"/>
      <w:marTop w:val="0"/>
      <w:marBottom w:val="0"/>
      <w:divBdr>
        <w:top w:val="none" w:sz="0" w:space="0" w:color="auto"/>
        <w:left w:val="none" w:sz="0" w:space="0" w:color="auto"/>
        <w:bottom w:val="none" w:sz="0" w:space="0" w:color="auto"/>
        <w:right w:val="none" w:sz="0" w:space="0" w:color="auto"/>
      </w:divBdr>
      <w:divsChild>
        <w:div w:id="175330849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26" Type="http://schemas.microsoft.com/office/2016/09/relationships/commentsIds" Target="commentsIds.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9CA9B7-CC84-4194-A592-C3CD0DFDCE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9672</Words>
  <Characters>60936</Characters>
  <Application>Microsoft Office Word</Application>
  <DocSecurity>0</DocSecurity>
  <Lines>507</Lines>
  <Paragraphs>140</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
      <vt:lpstr>Supplementary Information</vt:lpstr>
      <vt:lpstr>Supplementary Methods</vt:lpstr>
      <vt:lpstr>    Surgery</vt:lpstr>
      <vt:lpstr>    DMTP 5-choice spatial working memory (5-CSWM) task</vt:lpstr>
      <vt:lpstr>    5-choice serial reaction time task (5-CSRTT)</vt:lpstr>
      <vt:lpstr>    Visual rule-shift learning</vt:lpstr>
      <vt:lpstr>    T-maze rewarded alternation</vt:lpstr>
      <vt:lpstr>    Y-maze spatial novelty preference test</vt:lpstr>
      <vt:lpstr>    Novelty-induced locomotor activity measurement (LMA)</vt:lpstr>
      <vt:lpstr>    Novel object recognition (NOR)</vt:lpstr>
      <vt:lpstr>    3-chamber test of social interaction and social memory testing</vt:lpstr>
      <vt:lpstr>    Reciprocal social interaction </vt:lpstr>
      <vt:lpstr>    Olfactory function test</vt:lpstr>
      <vt:lpstr>    Elevated plus-maze (anxiety)</vt:lpstr>
      <vt:lpstr>    Nest building</vt:lpstr>
      <vt:lpstr>    Histology</vt:lpstr>
      <vt:lpstr>        Histological validation of GFP expression</vt:lpstr>
      <vt:lpstr>        Immunohistochemistry (IHC) </vt:lpstr>
      <vt:lpstr>Supplementary Figures</vt:lpstr>
      <vt:lpstr>Supplementary Tables</vt:lpstr>
      <vt:lpstr>Supplementary references</vt:lpstr>
    </vt:vector>
  </TitlesOfParts>
  <Company>Microsoft</Company>
  <LinksUpToDate>false</LinksUpToDate>
  <CharactersWithSpaces>70468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Alexei Bygrave</dc:creator>
  <cp:lastModifiedBy>Dennis Kaetzel</cp:lastModifiedBy>
  <cp:revision>2</cp:revision>
  <cp:lastPrinted>2018-06-21T13:22:00Z</cp:lastPrinted>
  <dcterms:created xsi:type="dcterms:W3CDTF">2022-02-19T12:54:00Z</dcterms:created>
  <dcterms:modified xsi:type="dcterms:W3CDTF">2022-02-19T12:54:00Z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1f000a5f-ac57-351e-bb89-0c3d5b053bcf</vt:lpwstr>
  </property>
  <property fmtid="{D5CDD505-2E9C-101B-9397-08002B2CF9AE}" pid="4" name="Mendeley Citation Style_1">
    <vt:lpwstr>http://www.zotero.org/styles/neuron</vt:lpwstr>
  </property>
  <property fmtid="{D5CDD505-2E9C-101B-9397-08002B2CF9AE}" pid="5" name="ZOTERO_PREF_1">
    <vt:lpwstr>&lt;data data-version="3" zotero-version="5.0.96.3"&gt;&lt;session id="dptpCMdI"/&gt;&lt;style id="http://www.zotero.org/styles/translational-psychiatry" hasBibliography="1" bibliographyStyleHasBeenSet="1"/&gt;&lt;prefs&gt;&lt;pref name="fieldType" value="Field"/&gt;&lt;pref name="storeR</vt:lpwstr>
  </property>
  <property fmtid="{D5CDD505-2E9C-101B-9397-08002B2CF9AE}" pid="6" name="ZOTERO_PREF_2">
    <vt:lpwstr>eferences" value="true"/&gt;&lt;pref name="automaticJournalAbbreviations" value="true"/&gt;&lt;/prefs&gt;&lt;/data&gt;</vt:lpwstr>
  </property>
</Properties>
</file>