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56BAA" w14:textId="77777777" w:rsidR="000E3543" w:rsidRDefault="000E3543" w:rsidP="000E3543">
      <w:pPr>
        <w:pStyle w:val="Header"/>
      </w:pPr>
    </w:p>
    <w:p w14:paraId="66A62C57" w14:textId="576407FC" w:rsidR="000E3543" w:rsidRPr="004E2FF9" w:rsidRDefault="000E3543" w:rsidP="00AC3BE6">
      <w:pPr>
        <w:pStyle w:val="Header"/>
        <w:jc w:val="center"/>
        <w:rPr>
          <w:b/>
          <w:sz w:val="28"/>
        </w:rPr>
      </w:pPr>
      <w:r w:rsidRPr="004E2FF9">
        <w:rPr>
          <w:b/>
          <w:sz w:val="28"/>
        </w:rPr>
        <w:t xml:space="preserve">Supplementary Material </w:t>
      </w:r>
    </w:p>
    <w:p w14:paraId="3030172D" w14:textId="77777777" w:rsidR="000E3543" w:rsidRDefault="000E3543" w:rsidP="00AC3BE6">
      <w:pPr>
        <w:pStyle w:val="Header"/>
        <w:spacing w:line="480" w:lineRule="auto"/>
        <w:jc w:val="center"/>
      </w:pPr>
    </w:p>
    <w:p w14:paraId="3FF5D896" w14:textId="77777777" w:rsidR="000E3543" w:rsidRDefault="000E3543" w:rsidP="00AC3BE6">
      <w:pPr>
        <w:pStyle w:val="Header"/>
        <w:spacing w:line="480" w:lineRule="auto"/>
        <w:jc w:val="center"/>
      </w:pPr>
    </w:p>
    <w:p w14:paraId="5E6BB62F" w14:textId="5222844E" w:rsidR="000E3543" w:rsidRPr="00834EAD" w:rsidRDefault="000E3543" w:rsidP="007951B4">
      <w:pPr>
        <w:pStyle w:val="Header"/>
        <w:spacing w:line="480" w:lineRule="auto"/>
        <w:rPr>
          <w:szCs w:val="22"/>
        </w:rPr>
      </w:pPr>
      <w:r w:rsidRPr="00834EAD">
        <w:rPr>
          <w:szCs w:val="22"/>
        </w:rPr>
        <w:t>“</w:t>
      </w:r>
      <w:r w:rsidR="00DC556B" w:rsidRPr="00DC556B">
        <w:rPr>
          <w:rFonts w:cstheme="minorHAnsi"/>
          <w:szCs w:val="22"/>
        </w:rPr>
        <w:t>Epigenetic signatures relating to disease-associated genotypic burden in familial risk of bipolar disorder</w:t>
      </w:r>
      <w:r w:rsidRPr="00834EAD">
        <w:rPr>
          <w:szCs w:val="22"/>
        </w:rPr>
        <w:t>”</w:t>
      </w:r>
    </w:p>
    <w:p w14:paraId="592E65CA" w14:textId="77777777" w:rsidR="000E3543" w:rsidRPr="000E3543" w:rsidRDefault="000E3543" w:rsidP="00AC3BE6">
      <w:pPr>
        <w:pStyle w:val="Header"/>
        <w:spacing w:line="480" w:lineRule="auto"/>
        <w:jc w:val="center"/>
        <w:rPr>
          <w:szCs w:val="22"/>
        </w:rPr>
      </w:pPr>
    </w:p>
    <w:p w14:paraId="71CED605" w14:textId="4FEE64B3" w:rsidR="000E3543" w:rsidRDefault="000E3543" w:rsidP="007951B4">
      <w:pPr>
        <w:pStyle w:val="Header"/>
        <w:spacing w:line="480" w:lineRule="auto"/>
        <w:rPr>
          <w:szCs w:val="22"/>
        </w:rPr>
      </w:pPr>
      <w:r w:rsidRPr="000E3543">
        <w:rPr>
          <w:szCs w:val="22"/>
        </w:rPr>
        <w:t xml:space="preserve">Sonia </w:t>
      </w:r>
      <w:proofErr w:type="spellStart"/>
      <w:r w:rsidRPr="000E3543">
        <w:rPr>
          <w:szCs w:val="22"/>
        </w:rPr>
        <w:t>Hesam</w:t>
      </w:r>
      <w:proofErr w:type="spellEnd"/>
      <w:r w:rsidRPr="000E3543">
        <w:rPr>
          <w:szCs w:val="22"/>
        </w:rPr>
        <w:t xml:space="preserve">-Shariati, Bronwyn J. Overs, Gloria Roberts, Claudio Toma, </w:t>
      </w:r>
      <w:r w:rsidR="00553FC9" w:rsidRPr="00553FC9">
        <w:rPr>
          <w:szCs w:val="22"/>
        </w:rPr>
        <w:t xml:space="preserve">Oliver </w:t>
      </w:r>
      <w:r w:rsidR="009E3FD2">
        <w:rPr>
          <w:szCs w:val="22"/>
        </w:rPr>
        <w:t xml:space="preserve">J. </w:t>
      </w:r>
      <w:proofErr w:type="spellStart"/>
      <w:r w:rsidR="00553FC9" w:rsidRPr="00553FC9">
        <w:rPr>
          <w:szCs w:val="22"/>
        </w:rPr>
        <w:t>Watkeys</w:t>
      </w:r>
      <w:proofErr w:type="spellEnd"/>
      <w:r w:rsidR="00553FC9" w:rsidRPr="00553FC9">
        <w:rPr>
          <w:szCs w:val="22"/>
        </w:rPr>
        <w:t>, Melissa</w:t>
      </w:r>
      <w:r w:rsidR="00553FC9">
        <w:rPr>
          <w:szCs w:val="22"/>
        </w:rPr>
        <w:t xml:space="preserve"> J. Green, Kerrie D. Pierce</w:t>
      </w:r>
      <w:r w:rsidRPr="000E3543">
        <w:rPr>
          <w:szCs w:val="22"/>
        </w:rPr>
        <w:t xml:space="preserve">, Howard J. </w:t>
      </w:r>
      <w:proofErr w:type="spellStart"/>
      <w:r w:rsidRPr="000E3543">
        <w:rPr>
          <w:szCs w:val="22"/>
        </w:rPr>
        <w:t>Edenberg</w:t>
      </w:r>
      <w:proofErr w:type="spellEnd"/>
      <w:r w:rsidRPr="000E3543">
        <w:rPr>
          <w:szCs w:val="22"/>
        </w:rPr>
        <w:t xml:space="preserve">, Holly C. Wilcox, Emma K. Stapp, Melvin </w:t>
      </w:r>
      <w:r w:rsidR="009E3FD2">
        <w:rPr>
          <w:szCs w:val="22"/>
        </w:rPr>
        <w:t xml:space="preserve">G. </w:t>
      </w:r>
      <w:r w:rsidRPr="000E3543">
        <w:rPr>
          <w:szCs w:val="22"/>
        </w:rPr>
        <w:t xml:space="preserve">McInnis, Leslie A. </w:t>
      </w:r>
      <w:proofErr w:type="spellStart"/>
      <w:r w:rsidRPr="000E3543">
        <w:rPr>
          <w:szCs w:val="22"/>
        </w:rPr>
        <w:t>Hulvershorn</w:t>
      </w:r>
      <w:proofErr w:type="spellEnd"/>
      <w:r w:rsidRPr="000E3543">
        <w:rPr>
          <w:szCs w:val="22"/>
        </w:rPr>
        <w:t xml:space="preserve">, John I. </w:t>
      </w:r>
      <w:proofErr w:type="spellStart"/>
      <w:r w:rsidRPr="000E3543">
        <w:rPr>
          <w:szCs w:val="22"/>
        </w:rPr>
        <w:t>Nurnberger</w:t>
      </w:r>
      <w:proofErr w:type="spellEnd"/>
      <w:r w:rsidRPr="000E3543">
        <w:rPr>
          <w:szCs w:val="22"/>
        </w:rPr>
        <w:t>, Peter R. Schofield, Philip B. Mitchell, Janice M. Fullerton</w:t>
      </w:r>
      <w:r w:rsidR="0095237E">
        <w:rPr>
          <w:szCs w:val="22"/>
        </w:rPr>
        <w:t>*</w:t>
      </w:r>
      <w:r w:rsidRPr="000E3543">
        <w:rPr>
          <w:szCs w:val="22"/>
        </w:rPr>
        <w:t>.</w:t>
      </w:r>
    </w:p>
    <w:p w14:paraId="00357FEC" w14:textId="07C42054" w:rsidR="0095237E" w:rsidRDefault="0095237E" w:rsidP="00AC3BE6">
      <w:pPr>
        <w:pStyle w:val="Header"/>
        <w:spacing w:line="480" w:lineRule="auto"/>
        <w:jc w:val="center"/>
        <w:rPr>
          <w:szCs w:val="22"/>
        </w:rPr>
      </w:pPr>
    </w:p>
    <w:p w14:paraId="0A18E6B3" w14:textId="78570CA2" w:rsidR="0095237E" w:rsidRDefault="0095237E" w:rsidP="00AC3BE6">
      <w:pPr>
        <w:pStyle w:val="Header"/>
        <w:spacing w:line="480" w:lineRule="auto"/>
        <w:jc w:val="center"/>
        <w:rPr>
          <w:szCs w:val="22"/>
        </w:rPr>
      </w:pPr>
    </w:p>
    <w:p w14:paraId="32B474B7" w14:textId="77777777" w:rsidR="0095237E" w:rsidRPr="00232ED1" w:rsidRDefault="0095237E" w:rsidP="0095237E">
      <w:pPr>
        <w:tabs>
          <w:tab w:val="left" w:pos="6804"/>
        </w:tabs>
        <w:spacing w:after="0" w:line="480" w:lineRule="auto"/>
        <w:jc w:val="both"/>
        <w:rPr>
          <w:szCs w:val="22"/>
        </w:rPr>
      </w:pPr>
      <w:r w:rsidRPr="00232ED1">
        <w:rPr>
          <w:b/>
          <w:szCs w:val="22"/>
        </w:rPr>
        <w:t xml:space="preserve">* Corresponding Author: </w:t>
      </w:r>
      <w:r w:rsidRPr="00232ED1">
        <w:rPr>
          <w:szCs w:val="22"/>
        </w:rPr>
        <w:t xml:space="preserve">Janice M. Fullerton, Neuroscience Research Australia, Margarete Ainsworth Building, Barker Street, Randwick, Sydney, NSW 2031, Australia; </w:t>
      </w:r>
      <w:r>
        <w:rPr>
          <w:szCs w:val="22"/>
        </w:rPr>
        <w:t xml:space="preserve">E </w:t>
      </w:r>
      <w:proofErr w:type="spellStart"/>
      <w:proofErr w:type="gramStart"/>
      <w:r>
        <w:rPr>
          <w:szCs w:val="22"/>
        </w:rPr>
        <w:t>j.fullerton</w:t>
      </w:r>
      <w:proofErr w:type="spellEnd"/>
      <w:proofErr w:type="gramEnd"/>
      <w:r>
        <w:rPr>
          <w:szCs w:val="22"/>
        </w:rPr>
        <w:t xml:space="preserve">(at)neura.edu.au; </w:t>
      </w:r>
      <w:r w:rsidRPr="00232ED1">
        <w:rPr>
          <w:szCs w:val="22"/>
        </w:rPr>
        <w:t>T +61 (0)2 9399 1836</w:t>
      </w:r>
      <w:r>
        <w:rPr>
          <w:szCs w:val="22"/>
        </w:rPr>
        <w:t>;</w:t>
      </w:r>
      <w:r w:rsidRPr="00232ED1">
        <w:rPr>
          <w:szCs w:val="22"/>
        </w:rPr>
        <w:t xml:space="preserve">  F +61 (0)2 9399 1005</w:t>
      </w:r>
    </w:p>
    <w:p w14:paraId="3E8C981D" w14:textId="77777777" w:rsidR="0095237E" w:rsidRDefault="0095237E" w:rsidP="00AC3BE6">
      <w:pPr>
        <w:pStyle w:val="Header"/>
        <w:spacing w:line="480" w:lineRule="auto"/>
        <w:jc w:val="center"/>
        <w:rPr>
          <w:szCs w:val="22"/>
        </w:rPr>
      </w:pPr>
    </w:p>
    <w:p w14:paraId="0562297D" w14:textId="77777777" w:rsidR="0095237E" w:rsidRPr="000E3543" w:rsidRDefault="0095237E" w:rsidP="00AC3BE6">
      <w:pPr>
        <w:pStyle w:val="Header"/>
        <w:spacing w:line="480" w:lineRule="auto"/>
        <w:jc w:val="center"/>
        <w:rPr>
          <w:szCs w:val="22"/>
        </w:rPr>
      </w:pPr>
    </w:p>
    <w:p w14:paraId="50167B3B" w14:textId="77777777" w:rsidR="000E3543" w:rsidRDefault="000E3543" w:rsidP="000E3543">
      <w:pPr>
        <w:spacing w:after="0" w:line="480" w:lineRule="auto"/>
        <w:jc w:val="both"/>
        <w:rPr>
          <w:b/>
          <w:bCs/>
          <w:sz w:val="24"/>
          <w:szCs w:val="32"/>
        </w:rPr>
        <w:sectPr w:rsidR="000E3543">
          <w:headerReference w:type="default" r:id="rId8"/>
          <w:footerReference w:type="default" r:id="rId9"/>
          <w:pgSz w:w="11906" w:h="16838"/>
          <w:pgMar w:top="1440" w:right="1440" w:bottom="1440" w:left="1440" w:header="708" w:footer="708" w:gutter="0"/>
          <w:cols w:space="708"/>
          <w:docGrid w:linePitch="360"/>
        </w:sectPr>
      </w:pPr>
    </w:p>
    <w:p w14:paraId="2544E1DF" w14:textId="506591A1" w:rsidR="00536F6F" w:rsidRPr="004E2FF9" w:rsidRDefault="00536F6F" w:rsidP="00D80CD5">
      <w:pPr>
        <w:spacing w:after="0" w:line="480" w:lineRule="auto"/>
        <w:jc w:val="both"/>
        <w:rPr>
          <w:b/>
          <w:bCs/>
          <w:sz w:val="28"/>
        </w:rPr>
      </w:pPr>
      <w:r w:rsidRPr="004E2FF9">
        <w:rPr>
          <w:b/>
          <w:bCs/>
          <w:sz w:val="28"/>
        </w:rPr>
        <w:lastRenderedPageBreak/>
        <w:t>Supplementary Methods</w:t>
      </w:r>
    </w:p>
    <w:p w14:paraId="45485306" w14:textId="77777777" w:rsidR="00300422" w:rsidRPr="004E2FF9" w:rsidRDefault="00300422" w:rsidP="00300422">
      <w:pPr>
        <w:spacing w:after="0" w:line="480" w:lineRule="auto"/>
        <w:jc w:val="both"/>
        <w:rPr>
          <w:rFonts w:cstheme="minorHAnsi"/>
          <w:b/>
          <w:sz w:val="20"/>
          <w:szCs w:val="20"/>
        </w:rPr>
      </w:pPr>
    </w:p>
    <w:p w14:paraId="0970D4B1" w14:textId="2B6E1ED0" w:rsidR="00692D6E" w:rsidRPr="00B61FB3" w:rsidRDefault="00300422" w:rsidP="00300422">
      <w:pPr>
        <w:spacing w:after="0" w:line="480" w:lineRule="auto"/>
        <w:jc w:val="both"/>
        <w:rPr>
          <w:b/>
          <w:szCs w:val="22"/>
        </w:rPr>
      </w:pPr>
      <w:r w:rsidRPr="00B61FB3">
        <w:rPr>
          <w:rFonts w:cstheme="minorHAnsi"/>
          <w:b/>
          <w:szCs w:val="22"/>
        </w:rPr>
        <w:t>DNA extraction</w:t>
      </w:r>
    </w:p>
    <w:p w14:paraId="1A31927C" w14:textId="3EA41E47" w:rsidR="005D57E1" w:rsidRPr="00B61FB3" w:rsidRDefault="00300422" w:rsidP="002961F9">
      <w:pPr>
        <w:pStyle w:val="Default"/>
        <w:spacing w:line="480" w:lineRule="auto"/>
        <w:rPr>
          <w:rFonts w:eastAsia="Times New Roman"/>
          <w:sz w:val="22"/>
          <w:szCs w:val="22"/>
          <w:shd w:val="clear" w:color="auto" w:fill="FFFFFF"/>
        </w:rPr>
      </w:pPr>
      <w:r w:rsidRPr="00B61FB3">
        <w:rPr>
          <w:rFonts w:asciiTheme="minorHAnsi" w:hAnsiTheme="minorHAnsi"/>
          <w:sz w:val="22"/>
          <w:szCs w:val="22"/>
          <w:lang w:eastAsia="en-AU"/>
        </w:rPr>
        <w:t xml:space="preserve">Peripheral blood samples were collected in EDTA tubes for processing and DNA extraction. </w:t>
      </w:r>
      <w:r w:rsidRPr="00B61FB3">
        <w:rPr>
          <w:rFonts w:asciiTheme="minorHAnsi" w:hAnsiTheme="minorHAnsi"/>
          <w:sz w:val="22"/>
          <w:szCs w:val="22"/>
        </w:rPr>
        <w:t>Samples were processed either as: 1) whole blood, or 2) separated to isolate lymphocytes for EBV transformation, where a cell line and DNA was required from a single collection tube. Where a cell line was made, the blood was first diluted with saline</w:t>
      </w:r>
      <w:r w:rsidR="00CD0EEA" w:rsidRPr="00B61FB3">
        <w:rPr>
          <w:rFonts w:asciiTheme="minorHAnsi" w:hAnsiTheme="minorHAnsi"/>
          <w:sz w:val="22"/>
          <w:szCs w:val="22"/>
        </w:rPr>
        <w:t>,</w:t>
      </w:r>
      <w:r w:rsidRPr="00B61FB3">
        <w:rPr>
          <w:rFonts w:asciiTheme="minorHAnsi" w:hAnsiTheme="minorHAnsi"/>
          <w:sz w:val="22"/>
          <w:szCs w:val="22"/>
        </w:rPr>
        <w:t xml:space="preserve"> then centrifuged through a </w:t>
      </w:r>
      <w:proofErr w:type="spellStart"/>
      <w:r w:rsidRPr="00B61FB3">
        <w:rPr>
          <w:rFonts w:asciiTheme="minorHAnsi" w:hAnsiTheme="minorHAnsi"/>
          <w:sz w:val="22"/>
          <w:szCs w:val="22"/>
        </w:rPr>
        <w:t>ficoll</w:t>
      </w:r>
      <w:proofErr w:type="spellEnd"/>
      <w:r w:rsidRPr="00B61FB3">
        <w:rPr>
          <w:rFonts w:asciiTheme="minorHAnsi" w:hAnsiTheme="minorHAnsi"/>
          <w:sz w:val="22"/>
          <w:szCs w:val="22"/>
        </w:rPr>
        <w:t xml:space="preserve"> layer to isolate the lymphocyte layer for </w:t>
      </w:r>
      <w:r w:rsidR="0002185D" w:rsidRPr="00B61FB3">
        <w:rPr>
          <w:rFonts w:asciiTheme="minorHAnsi" w:hAnsiTheme="minorHAnsi"/>
          <w:sz w:val="22"/>
          <w:szCs w:val="22"/>
        </w:rPr>
        <w:t>Epstein-Barr virus (</w:t>
      </w:r>
      <w:r w:rsidRPr="00B61FB3">
        <w:rPr>
          <w:rFonts w:asciiTheme="minorHAnsi" w:hAnsiTheme="minorHAnsi"/>
          <w:sz w:val="22"/>
          <w:szCs w:val="22"/>
        </w:rPr>
        <w:t>EBV</w:t>
      </w:r>
      <w:r w:rsidR="0002185D" w:rsidRPr="00B61FB3">
        <w:rPr>
          <w:rFonts w:asciiTheme="minorHAnsi" w:hAnsiTheme="minorHAnsi"/>
          <w:sz w:val="22"/>
          <w:szCs w:val="22"/>
        </w:rPr>
        <w:t>)</w:t>
      </w:r>
      <w:r w:rsidRPr="00B61FB3">
        <w:rPr>
          <w:rFonts w:asciiTheme="minorHAnsi" w:hAnsiTheme="minorHAnsi"/>
          <w:sz w:val="22"/>
          <w:szCs w:val="22"/>
        </w:rPr>
        <w:t xml:space="preserve"> transformation (comprising predominantly granulocytes; Figure </w:t>
      </w:r>
      <w:r w:rsidR="009367CE" w:rsidRPr="00B61FB3">
        <w:rPr>
          <w:rFonts w:asciiTheme="minorHAnsi" w:hAnsiTheme="minorHAnsi"/>
          <w:sz w:val="22"/>
          <w:szCs w:val="22"/>
        </w:rPr>
        <w:t>S3</w:t>
      </w:r>
      <w:r w:rsidRPr="00B61FB3">
        <w:rPr>
          <w:rFonts w:asciiTheme="minorHAnsi" w:hAnsiTheme="minorHAnsi"/>
          <w:sz w:val="22"/>
          <w:szCs w:val="22"/>
        </w:rPr>
        <w:t xml:space="preserve">). A layer of lymphocytes left on top of the red blood cells and all of the leftover </w:t>
      </w:r>
      <w:proofErr w:type="spellStart"/>
      <w:r w:rsidRPr="00B61FB3">
        <w:rPr>
          <w:rFonts w:asciiTheme="minorHAnsi" w:hAnsiTheme="minorHAnsi"/>
          <w:sz w:val="22"/>
          <w:szCs w:val="22"/>
        </w:rPr>
        <w:t>ficoll</w:t>
      </w:r>
      <w:proofErr w:type="spellEnd"/>
      <w:r w:rsidRPr="00B61FB3">
        <w:rPr>
          <w:rFonts w:asciiTheme="minorHAnsi" w:hAnsiTheme="minorHAnsi"/>
          <w:sz w:val="22"/>
          <w:szCs w:val="22"/>
        </w:rPr>
        <w:t xml:space="preserve"> layer cells (i.e. red and white cells from the </w:t>
      </w:r>
      <w:proofErr w:type="spellStart"/>
      <w:r w:rsidRPr="00B61FB3">
        <w:rPr>
          <w:rFonts w:asciiTheme="minorHAnsi" w:hAnsiTheme="minorHAnsi"/>
          <w:sz w:val="22"/>
          <w:szCs w:val="22"/>
        </w:rPr>
        <w:t>ficoll</w:t>
      </w:r>
      <w:proofErr w:type="spellEnd"/>
      <w:r w:rsidRPr="00B61FB3">
        <w:rPr>
          <w:rFonts w:asciiTheme="minorHAnsi" w:hAnsiTheme="minorHAnsi"/>
          <w:sz w:val="22"/>
          <w:szCs w:val="22"/>
        </w:rPr>
        <w:t xml:space="preserve">/PBS/plasma layer, including pelleted cells and depleted of granulocytes; Figure </w:t>
      </w:r>
      <w:r w:rsidR="009367CE" w:rsidRPr="00B61FB3">
        <w:rPr>
          <w:rFonts w:asciiTheme="minorHAnsi" w:hAnsiTheme="minorHAnsi"/>
          <w:sz w:val="22"/>
          <w:szCs w:val="22"/>
        </w:rPr>
        <w:t>S3</w:t>
      </w:r>
      <w:r w:rsidRPr="00B61FB3">
        <w:rPr>
          <w:rFonts w:asciiTheme="minorHAnsi" w:hAnsiTheme="minorHAnsi"/>
          <w:sz w:val="22"/>
          <w:szCs w:val="22"/>
        </w:rPr>
        <w:t xml:space="preserve">) was either processed for DNA extraction or frozen (in case of cell line failure or used as backup if two EDTA tubes were sent and the DNA extraction from the first whole-blood tube failed). In some instances, DNA was extracted from the isolated lymphocyte population after </w:t>
      </w:r>
      <w:proofErr w:type="spellStart"/>
      <w:r w:rsidRPr="00B61FB3">
        <w:rPr>
          <w:rFonts w:asciiTheme="minorHAnsi" w:hAnsiTheme="minorHAnsi"/>
          <w:sz w:val="22"/>
          <w:szCs w:val="22"/>
        </w:rPr>
        <w:t>ficol</w:t>
      </w:r>
      <w:r w:rsidR="00CD0EEA" w:rsidRPr="00B61FB3">
        <w:rPr>
          <w:rFonts w:asciiTheme="minorHAnsi" w:hAnsiTheme="minorHAnsi"/>
          <w:sz w:val="22"/>
          <w:szCs w:val="22"/>
        </w:rPr>
        <w:t>l</w:t>
      </w:r>
      <w:proofErr w:type="spellEnd"/>
      <w:r w:rsidRPr="00B61FB3">
        <w:rPr>
          <w:rFonts w:asciiTheme="minorHAnsi" w:hAnsiTheme="minorHAnsi"/>
          <w:sz w:val="22"/>
          <w:szCs w:val="22"/>
        </w:rPr>
        <w:t xml:space="preserve"> separation, but before EBV transformation. </w:t>
      </w:r>
      <w:r w:rsidRPr="00B61FB3">
        <w:rPr>
          <w:rFonts w:asciiTheme="minorHAnsi" w:hAnsiTheme="minorHAnsi"/>
          <w:sz w:val="22"/>
          <w:szCs w:val="22"/>
          <w:lang w:eastAsia="en-AU"/>
        </w:rPr>
        <w:t xml:space="preserve">DNA was extracted by Genetic Repositories Australia, using either the </w:t>
      </w:r>
      <w:r w:rsidRPr="00B61FB3">
        <w:rPr>
          <w:rFonts w:asciiTheme="minorHAnsi" w:hAnsiTheme="minorHAnsi"/>
          <w:sz w:val="22"/>
          <w:szCs w:val="22"/>
        </w:rPr>
        <w:t xml:space="preserve">Qiagen </w:t>
      </w:r>
      <w:proofErr w:type="spellStart"/>
      <w:r w:rsidRPr="00B61FB3">
        <w:rPr>
          <w:rFonts w:asciiTheme="minorHAnsi" w:hAnsiTheme="minorHAnsi"/>
          <w:sz w:val="22"/>
          <w:szCs w:val="22"/>
        </w:rPr>
        <w:t>Autopure</w:t>
      </w:r>
      <w:proofErr w:type="spellEnd"/>
      <w:r w:rsidRPr="00B61FB3">
        <w:rPr>
          <w:rFonts w:asciiTheme="minorHAnsi" w:hAnsiTheme="minorHAnsi" w:cs="Calibri"/>
          <w:sz w:val="22"/>
          <w:szCs w:val="22"/>
        </w:rPr>
        <w:t xml:space="preserve">® </w:t>
      </w:r>
      <w:r w:rsidRPr="00B61FB3">
        <w:rPr>
          <w:rFonts w:asciiTheme="minorHAnsi" w:hAnsiTheme="minorHAnsi"/>
          <w:sz w:val="22"/>
          <w:szCs w:val="22"/>
        </w:rPr>
        <w:t xml:space="preserve">LS or a </w:t>
      </w:r>
      <w:proofErr w:type="spellStart"/>
      <w:r w:rsidRPr="00B61FB3">
        <w:rPr>
          <w:rFonts w:asciiTheme="minorHAnsi" w:hAnsiTheme="minorHAnsi"/>
          <w:sz w:val="22"/>
          <w:szCs w:val="22"/>
        </w:rPr>
        <w:t>Puregene</w:t>
      </w:r>
      <w:proofErr w:type="spellEnd"/>
      <w:r w:rsidRPr="00B61FB3">
        <w:rPr>
          <w:rFonts w:asciiTheme="minorHAnsi" w:hAnsiTheme="minorHAnsi"/>
          <w:sz w:val="22"/>
          <w:szCs w:val="22"/>
        </w:rPr>
        <w:t xml:space="preserve"> salting out methodology (Qiagen, </w:t>
      </w:r>
      <w:proofErr w:type="spellStart"/>
      <w:r w:rsidRPr="00B61FB3">
        <w:rPr>
          <w:rFonts w:asciiTheme="minorHAnsi" w:hAnsiTheme="minorHAnsi"/>
          <w:sz w:val="22"/>
          <w:szCs w:val="22"/>
        </w:rPr>
        <w:t>Chadstone</w:t>
      </w:r>
      <w:proofErr w:type="spellEnd"/>
      <w:r w:rsidRPr="00B61FB3">
        <w:rPr>
          <w:rFonts w:asciiTheme="minorHAnsi" w:hAnsiTheme="minorHAnsi"/>
          <w:sz w:val="22"/>
          <w:szCs w:val="22"/>
        </w:rPr>
        <w:t>, Victoria, Australia), according to manufacturers’ instructions</w:t>
      </w:r>
      <w:r w:rsidRPr="00B61FB3">
        <w:rPr>
          <w:rFonts w:asciiTheme="minorHAnsi" w:hAnsiTheme="minorHAnsi"/>
          <w:sz w:val="22"/>
          <w:szCs w:val="22"/>
          <w:lang w:eastAsia="en-AU"/>
        </w:rPr>
        <w:t>.</w:t>
      </w:r>
      <w:r w:rsidRPr="00B61FB3">
        <w:rPr>
          <w:rFonts w:asciiTheme="minorHAnsi" w:hAnsiTheme="minorHAnsi"/>
          <w:sz w:val="22"/>
          <w:szCs w:val="22"/>
        </w:rPr>
        <w:t xml:space="preserve"> While cell composition has a major impact on methylation variability, DNA extraction </w:t>
      </w:r>
      <w:r w:rsidR="00CD0EEA" w:rsidRPr="00B61FB3">
        <w:rPr>
          <w:rFonts w:asciiTheme="minorHAnsi" w:hAnsiTheme="minorHAnsi"/>
          <w:sz w:val="22"/>
          <w:szCs w:val="22"/>
        </w:rPr>
        <w:t>procedures</w:t>
      </w:r>
      <w:r w:rsidRPr="00B61FB3">
        <w:rPr>
          <w:rFonts w:asciiTheme="minorHAnsi" w:hAnsiTheme="minorHAnsi"/>
          <w:sz w:val="22"/>
          <w:szCs w:val="22"/>
        </w:rPr>
        <w:t xml:space="preserve"> and sample storage have been shown to have minimal impact on </w:t>
      </w:r>
      <w:proofErr w:type="gramStart"/>
      <w:r w:rsidRPr="00B61FB3">
        <w:rPr>
          <w:rFonts w:asciiTheme="minorHAnsi" w:hAnsiTheme="minorHAnsi"/>
          <w:sz w:val="22"/>
          <w:szCs w:val="22"/>
        </w:rPr>
        <w:t>variability.</w:t>
      </w:r>
      <w:r w:rsidR="002961F9">
        <w:rPr>
          <w:rFonts w:asciiTheme="minorHAnsi" w:hAnsiTheme="minorHAnsi"/>
          <w:sz w:val="22"/>
          <w:szCs w:val="22"/>
        </w:rPr>
        <w:t>[</w:t>
      </w:r>
      <w:proofErr w:type="gramEnd"/>
      <w:r w:rsidR="002961F9">
        <w:rPr>
          <w:rFonts w:asciiTheme="minorHAnsi" w:hAnsiTheme="minorHAnsi"/>
          <w:sz w:val="22"/>
          <w:szCs w:val="22"/>
        </w:rPr>
        <w:t>1]</w:t>
      </w:r>
    </w:p>
    <w:p w14:paraId="7FE1E971" w14:textId="7BC797BB" w:rsidR="00300422" w:rsidRPr="00B61FB3" w:rsidRDefault="00300422" w:rsidP="00300422">
      <w:pPr>
        <w:spacing w:after="0" w:line="480" w:lineRule="auto"/>
        <w:jc w:val="both"/>
        <w:rPr>
          <w:rFonts w:eastAsia="Times New Roman" w:cs="Times New Roman"/>
          <w:color w:val="000000"/>
          <w:szCs w:val="22"/>
          <w:shd w:val="clear" w:color="auto" w:fill="FFFFFF"/>
          <w:lang w:eastAsia="en-US" w:bidi="ar-SA"/>
        </w:rPr>
      </w:pPr>
      <w:r w:rsidRPr="00B61FB3">
        <w:rPr>
          <w:rFonts w:eastAsia="Times New Roman" w:cs="Times New Roman"/>
          <w:color w:val="000000"/>
          <w:szCs w:val="22"/>
          <w:shd w:val="clear" w:color="auto" w:fill="FFFFFF"/>
          <w:lang w:eastAsia="en-US" w:bidi="ar-SA"/>
        </w:rPr>
        <w:t xml:space="preserve">For US participants, </w:t>
      </w:r>
      <w:r w:rsidRPr="00B61FB3">
        <w:rPr>
          <w:szCs w:val="22"/>
        </w:rPr>
        <w:t xml:space="preserve">samples were processed for DNA extraction either as: 1) whole blood, </w:t>
      </w:r>
      <w:r w:rsidR="00C0284E" w:rsidRPr="00B61FB3">
        <w:rPr>
          <w:szCs w:val="22"/>
        </w:rPr>
        <w:t xml:space="preserve">2) saliva, </w:t>
      </w:r>
      <w:r w:rsidRPr="00B61FB3">
        <w:rPr>
          <w:szCs w:val="22"/>
        </w:rPr>
        <w:t xml:space="preserve">or </w:t>
      </w:r>
      <w:r w:rsidR="00C0284E" w:rsidRPr="00B61FB3">
        <w:rPr>
          <w:szCs w:val="22"/>
        </w:rPr>
        <w:t>3</w:t>
      </w:r>
      <w:r w:rsidRPr="00B61FB3">
        <w:rPr>
          <w:szCs w:val="22"/>
        </w:rPr>
        <w:t xml:space="preserve">) </w:t>
      </w:r>
      <w:r w:rsidR="0002185D" w:rsidRPr="00B61FB3">
        <w:rPr>
          <w:szCs w:val="22"/>
        </w:rPr>
        <w:t xml:space="preserve">EBV-transformed </w:t>
      </w:r>
      <w:r w:rsidR="0002185D" w:rsidRPr="00B61FB3">
        <w:rPr>
          <w:rFonts w:eastAsia="Times New Roman" w:cs="Times New Roman"/>
          <w:color w:val="000000"/>
          <w:szCs w:val="22"/>
          <w:shd w:val="clear" w:color="auto" w:fill="FFFFFF"/>
          <w:lang w:eastAsia="en-US" w:bidi="ar-SA"/>
        </w:rPr>
        <w:t xml:space="preserve">cell lines from cryopreserved </w:t>
      </w:r>
      <w:r w:rsidRPr="00B61FB3">
        <w:rPr>
          <w:rFonts w:eastAsia="Times New Roman" w:cs="Times New Roman"/>
          <w:color w:val="000000"/>
          <w:szCs w:val="22"/>
          <w:shd w:val="clear" w:color="auto" w:fill="FFFFFF"/>
          <w:lang w:eastAsia="en-US" w:bidi="ar-SA"/>
        </w:rPr>
        <w:t>lymphocyte</w:t>
      </w:r>
      <w:r w:rsidR="0002185D" w:rsidRPr="00B61FB3">
        <w:rPr>
          <w:rFonts w:eastAsia="Times New Roman" w:cs="Times New Roman"/>
          <w:color w:val="000000"/>
          <w:szCs w:val="22"/>
          <w:shd w:val="clear" w:color="auto" w:fill="FFFFFF"/>
          <w:lang w:eastAsia="en-US" w:bidi="ar-SA"/>
        </w:rPr>
        <w:t>s</w:t>
      </w:r>
      <w:r w:rsidRPr="00B61FB3">
        <w:rPr>
          <w:rFonts w:eastAsia="Times New Roman" w:cs="Times New Roman"/>
          <w:color w:val="000000"/>
          <w:szCs w:val="22"/>
          <w:shd w:val="clear" w:color="auto" w:fill="FFFFFF"/>
          <w:lang w:eastAsia="en-US" w:bidi="ar-SA"/>
        </w:rPr>
        <w:t>, by the Rutgers University Cell and DNA Repository (</w:t>
      </w:r>
      <w:r w:rsidR="00FB3599" w:rsidRPr="00B61FB3">
        <w:rPr>
          <w:szCs w:val="22"/>
        </w:rPr>
        <w:t>RUCDR Infinite Biologics,</w:t>
      </w:r>
      <w:r w:rsidR="00FB3599" w:rsidRPr="00B61FB3">
        <w:rPr>
          <w:rFonts w:eastAsia="Times New Roman" w:cs="Times New Roman"/>
          <w:color w:val="000000"/>
          <w:szCs w:val="22"/>
          <w:shd w:val="clear" w:color="auto" w:fill="FFFFFF"/>
          <w:lang w:eastAsia="en-US" w:bidi="ar-SA"/>
        </w:rPr>
        <w:t xml:space="preserve"> </w:t>
      </w:r>
      <w:r w:rsidRPr="00B61FB3">
        <w:rPr>
          <w:rFonts w:eastAsia="Times New Roman" w:cs="Times New Roman"/>
          <w:color w:val="000000"/>
          <w:szCs w:val="22"/>
          <w:shd w:val="clear" w:color="auto" w:fill="FFFFFF"/>
          <w:lang w:eastAsia="en-US" w:bidi="ar-SA"/>
        </w:rPr>
        <w:t>New Brunswick, NJ, USA</w:t>
      </w:r>
      <w:r w:rsidR="002C3A9E" w:rsidRPr="00B61FB3">
        <w:rPr>
          <w:rFonts w:eastAsia="Times New Roman" w:cs="Times New Roman"/>
          <w:color w:val="000000"/>
          <w:szCs w:val="22"/>
          <w:shd w:val="clear" w:color="auto" w:fill="FFFFFF"/>
          <w:lang w:eastAsia="en-US" w:bidi="ar-SA"/>
        </w:rPr>
        <w:t>; now operating as</w:t>
      </w:r>
      <w:r w:rsidR="002C3A9E" w:rsidRPr="00B61FB3">
        <w:rPr>
          <w:szCs w:val="22"/>
        </w:rPr>
        <w:t xml:space="preserve"> </w:t>
      </w:r>
      <w:r w:rsidR="0002185D" w:rsidRPr="00B61FB3">
        <w:rPr>
          <w:rFonts w:eastAsia="Times New Roman" w:cs="Times New Roman"/>
          <w:color w:val="000000"/>
          <w:szCs w:val="22"/>
          <w:shd w:val="clear" w:color="auto" w:fill="FFFFFF"/>
          <w:lang w:eastAsia="en-US" w:bidi="ar-SA"/>
        </w:rPr>
        <w:t xml:space="preserve">Infinity </w:t>
      </w:r>
      <w:proofErr w:type="spellStart"/>
      <w:r w:rsidR="0002185D" w:rsidRPr="00B61FB3">
        <w:rPr>
          <w:rFonts w:eastAsia="Times New Roman" w:cs="Times New Roman"/>
          <w:color w:val="000000"/>
          <w:szCs w:val="22"/>
          <w:shd w:val="clear" w:color="auto" w:fill="FFFFFF"/>
          <w:lang w:eastAsia="en-US" w:bidi="ar-SA"/>
        </w:rPr>
        <w:t>BiologiX</w:t>
      </w:r>
      <w:proofErr w:type="spellEnd"/>
      <w:r w:rsidR="0002185D" w:rsidRPr="00B61FB3">
        <w:rPr>
          <w:rFonts w:eastAsia="Times New Roman" w:cs="Times New Roman"/>
          <w:color w:val="000000"/>
          <w:szCs w:val="22"/>
          <w:shd w:val="clear" w:color="auto" w:fill="FFFFFF"/>
          <w:lang w:eastAsia="en-US" w:bidi="ar-SA"/>
        </w:rPr>
        <w:t xml:space="preserve"> or </w:t>
      </w:r>
      <w:r w:rsidR="002C3A9E" w:rsidRPr="00B61FB3">
        <w:rPr>
          <w:rFonts w:eastAsia="Times New Roman" w:cs="Times New Roman"/>
          <w:color w:val="000000"/>
          <w:szCs w:val="22"/>
          <w:shd w:val="clear" w:color="auto" w:fill="FFFFFF"/>
          <w:lang w:eastAsia="en-US" w:bidi="ar-SA"/>
        </w:rPr>
        <w:t>IBX</w:t>
      </w:r>
      <w:r w:rsidRPr="00B61FB3">
        <w:rPr>
          <w:rFonts w:eastAsia="Times New Roman" w:cs="Times New Roman"/>
          <w:color w:val="000000"/>
          <w:szCs w:val="22"/>
          <w:shd w:val="clear" w:color="auto" w:fill="FFFFFF"/>
          <w:lang w:eastAsia="en-US" w:bidi="ar-SA"/>
        </w:rPr>
        <w:t xml:space="preserve">) using standard </w:t>
      </w:r>
      <w:r w:rsidR="0002185D" w:rsidRPr="00B61FB3">
        <w:rPr>
          <w:rFonts w:eastAsia="Times New Roman" w:cs="Times New Roman"/>
          <w:color w:val="000000"/>
          <w:szCs w:val="22"/>
          <w:shd w:val="clear" w:color="auto" w:fill="FFFFFF"/>
          <w:lang w:eastAsia="en-US" w:bidi="ar-SA"/>
        </w:rPr>
        <w:t xml:space="preserve">automated </w:t>
      </w:r>
      <w:r w:rsidR="00CD0EEA" w:rsidRPr="00B61FB3">
        <w:rPr>
          <w:rFonts w:eastAsia="Times New Roman" w:cs="Times New Roman"/>
          <w:color w:val="000000"/>
          <w:szCs w:val="22"/>
          <w:shd w:val="clear" w:color="auto" w:fill="FFFFFF"/>
          <w:lang w:eastAsia="en-US" w:bidi="ar-SA"/>
        </w:rPr>
        <w:t>procedures</w:t>
      </w:r>
      <w:r w:rsidR="00FB3599" w:rsidRPr="00B61FB3">
        <w:rPr>
          <w:rFonts w:eastAsia="Times New Roman" w:cs="Times New Roman"/>
          <w:color w:val="000000"/>
          <w:szCs w:val="22"/>
          <w:shd w:val="clear" w:color="auto" w:fill="FFFFFF"/>
          <w:lang w:eastAsia="en-US" w:bidi="ar-SA"/>
        </w:rPr>
        <w:t xml:space="preserve"> [</w:t>
      </w:r>
      <w:proofErr w:type="spellStart"/>
      <w:r w:rsidR="00C0284E" w:rsidRPr="00B61FB3">
        <w:rPr>
          <w:rFonts w:eastAsia="Times New Roman" w:cs="Times New Roman"/>
          <w:color w:val="000000"/>
          <w:szCs w:val="22"/>
          <w:shd w:val="clear" w:color="auto" w:fill="FFFFFF"/>
          <w:lang w:eastAsia="en-US" w:bidi="ar-SA"/>
        </w:rPr>
        <w:t>requestID</w:t>
      </w:r>
      <w:proofErr w:type="spellEnd"/>
      <w:r w:rsidR="00C0284E" w:rsidRPr="00B61FB3">
        <w:rPr>
          <w:rFonts w:eastAsia="Times New Roman" w:cs="Times New Roman"/>
          <w:color w:val="000000"/>
          <w:szCs w:val="22"/>
          <w:shd w:val="clear" w:color="auto" w:fill="FFFFFF"/>
          <w:lang w:eastAsia="en-US" w:bidi="ar-SA"/>
        </w:rPr>
        <w:t xml:space="preserve">=2689; </w:t>
      </w:r>
      <w:r w:rsidR="00FB3599" w:rsidRPr="00B61FB3">
        <w:rPr>
          <w:rFonts w:eastAsia="Times New Roman" w:cs="Times New Roman"/>
          <w:color w:val="000000"/>
          <w:szCs w:val="22"/>
          <w:shd w:val="clear" w:color="auto" w:fill="FFFFFF"/>
          <w:lang w:eastAsia="en-US" w:bidi="ar-SA"/>
        </w:rPr>
        <w:t xml:space="preserve">details of services are available at </w:t>
      </w:r>
      <w:hyperlink r:id="rId10" w:history="1">
        <w:r w:rsidR="00FB3599" w:rsidRPr="00B61FB3">
          <w:rPr>
            <w:rStyle w:val="Hyperlink"/>
            <w:rFonts w:eastAsia="Times New Roman" w:cs="Times New Roman"/>
            <w:szCs w:val="22"/>
            <w:shd w:val="clear" w:color="auto" w:fill="FFFFFF"/>
            <w:lang w:eastAsia="en-US" w:bidi="ar-SA"/>
          </w:rPr>
          <w:t>https://www.rucdr.org/</w:t>
        </w:r>
      </w:hyperlink>
      <w:r w:rsidR="00C0284E" w:rsidRPr="00B61FB3">
        <w:rPr>
          <w:rFonts w:eastAsia="Times New Roman" w:cs="Times New Roman"/>
          <w:color w:val="000000"/>
          <w:szCs w:val="22"/>
          <w:shd w:val="clear" w:color="auto" w:fill="FFFFFF"/>
          <w:lang w:eastAsia="en-US" w:bidi="ar-SA"/>
        </w:rPr>
        <w:t xml:space="preserve"> </w:t>
      </w:r>
      <w:r w:rsidR="002C3A9E" w:rsidRPr="00B61FB3">
        <w:rPr>
          <w:rFonts w:eastAsia="Times New Roman" w:cs="Times New Roman"/>
          <w:color w:val="000000"/>
          <w:szCs w:val="22"/>
          <w:shd w:val="clear" w:color="auto" w:fill="FFFFFF"/>
          <w:lang w:eastAsia="en-US" w:bidi="ar-SA"/>
        </w:rPr>
        <w:t xml:space="preserve">or </w:t>
      </w:r>
      <w:hyperlink r:id="rId11" w:history="1">
        <w:r w:rsidR="00C0284E" w:rsidRPr="00B61FB3">
          <w:rPr>
            <w:rStyle w:val="Hyperlink"/>
            <w:rFonts w:eastAsia="Times New Roman" w:cs="Times New Roman"/>
            <w:szCs w:val="22"/>
            <w:shd w:val="clear" w:color="auto" w:fill="FFFFFF"/>
            <w:lang w:eastAsia="en-US" w:bidi="ar-SA"/>
          </w:rPr>
          <w:t>https://ibx.bio/</w:t>
        </w:r>
      </w:hyperlink>
      <w:r w:rsidR="002C3A9E" w:rsidRPr="00B61FB3">
        <w:rPr>
          <w:rFonts w:eastAsia="Times New Roman" w:cs="Times New Roman"/>
          <w:color w:val="000000"/>
          <w:szCs w:val="22"/>
          <w:shd w:val="clear" w:color="auto" w:fill="FFFFFF"/>
          <w:lang w:eastAsia="en-US" w:bidi="ar-SA"/>
        </w:rPr>
        <w:t>)</w:t>
      </w:r>
      <w:r w:rsidR="0002185D" w:rsidRPr="00B61FB3">
        <w:rPr>
          <w:rFonts w:eastAsia="Times New Roman" w:cs="Times New Roman"/>
          <w:color w:val="000000"/>
          <w:szCs w:val="22"/>
          <w:shd w:val="clear" w:color="auto" w:fill="FFFFFF"/>
          <w:lang w:eastAsia="en-US" w:bidi="ar-SA"/>
        </w:rPr>
        <w:t>.</w:t>
      </w:r>
      <w:r w:rsidR="00C0284E" w:rsidRPr="00B61FB3">
        <w:rPr>
          <w:rFonts w:eastAsia="Times New Roman" w:cs="Times New Roman"/>
          <w:color w:val="000000"/>
          <w:szCs w:val="22"/>
          <w:shd w:val="clear" w:color="auto" w:fill="FFFFFF"/>
          <w:lang w:eastAsia="en-US" w:bidi="ar-SA"/>
        </w:rPr>
        <w:t xml:space="preserve"> Samples derived from saliva were excluded from selection for methylation array due to their ectodermal origin, instead focusing on samples from blood-derived sources of mesodermal origin</w:t>
      </w:r>
      <w:r w:rsidR="006777CC" w:rsidRPr="00B61FB3">
        <w:rPr>
          <w:rFonts w:eastAsia="Times New Roman" w:cs="Times New Roman"/>
          <w:color w:val="000000"/>
          <w:szCs w:val="22"/>
          <w:shd w:val="clear" w:color="auto" w:fill="FFFFFF"/>
          <w:lang w:eastAsia="en-US" w:bidi="ar-SA"/>
        </w:rPr>
        <w:t xml:space="preserve"> for </w:t>
      </w:r>
      <w:r w:rsidR="00147615" w:rsidRPr="00B61FB3">
        <w:rPr>
          <w:szCs w:val="22"/>
        </w:rPr>
        <w:t xml:space="preserve">Validation </w:t>
      </w:r>
      <w:r w:rsidR="006777CC" w:rsidRPr="00B61FB3">
        <w:rPr>
          <w:rFonts w:eastAsia="Times New Roman" w:cs="Times New Roman"/>
          <w:color w:val="000000"/>
          <w:szCs w:val="22"/>
          <w:shd w:val="clear" w:color="auto" w:fill="FFFFFF"/>
          <w:lang w:eastAsia="en-US" w:bidi="ar-SA"/>
        </w:rPr>
        <w:t>Set 2</w:t>
      </w:r>
      <w:r w:rsidR="00C0284E" w:rsidRPr="00B61FB3">
        <w:rPr>
          <w:rFonts w:eastAsia="Times New Roman" w:cs="Times New Roman"/>
          <w:color w:val="000000"/>
          <w:szCs w:val="22"/>
          <w:shd w:val="clear" w:color="auto" w:fill="FFFFFF"/>
          <w:lang w:eastAsia="en-US" w:bidi="ar-SA"/>
        </w:rPr>
        <w:t>.</w:t>
      </w:r>
    </w:p>
    <w:p w14:paraId="5EA7578B" w14:textId="77777777" w:rsidR="00E15361" w:rsidRPr="00B61FB3" w:rsidRDefault="00E15361" w:rsidP="00D80CD5">
      <w:pPr>
        <w:spacing w:after="0" w:line="480" w:lineRule="auto"/>
        <w:jc w:val="both"/>
        <w:rPr>
          <w:b/>
          <w:szCs w:val="22"/>
        </w:rPr>
      </w:pPr>
    </w:p>
    <w:p w14:paraId="1488786F" w14:textId="77777777" w:rsidR="00CE1A82" w:rsidRPr="00B61FB3" w:rsidRDefault="00CE1A82" w:rsidP="00300422">
      <w:pPr>
        <w:spacing w:before="240" w:after="0" w:line="480" w:lineRule="auto"/>
        <w:jc w:val="both"/>
        <w:rPr>
          <w:b/>
          <w:bCs/>
          <w:szCs w:val="22"/>
        </w:rPr>
      </w:pPr>
    </w:p>
    <w:p w14:paraId="16EFCE7F" w14:textId="77777777" w:rsidR="00300422" w:rsidRPr="00B61FB3" w:rsidRDefault="00300422" w:rsidP="00300422">
      <w:pPr>
        <w:spacing w:before="240" w:after="0" w:line="480" w:lineRule="auto"/>
        <w:jc w:val="both"/>
        <w:rPr>
          <w:b/>
          <w:bCs/>
          <w:szCs w:val="22"/>
        </w:rPr>
      </w:pPr>
      <w:bookmarkStart w:id="0" w:name="_Hlk103780917"/>
      <w:r w:rsidRPr="00B61FB3">
        <w:rPr>
          <w:b/>
          <w:bCs/>
          <w:szCs w:val="22"/>
        </w:rPr>
        <w:t>SNP Genotyping and imputation</w:t>
      </w:r>
    </w:p>
    <w:bookmarkEnd w:id="0"/>
    <w:p w14:paraId="1D1EFE45" w14:textId="05276BD2" w:rsidR="00B33536" w:rsidRPr="00B61FB3" w:rsidRDefault="00300422" w:rsidP="00B33536">
      <w:pPr>
        <w:spacing w:before="240" w:after="0" w:line="480" w:lineRule="auto"/>
        <w:jc w:val="both"/>
        <w:rPr>
          <w:szCs w:val="22"/>
          <w:lang w:val="en-US"/>
        </w:rPr>
      </w:pPr>
      <w:r w:rsidRPr="00B61FB3">
        <w:rPr>
          <w:rFonts w:cstheme="minorHAnsi"/>
          <w:szCs w:val="22"/>
        </w:rPr>
        <w:t xml:space="preserve">Genotyping was performed as previously </w:t>
      </w:r>
      <w:proofErr w:type="gramStart"/>
      <w:r w:rsidRPr="00B61FB3">
        <w:rPr>
          <w:rFonts w:cstheme="minorHAnsi"/>
          <w:szCs w:val="22"/>
        </w:rPr>
        <w:t>described.</w:t>
      </w:r>
      <w:r w:rsidR="002961F9">
        <w:rPr>
          <w:rFonts w:cstheme="minorHAnsi"/>
          <w:szCs w:val="22"/>
        </w:rPr>
        <w:t>[</w:t>
      </w:r>
      <w:proofErr w:type="gramEnd"/>
      <w:r w:rsidR="00D10634">
        <w:rPr>
          <w:rFonts w:cstheme="minorHAnsi"/>
          <w:szCs w:val="22"/>
        </w:rPr>
        <w:t>2]</w:t>
      </w:r>
      <w:r w:rsidR="00D2208E" w:rsidRPr="00B61FB3">
        <w:rPr>
          <w:rFonts w:cstheme="minorHAnsi"/>
          <w:szCs w:val="22"/>
        </w:rPr>
        <w:t xml:space="preserve"> </w:t>
      </w:r>
      <w:r w:rsidRPr="00B61FB3">
        <w:rPr>
          <w:rFonts w:cstheme="minorHAnsi"/>
          <w:szCs w:val="22"/>
        </w:rPr>
        <w:t xml:space="preserve">Briefly, all genotyping employed the Illumina PsychArray-24 </w:t>
      </w:r>
      <w:proofErr w:type="spellStart"/>
      <w:r w:rsidRPr="00B61FB3">
        <w:rPr>
          <w:rFonts w:cstheme="minorHAnsi"/>
          <w:szCs w:val="22"/>
        </w:rPr>
        <w:t>BeadChip</w:t>
      </w:r>
      <w:proofErr w:type="spellEnd"/>
      <w:r w:rsidRPr="00B61FB3">
        <w:rPr>
          <w:rFonts w:cstheme="minorHAnsi"/>
          <w:szCs w:val="22"/>
        </w:rPr>
        <w:t xml:space="preserve">. Genotype calling and quality control employed the Psychiatric Genomics Consortium (PGC) </w:t>
      </w:r>
      <w:proofErr w:type="spellStart"/>
      <w:r w:rsidRPr="00B61FB3">
        <w:rPr>
          <w:rFonts w:cstheme="minorHAnsi"/>
          <w:szCs w:val="22"/>
        </w:rPr>
        <w:t>ricopili</w:t>
      </w:r>
      <w:proofErr w:type="spellEnd"/>
      <w:r w:rsidRPr="00B61FB3">
        <w:rPr>
          <w:rFonts w:cstheme="minorHAnsi"/>
          <w:szCs w:val="22"/>
        </w:rPr>
        <w:t xml:space="preserve"> pipeline (v8.0). Genotypes underwent filtering and quality control in PLINK (v1.</w:t>
      </w:r>
      <w:proofErr w:type="gramStart"/>
      <w:r w:rsidRPr="00B61FB3">
        <w:rPr>
          <w:rFonts w:cstheme="minorHAnsi"/>
          <w:szCs w:val="22"/>
        </w:rPr>
        <w:t>90)</w:t>
      </w:r>
      <w:r w:rsidR="00D10634">
        <w:rPr>
          <w:rFonts w:cstheme="minorHAnsi"/>
          <w:szCs w:val="22"/>
        </w:rPr>
        <w:t>[</w:t>
      </w:r>
      <w:proofErr w:type="gramEnd"/>
      <w:r w:rsidR="00D10634">
        <w:rPr>
          <w:rFonts w:cstheme="minorHAnsi"/>
          <w:szCs w:val="22"/>
        </w:rPr>
        <w:t xml:space="preserve">3] </w:t>
      </w:r>
      <w:r w:rsidRPr="00B61FB3">
        <w:rPr>
          <w:rFonts w:cstheme="minorHAnsi"/>
          <w:szCs w:val="22"/>
        </w:rPr>
        <w:t>using ENIGMA2 protocols (</w:t>
      </w:r>
      <w:hyperlink r:id="rId12" w:history="1">
        <w:r w:rsidRPr="00B61FB3">
          <w:rPr>
            <w:rStyle w:val="Hyperlink"/>
            <w:rFonts w:cstheme="minorHAnsi"/>
            <w:color w:val="auto"/>
            <w:szCs w:val="22"/>
          </w:rPr>
          <w:t>http://enigma.ini.usc.edu/</w:t>
        </w:r>
      </w:hyperlink>
      <w:r w:rsidRPr="00B61FB3">
        <w:rPr>
          <w:rFonts w:cstheme="minorHAnsi"/>
          <w:szCs w:val="22"/>
        </w:rPr>
        <w:t xml:space="preserve">), </w:t>
      </w:r>
      <w:r w:rsidRPr="00B61FB3">
        <w:rPr>
          <w:szCs w:val="22"/>
          <w:lang w:val="en-US"/>
        </w:rPr>
        <w:t xml:space="preserve">and cohorts </w:t>
      </w:r>
      <w:r w:rsidR="00CD0EEA" w:rsidRPr="00B61FB3">
        <w:rPr>
          <w:szCs w:val="22"/>
          <w:lang w:val="en-US"/>
        </w:rPr>
        <w:t xml:space="preserve">were </w:t>
      </w:r>
      <w:r w:rsidRPr="00B61FB3">
        <w:rPr>
          <w:szCs w:val="22"/>
          <w:lang w:val="en-US"/>
        </w:rPr>
        <w:t xml:space="preserve">combined before imputation. </w:t>
      </w:r>
      <w:r w:rsidR="00877B93" w:rsidRPr="00B61FB3">
        <w:rPr>
          <w:rFonts w:cstheme="minorHAnsi"/>
          <w:szCs w:val="22"/>
        </w:rPr>
        <w:t xml:space="preserve">Pairwise </w:t>
      </w:r>
      <w:r w:rsidRPr="00B61FB3">
        <w:rPr>
          <w:rFonts w:cstheme="minorHAnsi"/>
          <w:szCs w:val="22"/>
        </w:rPr>
        <w:t xml:space="preserve">identity-by-descent (IBD) analysis </w:t>
      </w:r>
      <w:r w:rsidR="00877B93" w:rsidRPr="00B61FB3">
        <w:rPr>
          <w:rFonts w:cstheme="minorHAnsi"/>
          <w:szCs w:val="22"/>
        </w:rPr>
        <w:t xml:space="preserve">was employed </w:t>
      </w:r>
      <w:r w:rsidRPr="00B61FB3">
        <w:rPr>
          <w:rFonts w:cstheme="minorHAnsi"/>
          <w:szCs w:val="22"/>
        </w:rPr>
        <w:t>to identify spurious participant relationships (</w:t>
      </w:r>
      <w:proofErr w:type="spellStart"/>
      <w:r w:rsidRPr="00B61FB3">
        <w:rPr>
          <w:rFonts w:cstheme="minorHAnsi"/>
          <w:szCs w:val="22"/>
        </w:rPr>
        <w:t>pi_hat</w:t>
      </w:r>
      <w:proofErr w:type="spellEnd"/>
      <w:r w:rsidRPr="00B61FB3">
        <w:rPr>
          <w:rFonts w:cstheme="minorHAnsi"/>
          <w:szCs w:val="22"/>
        </w:rPr>
        <w:t xml:space="preserve">&gt;0.1). </w:t>
      </w:r>
    </w:p>
    <w:p w14:paraId="13B98D5C" w14:textId="3642B8BA" w:rsidR="00300422" w:rsidRPr="00B61FB3" w:rsidRDefault="00300422" w:rsidP="00771BC8">
      <w:pPr>
        <w:spacing w:before="240" w:after="0" w:line="480" w:lineRule="auto"/>
        <w:jc w:val="both"/>
        <w:rPr>
          <w:rFonts w:cstheme="minorHAnsi"/>
          <w:szCs w:val="22"/>
        </w:rPr>
      </w:pPr>
      <w:r w:rsidRPr="00B61FB3">
        <w:rPr>
          <w:rFonts w:cstheme="minorHAnsi"/>
          <w:szCs w:val="22"/>
        </w:rPr>
        <w:t>Imputation employed</w:t>
      </w:r>
      <w:r w:rsidRPr="00B61FB3">
        <w:rPr>
          <w:szCs w:val="22"/>
        </w:rPr>
        <w:t xml:space="preserve"> the </w:t>
      </w:r>
      <w:r w:rsidRPr="00B61FB3">
        <w:rPr>
          <w:rFonts w:cstheme="minorHAnsi"/>
          <w:szCs w:val="22"/>
        </w:rPr>
        <w:t>Michigan Imputation Server (v1.0.3</w:t>
      </w:r>
      <w:proofErr w:type="gramStart"/>
      <w:r w:rsidRPr="00B61FB3">
        <w:rPr>
          <w:rFonts w:cstheme="minorHAnsi"/>
          <w:szCs w:val="22"/>
        </w:rPr>
        <w:t>),</w:t>
      </w:r>
      <w:r w:rsidR="00D10634">
        <w:rPr>
          <w:szCs w:val="22"/>
          <w:lang w:val="en-US"/>
        </w:rPr>
        <w:t>[</w:t>
      </w:r>
      <w:proofErr w:type="gramEnd"/>
      <w:r w:rsidR="00D10634">
        <w:rPr>
          <w:szCs w:val="22"/>
          <w:lang w:val="en-US"/>
        </w:rPr>
        <w:t>4]</w:t>
      </w:r>
      <w:r w:rsidRPr="00B61FB3">
        <w:rPr>
          <w:szCs w:val="22"/>
          <w:lang w:val="en-US"/>
        </w:rPr>
        <w:t xml:space="preserve"> with 1000Genomes reference panel </w:t>
      </w:r>
      <w:r w:rsidRPr="00B61FB3">
        <w:rPr>
          <w:rFonts w:cstheme="minorHAnsi"/>
          <w:szCs w:val="22"/>
        </w:rPr>
        <w:t>(Phase 3, v5)</w:t>
      </w:r>
      <w:r w:rsidRPr="00B61FB3">
        <w:rPr>
          <w:szCs w:val="22"/>
          <w:lang w:val="en-US"/>
        </w:rPr>
        <w:t>, and phasing by Eagle v2.3</w:t>
      </w:r>
      <w:r w:rsidRPr="00B61FB3">
        <w:rPr>
          <w:rFonts w:cstheme="minorHAnsi"/>
          <w:szCs w:val="22"/>
        </w:rPr>
        <w:t>. Additional post-imputation filtering removed SNPs that violated Hardy-Weinberg Equilibrium (</w:t>
      </w:r>
      <w:r w:rsidRPr="00B61FB3">
        <w:rPr>
          <w:rFonts w:cstheme="minorHAnsi"/>
          <w:i/>
          <w:iCs/>
          <w:szCs w:val="22"/>
        </w:rPr>
        <w:t>p</w:t>
      </w:r>
      <w:r w:rsidRPr="00B61FB3">
        <w:rPr>
          <w:rFonts w:cstheme="minorHAnsi"/>
          <w:szCs w:val="22"/>
        </w:rPr>
        <w:t>&lt;0.000001), Minor Allele Frequency (MAF)&lt;0.01 or imputation quality score (</w:t>
      </w:r>
      <w:r w:rsidRPr="00B61FB3">
        <w:rPr>
          <w:szCs w:val="22"/>
        </w:rPr>
        <w:t>INFO</w:t>
      </w:r>
      <w:r w:rsidRPr="00B61FB3">
        <w:rPr>
          <w:rFonts w:cstheme="minorHAnsi"/>
          <w:iCs/>
          <w:szCs w:val="22"/>
        </w:rPr>
        <w:t>)</w:t>
      </w:r>
      <w:r w:rsidRPr="00B61FB3">
        <w:rPr>
          <w:rFonts w:cstheme="minorHAnsi"/>
          <w:szCs w:val="22"/>
        </w:rPr>
        <w:t xml:space="preserve">&lt;0.8. </w:t>
      </w:r>
    </w:p>
    <w:p w14:paraId="178F39A4" w14:textId="77777777" w:rsidR="00300422" w:rsidRPr="00B61FB3" w:rsidRDefault="00300422" w:rsidP="00D80CD5">
      <w:pPr>
        <w:spacing w:after="0" w:line="480" w:lineRule="auto"/>
        <w:jc w:val="both"/>
        <w:rPr>
          <w:b/>
          <w:szCs w:val="22"/>
        </w:rPr>
      </w:pPr>
    </w:p>
    <w:p w14:paraId="3BD65A12" w14:textId="20D847C1" w:rsidR="00A168A6" w:rsidRPr="00B61FB3" w:rsidRDefault="005556AD" w:rsidP="00D80CD5">
      <w:pPr>
        <w:spacing w:after="0" w:line="480" w:lineRule="auto"/>
        <w:jc w:val="both"/>
        <w:rPr>
          <w:b/>
          <w:szCs w:val="22"/>
        </w:rPr>
      </w:pPr>
      <w:r w:rsidRPr="00B61FB3">
        <w:rPr>
          <w:b/>
          <w:szCs w:val="22"/>
        </w:rPr>
        <w:t xml:space="preserve">Independent </w:t>
      </w:r>
      <w:r w:rsidR="00A636CB" w:rsidRPr="00B61FB3">
        <w:rPr>
          <w:b/>
          <w:szCs w:val="22"/>
        </w:rPr>
        <w:t xml:space="preserve">cohorts </w:t>
      </w:r>
      <w:r w:rsidR="00150408" w:rsidRPr="00B61FB3">
        <w:rPr>
          <w:b/>
          <w:szCs w:val="22"/>
        </w:rPr>
        <w:t xml:space="preserve">(used </w:t>
      </w:r>
      <w:r w:rsidR="00A636CB" w:rsidRPr="00B61FB3">
        <w:rPr>
          <w:b/>
          <w:szCs w:val="22"/>
        </w:rPr>
        <w:t>for generation of optimal PRS</w:t>
      </w:r>
      <w:r w:rsidR="00150408" w:rsidRPr="00B61FB3">
        <w:rPr>
          <w:b/>
          <w:szCs w:val="22"/>
        </w:rPr>
        <w:t>)</w:t>
      </w:r>
      <w:r w:rsidR="00A636CB" w:rsidRPr="00B61FB3">
        <w:rPr>
          <w:b/>
          <w:szCs w:val="22"/>
        </w:rPr>
        <w:t xml:space="preserve"> </w:t>
      </w:r>
    </w:p>
    <w:p w14:paraId="4BBF81A1" w14:textId="0EF062DD" w:rsidR="009E765C" w:rsidRPr="00B61FB3" w:rsidRDefault="00A168A6" w:rsidP="00C129BA">
      <w:pPr>
        <w:spacing w:after="0" w:line="480" w:lineRule="auto"/>
        <w:jc w:val="both"/>
        <w:rPr>
          <w:rFonts w:cstheme="minorHAnsi"/>
          <w:b/>
          <w:szCs w:val="22"/>
        </w:rPr>
      </w:pPr>
      <w:r w:rsidRPr="00B61FB3">
        <w:rPr>
          <w:szCs w:val="22"/>
        </w:rPr>
        <w:t xml:space="preserve">For generation of PRS and identification of </w:t>
      </w:r>
      <w:r w:rsidR="00CD0EEA" w:rsidRPr="00B61FB3">
        <w:rPr>
          <w:szCs w:val="22"/>
        </w:rPr>
        <w:t xml:space="preserve">the </w:t>
      </w:r>
      <w:r w:rsidRPr="00B61FB3">
        <w:rPr>
          <w:szCs w:val="22"/>
        </w:rPr>
        <w:t xml:space="preserve">optimal </w:t>
      </w:r>
      <w:r w:rsidRPr="00B61FB3">
        <w:rPr>
          <w:i/>
          <w:iCs/>
          <w:szCs w:val="22"/>
        </w:rPr>
        <w:t>p</w:t>
      </w:r>
      <w:r w:rsidRPr="00B61FB3">
        <w:rPr>
          <w:szCs w:val="22"/>
        </w:rPr>
        <w:t>-value threshold for</w:t>
      </w:r>
      <w:r w:rsidR="00650EEC" w:rsidRPr="00B61FB3">
        <w:rPr>
          <w:szCs w:val="22"/>
        </w:rPr>
        <w:t xml:space="preserve"> single nucleotide polymorphisms</w:t>
      </w:r>
      <w:r w:rsidRPr="00B61FB3">
        <w:rPr>
          <w:szCs w:val="22"/>
        </w:rPr>
        <w:t xml:space="preserve"> </w:t>
      </w:r>
      <w:r w:rsidR="00650EEC" w:rsidRPr="00B61FB3">
        <w:rPr>
          <w:szCs w:val="22"/>
        </w:rPr>
        <w:t>(</w:t>
      </w:r>
      <w:r w:rsidRPr="00B61FB3">
        <w:rPr>
          <w:szCs w:val="22"/>
        </w:rPr>
        <w:t>SNP</w:t>
      </w:r>
      <w:r w:rsidR="00650EEC" w:rsidRPr="00B61FB3">
        <w:rPr>
          <w:szCs w:val="22"/>
        </w:rPr>
        <w:t>)</w:t>
      </w:r>
      <w:r w:rsidRPr="00B61FB3">
        <w:rPr>
          <w:szCs w:val="22"/>
        </w:rPr>
        <w:t xml:space="preserve"> inclusion, a larger sample of independent BD case and control subjects genotyped on PsychArray-24 were employed. This collection included </w:t>
      </w:r>
      <w:r w:rsidR="00A636CB" w:rsidRPr="00B61FB3">
        <w:rPr>
          <w:szCs w:val="22"/>
        </w:rPr>
        <w:t>European-ancestry participants</w:t>
      </w:r>
      <w:r w:rsidRPr="00B61FB3">
        <w:rPr>
          <w:szCs w:val="22"/>
        </w:rPr>
        <w:t xml:space="preserve"> with established BD (</w:t>
      </w:r>
      <w:r w:rsidRPr="00B61FB3">
        <w:rPr>
          <w:i/>
          <w:iCs/>
          <w:szCs w:val="22"/>
        </w:rPr>
        <w:t>n</w:t>
      </w:r>
      <w:r w:rsidRPr="00B61FB3">
        <w:rPr>
          <w:szCs w:val="22"/>
        </w:rPr>
        <w:t>=264),</w:t>
      </w:r>
      <w:r w:rsidRPr="00B61FB3">
        <w:rPr>
          <w:rFonts w:ascii="Calibri" w:eastAsia="Calibri" w:hAnsi="Calibri" w:cs="Calibri"/>
          <w:szCs w:val="22"/>
        </w:rPr>
        <w:t xml:space="preserve"> </w:t>
      </w:r>
      <w:r w:rsidRPr="00B61FB3">
        <w:rPr>
          <w:szCs w:val="22"/>
        </w:rPr>
        <w:t>as described in</w:t>
      </w:r>
      <w:r w:rsidR="00202C72" w:rsidRPr="00B61FB3">
        <w:rPr>
          <w:szCs w:val="22"/>
        </w:rPr>
        <w:t xml:space="preserve"> </w:t>
      </w:r>
      <w:r w:rsidR="006A4419">
        <w:rPr>
          <w:szCs w:val="22"/>
        </w:rPr>
        <w:t>[5]</w:t>
      </w:r>
      <w:r w:rsidR="00202C72" w:rsidRPr="00B61FB3">
        <w:rPr>
          <w:szCs w:val="22"/>
        </w:rPr>
        <w:t xml:space="preserve"> </w:t>
      </w:r>
      <w:r w:rsidRPr="00B61FB3">
        <w:rPr>
          <w:szCs w:val="22"/>
        </w:rPr>
        <w:t>as “neuc1”</w:t>
      </w:r>
      <w:r w:rsidRPr="00B61FB3">
        <w:rPr>
          <w:rFonts w:ascii="Calibri" w:eastAsia="Calibri" w:hAnsi="Calibri" w:cs="Calibri"/>
          <w:szCs w:val="22"/>
        </w:rPr>
        <w:t xml:space="preserve">. </w:t>
      </w:r>
      <w:r w:rsidRPr="00B61FB3">
        <w:rPr>
          <w:rFonts w:ascii="Calibri" w:eastAsia="Calibri" w:hAnsi="Calibri" w:cs="Calibri"/>
          <w:szCs w:val="22"/>
          <w:highlight w:val="white"/>
        </w:rPr>
        <w:t xml:space="preserve">BD cases were recruited </w:t>
      </w:r>
      <w:r w:rsidRPr="00B61FB3">
        <w:rPr>
          <w:rFonts w:ascii="Calibri" w:eastAsia="Calibri" w:hAnsi="Calibri" w:cs="Calibri"/>
          <w:szCs w:val="22"/>
        </w:rPr>
        <w:t>at the Mood Disorder Unit, Prince of Wales Hospital in Sydney and the South Eastern Sydney-Illawarra Area Health Service (SESIAHS</w:t>
      </w:r>
      <w:proofErr w:type="gramStart"/>
      <w:r w:rsidRPr="00B61FB3">
        <w:rPr>
          <w:rFonts w:ascii="Calibri" w:eastAsia="Calibri" w:hAnsi="Calibri" w:cs="Calibri"/>
          <w:szCs w:val="22"/>
        </w:rPr>
        <w:t>)</w:t>
      </w:r>
      <w:r w:rsidR="006A4419">
        <w:rPr>
          <w:rFonts w:ascii="Calibri" w:eastAsia="Calibri" w:hAnsi="Calibri" w:cs="Calibri"/>
          <w:szCs w:val="22"/>
        </w:rPr>
        <w:t>.[</w:t>
      </w:r>
      <w:proofErr w:type="gramEnd"/>
      <w:r w:rsidR="006A4419">
        <w:rPr>
          <w:rFonts w:ascii="Calibri" w:eastAsia="Calibri" w:hAnsi="Calibri" w:cs="Calibri"/>
          <w:szCs w:val="22"/>
        </w:rPr>
        <w:t>6-8]</w:t>
      </w:r>
      <w:r w:rsidRPr="00B61FB3">
        <w:rPr>
          <w:rFonts w:ascii="Calibri" w:eastAsia="Calibri" w:hAnsi="Calibri" w:cs="Calibri"/>
          <w:szCs w:val="22"/>
        </w:rPr>
        <w:t xml:space="preserve"> All cases received a lifetime diagnosis of BD according to the DSM-IV</w:t>
      </w:r>
      <w:r w:rsidR="006A4419">
        <w:rPr>
          <w:rFonts w:ascii="Calibri" w:eastAsia="Calibri" w:hAnsi="Calibri" w:cs="Calibri"/>
          <w:szCs w:val="22"/>
        </w:rPr>
        <w:t>[9]</w:t>
      </w:r>
      <w:r w:rsidR="00BC3BFD" w:rsidRPr="00B61FB3">
        <w:rPr>
          <w:rFonts w:ascii="Calibri" w:eastAsia="Calibri" w:hAnsi="Calibri" w:cs="Calibri"/>
          <w:szCs w:val="22"/>
        </w:rPr>
        <w:t xml:space="preserve"> </w:t>
      </w:r>
      <w:r w:rsidRPr="00B61FB3">
        <w:rPr>
          <w:rFonts w:ascii="Calibri" w:eastAsia="Calibri" w:hAnsi="Calibri" w:cs="Calibri"/>
          <w:szCs w:val="22"/>
        </w:rPr>
        <w:t>criteria</w:t>
      </w:r>
      <w:r w:rsidR="00BD7C66" w:rsidRPr="00B61FB3">
        <w:rPr>
          <w:rFonts w:ascii="Calibri" w:eastAsia="Calibri" w:hAnsi="Calibri" w:cs="Calibri"/>
          <w:szCs w:val="22"/>
        </w:rPr>
        <w:t>,</w:t>
      </w:r>
      <w:r w:rsidRPr="00B61FB3">
        <w:rPr>
          <w:rFonts w:ascii="Calibri" w:eastAsia="Calibri" w:hAnsi="Calibri" w:cs="Calibri"/>
          <w:szCs w:val="22"/>
        </w:rPr>
        <w:t xml:space="preserve"> on the basis of structured diagnostic interviews using the DIGS</w:t>
      </w:r>
      <w:r w:rsidR="006A4419">
        <w:rPr>
          <w:rFonts w:ascii="Calibri" w:eastAsia="Calibri" w:hAnsi="Calibri" w:cs="Calibri"/>
          <w:szCs w:val="22"/>
        </w:rPr>
        <w:t>,[10]</w:t>
      </w:r>
      <w:r w:rsidRPr="00B61FB3">
        <w:rPr>
          <w:rFonts w:ascii="Calibri" w:eastAsia="Calibri" w:hAnsi="Calibri" w:cs="Calibri"/>
          <w:szCs w:val="22"/>
        </w:rPr>
        <w:t xml:space="preserve"> FIGS,</w:t>
      </w:r>
      <w:r w:rsidR="006A4419">
        <w:rPr>
          <w:rFonts w:ascii="Calibri" w:eastAsia="Calibri" w:hAnsi="Calibri" w:cs="Calibri"/>
          <w:szCs w:val="22"/>
        </w:rPr>
        <w:t>[11]</w:t>
      </w:r>
      <w:r w:rsidRPr="00B61FB3">
        <w:rPr>
          <w:rFonts w:ascii="Calibri" w:eastAsia="Calibri" w:hAnsi="Calibri" w:cs="Calibri"/>
          <w:szCs w:val="22"/>
        </w:rPr>
        <w:t xml:space="preserve"> </w:t>
      </w:r>
      <w:r w:rsidRPr="00B61FB3">
        <w:rPr>
          <w:rFonts w:eastAsia="Calibri" w:cs="Calibri"/>
          <w:szCs w:val="22"/>
        </w:rPr>
        <w:t>and the SCID</w:t>
      </w:r>
      <w:r w:rsidR="00BD7C66" w:rsidRPr="00B61FB3">
        <w:rPr>
          <w:rFonts w:eastAsia="Calibri" w:cs="Calibri"/>
          <w:szCs w:val="22"/>
        </w:rPr>
        <w:t>,</w:t>
      </w:r>
      <w:r w:rsidR="006A4419">
        <w:rPr>
          <w:rFonts w:eastAsia="Calibri" w:cs="Calibri"/>
          <w:szCs w:val="22"/>
        </w:rPr>
        <w:t>[12]</w:t>
      </w:r>
      <w:r w:rsidR="00BD7C66" w:rsidRPr="00B61FB3">
        <w:rPr>
          <w:rFonts w:eastAsia="Calibri" w:cs="Calibri"/>
          <w:szCs w:val="22"/>
        </w:rPr>
        <w:t xml:space="preserve"> and </w:t>
      </w:r>
      <w:r w:rsidR="00BD7C66" w:rsidRPr="00B61FB3">
        <w:rPr>
          <w:rFonts w:ascii="Calibri" w:eastAsia="Calibri" w:hAnsi="Calibri" w:cs="Calibri"/>
          <w:szCs w:val="22"/>
        </w:rPr>
        <w:t>a consensus best-estimate diagnostic procedure</w:t>
      </w:r>
      <w:r w:rsidRPr="00B61FB3">
        <w:rPr>
          <w:rFonts w:eastAsia="Calibri" w:cs="Calibri"/>
          <w:szCs w:val="22"/>
        </w:rPr>
        <w:t>.</w:t>
      </w:r>
      <w:r w:rsidRPr="00B61FB3">
        <w:rPr>
          <w:rFonts w:cstheme="minorHAnsi"/>
          <w:szCs w:val="22"/>
        </w:rPr>
        <w:t xml:space="preserve"> </w:t>
      </w:r>
      <w:r w:rsidRPr="00B61FB3">
        <w:rPr>
          <w:szCs w:val="22"/>
        </w:rPr>
        <w:t>H</w:t>
      </w:r>
      <w:r w:rsidRPr="00B61FB3">
        <w:rPr>
          <w:rFonts w:eastAsia="Calibri" w:cs="Calibri"/>
          <w:szCs w:val="22"/>
        </w:rPr>
        <w:t xml:space="preserve">ealthy </w:t>
      </w:r>
      <w:r w:rsidR="00A636CB" w:rsidRPr="00B61FB3">
        <w:rPr>
          <w:szCs w:val="22"/>
        </w:rPr>
        <w:t xml:space="preserve">European-ancestry </w:t>
      </w:r>
      <w:r w:rsidRPr="00B61FB3">
        <w:rPr>
          <w:rFonts w:eastAsia="Calibri" w:cs="Calibri"/>
          <w:szCs w:val="22"/>
        </w:rPr>
        <w:t xml:space="preserve">controls </w:t>
      </w:r>
      <w:r w:rsidRPr="00B61FB3">
        <w:rPr>
          <w:szCs w:val="22"/>
        </w:rPr>
        <w:t>(</w:t>
      </w:r>
      <w:r w:rsidRPr="00B61FB3">
        <w:rPr>
          <w:i/>
          <w:iCs/>
          <w:szCs w:val="22"/>
        </w:rPr>
        <w:t>n</w:t>
      </w:r>
      <w:r w:rsidRPr="00B61FB3">
        <w:rPr>
          <w:szCs w:val="22"/>
        </w:rPr>
        <w:t>=1115) were</w:t>
      </w:r>
      <w:r w:rsidRPr="00B61FB3">
        <w:rPr>
          <w:rFonts w:eastAsia="Calibri" w:cs="Calibri"/>
          <w:szCs w:val="22"/>
        </w:rPr>
        <w:t xml:space="preserve"> recruited from the community</w:t>
      </w:r>
      <w:r w:rsidRPr="00B61FB3">
        <w:rPr>
          <w:szCs w:val="22"/>
        </w:rPr>
        <w:t xml:space="preserve"> and </w:t>
      </w:r>
      <w:r w:rsidRPr="00B61FB3">
        <w:rPr>
          <w:rFonts w:eastAsia="Calibri" w:cs="Calibri"/>
          <w:szCs w:val="22"/>
        </w:rPr>
        <w:t>Twins Research Australia (TRA; TWIN-E study</w:t>
      </w:r>
      <w:r w:rsidR="006A4419">
        <w:rPr>
          <w:rFonts w:eastAsia="Calibri" w:cs="Calibri"/>
          <w:szCs w:val="22"/>
        </w:rPr>
        <w:t xml:space="preserve"> [13, 14]</w:t>
      </w:r>
      <w:r w:rsidRPr="00B61FB3">
        <w:rPr>
          <w:szCs w:val="22"/>
          <w:lang w:val="en-US"/>
        </w:rPr>
        <w:t xml:space="preserve">). Community controls </w:t>
      </w:r>
      <w:r w:rsidRPr="00B61FB3">
        <w:rPr>
          <w:rFonts w:eastAsia="Calibri" w:cs="Calibri"/>
          <w:szCs w:val="22"/>
        </w:rPr>
        <w:t xml:space="preserve">had no personal lifetime history of a DSM-IV Axis-I diagnosis as determined by </w:t>
      </w:r>
      <w:r w:rsidRPr="00B61FB3">
        <w:rPr>
          <w:szCs w:val="22"/>
        </w:rPr>
        <w:t>psychiatric interview</w:t>
      </w:r>
      <w:r w:rsidRPr="00B61FB3">
        <w:rPr>
          <w:rFonts w:eastAsia="Calibri" w:cs="Calibri"/>
          <w:szCs w:val="22"/>
        </w:rPr>
        <w:t>, and no history of psychotic disorders among first-degree biological relatives. Controls</w:t>
      </w:r>
      <w:r w:rsidRPr="00B61FB3">
        <w:rPr>
          <w:rFonts w:ascii="Calibri" w:eastAsia="Calibri" w:hAnsi="Calibri" w:cs="Calibri"/>
          <w:szCs w:val="22"/>
        </w:rPr>
        <w:t xml:space="preserve"> from the TWIN-E study (</w:t>
      </w:r>
      <w:r w:rsidRPr="00B61FB3">
        <w:rPr>
          <w:rFonts w:ascii="Calibri" w:eastAsia="Calibri" w:hAnsi="Calibri" w:cs="Calibri"/>
          <w:i/>
          <w:iCs/>
          <w:szCs w:val="22"/>
        </w:rPr>
        <w:t>n</w:t>
      </w:r>
      <w:r w:rsidRPr="00B61FB3">
        <w:rPr>
          <w:rFonts w:ascii="Calibri" w:eastAsia="Calibri" w:hAnsi="Calibri" w:cs="Calibri"/>
          <w:szCs w:val="22"/>
        </w:rPr>
        <w:t xml:space="preserve">=751 unrelated) </w:t>
      </w:r>
      <w:r w:rsidRPr="00B61FB3">
        <w:rPr>
          <w:szCs w:val="22"/>
          <w:lang w:val="en-US"/>
        </w:rPr>
        <w:t>provided saliva samples for DNA</w:t>
      </w:r>
      <w:r w:rsidR="005D57E1" w:rsidRPr="00B61FB3">
        <w:rPr>
          <w:szCs w:val="22"/>
          <w:lang w:val="en-US"/>
        </w:rPr>
        <w:t xml:space="preserve"> </w:t>
      </w:r>
      <w:r w:rsidRPr="00B61FB3">
        <w:rPr>
          <w:szCs w:val="22"/>
          <w:lang w:val="en-US"/>
        </w:rPr>
        <w:t>and questionnaire data</w:t>
      </w:r>
      <w:r w:rsidR="00CD0EEA" w:rsidRPr="00B61FB3">
        <w:rPr>
          <w:szCs w:val="22"/>
          <w:lang w:val="en-US"/>
        </w:rPr>
        <w:t>,</w:t>
      </w:r>
      <w:r w:rsidRPr="00B61FB3">
        <w:rPr>
          <w:szCs w:val="22"/>
          <w:lang w:val="en-US"/>
        </w:rPr>
        <w:t xml:space="preserve"> but did not undergo formal psychiatric assessment and were </w:t>
      </w:r>
      <w:r w:rsidRPr="00B61FB3">
        <w:rPr>
          <w:rFonts w:ascii="Calibri" w:eastAsia="Calibri" w:hAnsi="Calibri" w:cs="Calibri"/>
          <w:szCs w:val="22"/>
        </w:rPr>
        <w:t>not screened for a family history of mental illness</w:t>
      </w:r>
      <w:r w:rsidRPr="00B61FB3">
        <w:rPr>
          <w:szCs w:val="22"/>
          <w:lang w:val="en-US"/>
        </w:rPr>
        <w:t>.</w:t>
      </w:r>
      <w:r w:rsidR="005D57E1" w:rsidRPr="00B61FB3">
        <w:rPr>
          <w:szCs w:val="22"/>
          <w:lang w:val="en-US"/>
        </w:rPr>
        <w:t xml:space="preserve"> DNA was extracted by Genetic Repositories Australia</w:t>
      </w:r>
      <w:r w:rsidR="005D57E1" w:rsidRPr="00B61FB3">
        <w:rPr>
          <w:szCs w:val="22"/>
          <w:lang w:eastAsia="en-AU"/>
        </w:rPr>
        <w:t xml:space="preserve"> using the </w:t>
      </w:r>
      <w:r w:rsidR="005D57E1" w:rsidRPr="00B61FB3">
        <w:rPr>
          <w:szCs w:val="22"/>
        </w:rPr>
        <w:t xml:space="preserve">Qiagen </w:t>
      </w:r>
      <w:proofErr w:type="spellStart"/>
      <w:r w:rsidR="005D57E1" w:rsidRPr="00B61FB3">
        <w:rPr>
          <w:szCs w:val="22"/>
        </w:rPr>
        <w:t>Autopure</w:t>
      </w:r>
      <w:proofErr w:type="spellEnd"/>
      <w:r w:rsidR="005D57E1" w:rsidRPr="00B61FB3">
        <w:rPr>
          <w:rFonts w:cs="Calibri"/>
          <w:szCs w:val="22"/>
        </w:rPr>
        <w:t xml:space="preserve">® </w:t>
      </w:r>
      <w:r w:rsidR="005D57E1" w:rsidRPr="00B61FB3">
        <w:rPr>
          <w:szCs w:val="22"/>
        </w:rPr>
        <w:t>LS, as described above</w:t>
      </w:r>
      <w:r w:rsidR="005D57E1" w:rsidRPr="00B61FB3">
        <w:rPr>
          <w:szCs w:val="22"/>
          <w:lang w:val="en-US"/>
        </w:rPr>
        <w:t>.</w:t>
      </w:r>
    </w:p>
    <w:p w14:paraId="55BF5FEA" w14:textId="77777777" w:rsidR="005D59A5" w:rsidRPr="00B61FB3" w:rsidRDefault="005D59A5" w:rsidP="00D80CD5">
      <w:pPr>
        <w:spacing w:after="0" w:line="480" w:lineRule="auto"/>
        <w:jc w:val="both"/>
        <w:rPr>
          <w:b/>
          <w:bCs/>
          <w:szCs w:val="22"/>
        </w:rPr>
      </w:pPr>
    </w:p>
    <w:p w14:paraId="6C1AC070" w14:textId="53F98D22" w:rsidR="005E2D52" w:rsidRPr="00B61FB3" w:rsidRDefault="005E2D52" w:rsidP="00D80CD5">
      <w:pPr>
        <w:spacing w:after="0" w:line="480" w:lineRule="auto"/>
        <w:jc w:val="both"/>
        <w:rPr>
          <w:b/>
          <w:bCs/>
          <w:szCs w:val="22"/>
        </w:rPr>
      </w:pPr>
      <w:bookmarkStart w:id="1" w:name="_Hlk103934743"/>
      <w:bookmarkStart w:id="2" w:name="_Hlk103867685"/>
      <w:r w:rsidRPr="00B61FB3">
        <w:rPr>
          <w:b/>
          <w:bCs/>
          <w:szCs w:val="22"/>
        </w:rPr>
        <w:t xml:space="preserve">Multidimensional scaling and </w:t>
      </w:r>
      <w:bookmarkStart w:id="3" w:name="_Hlk103930193"/>
      <w:r w:rsidRPr="00B61FB3">
        <w:rPr>
          <w:b/>
          <w:bCs/>
          <w:szCs w:val="22"/>
        </w:rPr>
        <w:t>population stratification</w:t>
      </w:r>
      <w:bookmarkEnd w:id="3"/>
    </w:p>
    <w:p w14:paraId="415F9FA2" w14:textId="0D9DD206" w:rsidR="005E2D52" w:rsidRPr="00B61FB3" w:rsidRDefault="005E2D52" w:rsidP="005E2D52">
      <w:pPr>
        <w:spacing w:before="240" w:after="0" w:line="480" w:lineRule="auto"/>
        <w:jc w:val="both"/>
        <w:rPr>
          <w:rFonts w:cstheme="minorHAnsi"/>
          <w:szCs w:val="22"/>
        </w:rPr>
      </w:pPr>
      <w:bookmarkStart w:id="4" w:name="_Hlk103938957"/>
      <w:bookmarkEnd w:id="1"/>
      <w:r w:rsidRPr="00B61FB3">
        <w:rPr>
          <w:szCs w:val="22"/>
          <w:lang w:val="en-US"/>
        </w:rPr>
        <w:t>M</w:t>
      </w:r>
      <w:proofErr w:type="spellStart"/>
      <w:r w:rsidRPr="00B61FB3">
        <w:rPr>
          <w:rFonts w:cstheme="minorHAnsi"/>
          <w:szCs w:val="22"/>
        </w:rPr>
        <w:t>ultidimensional</w:t>
      </w:r>
      <w:proofErr w:type="spellEnd"/>
      <w:r w:rsidRPr="00B61FB3">
        <w:rPr>
          <w:rFonts w:cstheme="minorHAnsi"/>
          <w:szCs w:val="22"/>
        </w:rPr>
        <w:t xml:space="preserve"> scaling analysis was performed in PLINK (v1.90)</w:t>
      </w:r>
      <w:r w:rsidR="006A4419">
        <w:rPr>
          <w:rFonts w:cstheme="minorHAnsi"/>
          <w:szCs w:val="22"/>
        </w:rPr>
        <w:t>[3]</w:t>
      </w:r>
      <w:r w:rsidRPr="00B61FB3">
        <w:rPr>
          <w:rFonts w:cstheme="minorHAnsi"/>
          <w:szCs w:val="22"/>
        </w:rPr>
        <w:t xml:space="preserve"> to derive ethnicity components for the full genetic sample (n=2,800) as follows: 1) autosomal SNPs that passed quality control and excluded </w:t>
      </w:r>
      <w:proofErr w:type="spellStart"/>
      <w:r w:rsidRPr="00B61FB3">
        <w:rPr>
          <w:rFonts w:cstheme="minorHAnsi"/>
          <w:szCs w:val="22"/>
        </w:rPr>
        <w:t>mhc</w:t>
      </w:r>
      <w:proofErr w:type="spellEnd"/>
      <w:r w:rsidRPr="00B61FB3">
        <w:rPr>
          <w:rFonts w:cstheme="minorHAnsi"/>
          <w:szCs w:val="22"/>
        </w:rPr>
        <w:t xml:space="preserve"> region were pruned with </w:t>
      </w:r>
      <w:r w:rsidRPr="00B61FB3">
        <w:rPr>
          <w:rFonts w:cstheme="minorHAnsi"/>
          <w:i/>
          <w:szCs w:val="22"/>
        </w:rPr>
        <w:t>--</w:t>
      </w:r>
      <w:proofErr w:type="spellStart"/>
      <w:r w:rsidRPr="00B61FB3">
        <w:rPr>
          <w:rFonts w:cstheme="minorHAnsi"/>
          <w:i/>
          <w:szCs w:val="22"/>
        </w:rPr>
        <w:t>indep</w:t>
      </w:r>
      <w:proofErr w:type="spellEnd"/>
      <w:r w:rsidRPr="00B61FB3">
        <w:rPr>
          <w:rFonts w:cstheme="minorHAnsi"/>
          <w:i/>
          <w:szCs w:val="22"/>
        </w:rPr>
        <w:t xml:space="preserve">-pairwise </w:t>
      </w:r>
      <w:r w:rsidRPr="00B61FB3">
        <w:rPr>
          <w:rFonts w:cstheme="minorHAnsi"/>
          <w:szCs w:val="22"/>
        </w:rPr>
        <w:t>within a 100-variant window, using a 25-variant shift, and a pairwise r</w:t>
      </w:r>
      <w:r w:rsidRPr="00B61FB3">
        <w:rPr>
          <w:rFonts w:cstheme="minorHAnsi"/>
          <w:szCs w:val="22"/>
          <w:vertAlign w:val="superscript"/>
        </w:rPr>
        <w:t>2</w:t>
      </w:r>
      <w:r w:rsidRPr="00B61FB3">
        <w:rPr>
          <w:rFonts w:cstheme="minorHAnsi"/>
          <w:szCs w:val="22"/>
        </w:rPr>
        <w:t xml:space="preserve"> threshold of 0.2, to identify independent SNPs, 2) MDS components were extracted employing the singular value decomposition (SVD) method using the </w:t>
      </w:r>
      <w:r w:rsidRPr="00B61FB3">
        <w:rPr>
          <w:rFonts w:cstheme="minorHAnsi"/>
          <w:i/>
          <w:szCs w:val="22"/>
        </w:rPr>
        <w:t>--MDS-plot</w:t>
      </w:r>
      <w:r w:rsidRPr="00B61FB3">
        <w:rPr>
          <w:rFonts w:cstheme="minorHAnsi"/>
          <w:szCs w:val="22"/>
        </w:rPr>
        <w:t xml:space="preserve"> and </w:t>
      </w:r>
      <w:r w:rsidRPr="00B61FB3">
        <w:rPr>
          <w:rFonts w:cstheme="minorHAnsi"/>
          <w:i/>
          <w:szCs w:val="22"/>
        </w:rPr>
        <w:t>--cluster</w:t>
      </w:r>
      <w:r w:rsidRPr="00B61FB3">
        <w:rPr>
          <w:rFonts w:cstheme="minorHAnsi"/>
          <w:szCs w:val="22"/>
        </w:rPr>
        <w:t xml:space="preserve"> options, taking into account IBS/IBD within the sample. MDS C1 and C2 were employed in downstream analysis as these </w:t>
      </w:r>
      <w:bookmarkStart w:id="5" w:name="_Hlk103954937"/>
      <w:r w:rsidR="00BF0B06" w:rsidRPr="00B61FB3">
        <w:rPr>
          <w:rFonts w:cstheme="minorHAnsi"/>
          <w:szCs w:val="22"/>
        </w:rPr>
        <w:t xml:space="preserve">were above the scree plot inflection point, and </w:t>
      </w:r>
      <w:bookmarkEnd w:id="5"/>
      <w:r w:rsidRPr="00B61FB3">
        <w:rPr>
          <w:rFonts w:cstheme="minorHAnsi"/>
          <w:szCs w:val="22"/>
        </w:rPr>
        <w:t xml:space="preserve">accounted for the majority of variance in SNP variability due to ethnicity, with eigenvalues accounting for 31.24 and 15.34% of variance respectively; C3-C20 had substantially lower eigenvalues, accounting for between 4.20-2.27% variance. Genotype files were merged with HM3_b37 reference files and MDS rerun to visualise clusters relative to HAPMAP population groups (Figure S2). </w:t>
      </w:r>
      <w:bookmarkEnd w:id="4"/>
    </w:p>
    <w:p w14:paraId="4109E93B" w14:textId="1B76FDDA" w:rsidR="005E2D52" w:rsidRPr="00B61FB3" w:rsidRDefault="005E2D52" w:rsidP="005E2D52">
      <w:pPr>
        <w:spacing w:before="240" w:after="0" w:line="480" w:lineRule="auto"/>
        <w:jc w:val="both"/>
        <w:rPr>
          <w:szCs w:val="22"/>
        </w:rPr>
      </w:pPr>
      <w:r w:rsidRPr="00B61FB3">
        <w:rPr>
          <w:szCs w:val="22"/>
        </w:rPr>
        <w:t xml:space="preserve">All individuals selected for EWAS discovery (n=82) were within ±6SD of the population mean of HAPMAP CEU individuals across MDS components 1-20 (with the exception of one C4 value), consistent with the threshold recommended to define </w:t>
      </w:r>
      <w:proofErr w:type="gramStart"/>
      <w:r w:rsidRPr="00B61FB3">
        <w:rPr>
          <w:szCs w:val="22"/>
        </w:rPr>
        <w:t>outliers.</w:t>
      </w:r>
      <w:bookmarkStart w:id="6" w:name="_Hlk99455058"/>
      <w:r w:rsidR="006A4419">
        <w:rPr>
          <w:szCs w:val="22"/>
        </w:rPr>
        <w:t>[</w:t>
      </w:r>
      <w:proofErr w:type="gramEnd"/>
      <w:r w:rsidR="006A4419">
        <w:rPr>
          <w:szCs w:val="22"/>
        </w:rPr>
        <w:t>15]</w:t>
      </w:r>
      <w:r w:rsidRPr="00B61FB3">
        <w:rPr>
          <w:rFonts w:cstheme="minorHAnsi"/>
          <w:szCs w:val="22"/>
        </w:rPr>
        <w:t xml:space="preserve"> Furthermore, </w:t>
      </w:r>
      <w:r w:rsidRPr="00B61FB3">
        <w:rPr>
          <w:szCs w:val="22"/>
        </w:rPr>
        <w:t xml:space="preserve">pairwise </w:t>
      </w:r>
      <w:r w:rsidRPr="00B61FB3">
        <w:rPr>
          <w:rFonts w:cstheme="minorHAnsi"/>
          <w:szCs w:val="22"/>
        </w:rPr>
        <w:t>identity-by-state</w:t>
      </w:r>
      <w:r w:rsidRPr="00B61FB3">
        <w:rPr>
          <w:szCs w:val="22"/>
        </w:rPr>
        <w:t xml:space="preserve"> (IBS) distances </w:t>
      </w:r>
      <w:bookmarkEnd w:id="6"/>
      <w:r w:rsidRPr="00B61FB3">
        <w:rPr>
          <w:szCs w:val="22"/>
        </w:rPr>
        <w:t xml:space="preserve">amongst participants’ samples selected for discovery or validation sets were calculated from all autosomal SNPs that remained after pruning using the </w:t>
      </w:r>
      <w:r w:rsidRPr="00B61FB3">
        <w:rPr>
          <w:i/>
          <w:szCs w:val="22"/>
        </w:rPr>
        <w:t>--neighbour</w:t>
      </w:r>
      <w:r w:rsidRPr="00B61FB3">
        <w:rPr>
          <w:szCs w:val="22"/>
        </w:rPr>
        <w:t xml:space="preserve"> option. Four nearest neighbours were identified for each individual based upon the pairwise IBS distance, with IBS distance values transformed into a Z score. No individual had a Z score greater than 6 amongst the four nearest neighbours. Individuals with a Z score greater than 4 were identified for </w:t>
      </w:r>
      <w:bookmarkStart w:id="7" w:name="_Hlk99457753"/>
      <w:r w:rsidRPr="00B61FB3">
        <w:rPr>
          <w:szCs w:val="22"/>
        </w:rPr>
        <w:t xml:space="preserve">sensitivity analysis </w:t>
      </w:r>
      <w:bookmarkStart w:id="8" w:name="_Hlk103930526"/>
      <w:bookmarkEnd w:id="7"/>
      <w:r w:rsidRPr="00B61FB3">
        <w:rPr>
          <w:szCs w:val="22"/>
        </w:rPr>
        <w:t>(n=5 individuals total; n=1 discovery EWAS, n=3 validation set 1, n=1 validation set 2)</w:t>
      </w:r>
      <w:bookmarkEnd w:id="8"/>
      <w:r w:rsidRPr="00B61FB3">
        <w:rPr>
          <w:szCs w:val="22"/>
        </w:rPr>
        <w:t>.</w:t>
      </w:r>
    </w:p>
    <w:bookmarkEnd w:id="2"/>
    <w:p w14:paraId="2AA48A06" w14:textId="77777777" w:rsidR="005E2D52" w:rsidRPr="00B61FB3" w:rsidRDefault="005E2D52" w:rsidP="00B87446">
      <w:pPr>
        <w:spacing w:before="240" w:after="0" w:line="480" w:lineRule="auto"/>
        <w:jc w:val="both"/>
        <w:rPr>
          <w:rFonts w:cstheme="minorHAnsi"/>
          <w:szCs w:val="22"/>
          <w:highlight w:val="cyan"/>
        </w:rPr>
      </w:pPr>
    </w:p>
    <w:p w14:paraId="3C5531A7" w14:textId="59558631" w:rsidR="00486791" w:rsidRPr="00B61FB3" w:rsidRDefault="00486791" w:rsidP="00D80CD5">
      <w:pPr>
        <w:spacing w:after="0" w:line="480" w:lineRule="auto"/>
        <w:jc w:val="both"/>
        <w:rPr>
          <w:b/>
          <w:bCs/>
          <w:szCs w:val="22"/>
        </w:rPr>
      </w:pPr>
      <w:r w:rsidRPr="00B61FB3">
        <w:rPr>
          <w:b/>
          <w:bCs/>
          <w:szCs w:val="22"/>
        </w:rPr>
        <w:t>Epigenome-wide methylation profiling and initial quality control</w:t>
      </w:r>
    </w:p>
    <w:p w14:paraId="2B5EA2F2" w14:textId="3A49B6C2" w:rsidR="00486791" w:rsidRPr="00B61FB3" w:rsidRDefault="00486791" w:rsidP="00D80CD5">
      <w:pPr>
        <w:spacing w:after="0" w:line="480" w:lineRule="auto"/>
        <w:jc w:val="both"/>
        <w:rPr>
          <w:szCs w:val="22"/>
        </w:rPr>
      </w:pPr>
      <w:r w:rsidRPr="00B61FB3">
        <w:rPr>
          <w:szCs w:val="22"/>
        </w:rPr>
        <w:t xml:space="preserve">Following </w:t>
      </w:r>
      <w:proofErr w:type="spellStart"/>
      <w:r w:rsidRPr="00B61FB3">
        <w:rPr>
          <w:szCs w:val="22"/>
        </w:rPr>
        <w:t>bisulfite</w:t>
      </w:r>
      <w:proofErr w:type="spellEnd"/>
      <w:r w:rsidRPr="00B61FB3">
        <w:rPr>
          <w:szCs w:val="22"/>
        </w:rPr>
        <w:t xml:space="preserve"> conversion of DNA from each individual</w:t>
      </w:r>
      <w:r w:rsidR="00201E27" w:rsidRPr="00B61FB3">
        <w:rPr>
          <w:szCs w:val="22"/>
        </w:rPr>
        <w:t>,</w:t>
      </w:r>
      <w:r w:rsidRPr="00B61FB3">
        <w:rPr>
          <w:szCs w:val="22"/>
        </w:rPr>
        <w:t xml:space="preserve"> using the EZ-96-DNA methylation kit (</w:t>
      </w:r>
      <w:proofErr w:type="spellStart"/>
      <w:r w:rsidRPr="00B61FB3">
        <w:rPr>
          <w:szCs w:val="22"/>
        </w:rPr>
        <w:t>Zymo</w:t>
      </w:r>
      <w:proofErr w:type="spellEnd"/>
      <w:r w:rsidRPr="00B61FB3">
        <w:rPr>
          <w:szCs w:val="22"/>
        </w:rPr>
        <w:t xml:space="preserve"> Research, Orange, CA, USA), genome-wide DNA methylation was assessed using Epoch Microplate Spectrophotometer (</w:t>
      </w:r>
      <w:proofErr w:type="spellStart"/>
      <w:r w:rsidRPr="00B61FB3">
        <w:rPr>
          <w:szCs w:val="22"/>
        </w:rPr>
        <w:t>Biotek</w:t>
      </w:r>
      <w:proofErr w:type="spellEnd"/>
      <w:r w:rsidRPr="00B61FB3">
        <w:rPr>
          <w:szCs w:val="22"/>
        </w:rPr>
        <w:t>, Winooski, VT). Genome studio methylation module software (Illumina, San Diego, CA, USA) was then used on all chips to extract signal intensities of probes, quality control and methylation measures.</w:t>
      </w:r>
    </w:p>
    <w:p w14:paraId="689DD822" w14:textId="7B469B6E" w:rsidR="00486791" w:rsidRPr="00B61FB3" w:rsidRDefault="00486791" w:rsidP="00D80CD5">
      <w:pPr>
        <w:spacing w:after="0" w:line="480" w:lineRule="auto"/>
        <w:jc w:val="both"/>
        <w:rPr>
          <w:b/>
          <w:szCs w:val="22"/>
        </w:rPr>
      </w:pPr>
      <w:r w:rsidRPr="00B61FB3">
        <w:rPr>
          <w:szCs w:val="22"/>
        </w:rPr>
        <w:t xml:space="preserve">The QC procedure involved excluding individual subjects for whom: 1) </w:t>
      </w:r>
      <w:r w:rsidR="006515F5" w:rsidRPr="00B61FB3">
        <w:rPr>
          <w:szCs w:val="22"/>
        </w:rPr>
        <w:t>the predicted median methylation signal was in excess of three standard deviations from the regression line generated from methylated vs. unmethylated signal intensities</w:t>
      </w:r>
      <w:r w:rsidR="00692D6E" w:rsidRPr="00B61FB3">
        <w:rPr>
          <w:szCs w:val="22"/>
        </w:rPr>
        <w:t xml:space="preserve"> (</w:t>
      </w:r>
      <w:r w:rsidR="002F47DE" w:rsidRPr="00B61FB3">
        <w:rPr>
          <w:szCs w:val="22"/>
        </w:rPr>
        <w:t xml:space="preserve">batch 1: </w:t>
      </w:r>
      <w:r w:rsidR="00D276F9" w:rsidRPr="00B61FB3">
        <w:rPr>
          <w:rFonts w:cstheme="minorHAnsi"/>
          <w:i/>
          <w:szCs w:val="22"/>
        </w:rPr>
        <w:t>n</w:t>
      </w:r>
      <w:r w:rsidR="00692D6E" w:rsidRPr="00B61FB3">
        <w:rPr>
          <w:szCs w:val="22"/>
        </w:rPr>
        <w:t>=1 HR male</w:t>
      </w:r>
      <w:r w:rsidR="002F47DE" w:rsidRPr="00B61FB3">
        <w:rPr>
          <w:szCs w:val="22"/>
        </w:rPr>
        <w:t xml:space="preserve">; batch </w:t>
      </w:r>
      <w:r w:rsidR="00F358DF" w:rsidRPr="00B61FB3">
        <w:rPr>
          <w:szCs w:val="22"/>
        </w:rPr>
        <w:t>2-</w:t>
      </w:r>
      <w:r w:rsidR="002F47DE" w:rsidRPr="00B61FB3">
        <w:rPr>
          <w:szCs w:val="22"/>
        </w:rPr>
        <w:t xml:space="preserve">4: </w:t>
      </w:r>
      <w:r w:rsidR="00D276F9" w:rsidRPr="00B61FB3">
        <w:rPr>
          <w:rFonts w:cstheme="minorHAnsi"/>
          <w:i/>
          <w:szCs w:val="22"/>
        </w:rPr>
        <w:t>n</w:t>
      </w:r>
      <w:r w:rsidR="002F47DE" w:rsidRPr="00B61FB3">
        <w:rPr>
          <w:szCs w:val="22"/>
        </w:rPr>
        <w:t>=0</w:t>
      </w:r>
      <w:r w:rsidR="00692D6E" w:rsidRPr="00B61FB3">
        <w:rPr>
          <w:szCs w:val="22"/>
        </w:rPr>
        <w:t>)</w:t>
      </w:r>
      <w:r w:rsidR="006515F5" w:rsidRPr="00B61FB3">
        <w:rPr>
          <w:szCs w:val="22"/>
        </w:rPr>
        <w:t xml:space="preserve">, </w:t>
      </w:r>
      <w:r w:rsidRPr="00B61FB3">
        <w:rPr>
          <w:szCs w:val="22"/>
        </w:rPr>
        <w:t xml:space="preserve">2) </w:t>
      </w:r>
      <w:r w:rsidR="006515F5" w:rsidRPr="00B61FB3">
        <w:rPr>
          <w:szCs w:val="22"/>
        </w:rPr>
        <w:t>more than 10% of probes had less than three beads</w:t>
      </w:r>
      <w:r w:rsidR="00692D6E" w:rsidRPr="00B61FB3">
        <w:rPr>
          <w:szCs w:val="22"/>
        </w:rPr>
        <w:t xml:space="preserve"> (</w:t>
      </w:r>
      <w:r w:rsidR="00D276F9" w:rsidRPr="00B61FB3">
        <w:rPr>
          <w:rFonts w:cstheme="minorHAnsi"/>
          <w:i/>
          <w:szCs w:val="22"/>
        </w:rPr>
        <w:t>n</w:t>
      </w:r>
      <w:r w:rsidR="00692D6E" w:rsidRPr="00B61FB3">
        <w:rPr>
          <w:szCs w:val="22"/>
        </w:rPr>
        <w:t>=0 samples)</w:t>
      </w:r>
      <w:r w:rsidR="006515F5" w:rsidRPr="00B61FB3">
        <w:rPr>
          <w:szCs w:val="22"/>
        </w:rPr>
        <w:t xml:space="preserve">, </w:t>
      </w:r>
      <w:r w:rsidRPr="00B61FB3">
        <w:rPr>
          <w:szCs w:val="22"/>
        </w:rPr>
        <w:t xml:space="preserve">3) </w:t>
      </w:r>
      <w:r w:rsidR="006515F5" w:rsidRPr="00B61FB3">
        <w:rPr>
          <w:szCs w:val="22"/>
        </w:rPr>
        <w:t>methylation signal intensities deviated from mean values for control probes</w:t>
      </w:r>
      <w:r w:rsidR="00692D6E" w:rsidRPr="00B61FB3">
        <w:rPr>
          <w:szCs w:val="22"/>
        </w:rPr>
        <w:t xml:space="preserve"> (</w:t>
      </w:r>
      <w:r w:rsidR="002F47DE" w:rsidRPr="00B61FB3">
        <w:rPr>
          <w:szCs w:val="22"/>
        </w:rPr>
        <w:t xml:space="preserve">batch 1: </w:t>
      </w:r>
      <w:r w:rsidR="00D276F9" w:rsidRPr="00B61FB3">
        <w:rPr>
          <w:rFonts w:cstheme="minorHAnsi"/>
          <w:i/>
          <w:szCs w:val="22"/>
        </w:rPr>
        <w:t>n</w:t>
      </w:r>
      <w:r w:rsidR="00692D6E" w:rsidRPr="00B61FB3">
        <w:rPr>
          <w:szCs w:val="22"/>
        </w:rPr>
        <w:t>=1 HR female</w:t>
      </w:r>
      <w:r w:rsidR="002F47DE" w:rsidRPr="00B61FB3">
        <w:rPr>
          <w:szCs w:val="22"/>
        </w:rPr>
        <w:t xml:space="preserve">; batch 4: </w:t>
      </w:r>
      <w:r w:rsidR="00D276F9" w:rsidRPr="00B61FB3">
        <w:rPr>
          <w:rFonts w:cstheme="minorHAnsi"/>
          <w:i/>
          <w:szCs w:val="22"/>
        </w:rPr>
        <w:t>n</w:t>
      </w:r>
      <w:r w:rsidR="00D276F9" w:rsidRPr="00B61FB3">
        <w:rPr>
          <w:szCs w:val="22"/>
        </w:rPr>
        <w:t>=</w:t>
      </w:r>
      <w:r w:rsidR="002F47DE" w:rsidRPr="00B61FB3">
        <w:rPr>
          <w:szCs w:val="22"/>
        </w:rPr>
        <w:t>1 HR female</w:t>
      </w:r>
      <w:r w:rsidR="00F358DF" w:rsidRPr="00B61FB3">
        <w:rPr>
          <w:szCs w:val="22"/>
        </w:rPr>
        <w:t xml:space="preserve">; batch 2-3: </w:t>
      </w:r>
      <w:r w:rsidR="00D276F9" w:rsidRPr="00B61FB3">
        <w:rPr>
          <w:rFonts w:cstheme="minorHAnsi"/>
          <w:i/>
          <w:szCs w:val="22"/>
        </w:rPr>
        <w:t>n</w:t>
      </w:r>
      <w:r w:rsidR="00D276F9" w:rsidRPr="00B61FB3">
        <w:rPr>
          <w:szCs w:val="22"/>
        </w:rPr>
        <w:t>=</w:t>
      </w:r>
      <w:r w:rsidR="00F358DF" w:rsidRPr="00B61FB3">
        <w:rPr>
          <w:szCs w:val="22"/>
        </w:rPr>
        <w:t>0</w:t>
      </w:r>
      <w:r w:rsidR="00692D6E" w:rsidRPr="00B61FB3">
        <w:rPr>
          <w:szCs w:val="22"/>
        </w:rPr>
        <w:t>)</w:t>
      </w:r>
      <w:r w:rsidR="006515F5" w:rsidRPr="00B61FB3">
        <w:rPr>
          <w:szCs w:val="22"/>
        </w:rPr>
        <w:t xml:space="preserve">, </w:t>
      </w:r>
      <w:r w:rsidRPr="00B61FB3">
        <w:rPr>
          <w:szCs w:val="22"/>
        </w:rPr>
        <w:t xml:space="preserve">4) </w:t>
      </w:r>
      <w:r w:rsidR="006515F5" w:rsidRPr="00B61FB3">
        <w:rPr>
          <w:szCs w:val="22"/>
        </w:rPr>
        <w:t xml:space="preserve">more than 10% of probes had a detection </w:t>
      </w:r>
      <w:r w:rsidR="006515F5" w:rsidRPr="00B61FB3">
        <w:rPr>
          <w:i/>
          <w:iCs/>
          <w:szCs w:val="22"/>
        </w:rPr>
        <w:t>p</w:t>
      </w:r>
      <w:r w:rsidR="006515F5" w:rsidRPr="00B61FB3">
        <w:rPr>
          <w:szCs w:val="22"/>
        </w:rPr>
        <w:t>-value &gt; 0.01</w:t>
      </w:r>
      <w:r w:rsidR="00692D6E" w:rsidRPr="00B61FB3">
        <w:rPr>
          <w:szCs w:val="22"/>
        </w:rPr>
        <w:t xml:space="preserve"> (</w:t>
      </w:r>
      <w:r w:rsidR="00D276F9" w:rsidRPr="00B61FB3">
        <w:rPr>
          <w:rFonts w:cstheme="minorHAnsi"/>
          <w:i/>
          <w:szCs w:val="22"/>
        </w:rPr>
        <w:t>n</w:t>
      </w:r>
      <w:r w:rsidR="00D276F9" w:rsidRPr="00B61FB3">
        <w:rPr>
          <w:szCs w:val="22"/>
        </w:rPr>
        <w:t>=</w:t>
      </w:r>
      <w:r w:rsidR="00692D6E" w:rsidRPr="00B61FB3">
        <w:rPr>
          <w:szCs w:val="22"/>
        </w:rPr>
        <w:t>0 samples)</w:t>
      </w:r>
      <w:r w:rsidR="006515F5" w:rsidRPr="00B61FB3">
        <w:rPr>
          <w:szCs w:val="22"/>
        </w:rPr>
        <w:t xml:space="preserve">, </w:t>
      </w:r>
      <w:r w:rsidRPr="00B61FB3">
        <w:rPr>
          <w:szCs w:val="22"/>
        </w:rPr>
        <w:t xml:space="preserve">5) </w:t>
      </w:r>
      <w:r w:rsidR="006515F5" w:rsidRPr="00B61FB3">
        <w:rPr>
          <w:szCs w:val="22"/>
        </w:rPr>
        <w:t xml:space="preserve">a </w:t>
      </w:r>
      <w:r w:rsidR="000C1FA9" w:rsidRPr="00B61FB3">
        <w:rPr>
          <w:szCs w:val="22"/>
        </w:rPr>
        <w:t>sex</w:t>
      </w:r>
      <w:r w:rsidR="006515F5" w:rsidRPr="00B61FB3">
        <w:rPr>
          <w:szCs w:val="22"/>
        </w:rPr>
        <w:t xml:space="preserve"> mismatch or XY outlier status was detected</w:t>
      </w:r>
      <w:r w:rsidR="00692D6E" w:rsidRPr="00B61FB3">
        <w:rPr>
          <w:szCs w:val="22"/>
        </w:rPr>
        <w:t xml:space="preserve"> (</w:t>
      </w:r>
      <w:r w:rsidR="00D276F9" w:rsidRPr="00B61FB3">
        <w:rPr>
          <w:rFonts w:cstheme="minorHAnsi"/>
          <w:i/>
          <w:szCs w:val="22"/>
        </w:rPr>
        <w:t>n</w:t>
      </w:r>
      <w:r w:rsidR="00D276F9" w:rsidRPr="00B61FB3">
        <w:rPr>
          <w:szCs w:val="22"/>
        </w:rPr>
        <w:t>=</w:t>
      </w:r>
      <w:r w:rsidR="00692D6E" w:rsidRPr="00B61FB3">
        <w:rPr>
          <w:szCs w:val="22"/>
        </w:rPr>
        <w:t>0 samples)</w:t>
      </w:r>
      <w:r w:rsidR="006515F5" w:rsidRPr="00B61FB3">
        <w:rPr>
          <w:szCs w:val="22"/>
        </w:rPr>
        <w:t xml:space="preserve">, </w:t>
      </w:r>
      <w:r w:rsidRPr="00B61FB3">
        <w:rPr>
          <w:szCs w:val="22"/>
        </w:rPr>
        <w:t xml:space="preserve">6) a genotype mismatch with genotypes derived from Illumina </w:t>
      </w:r>
      <w:proofErr w:type="spellStart"/>
      <w:r w:rsidRPr="00B61FB3">
        <w:rPr>
          <w:szCs w:val="22"/>
        </w:rPr>
        <w:t>PsychArray</w:t>
      </w:r>
      <w:proofErr w:type="spellEnd"/>
      <w:r w:rsidR="006515F5" w:rsidRPr="00B61FB3">
        <w:rPr>
          <w:szCs w:val="22"/>
        </w:rPr>
        <w:t xml:space="preserve"> (</w:t>
      </w:r>
      <w:r w:rsidR="006515F5" w:rsidRPr="00B61FB3">
        <w:rPr>
          <w:i/>
          <w:szCs w:val="22"/>
        </w:rPr>
        <w:t>n</w:t>
      </w:r>
      <w:r w:rsidR="006515F5" w:rsidRPr="00B61FB3">
        <w:rPr>
          <w:szCs w:val="22"/>
        </w:rPr>
        <w:t>=65 SNPs)</w:t>
      </w:r>
      <w:r w:rsidRPr="00B61FB3">
        <w:rPr>
          <w:szCs w:val="22"/>
        </w:rPr>
        <w:t xml:space="preserve"> was detected</w:t>
      </w:r>
      <w:r w:rsidR="00692D6E" w:rsidRPr="00B61FB3">
        <w:rPr>
          <w:szCs w:val="22"/>
        </w:rPr>
        <w:t xml:space="preserve"> (</w:t>
      </w:r>
      <w:r w:rsidR="00310F8C" w:rsidRPr="00B61FB3">
        <w:rPr>
          <w:szCs w:val="22"/>
        </w:rPr>
        <w:t xml:space="preserve">batch 1-3: </w:t>
      </w:r>
      <w:r w:rsidR="00D276F9" w:rsidRPr="00B61FB3">
        <w:rPr>
          <w:rFonts w:cstheme="minorHAnsi"/>
          <w:i/>
          <w:szCs w:val="22"/>
        </w:rPr>
        <w:t>n</w:t>
      </w:r>
      <w:r w:rsidR="00D276F9" w:rsidRPr="00B61FB3">
        <w:rPr>
          <w:szCs w:val="22"/>
        </w:rPr>
        <w:t>=</w:t>
      </w:r>
      <w:r w:rsidR="00310F8C" w:rsidRPr="00B61FB3">
        <w:rPr>
          <w:szCs w:val="22"/>
        </w:rPr>
        <w:t xml:space="preserve">0; batch 4: </w:t>
      </w:r>
      <w:r w:rsidR="00D276F9" w:rsidRPr="00B61FB3">
        <w:rPr>
          <w:rFonts w:cstheme="minorHAnsi"/>
          <w:i/>
          <w:szCs w:val="22"/>
        </w:rPr>
        <w:t>n</w:t>
      </w:r>
      <w:r w:rsidR="00D276F9" w:rsidRPr="00B61FB3">
        <w:rPr>
          <w:szCs w:val="22"/>
        </w:rPr>
        <w:t>=</w:t>
      </w:r>
      <w:r w:rsidR="00310F8C" w:rsidRPr="00B61FB3">
        <w:rPr>
          <w:szCs w:val="22"/>
        </w:rPr>
        <w:t>6</w:t>
      </w:r>
      <w:r w:rsidR="00692D6E" w:rsidRPr="00B61FB3">
        <w:rPr>
          <w:szCs w:val="22"/>
        </w:rPr>
        <w:t xml:space="preserve"> samples</w:t>
      </w:r>
      <w:r w:rsidR="00310F8C" w:rsidRPr="00B61FB3">
        <w:rPr>
          <w:szCs w:val="22"/>
        </w:rPr>
        <w:t>, due to missing genotype data</w:t>
      </w:r>
      <w:r w:rsidR="00692D6E" w:rsidRPr="00B61FB3">
        <w:rPr>
          <w:szCs w:val="22"/>
        </w:rPr>
        <w:t>)</w:t>
      </w:r>
      <w:r w:rsidR="00FC4BE7" w:rsidRPr="00B61FB3">
        <w:rPr>
          <w:szCs w:val="22"/>
        </w:rPr>
        <w:t>, or 7) were determined to be outliers after principal component analysis of methylation data</w:t>
      </w:r>
      <w:r w:rsidR="00D114E3" w:rsidRPr="00B61FB3">
        <w:rPr>
          <w:szCs w:val="22"/>
        </w:rPr>
        <w:t xml:space="preserve"> within </w:t>
      </w:r>
      <w:proofErr w:type="spellStart"/>
      <w:r w:rsidR="00D114E3" w:rsidRPr="00B61FB3">
        <w:rPr>
          <w:szCs w:val="22"/>
        </w:rPr>
        <w:t>ShinyMethyl</w:t>
      </w:r>
      <w:proofErr w:type="spellEnd"/>
      <w:r w:rsidRPr="00B61FB3">
        <w:rPr>
          <w:szCs w:val="22"/>
        </w:rPr>
        <w:t xml:space="preserve">. Individual probes were excluded if: 1) &gt;10% of samples showed detection </w:t>
      </w:r>
      <w:r w:rsidRPr="00B61FB3">
        <w:rPr>
          <w:i/>
          <w:iCs/>
          <w:szCs w:val="22"/>
        </w:rPr>
        <w:t>p</w:t>
      </w:r>
      <w:r w:rsidRPr="00B61FB3">
        <w:rPr>
          <w:szCs w:val="22"/>
        </w:rPr>
        <w:t>-values &gt; 0.01 for that probe</w:t>
      </w:r>
      <w:r w:rsidR="00692D6E" w:rsidRPr="00B61FB3">
        <w:rPr>
          <w:szCs w:val="22"/>
        </w:rPr>
        <w:t xml:space="preserve"> (</w:t>
      </w:r>
      <w:r w:rsidR="00D276F9" w:rsidRPr="00B61FB3">
        <w:rPr>
          <w:rFonts w:cstheme="minorHAnsi"/>
          <w:i/>
          <w:szCs w:val="22"/>
        </w:rPr>
        <w:t>n</w:t>
      </w:r>
      <w:r w:rsidR="00D276F9" w:rsidRPr="00B61FB3">
        <w:rPr>
          <w:szCs w:val="22"/>
        </w:rPr>
        <w:t>=</w:t>
      </w:r>
      <w:r w:rsidR="0088149D" w:rsidRPr="00B61FB3">
        <w:rPr>
          <w:szCs w:val="22"/>
        </w:rPr>
        <w:t>1,</w:t>
      </w:r>
      <w:r w:rsidR="00F358DF" w:rsidRPr="00B61FB3">
        <w:rPr>
          <w:szCs w:val="22"/>
        </w:rPr>
        <w:t>259</w:t>
      </w:r>
      <w:r w:rsidR="00D276F9" w:rsidRPr="00B61FB3">
        <w:rPr>
          <w:rFonts w:cstheme="minorHAnsi"/>
          <w:i/>
          <w:szCs w:val="22"/>
        </w:rPr>
        <w:t xml:space="preserve"> n</w:t>
      </w:r>
      <w:r w:rsidR="00D276F9" w:rsidRPr="00B61FB3">
        <w:rPr>
          <w:szCs w:val="22"/>
        </w:rPr>
        <w:t>=</w:t>
      </w:r>
      <w:r w:rsidR="0088149D" w:rsidRPr="00B61FB3">
        <w:rPr>
          <w:szCs w:val="22"/>
        </w:rPr>
        <w:t xml:space="preserve">295, </w:t>
      </w:r>
      <w:r w:rsidR="00D276F9" w:rsidRPr="00B61FB3">
        <w:rPr>
          <w:rFonts w:cstheme="minorHAnsi"/>
          <w:i/>
          <w:szCs w:val="22"/>
        </w:rPr>
        <w:t>n</w:t>
      </w:r>
      <w:r w:rsidR="00D276F9" w:rsidRPr="00B61FB3">
        <w:rPr>
          <w:szCs w:val="22"/>
        </w:rPr>
        <w:t>=</w:t>
      </w:r>
      <w:r w:rsidR="00F358DF" w:rsidRPr="00B61FB3">
        <w:rPr>
          <w:szCs w:val="22"/>
        </w:rPr>
        <w:t xml:space="preserve">441 </w:t>
      </w:r>
      <w:r w:rsidR="0088149D" w:rsidRPr="00B61FB3">
        <w:rPr>
          <w:szCs w:val="22"/>
        </w:rPr>
        <w:t xml:space="preserve">and </w:t>
      </w:r>
      <w:r w:rsidR="00D276F9" w:rsidRPr="00B61FB3">
        <w:rPr>
          <w:rFonts w:cstheme="minorHAnsi"/>
          <w:i/>
          <w:szCs w:val="22"/>
        </w:rPr>
        <w:t>n</w:t>
      </w:r>
      <w:r w:rsidR="00D276F9" w:rsidRPr="00B61FB3">
        <w:rPr>
          <w:szCs w:val="22"/>
        </w:rPr>
        <w:t>=</w:t>
      </w:r>
      <w:r w:rsidR="0088149D" w:rsidRPr="00B61FB3">
        <w:rPr>
          <w:szCs w:val="22"/>
        </w:rPr>
        <w:t>340 in batches 1, 2, 3 and 4 respectively</w:t>
      </w:r>
      <w:r w:rsidR="00692D6E" w:rsidRPr="00B61FB3">
        <w:rPr>
          <w:szCs w:val="22"/>
        </w:rPr>
        <w:t>)</w:t>
      </w:r>
      <w:r w:rsidRPr="00B61FB3">
        <w:rPr>
          <w:szCs w:val="22"/>
        </w:rPr>
        <w:t>, 2) &gt;10% of samples demonstrated less than 3 beads at a given probe</w:t>
      </w:r>
      <w:r w:rsidR="00692D6E" w:rsidRPr="00B61FB3">
        <w:rPr>
          <w:szCs w:val="22"/>
        </w:rPr>
        <w:t xml:space="preserve"> (</w:t>
      </w:r>
      <w:r w:rsidR="00D276F9" w:rsidRPr="00B61FB3">
        <w:rPr>
          <w:rFonts w:cstheme="minorHAnsi"/>
          <w:i/>
          <w:szCs w:val="22"/>
        </w:rPr>
        <w:t>n</w:t>
      </w:r>
      <w:r w:rsidR="00D276F9" w:rsidRPr="00B61FB3">
        <w:rPr>
          <w:szCs w:val="22"/>
        </w:rPr>
        <w:t>=</w:t>
      </w:r>
      <w:r w:rsidR="0088149D" w:rsidRPr="00B61FB3">
        <w:rPr>
          <w:szCs w:val="22"/>
        </w:rPr>
        <w:t>3</w:t>
      </w:r>
      <w:r w:rsidR="00F358DF" w:rsidRPr="00B61FB3">
        <w:rPr>
          <w:szCs w:val="22"/>
        </w:rPr>
        <w:t>7</w:t>
      </w:r>
      <w:r w:rsidR="0088149D" w:rsidRPr="00B61FB3">
        <w:rPr>
          <w:szCs w:val="22"/>
        </w:rPr>
        <w:t xml:space="preserve">4, </w:t>
      </w:r>
      <w:r w:rsidR="00D276F9" w:rsidRPr="00B61FB3">
        <w:rPr>
          <w:rFonts w:cstheme="minorHAnsi"/>
          <w:i/>
          <w:szCs w:val="22"/>
        </w:rPr>
        <w:t>n</w:t>
      </w:r>
      <w:r w:rsidR="00D276F9" w:rsidRPr="00B61FB3">
        <w:rPr>
          <w:szCs w:val="22"/>
        </w:rPr>
        <w:t>=</w:t>
      </w:r>
      <w:r w:rsidR="0088149D" w:rsidRPr="00B61FB3">
        <w:rPr>
          <w:szCs w:val="22"/>
        </w:rPr>
        <w:t xml:space="preserve">28, </w:t>
      </w:r>
      <w:r w:rsidR="00D276F9" w:rsidRPr="00B61FB3">
        <w:rPr>
          <w:rFonts w:cstheme="minorHAnsi"/>
          <w:i/>
          <w:szCs w:val="22"/>
        </w:rPr>
        <w:t>n</w:t>
      </w:r>
      <w:r w:rsidR="00D276F9" w:rsidRPr="00B61FB3">
        <w:rPr>
          <w:szCs w:val="22"/>
        </w:rPr>
        <w:t>=</w:t>
      </w:r>
      <w:r w:rsidR="0088149D" w:rsidRPr="00B61FB3">
        <w:rPr>
          <w:szCs w:val="22"/>
        </w:rPr>
        <w:t>1</w:t>
      </w:r>
      <w:r w:rsidR="00F358DF" w:rsidRPr="00B61FB3">
        <w:rPr>
          <w:szCs w:val="22"/>
        </w:rPr>
        <w:t>36</w:t>
      </w:r>
      <w:r w:rsidR="0088149D" w:rsidRPr="00B61FB3">
        <w:rPr>
          <w:szCs w:val="22"/>
        </w:rPr>
        <w:t xml:space="preserve"> and </w:t>
      </w:r>
      <w:r w:rsidR="00D276F9" w:rsidRPr="00B61FB3">
        <w:rPr>
          <w:rFonts w:cstheme="minorHAnsi"/>
          <w:i/>
          <w:szCs w:val="22"/>
        </w:rPr>
        <w:t>n</w:t>
      </w:r>
      <w:r w:rsidR="00D276F9" w:rsidRPr="00B61FB3">
        <w:rPr>
          <w:szCs w:val="22"/>
        </w:rPr>
        <w:t>=</w:t>
      </w:r>
      <w:r w:rsidR="0088149D" w:rsidRPr="00B61FB3">
        <w:rPr>
          <w:szCs w:val="22"/>
        </w:rPr>
        <w:t>623 probes, in batches 1, 2, 3, and 4 respectively</w:t>
      </w:r>
      <w:r w:rsidR="00692D6E" w:rsidRPr="00B61FB3">
        <w:rPr>
          <w:szCs w:val="22"/>
        </w:rPr>
        <w:t>)</w:t>
      </w:r>
      <w:r w:rsidRPr="00B61FB3">
        <w:rPr>
          <w:szCs w:val="22"/>
        </w:rPr>
        <w:t>, 3) the probe was represented on only one of the two chip types employed</w:t>
      </w:r>
      <w:r w:rsidR="00067C08" w:rsidRPr="00B61FB3">
        <w:rPr>
          <w:szCs w:val="22"/>
        </w:rPr>
        <w:t xml:space="preserve"> (</w:t>
      </w:r>
      <w:r w:rsidR="00D276F9" w:rsidRPr="00B61FB3">
        <w:rPr>
          <w:rFonts w:cstheme="minorHAnsi"/>
          <w:i/>
          <w:szCs w:val="22"/>
        </w:rPr>
        <w:t>n</w:t>
      </w:r>
      <w:r w:rsidR="00D276F9" w:rsidRPr="00B61FB3">
        <w:rPr>
          <w:szCs w:val="22"/>
        </w:rPr>
        <w:t>=</w:t>
      </w:r>
      <w:r w:rsidR="0088149D" w:rsidRPr="00B61FB3">
        <w:rPr>
          <w:szCs w:val="22"/>
        </w:rPr>
        <w:t>425,453</w:t>
      </w:r>
      <w:r w:rsidR="00067C08" w:rsidRPr="00B61FB3">
        <w:rPr>
          <w:szCs w:val="22"/>
        </w:rPr>
        <w:t>)</w:t>
      </w:r>
      <w:r w:rsidRPr="00B61FB3">
        <w:rPr>
          <w:szCs w:val="22"/>
        </w:rPr>
        <w:t xml:space="preserve">.  </w:t>
      </w:r>
      <w:r w:rsidR="00E21594" w:rsidRPr="00B61FB3">
        <w:rPr>
          <w:szCs w:val="22"/>
        </w:rPr>
        <w:t xml:space="preserve">Finally, probes which were annotated in the Illumina manifest file </w:t>
      </w:r>
      <w:r w:rsidR="009A23CC" w:rsidRPr="00B61FB3">
        <w:rPr>
          <w:szCs w:val="22"/>
        </w:rPr>
        <w:t xml:space="preserve">(HumanMethylation450_15017482_v1-2) </w:t>
      </w:r>
      <w:r w:rsidR="00E21594" w:rsidRPr="00B61FB3">
        <w:rPr>
          <w:szCs w:val="22"/>
        </w:rPr>
        <w:t xml:space="preserve">as </w:t>
      </w:r>
      <w:r w:rsidR="00310F8C" w:rsidRPr="00B61FB3">
        <w:rPr>
          <w:szCs w:val="22"/>
        </w:rPr>
        <w:t>‘probe</w:t>
      </w:r>
      <w:r w:rsidR="00E21594" w:rsidRPr="00B61FB3">
        <w:rPr>
          <w:szCs w:val="22"/>
        </w:rPr>
        <w:t xml:space="preserve"> SNPs</w:t>
      </w:r>
      <w:r w:rsidR="00310F8C" w:rsidRPr="00B61FB3">
        <w:rPr>
          <w:szCs w:val="22"/>
        </w:rPr>
        <w:t>’ were excluded</w:t>
      </w:r>
      <w:r w:rsidR="00E21594" w:rsidRPr="00B61FB3">
        <w:rPr>
          <w:szCs w:val="22"/>
        </w:rPr>
        <w:t xml:space="preserve"> (</w:t>
      </w:r>
      <w:r w:rsidR="00D276F9" w:rsidRPr="00B61FB3">
        <w:rPr>
          <w:rFonts w:cstheme="minorHAnsi"/>
          <w:i/>
          <w:szCs w:val="22"/>
        </w:rPr>
        <w:t>n</w:t>
      </w:r>
      <w:r w:rsidR="00D276F9" w:rsidRPr="00B61FB3">
        <w:rPr>
          <w:szCs w:val="22"/>
        </w:rPr>
        <w:t>=</w:t>
      </w:r>
      <w:r w:rsidR="00E21594" w:rsidRPr="00B61FB3">
        <w:rPr>
          <w:szCs w:val="22"/>
        </w:rPr>
        <w:t>6,456).</w:t>
      </w:r>
    </w:p>
    <w:p w14:paraId="5B2711CF" w14:textId="0D18A0BB" w:rsidR="00D276F9" w:rsidRPr="00B61FB3" w:rsidRDefault="008A4F84" w:rsidP="00D80CD5">
      <w:pPr>
        <w:spacing w:after="0" w:line="480" w:lineRule="auto"/>
        <w:jc w:val="both"/>
        <w:rPr>
          <w:bCs/>
          <w:szCs w:val="22"/>
        </w:rPr>
      </w:pPr>
      <w:r w:rsidRPr="00B61FB3">
        <w:rPr>
          <w:bCs/>
          <w:szCs w:val="22"/>
        </w:rPr>
        <w:t xml:space="preserve">Of the 96 DNA samples assayed in Round 1, </w:t>
      </w:r>
      <w:r w:rsidR="00B014F0" w:rsidRPr="00B61FB3">
        <w:rPr>
          <w:bCs/>
          <w:szCs w:val="22"/>
        </w:rPr>
        <w:t>4</w:t>
      </w:r>
      <w:r w:rsidRPr="00B61FB3">
        <w:rPr>
          <w:bCs/>
          <w:szCs w:val="22"/>
        </w:rPr>
        <w:t xml:space="preserve"> duplicate samples were excluded, and a further 4 failed QC and were excluded (2 outliers on PCA</w:t>
      </w:r>
      <w:r w:rsidR="00FC4BE7" w:rsidRPr="00B61FB3">
        <w:rPr>
          <w:bCs/>
          <w:szCs w:val="22"/>
        </w:rPr>
        <w:t xml:space="preserve"> of methylation data</w:t>
      </w:r>
      <w:r w:rsidRPr="00B61FB3">
        <w:rPr>
          <w:bCs/>
          <w:szCs w:val="22"/>
        </w:rPr>
        <w:t xml:space="preserve">, and 2 </w:t>
      </w:r>
      <w:proofErr w:type="gramStart"/>
      <w:r w:rsidRPr="00B61FB3">
        <w:rPr>
          <w:bCs/>
          <w:szCs w:val="22"/>
        </w:rPr>
        <w:t>due</w:t>
      </w:r>
      <w:proofErr w:type="gramEnd"/>
      <w:r w:rsidRPr="00B61FB3">
        <w:rPr>
          <w:bCs/>
          <w:szCs w:val="22"/>
        </w:rPr>
        <w:t xml:space="preserve"> to QC failures), leaving 88 samples for analysis. </w:t>
      </w:r>
      <w:r w:rsidR="00B33850" w:rsidRPr="00B61FB3">
        <w:rPr>
          <w:bCs/>
          <w:szCs w:val="22"/>
        </w:rPr>
        <w:t xml:space="preserve">All samples </w:t>
      </w:r>
      <w:r w:rsidR="00AD1C7F" w:rsidRPr="00B61FB3">
        <w:rPr>
          <w:bCs/>
          <w:szCs w:val="22"/>
        </w:rPr>
        <w:t xml:space="preserve">in Round </w:t>
      </w:r>
      <w:r w:rsidR="00954652" w:rsidRPr="00B61FB3">
        <w:rPr>
          <w:bCs/>
          <w:szCs w:val="22"/>
        </w:rPr>
        <w:t>2</w:t>
      </w:r>
      <w:r w:rsidR="00AD1C7F" w:rsidRPr="00B61FB3">
        <w:rPr>
          <w:bCs/>
          <w:szCs w:val="22"/>
        </w:rPr>
        <w:t xml:space="preserve"> </w:t>
      </w:r>
      <w:r w:rsidR="00B33850" w:rsidRPr="00B61FB3">
        <w:rPr>
          <w:bCs/>
          <w:szCs w:val="22"/>
        </w:rPr>
        <w:t xml:space="preserve">passed QC </w:t>
      </w:r>
      <w:r w:rsidR="00AD1C7F" w:rsidRPr="00B61FB3">
        <w:rPr>
          <w:bCs/>
          <w:szCs w:val="22"/>
        </w:rPr>
        <w:t xml:space="preserve">and </w:t>
      </w:r>
      <w:r w:rsidR="00B33850" w:rsidRPr="00B61FB3">
        <w:rPr>
          <w:bCs/>
          <w:szCs w:val="22"/>
        </w:rPr>
        <w:t xml:space="preserve">were retained. </w:t>
      </w:r>
      <w:r w:rsidR="00AD1C7F" w:rsidRPr="00B61FB3">
        <w:rPr>
          <w:bCs/>
          <w:szCs w:val="22"/>
        </w:rPr>
        <w:t xml:space="preserve">Of the 127 DNA samples assayed in Round 3, </w:t>
      </w:r>
      <w:r w:rsidR="005432AE" w:rsidRPr="00B61FB3">
        <w:rPr>
          <w:bCs/>
          <w:szCs w:val="22"/>
        </w:rPr>
        <w:t xml:space="preserve">one </w:t>
      </w:r>
      <w:proofErr w:type="spellStart"/>
      <w:r w:rsidR="005432AE" w:rsidRPr="00B61FB3">
        <w:rPr>
          <w:bCs/>
          <w:szCs w:val="22"/>
        </w:rPr>
        <w:t>sentrix</w:t>
      </w:r>
      <w:proofErr w:type="spellEnd"/>
      <w:r w:rsidR="005432AE" w:rsidRPr="00B61FB3">
        <w:rPr>
          <w:bCs/>
          <w:szCs w:val="22"/>
        </w:rPr>
        <w:t xml:space="preserve"> chip (</w:t>
      </w:r>
      <w:r w:rsidR="005432AE" w:rsidRPr="00B61FB3">
        <w:rPr>
          <w:bCs/>
          <w:i/>
          <w:iCs/>
          <w:szCs w:val="22"/>
        </w:rPr>
        <w:t>n</w:t>
      </w:r>
      <w:r w:rsidR="005432AE" w:rsidRPr="00B61FB3">
        <w:rPr>
          <w:bCs/>
          <w:szCs w:val="22"/>
        </w:rPr>
        <w:t>=8 samples) was an outlier on PC</w:t>
      </w:r>
      <w:r w:rsidR="00FC4BE7" w:rsidRPr="00B61FB3">
        <w:rPr>
          <w:bCs/>
          <w:szCs w:val="22"/>
        </w:rPr>
        <w:t>A of methylation data</w:t>
      </w:r>
      <w:r w:rsidR="005432AE" w:rsidRPr="00B61FB3">
        <w:rPr>
          <w:bCs/>
          <w:szCs w:val="22"/>
        </w:rPr>
        <w:t xml:space="preserve"> and </w:t>
      </w:r>
      <w:r w:rsidR="00954652" w:rsidRPr="00B61FB3">
        <w:rPr>
          <w:bCs/>
          <w:szCs w:val="22"/>
        </w:rPr>
        <w:t xml:space="preserve">was </w:t>
      </w:r>
      <w:r w:rsidR="005432AE" w:rsidRPr="00B61FB3">
        <w:rPr>
          <w:bCs/>
          <w:szCs w:val="22"/>
        </w:rPr>
        <w:t xml:space="preserve">discarded, </w:t>
      </w:r>
      <w:r w:rsidR="00954652" w:rsidRPr="00B61FB3">
        <w:rPr>
          <w:bCs/>
          <w:szCs w:val="22"/>
        </w:rPr>
        <w:t xml:space="preserve">and </w:t>
      </w:r>
      <w:r w:rsidR="00AD1C7F" w:rsidRPr="00B61FB3">
        <w:rPr>
          <w:bCs/>
          <w:szCs w:val="22"/>
        </w:rPr>
        <w:t xml:space="preserve">118 were retained. </w:t>
      </w:r>
      <w:r w:rsidRPr="00B61FB3">
        <w:rPr>
          <w:bCs/>
          <w:szCs w:val="22"/>
        </w:rPr>
        <w:t>Of the 96 DNA samples assayed in Round 4,</w:t>
      </w:r>
      <w:r w:rsidR="00FC095F" w:rsidRPr="00B61FB3">
        <w:rPr>
          <w:bCs/>
          <w:szCs w:val="22"/>
        </w:rPr>
        <w:t xml:space="preserve"> </w:t>
      </w:r>
      <w:r w:rsidR="00D65893" w:rsidRPr="00B61FB3">
        <w:rPr>
          <w:bCs/>
          <w:szCs w:val="22"/>
        </w:rPr>
        <w:t>7</w:t>
      </w:r>
      <w:r w:rsidR="00FC095F" w:rsidRPr="00B61FB3">
        <w:rPr>
          <w:bCs/>
          <w:szCs w:val="22"/>
        </w:rPr>
        <w:t xml:space="preserve"> failed QC (1 control probe</w:t>
      </w:r>
      <w:r w:rsidR="00D65893" w:rsidRPr="00B61FB3">
        <w:rPr>
          <w:bCs/>
          <w:szCs w:val="22"/>
        </w:rPr>
        <w:t xml:space="preserve"> deviation</w:t>
      </w:r>
      <w:r w:rsidR="00FC095F" w:rsidRPr="00B61FB3">
        <w:rPr>
          <w:bCs/>
          <w:szCs w:val="22"/>
        </w:rPr>
        <w:t xml:space="preserve">, 1 </w:t>
      </w:r>
      <w:r w:rsidR="00B33850" w:rsidRPr="00B61FB3">
        <w:rPr>
          <w:bCs/>
          <w:szCs w:val="22"/>
        </w:rPr>
        <w:t xml:space="preserve">&gt;3SD of mean </w:t>
      </w:r>
      <w:r w:rsidR="00FC095F" w:rsidRPr="00B61FB3">
        <w:rPr>
          <w:bCs/>
          <w:szCs w:val="22"/>
        </w:rPr>
        <w:t>Methylated</w:t>
      </w:r>
      <w:r w:rsidR="00B33850" w:rsidRPr="00B61FB3">
        <w:rPr>
          <w:bCs/>
          <w:szCs w:val="22"/>
        </w:rPr>
        <w:t>/</w:t>
      </w:r>
      <w:r w:rsidR="00FC095F" w:rsidRPr="00B61FB3">
        <w:rPr>
          <w:bCs/>
          <w:szCs w:val="22"/>
        </w:rPr>
        <w:t>Unmethylated</w:t>
      </w:r>
      <w:r w:rsidR="00D65893" w:rsidRPr="00B61FB3">
        <w:rPr>
          <w:bCs/>
          <w:szCs w:val="22"/>
        </w:rPr>
        <w:t xml:space="preserve"> intensities</w:t>
      </w:r>
      <w:r w:rsidR="00B33850" w:rsidRPr="00B61FB3">
        <w:rPr>
          <w:bCs/>
          <w:szCs w:val="22"/>
        </w:rPr>
        <w:t xml:space="preserve">, </w:t>
      </w:r>
      <w:r w:rsidR="00FC095F" w:rsidRPr="00B61FB3">
        <w:rPr>
          <w:bCs/>
          <w:szCs w:val="22"/>
        </w:rPr>
        <w:t xml:space="preserve">5 </w:t>
      </w:r>
      <w:r w:rsidR="00B33850" w:rsidRPr="00B61FB3">
        <w:rPr>
          <w:bCs/>
          <w:szCs w:val="22"/>
        </w:rPr>
        <w:t xml:space="preserve">had </w:t>
      </w:r>
      <w:r w:rsidR="00954652" w:rsidRPr="00B61FB3">
        <w:rPr>
          <w:bCs/>
          <w:szCs w:val="22"/>
        </w:rPr>
        <w:t>missing genotype data</w:t>
      </w:r>
      <w:r w:rsidR="00D65893" w:rsidRPr="00B61FB3">
        <w:rPr>
          <w:bCs/>
          <w:szCs w:val="22"/>
        </w:rPr>
        <w:t>),</w:t>
      </w:r>
      <w:r w:rsidR="00B33850" w:rsidRPr="00B61FB3">
        <w:rPr>
          <w:bCs/>
          <w:szCs w:val="22"/>
        </w:rPr>
        <w:t xml:space="preserve"> and</w:t>
      </w:r>
      <w:r w:rsidR="00030327" w:rsidRPr="00B61FB3">
        <w:rPr>
          <w:bCs/>
          <w:szCs w:val="22"/>
        </w:rPr>
        <w:t xml:space="preserve"> </w:t>
      </w:r>
      <w:r w:rsidR="00B33850" w:rsidRPr="00B61FB3">
        <w:rPr>
          <w:bCs/>
          <w:szCs w:val="22"/>
        </w:rPr>
        <w:t>7</w:t>
      </w:r>
      <w:r w:rsidR="00030327" w:rsidRPr="00B61FB3">
        <w:rPr>
          <w:bCs/>
          <w:szCs w:val="22"/>
        </w:rPr>
        <w:t xml:space="preserve"> </w:t>
      </w:r>
      <w:r w:rsidR="00B33850" w:rsidRPr="00B61FB3">
        <w:rPr>
          <w:bCs/>
          <w:szCs w:val="22"/>
        </w:rPr>
        <w:t xml:space="preserve">were </w:t>
      </w:r>
      <w:r w:rsidR="00030327" w:rsidRPr="00B61FB3">
        <w:rPr>
          <w:bCs/>
          <w:szCs w:val="22"/>
        </w:rPr>
        <w:t xml:space="preserve">replicate </w:t>
      </w:r>
      <w:r w:rsidR="00B33850" w:rsidRPr="00B61FB3">
        <w:rPr>
          <w:bCs/>
          <w:szCs w:val="22"/>
        </w:rPr>
        <w:t xml:space="preserve">HR </w:t>
      </w:r>
      <w:r w:rsidR="00030327" w:rsidRPr="00B61FB3">
        <w:rPr>
          <w:bCs/>
          <w:szCs w:val="22"/>
        </w:rPr>
        <w:t>samples</w:t>
      </w:r>
      <w:r w:rsidR="00B33850" w:rsidRPr="00B61FB3">
        <w:rPr>
          <w:bCs/>
          <w:szCs w:val="22"/>
        </w:rPr>
        <w:t xml:space="preserve"> selected from Rounds 1-3</w:t>
      </w:r>
      <w:r w:rsidR="00D65893" w:rsidRPr="00B61FB3">
        <w:rPr>
          <w:bCs/>
          <w:szCs w:val="22"/>
        </w:rPr>
        <w:t xml:space="preserve"> and were excluded</w:t>
      </w:r>
      <w:r w:rsidR="00B33850" w:rsidRPr="00B61FB3">
        <w:rPr>
          <w:bCs/>
          <w:szCs w:val="22"/>
        </w:rPr>
        <w:t>, leaving 82 samples for analysis.</w:t>
      </w:r>
      <w:r w:rsidR="00954652" w:rsidRPr="00B61FB3">
        <w:rPr>
          <w:bCs/>
          <w:szCs w:val="22"/>
        </w:rPr>
        <w:t xml:space="preserve"> In total, 384 of the 415 samples were retained</w:t>
      </w:r>
      <w:r w:rsidR="0024564E" w:rsidRPr="00B61FB3">
        <w:rPr>
          <w:bCs/>
          <w:szCs w:val="22"/>
        </w:rPr>
        <w:t xml:space="preserve">, of </w:t>
      </w:r>
      <w:r w:rsidR="00DE30A7" w:rsidRPr="00B61FB3">
        <w:rPr>
          <w:bCs/>
          <w:szCs w:val="22"/>
        </w:rPr>
        <w:t xml:space="preserve">which </w:t>
      </w:r>
      <w:r w:rsidR="0024564E" w:rsidRPr="00B61FB3">
        <w:rPr>
          <w:bCs/>
          <w:szCs w:val="22"/>
        </w:rPr>
        <w:t>367 had genotype data and 306 were Europea</w:t>
      </w:r>
      <w:r w:rsidR="00727B02" w:rsidRPr="00B61FB3">
        <w:rPr>
          <w:bCs/>
          <w:szCs w:val="22"/>
        </w:rPr>
        <w:t>n-ancestry (</w:t>
      </w:r>
      <w:r w:rsidR="00727B02" w:rsidRPr="00B61FB3">
        <w:rPr>
          <w:bCs/>
          <w:i/>
          <w:iCs/>
          <w:szCs w:val="22"/>
        </w:rPr>
        <w:t>n</w:t>
      </w:r>
      <w:r w:rsidR="00727B02" w:rsidRPr="00B61FB3">
        <w:rPr>
          <w:bCs/>
          <w:szCs w:val="22"/>
        </w:rPr>
        <w:t>=180 HR, of whom 10</w:t>
      </w:r>
      <w:r w:rsidR="0024564E" w:rsidRPr="00B61FB3">
        <w:rPr>
          <w:bCs/>
          <w:szCs w:val="22"/>
        </w:rPr>
        <w:t>3 were singletons</w:t>
      </w:r>
      <w:r w:rsidR="00727B02" w:rsidRPr="00B61FB3">
        <w:rPr>
          <w:bCs/>
          <w:szCs w:val="22"/>
        </w:rPr>
        <w:t xml:space="preserve">; </w:t>
      </w:r>
      <w:r w:rsidR="00727B02" w:rsidRPr="00B61FB3">
        <w:rPr>
          <w:bCs/>
          <w:i/>
          <w:iCs/>
          <w:szCs w:val="22"/>
        </w:rPr>
        <w:t>n</w:t>
      </w:r>
      <w:r w:rsidR="00727B02" w:rsidRPr="00B61FB3">
        <w:rPr>
          <w:bCs/>
          <w:szCs w:val="22"/>
        </w:rPr>
        <w:t>=126 controls, of whom 67 were singletons</w:t>
      </w:r>
      <w:r w:rsidR="0024564E" w:rsidRPr="00B61FB3">
        <w:rPr>
          <w:bCs/>
          <w:szCs w:val="22"/>
        </w:rPr>
        <w:t>).</w:t>
      </w:r>
    </w:p>
    <w:p w14:paraId="0FB014C8" w14:textId="77777777" w:rsidR="00CE1A82" w:rsidRPr="00B61FB3" w:rsidRDefault="00CE1A82" w:rsidP="00D80CD5">
      <w:pPr>
        <w:spacing w:after="0" w:line="480" w:lineRule="auto"/>
        <w:jc w:val="both"/>
        <w:rPr>
          <w:bCs/>
          <w:szCs w:val="22"/>
        </w:rPr>
      </w:pPr>
    </w:p>
    <w:p w14:paraId="711A0230" w14:textId="77777777" w:rsidR="00CE1A82" w:rsidRPr="00B61FB3" w:rsidRDefault="00CE1A82" w:rsidP="00D80CD5">
      <w:pPr>
        <w:spacing w:after="0" w:line="480" w:lineRule="auto"/>
        <w:jc w:val="both"/>
        <w:rPr>
          <w:b/>
          <w:bCs/>
          <w:szCs w:val="22"/>
        </w:rPr>
      </w:pPr>
    </w:p>
    <w:p w14:paraId="5E6735E5" w14:textId="4727C42A" w:rsidR="00A168A6" w:rsidRPr="00B61FB3" w:rsidRDefault="00486791" w:rsidP="00D80CD5">
      <w:pPr>
        <w:spacing w:after="0" w:line="480" w:lineRule="auto"/>
        <w:jc w:val="both"/>
        <w:rPr>
          <w:b/>
          <w:bCs/>
          <w:szCs w:val="22"/>
        </w:rPr>
      </w:pPr>
      <w:r w:rsidRPr="00B61FB3">
        <w:rPr>
          <w:b/>
          <w:bCs/>
          <w:szCs w:val="22"/>
        </w:rPr>
        <w:t xml:space="preserve">Tissue source </w:t>
      </w:r>
    </w:p>
    <w:p w14:paraId="7BF0F2F1" w14:textId="5092D512" w:rsidR="00487671" w:rsidRPr="00B61FB3" w:rsidRDefault="00486791" w:rsidP="00487671">
      <w:pPr>
        <w:spacing w:after="0" w:line="480" w:lineRule="auto"/>
        <w:jc w:val="both"/>
        <w:rPr>
          <w:szCs w:val="22"/>
        </w:rPr>
      </w:pPr>
      <w:r w:rsidRPr="00B61FB3">
        <w:rPr>
          <w:szCs w:val="22"/>
        </w:rPr>
        <w:t xml:space="preserve">Of the 304 samples that passed </w:t>
      </w:r>
      <w:r w:rsidR="000E3543" w:rsidRPr="00B61FB3">
        <w:rPr>
          <w:szCs w:val="22"/>
        </w:rPr>
        <w:t>quality control</w:t>
      </w:r>
      <w:r w:rsidRPr="00B61FB3">
        <w:rPr>
          <w:szCs w:val="22"/>
        </w:rPr>
        <w:t xml:space="preserve"> in rounds 1-3 (average age=20.49±5.21; 43% male</w:t>
      </w:r>
      <w:r w:rsidR="00DE30A7" w:rsidRPr="00B61FB3">
        <w:rPr>
          <w:szCs w:val="22"/>
        </w:rPr>
        <w:t xml:space="preserve">; </w:t>
      </w:r>
      <w:r w:rsidR="00A07804" w:rsidRPr="00B61FB3">
        <w:rPr>
          <w:szCs w:val="22"/>
        </w:rPr>
        <w:t>175</w:t>
      </w:r>
      <w:r w:rsidR="00DE30A7" w:rsidRPr="00B61FB3">
        <w:rPr>
          <w:szCs w:val="22"/>
        </w:rPr>
        <w:t xml:space="preserve"> HR, </w:t>
      </w:r>
      <w:r w:rsidR="00A07804" w:rsidRPr="00B61FB3">
        <w:rPr>
          <w:szCs w:val="22"/>
        </w:rPr>
        <w:t>129</w:t>
      </w:r>
      <w:r w:rsidR="00DE30A7" w:rsidRPr="00B61FB3">
        <w:rPr>
          <w:szCs w:val="22"/>
        </w:rPr>
        <w:t xml:space="preserve"> CON</w:t>
      </w:r>
      <w:r w:rsidRPr="00B61FB3">
        <w:rPr>
          <w:szCs w:val="22"/>
        </w:rPr>
        <w:t xml:space="preserve">), 20% had DNA derived from whole blood, 51% firstly underwent </w:t>
      </w:r>
      <w:proofErr w:type="spellStart"/>
      <w:r w:rsidRPr="00B61FB3">
        <w:rPr>
          <w:szCs w:val="22"/>
        </w:rPr>
        <w:t>ficoll</w:t>
      </w:r>
      <w:proofErr w:type="spellEnd"/>
      <w:r w:rsidRPr="00B61FB3">
        <w:rPr>
          <w:szCs w:val="22"/>
        </w:rPr>
        <w:t xml:space="preserve"> density gradient separation with DNA extracted from the cells in the </w:t>
      </w:r>
      <w:proofErr w:type="spellStart"/>
      <w:r w:rsidRPr="00B61FB3">
        <w:rPr>
          <w:szCs w:val="22"/>
        </w:rPr>
        <w:t>ficoll</w:t>
      </w:r>
      <w:proofErr w:type="spellEnd"/>
      <w:r w:rsidRPr="00B61FB3">
        <w:rPr>
          <w:szCs w:val="22"/>
        </w:rPr>
        <w:t xml:space="preserve">/PBS/plasma </w:t>
      </w:r>
      <w:r w:rsidR="00E15361" w:rsidRPr="00B61FB3">
        <w:rPr>
          <w:szCs w:val="22"/>
        </w:rPr>
        <w:t xml:space="preserve">“buffy coat” </w:t>
      </w:r>
      <w:r w:rsidRPr="00B61FB3">
        <w:rPr>
          <w:szCs w:val="22"/>
        </w:rPr>
        <w:t xml:space="preserve">layer, and 28% were derived from the isolated lymphoblast cell population after </w:t>
      </w:r>
      <w:proofErr w:type="spellStart"/>
      <w:r w:rsidRPr="00B61FB3">
        <w:rPr>
          <w:szCs w:val="22"/>
        </w:rPr>
        <w:t>ficoll</w:t>
      </w:r>
      <w:proofErr w:type="spellEnd"/>
      <w:r w:rsidRPr="00B61FB3">
        <w:rPr>
          <w:szCs w:val="22"/>
        </w:rPr>
        <w:t xml:space="preserve"> separation. </w:t>
      </w:r>
      <w:r w:rsidR="00487671" w:rsidRPr="00B61FB3">
        <w:rPr>
          <w:szCs w:val="22"/>
        </w:rPr>
        <w:t xml:space="preserve">The breakdown of tissue source of samples included in discovery EWAS is presented in Table </w:t>
      </w:r>
      <w:r w:rsidR="00B04258" w:rsidRPr="00B61FB3">
        <w:rPr>
          <w:szCs w:val="22"/>
        </w:rPr>
        <w:t>S</w:t>
      </w:r>
      <w:r w:rsidR="00487671" w:rsidRPr="00B61FB3">
        <w:rPr>
          <w:szCs w:val="22"/>
        </w:rPr>
        <w:t xml:space="preserve">1. The estimated cell component proportions from the discovery sample are presented in Figure </w:t>
      </w:r>
      <w:r w:rsidR="00DB7E85" w:rsidRPr="00B61FB3">
        <w:rPr>
          <w:szCs w:val="22"/>
        </w:rPr>
        <w:t>S3</w:t>
      </w:r>
      <w:r w:rsidR="00487671" w:rsidRPr="00B61FB3">
        <w:rPr>
          <w:szCs w:val="22"/>
        </w:rPr>
        <w:t xml:space="preserve">. </w:t>
      </w:r>
    </w:p>
    <w:p w14:paraId="2BC7FC9C" w14:textId="7E3F8F68" w:rsidR="00487671" w:rsidRPr="00B61FB3" w:rsidRDefault="00486791" w:rsidP="00D80CD5">
      <w:pPr>
        <w:spacing w:after="0" w:line="480" w:lineRule="auto"/>
        <w:jc w:val="both"/>
        <w:rPr>
          <w:szCs w:val="22"/>
        </w:rPr>
      </w:pPr>
      <w:r w:rsidRPr="00B61FB3">
        <w:rPr>
          <w:szCs w:val="22"/>
        </w:rPr>
        <w:t>For round 4 (average age=19.57±5.28</w:t>
      </w:r>
      <w:r w:rsidR="00E15361" w:rsidRPr="00B61FB3">
        <w:rPr>
          <w:szCs w:val="22"/>
        </w:rPr>
        <w:t xml:space="preserve"> years</w:t>
      </w:r>
      <w:r w:rsidRPr="00B61FB3">
        <w:rPr>
          <w:szCs w:val="22"/>
        </w:rPr>
        <w:t xml:space="preserve">; 48% male; 50 HR, 26 </w:t>
      </w:r>
      <w:proofErr w:type="gramStart"/>
      <w:r w:rsidRPr="00B61FB3">
        <w:rPr>
          <w:szCs w:val="22"/>
        </w:rPr>
        <w:t>CON</w:t>
      </w:r>
      <w:proofErr w:type="gramEnd"/>
      <w:r w:rsidRPr="00B61FB3">
        <w:rPr>
          <w:szCs w:val="22"/>
        </w:rPr>
        <w:t xml:space="preserve">, 20 BD), 30% of the samples were derived from whole blood, 26% were </w:t>
      </w:r>
      <w:proofErr w:type="spellStart"/>
      <w:r w:rsidRPr="00B61FB3">
        <w:rPr>
          <w:szCs w:val="22"/>
        </w:rPr>
        <w:t>fico</w:t>
      </w:r>
      <w:r w:rsidR="00CF4B3F" w:rsidRPr="00B61FB3">
        <w:rPr>
          <w:szCs w:val="22"/>
        </w:rPr>
        <w:t>l</w:t>
      </w:r>
      <w:r w:rsidRPr="00B61FB3">
        <w:rPr>
          <w:szCs w:val="22"/>
        </w:rPr>
        <w:t>l</w:t>
      </w:r>
      <w:proofErr w:type="spellEnd"/>
      <w:r w:rsidRPr="00B61FB3">
        <w:rPr>
          <w:szCs w:val="22"/>
        </w:rPr>
        <w:t xml:space="preserve"> separated, and 43% were derived from isolated lymphoblast cells. </w:t>
      </w:r>
    </w:p>
    <w:p w14:paraId="40E874C3" w14:textId="77777777" w:rsidR="000240C3" w:rsidRPr="00B61FB3" w:rsidRDefault="000240C3" w:rsidP="00D80CD5">
      <w:pPr>
        <w:spacing w:after="0" w:line="480" w:lineRule="auto"/>
        <w:jc w:val="both"/>
        <w:rPr>
          <w:szCs w:val="22"/>
        </w:rPr>
      </w:pPr>
    </w:p>
    <w:p w14:paraId="65A4F8FE" w14:textId="404AAD47" w:rsidR="00487671" w:rsidRPr="00B61FB3" w:rsidRDefault="000240C3" w:rsidP="00D80CD5">
      <w:pPr>
        <w:spacing w:after="0" w:line="480" w:lineRule="auto"/>
        <w:jc w:val="both"/>
        <w:rPr>
          <w:szCs w:val="22"/>
        </w:rPr>
      </w:pPr>
      <w:r w:rsidRPr="00B61FB3">
        <w:rPr>
          <w:szCs w:val="22"/>
        </w:rPr>
        <w:t>F</w:t>
      </w:r>
      <w:r w:rsidR="00487671" w:rsidRPr="00B61FB3">
        <w:rPr>
          <w:szCs w:val="22"/>
        </w:rPr>
        <w:t xml:space="preserve">or </w:t>
      </w:r>
      <w:r w:rsidR="00147615" w:rsidRPr="00B61FB3">
        <w:rPr>
          <w:szCs w:val="22"/>
        </w:rPr>
        <w:t xml:space="preserve">Validation </w:t>
      </w:r>
      <w:r w:rsidR="00027904" w:rsidRPr="00B61FB3">
        <w:rPr>
          <w:szCs w:val="22"/>
        </w:rPr>
        <w:t>S</w:t>
      </w:r>
      <w:r w:rsidR="00487671" w:rsidRPr="00B61FB3">
        <w:rPr>
          <w:szCs w:val="22"/>
        </w:rPr>
        <w:t xml:space="preserve">et 1 (controls of European-ancestry and unrelated), </w:t>
      </w:r>
      <w:r w:rsidRPr="00B61FB3">
        <w:rPr>
          <w:szCs w:val="22"/>
        </w:rPr>
        <w:t xml:space="preserve">there were </w:t>
      </w:r>
      <w:r w:rsidR="00487671" w:rsidRPr="00B61FB3">
        <w:rPr>
          <w:szCs w:val="22"/>
        </w:rPr>
        <w:t xml:space="preserve">only 5 </w:t>
      </w:r>
      <w:r w:rsidR="003A2F66" w:rsidRPr="00B61FB3">
        <w:rPr>
          <w:szCs w:val="22"/>
        </w:rPr>
        <w:t xml:space="preserve">DNA </w:t>
      </w:r>
      <w:r w:rsidR="00487671" w:rsidRPr="00B61FB3">
        <w:rPr>
          <w:szCs w:val="22"/>
        </w:rPr>
        <w:t>samples that were derived from whole blood</w:t>
      </w:r>
      <w:r w:rsidR="003A2F66" w:rsidRPr="00B61FB3">
        <w:rPr>
          <w:szCs w:val="22"/>
        </w:rPr>
        <w:t xml:space="preserve"> across rounds 1-3</w:t>
      </w:r>
      <w:r w:rsidR="00027904" w:rsidRPr="00B61FB3">
        <w:rPr>
          <w:szCs w:val="22"/>
        </w:rPr>
        <w:t xml:space="preserve">; </w:t>
      </w:r>
      <w:proofErr w:type="gramStart"/>
      <w:r w:rsidR="00027904" w:rsidRPr="00B61FB3">
        <w:rPr>
          <w:szCs w:val="22"/>
        </w:rPr>
        <w:t>thus</w:t>
      </w:r>
      <w:proofErr w:type="gramEnd"/>
      <w:r w:rsidR="003A2F66" w:rsidRPr="00B61FB3">
        <w:rPr>
          <w:szCs w:val="22"/>
        </w:rPr>
        <w:t xml:space="preserve"> these samples were excluded</w:t>
      </w:r>
      <w:r w:rsidR="00487671" w:rsidRPr="00B61FB3">
        <w:rPr>
          <w:szCs w:val="22"/>
        </w:rPr>
        <w:t xml:space="preserve">, </w:t>
      </w:r>
      <w:r w:rsidR="003A2F66" w:rsidRPr="00B61FB3">
        <w:rPr>
          <w:szCs w:val="22"/>
        </w:rPr>
        <w:t>and two tissue sources (</w:t>
      </w:r>
      <w:proofErr w:type="spellStart"/>
      <w:r w:rsidR="003A2F66" w:rsidRPr="00B61FB3">
        <w:rPr>
          <w:szCs w:val="22"/>
        </w:rPr>
        <w:t>ficoll</w:t>
      </w:r>
      <w:proofErr w:type="spellEnd"/>
      <w:r w:rsidR="003A2F66" w:rsidRPr="00B61FB3">
        <w:rPr>
          <w:szCs w:val="22"/>
        </w:rPr>
        <w:t>- and lymphocyte-derived) were employed.</w:t>
      </w:r>
    </w:p>
    <w:p w14:paraId="7AA346F8" w14:textId="77777777" w:rsidR="006A7EBD" w:rsidRPr="00B61FB3" w:rsidRDefault="006A7EBD" w:rsidP="00D80CD5">
      <w:pPr>
        <w:spacing w:after="0" w:line="480" w:lineRule="auto"/>
        <w:jc w:val="both"/>
        <w:rPr>
          <w:b/>
          <w:szCs w:val="22"/>
        </w:rPr>
      </w:pPr>
    </w:p>
    <w:p w14:paraId="0DD2DADC" w14:textId="77777777" w:rsidR="00CE1A82" w:rsidRPr="00B61FB3" w:rsidRDefault="00CE1A82" w:rsidP="00D80CD5">
      <w:pPr>
        <w:spacing w:after="0" w:line="480" w:lineRule="auto"/>
        <w:jc w:val="both"/>
        <w:rPr>
          <w:b/>
          <w:szCs w:val="22"/>
        </w:rPr>
      </w:pPr>
    </w:p>
    <w:p w14:paraId="04C314E4" w14:textId="0414042E" w:rsidR="008B3883" w:rsidRPr="00B61FB3" w:rsidRDefault="008B3883" w:rsidP="00D80CD5">
      <w:pPr>
        <w:spacing w:after="0" w:line="480" w:lineRule="auto"/>
        <w:jc w:val="both"/>
        <w:rPr>
          <w:b/>
          <w:szCs w:val="22"/>
        </w:rPr>
      </w:pPr>
      <w:r w:rsidRPr="00B61FB3">
        <w:rPr>
          <w:b/>
          <w:szCs w:val="22"/>
        </w:rPr>
        <w:t>Disease-gene association analysis</w:t>
      </w:r>
    </w:p>
    <w:p w14:paraId="30ECF57C" w14:textId="648B4CE3" w:rsidR="008B3883" w:rsidRPr="00B61FB3" w:rsidRDefault="008B3883" w:rsidP="00D80CD5">
      <w:pPr>
        <w:spacing w:after="0" w:line="480" w:lineRule="auto"/>
        <w:jc w:val="both"/>
        <w:rPr>
          <w:szCs w:val="22"/>
        </w:rPr>
      </w:pPr>
      <w:r w:rsidRPr="00B61FB3">
        <w:rPr>
          <w:szCs w:val="22"/>
          <w:lang w:bidi="fa-IR"/>
        </w:rPr>
        <w:t>Genes mapped to DMPs</w:t>
      </w:r>
      <w:r w:rsidRPr="00B61FB3">
        <w:rPr>
          <w:szCs w:val="22"/>
        </w:rPr>
        <w:t xml:space="preserve"> </w:t>
      </w:r>
      <w:r w:rsidRPr="00B61FB3">
        <w:rPr>
          <w:szCs w:val="22"/>
          <w:lang w:bidi="fa-IR"/>
        </w:rPr>
        <w:t xml:space="preserve">were cross-referenced </w:t>
      </w:r>
      <w:r w:rsidRPr="00B61FB3">
        <w:rPr>
          <w:szCs w:val="22"/>
        </w:rPr>
        <w:t xml:space="preserve">against reports of disease-gene associations as catalogued in </w:t>
      </w:r>
      <w:proofErr w:type="spellStart"/>
      <w:r w:rsidRPr="00B61FB3">
        <w:rPr>
          <w:szCs w:val="22"/>
        </w:rPr>
        <w:t>DisGeNET</w:t>
      </w:r>
      <w:proofErr w:type="spellEnd"/>
      <w:r w:rsidRPr="00B61FB3">
        <w:rPr>
          <w:szCs w:val="22"/>
        </w:rPr>
        <w:t xml:space="preserve"> v7.0,</w:t>
      </w:r>
      <w:r w:rsidR="006A4419">
        <w:rPr>
          <w:szCs w:val="22"/>
        </w:rPr>
        <w:t>[16]</w:t>
      </w:r>
      <w:r w:rsidRPr="00B61FB3">
        <w:rPr>
          <w:szCs w:val="22"/>
        </w:rPr>
        <w:t xml:space="preserve"> which includes data from Psychiatric disorders Gene-association Network (</w:t>
      </w:r>
      <w:proofErr w:type="spellStart"/>
      <w:r w:rsidRPr="00B61FB3">
        <w:rPr>
          <w:szCs w:val="22"/>
        </w:rPr>
        <w:t>PsyGeNET</w:t>
      </w:r>
      <w:proofErr w:type="spellEnd"/>
      <w:r w:rsidRPr="00B61FB3">
        <w:rPr>
          <w:szCs w:val="22"/>
        </w:rPr>
        <w:t>),</w:t>
      </w:r>
      <w:r w:rsidR="006A4419">
        <w:rPr>
          <w:szCs w:val="22"/>
        </w:rPr>
        <w:t>[17]</w:t>
      </w:r>
      <w:r w:rsidRPr="00B61FB3">
        <w:rPr>
          <w:szCs w:val="22"/>
        </w:rPr>
        <w:t xml:space="preserve"> </w:t>
      </w:r>
      <w:hyperlink r:id="rId13" w:tgtFrame="blank" w:history="1">
        <w:r w:rsidRPr="00B61FB3">
          <w:rPr>
            <w:rStyle w:val="Hyperlink"/>
            <w:color w:val="auto"/>
            <w:szCs w:val="22"/>
            <w:u w:val="none"/>
          </w:rPr>
          <w:t xml:space="preserve">NHGRI-EBI GWAS </w:t>
        </w:r>
        <w:proofErr w:type="spellStart"/>
        <w:r w:rsidRPr="00B61FB3">
          <w:rPr>
            <w:rStyle w:val="Hyperlink"/>
            <w:color w:val="auto"/>
            <w:szCs w:val="22"/>
            <w:u w:val="none"/>
          </w:rPr>
          <w:t>Catalog</w:t>
        </w:r>
        <w:proofErr w:type="spellEnd"/>
      </w:hyperlink>
      <w:r w:rsidR="006A4419">
        <w:rPr>
          <w:rStyle w:val="Hyperlink"/>
          <w:color w:val="auto"/>
          <w:szCs w:val="22"/>
          <w:u w:val="none"/>
        </w:rPr>
        <w:t>[18]</w:t>
      </w:r>
      <w:r w:rsidRPr="00B61FB3">
        <w:rPr>
          <w:szCs w:val="22"/>
        </w:rPr>
        <w:t xml:space="preserve"> and GWAS database.</w:t>
      </w:r>
      <w:r w:rsidR="006A4419">
        <w:rPr>
          <w:szCs w:val="22"/>
        </w:rPr>
        <w:t>[19]</w:t>
      </w:r>
      <w:r w:rsidRPr="00B61FB3">
        <w:rPr>
          <w:szCs w:val="22"/>
        </w:rPr>
        <w:t xml:space="preserve"> Diseases examined were bipolar disorder (diseaseID:C0005586) and schizophrenia (diseaseID:C0036341), yielding gene sets of 1,184 and 2,873 genes respectively. </w:t>
      </w:r>
    </w:p>
    <w:p w14:paraId="04E31316" w14:textId="50DD0D05" w:rsidR="00D276F9" w:rsidRPr="00B61FB3" w:rsidRDefault="008B3883" w:rsidP="00D80CD5">
      <w:pPr>
        <w:spacing w:after="0" w:line="480" w:lineRule="auto"/>
        <w:jc w:val="both"/>
        <w:rPr>
          <w:b/>
          <w:bCs/>
          <w:szCs w:val="22"/>
        </w:rPr>
      </w:pPr>
      <w:r w:rsidRPr="00B61FB3">
        <w:rPr>
          <w:szCs w:val="22"/>
        </w:rPr>
        <w:t>The DMP genes were cross</w:t>
      </w:r>
      <w:r w:rsidR="00AC3BE6" w:rsidRPr="00B61FB3">
        <w:rPr>
          <w:szCs w:val="22"/>
        </w:rPr>
        <w:t>-</w:t>
      </w:r>
      <w:r w:rsidRPr="00B61FB3">
        <w:rPr>
          <w:szCs w:val="22"/>
        </w:rPr>
        <w:t>matched with genes previously associated with BD and SCZ (</w:t>
      </w:r>
      <w:proofErr w:type="spellStart"/>
      <w:r w:rsidRPr="00B61FB3">
        <w:rPr>
          <w:szCs w:val="22"/>
        </w:rPr>
        <w:t>DisGeNET</w:t>
      </w:r>
      <w:proofErr w:type="spellEnd"/>
      <w:r w:rsidRPr="00B61FB3">
        <w:rPr>
          <w:szCs w:val="22"/>
        </w:rPr>
        <w:t xml:space="preserve"> v7.0), finding 77 genes that were previously associated with BD and 182 genes with schizophrenia, of which 59 were common between schizophrenia and BD (Figure </w:t>
      </w:r>
      <w:r w:rsidR="003B77EC" w:rsidRPr="00B61FB3">
        <w:rPr>
          <w:szCs w:val="22"/>
        </w:rPr>
        <w:t>S</w:t>
      </w:r>
      <w:r w:rsidR="00AB0041" w:rsidRPr="00B61FB3">
        <w:rPr>
          <w:szCs w:val="22"/>
        </w:rPr>
        <w:t>7</w:t>
      </w:r>
      <w:r w:rsidRPr="00B61FB3">
        <w:rPr>
          <w:szCs w:val="22"/>
        </w:rPr>
        <w:t>).</w:t>
      </w:r>
    </w:p>
    <w:p w14:paraId="6E29DD00" w14:textId="77777777" w:rsidR="00CE1A82" w:rsidRPr="00B61FB3" w:rsidRDefault="00CE1A82" w:rsidP="00D80CD5">
      <w:pPr>
        <w:spacing w:after="0" w:line="480" w:lineRule="auto"/>
        <w:jc w:val="both"/>
        <w:rPr>
          <w:b/>
          <w:bCs/>
          <w:szCs w:val="22"/>
        </w:rPr>
      </w:pPr>
    </w:p>
    <w:p w14:paraId="57103246" w14:textId="77777777" w:rsidR="00CE1A82" w:rsidRPr="00B61FB3" w:rsidRDefault="00CE1A82" w:rsidP="00D80CD5">
      <w:pPr>
        <w:spacing w:after="0" w:line="480" w:lineRule="auto"/>
        <w:jc w:val="both"/>
        <w:rPr>
          <w:b/>
          <w:bCs/>
          <w:szCs w:val="22"/>
        </w:rPr>
      </w:pPr>
    </w:p>
    <w:p w14:paraId="22123123" w14:textId="38AC5F27" w:rsidR="00536F6F" w:rsidRPr="00B61FB3" w:rsidRDefault="00536F6F" w:rsidP="00D80CD5">
      <w:pPr>
        <w:spacing w:after="0" w:line="480" w:lineRule="auto"/>
        <w:jc w:val="both"/>
        <w:rPr>
          <w:b/>
          <w:bCs/>
          <w:szCs w:val="22"/>
        </w:rPr>
      </w:pPr>
      <w:r w:rsidRPr="00B61FB3">
        <w:rPr>
          <w:b/>
          <w:bCs/>
          <w:szCs w:val="22"/>
        </w:rPr>
        <w:t>Family environment measures</w:t>
      </w:r>
      <w:r w:rsidR="00962E78" w:rsidRPr="00B61FB3">
        <w:rPr>
          <w:b/>
          <w:bCs/>
          <w:szCs w:val="22"/>
        </w:rPr>
        <w:t xml:space="preserve"> </w:t>
      </w:r>
    </w:p>
    <w:p w14:paraId="2EF3CC01" w14:textId="16303D5D" w:rsidR="00536F6F" w:rsidRPr="00B61FB3" w:rsidRDefault="00536F6F" w:rsidP="0055659C">
      <w:pPr>
        <w:spacing w:before="240" w:after="0" w:line="480" w:lineRule="auto"/>
        <w:jc w:val="both"/>
        <w:rPr>
          <w:szCs w:val="22"/>
        </w:rPr>
      </w:pPr>
      <w:r w:rsidRPr="00B61FB3">
        <w:rPr>
          <w:szCs w:val="22"/>
        </w:rPr>
        <w:t>The Family Adaptability and Cohesion Evaluation Scales (FACES-</w:t>
      </w:r>
      <w:proofErr w:type="gramStart"/>
      <w:r w:rsidRPr="00B61FB3">
        <w:rPr>
          <w:szCs w:val="22"/>
        </w:rPr>
        <w:t>II)</w:t>
      </w:r>
      <w:r w:rsidR="006A4419">
        <w:rPr>
          <w:szCs w:val="22"/>
        </w:rPr>
        <w:t>[</w:t>
      </w:r>
      <w:proofErr w:type="gramEnd"/>
      <w:r w:rsidR="006A4419">
        <w:rPr>
          <w:szCs w:val="22"/>
        </w:rPr>
        <w:t xml:space="preserve">20] </w:t>
      </w:r>
      <w:r w:rsidRPr="00B61FB3">
        <w:rPr>
          <w:szCs w:val="22"/>
        </w:rPr>
        <w:t xml:space="preserve">was employed at baseline to measure the emotional bonding between family members (cohesion) and their ability to change roles and structure during difficult times (adaptability). FACES-II is a 30-item self-report questionnaire, on a </w:t>
      </w:r>
      <w:r w:rsidR="00DA40E9" w:rsidRPr="00B61FB3">
        <w:rPr>
          <w:szCs w:val="22"/>
        </w:rPr>
        <w:t>5-point</w:t>
      </w:r>
      <w:r w:rsidRPr="00B61FB3">
        <w:rPr>
          <w:szCs w:val="22"/>
        </w:rPr>
        <w:t xml:space="preserve"> Likert-scale</w:t>
      </w:r>
      <w:r w:rsidR="007E7B9D" w:rsidRPr="00B61FB3">
        <w:rPr>
          <w:szCs w:val="22"/>
        </w:rPr>
        <w:t>,</w:t>
      </w:r>
      <w:r w:rsidRPr="00B61FB3">
        <w:rPr>
          <w:szCs w:val="22"/>
        </w:rPr>
        <w:t xml:space="preserve"> which measures two dimensions of family </w:t>
      </w:r>
      <w:proofErr w:type="spellStart"/>
      <w:r w:rsidRPr="00B61FB3">
        <w:rPr>
          <w:szCs w:val="22"/>
        </w:rPr>
        <w:t>behavior</w:t>
      </w:r>
      <w:proofErr w:type="spellEnd"/>
      <w:r w:rsidRPr="00B61FB3">
        <w:rPr>
          <w:szCs w:val="22"/>
        </w:rPr>
        <w:t xml:space="preserve">, cohesion and adaptability. </w:t>
      </w:r>
      <w:r w:rsidR="006515F5" w:rsidRPr="00B61FB3">
        <w:rPr>
          <w:rFonts w:cs="Arial"/>
          <w:i/>
          <w:szCs w:val="22"/>
        </w:rPr>
        <w:t>Cohesion</w:t>
      </w:r>
      <w:r w:rsidR="006515F5" w:rsidRPr="00B61FB3">
        <w:rPr>
          <w:rFonts w:cs="Arial"/>
          <w:szCs w:val="22"/>
        </w:rPr>
        <w:t xml:space="preserve"> is defined as the extent to which family members are separated from or connected to the family, or the degree of emotional bonding that family members have toward one another.</w:t>
      </w:r>
      <w:r w:rsidR="006515F5" w:rsidRPr="00B61FB3">
        <w:rPr>
          <w:szCs w:val="22"/>
        </w:rPr>
        <w:t xml:space="preserve"> </w:t>
      </w:r>
      <w:r w:rsidRPr="00B61FB3">
        <w:rPr>
          <w:rFonts w:cs="Arial"/>
          <w:i/>
          <w:szCs w:val="22"/>
        </w:rPr>
        <w:t>Adaptability</w:t>
      </w:r>
      <w:r w:rsidRPr="00B61FB3">
        <w:rPr>
          <w:rFonts w:cs="Arial"/>
          <w:szCs w:val="22"/>
        </w:rPr>
        <w:t xml:space="preserve"> is defined as the extent to which the family system is flexible and able to change its power structure, role relationships, and relationship rules in response to situational and developmental stress. </w:t>
      </w:r>
    </w:p>
    <w:p w14:paraId="59E6165B" w14:textId="5306CE27" w:rsidR="00536F6F" w:rsidRPr="00B61FB3" w:rsidRDefault="00536F6F" w:rsidP="0055659C">
      <w:pPr>
        <w:spacing w:before="240" w:after="0" w:line="480" w:lineRule="auto"/>
        <w:jc w:val="both"/>
        <w:rPr>
          <w:szCs w:val="22"/>
        </w:rPr>
      </w:pPr>
      <w:r w:rsidRPr="00B61FB3">
        <w:rPr>
          <w:szCs w:val="22"/>
        </w:rPr>
        <w:t xml:space="preserve">Scoring employed the FACES-II update which incorporates linear scoring norms and </w:t>
      </w:r>
      <w:proofErr w:type="gramStart"/>
      <w:r w:rsidRPr="00B61FB3">
        <w:rPr>
          <w:szCs w:val="22"/>
        </w:rPr>
        <w:t>interpretation</w:t>
      </w:r>
      <w:r w:rsidR="0088114C" w:rsidRPr="00B61FB3">
        <w:rPr>
          <w:szCs w:val="22"/>
        </w:rPr>
        <w:t>,</w:t>
      </w:r>
      <w:r w:rsidR="006A4419">
        <w:rPr>
          <w:szCs w:val="22"/>
        </w:rPr>
        <w:t>[</w:t>
      </w:r>
      <w:proofErr w:type="gramEnd"/>
      <w:r w:rsidR="006A4419">
        <w:rPr>
          <w:szCs w:val="22"/>
        </w:rPr>
        <w:t xml:space="preserve">20] </w:t>
      </w:r>
      <w:r w:rsidRPr="00B61FB3">
        <w:rPr>
          <w:szCs w:val="22"/>
        </w:rPr>
        <w:t>due to its higher alpha reliability and concurrent validity. A total score for the 14-item adaptability subscale (step 1: sum items 24 and 28; step 2: step 1 value from 12; step 3: sum all remaining even items except item-30; step 4: sum step 2 + step 3) places the respondent's family into one of eight sub-levels</w:t>
      </w:r>
      <w:r w:rsidR="00873186" w:rsidRPr="00B61FB3">
        <w:rPr>
          <w:szCs w:val="22"/>
        </w:rPr>
        <w:t>,</w:t>
      </w:r>
      <w:r w:rsidRPr="00B61FB3">
        <w:rPr>
          <w:szCs w:val="22"/>
        </w:rPr>
        <w:t xml:space="preserve"> which correspond to four levels with established cut</w:t>
      </w:r>
      <w:r w:rsidR="007E7B9D" w:rsidRPr="00B61FB3">
        <w:rPr>
          <w:szCs w:val="22"/>
        </w:rPr>
        <w:t>-off</w:t>
      </w:r>
      <w:r w:rsidRPr="00B61FB3">
        <w:rPr>
          <w:szCs w:val="22"/>
        </w:rPr>
        <w:t xml:space="preserve"> points for adaptability (very flexible, flexible, structured, rigid). Likewise, a total score for the 16-item cohesion subscale (step 1: sum items 3, 9, 15, 19, 25 and 29; step 2: subtract 36 from step 1 value; step 3: sum all remaining odd items plus item-30; step 4: sum step 2 + step 3) places the respondent's family into one of eight sub-levels, which correspond to four levels </w:t>
      </w:r>
      <w:r w:rsidR="007E7B9D" w:rsidRPr="00B61FB3">
        <w:rPr>
          <w:szCs w:val="22"/>
        </w:rPr>
        <w:t xml:space="preserve">of </w:t>
      </w:r>
      <w:r w:rsidRPr="00B61FB3">
        <w:rPr>
          <w:szCs w:val="22"/>
        </w:rPr>
        <w:t xml:space="preserve">cohesion (very connected, connected, separated, disengaged). The FACES total score was computed from the sum of adaptability and cohesion subscales and used as a quantitative measure of family environment. </w:t>
      </w:r>
    </w:p>
    <w:p w14:paraId="3AED6E3F" w14:textId="5235C068" w:rsidR="00536F6F" w:rsidRPr="00B61FB3" w:rsidRDefault="00536F6F" w:rsidP="0055659C">
      <w:pPr>
        <w:spacing w:before="240" w:after="0" w:line="480" w:lineRule="auto"/>
        <w:jc w:val="both"/>
        <w:rPr>
          <w:b/>
          <w:bCs/>
          <w:szCs w:val="22"/>
        </w:rPr>
      </w:pPr>
      <w:r w:rsidRPr="00B61FB3">
        <w:rPr>
          <w:szCs w:val="22"/>
        </w:rPr>
        <w:t>All participants (12-30 year</w:t>
      </w:r>
      <w:r w:rsidR="00D2208E" w:rsidRPr="00B61FB3">
        <w:rPr>
          <w:szCs w:val="22"/>
        </w:rPr>
        <w:t xml:space="preserve">s </w:t>
      </w:r>
      <w:r w:rsidRPr="00B61FB3">
        <w:rPr>
          <w:szCs w:val="22"/>
        </w:rPr>
        <w:t xml:space="preserve">old) were eligible to complete the </w:t>
      </w:r>
      <w:r w:rsidRPr="00B61FB3">
        <w:rPr>
          <w:rStyle w:val="zmsearchresult"/>
          <w:szCs w:val="22"/>
        </w:rPr>
        <w:t>FACES</w:t>
      </w:r>
      <w:r w:rsidRPr="00B61FB3">
        <w:rPr>
          <w:szCs w:val="22"/>
        </w:rPr>
        <w:t xml:space="preserve">-II and </w:t>
      </w:r>
      <w:r w:rsidR="00AC3BE6" w:rsidRPr="00B61FB3">
        <w:rPr>
          <w:szCs w:val="22"/>
        </w:rPr>
        <w:t xml:space="preserve">a subset </w:t>
      </w:r>
      <w:r w:rsidRPr="00B61FB3">
        <w:rPr>
          <w:szCs w:val="22"/>
        </w:rPr>
        <w:t xml:space="preserve">completed this scale at their baseline interview. Participants who only partially completed the scale were excluded from analysis.  </w:t>
      </w:r>
    </w:p>
    <w:p w14:paraId="0B74FFD3" w14:textId="77777777" w:rsidR="000240C3" w:rsidRPr="00B61FB3" w:rsidRDefault="000240C3" w:rsidP="00D80CD5">
      <w:pPr>
        <w:spacing w:after="0" w:line="480" w:lineRule="auto"/>
        <w:jc w:val="both"/>
        <w:rPr>
          <w:b/>
          <w:bCs/>
          <w:szCs w:val="22"/>
        </w:rPr>
        <w:sectPr w:rsidR="000240C3" w:rsidRPr="00B61FB3">
          <w:pgSz w:w="11906" w:h="16838"/>
          <w:pgMar w:top="1440" w:right="1440" w:bottom="1440" w:left="1440" w:header="708" w:footer="708" w:gutter="0"/>
          <w:cols w:space="708"/>
          <w:docGrid w:linePitch="360"/>
        </w:sectPr>
      </w:pPr>
    </w:p>
    <w:p w14:paraId="387342AC" w14:textId="54EA4921" w:rsidR="00536F6F" w:rsidRPr="00432CF8" w:rsidRDefault="000240C3" w:rsidP="00D80CD5">
      <w:pPr>
        <w:spacing w:after="0" w:line="480" w:lineRule="auto"/>
        <w:jc w:val="both"/>
        <w:rPr>
          <w:b/>
          <w:bCs/>
          <w:sz w:val="28"/>
        </w:rPr>
      </w:pPr>
      <w:r w:rsidRPr="00432CF8">
        <w:rPr>
          <w:b/>
          <w:bCs/>
          <w:sz w:val="28"/>
        </w:rPr>
        <w:t>Supplementary Results</w:t>
      </w:r>
    </w:p>
    <w:p w14:paraId="4D381738" w14:textId="4D27951E" w:rsidR="00A6152F" w:rsidRPr="00B61FB3" w:rsidRDefault="00027904" w:rsidP="00A6152F">
      <w:pPr>
        <w:spacing w:before="240" w:after="0" w:line="480" w:lineRule="auto"/>
        <w:jc w:val="both"/>
        <w:rPr>
          <w:b/>
          <w:bCs/>
          <w:szCs w:val="22"/>
        </w:rPr>
      </w:pPr>
      <w:r w:rsidRPr="00B61FB3">
        <w:rPr>
          <w:b/>
          <w:bCs/>
          <w:szCs w:val="22"/>
        </w:rPr>
        <w:t xml:space="preserve">Supplementary </w:t>
      </w:r>
      <w:r w:rsidR="00A6152F" w:rsidRPr="00B61FB3">
        <w:rPr>
          <w:b/>
          <w:bCs/>
          <w:szCs w:val="22"/>
        </w:rPr>
        <w:t>E</w:t>
      </w:r>
      <w:r w:rsidRPr="00B61FB3">
        <w:rPr>
          <w:b/>
          <w:bCs/>
          <w:szCs w:val="22"/>
        </w:rPr>
        <w:t xml:space="preserve">WAS: post-hoc sensitivity analysis </w:t>
      </w:r>
      <w:r w:rsidR="00A6152F" w:rsidRPr="00B61FB3">
        <w:rPr>
          <w:b/>
          <w:bCs/>
          <w:szCs w:val="22"/>
        </w:rPr>
        <w:t xml:space="preserve">for interpretation of DMP functional enrichments </w:t>
      </w:r>
    </w:p>
    <w:p w14:paraId="7BDF900A" w14:textId="705159DC" w:rsidR="00A6152F" w:rsidRPr="00B61FB3" w:rsidRDefault="00A6152F" w:rsidP="0055659C">
      <w:pPr>
        <w:spacing w:before="240" w:after="0" w:line="480" w:lineRule="auto"/>
        <w:jc w:val="both"/>
        <w:rPr>
          <w:b/>
          <w:bCs/>
          <w:szCs w:val="22"/>
        </w:rPr>
      </w:pPr>
      <w:r w:rsidRPr="00B61FB3">
        <w:rPr>
          <w:szCs w:val="22"/>
        </w:rPr>
        <w:t xml:space="preserve">As the discovery EWAS employed a restricted set of 35,907 CpG probes that were blood-brain correlated, we reasoned that probe pre-selection might lead to skewing of functional enrichments in genes mapped to DMPs (particularly towards brain-related enrichments). Therefore, EWAS was repeated using 214,352 probes that passed QC (without applying the blood-brain correlation filter) employing identical procedures as the primary EWAS. The epigenome-wide multiple testing correction threshold was adjusted to </w:t>
      </w:r>
      <w:r w:rsidRPr="00B61FB3">
        <w:rPr>
          <w:i/>
          <w:iCs/>
          <w:szCs w:val="22"/>
        </w:rPr>
        <w:t>p</w:t>
      </w:r>
      <w:r w:rsidRPr="00B61FB3">
        <w:rPr>
          <w:szCs w:val="22"/>
        </w:rPr>
        <w:t>&lt;2.33×10</w:t>
      </w:r>
      <w:r w:rsidRPr="00B61FB3">
        <w:rPr>
          <w:szCs w:val="22"/>
          <w:vertAlign w:val="superscript"/>
        </w:rPr>
        <w:t>-7</w:t>
      </w:r>
      <w:r w:rsidRPr="00B61FB3">
        <w:rPr>
          <w:szCs w:val="22"/>
        </w:rPr>
        <w:t xml:space="preserve"> for 214,352 tests at α=0.</w:t>
      </w:r>
      <w:proofErr w:type="gramStart"/>
      <w:r w:rsidRPr="00B61FB3">
        <w:rPr>
          <w:szCs w:val="22"/>
        </w:rPr>
        <w:t>05.</w:t>
      </w:r>
      <w:r w:rsidR="006A4419">
        <w:rPr>
          <w:szCs w:val="22"/>
        </w:rPr>
        <w:t>[</w:t>
      </w:r>
      <w:proofErr w:type="gramEnd"/>
      <w:r w:rsidR="006A4419">
        <w:rPr>
          <w:szCs w:val="22"/>
        </w:rPr>
        <w:t>21]</w:t>
      </w:r>
      <w:r w:rsidRPr="00B61FB3">
        <w:rPr>
          <w:szCs w:val="22"/>
        </w:rPr>
        <w:t xml:space="preserve"> </w:t>
      </w:r>
    </w:p>
    <w:p w14:paraId="4AA5C186" w14:textId="2AB78C9E" w:rsidR="00A6152F" w:rsidRPr="00B61FB3" w:rsidRDefault="00A6152F" w:rsidP="00A6152F">
      <w:pPr>
        <w:spacing w:before="240" w:after="0" w:line="480" w:lineRule="auto"/>
        <w:jc w:val="both"/>
        <w:rPr>
          <w:szCs w:val="22"/>
        </w:rPr>
      </w:pPr>
      <w:r w:rsidRPr="00B61FB3">
        <w:rPr>
          <w:szCs w:val="22"/>
        </w:rPr>
        <w:t xml:space="preserve">Following minor correction of bias and inflation (estimated bias=0.00097, inflation=1), no DMP survived multiple testing correction (Figure </w:t>
      </w:r>
      <w:r w:rsidR="003B77EC" w:rsidRPr="00B61FB3">
        <w:rPr>
          <w:szCs w:val="22"/>
        </w:rPr>
        <w:t>S</w:t>
      </w:r>
      <w:r w:rsidR="00DB7E85" w:rsidRPr="00B61FB3">
        <w:rPr>
          <w:szCs w:val="22"/>
        </w:rPr>
        <w:t>1</w:t>
      </w:r>
      <w:r w:rsidR="00097FB8" w:rsidRPr="00B61FB3">
        <w:rPr>
          <w:szCs w:val="22"/>
        </w:rPr>
        <w:t>0</w:t>
      </w:r>
      <w:r w:rsidRPr="00B61FB3">
        <w:rPr>
          <w:szCs w:val="22"/>
        </w:rPr>
        <w:t xml:space="preserve">). However, the top DMP from the primary PRS-EWAS (cg00933603; </w:t>
      </w:r>
      <w:r w:rsidRPr="00B61FB3">
        <w:rPr>
          <w:i/>
          <w:iCs/>
          <w:szCs w:val="22"/>
        </w:rPr>
        <w:t>p</w:t>
      </w:r>
      <w:r w:rsidRPr="00B61FB3">
        <w:rPr>
          <w:szCs w:val="22"/>
        </w:rPr>
        <w:t>=3.54×10</w:t>
      </w:r>
      <w:r w:rsidRPr="00B61FB3">
        <w:rPr>
          <w:szCs w:val="22"/>
          <w:vertAlign w:val="superscript"/>
        </w:rPr>
        <w:t>-7</w:t>
      </w:r>
      <w:r w:rsidRPr="00B61FB3">
        <w:rPr>
          <w:szCs w:val="22"/>
        </w:rPr>
        <w:t>) was the third top DMP (</w:t>
      </w:r>
      <w:r w:rsidRPr="00B61FB3">
        <w:rPr>
          <w:i/>
          <w:iCs/>
          <w:szCs w:val="22"/>
        </w:rPr>
        <w:t>p</w:t>
      </w:r>
      <w:r w:rsidRPr="00B61FB3">
        <w:rPr>
          <w:szCs w:val="22"/>
        </w:rPr>
        <w:t>=4.38×10</w:t>
      </w:r>
      <w:r w:rsidRPr="00B61FB3">
        <w:rPr>
          <w:szCs w:val="22"/>
          <w:vertAlign w:val="superscript"/>
        </w:rPr>
        <w:t>-6</w:t>
      </w:r>
      <w:r w:rsidRPr="00B61FB3">
        <w:rPr>
          <w:szCs w:val="22"/>
        </w:rPr>
        <w:t xml:space="preserve">) in this secondary EWAS (Table </w:t>
      </w:r>
      <w:r w:rsidR="00457A7E" w:rsidRPr="00B61FB3">
        <w:rPr>
          <w:szCs w:val="22"/>
        </w:rPr>
        <w:t>S5</w:t>
      </w:r>
      <w:r w:rsidRPr="00B61FB3">
        <w:rPr>
          <w:szCs w:val="22"/>
        </w:rPr>
        <w:t xml:space="preserve">). </w:t>
      </w:r>
    </w:p>
    <w:p w14:paraId="53FE0F1D" w14:textId="549B92E8" w:rsidR="00A6152F" w:rsidRPr="00B61FB3" w:rsidRDefault="00A6152F" w:rsidP="00A6152F">
      <w:pPr>
        <w:spacing w:before="240" w:after="0" w:line="480" w:lineRule="auto"/>
        <w:jc w:val="both"/>
        <w:rPr>
          <w:szCs w:val="22"/>
        </w:rPr>
      </w:pPr>
      <w:r w:rsidRPr="00B61FB3">
        <w:rPr>
          <w:szCs w:val="22"/>
        </w:rPr>
        <w:t xml:space="preserve">Pathway analysis was performed employing a gene list of equivalent size </w:t>
      </w:r>
      <w:r w:rsidR="00263EA1" w:rsidRPr="00B61FB3">
        <w:rPr>
          <w:szCs w:val="22"/>
        </w:rPr>
        <w:t xml:space="preserve">to </w:t>
      </w:r>
      <w:r w:rsidRPr="00B61FB3">
        <w:rPr>
          <w:szCs w:val="22"/>
        </w:rPr>
        <w:t>the primary EWAS (</w:t>
      </w:r>
      <w:r w:rsidRPr="00B61FB3">
        <w:rPr>
          <w:i/>
          <w:iCs/>
          <w:szCs w:val="22"/>
        </w:rPr>
        <w:t>n</w:t>
      </w:r>
      <w:r w:rsidRPr="00B61FB3">
        <w:rPr>
          <w:szCs w:val="22"/>
        </w:rPr>
        <w:t xml:space="preserve">=1,126) in order to </w:t>
      </w:r>
      <w:r w:rsidRPr="00B61FB3">
        <w:rPr>
          <w:rFonts w:cs="Arial"/>
          <w:szCs w:val="22"/>
          <w:lang w:bidi="fa-IR"/>
        </w:rPr>
        <w:t xml:space="preserve">infer the effect of probe pre-selection on functional enrichments (Tables </w:t>
      </w:r>
      <w:r w:rsidR="00B04258" w:rsidRPr="00B61FB3">
        <w:rPr>
          <w:rFonts w:cs="Arial"/>
          <w:szCs w:val="22"/>
          <w:lang w:bidi="fa-IR"/>
        </w:rPr>
        <w:t>1</w:t>
      </w:r>
      <w:r w:rsidRPr="00B61FB3">
        <w:rPr>
          <w:rFonts w:cs="Arial"/>
          <w:szCs w:val="22"/>
          <w:lang w:bidi="fa-IR"/>
        </w:rPr>
        <w:t>-</w:t>
      </w:r>
      <w:r w:rsidR="00B04258" w:rsidRPr="00B61FB3">
        <w:rPr>
          <w:rFonts w:cs="Arial"/>
          <w:szCs w:val="22"/>
          <w:lang w:bidi="fa-IR"/>
        </w:rPr>
        <w:t>2</w:t>
      </w:r>
      <w:r w:rsidRPr="00B61FB3">
        <w:rPr>
          <w:rFonts w:cs="Arial"/>
          <w:szCs w:val="22"/>
          <w:lang w:bidi="fa-IR"/>
        </w:rPr>
        <w:t>, Tables S</w:t>
      </w:r>
      <w:r w:rsidR="00B04258" w:rsidRPr="00B61FB3">
        <w:rPr>
          <w:rFonts w:cs="Arial"/>
          <w:szCs w:val="22"/>
          <w:lang w:bidi="fa-IR"/>
        </w:rPr>
        <w:t>6</w:t>
      </w:r>
      <w:r w:rsidRPr="00B61FB3">
        <w:rPr>
          <w:rFonts w:cs="Arial"/>
          <w:szCs w:val="22"/>
          <w:lang w:bidi="fa-IR"/>
        </w:rPr>
        <w:t>-</w:t>
      </w:r>
      <w:r w:rsidR="00B04258" w:rsidRPr="00B61FB3">
        <w:rPr>
          <w:rFonts w:cs="Arial"/>
          <w:szCs w:val="22"/>
          <w:lang w:bidi="fa-IR"/>
        </w:rPr>
        <w:t>7</w:t>
      </w:r>
      <w:r w:rsidRPr="00B61FB3">
        <w:rPr>
          <w:rFonts w:cs="Arial"/>
          <w:szCs w:val="22"/>
          <w:lang w:bidi="fa-IR"/>
        </w:rPr>
        <w:t>)</w:t>
      </w:r>
      <w:r w:rsidRPr="00B61FB3">
        <w:rPr>
          <w:szCs w:val="22"/>
        </w:rPr>
        <w:t xml:space="preserve">. To create an equivalent-sized gene list, DMPs with </w:t>
      </w:r>
      <w:r w:rsidRPr="00B61FB3">
        <w:rPr>
          <w:i/>
          <w:iCs/>
          <w:szCs w:val="22"/>
        </w:rPr>
        <w:t>p</w:t>
      </w:r>
      <w:r w:rsidRPr="00B61FB3">
        <w:rPr>
          <w:szCs w:val="22"/>
        </w:rPr>
        <w:t>&lt;0.0064 were physically and functionally mapped to 1,1</w:t>
      </w:r>
      <w:r w:rsidR="008547D2" w:rsidRPr="00B61FB3">
        <w:rPr>
          <w:szCs w:val="22"/>
        </w:rPr>
        <w:t>57</w:t>
      </w:r>
      <w:r w:rsidRPr="00B61FB3">
        <w:rPr>
          <w:szCs w:val="22"/>
        </w:rPr>
        <w:t xml:space="preserve"> genes. Pathway analysis in FUMA showed that brain tissues continue to exhibit the strongest enrichment. However, in contrast to the primary EWAS enrichment which showed primarily up-regulation of brain expression, we observed significant enrichment in both up- and down-regulated genes in brain (Figure </w:t>
      </w:r>
      <w:r w:rsidR="003B77EC" w:rsidRPr="00B61FB3">
        <w:rPr>
          <w:szCs w:val="22"/>
        </w:rPr>
        <w:t>S</w:t>
      </w:r>
      <w:r w:rsidR="00DB7E85" w:rsidRPr="00B61FB3">
        <w:rPr>
          <w:szCs w:val="22"/>
        </w:rPr>
        <w:t>1</w:t>
      </w:r>
      <w:r w:rsidR="00097FB8" w:rsidRPr="00B61FB3">
        <w:rPr>
          <w:szCs w:val="22"/>
        </w:rPr>
        <w:t>1</w:t>
      </w:r>
      <w:r w:rsidRPr="00B61FB3">
        <w:rPr>
          <w:szCs w:val="22"/>
        </w:rPr>
        <w:t>). The top brain regions included the cortex, anterior cingulate cortex and amygdala (</w:t>
      </w:r>
      <w:r w:rsidRPr="00B61FB3">
        <w:rPr>
          <w:i/>
          <w:iCs/>
          <w:szCs w:val="22"/>
        </w:rPr>
        <w:t>p</w:t>
      </w:r>
      <w:r w:rsidRPr="00B61FB3">
        <w:rPr>
          <w:szCs w:val="22"/>
        </w:rPr>
        <w:t>=1.58×10</w:t>
      </w:r>
      <w:r w:rsidRPr="00B61FB3">
        <w:rPr>
          <w:szCs w:val="22"/>
          <w:vertAlign w:val="superscript"/>
        </w:rPr>
        <w:t>-14</w:t>
      </w:r>
      <w:r w:rsidRPr="00B61FB3">
        <w:rPr>
          <w:szCs w:val="22"/>
        </w:rPr>
        <w:t xml:space="preserve">, </w:t>
      </w:r>
      <w:r w:rsidRPr="00B61FB3">
        <w:rPr>
          <w:i/>
          <w:iCs/>
          <w:szCs w:val="22"/>
        </w:rPr>
        <w:t>p</w:t>
      </w:r>
      <w:r w:rsidRPr="00B61FB3">
        <w:rPr>
          <w:szCs w:val="22"/>
        </w:rPr>
        <w:t>=1.35×10</w:t>
      </w:r>
      <w:r w:rsidRPr="00B61FB3">
        <w:rPr>
          <w:szCs w:val="22"/>
          <w:vertAlign w:val="superscript"/>
        </w:rPr>
        <w:t>-11</w:t>
      </w:r>
      <w:r w:rsidRPr="00B61FB3">
        <w:rPr>
          <w:szCs w:val="22"/>
        </w:rPr>
        <w:t xml:space="preserve"> and </w:t>
      </w:r>
      <w:r w:rsidRPr="00B61FB3">
        <w:rPr>
          <w:i/>
          <w:iCs/>
          <w:szCs w:val="22"/>
        </w:rPr>
        <w:t>p</w:t>
      </w:r>
      <w:r w:rsidRPr="00B61FB3">
        <w:rPr>
          <w:szCs w:val="22"/>
        </w:rPr>
        <w:t>=2.39×10</w:t>
      </w:r>
      <w:r w:rsidRPr="00B61FB3">
        <w:rPr>
          <w:szCs w:val="22"/>
          <w:vertAlign w:val="superscript"/>
        </w:rPr>
        <w:t>-</w:t>
      </w:r>
      <w:proofErr w:type="gramStart"/>
      <w:r w:rsidRPr="00B61FB3">
        <w:rPr>
          <w:szCs w:val="22"/>
          <w:vertAlign w:val="superscript"/>
        </w:rPr>
        <w:t>11</w:t>
      </w:r>
      <w:r w:rsidRPr="00B61FB3">
        <w:rPr>
          <w:szCs w:val="22"/>
        </w:rPr>
        <w:t>,respectively</w:t>
      </w:r>
      <w:proofErr w:type="gramEnd"/>
      <w:r w:rsidRPr="00B61FB3">
        <w:rPr>
          <w:szCs w:val="22"/>
        </w:rPr>
        <w:t xml:space="preserve">)(Figure </w:t>
      </w:r>
      <w:r w:rsidR="003B77EC" w:rsidRPr="00B61FB3">
        <w:rPr>
          <w:szCs w:val="22"/>
        </w:rPr>
        <w:t>S</w:t>
      </w:r>
      <w:r w:rsidR="00DB7E85" w:rsidRPr="00B61FB3">
        <w:rPr>
          <w:szCs w:val="22"/>
        </w:rPr>
        <w:t>1</w:t>
      </w:r>
      <w:r w:rsidR="00097FB8" w:rsidRPr="00B61FB3">
        <w:rPr>
          <w:szCs w:val="22"/>
        </w:rPr>
        <w:t>1</w:t>
      </w:r>
      <w:r w:rsidRPr="00B61FB3">
        <w:rPr>
          <w:szCs w:val="22"/>
        </w:rPr>
        <w:t>).</w:t>
      </w:r>
    </w:p>
    <w:p w14:paraId="4A7A6DEC" w14:textId="77777777" w:rsidR="00A6152F" w:rsidRPr="00B61FB3" w:rsidRDefault="00A6152F" w:rsidP="00D80CD5">
      <w:pPr>
        <w:spacing w:after="0" w:line="480" w:lineRule="auto"/>
        <w:jc w:val="both"/>
        <w:rPr>
          <w:b/>
          <w:bCs/>
          <w:szCs w:val="22"/>
        </w:rPr>
      </w:pPr>
    </w:p>
    <w:p w14:paraId="5B97ADCF" w14:textId="6790B220" w:rsidR="00F90F6F" w:rsidRDefault="00F90F6F" w:rsidP="00D80CD5">
      <w:pPr>
        <w:spacing w:after="0" w:line="480" w:lineRule="auto"/>
        <w:jc w:val="both"/>
        <w:rPr>
          <w:b/>
          <w:bCs/>
          <w:szCs w:val="22"/>
        </w:rPr>
      </w:pPr>
    </w:p>
    <w:p w14:paraId="350E5F80" w14:textId="77777777" w:rsidR="00432CF8" w:rsidRPr="00B61FB3" w:rsidRDefault="00432CF8" w:rsidP="00D80CD5">
      <w:pPr>
        <w:spacing w:after="0" w:line="480" w:lineRule="auto"/>
        <w:jc w:val="both"/>
        <w:rPr>
          <w:b/>
          <w:bCs/>
          <w:szCs w:val="22"/>
        </w:rPr>
      </w:pPr>
    </w:p>
    <w:p w14:paraId="7666781A" w14:textId="2D21DD7A" w:rsidR="00F90F6F" w:rsidRPr="00B61FB3" w:rsidRDefault="00F90F6F" w:rsidP="006F6881">
      <w:pPr>
        <w:spacing w:before="240" w:after="0" w:line="480" w:lineRule="auto"/>
        <w:jc w:val="both"/>
        <w:rPr>
          <w:b/>
          <w:bCs/>
          <w:szCs w:val="22"/>
        </w:rPr>
      </w:pPr>
      <w:r w:rsidRPr="00B61FB3">
        <w:rPr>
          <w:b/>
          <w:bCs/>
          <w:szCs w:val="22"/>
        </w:rPr>
        <w:t>Sensitivity analysis of psychiatric medication use on PMPS</w:t>
      </w:r>
    </w:p>
    <w:p w14:paraId="5108E77D" w14:textId="0A97E3BF" w:rsidR="00F90F6F" w:rsidRPr="00B61FB3" w:rsidRDefault="0067558A" w:rsidP="006F6881">
      <w:pPr>
        <w:spacing w:before="240" w:after="0" w:line="480" w:lineRule="auto"/>
        <w:jc w:val="both"/>
        <w:rPr>
          <w:b/>
          <w:bCs/>
          <w:szCs w:val="22"/>
        </w:rPr>
      </w:pPr>
      <w:r w:rsidRPr="00B61FB3">
        <w:rPr>
          <w:szCs w:val="22"/>
        </w:rPr>
        <w:t xml:space="preserve">As control and HR participants were largely not exposed to treatment with psychiatric medications, analysis of the impact of medication effects was only informative within Validation Set 2. </w:t>
      </w:r>
      <w:r w:rsidR="00F90F6F" w:rsidRPr="00B61FB3">
        <w:rPr>
          <w:szCs w:val="22"/>
        </w:rPr>
        <w:t>Post-hoc analysis of psychiatric medication use on PMPS was conducted within the BD-syndromic group, of whom 65% (</w:t>
      </w:r>
      <w:r w:rsidR="00D276F9" w:rsidRPr="00B61FB3">
        <w:rPr>
          <w:rFonts w:cstheme="minorHAnsi"/>
          <w:i/>
          <w:szCs w:val="22"/>
        </w:rPr>
        <w:t>n</w:t>
      </w:r>
      <w:r w:rsidR="00D276F9" w:rsidRPr="00B61FB3">
        <w:rPr>
          <w:szCs w:val="22"/>
        </w:rPr>
        <w:t>=</w:t>
      </w:r>
      <w:r w:rsidR="00F90F6F" w:rsidRPr="00B61FB3">
        <w:rPr>
          <w:szCs w:val="22"/>
        </w:rPr>
        <w:t>29) had received any psychiatric medication (</w:t>
      </w:r>
      <w:r w:rsidR="00D276F9" w:rsidRPr="00B61FB3">
        <w:rPr>
          <w:rFonts w:cstheme="minorHAnsi"/>
          <w:i/>
          <w:szCs w:val="22"/>
        </w:rPr>
        <w:t>n</w:t>
      </w:r>
      <w:r w:rsidR="00D276F9" w:rsidRPr="00B61FB3">
        <w:rPr>
          <w:szCs w:val="22"/>
        </w:rPr>
        <w:t>=</w:t>
      </w:r>
      <w:r w:rsidR="00E60F02" w:rsidRPr="00B61FB3">
        <w:rPr>
          <w:szCs w:val="22"/>
        </w:rPr>
        <w:t xml:space="preserve">18 </w:t>
      </w:r>
      <w:r w:rsidR="00F90F6F" w:rsidRPr="00B61FB3">
        <w:rPr>
          <w:szCs w:val="22"/>
        </w:rPr>
        <w:t xml:space="preserve">BD cases, </w:t>
      </w:r>
      <w:r w:rsidR="00D276F9" w:rsidRPr="00B61FB3">
        <w:rPr>
          <w:rFonts w:cstheme="minorHAnsi"/>
          <w:i/>
          <w:szCs w:val="22"/>
        </w:rPr>
        <w:t>n</w:t>
      </w:r>
      <w:r w:rsidR="00D276F9" w:rsidRPr="00B61FB3">
        <w:rPr>
          <w:szCs w:val="22"/>
        </w:rPr>
        <w:t>=</w:t>
      </w:r>
      <w:r w:rsidR="00E60F02" w:rsidRPr="00B61FB3">
        <w:rPr>
          <w:szCs w:val="22"/>
        </w:rPr>
        <w:t>11</w:t>
      </w:r>
      <w:r w:rsidR="00F90F6F" w:rsidRPr="00B61FB3">
        <w:rPr>
          <w:szCs w:val="22"/>
        </w:rPr>
        <w:t xml:space="preserve"> HR</w:t>
      </w:r>
      <w:r w:rsidRPr="00B61FB3">
        <w:rPr>
          <w:szCs w:val="22"/>
        </w:rPr>
        <w:t>; Table S8</w:t>
      </w:r>
      <w:r w:rsidR="00E60F02" w:rsidRPr="00B61FB3">
        <w:rPr>
          <w:szCs w:val="22"/>
        </w:rPr>
        <w:t>)</w:t>
      </w:r>
      <w:r w:rsidR="00F90F6F" w:rsidRPr="00B61FB3">
        <w:rPr>
          <w:szCs w:val="22"/>
        </w:rPr>
        <w:t xml:space="preserve">. The basic model </w:t>
      </w:r>
      <w:r w:rsidR="00E60F02" w:rsidRPr="00B61FB3">
        <w:rPr>
          <w:szCs w:val="22"/>
        </w:rPr>
        <w:t xml:space="preserve">employed PMPS as the outcome variable, and </w:t>
      </w:r>
      <w:r w:rsidR="00F90F6F" w:rsidRPr="00B61FB3">
        <w:rPr>
          <w:szCs w:val="22"/>
        </w:rPr>
        <w:t>included sex, tissue, age, six cell counts</w:t>
      </w:r>
      <w:r w:rsidR="00E60F02" w:rsidRPr="00B61FB3">
        <w:rPr>
          <w:szCs w:val="22"/>
        </w:rPr>
        <w:t xml:space="preserve"> as covariates (± BD-PRS, ± medication).</w:t>
      </w:r>
      <w:r w:rsidR="00F90F6F" w:rsidRPr="00B61FB3">
        <w:rPr>
          <w:szCs w:val="22"/>
        </w:rPr>
        <w:t xml:space="preserve"> </w:t>
      </w:r>
      <w:r w:rsidR="00E60F02" w:rsidRPr="00B61FB3">
        <w:rPr>
          <w:szCs w:val="22"/>
        </w:rPr>
        <w:t xml:space="preserve">There was no evidence of association between PMPS and </w:t>
      </w:r>
      <w:r w:rsidRPr="00B61FB3">
        <w:rPr>
          <w:szCs w:val="22"/>
        </w:rPr>
        <w:t xml:space="preserve">any </w:t>
      </w:r>
      <w:r w:rsidR="00E60F02" w:rsidRPr="00B61FB3">
        <w:rPr>
          <w:szCs w:val="22"/>
        </w:rPr>
        <w:t>medication use in a model without BD-PRS (</w:t>
      </w:r>
      <w:r w:rsidR="00E60F02" w:rsidRPr="00B61FB3">
        <w:rPr>
          <w:i/>
          <w:iCs/>
          <w:szCs w:val="22"/>
        </w:rPr>
        <w:t>F=</w:t>
      </w:r>
      <w:r w:rsidR="00E60F02" w:rsidRPr="00B61FB3">
        <w:rPr>
          <w:iCs/>
          <w:szCs w:val="22"/>
        </w:rPr>
        <w:t>1.001</w:t>
      </w:r>
      <w:r w:rsidR="00E60F02" w:rsidRPr="00B61FB3">
        <w:rPr>
          <w:i/>
          <w:iCs/>
          <w:szCs w:val="22"/>
        </w:rPr>
        <w:t>, p=</w:t>
      </w:r>
      <w:r w:rsidR="00E60F02" w:rsidRPr="00B61FB3">
        <w:rPr>
          <w:iCs/>
          <w:szCs w:val="22"/>
        </w:rPr>
        <w:t>0.325</w:t>
      </w:r>
      <w:r w:rsidR="00E60F02" w:rsidRPr="00B61FB3">
        <w:rPr>
          <w:i/>
          <w:iCs/>
          <w:szCs w:val="22"/>
        </w:rPr>
        <w:t>, η</w:t>
      </w:r>
      <w:r w:rsidR="00E60F02" w:rsidRPr="00B61FB3">
        <w:rPr>
          <w:i/>
          <w:iCs/>
          <w:szCs w:val="22"/>
          <w:vertAlign w:val="superscript"/>
        </w:rPr>
        <w:t>2</w:t>
      </w:r>
      <w:r w:rsidR="00E60F02" w:rsidRPr="00B61FB3">
        <w:rPr>
          <w:i/>
          <w:iCs/>
          <w:szCs w:val="22"/>
        </w:rPr>
        <w:t>p=</w:t>
      </w:r>
      <w:r w:rsidR="00E60F02" w:rsidRPr="00B61FB3">
        <w:rPr>
          <w:iCs/>
          <w:szCs w:val="22"/>
        </w:rPr>
        <w:t xml:space="preserve">0.030). </w:t>
      </w:r>
      <w:r w:rsidR="000052AA" w:rsidRPr="00B61FB3">
        <w:rPr>
          <w:szCs w:val="22"/>
        </w:rPr>
        <w:t>The model that included</w:t>
      </w:r>
      <w:r w:rsidR="00F90F6F" w:rsidRPr="00B61FB3">
        <w:rPr>
          <w:szCs w:val="22"/>
        </w:rPr>
        <w:t xml:space="preserve"> BD-PRS </w:t>
      </w:r>
      <w:r w:rsidR="000052AA" w:rsidRPr="00B61FB3">
        <w:rPr>
          <w:szCs w:val="22"/>
        </w:rPr>
        <w:t xml:space="preserve">(without medication) </w:t>
      </w:r>
      <w:r w:rsidR="00F90F6F" w:rsidRPr="00B61FB3">
        <w:rPr>
          <w:szCs w:val="22"/>
        </w:rPr>
        <w:t>showed a trend for BD-PRS on PMPS (</w:t>
      </w:r>
      <w:r w:rsidR="00F90F6F" w:rsidRPr="00B61FB3">
        <w:rPr>
          <w:i/>
          <w:iCs/>
          <w:szCs w:val="22"/>
        </w:rPr>
        <w:t>F=</w:t>
      </w:r>
      <w:r w:rsidR="00F90F6F" w:rsidRPr="00B61FB3">
        <w:rPr>
          <w:iCs/>
          <w:szCs w:val="22"/>
        </w:rPr>
        <w:t>3.728</w:t>
      </w:r>
      <w:r w:rsidR="00F90F6F" w:rsidRPr="00B61FB3">
        <w:rPr>
          <w:i/>
          <w:iCs/>
          <w:szCs w:val="22"/>
        </w:rPr>
        <w:t>, p=</w:t>
      </w:r>
      <w:r w:rsidR="00F90F6F" w:rsidRPr="00B61FB3">
        <w:rPr>
          <w:iCs/>
          <w:szCs w:val="22"/>
        </w:rPr>
        <w:t>0.062</w:t>
      </w:r>
      <w:r w:rsidR="00F90F6F" w:rsidRPr="00B61FB3">
        <w:rPr>
          <w:i/>
          <w:iCs/>
          <w:szCs w:val="22"/>
        </w:rPr>
        <w:t>, η</w:t>
      </w:r>
      <w:r w:rsidR="00F90F6F" w:rsidRPr="00B61FB3">
        <w:rPr>
          <w:i/>
          <w:iCs/>
          <w:szCs w:val="22"/>
          <w:vertAlign w:val="superscript"/>
        </w:rPr>
        <w:t>2</w:t>
      </w:r>
      <w:r w:rsidR="00F90F6F" w:rsidRPr="00B61FB3">
        <w:rPr>
          <w:i/>
          <w:iCs/>
          <w:szCs w:val="22"/>
        </w:rPr>
        <w:t>p=</w:t>
      </w:r>
      <w:r w:rsidR="00F90F6F" w:rsidRPr="00B61FB3">
        <w:rPr>
          <w:iCs/>
          <w:szCs w:val="22"/>
        </w:rPr>
        <w:t xml:space="preserve">0.104). The model that included both BD-PRS and medication revealed no </w:t>
      </w:r>
      <w:r w:rsidR="000052AA" w:rsidRPr="00B61FB3">
        <w:rPr>
          <w:iCs/>
          <w:szCs w:val="22"/>
        </w:rPr>
        <w:t xml:space="preserve">evidence of medication </w:t>
      </w:r>
      <w:r w:rsidR="00F90F6F" w:rsidRPr="00B61FB3">
        <w:rPr>
          <w:iCs/>
          <w:szCs w:val="22"/>
        </w:rPr>
        <w:t xml:space="preserve">effect on PMPS </w:t>
      </w:r>
      <w:r w:rsidR="00F90F6F" w:rsidRPr="00B61FB3">
        <w:rPr>
          <w:szCs w:val="22"/>
        </w:rPr>
        <w:t>(</w:t>
      </w:r>
      <w:r w:rsidR="00F90F6F" w:rsidRPr="00B61FB3">
        <w:rPr>
          <w:i/>
          <w:iCs/>
          <w:szCs w:val="22"/>
        </w:rPr>
        <w:t>F=</w:t>
      </w:r>
      <w:r w:rsidR="00F90F6F" w:rsidRPr="00B61FB3">
        <w:rPr>
          <w:iCs/>
          <w:szCs w:val="22"/>
        </w:rPr>
        <w:t>0.186</w:t>
      </w:r>
      <w:r w:rsidR="00F90F6F" w:rsidRPr="00B61FB3">
        <w:rPr>
          <w:i/>
          <w:iCs/>
          <w:szCs w:val="22"/>
        </w:rPr>
        <w:t>, p=</w:t>
      </w:r>
      <w:r w:rsidR="00F90F6F" w:rsidRPr="00B61FB3">
        <w:rPr>
          <w:iCs/>
          <w:szCs w:val="22"/>
        </w:rPr>
        <w:t>0.669</w:t>
      </w:r>
      <w:r w:rsidR="00F90F6F" w:rsidRPr="00B61FB3">
        <w:rPr>
          <w:i/>
          <w:iCs/>
          <w:szCs w:val="22"/>
        </w:rPr>
        <w:t>, η</w:t>
      </w:r>
      <w:r w:rsidR="00F90F6F" w:rsidRPr="00B61FB3">
        <w:rPr>
          <w:i/>
          <w:iCs/>
          <w:szCs w:val="22"/>
          <w:vertAlign w:val="superscript"/>
        </w:rPr>
        <w:t>2</w:t>
      </w:r>
      <w:r w:rsidR="00F90F6F" w:rsidRPr="00B61FB3">
        <w:rPr>
          <w:i/>
          <w:iCs/>
          <w:szCs w:val="22"/>
        </w:rPr>
        <w:t>p=</w:t>
      </w:r>
      <w:r w:rsidR="00F90F6F" w:rsidRPr="00B61FB3">
        <w:rPr>
          <w:iCs/>
          <w:szCs w:val="22"/>
        </w:rPr>
        <w:t>0.006)</w:t>
      </w:r>
      <w:r w:rsidR="00F90F6F" w:rsidRPr="00B61FB3">
        <w:rPr>
          <w:szCs w:val="22"/>
        </w:rPr>
        <w:t xml:space="preserve"> but a small </w:t>
      </w:r>
      <w:r w:rsidR="00F90F6F" w:rsidRPr="00B61FB3">
        <w:rPr>
          <w:iCs/>
          <w:szCs w:val="22"/>
        </w:rPr>
        <w:t xml:space="preserve">attenuation of BD-PRS </w:t>
      </w:r>
      <w:r w:rsidR="000052AA" w:rsidRPr="00B61FB3">
        <w:rPr>
          <w:iCs/>
          <w:szCs w:val="22"/>
        </w:rPr>
        <w:t xml:space="preserve">effect </w:t>
      </w:r>
      <w:r w:rsidR="00F90F6F" w:rsidRPr="00B61FB3">
        <w:rPr>
          <w:iCs/>
          <w:szCs w:val="22"/>
        </w:rPr>
        <w:t xml:space="preserve">on PMPS </w:t>
      </w:r>
      <w:r w:rsidR="00F90F6F" w:rsidRPr="00B61FB3">
        <w:rPr>
          <w:szCs w:val="22"/>
        </w:rPr>
        <w:t>(</w:t>
      </w:r>
      <w:r w:rsidR="00F90F6F" w:rsidRPr="00B61FB3">
        <w:rPr>
          <w:i/>
          <w:iCs/>
          <w:szCs w:val="22"/>
        </w:rPr>
        <w:t>F=</w:t>
      </w:r>
      <w:r w:rsidR="00F90F6F" w:rsidRPr="00B61FB3">
        <w:rPr>
          <w:iCs/>
          <w:szCs w:val="22"/>
        </w:rPr>
        <w:t>2.763</w:t>
      </w:r>
      <w:r w:rsidR="00F90F6F" w:rsidRPr="00B61FB3">
        <w:rPr>
          <w:i/>
          <w:iCs/>
          <w:szCs w:val="22"/>
        </w:rPr>
        <w:t>, p=</w:t>
      </w:r>
      <w:r w:rsidR="00F90F6F" w:rsidRPr="00B61FB3">
        <w:rPr>
          <w:iCs/>
          <w:szCs w:val="22"/>
        </w:rPr>
        <w:t>0.107</w:t>
      </w:r>
      <w:r w:rsidR="00F90F6F" w:rsidRPr="00B61FB3">
        <w:rPr>
          <w:i/>
          <w:iCs/>
          <w:szCs w:val="22"/>
        </w:rPr>
        <w:t>, η</w:t>
      </w:r>
      <w:r w:rsidR="00F90F6F" w:rsidRPr="00B61FB3">
        <w:rPr>
          <w:i/>
          <w:iCs/>
          <w:szCs w:val="22"/>
          <w:vertAlign w:val="superscript"/>
        </w:rPr>
        <w:t>2</w:t>
      </w:r>
      <w:r w:rsidR="00F90F6F" w:rsidRPr="00B61FB3">
        <w:rPr>
          <w:i/>
          <w:iCs/>
          <w:szCs w:val="22"/>
        </w:rPr>
        <w:t>p=</w:t>
      </w:r>
      <w:r w:rsidR="00F90F6F" w:rsidRPr="00B61FB3">
        <w:rPr>
          <w:iCs/>
          <w:szCs w:val="22"/>
        </w:rPr>
        <w:t>0.082)</w:t>
      </w:r>
      <w:r w:rsidR="00F90F6F" w:rsidRPr="00B61FB3">
        <w:rPr>
          <w:szCs w:val="22"/>
        </w:rPr>
        <w:t xml:space="preserve">.  </w:t>
      </w:r>
    </w:p>
    <w:p w14:paraId="3453D4DF" w14:textId="77777777" w:rsidR="00F90F6F" w:rsidRPr="00B61FB3" w:rsidRDefault="00F90F6F" w:rsidP="00145C62">
      <w:pPr>
        <w:spacing w:after="0" w:line="480" w:lineRule="auto"/>
        <w:jc w:val="both"/>
        <w:rPr>
          <w:b/>
          <w:bCs/>
          <w:szCs w:val="22"/>
        </w:rPr>
      </w:pPr>
    </w:p>
    <w:p w14:paraId="3E22844C" w14:textId="78CBAF9B" w:rsidR="00F11E8F" w:rsidRPr="00B61FB3" w:rsidRDefault="001C7DEA" w:rsidP="006F6881">
      <w:pPr>
        <w:spacing w:before="240" w:after="0" w:line="480" w:lineRule="auto"/>
        <w:jc w:val="both"/>
        <w:rPr>
          <w:b/>
          <w:bCs/>
          <w:szCs w:val="22"/>
        </w:rPr>
      </w:pPr>
      <w:r w:rsidRPr="00B61FB3">
        <w:rPr>
          <w:b/>
          <w:bCs/>
          <w:szCs w:val="22"/>
        </w:rPr>
        <w:t>E</w:t>
      </w:r>
      <w:r w:rsidR="00F11E8F" w:rsidRPr="00B61FB3">
        <w:rPr>
          <w:b/>
          <w:bCs/>
          <w:szCs w:val="22"/>
        </w:rPr>
        <w:t xml:space="preserve">pigenetically-inferred </w:t>
      </w:r>
      <w:r w:rsidR="004A381B" w:rsidRPr="00B61FB3">
        <w:rPr>
          <w:b/>
          <w:bCs/>
          <w:szCs w:val="22"/>
        </w:rPr>
        <w:t xml:space="preserve">current </w:t>
      </w:r>
      <w:r w:rsidR="00F11E8F" w:rsidRPr="00B61FB3">
        <w:rPr>
          <w:b/>
          <w:bCs/>
          <w:szCs w:val="22"/>
        </w:rPr>
        <w:t xml:space="preserve">smoking </w:t>
      </w:r>
      <w:r w:rsidR="00705E34" w:rsidRPr="00B61FB3">
        <w:rPr>
          <w:b/>
          <w:bCs/>
          <w:szCs w:val="22"/>
        </w:rPr>
        <w:t>index</w:t>
      </w:r>
      <w:r w:rsidR="00F11E8F" w:rsidRPr="00B61FB3">
        <w:rPr>
          <w:b/>
          <w:bCs/>
          <w:szCs w:val="22"/>
        </w:rPr>
        <w:t xml:space="preserve"> </w:t>
      </w:r>
    </w:p>
    <w:p w14:paraId="20EDED60" w14:textId="68BF7C0E" w:rsidR="00705E34" w:rsidRPr="00B61FB3" w:rsidRDefault="00F11E8F" w:rsidP="0055659C">
      <w:pPr>
        <w:spacing w:before="240" w:after="0" w:line="480" w:lineRule="auto"/>
        <w:jc w:val="both"/>
        <w:rPr>
          <w:szCs w:val="22"/>
        </w:rPr>
      </w:pPr>
      <w:r w:rsidRPr="00B61FB3">
        <w:rPr>
          <w:szCs w:val="22"/>
        </w:rPr>
        <w:t>Smoking status was epigenetically-inferred using normalised β-values at cg</w:t>
      </w:r>
      <w:proofErr w:type="gramStart"/>
      <w:r w:rsidRPr="00B61FB3">
        <w:rPr>
          <w:szCs w:val="22"/>
        </w:rPr>
        <w:t>05575921</w:t>
      </w:r>
      <w:r w:rsidR="0028627E" w:rsidRPr="00B61FB3">
        <w:rPr>
          <w:szCs w:val="22"/>
        </w:rPr>
        <w:t>,</w:t>
      </w:r>
      <w:r w:rsidR="006A4419">
        <w:rPr>
          <w:szCs w:val="22"/>
        </w:rPr>
        <w:t>[</w:t>
      </w:r>
      <w:proofErr w:type="gramEnd"/>
      <w:r w:rsidR="006A4419">
        <w:rPr>
          <w:szCs w:val="22"/>
        </w:rPr>
        <w:t>22]</w:t>
      </w:r>
      <w:r w:rsidR="000129CC" w:rsidRPr="00B61FB3">
        <w:rPr>
          <w:szCs w:val="22"/>
        </w:rPr>
        <w:t xml:space="preserve"> </w:t>
      </w:r>
      <w:r w:rsidR="0028627E" w:rsidRPr="00B61FB3">
        <w:rPr>
          <w:szCs w:val="22"/>
        </w:rPr>
        <w:t xml:space="preserve">noting that </w:t>
      </w:r>
      <w:r w:rsidR="0028627E" w:rsidRPr="00B61FB3">
        <w:rPr>
          <w:i/>
          <w:szCs w:val="22"/>
        </w:rPr>
        <w:t>current</w:t>
      </w:r>
      <w:r w:rsidR="0028627E" w:rsidRPr="00B61FB3">
        <w:rPr>
          <w:szCs w:val="22"/>
        </w:rPr>
        <w:t xml:space="preserve"> smoking status was not available in sufficient </w:t>
      </w:r>
      <w:r w:rsidR="00E149A8" w:rsidRPr="00B61FB3">
        <w:rPr>
          <w:szCs w:val="22"/>
        </w:rPr>
        <w:t>numbers of study participants</w:t>
      </w:r>
      <w:r w:rsidR="0028627E" w:rsidRPr="00B61FB3">
        <w:rPr>
          <w:szCs w:val="22"/>
        </w:rPr>
        <w:t xml:space="preserve"> to </w:t>
      </w:r>
      <w:r w:rsidR="00E149A8" w:rsidRPr="00B61FB3">
        <w:rPr>
          <w:szCs w:val="22"/>
        </w:rPr>
        <w:t>enable robust estimates of</w:t>
      </w:r>
      <w:r w:rsidR="0028627E" w:rsidRPr="00B61FB3">
        <w:rPr>
          <w:szCs w:val="22"/>
        </w:rPr>
        <w:t xml:space="preserve"> predictive accuracy</w:t>
      </w:r>
      <w:r w:rsidR="00806DD2" w:rsidRPr="00B61FB3">
        <w:rPr>
          <w:szCs w:val="22"/>
        </w:rPr>
        <w:t xml:space="preserve"> </w:t>
      </w:r>
      <w:r w:rsidR="00E149A8" w:rsidRPr="00B61FB3">
        <w:rPr>
          <w:szCs w:val="22"/>
        </w:rPr>
        <w:t xml:space="preserve">in the present sample </w:t>
      </w:r>
      <w:r w:rsidR="00806DD2" w:rsidRPr="00B61FB3">
        <w:rPr>
          <w:szCs w:val="22"/>
        </w:rPr>
        <w:t>(n=36 out of 218 individuals; n=5 current users, all in Validation Set 2).</w:t>
      </w:r>
      <w:r w:rsidR="007D2953" w:rsidRPr="00B61FB3">
        <w:rPr>
          <w:szCs w:val="22"/>
        </w:rPr>
        <w:t xml:space="preserve"> </w:t>
      </w:r>
      <w:r w:rsidR="00735F35" w:rsidRPr="00B61FB3">
        <w:rPr>
          <w:szCs w:val="22"/>
        </w:rPr>
        <w:t xml:space="preserve">Using </w:t>
      </w:r>
      <w:r w:rsidR="006C6742" w:rsidRPr="00B61FB3">
        <w:rPr>
          <w:szCs w:val="22"/>
        </w:rPr>
        <w:t xml:space="preserve">published </w:t>
      </w:r>
      <w:proofErr w:type="spellStart"/>
      <w:r w:rsidR="00735F35" w:rsidRPr="00B61FB3">
        <w:rPr>
          <w:szCs w:val="22"/>
        </w:rPr>
        <w:t>cutoffs</w:t>
      </w:r>
      <w:proofErr w:type="spellEnd"/>
      <w:r w:rsidR="00735F35" w:rsidRPr="00B61FB3">
        <w:rPr>
          <w:szCs w:val="22"/>
        </w:rPr>
        <w:t xml:space="preserve"> </w:t>
      </w:r>
      <w:r w:rsidR="00806DD2" w:rsidRPr="00B61FB3">
        <w:rPr>
          <w:szCs w:val="22"/>
        </w:rPr>
        <w:t xml:space="preserve">of </w:t>
      </w:r>
      <w:r w:rsidR="00E149A8" w:rsidRPr="00B61FB3">
        <w:rPr>
          <w:szCs w:val="22"/>
        </w:rPr>
        <w:t xml:space="preserve">β&lt;0.75 </w:t>
      </w:r>
      <w:r w:rsidR="0028627E" w:rsidRPr="00B61FB3">
        <w:rPr>
          <w:szCs w:val="22"/>
        </w:rPr>
        <w:t xml:space="preserve">for </w:t>
      </w:r>
      <w:r w:rsidR="0028627E" w:rsidRPr="00B61FB3">
        <w:rPr>
          <w:i/>
          <w:szCs w:val="22"/>
        </w:rPr>
        <w:t>current</w:t>
      </w:r>
      <w:r w:rsidR="0028627E" w:rsidRPr="00B61FB3">
        <w:rPr>
          <w:szCs w:val="22"/>
        </w:rPr>
        <w:t xml:space="preserve"> probable-smokers</w:t>
      </w:r>
      <w:r w:rsidR="00DB2FE8" w:rsidRPr="00B61FB3">
        <w:rPr>
          <w:szCs w:val="22"/>
        </w:rPr>
        <w:t>, as</w:t>
      </w:r>
      <w:r w:rsidR="0028627E" w:rsidRPr="00B61FB3">
        <w:rPr>
          <w:szCs w:val="22"/>
        </w:rPr>
        <w:t xml:space="preserve"> </w:t>
      </w:r>
      <w:r w:rsidR="00735F35" w:rsidRPr="00B61FB3">
        <w:rPr>
          <w:szCs w:val="22"/>
        </w:rPr>
        <w:t xml:space="preserve">defined </w:t>
      </w:r>
      <w:r w:rsidR="0028627E" w:rsidRPr="00B61FB3">
        <w:rPr>
          <w:szCs w:val="22"/>
        </w:rPr>
        <w:t xml:space="preserve">by Dawes </w:t>
      </w:r>
      <w:r w:rsidR="0028627E" w:rsidRPr="00B61FB3">
        <w:rPr>
          <w:i/>
          <w:szCs w:val="22"/>
        </w:rPr>
        <w:t>et al</w:t>
      </w:r>
      <w:r w:rsidR="0028627E" w:rsidRPr="00B61FB3">
        <w:rPr>
          <w:szCs w:val="22"/>
        </w:rPr>
        <w:t>.,</w:t>
      </w:r>
      <w:r w:rsidR="006A4419">
        <w:rPr>
          <w:szCs w:val="22"/>
        </w:rPr>
        <w:t>[22]</w:t>
      </w:r>
      <w:r w:rsidR="0028627E" w:rsidRPr="00B61FB3">
        <w:rPr>
          <w:szCs w:val="22"/>
        </w:rPr>
        <w:t xml:space="preserve"> </w:t>
      </w:r>
      <w:r w:rsidRPr="00B61FB3">
        <w:rPr>
          <w:szCs w:val="22"/>
        </w:rPr>
        <w:t xml:space="preserve">2 probable-smokers </w:t>
      </w:r>
      <w:r w:rsidR="0028627E" w:rsidRPr="00B61FB3">
        <w:rPr>
          <w:szCs w:val="22"/>
        </w:rPr>
        <w:t xml:space="preserve">were identified </w:t>
      </w:r>
      <w:r w:rsidRPr="00B61FB3">
        <w:rPr>
          <w:szCs w:val="22"/>
        </w:rPr>
        <w:t xml:space="preserve">in the EWAS discovery sample of HR participants (2.5%; </w:t>
      </w:r>
      <w:r w:rsidR="00D276F9" w:rsidRPr="00B61FB3">
        <w:rPr>
          <w:rFonts w:cstheme="minorHAnsi"/>
          <w:i/>
          <w:szCs w:val="22"/>
        </w:rPr>
        <w:t>n</w:t>
      </w:r>
      <w:r w:rsidR="00D276F9" w:rsidRPr="00B61FB3">
        <w:rPr>
          <w:szCs w:val="22"/>
        </w:rPr>
        <w:t>=</w:t>
      </w:r>
      <w:r w:rsidRPr="00B61FB3">
        <w:rPr>
          <w:szCs w:val="22"/>
        </w:rPr>
        <w:t xml:space="preserve">1 in each of the high and low </w:t>
      </w:r>
      <w:r w:rsidR="00AB0041" w:rsidRPr="00B61FB3">
        <w:rPr>
          <w:szCs w:val="22"/>
        </w:rPr>
        <w:t>BD-</w:t>
      </w:r>
      <w:r w:rsidRPr="00B61FB3">
        <w:rPr>
          <w:szCs w:val="22"/>
        </w:rPr>
        <w:t xml:space="preserve">PRS groups respectively; and </w:t>
      </w:r>
      <w:r w:rsidRPr="00B61FB3">
        <w:rPr>
          <w:i/>
          <w:szCs w:val="22"/>
        </w:rPr>
        <w:t>n</w:t>
      </w:r>
      <w:r w:rsidRPr="00B61FB3">
        <w:rPr>
          <w:szCs w:val="22"/>
        </w:rPr>
        <w:t xml:space="preserve">=9 (9.7%) ambiguous), 0 probable-smokers in Validation Set 1 (control participants with β&lt;0.75; </w:t>
      </w:r>
      <w:r w:rsidRPr="00B61FB3">
        <w:rPr>
          <w:i/>
          <w:szCs w:val="22"/>
        </w:rPr>
        <w:t>n</w:t>
      </w:r>
      <w:r w:rsidRPr="00B61FB3">
        <w:rPr>
          <w:szCs w:val="22"/>
        </w:rPr>
        <w:t>=9 (17%) were ambiguous) and 12 probable-smokers in Validation Set 2 (</w:t>
      </w:r>
      <w:r w:rsidRPr="00B61FB3">
        <w:rPr>
          <w:i/>
          <w:szCs w:val="22"/>
        </w:rPr>
        <w:t>n</w:t>
      </w:r>
      <w:r w:rsidRPr="00B61FB3">
        <w:rPr>
          <w:szCs w:val="22"/>
        </w:rPr>
        <w:t xml:space="preserve">=4 BD, </w:t>
      </w:r>
      <w:r w:rsidRPr="00B61FB3">
        <w:rPr>
          <w:i/>
          <w:szCs w:val="22"/>
        </w:rPr>
        <w:t>n</w:t>
      </w:r>
      <w:r w:rsidRPr="00B61FB3">
        <w:rPr>
          <w:szCs w:val="22"/>
        </w:rPr>
        <w:t xml:space="preserve">=7 HR, </w:t>
      </w:r>
      <w:r w:rsidRPr="00B61FB3">
        <w:rPr>
          <w:i/>
          <w:szCs w:val="22"/>
        </w:rPr>
        <w:t>n</w:t>
      </w:r>
      <w:r w:rsidRPr="00B61FB3">
        <w:rPr>
          <w:szCs w:val="22"/>
        </w:rPr>
        <w:t xml:space="preserve">=1 CON; </w:t>
      </w:r>
      <w:r w:rsidR="00D276F9" w:rsidRPr="00B61FB3">
        <w:rPr>
          <w:rFonts w:cstheme="minorHAnsi"/>
          <w:i/>
          <w:szCs w:val="22"/>
        </w:rPr>
        <w:t>n</w:t>
      </w:r>
      <w:r w:rsidR="00D276F9" w:rsidRPr="00B61FB3">
        <w:rPr>
          <w:szCs w:val="22"/>
        </w:rPr>
        <w:t>=</w:t>
      </w:r>
      <w:r w:rsidRPr="00B61FB3">
        <w:rPr>
          <w:szCs w:val="22"/>
        </w:rPr>
        <w:t>25 were ambiguous)(Figure S</w:t>
      </w:r>
      <w:r w:rsidR="00DB7E85" w:rsidRPr="00B61FB3">
        <w:rPr>
          <w:szCs w:val="22"/>
        </w:rPr>
        <w:t>4</w:t>
      </w:r>
      <w:r w:rsidRPr="00B61FB3">
        <w:rPr>
          <w:szCs w:val="22"/>
        </w:rPr>
        <w:t xml:space="preserve">). Mean beta values for BD cases (β=0.798±0.107) were significantly higher than both control (β=0.883±0.045; </w:t>
      </w:r>
      <w:r w:rsidRPr="00B61FB3">
        <w:rPr>
          <w:i/>
          <w:szCs w:val="22"/>
        </w:rPr>
        <w:t>p</w:t>
      </w:r>
      <w:r w:rsidRPr="00B61FB3">
        <w:rPr>
          <w:szCs w:val="22"/>
        </w:rPr>
        <w:t xml:space="preserve">=0.002) and HR groups (β=0.883±0.062; </w:t>
      </w:r>
      <w:r w:rsidRPr="00B61FB3">
        <w:rPr>
          <w:i/>
          <w:szCs w:val="22"/>
        </w:rPr>
        <w:t>p</w:t>
      </w:r>
      <w:r w:rsidRPr="00B61FB3">
        <w:rPr>
          <w:szCs w:val="22"/>
        </w:rPr>
        <w:t xml:space="preserve">=0.002), but HR were no different to </w:t>
      </w:r>
      <w:r w:rsidR="007D2953" w:rsidRPr="00B61FB3">
        <w:rPr>
          <w:szCs w:val="22"/>
        </w:rPr>
        <w:t>control</w:t>
      </w:r>
      <w:r w:rsidRPr="00B61FB3">
        <w:rPr>
          <w:szCs w:val="22"/>
        </w:rPr>
        <w:t xml:space="preserve"> (</w:t>
      </w:r>
      <w:r w:rsidRPr="00B61FB3">
        <w:rPr>
          <w:i/>
          <w:szCs w:val="22"/>
        </w:rPr>
        <w:t>p</w:t>
      </w:r>
      <w:r w:rsidRPr="00B61FB3">
        <w:rPr>
          <w:szCs w:val="22"/>
        </w:rPr>
        <w:t xml:space="preserve">=0.970). </w:t>
      </w:r>
    </w:p>
    <w:p w14:paraId="5F33D3B2" w14:textId="291904E0" w:rsidR="00235552" w:rsidRPr="00B61FB3" w:rsidRDefault="00705E34" w:rsidP="0055659C">
      <w:pPr>
        <w:spacing w:before="240" w:after="0" w:line="480" w:lineRule="auto"/>
        <w:jc w:val="both"/>
        <w:rPr>
          <w:b/>
          <w:bCs/>
          <w:szCs w:val="22"/>
        </w:rPr>
      </w:pPr>
      <w:r w:rsidRPr="00B61FB3">
        <w:rPr>
          <w:szCs w:val="22"/>
        </w:rPr>
        <w:t>While the predictive validity of this smoking index was not able to be empirically determined in this young cohort (aged 12-30), i</w:t>
      </w:r>
      <w:r w:rsidR="00B848A3" w:rsidRPr="00B61FB3">
        <w:rPr>
          <w:szCs w:val="22"/>
        </w:rPr>
        <w:t>nclusion of the β</w:t>
      </w:r>
      <w:r w:rsidR="00B848A3" w:rsidRPr="00B61FB3">
        <w:rPr>
          <w:szCs w:val="22"/>
          <w:vertAlign w:val="subscript"/>
        </w:rPr>
        <w:t>cg05575921</w:t>
      </w:r>
      <w:r w:rsidR="00B848A3" w:rsidRPr="00B61FB3">
        <w:rPr>
          <w:szCs w:val="22"/>
        </w:rPr>
        <w:t xml:space="preserve"> as a covariate to account for epigenetically-inferred smoking exposure </w:t>
      </w:r>
      <w:r w:rsidR="004A381B" w:rsidRPr="00B61FB3">
        <w:rPr>
          <w:szCs w:val="22"/>
        </w:rPr>
        <w:t>on</w:t>
      </w:r>
      <w:r w:rsidR="00B848A3" w:rsidRPr="00B61FB3">
        <w:rPr>
          <w:szCs w:val="22"/>
        </w:rPr>
        <w:t xml:space="preserve"> PMPS in </w:t>
      </w:r>
      <w:r w:rsidRPr="00B61FB3">
        <w:rPr>
          <w:szCs w:val="22"/>
        </w:rPr>
        <w:t>V</w:t>
      </w:r>
      <w:r w:rsidR="00B848A3" w:rsidRPr="00B61FB3">
        <w:rPr>
          <w:szCs w:val="22"/>
        </w:rPr>
        <w:t xml:space="preserve">alidation </w:t>
      </w:r>
      <w:r w:rsidRPr="00B61FB3">
        <w:rPr>
          <w:szCs w:val="22"/>
        </w:rPr>
        <w:t>S</w:t>
      </w:r>
      <w:r w:rsidR="00B848A3" w:rsidRPr="00B61FB3">
        <w:rPr>
          <w:szCs w:val="22"/>
        </w:rPr>
        <w:t xml:space="preserve">ets 1 and 2 yielded </w:t>
      </w:r>
      <w:r w:rsidRPr="00B61FB3">
        <w:rPr>
          <w:szCs w:val="22"/>
        </w:rPr>
        <w:t xml:space="preserve">very </w:t>
      </w:r>
      <w:r w:rsidR="00B848A3" w:rsidRPr="00B61FB3">
        <w:rPr>
          <w:szCs w:val="22"/>
        </w:rPr>
        <w:t>similar results</w:t>
      </w:r>
      <w:r w:rsidR="004A381B" w:rsidRPr="00B61FB3">
        <w:rPr>
          <w:szCs w:val="22"/>
        </w:rPr>
        <w:t xml:space="preserve"> with regard to </w:t>
      </w:r>
      <w:r w:rsidR="00521552" w:rsidRPr="00B61FB3">
        <w:rPr>
          <w:szCs w:val="22"/>
        </w:rPr>
        <w:t>BD-</w:t>
      </w:r>
      <w:r w:rsidR="004A381B" w:rsidRPr="00B61FB3">
        <w:rPr>
          <w:szCs w:val="22"/>
        </w:rPr>
        <w:t xml:space="preserve">PRS, group and </w:t>
      </w:r>
      <w:r w:rsidR="00521552" w:rsidRPr="00B61FB3">
        <w:rPr>
          <w:szCs w:val="22"/>
        </w:rPr>
        <w:t>BD-</w:t>
      </w:r>
      <w:proofErr w:type="spellStart"/>
      <w:r w:rsidR="004A381B" w:rsidRPr="00B61FB3">
        <w:rPr>
          <w:szCs w:val="22"/>
        </w:rPr>
        <w:t>PRSxGroup</w:t>
      </w:r>
      <w:proofErr w:type="spellEnd"/>
      <w:r w:rsidR="00097FB8" w:rsidRPr="00B61FB3">
        <w:rPr>
          <w:szCs w:val="22"/>
        </w:rPr>
        <w:t xml:space="preserve"> effects</w:t>
      </w:r>
      <w:r w:rsidR="00B848A3" w:rsidRPr="00B61FB3">
        <w:rPr>
          <w:szCs w:val="22"/>
        </w:rPr>
        <w:t xml:space="preserve">, with </w:t>
      </w:r>
      <w:r w:rsidRPr="00B61FB3">
        <w:rPr>
          <w:szCs w:val="22"/>
        </w:rPr>
        <w:t xml:space="preserve">slightly larger </w:t>
      </w:r>
      <w:r w:rsidR="00B848A3" w:rsidRPr="00B61FB3">
        <w:rPr>
          <w:szCs w:val="22"/>
        </w:rPr>
        <w:t>effect sizes (data not shown).</w:t>
      </w:r>
    </w:p>
    <w:p w14:paraId="5BC7F19B" w14:textId="77777777" w:rsidR="00235552" w:rsidRPr="006F6881" w:rsidRDefault="00235552" w:rsidP="00145C62">
      <w:pPr>
        <w:spacing w:after="0" w:line="480" w:lineRule="auto"/>
        <w:jc w:val="both"/>
        <w:rPr>
          <w:b/>
          <w:bCs/>
          <w:sz w:val="20"/>
          <w:szCs w:val="20"/>
        </w:rPr>
        <w:sectPr w:rsidR="00235552" w:rsidRPr="006F6881">
          <w:pgSz w:w="11906" w:h="16838"/>
          <w:pgMar w:top="1440" w:right="1440" w:bottom="1440" w:left="1440" w:header="708" w:footer="708" w:gutter="0"/>
          <w:cols w:space="708"/>
          <w:docGrid w:linePitch="360"/>
        </w:sectPr>
      </w:pPr>
    </w:p>
    <w:p w14:paraId="7642BD9F" w14:textId="65872DF6" w:rsidR="0088114C" w:rsidRPr="004E2FF9" w:rsidRDefault="0088114C" w:rsidP="00D80CD5">
      <w:pPr>
        <w:spacing w:after="0" w:line="480" w:lineRule="auto"/>
        <w:jc w:val="both"/>
        <w:rPr>
          <w:b/>
          <w:bCs/>
          <w:sz w:val="28"/>
        </w:rPr>
      </w:pPr>
      <w:r w:rsidRPr="004E2FF9">
        <w:rPr>
          <w:b/>
          <w:bCs/>
          <w:sz w:val="28"/>
        </w:rPr>
        <w:t>Supplementary Tables</w:t>
      </w:r>
    </w:p>
    <w:p w14:paraId="4C78202D" w14:textId="78D09065" w:rsidR="0088114C" w:rsidRPr="000240C3" w:rsidRDefault="0088114C" w:rsidP="00D80CD5">
      <w:pPr>
        <w:spacing w:after="0" w:line="480" w:lineRule="auto"/>
        <w:jc w:val="both"/>
        <w:rPr>
          <w:bCs/>
          <w:szCs w:val="22"/>
        </w:rPr>
      </w:pPr>
      <w:r w:rsidRPr="000240C3">
        <w:rPr>
          <w:bCs/>
          <w:szCs w:val="22"/>
        </w:rPr>
        <w:t>See accompanying excel file</w:t>
      </w:r>
      <w:r w:rsidR="008C01B7">
        <w:rPr>
          <w:bCs/>
          <w:szCs w:val="22"/>
        </w:rPr>
        <w:t xml:space="preserve"> for Supplementary Tables S1-S9</w:t>
      </w:r>
      <w:r w:rsidRPr="000240C3">
        <w:rPr>
          <w:bCs/>
          <w:szCs w:val="22"/>
        </w:rPr>
        <w:t>.</w:t>
      </w:r>
    </w:p>
    <w:p w14:paraId="42F27B37" w14:textId="77777777" w:rsidR="002B1569" w:rsidRDefault="002B1569" w:rsidP="002B1569">
      <w:pPr>
        <w:rPr>
          <w:rFonts w:eastAsiaTheme="minorHAnsi"/>
          <w:szCs w:val="22"/>
          <w:lang w:eastAsia="en-US" w:bidi="ar-SA"/>
        </w:rPr>
      </w:pPr>
      <w:r>
        <w:t xml:space="preserve">Supplementary Table 1. Demographics of European-ancestry participants and tissue source in each analysis subset. </w:t>
      </w:r>
    </w:p>
    <w:p w14:paraId="6B6DCE4F" w14:textId="77777777" w:rsidR="002B1569" w:rsidRDefault="002B1569" w:rsidP="002B1569">
      <w:r>
        <w:t>Supplementary Table 2. Top differentially methylated positions (p&lt;0.002; above the inflection point) in High vs. Low BD-PRS group from primary EWAS.</w:t>
      </w:r>
    </w:p>
    <w:p w14:paraId="6E90AB07" w14:textId="77777777" w:rsidR="002B1569" w:rsidRDefault="002B1569" w:rsidP="002B1569">
      <w:r>
        <w:t xml:space="preserve">Supplementary Table 3. Full output of FUMA enrichment of genes from GWAS </w:t>
      </w:r>
      <w:proofErr w:type="spellStart"/>
      <w:r>
        <w:t>catalog</w:t>
      </w:r>
      <w:proofErr w:type="spellEnd"/>
      <w:r>
        <w:t xml:space="preserve"> for DMP genes from primary EWAS of High vs Low BD-PRS groups in HR with restricted blood-brain correlated probe set.</w:t>
      </w:r>
    </w:p>
    <w:p w14:paraId="3EFE0EF9" w14:textId="77777777" w:rsidR="002B1569" w:rsidRDefault="002B1569" w:rsidP="002B1569">
      <w:r>
        <w:t>Supplementary Table 4. Full output of FUMA enrichment of gene ontology (GO) and canonical pathway enrichment categories from primary EWAS of High vs Low BD-PRS groups in HR with restricted blood-brain correlated probe set.</w:t>
      </w:r>
    </w:p>
    <w:p w14:paraId="339141CC" w14:textId="77777777" w:rsidR="002B1569" w:rsidRDefault="002B1569" w:rsidP="002B1569">
      <w:r>
        <w:t>Supplementary Table 5. Nominally significant differentially methylated positions (p&lt;0.001) from the supplementary EWAS of 214,352 probes.</w:t>
      </w:r>
    </w:p>
    <w:p w14:paraId="6695F2B1" w14:textId="77777777" w:rsidR="002B1569" w:rsidRDefault="002B1569" w:rsidP="002B1569">
      <w:r>
        <w:t xml:space="preserve">Supplementary Table 6. Full output of FUMA enrichment of genes from GWAS </w:t>
      </w:r>
      <w:proofErr w:type="spellStart"/>
      <w:r>
        <w:t>catalog</w:t>
      </w:r>
      <w:proofErr w:type="spellEnd"/>
      <w:r>
        <w:t xml:space="preserve"> for DMP genes from supplementary EWAS of High vs Low BD-PRS groups in HR with unrestricted blood-brain correlated probe set.</w:t>
      </w:r>
    </w:p>
    <w:p w14:paraId="218C6A5C" w14:textId="77777777" w:rsidR="002B1569" w:rsidRDefault="002B1569" w:rsidP="002B1569">
      <w:r>
        <w:t>Supplementary Table 7. Full output of FUMA enrichment of gene ontology (GO) and canonical pathway enrichment categories from supplementary EWAS of High vs Low BD-PRS groups in HR with unrestricted blood-brain correlated probe set.</w:t>
      </w:r>
    </w:p>
    <w:p w14:paraId="22D92124" w14:textId="77777777" w:rsidR="002B1569" w:rsidRDefault="002B1569" w:rsidP="002B1569">
      <w:r>
        <w:t>Supplementary Table S8. BD-related clinical diagnoses in each analysis subset, incorporating diagnosis timing at baseline and after annual follow-up clinical assessments.</w:t>
      </w:r>
    </w:p>
    <w:p w14:paraId="7ED9341F" w14:textId="30843765" w:rsidR="002B1569" w:rsidRDefault="002B1569" w:rsidP="002B1569">
      <w:r>
        <w:t>Supplementary Table 9. Epigenetic signature using poly-</w:t>
      </w:r>
      <w:proofErr w:type="spellStart"/>
      <w:r>
        <w:t>methylomic</w:t>
      </w:r>
      <w:proofErr w:type="spellEnd"/>
      <w:r>
        <w:t xml:space="preserve"> profile score and associations between group, PRS and </w:t>
      </w:r>
      <w:proofErr w:type="spellStart"/>
      <w:r>
        <w:t>PRS×Group</w:t>
      </w:r>
      <w:proofErr w:type="spellEnd"/>
      <w:r>
        <w:t xml:space="preserve"> interactions.</w:t>
      </w:r>
    </w:p>
    <w:p w14:paraId="5B4DF80E" w14:textId="77777777" w:rsidR="002F6FBB" w:rsidRDefault="002F6FBB" w:rsidP="002B1569"/>
    <w:p w14:paraId="14F16465" w14:textId="77777777" w:rsidR="00076B13" w:rsidRDefault="00076B13" w:rsidP="00D80CD5">
      <w:pPr>
        <w:spacing w:after="0" w:line="480" w:lineRule="auto"/>
        <w:jc w:val="both"/>
        <w:rPr>
          <w:b/>
          <w:bCs/>
          <w:sz w:val="24"/>
          <w:szCs w:val="32"/>
        </w:rPr>
        <w:sectPr w:rsidR="00076B13">
          <w:pgSz w:w="11906" w:h="16838"/>
          <w:pgMar w:top="1440" w:right="1440" w:bottom="1440" w:left="1440" w:header="708" w:footer="708" w:gutter="0"/>
          <w:cols w:space="708"/>
          <w:docGrid w:linePitch="360"/>
        </w:sectPr>
      </w:pPr>
    </w:p>
    <w:p w14:paraId="7E66D80F" w14:textId="03727E3B" w:rsidR="00477544" w:rsidRDefault="008E4A12" w:rsidP="00D80CD5">
      <w:pPr>
        <w:spacing w:after="0" w:line="480" w:lineRule="auto"/>
        <w:jc w:val="both"/>
        <w:rPr>
          <w:b/>
          <w:bCs/>
          <w:sz w:val="28"/>
        </w:rPr>
      </w:pPr>
      <w:r w:rsidRPr="004E2FF9">
        <w:rPr>
          <w:b/>
          <w:bCs/>
          <w:sz w:val="28"/>
        </w:rPr>
        <w:t xml:space="preserve">Supplementary </w:t>
      </w:r>
      <w:r w:rsidR="0088114C" w:rsidRPr="004E2FF9">
        <w:rPr>
          <w:b/>
          <w:bCs/>
          <w:sz w:val="28"/>
        </w:rPr>
        <w:t>Figures</w:t>
      </w:r>
    </w:p>
    <w:p w14:paraId="5A6150E8" w14:textId="6269CC51" w:rsidR="00432CF8" w:rsidRDefault="00432CF8" w:rsidP="00D80CD5">
      <w:pPr>
        <w:spacing w:after="0" w:line="480" w:lineRule="auto"/>
        <w:jc w:val="both"/>
        <w:rPr>
          <w:b/>
          <w:bCs/>
          <w:sz w:val="28"/>
        </w:rPr>
      </w:pPr>
    </w:p>
    <w:p w14:paraId="0FD018D2" w14:textId="77777777" w:rsidR="00432CF8" w:rsidRPr="004E2FF9" w:rsidRDefault="00432CF8" w:rsidP="00D80CD5">
      <w:pPr>
        <w:spacing w:after="0" w:line="480" w:lineRule="auto"/>
        <w:jc w:val="both"/>
        <w:rPr>
          <w:b/>
          <w:bCs/>
          <w:sz w:val="28"/>
        </w:rPr>
      </w:pPr>
    </w:p>
    <w:p w14:paraId="118CE5F2" w14:textId="253F978F" w:rsidR="00926E81" w:rsidRDefault="00926E81" w:rsidP="00D80CD5">
      <w:pPr>
        <w:spacing w:after="0" w:line="480" w:lineRule="auto"/>
        <w:jc w:val="both"/>
        <w:rPr>
          <w:b/>
          <w:bCs/>
          <w:sz w:val="24"/>
          <w:szCs w:val="32"/>
        </w:rPr>
      </w:pPr>
    </w:p>
    <w:p w14:paraId="6C0BEA49" w14:textId="77777777" w:rsidR="00926E81" w:rsidRDefault="00926E81" w:rsidP="00D80CD5">
      <w:pPr>
        <w:spacing w:after="0" w:line="480" w:lineRule="auto"/>
        <w:jc w:val="both"/>
        <w:rPr>
          <w:sz w:val="20"/>
          <w:szCs w:val="24"/>
        </w:rPr>
      </w:pPr>
      <w:r w:rsidRPr="00DD754B">
        <w:rPr>
          <w:noProof/>
          <w:lang w:val="en-US" w:eastAsia="en-US" w:bidi="ar-SA"/>
        </w:rPr>
        <w:drawing>
          <wp:inline distT="0" distB="0" distL="0" distR="0" wp14:anchorId="35C00A2A" wp14:editId="2352BEEF">
            <wp:extent cx="2933700" cy="2743200"/>
            <wp:effectExtent l="0" t="0" r="0" b="0"/>
            <wp:docPr id="5" name="Picture 5" descr="W:\PGC2_data\psychChip1-2-3_imputed10Apr2018_FINAL_PLINKFORMAT_QC_updatedPheno\daner_PRSice2\PRSice.BDvsHC_BARPLOT_2020-0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GC2_data\psychChip1-2-3_imputed10Apr2018_FINAL_PLINKFORMAT_QC_updatedPheno\daner_PRSice2\PRSice.BDvsHC_BARPLOT_2020-06-0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3700" cy="2743200"/>
                    </a:xfrm>
                    <a:prstGeom prst="rect">
                      <a:avLst/>
                    </a:prstGeom>
                    <a:noFill/>
                    <a:ln>
                      <a:noFill/>
                    </a:ln>
                  </pic:spPr>
                </pic:pic>
              </a:graphicData>
            </a:graphic>
          </wp:inline>
        </w:drawing>
      </w:r>
    </w:p>
    <w:p w14:paraId="2027E670" w14:textId="266E26BA" w:rsidR="00926E81" w:rsidRPr="004E2FF9" w:rsidRDefault="00926E81" w:rsidP="00D80CD5">
      <w:pPr>
        <w:spacing w:after="0" w:line="480" w:lineRule="auto"/>
        <w:jc w:val="both"/>
        <w:rPr>
          <w:b/>
          <w:bCs/>
          <w:szCs w:val="22"/>
        </w:rPr>
      </w:pPr>
      <w:r w:rsidRPr="004E2FF9">
        <w:rPr>
          <w:bCs/>
          <w:i/>
          <w:szCs w:val="22"/>
        </w:rPr>
        <w:t xml:space="preserve">Figure </w:t>
      </w:r>
      <w:r w:rsidR="00F71FC6" w:rsidRPr="004E2FF9">
        <w:rPr>
          <w:bCs/>
          <w:i/>
          <w:szCs w:val="22"/>
        </w:rPr>
        <w:t xml:space="preserve">S1. </w:t>
      </w:r>
      <w:r w:rsidRPr="004E2FF9">
        <w:rPr>
          <w:szCs w:val="22"/>
        </w:rPr>
        <w:t xml:space="preserve">Bar plot from </w:t>
      </w:r>
      <w:proofErr w:type="spellStart"/>
      <w:r w:rsidRPr="004E2FF9">
        <w:rPr>
          <w:szCs w:val="22"/>
        </w:rPr>
        <w:t>PRSice</w:t>
      </w:r>
      <w:proofErr w:type="spellEnd"/>
      <w:r w:rsidRPr="004E2FF9">
        <w:rPr>
          <w:szCs w:val="22"/>
        </w:rPr>
        <w:t xml:space="preserve"> showing optimal p-value threshold for BD-PRS. </w:t>
      </w:r>
      <w:r w:rsidR="00870F82" w:rsidRPr="004E2FF9">
        <w:rPr>
          <w:szCs w:val="22"/>
        </w:rPr>
        <w:t>Y-axis shows</w:t>
      </w:r>
      <w:r w:rsidRPr="004E2FF9">
        <w:rPr>
          <w:szCs w:val="22"/>
        </w:rPr>
        <w:t xml:space="preserve"> </w:t>
      </w:r>
      <w:proofErr w:type="spellStart"/>
      <w:r w:rsidRPr="004E2FF9">
        <w:rPr>
          <w:szCs w:val="22"/>
        </w:rPr>
        <w:t>Nagelkerke</w:t>
      </w:r>
      <w:proofErr w:type="spellEnd"/>
      <w:r w:rsidRPr="004E2FF9">
        <w:rPr>
          <w:szCs w:val="22"/>
        </w:rPr>
        <w:t xml:space="preserve"> pseudo R</w:t>
      </w:r>
      <w:r w:rsidRPr="004E2FF9">
        <w:rPr>
          <w:szCs w:val="22"/>
          <w:vertAlign w:val="superscript"/>
        </w:rPr>
        <w:t>2</w:t>
      </w:r>
      <w:r w:rsidRPr="004E2FF9">
        <w:rPr>
          <w:szCs w:val="22"/>
        </w:rPr>
        <w:t xml:space="preserve"> at various </w:t>
      </w:r>
      <w:r w:rsidRPr="004E2FF9">
        <w:rPr>
          <w:i/>
          <w:iCs/>
          <w:szCs w:val="22"/>
        </w:rPr>
        <w:t>p</w:t>
      </w:r>
      <w:r w:rsidRPr="004E2FF9">
        <w:rPr>
          <w:szCs w:val="22"/>
        </w:rPr>
        <w:t>-value thresholds, to determine the variance accounted for by the PRS</w:t>
      </w:r>
      <w:r w:rsidR="00DF00FC" w:rsidRPr="004E2FF9">
        <w:rPr>
          <w:szCs w:val="22"/>
        </w:rPr>
        <w:t xml:space="preserve">. </w:t>
      </w:r>
      <w:r w:rsidR="00D40CC5" w:rsidRPr="004E2FF9">
        <w:rPr>
          <w:szCs w:val="22"/>
        </w:rPr>
        <w:t xml:space="preserve">The PRSicev2 </w:t>
      </w:r>
      <w:r w:rsidR="00D40CC5" w:rsidRPr="004E2FF9">
        <w:rPr>
          <w:rFonts w:cs="Arial"/>
          <w:color w:val="000000"/>
          <w:szCs w:val="22"/>
        </w:rPr>
        <w:t xml:space="preserve">default </w:t>
      </w:r>
      <w:r w:rsidR="00D40CC5" w:rsidRPr="004E2FF9">
        <w:rPr>
          <w:szCs w:val="22"/>
        </w:rPr>
        <w:t xml:space="preserve">interval step size of </w:t>
      </w:r>
      <w:r w:rsidR="00D40CC5" w:rsidRPr="004E2FF9">
        <w:rPr>
          <w:rFonts w:cs="Arial"/>
          <w:color w:val="000000"/>
          <w:szCs w:val="22"/>
        </w:rPr>
        <w:t xml:space="preserve">0.00005 was reduced to </w:t>
      </w:r>
      <w:r w:rsidR="00D40CC5" w:rsidRPr="004E2FF9">
        <w:rPr>
          <w:szCs w:val="22"/>
        </w:rPr>
        <w:t xml:space="preserve">0.001 for optimal </w:t>
      </w:r>
      <w:r w:rsidR="00D40CC5" w:rsidRPr="004E2FF9">
        <w:rPr>
          <w:i/>
          <w:iCs/>
          <w:szCs w:val="22"/>
        </w:rPr>
        <w:t>p</w:t>
      </w:r>
      <w:r w:rsidR="00D40CC5" w:rsidRPr="004E2FF9">
        <w:rPr>
          <w:szCs w:val="22"/>
        </w:rPr>
        <w:t xml:space="preserve">-value threshold definition, due to the </w:t>
      </w:r>
      <w:r w:rsidR="00D40CC5" w:rsidRPr="004E2FF9">
        <w:rPr>
          <w:rFonts w:cs="Arial"/>
          <w:color w:val="000000"/>
          <w:szCs w:val="22"/>
        </w:rPr>
        <w:t xml:space="preserve">relatively small target sample size. </w:t>
      </w:r>
      <w:r w:rsidR="00DF00FC" w:rsidRPr="004E2FF9">
        <w:rPr>
          <w:szCs w:val="22"/>
        </w:rPr>
        <w:t xml:space="preserve">The </w:t>
      </w:r>
      <w:r w:rsidR="00D40CC5" w:rsidRPr="004E2FF9">
        <w:rPr>
          <w:szCs w:val="22"/>
        </w:rPr>
        <w:t xml:space="preserve">optimal </w:t>
      </w:r>
      <w:r w:rsidR="00D40CC5" w:rsidRPr="004E2FF9">
        <w:rPr>
          <w:i/>
          <w:iCs/>
          <w:szCs w:val="22"/>
        </w:rPr>
        <w:t>p</w:t>
      </w:r>
      <w:r w:rsidR="00D40CC5" w:rsidRPr="004E2FF9">
        <w:rPr>
          <w:szCs w:val="22"/>
        </w:rPr>
        <w:t xml:space="preserve">-value </w:t>
      </w:r>
      <w:r w:rsidR="00DF00FC" w:rsidRPr="004E2FF9">
        <w:rPr>
          <w:szCs w:val="22"/>
        </w:rPr>
        <w:t xml:space="preserve">was defined at </w:t>
      </w:r>
      <w:r w:rsidRPr="004E2FF9">
        <w:rPr>
          <w:szCs w:val="22"/>
        </w:rPr>
        <w:t>(</w:t>
      </w:r>
      <w:proofErr w:type="spellStart"/>
      <w:r w:rsidRPr="004E2FF9">
        <w:rPr>
          <w:i/>
          <w:iCs/>
          <w:szCs w:val="22"/>
        </w:rPr>
        <w:t>p</w:t>
      </w:r>
      <w:r w:rsidRPr="004E2FF9">
        <w:rPr>
          <w:szCs w:val="22"/>
          <w:vertAlign w:val="subscript"/>
        </w:rPr>
        <w:t>T</w:t>
      </w:r>
      <w:proofErr w:type="spellEnd"/>
      <w:r w:rsidRPr="004E2FF9">
        <w:rPr>
          <w:szCs w:val="22"/>
        </w:rPr>
        <w:t xml:space="preserve">)=0.105, </w:t>
      </w:r>
      <w:r w:rsidRPr="004E2FF9">
        <w:rPr>
          <w:i/>
          <w:iCs/>
          <w:szCs w:val="22"/>
        </w:rPr>
        <w:t>p</w:t>
      </w:r>
      <w:r w:rsidRPr="004E2FF9">
        <w:rPr>
          <w:szCs w:val="22"/>
        </w:rPr>
        <w:t>=5.36</w:t>
      </w:r>
      <w:r w:rsidR="00AE17FA" w:rsidRPr="004E2FF9">
        <w:rPr>
          <w:szCs w:val="22"/>
        </w:rPr>
        <w:t>×10</w:t>
      </w:r>
      <w:r w:rsidRPr="004E2FF9">
        <w:rPr>
          <w:szCs w:val="22"/>
          <w:vertAlign w:val="superscript"/>
        </w:rPr>
        <w:t>-12</w:t>
      </w:r>
      <w:r w:rsidR="00870F82" w:rsidRPr="004E2FF9">
        <w:rPr>
          <w:szCs w:val="22"/>
        </w:rPr>
        <w:t>, R</w:t>
      </w:r>
      <w:r w:rsidR="00870F82" w:rsidRPr="004E2FF9">
        <w:rPr>
          <w:szCs w:val="22"/>
          <w:vertAlign w:val="superscript"/>
        </w:rPr>
        <w:t>2</w:t>
      </w:r>
      <w:r w:rsidR="00870F82" w:rsidRPr="004E2FF9">
        <w:rPr>
          <w:szCs w:val="22"/>
        </w:rPr>
        <w:t>= 0.057</w:t>
      </w:r>
      <w:r w:rsidRPr="004E2FF9">
        <w:rPr>
          <w:szCs w:val="22"/>
        </w:rPr>
        <w:t>.</w:t>
      </w:r>
      <w:r w:rsidR="00A87E76" w:rsidRPr="004E2FF9">
        <w:rPr>
          <w:szCs w:val="22"/>
        </w:rPr>
        <w:t xml:space="preserve"> The total number of SNPs for BD-PRS at </w:t>
      </w:r>
      <w:proofErr w:type="spellStart"/>
      <w:r w:rsidR="00A87E76" w:rsidRPr="004E2FF9">
        <w:rPr>
          <w:i/>
          <w:iCs/>
          <w:szCs w:val="22"/>
        </w:rPr>
        <w:t>p</w:t>
      </w:r>
      <w:r w:rsidR="00A87E76" w:rsidRPr="004E2FF9">
        <w:rPr>
          <w:szCs w:val="22"/>
          <w:vertAlign w:val="subscript"/>
        </w:rPr>
        <w:t>T</w:t>
      </w:r>
      <w:proofErr w:type="spellEnd"/>
      <w:r w:rsidR="00A87E76" w:rsidRPr="004E2FF9">
        <w:rPr>
          <w:szCs w:val="22"/>
        </w:rPr>
        <w:t>=0.105 was 214,928.</w:t>
      </w:r>
    </w:p>
    <w:p w14:paraId="5C3A3B2F" w14:textId="77777777" w:rsidR="00926E81" w:rsidRDefault="00926E81" w:rsidP="00D80CD5">
      <w:pPr>
        <w:spacing w:after="0" w:line="480" w:lineRule="auto"/>
        <w:jc w:val="both"/>
        <w:rPr>
          <w:sz w:val="20"/>
          <w:szCs w:val="24"/>
        </w:rPr>
      </w:pPr>
    </w:p>
    <w:p w14:paraId="40FD5410" w14:textId="77777777" w:rsidR="00926E81" w:rsidRDefault="00926E81" w:rsidP="00D80CD5">
      <w:pPr>
        <w:spacing w:after="0" w:line="480" w:lineRule="auto"/>
        <w:jc w:val="both"/>
        <w:rPr>
          <w:sz w:val="20"/>
          <w:szCs w:val="24"/>
        </w:rPr>
        <w:sectPr w:rsidR="00926E81">
          <w:pgSz w:w="11906" w:h="16838"/>
          <w:pgMar w:top="1440" w:right="1440" w:bottom="1440" w:left="1440" w:header="708" w:footer="708" w:gutter="0"/>
          <w:cols w:space="708"/>
          <w:docGrid w:linePitch="360"/>
        </w:sectPr>
      </w:pPr>
    </w:p>
    <w:p w14:paraId="41DFD00C" w14:textId="3371C1F9" w:rsidR="00634BF6" w:rsidRDefault="00634BF6" w:rsidP="00097FB8">
      <w:pPr>
        <w:spacing w:after="0" w:line="240" w:lineRule="auto"/>
        <w:jc w:val="both"/>
        <w:rPr>
          <w:b/>
          <w:bCs/>
          <w:sz w:val="24"/>
          <w:szCs w:val="32"/>
        </w:rPr>
      </w:pPr>
      <w:r>
        <w:rPr>
          <w:b/>
          <w:bCs/>
          <w:sz w:val="24"/>
          <w:szCs w:val="32"/>
        </w:rPr>
        <w:t>A)</w:t>
      </w:r>
    </w:p>
    <w:p w14:paraId="79DA364F" w14:textId="5AC82137" w:rsidR="003E3CA9" w:rsidRDefault="003E3CA9" w:rsidP="00097FB8">
      <w:pPr>
        <w:spacing w:after="0" w:line="240" w:lineRule="auto"/>
        <w:jc w:val="both"/>
        <w:rPr>
          <w:b/>
          <w:bCs/>
          <w:sz w:val="24"/>
          <w:szCs w:val="32"/>
        </w:rPr>
        <w:sectPr w:rsidR="003E3CA9" w:rsidSect="003E3CA9">
          <w:pgSz w:w="11906" w:h="16838"/>
          <w:pgMar w:top="1440" w:right="1440" w:bottom="1440" w:left="1440" w:header="708" w:footer="708" w:gutter="0"/>
          <w:cols w:num="3" w:space="708"/>
          <w:docGrid w:linePitch="360"/>
        </w:sectPr>
      </w:pPr>
      <w:r>
        <w:rPr>
          <w:b/>
          <w:bCs/>
          <w:sz w:val="24"/>
          <w:szCs w:val="32"/>
        </w:rPr>
        <w:tab/>
      </w:r>
      <w:r>
        <w:rPr>
          <w:b/>
          <w:bCs/>
          <w:sz w:val="24"/>
          <w:szCs w:val="32"/>
        </w:rPr>
        <w:tab/>
        <w:t>B)</w:t>
      </w:r>
    </w:p>
    <w:p w14:paraId="66DC8A46" w14:textId="2F054FFC" w:rsidR="00634BF6" w:rsidRDefault="00634BF6" w:rsidP="00097FB8">
      <w:pPr>
        <w:spacing w:after="0" w:line="240" w:lineRule="auto"/>
        <w:jc w:val="both"/>
        <w:rPr>
          <w:b/>
          <w:bCs/>
          <w:sz w:val="24"/>
          <w:szCs w:val="32"/>
        </w:rPr>
      </w:pPr>
      <w:r w:rsidRPr="00097FB8">
        <w:rPr>
          <w:b/>
          <w:bCs/>
          <w:noProof/>
          <w:sz w:val="24"/>
          <w:szCs w:val="32"/>
          <w:lang w:val="en-US" w:eastAsia="en-US" w:bidi="ar-SA"/>
        </w:rPr>
        <w:drawing>
          <wp:inline distT="0" distB="0" distL="0" distR="0" wp14:anchorId="16A87C85" wp14:editId="3D9ABB91">
            <wp:extent cx="2774653" cy="25200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coveryEWAS.mdsPlot.png"/>
                    <pic:cNvPicPr/>
                  </pic:nvPicPr>
                  <pic:blipFill>
                    <a:blip r:embed="rId15">
                      <a:extLst>
                        <a:ext uri="{28A0092B-C50C-407E-A947-70E740481C1C}">
                          <a14:useLocalDpi xmlns:a14="http://schemas.microsoft.com/office/drawing/2010/main" val="0"/>
                        </a:ext>
                      </a:extLst>
                    </a:blip>
                    <a:stretch>
                      <a:fillRect/>
                    </a:stretch>
                  </pic:blipFill>
                  <pic:spPr>
                    <a:xfrm>
                      <a:off x="0" y="0"/>
                      <a:ext cx="2774653" cy="2520000"/>
                    </a:xfrm>
                    <a:prstGeom prst="rect">
                      <a:avLst/>
                    </a:prstGeom>
                  </pic:spPr>
                </pic:pic>
              </a:graphicData>
            </a:graphic>
          </wp:inline>
        </w:drawing>
      </w:r>
    </w:p>
    <w:p w14:paraId="423D25B7" w14:textId="3AD8414A" w:rsidR="00634BF6" w:rsidRDefault="003E3CA9" w:rsidP="00097FB8">
      <w:pPr>
        <w:spacing w:after="0" w:line="240" w:lineRule="auto"/>
        <w:jc w:val="both"/>
        <w:rPr>
          <w:b/>
          <w:bCs/>
          <w:sz w:val="24"/>
          <w:szCs w:val="32"/>
        </w:rPr>
      </w:pPr>
      <w:r>
        <w:rPr>
          <w:b/>
          <w:bCs/>
          <w:sz w:val="24"/>
          <w:szCs w:val="32"/>
        </w:rPr>
        <w:t>C</w:t>
      </w:r>
      <w:r w:rsidR="00634BF6">
        <w:rPr>
          <w:b/>
          <w:bCs/>
          <w:sz w:val="24"/>
          <w:szCs w:val="32"/>
        </w:rPr>
        <w:t>)</w:t>
      </w:r>
    </w:p>
    <w:p w14:paraId="5548962C" w14:textId="23E3EDE1" w:rsidR="00634BF6" w:rsidRDefault="003E3CA9" w:rsidP="00097FB8">
      <w:pPr>
        <w:spacing w:after="0" w:line="240" w:lineRule="auto"/>
        <w:jc w:val="both"/>
        <w:rPr>
          <w:b/>
          <w:bCs/>
          <w:sz w:val="24"/>
          <w:szCs w:val="32"/>
        </w:rPr>
      </w:pPr>
      <w:r w:rsidRPr="00097FB8">
        <w:rPr>
          <w:b/>
          <w:bCs/>
          <w:noProof/>
          <w:sz w:val="24"/>
          <w:szCs w:val="32"/>
          <w:lang w:val="en-US" w:eastAsia="en-US" w:bidi="ar-SA"/>
        </w:rPr>
        <w:drawing>
          <wp:inline distT="0" distB="0" distL="0" distR="0" wp14:anchorId="2311E437" wp14:editId="006CCD7A">
            <wp:extent cx="2786949" cy="252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idationSet2.mdsPlot.png"/>
                    <pic:cNvPicPr/>
                  </pic:nvPicPr>
                  <pic:blipFill>
                    <a:blip r:embed="rId16">
                      <a:extLst>
                        <a:ext uri="{28A0092B-C50C-407E-A947-70E740481C1C}">
                          <a14:useLocalDpi xmlns:a14="http://schemas.microsoft.com/office/drawing/2010/main" val="0"/>
                        </a:ext>
                      </a:extLst>
                    </a:blip>
                    <a:stretch>
                      <a:fillRect/>
                    </a:stretch>
                  </pic:blipFill>
                  <pic:spPr>
                    <a:xfrm>
                      <a:off x="0" y="0"/>
                      <a:ext cx="2786949" cy="2520000"/>
                    </a:xfrm>
                    <a:prstGeom prst="rect">
                      <a:avLst/>
                    </a:prstGeom>
                  </pic:spPr>
                </pic:pic>
              </a:graphicData>
            </a:graphic>
          </wp:inline>
        </w:drawing>
      </w:r>
    </w:p>
    <w:p w14:paraId="6BAFA9C0" w14:textId="7A298C74" w:rsidR="003E3CA9" w:rsidRDefault="003E3CA9" w:rsidP="00097FB8">
      <w:pPr>
        <w:spacing w:after="0" w:line="240" w:lineRule="auto"/>
        <w:jc w:val="both"/>
        <w:rPr>
          <w:b/>
          <w:bCs/>
          <w:sz w:val="24"/>
          <w:szCs w:val="32"/>
        </w:rPr>
      </w:pPr>
      <w:r w:rsidRPr="00097FB8">
        <w:rPr>
          <w:b/>
          <w:bCs/>
          <w:noProof/>
          <w:sz w:val="24"/>
          <w:szCs w:val="32"/>
          <w:lang w:val="en-US" w:eastAsia="en-US" w:bidi="ar-SA"/>
        </w:rPr>
        <w:drawing>
          <wp:inline distT="0" distB="0" distL="0" distR="0" wp14:anchorId="26FE356E" wp14:editId="74550254">
            <wp:extent cx="2791712" cy="252000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idationSet1.mdsPlot.png"/>
                    <pic:cNvPicPr/>
                  </pic:nvPicPr>
                  <pic:blipFill>
                    <a:blip r:embed="rId17">
                      <a:extLst>
                        <a:ext uri="{28A0092B-C50C-407E-A947-70E740481C1C}">
                          <a14:useLocalDpi xmlns:a14="http://schemas.microsoft.com/office/drawing/2010/main" val="0"/>
                        </a:ext>
                      </a:extLst>
                    </a:blip>
                    <a:stretch>
                      <a:fillRect/>
                    </a:stretch>
                  </pic:blipFill>
                  <pic:spPr>
                    <a:xfrm>
                      <a:off x="0" y="0"/>
                      <a:ext cx="2791712" cy="2520000"/>
                    </a:xfrm>
                    <a:prstGeom prst="rect">
                      <a:avLst/>
                    </a:prstGeom>
                  </pic:spPr>
                </pic:pic>
              </a:graphicData>
            </a:graphic>
          </wp:inline>
        </w:drawing>
      </w:r>
    </w:p>
    <w:p w14:paraId="39298FD9" w14:textId="50DB0B28" w:rsidR="003E3CA9" w:rsidRDefault="003E3CA9" w:rsidP="00097FB8">
      <w:pPr>
        <w:spacing w:after="0" w:line="240" w:lineRule="auto"/>
        <w:jc w:val="both"/>
        <w:rPr>
          <w:b/>
          <w:bCs/>
          <w:sz w:val="24"/>
          <w:szCs w:val="32"/>
        </w:rPr>
      </w:pPr>
      <w:r>
        <w:rPr>
          <w:b/>
          <w:bCs/>
          <w:sz w:val="24"/>
          <w:szCs w:val="32"/>
        </w:rPr>
        <w:t>D)</w:t>
      </w:r>
    </w:p>
    <w:p w14:paraId="5E39CCCD" w14:textId="4F475F70" w:rsidR="003E3CA9" w:rsidRDefault="003E3CA9" w:rsidP="00DF63B8">
      <w:pPr>
        <w:spacing w:after="0" w:line="360" w:lineRule="auto"/>
        <w:jc w:val="both"/>
        <w:rPr>
          <w:b/>
          <w:bCs/>
          <w:sz w:val="24"/>
          <w:szCs w:val="32"/>
        </w:rPr>
      </w:pPr>
      <w:r w:rsidRPr="00B361B9">
        <w:rPr>
          <w:noProof/>
          <w:lang w:val="en-US" w:eastAsia="en-US" w:bidi="ar-SA"/>
        </w:rPr>
        <w:drawing>
          <wp:inline distT="0" distB="0" distL="0" distR="0" wp14:anchorId="0788D27D" wp14:editId="26FFB1FF">
            <wp:extent cx="2782013" cy="252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SEWASallSamples_AusVsUS_goldVsSienna.mdsPlot.png"/>
                    <pic:cNvPicPr/>
                  </pic:nvPicPr>
                  <pic:blipFill>
                    <a:blip r:embed="rId18">
                      <a:extLst>
                        <a:ext uri="{28A0092B-C50C-407E-A947-70E740481C1C}">
                          <a14:useLocalDpi xmlns:a14="http://schemas.microsoft.com/office/drawing/2010/main" val="0"/>
                        </a:ext>
                      </a:extLst>
                    </a:blip>
                    <a:stretch>
                      <a:fillRect/>
                    </a:stretch>
                  </pic:blipFill>
                  <pic:spPr>
                    <a:xfrm>
                      <a:off x="0" y="0"/>
                      <a:ext cx="2782013" cy="2520000"/>
                    </a:xfrm>
                    <a:prstGeom prst="rect">
                      <a:avLst/>
                    </a:prstGeom>
                  </pic:spPr>
                </pic:pic>
              </a:graphicData>
            </a:graphic>
          </wp:inline>
        </w:drawing>
      </w:r>
    </w:p>
    <w:p w14:paraId="78FD667E" w14:textId="77777777" w:rsidR="003E3CA9" w:rsidRDefault="003E3CA9" w:rsidP="00DF63B8">
      <w:pPr>
        <w:spacing w:after="0" w:line="360" w:lineRule="auto"/>
        <w:jc w:val="both"/>
        <w:rPr>
          <w:b/>
          <w:bCs/>
          <w:sz w:val="24"/>
          <w:szCs w:val="32"/>
        </w:rPr>
        <w:sectPr w:rsidR="003E3CA9" w:rsidSect="003E3CA9">
          <w:type w:val="continuous"/>
          <w:pgSz w:w="11906" w:h="16838"/>
          <w:pgMar w:top="1440" w:right="1440" w:bottom="1440" w:left="1440" w:header="708" w:footer="708" w:gutter="0"/>
          <w:cols w:num="2" w:space="708"/>
          <w:docGrid w:linePitch="360"/>
        </w:sectPr>
      </w:pPr>
    </w:p>
    <w:p w14:paraId="44144838" w14:textId="04DAE5C7" w:rsidR="003E3CA9" w:rsidRDefault="003E3CA9" w:rsidP="00594476">
      <w:pPr>
        <w:spacing w:line="336" w:lineRule="auto"/>
        <w:jc w:val="both"/>
        <w:rPr>
          <w:szCs w:val="22"/>
        </w:rPr>
      </w:pPr>
      <w:r>
        <w:rPr>
          <w:bCs/>
          <w:i/>
          <w:szCs w:val="22"/>
        </w:rPr>
        <w:t>F</w:t>
      </w:r>
      <w:r w:rsidRPr="004E2FF9">
        <w:rPr>
          <w:bCs/>
          <w:i/>
          <w:szCs w:val="22"/>
        </w:rPr>
        <w:t>igure S</w:t>
      </w:r>
      <w:r>
        <w:rPr>
          <w:bCs/>
          <w:i/>
          <w:szCs w:val="22"/>
        </w:rPr>
        <w:t>2</w:t>
      </w:r>
      <w:r w:rsidRPr="004E2FF9">
        <w:rPr>
          <w:bCs/>
          <w:i/>
          <w:szCs w:val="22"/>
        </w:rPr>
        <w:t xml:space="preserve">. </w:t>
      </w:r>
      <w:r w:rsidRPr="00CD0300">
        <w:rPr>
          <w:szCs w:val="22"/>
        </w:rPr>
        <w:t xml:space="preserve">Scatter plots of components 1 and 2 </w:t>
      </w:r>
      <w:r w:rsidR="00F66D8B" w:rsidRPr="00CD0300">
        <w:rPr>
          <w:szCs w:val="22"/>
        </w:rPr>
        <w:t xml:space="preserve">from multidimensional scaling analysis, </w:t>
      </w:r>
      <w:r w:rsidRPr="00CD0300">
        <w:rPr>
          <w:szCs w:val="22"/>
        </w:rPr>
        <w:t>indexing genotype-derived ethnicity of samples employed in the present study</w:t>
      </w:r>
      <w:r w:rsidR="005E2D52" w:rsidRPr="00CD0300">
        <w:rPr>
          <w:szCs w:val="22"/>
        </w:rPr>
        <w:t xml:space="preserve"> as compared to HAPMAP reference populations</w:t>
      </w:r>
      <w:r w:rsidRPr="00CD0300">
        <w:rPr>
          <w:szCs w:val="22"/>
        </w:rPr>
        <w:t>.</w:t>
      </w:r>
      <w:r w:rsidRPr="00093D89">
        <w:rPr>
          <w:szCs w:val="22"/>
        </w:rPr>
        <w:t xml:space="preserve"> A) discovery EWAS, B) validation set 1, C) validation set 2, D) all samples</w:t>
      </w:r>
      <w:r w:rsidR="00E52E31" w:rsidRPr="00093D89">
        <w:rPr>
          <w:szCs w:val="22"/>
        </w:rPr>
        <w:t xml:space="preserve"> from both discovery and validation sets</w:t>
      </w:r>
      <w:r w:rsidRPr="00093D89">
        <w:rPr>
          <w:szCs w:val="22"/>
        </w:rPr>
        <w:t xml:space="preserve">. Samples from participants </w:t>
      </w:r>
      <w:r>
        <w:rPr>
          <w:szCs w:val="22"/>
        </w:rPr>
        <w:t xml:space="preserve">analysed in the present study are shown in red (A-C), or are coloured by country of origin (D; Australia=gold, USA=sienna). Individuals from </w:t>
      </w:r>
      <w:proofErr w:type="spellStart"/>
      <w:r>
        <w:rPr>
          <w:szCs w:val="22"/>
        </w:rPr>
        <w:t>Hapmap</w:t>
      </w:r>
      <w:proofErr w:type="spellEnd"/>
      <w:r>
        <w:rPr>
          <w:szCs w:val="22"/>
        </w:rPr>
        <w:t xml:space="preserve"> reference populations are colour coded as follows: </w:t>
      </w:r>
      <w:r w:rsidRPr="00634BF6">
        <w:rPr>
          <w:szCs w:val="22"/>
        </w:rPr>
        <w:t>CEU=light</w:t>
      </w:r>
      <w:r>
        <w:rPr>
          <w:szCs w:val="22"/>
        </w:rPr>
        <w:t xml:space="preserve"> </w:t>
      </w:r>
      <w:r w:rsidRPr="00634BF6">
        <w:rPr>
          <w:szCs w:val="22"/>
        </w:rPr>
        <w:t>blue</w:t>
      </w:r>
      <w:r>
        <w:rPr>
          <w:szCs w:val="22"/>
        </w:rPr>
        <w:t xml:space="preserve">, </w:t>
      </w:r>
      <w:r w:rsidRPr="00634BF6">
        <w:rPr>
          <w:szCs w:val="22"/>
        </w:rPr>
        <w:t>TSI=</w:t>
      </w:r>
      <w:r>
        <w:rPr>
          <w:szCs w:val="22"/>
        </w:rPr>
        <w:t xml:space="preserve">apple </w:t>
      </w:r>
      <w:r w:rsidRPr="00634BF6">
        <w:rPr>
          <w:szCs w:val="22"/>
        </w:rPr>
        <w:t>green</w:t>
      </w:r>
      <w:r>
        <w:rPr>
          <w:szCs w:val="22"/>
        </w:rPr>
        <w:t xml:space="preserve">, </w:t>
      </w:r>
      <w:r w:rsidRPr="00634BF6">
        <w:rPr>
          <w:szCs w:val="22"/>
        </w:rPr>
        <w:t>MEX=grey</w:t>
      </w:r>
      <w:r>
        <w:rPr>
          <w:szCs w:val="22"/>
        </w:rPr>
        <w:t xml:space="preserve">, </w:t>
      </w:r>
      <w:r w:rsidRPr="00634BF6">
        <w:rPr>
          <w:szCs w:val="22"/>
        </w:rPr>
        <w:t>GIH=black</w:t>
      </w:r>
      <w:r>
        <w:rPr>
          <w:szCs w:val="22"/>
        </w:rPr>
        <w:t xml:space="preserve">, </w:t>
      </w:r>
      <w:r w:rsidRPr="00634BF6">
        <w:rPr>
          <w:szCs w:val="22"/>
        </w:rPr>
        <w:t>CHB=brown</w:t>
      </w:r>
      <w:r>
        <w:rPr>
          <w:szCs w:val="22"/>
        </w:rPr>
        <w:t xml:space="preserve">, </w:t>
      </w:r>
      <w:r w:rsidRPr="00634BF6">
        <w:rPr>
          <w:szCs w:val="22"/>
        </w:rPr>
        <w:t>JPT=purple</w:t>
      </w:r>
      <w:r>
        <w:rPr>
          <w:szCs w:val="22"/>
        </w:rPr>
        <w:t xml:space="preserve">, </w:t>
      </w:r>
      <w:r w:rsidRPr="00634BF6">
        <w:rPr>
          <w:szCs w:val="22"/>
        </w:rPr>
        <w:t>CHD=orange</w:t>
      </w:r>
      <w:r>
        <w:rPr>
          <w:szCs w:val="22"/>
        </w:rPr>
        <w:t xml:space="preserve">, YRI=yellow, </w:t>
      </w:r>
      <w:r w:rsidRPr="00634BF6">
        <w:rPr>
          <w:szCs w:val="22"/>
        </w:rPr>
        <w:t>LWK=magenta</w:t>
      </w:r>
      <w:r>
        <w:rPr>
          <w:szCs w:val="22"/>
        </w:rPr>
        <w:t xml:space="preserve">, </w:t>
      </w:r>
      <w:r w:rsidRPr="00634BF6">
        <w:rPr>
          <w:szCs w:val="22"/>
        </w:rPr>
        <w:t>ASW=olive</w:t>
      </w:r>
      <w:r>
        <w:rPr>
          <w:szCs w:val="22"/>
        </w:rPr>
        <w:t xml:space="preserve"> </w:t>
      </w:r>
      <w:r w:rsidRPr="00634BF6">
        <w:rPr>
          <w:szCs w:val="22"/>
        </w:rPr>
        <w:t>green</w:t>
      </w:r>
      <w:r>
        <w:rPr>
          <w:szCs w:val="22"/>
        </w:rPr>
        <w:t xml:space="preserve">, </w:t>
      </w:r>
      <w:r w:rsidRPr="00634BF6">
        <w:rPr>
          <w:szCs w:val="22"/>
        </w:rPr>
        <w:t>MKK=dark</w:t>
      </w:r>
      <w:r>
        <w:rPr>
          <w:szCs w:val="22"/>
        </w:rPr>
        <w:t xml:space="preserve"> </w:t>
      </w:r>
      <w:r w:rsidRPr="00634BF6">
        <w:rPr>
          <w:szCs w:val="22"/>
        </w:rPr>
        <w:t>blue</w:t>
      </w:r>
      <w:r>
        <w:rPr>
          <w:szCs w:val="22"/>
        </w:rPr>
        <w:t xml:space="preserve">. </w:t>
      </w:r>
      <w:r w:rsidRPr="00DF63B8">
        <w:rPr>
          <w:i/>
          <w:szCs w:val="22"/>
        </w:rPr>
        <w:t>Abbreviations:</w:t>
      </w:r>
      <w:r>
        <w:rPr>
          <w:szCs w:val="22"/>
        </w:rPr>
        <w:t xml:space="preserve"> </w:t>
      </w:r>
      <w:r w:rsidRPr="00634BF6">
        <w:rPr>
          <w:szCs w:val="22"/>
        </w:rPr>
        <w:t>ASW</w:t>
      </w:r>
      <w:r>
        <w:rPr>
          <w:szCs w:val="22"/>
        </w:rPr>
        <w:t xml:space="preserve">, </w:t>
      </w:r>
      <w:r w:rsidRPr="00634BF6">
        <w:rPr>
          <w:szCs w:val="22"/>
        </w:rPr>
        <w:t>African ancestry in Southwest USA</w:t>
      </w:r>
      <w:r>
        <w:rPr>
          <w:szCs w:val="22"/>
        </w:rPr>
        <w:t xml:space="preserve">; </w:t>
      </w:r>
      <w:r w:rsidRPr="00634BF6">
        <w:rPr>
          <w:szCs w:val="22"/>
        </w:rPr>
        <w:t>CEU</w:t>
      </w:r>
      <w:r>
        <w:rPr>
          <w:szCs w:val="22"/>
        </w:rPr>
        <w:t xml:space="preserve">, </w:t>
      </w:r>
      <w:r w:rsidRPr="00634BF6">
        <w:rPr>
          <w:szCs w:val="22"/>
        </w:rPr>
        <w:t>Utah residents with Northern and Western European ancestry from the CEPH collection</w:t>
      </w:r>
      <w:r>
        <w:rPr>
          <w:szCs w:val="22"/>
        </w:rPr>
        <w:t>; C</w:t>
      </w:r>
      <w:r w:rsidRPr="00634BF6">
        <w:rPr>
          <w:szCs w:val="22"/>
        </w:rPr>
        <w:t>HB</w:t>
      </w:r>
      <w:r>
        <w:rPr>
          <w:szCs w:val="22"/>
        </w:rPr>
        <w:t xml:space="preserve">, </w:t>
      </w:r>
      <w:r w:rsidRPr="00634BF6">
        <w:rPr>
          <w:szCs w:val="22"/>
        </w:rPr>
        <w:t>Han Chinese in Beijing, China</w:t>
      </w:r>
      <w:r>
        <w:rPr>
          <w:szCs w:val="22"/>
        </w:rPr>
        <w:t xml:space="preserve">; </w:t>
      </w:r>
      <w:r w:rsidRPr="00634BF6">
        <w:rPr>
          <w:szCs w:val="22"/>
        </w:rPr>
        <w:t>CHD</w:t>
      </w:r>
      <w:r>
        <w:rPr>
          <w:szCs w:val="22"/>
        </w:rPr>
        <w:t xml:space="preserve">, </w:t>
      </w:r>
      <w:r w:rsidRPr="00634BF6">
        <w:rPr>
          <w:szCs w:val="22"/>
        </w:rPr>
        <w:t>Chinese in Metropolitan Denver, Colorado</w:t>
      </w:r>
      <w:r>
        <w:rPr>
          <w:szCs w:val="22"/>
        </w:rPr>
        <w:t xml:space="preserve">; </w:t>
      </w:r>
      <w:r w:rsidRPr="00634BF6">
        <w:rPr>
          <w:szCs w:val="22"/>
        </w:rPr>
        <w:t>GIH</w:t>
      </w:r>
      <w:r>
        <w:rPr>
          <w:szCs w:val="22"/>
        </w:rPr>
        <w:t xml:space="preserve">, </w:t>
      </w:r>
      <w:r w:rsidRPr="00634BF6">
        <w:rPr>
          <w:szCs w:val="22"/>
        </w:rPr>
        <w:t>Gujarati Indians in Houston, Texas</w:t>
      </w:r>
      <w:r>
        <w:rPr>
          <w:szCs w:val="22"/>
        </w:rPr>
        <w:t xml:space="preserve">; </w:t>
      </w:r>
      <w:r w:rsidRPr="00634BF6">
        <w:rPr>
          <w:szCs w:val="22"/>
        </w:rPr>
        <w:t>JPT</w:t>
      </w:r>
      <w:r>
        <w:rPr>
          <w:szCs w:val="22"/>
        </w:rPr>
        <w:t xml:space="preserve">, </w:t>
      </w:r>
      <w:r w:rsidRPr="00634BF6">
        <w:rPr>
          <w:szCs w:val="22"/>
        </w:rPr>
        <w:t>Japanese in Tokyo, Japan</w:t>
      </w:r>
      <w:r>
        <w:rPr>
          <w:szCs w:val="22"/>
        </w:rPr>
        <w:t xml:space="preserve">; </w:t>
      </w:r>
      <w:r w:rsidRPr="00634BF6">
        <w:rPr>
          <w:szCs w:val="22"/>
        </w:rPr>
        <w:t>LWK</w:t>
      </w:r>
      <w:r>
        <w:rPr>
          <w:szCs w:val="22"/>
        </w:rPr>
        <w:t xml:space="preserve">, </w:t>
      </w:r>
      <w:r w:rsidRPr="00634BF6">
        <w:rPr>
          <w:szCs w:val="22"/>
        </w:rPr>
        <w:t xml:space="preserve">Luhya in </w:t>
      </w:r>
      <w:proofErr w:type="spellStart"/>
      <w:r w:rsidRPr="00634BF6">
        <w:rPr>
          <w:szCs w:val="22"/>
        </w:rPr>
        <w:t>Webuye</w:t>
      </w:r>
      <w:proofErr w:type="spellEnd"/>
      <w:r w:rsidRPr="00634BF6">
        <w:rPr>
          <w:szCs w:val="22"/>
        </w:rPr>
        <w:t>, Kenya</w:t>
      </w:r>
      <w:r>
        <w:rPr>
          <w:szCs w:val="22"/>
        </w:rPr>
        <w:t xml:space="preserve">; </w:t>
      </w:r>
      <w:r w:rsidRPr="00634BF6">
        <w:rPr>
          <w:szCs w:val="22"/>
        </w:rPr>
        <w:t>MXL</w:t>
      </w:r>
      <w:r>
        <w:rPr>
          <w:szCs w:val="22"/>
        </w:rPr>
        <w:t xml:space="preserve">, </w:t>
      </w:r>
      <w:r w:rsidRPr="00634BF6">
        <w:rPr>
          <w:szCs w:val="22"/>
        </w:rPr>
        <w:t>Mexican ancestry in Los Angeles, California</w:t>
      </w:r>
      <w:r>
        <w:rPr>
          <w:szCs w:val="22"/>
        </w:rPr>
        <w:t xml:space="preserve">; </w:t>
      </w:r>
      <w:r w:rsidRPr="00634BF6">
        <w:rPr>
          <w:szCs w:val="22"/>
        </w:rPr>
        <w:t>MKK</w:t>
      </w:r>
      <w:r>
        <w:rPr>
          <w:szCs w:val="22"/>
        </w:rPr>
        <w:t xml:space="preserve">, </w:t>
      </w:r>
      <w:r w:rsidRPr="00634BF6">
        <w:rPr>
          <w:szCs w:val="22"/>
        </w:rPr>
        <w:t xml:space="preserve">Maasai in </w:t>
      </w:r>
      <w:proofErr w:type="spellStart"/>
      <w:r w:rsidRPr="00634BF6">
        <w:rPr>
          <w:szCs w:val="22"/>
        </w:rPr>
        <w:t>Kinyawa</w:t>
      </w:r>
      <w:proofErr w:type="spellEnd"/>
      <w:r w:rsidRPr="00634BF6">
        <w:rPr>
          <w:szCs w:val="22"/>
        </w:rPr>
        <w:t>, Kenya</w:t>
      </w:r>
      <w:r>
        <w:rPr>
          <w:szCs w:val="22"/>
        </w:rPr>
        <w:t xml:space="preserve">; </w:t>
      </w:r>
      <w:r w:rsidRPr="00634BF6">
        <w:rPr>
          <w:szCs w:val="22"/>
        </w:rPr>
        <w:t>TSI</w:t>
      </w:r>
      <w:r>
        <w:rPr>
          <w:szCs w:val="22"/>
        </w:rPr>
        <w:t xml:space="preserve">, </w:t>
      </w:r>
      <w:proofErr w:type="spellStart"/>
      <w:r>
        <w:rPr>
          <w:szCs w:val="22"/>
        </w:rPr>
        <w:t>T</w:t>
      </w:r>
      <w:r w:rsidRPr="00634BF6">
        <w:rPr>
          <w:szCs w:val="22"/>
        </w:rPr>
        <w:t>oscani</w:t>
      </w:r>
      <w:proofErr w:type="spellEnd"/>
      <w:r w:rsidRPr="00634BF6">
        <w:rPr>
          <w:szCs w:val="22"/>
        </w:rPr>
        <w:t xml:space="preserve"> in Italia</w:t>
      </w:r>
      <w:r>
        <w:rPr>
          <w:szCs w:val="22"/>
        </w:rPr>
        <w:t xml:space="preserve">; </w:t>
      </w:r>
      <w:r w:rsidRPr="00634BF6">
        <w:rPr>
          <w:szCs w:val="22"/>
        </w:rPr>
        <w:t>YRI</w:t>
      </w:r>
      <w:r>
        <w:rPr>
          <w:szCs w:val="22"/>
        </w:rPr>
        <w:t xml:space="preserve">, </w:t>
      </w:r>
      <w:r w:rsidRPr="00634BF6">
        <w:rPr>
          <w:szCs w:val="22"/>
        </w:rPr>
        <w:t>Yoruba in Ibadan, Nigeria</w:t>
      </w:r>
      <w:r>
        <w:rPr>
          <w:szCs w:val="22"/>
        </w:rPr>
        <w:t>.</w:t>
      </w:r>
    </w:p>
    <w:p w14:paraId="2C51F6F2" w14:textId="77777777" w:rsidR="003E3CA9" w:rsidRDefault="003E3CA9" w:rsidP="00594476">
      <w:pPr>
        <w:spacing w:after="0" w:line="336" w:lineRule="auto"/>
        <w:jc w:val="both"/>
        <w:rPr>
          <w:b/>
          <w:bCs/>
          <w:sz w:val="24"/>
          <w:szCs w:val="32"/>
        </w:rPr>
        <w:sectPr w:rsidR="003E3CA9" w:rsidSect="00DF63B8">
          <w:type w:val="continuous"/>
          <w:pgSz w:w="11906" w:h="16838"/>
          <w:pgMar w:top="1440" w:right="1440" w:bottom="1440" w:left="1440" w:header="708" w:footer="708" w:gutter="0"/>
          <w:cols w:space="708"/>
          <w:docGrid w:linePitch="360"/>
        </w:sectPr>
      </w:pPr>
    </w:p>
    <w:p w14:paraId="655E41B7" w14:textId="5E972112" w:rsidR="00926E81" w:rsidRDefault="00926E81" w:rsidP="00D80CD5">
      <w:pPr>
        <w:spacing w:after="0" w:line="480" w:lineRule="auto"/>
        <w:jc w:val="both"/>
        <w:rPr>
          <w:b/>
          <w:bCs/>
          <w:sz w:val="24"/>
          <w:szCs w:val="32"/>
        </w:rPr>
      </w:pPr>
    </w:p>
    <w:p w14:paraId="3DECE98B" w14:textId="77777777" w:rsidR="00F2286E" w:rsidRPr="005E7DDB" w:rsidRDefault="00F2286E" w:rsidP="00F2286E">
      <w:pPr>
        <w:spacing w:after="0" w:line="240" w:lineRule="auto"/>
        <w:jc w:val="both"/>
        <w:rPr>
          <w:b/>
          <w:bCs/>
          <w:sz w:val="24"/>
          <w:szCs w:val="32"/>
        </w:rPr>
      </w:pPr>
      <w:r w:rsidRPr="005E7DDB">
        <w:rPr>
          <w:b/>
          <w:bCs/>
          <w:noProof/>
          <w:sz w:val="24"/>
          <w:szCs w:val="32"/>
          <w:lang w:eastAsia="en-AU" w:bidi="ar-SA"/>
        </w:rPr>
        <w:t>A)</w:t>
      </w:r>
    </w:p>
    <w:p w14:paraId="44C83DFB" w14:textId="77777777" w:rsidR="00F2286E" w:rsidRDefault="00F2286E" w:rsidP="00F2286E">
      <w:pPr>
        <w:spacing w:after="0" w:line="240" w:lineRule="auto"/>
        <w:jc w:val="both"/>
        <w:rPr>
          <w:b/>
          <w:bCs/>
          <w:sz w:val="24"/>
          <w:szCs w:val="32"/>
          <w:highlight w:val="yellow"/>
        </w:rPr>
      </w:pPr>
      <w:r>
        <w:rPr>
          <w:b/>
          <w:bCs/>
          <w:noProof/>
          <w:sz w:val="24"/>
          <w:szCs w:val="32"/>
          <w:lang w:val="en-US" w:eastAsia="en-US" w:bidi="ar-SA"/>
        </w:rPr>
        <w:drawing>
          <wp:inline distT="0" distB="0" distL="0" distR="0" wp14:anchorId="089FC74A" wp14:editId="74AD1F9F">
            <wp:extent cx="3517900" cy="2110740"/>
            <wp:effectExtent l="0" t="0" r="635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4_colour_batch1-3_minuslegend.jpg"/>
                    <pic:cNvPicPr/>
                  </pic:nvPicPr>
                  <pic:blipFill>
                    <a:blip r:embed="rId19">
                      <a:extLst>
                        <a:ext uri="{28A0092B-C50C-407E-A947-70E740481C1C}">
                          <a14:useLocalDpi xmlns:a14="http://schemas.microsoft.com/office/drawing/2010/main" val="0"/>
                        </a:ext>
                      </a:extLst>
                    </a:blip>
                    <a:stretch>
                      <a:fillRect/>
                    </a:stretch>
                  </pic:blipFill>
                  <pic:spPr>
                    <a:xfrm>
                      <a:off x="0" y="0"/>
                      <a:ext cx="3517900" cy="2110740"/>
                    </a:xfrm>
                    <a:prstGeom prst="rect">
                      <a:avLst/>
                    </a:prstGeom>
                  </pic:spPr>
                </pic:pic>
              </a:graphicData>
            </a:graphic>
          </wp:inline>
        </w:drawing>
      </w:r>
    </w:p>
    <w:p w14:paraId="50FEA0C5" w14:textId="77777777" w:rsidR="00F2286E" w:rsidRPr="005E7DDB" w:rsidRDefault="00F2286E" w:rsidP="00F2286E">
      <w:pPr>
        <w:spacing w:after="0" w:line="240" w:lineRule="auto"/>
        <w:jc w:val="both"/>
        <w:rPr>
          <w:b/>
          <w:bCs/>
          <w:sz w:val="24"/>
          <w:szCs w:val="32"/>
        </w:rPr>
      </w:pPr>
      <w:r w:rsidRPr="005E7DDB">
        <w:rPr>
          <w:b/>
          <w:bCs/>
          <w:sz w:val="24"/>
          <w:szCs w:val="32"/>
        </w:rPr>
        <w:t>B)</w:t>
      </w:r>
    </w:p>
    <w:p w14:paraId="536A968F" w14:textId="77777777" w:rsidR="00F2286E" w:rsidRDefault="00F2286E" w:rsidP="00F2286E">
      <w:pPr>
        <w:spacing w:after="0" w:line="240" w:lineRule="auto"/>
        <w:jc w:val="both"/>
        <w:rPr>
          <w:b/>
          <w:sz w:val="20"/>
          <w:szCs w:val="24"/>
        </w:rPr>
      </w:pPr>
      <w:r>
        <w:rPr>
          <w:b/>
          <w:noProof/>
          <w:sz w:val="20"/>
          <w:szCs w:val="24"/>
          <w:lang w:val="en-US" w:eastAsia="en-US" w:bidi="ar-SA"/>
        </w:rPr>
        <w:drawing>
          <wp:inline distT="0" distB="0" distL="0" distR="0" wp14:anchorId="30A30A61" wp14:editId="79D1E933">
            <wp:extent cx="4572635" cy="28346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635" cy="2834640"/>
                    </a:xfrm>
                    <a:prstGeom prst="rect">
                      <a:avLst/>
                    </a:prstGeom>
                    <a:noFill/>
                  </pic:spPr>
                </pic:pic>
              </a:graphicData>
            </a:graphic>
          </wp:inline>
        </w:drawing>
      </w:r>
    </w:p>
    <w:p w14:paraId="3B1EC27E" w14:textId="071EADC3" w:rsidR="00F2286E" w:rsidRPr="004E2FF9" w:rsidRDefault="00F2286E" w:rsidP="00F2286E">
      <w:pPr>
        <w:spacing w:after="0" w:line="480" w:lineRule="auto"/>
        <w:jc w:val="both"/>
        <w:rPr>
          <w:b/>
          <w:szCs w:val="22"/>
        </w:rPr>
      </w:pPr>
      <w:r w:rsidRPr="004E2FF9">
        <w:rPr>
          <w:i/>
          <w:szCs w:val="22"/>
        </w:rPr>
        <w:t xml:space="preserve">Figure </w:t>
      </w:r>
      <w:r w:rsidR="00E52E31" w:rsidRPr="004E2FF9">
        <w:rPr>
          <w:i/>
          <w:szCs w:val="22"/>
        </w:rPr>
        <w:t>S</w:t>
      </w:r>
      <w:r w:rsidR="00E52E31">
        <w:rPr>
          <w:i/>
          <w:szCs w:val="22"/>
        </w:rPr>
        <w:t>3</w:t>
      </w:r>
      <w:r w:rsidRPr="004E2FF9">
        <w:rPr>
          <w:i/>
          <w:szCs w:val="22"/>
        </w:rPr>
        <w:t>.</w:t>
      </w:r>
      <w:r w:rsidRPr="004E2FF9">
        <w:rPr>
          <w:b/>
          <w:szCs w:val="22"/>
        </w:rPr>
        <w:t xml:space="preserve"> </w:t>
      </w:r>
      <w:r w:rsidRPr="004E2FF9">
        <w:rPr>
          <w:szCs w:val="22"/>
        </w:rPr>
        <w:t xml:space="preserve">Estimated blood-cell components for alternative blood tissue sources for Batch 1-3 (panel A) and Batch 4 (panel B) samples. Proportions of </w:t>
      </w:r>
      <w:r w:rsidRPr="004E2FF9">
        <w:rPr>
          <w:rFonts w:cstheme="minorHAnsi"/>
          <w:szCs w:val="22"/>
        </w:rPr>
        <w:t>six cell-types: B cells (</w:t>
      </w:r>
      <w:proofErr w:type="spellStart"/>
      <w:r w:rsidRPr="004E2FF9">
        <w:rPr>
          <w:rFonts w:cstheme="minorHAnsi"/>
          <w:szCs w:val="22"/>
        </w:rPr>
        <w:t>Bcell</w:t>
      </w:r>
      <w:proofErr w:type="spellEnd"/>
      <w:r w:rsidRPr="004E2FF9">
        <w:rPr>
          <w:rFonts w:cstheme="minorHAnsi"/>
          <w:szCs w:val="22"/>
        </w:rPr>
        <w:t xml:space="preserve">), CD4 </w:t>
      </w:r>
      <w:r w:rsidRPr="004E2FF9">
        <w:rPr>
          <w:rStyle w:val="hgkelc"/>
          <w:szCs w:val="22"/>
        </w:rPr>
        <w:t>T lymphocytes</w:t>
      </w:r>
      <w:r w:rsidRPr="004E2FF9">
        <w:rPr>
          <w:rFonts w:cstheme="minorHAnsi"/>
          <w:szCs w:val="22"/>
        </w:rPr>
        <w:t xml:space="preserve"> (CD4T), CD8</w:t>
      </w:r>
      <w:r w:rsidRPr="004E2FF9">
        <w:rPr>
          <w:rFonts w:cstheme="minorHAnsi"/>
          <w:szCs w:val="22"/>
          <w:vertAlign w:val="superscript"/>
        </w:rPr>
        <w:t>+</w:t>
      </w:r>
      <w:r w:rsidRPr="004E2FF9">
        <w:rPr>
          <w:rFonts w:cstheme="minorHAnsi"/>
          <w:szCs w:val="22"/>
        </w:rPr>
        <w:t xml:space="preserve"> T cells (CD8T), granulocytes (gran), monocytes (mono) and natural killer (NK); were estimated performed using </w:t>
      </w:r>
      <w:proofErr w:type="spellStart"/>
      <w:r w:rsidRPr="004E2FF9">
        <w:rPr>
          <w:rFonts w:cstheme="minorHAnsi"/>
          <w:i/>
          <w:iCs/>
          <w:szCs w:val="22"/>
        </w:rPr>
        <w:t>meffil’s</w:t>
      </w:r>
      <w:proofErr w:type="spellEnd"/>
      <w:r w:rsidRPr="004E2FF9">
        <w:rPr>
          <w:rFonts w:cstheme="minorHAnsi"/>
          <w:i/>
          <w:iCs/>
          <w:szCs w:val="22"/>
        </w:rPr>
        <w:t xml:space="preserve"> </w:t>
      </w:r>
      <w:r w:rsidRPr="004E2FF9">
        <w:rPr>
          <w:szCs w:val="22"/>
        </w:rPr>
        <w:t xml:space="preserve">gse35069 profile </w:t>
      </w:r>
      <w:proofErr w:type="gramStart"/>
      <w:r w:rsidRPr="004E2FF9">
        <w:rPr>
          <w:szCs w:val="22"/>
        </w:rPr>
        <w:t>reference</w:t>
      </w:r>
      <w:r w:rsidRPr="004E2FF9">
        <w:rPr>
          <w:rFonts w:cstheme="minorHAnsi"/>
          <w:szCs w:val="22"/>
        </w:rPr>
        <w:t>.</w:t>
      </w:r>
      <w:r w:rsidR="006A4419">
        <w:rPr>
          <w:rFonts w:cstheme="minorHAnsi"/>
          <w:szCs w:val="22"/>
        </w:rPr>
        <w:t>[</w:t>
      </w:r>
      <w:proofErr w:type="gramEnd"/>
      <w:r w:rsidR="006A4419">
        <w:rPr>
          <w:rFonts w:cstheme="minorHAnsi"/>
          <w:szCs w:val="22"/>
        </w:rPr>
        <w:t>23]</w:t>
      </w:r>
      <w:r w:rsidRPr="004E2FF9">
        <w:rPr>
          <w:szCs w:val="22"/>
        </w:rPr>
        <w:t xml:space="preserve"> Proportions are average values that sum to 1, and error bars represent standard deviations. Red bars indicate whole-blood derived samples, orange bars represent lymphocyte-derived samples, green bars indicate </w:t>
      </w:r>
      <w:proofErr w:type="spellStart"/>
      <w:r w:rsidRPr="004E2FF9">
        <w:rPr>
          <w:szCs w:val="22"/>
        </w:rPr>
        <w:t>ficoll</w:t>
      </w:r>
      <w:proofErr w:type="spellEnd"/>
      <w:r w:rsidRPr="004E2FF9">
        <w:rPr>
          <w:szCs w:val="22"/>
        </w:rPr>
        <w:t>/</w:t>
      </w:r>
      <w:proofErr w:type="spellStart"/>
      <w:r w:rsidRPr="004E2FF9">
        <w:rPr>
          <w:szCs w:val="22"/>
        </w:rPr>
        <w:t>buffycoat</w:t>
      </w:r>
      <w:proofErr w:type="spellEnd"/>
      <w:r w:rsidRPr="004E2FF9">
        <w:rPr>
          <w:szCs w:val="22"/>
        </w:rPr>
        <w:t xml:space="preserve">-derived samples; solid colouring indicates Australian participant samples and hatched colouring indicates US participant samples. </w:t>
      </w:r>
    </w:p>
    <w:p w14:paraId="553796BD" w14:textId="77777777" w:rsidR="001F2818" w:rsidRDefault="001F2818" w:rsidP="00F2286E">
      <w:pPr>
        <w:spacing w:after="0" w:line="480" w:lineRule="auto"/>
        <w:jc w:val="both"/>
        <w:rPr>
          <w:b/>
          <w:bCs/>
          <w:sz w:val="24"/>
          <w:szCs w:val="32"/>
        </w:rPr>
        <w:sectPr w:rsidR="001F2818">
          <w:pgSz w:w="11906" w:h="16838"/>
          <w:pgMar w:top="1440" w:right="1440" w:bottom="1440" w:left="1440" w:header="708" w:footer="708" w:gutter="0"/>
          <w:cols w:space="708"/>
          <w:docGrid w:linePitch="360"/>
        </w:sectPr>
      </w:pPr>
    </w:p>
    <w:p w14:paraId="26182DBF" w14:textId="3E21D0D6" w:rsidR="00F2286E" w:rsidRPr="001F2818" w:rsidRDefault="001F2818" w:rsidP="001F2818">
      <w:pPr>
        <w:pStyle w:val="ListParagraph"/>
        <w:numPr>
          <w:ilvl w:val="0"/>
          <w:numId w:val="2"/>
        </w:numPr>
        <w:spacing w:after="0" w:line="480" w:lineRule="auto"/>
        <w:ind w:left="4395" w:hanging="4253"/>
        <w:jc w:val="both"/>
        <w:rPr>
          <w:b/>
          <w:bCs/>
          <w:sz w:val="24"/>
          <w:szCs w:val="32"/>
        </w:rPr>
      </w:pPr>
      <w:r>
        <w:rPr>
          <w:b/>
          <w:bCs/>
          <w:sz w:val="24"/>
          <w:szCs w:val="32"/>
        </w:rPr>
        <w:t>B)</w:t>
      </w:r>
      <w:r w:rsidR="006A172F">
        <w:rPr>
          <w:b/>
          <w:bCs/>
          <w:sz w:val="24"/>
          <w:szCs w:val="32"/>
        </w:rPr>
        <w:tab/>
      </w:r>
      <w:r w:rsidR="006A172F">
        <w:rPr>
          <w:b/>
          <w:bCs/>
          <w:sz w:val="24"/>
          <w:szCs w:val="32"/>
        </w:rPr>
        <w:tab/>
      </w:r>
      <w:r w:rsidR="006A172F">
        <w:rPr>
          <w:b/>
          <w:bCs/>
          <w:sz w:val="24"/>
          <w:szCs w:val="32"/>
        </w:rPr>
        <w:tab/>
      </w:r>
      <w:r w:rsidR="006A172F">
        <w:rPr>
          <w:b/>
          <w:bCs/>
          <w:sz w:val="24"/>
          <w:szCs w:val="32"/>
        </w:rPr>
        <w:tab/>
      </w:r>
      <w:r w:rsidR="006A172F">
        <w:rPr>
          <w:b/>
          <w:bCs/>
          <w:sz w:val="24"/>
          <w:szCs w:val="32"/>
        </w:rPr>
        <w:tab/>
      </w:r>
      <w:r w:rsidR="006A172F">
        <w:rPr>
          <w:b/>
          <w:bCs/>
          <w:sz w:val="24"/>
          <w:szCs w:val="32"/>
        </w:rPr>
        <w:tab/>
        <w:t>C)</w:t>
      </w:r>
    </w:p>
    <w:p w14:paraId="20753612" w14:textId="329E0917" w:rsidR="007F7890" w:rsidRDefault="001F2818" w:rsidP="001F2818">
      <w:pPr>
        <w:rPr>
          <w:i/>
          <w:color w:val="7030A0"/>
        </w:rPr>
      </w:pPr>
      <w:r w:rsidRPr="004F1B20">
        <w:rPr>
          <w:i/>
          <w:noProof/>
          <w:color w:val="7030A0"/>
          <w:lang w:val="en-US" w:eastAsia="en-US" w:bidi="ar-SA"/>
        </w:rPr>
        <w:drawing>
          <wp:inline distT="0" distB="0" distL="0" distR="0" wp14:anchorId="6463AF08" wp14:editId="5F3EAD75">
            <wp:extent cx="2699998" cy="18000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oking_cg05575921_HR_EWASdiscovery_highVsLowPRS.tif"/>
                    <pic:cNvPicPr/>
                  </pic:nvPicPr>
                  <pic:blipFill>
                    <a:blip r:embed="rId21">
                      <a:extLst>
                        <a:ext uri="{28A0092B-C50C-407E-A947-70E740481C1C}">
                          <a14:useLocalDpi xmlns:a14="http://schemas.microsoft.com/office/drawing/2010/main" val="0"/>
                        </a:ext>
                      </a:extLst>
                    </a:blip>
                    <a:stretch>
                      <a:fillRect/>
                    </a:stretch>
                  </pic:blipFill>
                  <pic:spPr>
                    <a:xfrm>
                      <a:off x="0" y="0"/>
                      <a:ext cx="2699998" cy="1800000"/>
                    </a:xfrm>
                    <a:prstGeom prst="rect">
                      <a:avLst/>
                    </a:prstGeom>
                  </pic:spPr>
                </pic:pic>
              </a:graphicData>
            </a:graphic>
          </wp:inline>
        </w:drawing>
      </w:r>
      <w:r w:rsidRPr="004F1B20">
        <w:rPr>
          <w:i/>
          <w:noProof/>
          <w:color w:val="7030A0"/>
          <w:lang w:val="en-US" w:eastAsia="en-US" w:bidi="ar-SA"/>
        </w:rPr>
        <w:drawing>
          <wp:inline distT="0" distB="0" distL="0" distR="0" wp14:anchorId="02913C65" wp14:editId="18C6AED5">
            <wp:extent cx="2700000" cy="18000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oking_cg05575921_CON_repSet1_highVsLowPRS.tif"/>
                    <pic:cNvPicPr/>
                  </pic:nvPicPr>
                  <pic:blipFill>
                    <a:blip r:embed="rId22">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r w:rsidR="0013707C" w:rsidRPr="004F1B20">
        <w:rPr>
          <w:i/>
          <w:noProof/>
          <w:color w:val="7030A0"/>
          <w:lang w:val="en-US" w:eastAsia="en-US" w:bidi="ar-SA"/>
        </w:rPr>
        <w:drawing>
          <wp:inline distT="0" distB="0" distL="0" distR="0" wp14:anchorId="73CF80C8" wp14:editId="2E1CDCB2">
            <wp:extent cx="2700000" cy="180000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oking_cg05575921_repSet2_colourBDvsHRvsCON_BDsyndSQUvsdisorderFreeTRI.tif"/>
                    <pic:cNvPicPr/>
                  </pic:nvPicPr>
                  <pic:blipFill>
                    <a:blip r:embed="rId23">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inline>
        </w:drawing>
      </w:r>
    </w:p>
    <w:p w14:paraId="103149F2" w14:textId="490B8BE6" w:rsidR="006A172F" w:rsidRPr="00093D89" w:rsidRDefault="001F2818" w:rsidP="004F1B20">
      <w:pPr>
        <w:spacing w:line="480" w:lineRule="auto"/>
        <w:jc w:val="both"/>
        <w:rPr>
          <w:szCs w:val="22"/>
        </w:rPr>
      </w:pPr>
      <w:r w:rsidRPr="00093D89">
        <w:rPr>
          <w:i/>
        </w:rPr>
        <w:t>Figure S</w:t>
      </w:r>
      <w:r w:rsidR="00E52E31" w:rsidRPr="00093D89">
        <w:rPr>
          <w:i/>
        </w:rPr>
        <w:t>4</w:t>
      </w:r>
      <w:r w:rsidR="00857607" w:rsidRPr="00093D89">
        <w:rPr>
          <w:i/>
        </w:rPr>
        <w:t>.</w:t>
      </w:r>
      <w:r w:rsidRPr="00093D89">
        <w:t xml:space="preserve"> Predicted smoking status of sample based on methylation status of cg05575921, which lies in an intronic transcription enhancer in the aryl hydrocarbon receptor repressor (AHRR) gene. Individuals with normalised </w:t>
      </w:r>
      <w:r w:rsidR="00C1695B" w:rsidRPr="00093D89">
        <w:t>β-</w:t>
      </w:r>
      <w:r w:rsidRPr="00093D89">
        <w:t xml:space="preserve">values &gt;~0.85 are reported to have &gt;90% probability of abstaining, and individuals with normalised </w:t>
      </w:r>
      <w:r w:rsidR="00C1695B" w:rsidRPr="00093D89">
        <w:t>β-</w:t>
      </w:r>
      <w:r w:rsidRPr="00093D89">
        <w:t xml:space="preserve">values &lt;0.75 are reported to have </w:t>
      </w:r>
      <w:r w:rsidR="00C1695B" w:rsidRPr="00093D89">
        <w:t>&lt;</w:t>
      </w:r>
      <w:r w:rsidRPr="00093D89">
        <w:t xml:space="preserve">~10% probability of </w:t>
      </w:r>
      <w:proofErr w:type="gramStart"/>
      <w:r w:rsidRPr="00093D89">
        <w:t>abstaining</w:t>
      </w:r>
      <w:r w:rsidR="006A4419">
        <w:t>[</w:t>
      </w:r>
      <w:proofErr w:type="gramEnd"/>
      <w:r w:rsidR="006A4419">
        <w:t>22]</w:t>
      </w:r>
      <w:r w:rsidRPr="00093D89">
        <w:t xml:space="preserve">; around 10% of the sample is in the ambiguous range (β=0.75-0.85). </w:t>
      </w:r>
      <w:r w:rsidR="00EF5C69" w:rsidRPr="00093D89">
        <w:t>Each panel shows a scatter plot of methylation β-values at</w:t>
      </w:r>
      <w:r w:rsidR="00EF5C69" w:rsidRPr="00093D89">
        <w:rPr>
          <w:b/>
        </w:rPr>
        <w:t xml:space="preserve"> </w:t>
      </w:r>
      <w:r w:rsidR="00EF5C69" w:rsidRPr="00093D89">
        <w:t xml:space="preserve">cg05575921 (x-axis) and baseline age (y-axis).  </w:t>
      </w:r>
      <w:r w:rsidR="00594476" w:rsidRPr="00093D89">
        <w:rPr>
          <w:szCs w:val="22"/>
        </w:rPr>
        <w:t xml:space="preserve">A) EWAS discovery sample of HR participants; </w:t>
      </w:r>
      <w:r w:rsidR="00D276F9" w:rsidRPr="00093D89">
        <w:rPr>
          <w:rFonts w:cstheme="minorHAnsi"/>
          <w:i/>
          <w:szCs w:val="22"/>
        </w:rPr>
        <w:t>n</w:t>
      </w:r>
      <w:r w:rsidR="00D276F9" w:rsidRPr="00093D89">
        <w:rPr>
          <w:sz w:val="20"/>
          <w:szCs w:val="20"/>
        </w:rPr>
        <w:t>=</w:t>
      </w:r>
      <w:r w:rsidR="00594476" w:rsidRPr="00093D89">
        <w:rPr>
          <w:szCs w:val="22"/>
        </w:rPr>
        <w:t xml:space="preserve">72 (88%) are probable-abstainers, </w:t>
      </w:r>
      <w:r w:rsidR="00D276F9" w:rsidRPr="00093D89">
        <w:rPr>
          <w:rFonts w:cstheme="minorHAnsi"/>
          <w:i/>
          <w:szCs w:val="22"/>
        </w:rPr>
        <w:t>n</w:t>
      </w:r>
      <w:r w:rsidR="00D276F9" w:rsidRPr="00093D89">
        <w:rPr>
          <w:sz w:val="20"/>
          <w:szCs w:val="20"/>
        </w:rPr>
        <w:t>=</w:t>
      </w:r>
      <w:r w:rsidR="00594476" w:rsidRPr="00093D89">
        <w:rPr>
          <w:szCs w:val="22"/>
        </w:rPr>
        <w:t xml:space="preserve">9 (9.7%) are ambiguous, </w:t>
      </w:r>
      <w:r w:rsidR="00D276F9" w:rsidRPr="00093D89">
        <w:rPr>
          <w:rFonts w:cstheme="minorHAnsi"/>
          <w:i/>
          <w:szCs w:val="22"/>
        </w:rPr>
        <w:t>n</w:t>
      </w:r>
      <w:r w:rsidR="00D276F9" w:rsidRPr="00093D89">
        <w:rPr>
          <w:sz w:val="20"/>
          <w:szCs w:val="20"/>
        </w:rPr>
        <w:t>=</w:t>
      </w:r>
      <w:r w:rsidR="00594476" w:rsidRPr="00093D89">
        <w:rPr>
          <w:szCs w:val="22"/>
        </w:rPr>
        <w:t xml:space="preserve">2 (2.5%) are probable-smokers. Red diamonds are </w:t>
      </w:r>
      <w:r w:rsidR="00521552">
        <w:rPr>
          <w:szCs w:val="22"/>
        </w:rPr>
        <w:t>Low-BD-</w:t>
      </w:r>
      <w:r w:rsidR="00521552" w:rsidRPr="00093D89">
        <w:rPr>
          <w:szCs w:val="22"/>
        </w:rPr>
        <w:t>PRS</w:t>
      </w:r>
      <w:r w:rsidR="00594476" w:rsidRPr="00093D89">
        <w:rPr>
          <w:szCs w:val="22"/>
        </w:rPr>
        <w:t xml:space="preserve">, blue diamonds are </w:t>
      </w:r>
      <w:r w:rsidR="00521552">
        <w:rPr>
          <w:szCs w:val="22"/>
        </w:rPr>
        <w:t>High-BD-</w:t>
      </w:r>
      <w:r w:rsidR="00521552" w:rsidRPr="00093D89">
        <w:rPr>
          <w:szCs w:val="22"/>
        </w:rPr>
        <w:t>PRS</w:t>
      </w:r>
      <w:r w:rsidR="00594476" w:rsidRPr="00093D89">
        <w:rPr>
          <w:szCs w:val="22"/>
        </w:rPr>
        <w:t xml:space="preserve">.  B) validation set 1 (control participants); </w:t>
      </w:r>
      <w:r w:rsidR="00D276F9" w:rsidRPr="00093D89">
        <w:rPr>
          <w:rFonts w:cstheme="minorHAnsi"/>
          <w:i/>
          <w:szCs w:val="22"/>
        </w:rPr>
        <w:t>n</w:t>
      </w:r>
      <w:r w:rsidR="00D276F9" w:rsidRPr="00093D89">
        <w:rPr>
          <w:sz w:val="20"/>
          <w:szCs w:val="20"/>
        </w:rPr>
        <w:t>=</w:t>
      </w:r>
      <w:r w:rsidR="00594476" w:rsidRPr="00093D89">
        <w:rPr>
          <w:szCs w:val="22"/>
        </w:rPr>
        <w:t xml:space="preserve">45 (83%) are probable-abstainers, </w:t>
      </w:r>
      <w:r w:rsidR="00D276F9" w:rsidRPr="00093D89">
        <w:rPr>
          <w:rFonts w:cstheme="minorHAnsi"/>
          <w:i/>
          <w:szCs w:val="22"/>
        </w:rPr>
        <w:t>n</w:t>
      </w:r>
      <w:r w:rsidR="00D276F9" w:rsidRPr="00093D89">
        <w:rPr>
          <w:sz w:val="20"/>
          <w:szCs w:val="20"/>
        </w:rPr>
        <w:t>=</w:t>
      </w:r>
      <w:r w:rsidR="00594476" w:rsidRPr="00093D89">
        <w:rPr>
          <w:szCs w:val="22"/>
        </w:rPr>
        <w:t xml:space="preserve">9 (17%) are ambiguous, </w:t>
      </w:r>
      <w:r w:rsidR="00D276F9" w:rsidRPr="00093D89">
        <w:rPr>
          <w:rFonts w:cstheme="minorHAnsi"/>
          <w:i/>
          <w:szCs w:val="22"/>
        </w:rPr>
        <w:t>n</w:t>
      </w:r>
      <w:r w:rsidR="00D276F9" w:rsidRPr="00093D89">
        <w:rPr>
          <w:sz w:val="20"/>
          <w:szCs w:val="20"/>
        </w:rPr>
        <w:t>=</w:t>
      </w:r>
      <w:r w:rsidR="00594476" w:rsidRPr="00093D89">
        <w:rPr>
          <w:szCs w:val="22"/>
        </w:rPr>
        <w:t xml:space="preserve">0 are probable-smokers. Red diamonds are </w:t>
      </w:r>
      <w:r w:rsidR="00521552">
        <w:rPr>
          <w:szCs w:val="22"/>
        </w:rPr>
        <w:t>Low-BD-</w:t>
      </w:r>
      <w:r w:rsidR="00594476" w:rsidRPr="00093D89">
        <w:rPr>
          <w:szCs w:val="22"/>
        </w:rPr>
        <w:t xml:space="preserve">PRS, blue diamonds are </w:t>
      </w:r>
      <w:r w:rsidR="00521552">
        <w:rPr>
          <w:szCs w:val="22"/>
        </w:rPr>
        <w:t>High-BD-</w:t>
      </w:r>
      <w:r w:rsidR="00594476" w:rsidRPr="00093D89">
        <w:rPr>
          <w:szCs w:val="22"/>
        </w:rPr>
        <w:t>PRS. C) validation set 2; baseline group is colour coded as follows: BD=red (</w:t>
      </w:r>
      <w:r w:rsidR="00D276F9" w:rsidRPr="00093D89">
        <w:rPr>
          <w:rFonts w:cstheme="minorHAnsi"/>
          <w:i/>
          <w:szCs w:val="22"/>
        </w:rPr>
        <w:t>n</w:t>
      </w:r>
      <w:r w:rsidR="00D276F9" w:rsidRPr="00093D89">
        <w:rPr>
          <w:sz w:val="20"/>
          <w:szCs w:val="20"/>
        </w:rPr>
        <w:t>=</w:t>
      </w:r>
      <w:r w:rsidR="00594476" w:rsidRPr="00093D89">
        <w:rPr>
          <w:szCs w:val="22"/>
        </w:rPr>
        <w:t>4 probable-smokers), baseline HR=orange (</w:t>
      </w:r>
      <w:r w:rsidR="00D276F9" w:rsidRPr="00093D89">
        <w:rPr>
          <w:rFonts w:cstheme="minorHAnsi"/>
          <w:i/>
          <w:szCs w:val="22"/>
        </w:rPr>
        <w:t>n</w:t>
      </w:r>
      <w:r w:rsidR="00D276F9" w:rsidRPr="00093D89">
        <w:rPr>
          <w:sz w:val="20"/>
          <w:szCs w:val="20"/>
        </w:rPr>
        <w:t>=</w:t>
      </w:r>
      <w:r w:rsidR="00594476" w:rsidRPr="00093D89">
        <w:rPr>
          <w:szCs w:val="22"/>
        </w:rPr>
        <w:t>7 probable-smokers), baseline CON=yellow (</w:t>
      </w:r>
      <w:r w:rsidR="00D276F9" w:rsidRPr="00093D89">
        <w:rPr>
          <w:rFonts w:cstheme="minorHAnsi"/>
          <w:i/>
          <w:szCs w:val="22"/>
        </w:rPr>
        <w:t>n</w:t>
      </w:r>
      <w:r w:rsidR="00D276F9" w:rsidRPr="00093D89">
        <w:rPr>
          <w:sz w:val="20"/>
          <w:szCs w:val="20"/>
        </w:rPr>
        <w:t>=</w:t>
      </w:r>
      <w:r w:rsidR="00594476" w:rsidRPr="00093D89">
        <w:rPr>
          <w:szCs w:val="22"/>
        </w:rPr>
        <w:t>1 probable-smoker). Individuals who were BD-syndromic at follow-up are represented by squares; disorder-free individuals are indicated by triangles.</w:t>
      </w:r>
    </w:p>
    <w:p w14:paraId="37CC76A6" w14:textId="244B65FE" w:rsidR="003A06FB" w:rsidRPr="00093D89" w:rsidRDefault="003A06FB" w:rsidP="00594476">
      <w:pPr>
        <w:spacing w:line="480" w:lineRule="auto"/>
        <w:sectPr w:rsidR="003A06FB" w:rsidRPr="00093D89" w:rsidSect="007F7890">
          <w:pgSz w:w="16838" w:h="11906" w:orient="landscape"/>
          <w:pgMar w:top="1440" w:right="1440" w:bottom="1440" w:left="1440" w:header="708" w:footer="708" w:gutter="0"/>
          <w:cols w:space="708"/>
          <w:docGrid w:linePitch="360"/>
        </w:sectPr>
      </w:pPr>
    </w:p>
    <w:p w14:paraId="6BA6FEFB" w14:textId="799EDF70" w:rsidR="00DA60AC" w:rsidRDefault="006C57A4" w:rsidP="00F2286E">
      <w:pPr>
        <w:spacing w:after="0" w:line="480" w:lineRule="auto"/>
        <w:jc w:val="both"/>
        <w:rPr>
          <w:b/>
          <w:bCs/>
          <w:sz w:val="24"/>
          <w:szCs w:val="32"/>
        </w:rPr>
      </w:pPr>
      <w:r w:rsidRPr="004F1B20">
        <w:rPr>
          <w:b/>
          <w:bCs/>
          <w:noProof/>
          <w:sz w:val="24"/>
          <w:szCs w:val="32"/>
          <w:lang w:val="en-US" w:eastAsia="en-US" w:bidi="ar-SA"/>
        </w:rPr>
        <w:drawing>
          <wp:inline distT="0" distB="0" distL="0" distR="0" wp14:anchorId="68D1A2E0" wp14:editId="10EEEB11">
            <wp:extent cx="5731510" cy="261683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6_discEWAS-smoking2.tif"/>
                    <pic:cNvPicPr/>
                  </pic:nvPicPr>
                  <pic:blipFill>
                    <a:blip r:embed="rId24">
                      <a:extLst>
                        <a:ext uri="{28A0092B-C50C-407E-A947-70E740481C1C}">
                          <a14:useLocalDpi xmlns:a14="http://schemas.microsoft.com/office/drawing/2010/main" val="0"/>
                        </a:ext>
                      </a:extLst>
                    </a:blip>
                    <a:stretch>
                      <a:fillRect/>
                    </a:stretch>
                  </pic:blipFill>
                  <pic:spPr>
                    <a:xfrm>
                      <a:off x="0" y="0"/>
                      <a:ext cx="5731510" cy="2616835"/>
                    </a:xfrm>
                    <a:prstGeom prst="rect">
                      <a:avLst/>
                    </a:prstGeom>
                  </pic:spPr>
                </pic:pic>
              </a:graphicData>
            </a:graphic>
          </wp:inline>
        </w:drawing>
      </w:r>
    </w:p>
    <w:p w14:paraId="316C20EB" w14:textId="5CADAD7A" w:rsidR="008B061D" w:rsidRDefault="008B061D" w:rsidP="008B061D">
      <w:pPr>
        <w:spacing w:after="0" w:line="480" w:lineRule="auto"/>
        <w:jc w:val="both"/>
        <w:rPr>
          <w:b/>
          <w:bCs/>
          <w:sz w:val="20"/>
          <w:szCs w:val="24"/>
        </w:rPr>
      </w:pPr>
      <w:r w:rsidRPr="00D276F9">
        <w:rPr>
          <w:bCs/>
          <w:i/>
          <w:szCs w:val="22"/>
        </w:rPr>
        <w:t>Figure S</w:t>
      </w:r>
      <w:r w:rsidR="00097FB8">
        <w:rPr>
          <w:bCs/>
          <w:i/>
          <w:szCs w:val="22"/>
        </w:rPr>
        <w:t>5</w:t>
      </w:r>
      <w:r w:rsidRPr="00D276F9">
        <w:rPr>
          <w:bCs/>
          <w:i/>
          <w:szCs w:val="22"/>
        </w:rPr>
        <w:t>.</w:t>
      </w:r>
      <w:r w:rsidRPr="00D276F9">
        <w:rPr>
          <w:bCs/>
          <w:szCs w:val="22"/>
        </w:rPr>
        <w:t xml:space="preserve"> PRS-stratified EWAS in high-risk participants after correcting for smoking exposure via </w:t>
      </w:r>
      <w:r w:rsidRPr="00093D89">
        <w:rPr>
          <w:bCs/>
          <w:szCs w:val="22"/>
        </w:rPr>
        <w:t xml:space="preserve">methylation β-value of cg05575921 in </w:t>
      </w:r>
      <w:r w:rsidRPr="00093D89">
        <w:t>the aryl hydrocarbon receptor repressor (AHRR) gene</w:t>
      </w:r>
      <w:r w:rsidRPr="00093D89">
        <w:rPr>
          <w:bCs/>
          <w:szCs w:val="22"/>
        </w:rPr>
        <w:t>.</w:t>
      </w:r>
      <w:r w:rsidRPr="00093D89">
        <w:rPr>
          <w:b/>
          <w:bCs/>
          <w:szCs w:val="22"/>
        </w:rPr>
        <w:t xml:space="preserve"> </w:t>
      </w:r>
      <w:r w:rsidRPr="00093D89">
        <w:rPr>
          <w:bCs/>
          <w:szCs w:val="22"/>
        </w:rPr>
        <w:t xml:space="preserve">A) Quantile-Quantile plot, indicating observed vs. expected </w:t>
      </w:r>
      <w:r w:rsidRPr="00093D89">
        <w:rPr>
          <w:bCs/>
          <w:i/>
          <w:iCs/>
          <w:szCs w:val="22"/>
        </w:rPr>
        <w:t>p</w:t>
      </w:r>
      <w:r w:rsidRPr="00093D89">
        <w:rPr>
          <w:bCs/>
          <w:szCs w:val="22"/>
        </w:rPr>
        <w:t xml:space="preserve">-values from 35,907 probes. Bias and </w:t>
      </w:r>
      <w:r w:rsidRPr="009C745B">
        <w:rPr>
          <w:bCs/>
          <w:szCs w:val="22"/>
        </w:rPr>
        <w:t>inflation corrected to -0.00</w:t>
      </w:r>
      <w:r>
        <w:rPr>
          <w:bCs/>
          <w:szCs w:val="22"/>
        </w:rPr>
        <w:t>36</w:t>
      </w:r>
      <w:r w:rsidRPr="009C745B">
        <w:rPr>
          <w:bCs/>
          <w:szCs w:val="22"/>
        </w:rPr>
        <w:t xml:space="preserve"> and </w:t>
      </w:r>
      <w:r>
        <w:rPr>
          <w:bCs/>
          <w:szCs w:val="22"/>
        </w:rPr>
        <w:t>0.98</w:t>
      </w:r>
      <w:r w:rsidRPr="009C745B">
        <w:rPr>
          <w:bCs/>
          <w:szCs w:val="22"/>
        </w:rPr>
        <w:t>, respectively.</w:t>
      </w:r>
      <w:r w:rsidRPr="009C745B">
        <w:rPr>
          <w:szCs w:val="22"/>
        </w:rPr>
        <w:t xml:space="preserve"> </w:t>
      </w:r>
      <w:r w:rsidRPr="009C745B">
        <w:rPr>
          <w:bCs/>
          <w:szCs w:val="22"/>
        </w:rPr>
        <w:t>B) Manhattan plot indicating the genomic location of differentially methylated probes. The vertical line indicates the multiple testing correction threshold at α=0.05 for epigenome-wide association, based on 35,907 probes (</w:t>
      </w:r>
      <w:r w:rsidRPr="009C745B">
        <w:rPr>
          <w:bCs/>
          <w:i/>
          <w:iCs/>
          <w:szCs w:val="22"/>
        </w:rPr>
        <w:t>p</w:t>
      </w:r>
      <w:r w:rsidRPr="009C745B">
        <w:rPr>
          <w:bCs/>
          <w:szCs w:val="22"/>
        </w:rPr>
        <w:t>&lt;1.39</w:t>
      </w:r>
      <w:r w:rsidRPr="009C745B">
        <w:rPr>
          <w:szCs w:val="22"/>
        </w:rPr>
        <w:t>×10</w:t>
      </w:r>
      <w:r w:rsidRPr="009C745B">
        <w:rPr>
          <w:szCs w:val="22"/>
          <w:vertAlign w:val="superscript"/>
        </w:rPr>
        <w:t>-6</w:t>
      </w:r>
      <w:r w:rsidRPr="009C745B">
        <w:rPr>
          <w:bCs/>
          <w:szCs w:val="22"/>
        </w:rPr>
        <w:t xml:space="preserve">). The location of the top DMP, cg00933603, is indicated. Covariates included age, </w:t>
      </w:r>
      <w:r w:rsidRPr="00CD0300">
        <w:rPr>
          <w:bCs/>
          <w:szCs w:val="22"/>
        </w:rPr>
        <w:t xml:space="preserve">sex, </w:t>
      </w:r>
      <w:r w:rsidR="00500A5F" w:rsidRPr="00CD0300">
        <w:rPr>
          <w:rFonts w:cstheme="minorHAnsi"/>
          <w:szCs w:val="22"/>
        </w:rPr>
        <w:t>MDS C1 and C2</w:t>
      </w:r>
      <w:r w:rsidRPr="00CD0300">
        <w:rPr>
          <w:rFonts w:cstheme="minorHAnsi"/>
          <w:szCs w:val="22"/>
        </w:rPr>
        <w:t>,</w:t>
      </w:r>
      <w:r w:rsidRPr="009C745B">
        <w:rPr>
          <w:rFonts w:cstheme="minorHAnsi"/>
          <w:szCs w:val="22"/>
        </w:rPr>
        <w:t xml:space="preserve"> </w:t>
      </w:r>
      <w:r w:rsidRPr="009C745B">
        <w:rPr>
          <w:bCs/>
          <w:szCs w:val="22"/>
        </w:rPr>
        <w:t>tissue source, six blood cell components, four surrogate variables</w:t>
      </w:r>
      <w:r w:rsidRPr="008B061D">
        <w:rPr>
          <w:bCs/>
          <w:szCs w:val="22"/>
        </w:rPr>
        <w:t xml:space="preserve"> </w:t>
      </w:r>
      <w:r w:rsidRPr="009C745B">
        <w:rPr>
          <w:bCs/>
          <w:szCs w:val="22"/>
        </w:rPr>
        <w:t>and</w:t>
      </w:r>
      <w:r>
        <w:rPr>
          <w:bCs/>
          <w:szCs w:val="22"/>
        </w:rPr>
        <w:t xml:space="preserve"> β</w:t>
      </w:r>
      <w:r w:rsidRPr="00DF63B8">
        <w:rPr>
          <w:bCs/>
          <w:szCs w:val="22"/>
          <w:vertAlign w:val="subscript"/>
        </w:rPr>
        <w:t>cg05575921</w:t>
      </w:r>
      <w:r w:rsidRPr="009C745B">
        <w:rPr>
          <w:bCs/>
          <w:szCs w:val="22"/>
        </w:rPr>
        <w:t>.</w:t>
      </w:r>
      <w:r w:rsidRPr="009C745B">
        <w:rPr>
          <w:rFonts w:cstheme="minorHAnsi"/>
          <w:szCs w:val="22"/>
        </w:rPr>
        <w:t xml:space="preserve"> </w:t>
      </w:r>
      <w:r w:rsidRPr="009C745B">
        <w:rPr>
          <w:bCs/>
          <w:i/>
          <w:szCs w:val="22"/>
        </w:rPr>
        <w:t>Abbreviations:</w:t>
      </w:r>
      <w:r w:rsidRPr="009C745B">
        <w:rPr>
          <w:bCs/>
          <w:szCs w:val="22"/>
        </w:rPr>
        <w:t xml:space="preserve"> log, logarithm; P, </w:t>
      </w:r>
      <w:r w:rsidRPr="009C745B">
        <w:rPr>
          <w:bCs/>
          <w:i/>
          <w:szCs w:val="22"/>
        </w:rPr>
        <w:t>p</w:t>
      </w:r>
      <w:r w:rsidRPr="009C745B">
        <w:rPr>
          <w:bCs/>
          <w:szCs w:val="22"/>
        </w:rPr>
        <w:t xml:space="preserve">-value. </w:t>
      </w:r>
    </w:p>
    <w:p w14:paraId="3EC1F1F5" w14:textId="77777777" w:rsidR="008B061D" w:rsidRDefault="008B061D" w:rsidP="00F2286E">
      <w:pPr>
        <w:spacing w:after="0" w:line="480" w:lineRule="auto"/>
        <w:jc w:val="both"/>
        <w:rPr>
          <w:b/>
          <w:bCs/>
          <w:sz w:val="24"/>
          <w:szCs w:val="32"/>
        </w:rPr>
        <w:sectPr w:rsidR="008B061D" w:rsidSect="008B061D">
          <w:pgSz w:w="11906" w:h="16838"/>
          <w:pgMar w:top="1440" w:right="1440" w:bottom="1440" w:left="1440" w:header="708" w:footer="708" w:gutter="0"/>
          <w:cols w:space="708"/>
          <w:docGrid w:linePitch="360"/>
        </w:sectPr>
      </w:pPr>
    </w:p>
    <w:p w14:paraId="265C2240" w14:textId="78070A88" w:rsidR="002D135D" w:rsidRDefault="004E20BD" w:rsidP="002D135D">
      <w:pPr>
        <w:spacing w:after="0" w:line="480" w:lineRule="auto"/>
        <w:jc w:val="both"/>
        <w:rPr>
          <w:b/>
        </w:rPr>
      </w:pPr>
      <w:r>
        <w:rPr>
          <w:b/>
          <w:noProof/>
          <w:lang w:val="en-US" w:eastAsia="en-US" w:bidi="ar-SA"/>
        </w:rPr>
        <w:drawing>
          <wp:inline distT="0" distB="0" distL="0" distR="0" wp14:anchorId="412BFBBE" wp14:editId="49D0D0E4">
            <wp:extent cx="3938263" cy="486156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3_includingUSGAFdata.jpg"/>
                    <pic:cNvPicPr/>
                  </pic:nvPicPr>
                  <pic:blipFill>
                    <a:blip r:embed="rId25">
                      <a:extLst>
                        <a:ext uri="{28A0092B-C50C-407E-A947-70E740481C1C}">
                          <a14:useLocalDpi xmlns:a14="http://schemas.microsoft.com/office/drawing/2010/main" val="0"/>
                        </a:ext>
                      </a:extLst>
                    </a:blip>
                    <a:stretch>
                      <a:fillRect/>
                    </a:stretch>
                  </pic:blipFill>
                  <pic:spPr>
                    <a:xfrm>
                      <a:off x="0" y="0"/>
                      <a:ext cx="3936839" cy="4859802"/>
                    </a:xfrm>
                    <a:prstGeom prst="rect">
                      <a:avLst/>
                    </a:prstGeom>
                  </pic:spPr>
                </pic:pic>
              </a:graphicData>
            </a:graphic>
          </wp:inline>
        </w:drawing>
      </w:r>
    </w:p>
    <w:p w14:paraId="379AC7A5" w14:textId="6A4C2000" w:rsidR="002D135D" w:rsidRPr="004E2FF9" w:rsidRDefault="002D135D" w:rsidP="00594476">
      <w:pPr>
        <w:spacing w:after="0" w:line="456" w:lineRule="auto"/>
        <w:jc w:val="both"/>
        <w:rPr>
          <w:b/>
          <w:bCs/>
          <w:szCs w:val="22"/>
        </w:rPr>
      </w:pPr>
      <w:r w:rsidRPr="004E2FF9">
        <w:rPr>
          <w:i/>
          <w:szCs w:val="22"/>
        </w:rPr>
        <w:t xml:space="preserve">Figure </w:t>
      </w:r>
      <w:r w:rsidR="003B77EC" w:rsidRPr="004E2FF9">
        <w:rPr>
          <w:i/>
          <w:szCs w:val="22"/>
        </w:rPr>
        <w:t>S</w:t>
      </w:r>
      <w:r w:rsidR="00097FB8">
        <w:rPr>
          <w:i/>
          <w:szCs w:val="22"/>
        </w:rPr>
        <w:t>6</w:t>
      </w:r>
      <w:r w:rsidRPr="004E2FF9">
        <w:rPr>
          <w:i/>
          <w:szCs w:val="22"/>
        </w:rPr>
        <w:t>.</w:t>
      </w:r>
      <w:r w:rsidRPr="004E2FF9">
        <w:rPr>
          <w:rStyle w:val="hgkelc"/>
          <w:szCs w:val="22"/>
        </w:rPr>
        <w:t xml:space="preserve"> Global Assessment of Functioning</w:t>
      </w:r>
      <w:r w:rsidRPr="004E2FF9">
        <w:rPr>
          <w:szCs w:val="22"/>
        </w:rPr>
        <w:t xml:space="preserve"> (</w:t>
      </w:r>
      <w:r w:rsidRPr="004E2FF9">
        <w:rPr>
          <w:rStyle w:val="Emphasis"/>
          <w:i w:val="0"/>
          <w:szCs w:val="22"/>
        </w:rPr>
        <w:t>GAF</w:t>
      </w:r>
      <w:r w:rsidRPr="004E2FF9">
        <w:rPr>
          <w:szCs w:val="22"/>
        </w:rPr>
        <w:t xml:space="preserve">) rating scales for cohort participants.  Mean scores for participants within each subgroup are presented, with error bars indicating standard deviation. </w:t>
      </w:r>
      <w:r w:rsidR="00956872" w:rsidRPr="004E2FF9">
        <w:rPr>
          <w:szCs w:val="22"/>
        </w:rPr>
        <w:t xml:space="preserve">Data was available for 198 of 218 participants (91%) across the discovery and validation sets. </w:t>
      </w:r>
      <w:r w:rsidRPr="004E2FF9">
        <w:rPr>
          <w:szCs w:val="22"/>
        </w:rPr>
        <w:t xml:space="preserve">Scores range from 100 (extremely high functioning) to 1 (severely impaired) – scores of 61-70 indicate some mild symptoms or some difficulty in functioning, and 71-80 indicate transient symptoms and expected reactions to psychosocial stressors. Groups in the discovery EWAS are coloured blue, </w:t>
      </w:r>
      <w:r w:rsidR="00147615" w:rsidRPr="004E2FF9">
        <w:rPr>
          <w:szCs w:val="22"/>
        </w:rPr>
        <w:t xml:space="preserve">Validation </w:t>
      </w:r>
      <w:r w:rsidR="00915A2B" w:rsidRPr="004E2FF9">
        <w:rPr>
          <w:szCs w:val="22"/>
        </w:rPr>
        <w:t>S</w:t>
      </w:r>
      <w:r w:rsidRPr="004E2FF9">
        <w:rPr>
          <w:szCs w:val="22"/>
        </w:rPr>
        <w:t xml:space="preserve">et 1 in light orange, </w:t>
      </w:r>
      <w:r w:rsidR="00147615" w:rsidRPr="004E2FF9">
        <w:rPr>
          <w:szCs w:val="22"/>
        </w:rPr>
        <w:t xml:space="preserve">Validation </w:t>
      </w:r>
      <w:r w:rsidR="00915A2B" w:rsidRPr="004E2FF9">
        <w:rPr>
          <w:szCs w:val="22"/>
        </w:rPr>
        <w:t xml:space="preserve">Set 2 </w:t>
      </w:r>
      <w:r w:rsidRPr="004E2FF9">
        <w:rPr>
          <w:szCs w:val="22"/>
        </w:rPr>
        <w:t>in dark orange. No difference in GAF score was observed between High</w:t>
      </w:r>
      <w:r w:rsidR="00915A2B" w:rsidRPr="004E2FF9">
        <w:rPr>
          <w:szCs w:val="22"/>
        </w:rPr>
        <w:t>-BD-PRS</w:t>
      </w:r>
      <w:r w:rsidRPr="004E2FF9">
        <w:rPr>
          <w:szCs w:val="22"/>
        </w:rPr>
        <w:t xml:space="preserve"> and Low</w:t>
      </w:r>
      <w:r w:rsidR="00915A2B" w:rsidRPr="004E2FF9">
        <w:rPr>
          <w:szCs w:val="22"/>
        </w:rPr>
        <w:t>-</w:t>
      </w:r>
      <w:r w:rsidRPr="004E2FF9">
        <w:rPr>
          <w:szCs w:val="22"/>
        </w:rPr>
        <w:t xml:space="preserve">BD-PRS </w:t>
      </w:r>
      <w:r w:rsidR="00915A2B" w:rsidRPr="004E2FF9">
        <w:rPr>
          <w:szCs w:val="22"/>
        </w:rPr>
        <w:t>strata</w:t>
      </w:r>
      <w:r w:rsidRPr="004E2FF9">
        <w:rPr>
          <w:szCs w:val="22"/>
        </w:rPr>
        <w:t xml:space="preserve"> within high risk (</w:t>
      </w:r>
      <w:r w:rsidR="00956872" w:rsidRPr="004E2FF9">
        <w:rPr>
          <w:i/>
          <w:szCs w:val="22"/>
        </w:rPr>
        <w:t>n</w:t>
      </w:r>
      <w:r w:rsidR="00956872" w:rsidRPr="004E2FF9">
        <w:rPr>
          <w:szCs w:val="22"/>
        </w:rPr>
        <w:t xml:space="preserve">=35 vs. 39; </w:t>
      </w:r>
      <w:r w:rsidRPr="004E2FF9">
        <w:rPr>
          <w:i/>
          <w:iCs/>
          <w:szCs w:val="22"/>
        </w:rPr>
        <w:t>p</w:t>
      </w:r>
      <w:r w:rsidRPr="004E2FF9">
        <w:rPr>
          <w:szCs w:val="22"/>
        </w:rPr>
        <w:t>=0.54), or control sets (</w:t>
      </w:r>
      <w:r w:rsidR="00956872" w:rsidRPr="004E2FF9">
        <w:rPr>
          <w:i/>
          <w:szCs w:val="22"/>
        </w:rPr>
        <w:t>n</w:t>
      </w:r>
      <w:r w:rsidR="00956872" w:rsidRPr="004E2FF9">
        <w:rPr>
          <w:szCs w:val="22"/>
        </w:rPr>
        <w:t xml:space="preserve">=26 vs. 27; </w:t>
      </w:r>
      <w:r w:rsidRPr="004E2FF9">
        <w:rPr>
          <w:i/>
          <w:iCs/>
          <w:szCs w:val="22"/>
        </w:rPr>
        <w:t>p</w:t>
      </w:r>
      <w:r w:rsidRPr="004E2FF9">
        <w:rPr>
          <w:szCs w:val="22"/>
        </w:rPr>
        <w:t>=0.37). GAF score was lower in HR than CON (</w:t>
      </w:r>
      <w:r w:rsidR="00956872" w:rsidRPr="004E2FF9">
        <w:rPr>
          <w:i/>
          <w:szCs w:val="22"/>
        </w:rPr>
        <w:t>n</w:t>
      </w:r>
      <w:r w:rsidR="00956872" w:rsidRPr="004E2FF9">
        <w:rPr>
          <w:szCs w:val="22"/>
        </w:rPr>
        <w:t xml:space="preserve">=74 vs. 53; </w:t>
      </w:r>
      <w:r w:rsidRPr="004E2FF9">
        <w:rPr>
          <w:i/>
          <w:iCs/>
          <w:szCs w:val="22"/>
        </w:rPr>
        <w:t>M</w:t>
      </w:r>
      <w:r w:rsidRPr="004E2FF9">
        <w:rPr>
          <w:rFonts w:ascii="Calibri" w:eastAsia="Times New Roman" w:hAnsi="Calibri" w:cs="Times New Roman"/>
          <w:szCs w:val="22"/>
          <w:lang w:eastAsia="en-AU"/>
        </w:rPr>
        <w:t>±</w:t>
      </w:r>
      <w:r w:rsidRPr="004E2FF9">
        <w:rPr>
          <w:rFonts w:ascii="Calibri" w:eastAsia="Times New Roman" w:hAnsi="Calibri" w:cs="Times New Roman"/>
          <w:i/>
          <w:iCs/>
          <w:szCs w:val="22"/>
          <w:lang w:eastAsia="en-AU"/>
        </w:rPr>
        <w:t>SD</w:t>
      </w:r>
      <w:r w:rsidRPr="004E2FF9">
        <w:rPr>
          <w:szCs w:val="22"/>
        </w:rPr>
        <w:t>=</w:t>
      </w:r>
      <w:r w:rsidRPr="004E2FF9">
        <w:rPr>
          <w:rFonts w:ascii="Calibri" w:eastAsia="Times New Roman" w:hAnsi="Calibri" w:cs="Times New Roman"/>
          <w:szCs w:val="22"/>
          <w:lang w:eastAsia="en-AU"/>
        </w:rPr>
        <w:t>85.</w:t>
      </w:r>
      <w:r w:rsidR="00915A2B" w:rsidRPr="004E2FF9">
        <w:rPr>
          <w:rFonts w:ascii="Calibri" w:eastAsia="Times New Roman" w:hAnsi="Calibri" w:cs="Times New Roman"/>
          <w:szCs w:val="22"/>
          <w:lang w:eastAsia="en-AU"/>
        </w:rPr>
        <w:t>4±8.</w:t>
      </w:r>
      <w:r w:rsidRPr="004E2FF9">
        <w:rPr>
          <w:rFonts w:ascii="Calibri" w:eastAsia="Times New Roman" w:hAnsi="Calibri" w:cs="Times New Roman"/>
          <w:szCs w:val="22"/>
          <w:lang w:eastAsia="en-AU"/>
        </w:rPr>
        <w:t xml:space="preserve">8 vs. 91.4±6.0, </w:t>
      </w:r>
      <w:r w:rsidRPr="004E2FF9">
        <w:rPr>
          <w:rFonts w:ascii="Calibri" w:eastAsia="Times New Roman" w:hAnsi="Calibri" w:cs="Times New Roman"/>
          <w:i/>
          <w:iCs/>
          <w:szCs w:val="22"/>
          <w:lang w:eastAsia="en-AU"/>
        </w:rPr>
        <w:t>p</w:t>
      </w:r>
      <w:r w:rsidRPr="004E2FF9">
        <w:rPr>
          <w:rFonts w:ascii="Calibri" w:eastAsia="Times New Roman" w:hAnsi="Calibri" w:cs="Times New Roman"/>
          <w:szCs w:val="22"/>
          <w:lang w:eastAsia="en-AU"/>
        </w:rPr>
        <w:t>=1.013×10</w:t>
      </w:r>
      <w:r w:rsidRPr="004E2FF9">
        <w:rPr>
          <w:rFonts w:ascii="Calibri" w:eastAsia="Times New Roman" w:hAnsi="Calibri" w:cs="Times New Roman"/>
          <w:szCs w:val="22"/>
          <w:vertAlign w:val="superscript"/>
          <w:lang w:eastAsia="en-AU"/>
        </w:rPr>
        <w:t>-5</w:t>
      </w:r>
      <w:r w:rsidRPr="004E2FF9">
        <w:rPr>
          <w:rFonts w:ascii="Calibri" w:eastAsia="Times New Roman" w:hAnsi="Calibri" w:cs="Times New Roman"/>
          <w:szCs w:val="22"/>
          <w:lang w:eastAsia="en-AU"/>
        </w:rPr>
        <w:t xml:space="preserve">), and </w:t>
      </w:r>
      <w:r w:rsidRPr="004E2FF9">
        <w:rPr>
          <w:szCs w:val="22"/>
        </w:rPr>
        <w:t>lower in HR High</w:t>
      </w:r>
      <w:r w:rsidR="00521552">
        <w:rPr>
          <w:szCs w:val="22"/>
        </w:rPr>
        <w:t>-</w:t>
      </w:r>
      <w:r w:rsidRPr="004E2FF9">
        <w:rPr>
          <w:szCs w:val="22"/>
        </w:rPr>
        <w:t>BD-PRS than CON High</w:t>
      </w:r>
      <w:r w:rsidR="00521552">
        <w:rPr>
          <w:szCs w:val="22"/>
        </w:rPr>
        <w:t>-</w:t>
      </w:r>
      <w:r w:rsidRPr="004E2FF9">
        <w:rPr>
          <w:szCs w:val="22"/>
        </w:rPr>
        <w:t>BD-PRS (</w:t>
      </w:r>
      <w:r w:rsidR="00956872" w:rsidRPr="004E2FF9">
        <w:rPr>
          <w:i/>
          <w:szCs w:val="22"/>
        </w:rPr>
        <w:t>n</w:t>
      </w:r>
      <w:r w:rsidR="00956872" w:rsidRPr="004E2FF9">
        <w:rPr>
          <w:szCs w:val="22"/>
        </w:rPr>
        <w:t xml:space="preserve">=35 vs. 26; </w:t>
      </w:r>
      <w:r w:rsidRPr="004E2FF9">
        <w:rPr>
          <w:i/>
          <w:iCs/>
          <w:szCs w:val="22"/>
        </w:rPr>
        <w:t>M</w:t>
      </w:r>
      <w:r w:rsidRPr="004E2FF9">
        <w:rPr>
          <w:rFonts w:ascii="Calibri" w:eastAsia="Times New Roman" w:hAnsi="Calibri" w:cs="Times New Roman"/>
          <w:szCs w:val="22"/>
          <w:lang w:eastAsia="en-AU"/>
        </w:rPr>
        <w:t>±</w:t>
      </w:r>
      <w:r w:rsidRPr="004E2FF9">
        <w:rPr>
          <w:rFonts w:ascii="Calibri" w:eastAsia="Times New Roman" w:hAnsi="Calibri" w:cs="Times New Roman"/>
          <w:i/>
          <w:iCs/>
          <w:szCs w:val="22"/>
          <w:lang w:eastAsia="en-AU"/>
        </w:rPr>
        <w:t>SD</w:t>
      </w:r>
      <w:r w:rsidRPr="004E2FF9">
        <w:rPr>
          <w:szCs w:val="22"/>
        </w:rPr>
        <w:t>=</w:t>
      </w:r>
      <w:r w:rsidRPr="004E2FF9">
        <w:rPr>
          <w:rFonts w:ascii="Calibri" w:eastAsia="Times New Roman" w:hAnsi="Calibri" w:cs="Times New Roman"/>
          <w:szCs w:val="22"/>
          <w:lang w:eastAsia="en-AU"/>
        </w:rPr>
        <w:t>86.0±9.</w:t>
      </w:r>
      <w:r w:rsidR="00915A2B" w:rsidRPr="004E2FF9">
        <w:rPr>
          <w:rFonts w:ascii="Calibri" w:eastAsia="Times New Roman" w:hAnsi="Calibri" w:cs="Times New Roman"/>
          <w:szCs w:val="22"/>
          <w:lang w:eastAsia="en-AU"/>
        </w:rPr>
        <w:t>3 vs. 90.7</w:t>
      </w:r>
      <w:r w:rsidRPr="004E2FF9">
        <w:rPr>
          <w:rFonts w:ascii="Calibri" w:eastAsia="Times New Roman" w:hAnsi="Calibri" w:cs="Times New Roman"/>
          <w:szCs w:val="22"/>
          <w:lang w:eastAsia="en-AU"/>
        </w:rPr>
        <w:t xml:space="preserve">±7.4; </w:t>
      </w:r>
      <w:r w:rsidRPr="004E2FF9">
        <w:rPr>
          <w:i/>
          <w:iCs/>
          <w:szCs w:val="22"/>
        </w:rPr>
        <w:t>p</w:t>
      </w:r>
      <w:r w:rsidRPr="004E2FF9">
        <w:rPr>
          <w:szCs w:val="22"/>
        </w:rPr>
        <w:t>=0.034)</w:t>
      </w:r>
      <w:r w:rsidRPr="004E2FF9">
        <w:rPr>
          <w:rFonts w:ascii="Calibri" w:eastAsia="Times New Roman" w:hAnsi="Calibri" w:cs="Times New Roman"/>
          <w:szCs w:val="22"/>
          <w:lang w:eastAsia="en-AU"/>
        </w:rPr>
        <w:t>. Diagnoses within each group are provided in Table S</w:t>
      </w:r>
      <w:r w:rsidR="00B04258" w:rsidRPr="004E2FF9">
        <w:rPr>
          <w:rFonts w:ascii="Calibri" w:eastAsia="Times New Roman" w:hAnsi="Calibri" w:cs="Times New Roman"/>
          <w:szCs w:val="22"/>
          <w:lang w:eastAsia="en-AU"/>
        </w:rPr>
        <w:t>8</w:t>
      </w:r>
      <w:r w:rsidRPr="004E2FF9">
        <w:rPr>
          <w:rFonts w:ascii="Calibri" w:eastAsia="Times New Roman" w:hAnsi="Calibri" w:cs="Times New Roman"/>
          <w:szCs w:val="22"/>
          <w:lang w:eastAsia="en-AU"/>
        </w:rPr>
        <w:t xml:space="preserve">. </w:t>
      </w:r>
    </w:p>
    <w:p w14:paraId="2C647F23" w14:textId="77777777" w:rsidR="002D135D" w:rsidRPr="004E2FF9" w:rsidRDefault="002D135D">
      <w:pPr>
        <w:spacing w:after="200" w:line="276" w:lineRule="auto"/>
        <w:rPr>
          <w:b/>
          <w:szCs w:val="22"/>
        </w:rPr>
        <w:sectPr w:rsidR="002D135D" w:rsidRPr="004E2FF9">
          <w:pgSz w:w="11906" w:h="16838"/>
          <w:pgMar w:top="1440" w:right="1440" w:bottom="1440" w:left="1440" w:header="708" w:footer="708" w:gutter="0"/>
          <w:cols w:space="708"/>
          <w:docGrid w:linePitch="360"/>
        </w:sectPr>
      </w:pPr>
    </w:p>
    <w:p w14:paraId="5872FB88" w14:textId="2F307DF4" w:rsidR="00443C9E" w:rsidRDefault="00443C9E">
      <w:pPr>
        <w:spacing w:after="200" w:line="276" w:lineRule="auto"/>
        <w:rPr>
          <w:b/>
          <w:sz w:val="20"/>
          <w:szCs w:val="24"/>
        </w:rPr>
      </w:pPr>
    </w:p>
    <w:p w14:paraId="725CD520" w14:textId="77777777" w:rsidR="008B1C01" w:rsidRDefault="008B1C01">
      <w:pPr>
        <w:spacing w:after="200" w:line="276" w:lineRule="auto"/>
        <w:rPr>
          <w:b/>
          <w:sz w:val="20"/>
          <w:szCs w:val="24"/>
        </w:rPr>
      </w:pPr>
    </w:p>
    <w:p w14:paraId="21FC22EC" w14:textId="77777777" w:rsidR="00D80CD5" w:rsidRDefault="008B3883" w:rsidP="00D80CD5">
      <w:pPr>
        <w:spacing w:after="0" w:line="480" w:lineRule="auto"/>
        <w:jc w:val="both"/>
        <w:rPr>
          <w:b/>
          <w:bCs/>
          <w:sz w:val="20"/>
          <w:szCs w:val="20"/>
        </w:rPr>
      </w:pPr>
      <w:r w:rsidRPr="00486791">
        <w:rPr>
          <w:noProof/>
          <w:color w:val="FF0000"/>
          <w:lang w:val="en-US" w:eastAsia="en-US" w:bidi="ar-SA"/>
        </w:rPr>
        <w:drawing>
          <wp:inline distT="0" distB="0" distL="0" distR="0" wp14:anchorId="66E416C7" wp14:editId="574AB5AB">
            <wp:extent cx="1843430" cy="1858339"/>
            <wp:effectExtent l="0" t="0" r="444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7774" cy="1862718"/>
                    </a:xfrm>
                    <a:prstGeom prst="rect">
                      <a:avLst/>
                    </a:prstGeom>
                    <a:noFill/>
                    <a:ln>
                      <a:noFill/>
                    </a:ln>
                  </pic:spPr>
                </pic:pic>
              </a:graphicData>
            </a:graphic>
          </wp:inline>
        </w:drawing>
      </w:r>
    </w:p>
    <w:p w14:paraId="557FCA78" w14:textId="77777777" w:rsidR="00D80CD5" w:rsidRDefault="00D80CD5" w:rsidP="00D80CD5">
      <w:pPr>
        <w:spacing w:after="0" w:line="480" w:lineRule="auto"/>
        <w:jc w:val="both"/>
        <w:rPr>
          <w:b/>
          <w:bCs/>
          <w:sz w:val="20"/>
          <w:szCs w:val="20"/>
        </w:rPr>
      </w:pPr>
    </w:p>
    <w:p w14:paraId="2B088161" w14:textId="3D54D827" w:rsidR="00457929" w:rsidRDefault="008B3883" w:rsidP="00D80CD5">
      <w:pPr>
        <w:spacing w:after="0" w:line="480" w:lineRule="auto"/>
        <w:jc w:val="both"/>
        <w:rPr>
          <w:sz w:val="20"/>
          <w:szCs w:val="24"/>
        </w:rPr>
        <w:sectPr w:rsidR="00457929">
          <w:pgSz w:w="11906" w:h="16838"/>
          <w:pgMar w:top="1440" w:right="1440" w:bottom="1440" w:left="1440" w:header="708" w:footer="708" w:gutter="0"/>
          <w:cols w:space="708"/>
          <w:docGrid w:linePitch="360"/>
        </w:sectPr>
      </w:pPr>
      <w:r w:rsidRPr="004E2FF9">
        <w:rPr>
          <w:bCs/>
          <w:i/>
          <w:szCs w:val="22"/>
        </w:rPr>
        <w:t xml:space="preserve">Figure </w:t>
      </w:r>
      <w:r w:rsidR="003B77EC" w:rsidRPr="004E2FF9">
        <w:rPr>
          <w:bCs/>
          <w:i/>
          <w:szCs w:val="22"/>
        </w:rPr>
        <w:t>S</w:t>
      </w:r>
      <w:r w:rsidR="00097FB8">
        <w:rPr>
          <w:bCs/>
          <w:i/>
          <w:szCs w:val="22"/>
        </w:rPr>
        <w:t>7</w:t>
      </w:r>
      <w:r w:rsidR="00F71FC6" w:rsidRPr="004E2FF9">
        <w:rPr>
          <w:bCs/>
          <w:i/>
          <w:szCs w:val="22"/>
        </w:rPr>
        <w:t>.</w:t>
      </w:r>
      <w:r w:rsidRPr="004E2FF9">
        <w:rPr>
          <w:b/>
          <w:bCs/>
          <w:szCs w:val="22"/>
        </w:rPr>
        <w:t xml:space="preserve"> </w:t>
      </w:r>
      <w:r w:rsidRPr="004E2FF9">
        <w:rPr>
          <w:szCs w:val="22"/>
        </w:rPr>
        <w:t>Overlap in nominally significant (</w:t>
      </w:r>
      <w:r w:rsidRPr="004E2FF9">
        <w:rPr>
          <w:i/>
          <w:iCs/>
          <w:szCs w:val="22"/>
        </w:rPr>
        <w:t>p</w:t>
      </w:r>
      <w:r w:rsidRPr="004E2FF9">
        <w:rPr>
          <w:szCs w:val="22"/>
        </w:rPr>
        <w:t>-value&lt;0.05) differentially methylated genes</w:t>
      </w:r>
      <w:r w:rsidR="0075184B" w:rsidRPr="004E2FF9">
        <w:rPr>
          <w:szCs w:val="22"/>
        </w:rPr>
        <w:t>,</w:t>
      </w:r>
      <w:r w:rsidRPr="004E2FF9">
        <w:rPr>
          <w:szCs w:val="22"/>
        </w:rPr>
        <w:t xml:space="preserve"> with </w:t>
      </w:r>
      <w:r w:rsidR="00D80CD5" w:rsidRPr="004E2FF9">
        <w:rPr>
          <w:szCs w:val="22"/>
        </w:rPr>
        <w:t xml:space="preserve">genes reported as associated with </w:t>
      </w:r>
      <w:r w:rsidRPr="004E2FF9">
        <w:rPr>
          <w:szCs w:val="22"/>
        </w:rPr>
        <w:t>BD and SCZ</w:t>
      </w:r>
      <w:r w:rsidR="0075184B" w:rsidRPr="004E2FF9">
        <w:rPr>
          <w:szCs w:val="22"/>
        </w:rPr>
        <w:t xml:space="preserve"> in </w:t>
      </w:r>
      <w:proofErr w:type="spellStart"/>
      <w:r w:rsidR="0075184B" w:rsidRPr="004E2FF9">
        <w:rPr>
          <w:szCs w:val="22"/>
        </w:rPr>
        <w:t>DisGeNET</w:t>
      </w:r>
      <w:proofErr w:type="spellEnd"/>
      <w:r w:rsidR="0075184B" w:rsidRPr="004E2FF9">
        <w:rPr>
          <w:szCs w:val="22"/>
        </w:rPr>
        <w:t xml:space="preserve"> v7.</w:t>
      </w:r>
      <w:proofErr w:type="gramStart"/>
      <w:r w:rsidR="0075184B" w:rsidRPr="004E2FF9">
        <w:rPr>
          <w:szCs w:val="22"/>
        </w:rPr>
        <w:t>0</w:t>
      </w:r>
      <w:r w:rsidR="006A4419">
        <w:rPr>
          <w:szCs w:val="22"/>
        </w:rPr>
        <w:t>.[</w:t>
      </w:r>
      <w:proofErr w:type="gramEnd"/>
      <w:r w:rsidR="006A4419">
        <w:rPr>
          <w:szCs w:val="22"/>
        </w:rPr>
        <w:t>16]</w:t>
      </w:r>
    </w:p>
    <w:p w14:paraId="135B64F1" w14:textId="13B178AA" w:rsidR="00A97ED9" w:rsidRPr="005E2D52" w:rsidRDefault="00A97ED9" w:rsidP="005E2D52">
      <w:pPr>
        <w:pStyle w:val="ListParagraph"/>
        <w:spacing w:after="0" w:line="480" w:lineRule="auto"/>
        <w:ind w:left="0"/>
        <w:jc w:val="both"/>
        <w:rPr>
          <w:sz w:val="20"/>
          <w:szCs w:val="24"/>
        </w:rPr>
      </w:pPr>
    </w:p>
    <w:p w14:paraId="00582A47" w14:textId="77777777" w:rsidR="00457929" w:rsidRDefault="00457929" w:rsidP="00457929">
      <w:pPr>
        <w:spacing w:after="0" w:line="480" w:lineRule="auto"/>
        <w:jc w:val="both"/>
        <w:rPr>
          <w:b/>
          <w:sz w:val="24"/>
          <w:szCs w:val="24"/>
        </w:rPr>
      </w:pPr>
      <w:r>
        <w:rPr>
          <w:b/>
          <w:noProof/>
          <w:sz w:val="24"/>
          <w:szCs w:val="24"/>
          <w:lang w:val="en-US" w:eastAsia="en-US" w:bidi="ar-SA"/>
        </w:rPr>
        <w:drawing>
          <wp:inline distT="0" distB="0" distL="0" distR="0" wp14:anchorId="1B4F4266" wp14:editId="4AB2FF5F">
            <wp:extent cx="5731510" cy="1844040"/>
            <wp:effectExtent l="0" t="0" r="254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S2_mQTL_rs3532928_cg00933603.png"/>
                    <pic:cNvPicPr/>
                  </pic:nvPicPr>
                  <pic:blipFill>
                    <a:blip r:embed="rId27">
                      <a:extLst>
                        <a:ext uri="{28A0092B-C50C-407E-A947-70E740481C1C}">
                          <a14:useLocalDpi xmlns:a14="http://schemas.microsoft.com/office/drawing/2010/main" val="0"/>
                        </a:ext>
                      </a:extLst>
                    </a:blip>
                    <a:stretch>
                      <a:fillRect/>
                    </a:stretch>
                  </pic:blipFill>
                  <pic:spPr>
                    <a:xfrm>
                      <a:off x="0" y="0"/>
                      <a:ext cx="5731510" cy="1844040"/>
                    </a:xfrm>
                    <a:prstGeom prst="rect">
                      <a:avLst/>
                    </a:prstGeom>
                  </pic:spPr>
                </pic:pic>
              </a:graphicData>
            </a:graphic>
          </wp:inline>
        </w:drawing>
      </w:r>
    </w:p>
    <w:p w14:paraId="515A9692" w14:textId="1362093E" w:rsidR="00457929" w:rsidRPr="004E2FF9" w:rsidRDefault="00457929" w:rsidP="00457929">
      <w:pPr>
        <w:spacing w:after="0" w:line="480" w:lineRule="auto"/>
        <w:jc w:val="both"/>
        <w:rPr>
          <w:bCs/>
          <w:szCs w:val="22"/>
        </w:rPr>
      </w:pPr>
      <w:r w:rsidRPr="004E2FF9">
        <w:rPr>
          <w:bCs/>
          <w:i/>
          <w:szCs w:val="22"/>
        </w:rPr>
        <w:t xml:space="preserve">Figure </w:t>
      </w:r>
      <w:r w:rsidR="003B77EC" w:rsidRPr="004E2FF9">
        <w:rPr>
          <w:bCs/>
          <w:i/>
          <w:szCs w:val="22"/>
        </w:rPr>
        <w:t>S</w:t>
      </w:r>
      <w:r w:rsidR="00097FB8">
        <w:rPr>
          <w:bCs/>
          <w:i/>
          <w:szCs w:val="22"/>
        </w:rPr>
        <w:t>8</w:t>
      </w:r>
      <w:r w:rsidR="00F71FC6" w:rsidRPr="004E2FF9">
        <w:rPr>
          <w:bCs/>
          <w:i/>
          <w:szCs w:val="22"/>
        </w:rPr>
        <w:t>.</w:t>
      </w:r>
      <w:r w:rsidRPr="004E2FF9">
        <w:rPr>
          <w:bCs/>
          <w:szCs w:val="22"/>
        </w:rPr>
        <w:t xml:space="preserve"> </w:t>
      </w:r>
      <w:proofErr w:type="spellStart"/>
      <w:r w:rsidR="00673188" w:rsidRPr="004E2FF9">
        <w:rPr>
          <w:bCs/>
          <w:szCs w:val="22"/>
        </w:rPr>
        <w:t>GTEx</w:t>
      </w:r>
      <w:proofErr w:type="spellEnd"/>
      <w:r w:rsidR="00673188" w:rsidRPr="004E2FF9">
        <w:rPr>
          <w:bCs/>
          <w:szCs w:val="22"/>
        </w:rPr>
        <w:t xml:space="preserve"> gene expression data showing influence of </w:t>
      </w:r>
      <w:r w:rsidR="00673188" w:rsidRPr="004E2FF9">
        <w:rPr>
          <w:szCs w:val="22"/>
        </w:rPr>
        <w:t xml:space="preserve">SNP rs2532928 </w:t>
      </w:r>
      <w:r w:rsidR="00A2291C">
        <w:rPr>
          <w:szCs w:val="22"/>
        </w:rPr>
        <w:t xml:space="preserve">(formerly known as </w:t>
      </w:r>
      <w:r w:rsidR="00A2291C">
        <w:t xml:space="preserve">rs116537083) </w:t>
      </w:r>
      <w:r w:rsidR="00673188" w:rsidRPr="004E2FF9">
        <w:rPr>
          <w:szCs w:val="22"/>
        </w:rPr>
        <w:t xml:space="preserve">on </w:t>
      </w:r>
      <w:r w:rsidR="00673188" w:rsidRPr="004E2FF9">
        <w:rPr>
          <w:bCs/>
          <w:szCs w:val="22"/>
        </w:rPr>
        <w:t xml:space="preserve">expression of </w:t>
      </w:r>
      <w:r w:rsidR="00673188" w:rsidRPr="00081A4D">
        <w:rPr>
          <w:bCs/>
          <w:i/>
          <w:szCs w:val="22"/>
        </w:rPr>
        <w:t>VARS2</w:t>
      </w:r>
      <w:r w:rsidR="00673188" w:rsidRPr="004E2FF9">
        <w:rPr>
          <w:bCs/>
          <w:szCs w:val="22"/>
        </w:rPr>
        <w:t xml:space="preserve">. </w:t>
      </w:r>
      <w:r w:rsidRPr="004E2FF9">
        <w:rPr>
          <w:bCs/>
          <w:szCs w:val="22"/>
        </w:rPr>
        <w:t>The EWAS-significant</w:t>
      </w:r>
      <w:r w:rsidRPr="004E2FF9">
        <w:rPr>
          <w:b/>
          <w:bCs/>
          <w:szCs w:val="22"/>
        </w:rPr>
        <w:t xml:space="preserve"> </w:t>
      </w:r>
      <w:r w:rsidRPr="004E2FF9">
        <w:rPr>
          <w:bCs/>
          <w:szCs w:val="22"/>
        </w:rPr>
        <w:t>CpG probe (</w:t>
      </w:r>
      <w:r w:rsidRPr="004E2FF9">
        <w:rPr>
          <w:rFonts w:eastAsia="Times New Roman" w:cs="Calibri"/>
          <w:color w:val="000000"/>
          <w:szCs w:val="22"/>
        </w:rPr>
        <w:t>cg00933603</w:t>
      </w:r>
      <w:r w:rsidR="005674E5">
        <w:rPr>
          <w:rFonts w:eastAsia="Times New Roman" w:cs="Calibri"/>
          <w:color w:val="000000"/>
          <w:szCs w:val="22"/>
        </w:rPr>
        <w:t xml:space="preserve">; </w:t>
      </w:r>
      <w:r w:rsidR="005674E5" w:rsidRPr="005674E5">
        <w:rPr>
          <w:rFonts w:eastAsia="Times New Roman" w:cs="Calibri"/>
          <w:color w:val="000000"/>
          <w:szCs w:val="22"/>
        </w:rPr>
        <w:t>hg19</w:t>
      </w:r>
      <w:r w:rsidR="005674E5">
        <w:rPr>
          <w:rFonts w:eastAsia="Times New Roman" w:cs="Calibri"/>
          <w:color w:val="000000"/>
          <w:szCs w:val="22"/>
        </w:rPr>
        <w:t>/chr6:</w:t>
      </w:r>
      <w:r w:rsidR="005674E5" w:rsidRPr="005674E5">
        <w:rPr>
          <w:rFonts w:eastAsia="Times New Roman" w:cs="Calibri"/>
          <w:color w:val="000000"/>
          <w:szCs w:val="22"/>
        </w:rPr>
        <w:t xml:space="preserve"> 30,883,002bp</w:t>
      </w:r>
      <w:r w:rsidRPr="004E2FF9">
        <w:rPr>
          <w:rFonts w:eastAsia="Times New Roman" w:cs="Calibri"/>
          <w:color w:val="000000"/>
          <w:szCs w:val="22"/>
        </w:rPr>
        <w:t xml:space="preserve">) has a </w:t>
      </w:r>
      <w:r w:rsidRPr="00CD0300">
        <w:rPr>
          <w:rFonts w:eastAsia="Times New Roman" w:cs="Calibri"/>
          <w:color w:val="000000"/>
          <w:szCs w:val="22"/>
        </w:rPr>
        <w:t xml:space="preserve">replicated </w:t>
      </w:r>
      <w:r w:rsidRPr="00CD0300">
        <w:rPr>
          <w:rFonts w:eastAsia="Times New Roman" w:cs="Calibri"/>
          <w:i/>
          <w:color w:val="000000"/>
          <w:szCs w:val="22"/>
        </w:rPr>
        <w:t>cis</w:t>
      </w:r>
      <w:r w:rsidRPr="00CD0300">
        <w:rPr>
          <w:rFonts w:eastAsia="Times New Roman" w:cs="Calibri"/>
          <w:color w:val="000000"/>
          <w:szCs w:val="22"/>
        </w:rPr>
        <w:t>-</w:t>
      </w:r>
      <w:proofErr w:type="spellStart"/>
      <w:r w:rsidRPr="00CD0300">
        <w:rPr>
          <w:rFonts w:eastAsia="Times New Roman" w:cs="Calibri"/>
          <w:color w:val="000000"/>
          <w:szCs w:val="22"/>
        </w:rPr>
        <w:t>mQTL</w:t>
      </w:r>
      <w:proofErr w:type="spellEnd"/>
      <w:r w:rsidRPr="00CD0300">
        <w:rPr>
          <w:rFonts w:eastAsia="Times New Roman" w:cs="Calibri"/>
          <w:color w:val="000000"/>
          <w:szCs w:val="22"/>
        </w:rPr>
        <w:t xml:space="preserve"> </w:t>
      </w:r>
      <w:r w:rsidRPr="00CD0300">
        <w:rPr>
          <w:szCs w:val="22"/>
        </w:rPr>
        <w:t xml:space="preserve">SNP rs2532928 </w:t>
      </w:r>
      <w:r w:rsidRPr="00CD0300">
        <w:rPr>
          <w:bCs/>
          <w:szCs w:val="22"/>
        </w:rPr>
        <w:t>(</w:t>
      </w:r>
      <w:r w:rsidRPr="00CD0300">
        <w:rPr>
          <w:rFonts w:eastAsia="Times New Roman" w:cs="Arial"/>
          <w:szCs w:val="22"/>
          <w:lang w:eastAsia="en-AU" w:bidi="ar-SA"/>
        </w:rPr>
        <w:t>3.133</w:t>
      </w:r>
      <w:r w:rsidRPr="00CD0300">
        <w:rPr>
          <w:szCs w:val="22"/>
        </w:rPr>
        <w:t>×10</w:t>
      </w:r>
      <w:r w:rsidRPr="00CD0300">
        <w:rPr>
          <w:rFonts w:eastAsia="Times New Roman" w:cs="Arial"/>
          <w:szCs w:val="22"/>
          <w:vertAlign w:val="superscript"/>
          <w:lang w:eastAsia="en-AU" w:bidi="ar-SA"/>
        </w:rPr>
        <w:t>-71</w:t>
      </w:r>
      <w:r w:rsidRPr="00CD0300">
        <w:rPr>
          <w:szCs w:val="22"/>
        </w:rPr>
        <w:t>&lt;</w:t>
      </w:r>
      <w:r w:rsidRPr="00CD0300">
        <w:rPr>
          <w:i/>
          <w:iCs/>
          <w:szCs w:val="22"/>
        </w:rPr>
        <w:t>p</w:t>
      </w:r>
      <w:r w:rsidRPr="00CD0300">
        <w:rPr>
          <w:szCs w:val="22"/>
        </w:rPr>
        <w:t>&lt;</w:t>
      </w:r>
      <w:r w:rsidRPr="00CD0300">
        <w:rPr>
          <w:rFonts w:eastAsia="Times New Roman" w:cs="Arial"/>
          <w:szCs w:val="22"/>
          <w:lang w:eastAsia="en-AU" w:bidi="ar-SA"/>
        </w:rPr>
        <w:t>8.78</w:t>
      </w:r>
      <w:r w:rsidRPr="00CD0300">
        <w:rPr>
          <w:szCs w:val="22"/>
        </w:rPr>
        <w:t>×10</w:t>
      </w:r>
      <w:r w:rsidRPr="00CD0300">
        <w:rPr>
          <w:rFonts w:eastAsia="Times New Roman" w:cs="Arial"/>
          <w:szCs w:val="22"/>
          <w:vertAlign w:val="superscript"/>
          <w:lang w:eastAsia="en-AU" w:bidi="ar-SA"/>
        </w:rPr>
        <w:t>-161</w:t>
      </w:r>
      <w:r w:rsidRPr="00CD0300">
        <w:rPr>
          <w:rFonts w:eastAsia="Times New Roman" w:cs="Arial"/>
          <w:szCs w:val="22"/>
          <w:lang w:eastAsia="en-AU" w:bidi="ar-SA"/>
        </w:rPr>
        <w:t>,</w:t>
      </w:r>
      <w:r w:rsidR="008C3FC6" w:rsidRPr="00CD0300">
        <w:rPr>
          <w:rFonts w:eastAsia="Times New Roman" w:cs="Arial"/>
          <w:szCs w:val="22"/>
          <w:lang w:eastAsia="en-AU" w:bidi="ar-SA"/>
        </w:rPr>
        <w:t xml:space="preserve"> </w:t>
      </w:r>
      <w:r w:rsidRPr="00CD0300">
        <w:rPr>
          <w:rFonts w:eastAsia="Times New Roman" w:cs="Arial"/>
          <w:szCs w:val="22"/>
          <w:lang w:eastAsia="en-AU" w:bidi="ar-SA"/>
        </w:rPr>
        <w:t>ef</w:t>
      </w:r>
      <w:r w:rsidR="00673188" w:rsidRPr="00CD0300">
        <w:rPr>
          <w:rFonts w:eastAsia="Times New Roman" w:cs="Arial"/>
          <w:szCs w:val="22"/>
          <w:lang w:eastAsia="en-AU" w:bidi="ar-SA"/>
        </w:rPr>
        <w:t>fect range=0.289-0.324</w:t>
      </w:r>
      <w:r w:rsidR="00D24828" w:rsidRPr="00CD0300">
        <w:rPr>
          <w:rFonts w:eastAsia="Times New Roman" w:cs="Arial"/>
          <w:szCs w:val="22"/>
          <w:lang w:eastAsia="en-AU" w:bidi="ar-SA"/>
        </w:rPr>
        <w:t>).</w:t>
      </w:r>
      <w:r w:rsidR="00D46C88">
        <w:rPr>
          <w:rFonts w:eastAsia="Times New Roman" w:cs="Arial"/>
          <w:szCs w:val="22"/>
          <w:lang w:eastAsia="en-AU" w:bidi="ar-SA"/>
        </w:rPr>
        <w:t>[24]</w:t>
      </w:r>
      <w:r w:rsidRPr="00CD0300">
        <w:rPr>
          <w:szCs w:val="22"/>
        </w:rPr>
        <w:t xml:space="preserve"> </w:t>
      </w:r>
      <w:r w:rsidR="00D24828" w:rsidRPr="00CD0300">
        <w:rPr>
          <w:szCs w:val="22"/>
        </w:rPr>
        <w:t xml:space="preserve">SNP rs2532928 </w:t>
      </w:r>
      <w:r w:rsidRPr="00CD0300">
        <w:rPr>
          <w:szCs w:val="22"/>
        </w:rPr>
        <w:t>significantly</w:t>
      </w:r>
      <w:r w:rsidRPr="004E2FF9">
        <w:rPr>
          <w:szCs w:val="22"/>
        </w:rPr>
        <w:t xml:space="preserve"> influences </w:t>
      </w:r>
      <w:r w:rsidRPr="00081A4D">
        <w:rPr>
          <w:i/>
          <w:szCs w:val="22"/>
        </w:rPr>
        <w:t>VARS2</w:t>
      </w:r>
      <w:r w:rsidRPr="004E2FF9">
        <w:rPr>
          <w:szCs w:val="22"/>
        </w:rPr>
        <w:t xml:space="preserve"> gene expression in 16 brain tissues (9.1e</w:t>
      </w:r>
      <w:r w:rsidRPr="00DF63B8">
        <w:rPr>
          <w:szCs w:val="22"/>
          <w:vertAlign w:val="superscript"/>
        </w:rPr>
        <w:t>-29</w:t>
      </w:r>
      <w:r w:rsidRPr="004E2FF9">
        <w:rPr>
          <w:szCs w:val="22"/>
        </w:rPr>
        <w:t>&lt;</w:t>
      </w:r>
      <w:r w:rsidRPr="004E2FF9">
        <w:rPr>
          <w:i/>
          <w:iCs/>
          <w:szCs w:val="22"/>
        </w:rPr>
        <w:t>p</w:t>
      </w:r>
      <w:r w:rsidRPr="004E2FF9">
        <w:rPr>
          <w:szCs w:val="22"/>
        </w:rPr>
        <w:t>&lt; 3.1×10</w:t>
      </w:r>
      <w:r w:rsidRPr="004E2FF9">
        <w:rPr>
          <w:szCs w:val="22"/>
          <w:vertAlign w:val="superscript"/>
        </w:rPr>
        <w:t>-13</w:t>
      </w:r>
      <w:r w:rsidRPr="004E2FF9">
        <w:rPr>
          <w:szCs w:val="22"/>
        </w:rPr>
        <w:t>), including cortex (</w:t>
      </w:r>
      <w:r w:rsidRPr="004E2FF9">
        <w:rPr>
          <w:i/>
          <w:iCs/>
          <w:szCs w:val="22"/>
        </w:rPr>
        <w:t>p</w:t>
      </w:r>
      <w:r w:rsidRPr="004E2FF9">
        <w:rPr>
          <w:szCs w:val="22"/>
        </w:rPr>
        <w:t>=9.1×10</w:t>
      </w:r>
      <w:r w:rsidRPr="004E2FF9">
        <w:rPr>
          <w:szCs w:val="22"/>
          <w:vertAlign w:val="superscript"/>
        </w:rPr>
        <w:t>-29</w:t>
      </w:r>
      <w:r w:rsidRPr="004E2FF9">
        <w:rPr>
          <w:szCs w:val="22"/>
        </w:rPr>
        <w:t xml:space="preserve">, normalised effect size=0.73), </w:t>
      </w:r>
      <w:r w:rsidR="004860D6" w:rsidRPr="004E2FF9">
        <w:rPr>
          <w:szCs w:val="22"/>
        </w:rPr>
        <w:t xml:space="preserve">nucleus </w:t>
      </w:r>
      <w:proofErr w:type="spellStart"/>
      <w:r w:rsidRPr="004E2FF9">
        <w:rPr>
          <w:szCs w:val="22"/>
        </w:rPr>
        <w:t>accumbens</w:t>
      </w:r>
      <w:proofErr w:type="spellEnd"/>
      <w:r w:rsidRPr="004E2FF9">
        <w:rPr>
          <w:szCs w:val="22"/>
        </w:rPr>
        <w:t xml:space="preserve"> (</w:t>
      </w:r>
      <w:r w:rsidRPr="004E2FF9">
        <w:rPr>
          <w:i/>
          <w:iCs/>
          <w:szCs w:val="22"/>
        </w:rPr>
        <w:t>p</w:t>
      </w:r>
      <w:r w:rsidRPr="004E2FF9">
        <w:rPr>
          <w:szCs w:val="22"/>
        </w:rPr>
        <w:t>=3.1×10</w:t>
      </w:r>
      <w:r w:rsidRPr="004E2FF9">
        <w:rPr>
          <w:szCs w:val="22"/>
          <w:vertAlign w:val="superscript"/>
        </w:rPr>
        <w:t>-27</w:t>
      </w:r>
      <w:r w:rsidRPr="004E2FF9">
        <w:rPr>
          <w:szCs w:val="22"/>
        </w:rPr>
        <w:t>, normalised effect size=0.53</w:t>
      </w:r>
      <w:r w:rsidR="004860D6" w:rsidRPr="004E2FF9">
        <w:rPr>
          <w:szCs w:val="22"/>
        </w:rPr>
        <w:t xml:space="preserve">) and hypothalamus </w:t>
      </w:r>
      <w:r w:rsidRPr="004E2FF9">
        <w:rPr>
          <w:szCs w:val="22"/>
        </w:rPr>
        <w:t>(</w:t>
      </w:r>
      <w:r w:rsidRPr="004E2FF9">
        <w:rPr>
          <w:i/>
          <w:iCs/>
          <w:szCs w:val="22"/>
        </w:rPr>
        <w:t>p</w:t>
      </w:r>
      <w:r w:rsidRPr="004E2FF9">
        <w:rPr>
          <w:szCs w:val="22"/>
        </w:rPr>
        <w:t>=3.5×10</w:t>
      </w:r>
      <w:r w:rsidRPr="004E2FF9">
        <w:rPr>
          <w:szCs w:val="22"/>
          <w:vertAlign w:val="superscript"/>
        </w:rPr>
        <w:t>-24</w:t>
      </w:r>
      <w:r w:rsidRPr="004E2FF9">
        <w:rPr>
          <w:szCs w:val="22"/>
        </w:rPr>
        <w:t xml:space="preserve">, </w:t>
      </w:r>
      <w:r w:rsidRPr="00093D89">
        <w:rPr>
          <w:szCs w:val="22"/>
        </w:rPr>
        <w:t>normalised effect size=0.60) (</w:t>
      </w:r>
      <w:proofErr w:type="spellStart"/>
      <w:r w:rsidRPr="00093D89">
        <w:rPr>
          <w:szCs w:val="22"/>
        </w:rPr>
        <w:t>GTE</w:t>
      </w:r>
      <w:r w:rsidR="00673188" w:rsidRPr="00093D89">
        <w:rPr>
          <w:szCs w:val="22"/>
        </w:rPr>
        <w:t>x</w:t>
      </w:r>
      <w:proofErr w:type="spellEnd"/>
      <w:r w:rsidRPr="00093D89">
        <w:rPr>
          <w:szCs w:val="22"/>
        </w:rPr>
        <w:t xml:space="preserve"> v8; </w:t>
      </w:r>
      <w:r w:rsidR="00D46C88">
        <w:rPr>
          <w:szCs w:val="22"/>
        </w:rPr>
        <w:t>[25]</w:t>
      </w:r>
      <w:r w:rsidRPr="00093D89">
        <w:rPr>
          <w:szCs w:val="22"/>
        </w:rPr>
        <w:t>).</w:t>
      </w:r>
      <w:r w:rsidR="00C62E6E" w:rsidRPr="00093D89">
        <w:rPr>
          <w:szCs w:val="22"/>
        </w:rPr>
        <w:t xml:space="preserve"> SNP rs2532928 </w:t>
      </w:r>
      <w:r w:rsidR="00EB6D32" w:rsidRPr="00093D89">
        <w:rPr>
          <w:szCs w:val="22"/>
        </w:rPr>
        <w:t>(</w:t>
      </w:r>
      <w:r w:rsidR="00EB6D32" w:rsidRPr="00093D89">
        <w:t>hg19/chr6:30,898,295bp)</w:t>
      </w:r>
      <w:r w:rsidR="00EB6D32" w:rsidRPr="00093D89">
        <w:rPr>
          <w:szCs w:val="22"/>
        </w:rPr>
        <w:t xml:space="preserve"> </w:t>
      </w:r>
      <w:r w:rsidR="00C62E6E" w:rsidRPr="00093D89">
        <w:rPr>
          <w:szCs w:val="22"/>
        </w:rPr>
        <w:t xml:space="preserve">is not </w:t>
      </w:r>
      <w:r w:rsidR="00C62E6E" w:rsidRPr="004E2FF9">
        <w:rPr>
          <w:szCs w:val="22"/>
        </w:rPr>
        <w:t>associated with BD in PGC3-BD GWAS (</w:t>
      </w:r>
      <w:r w:rsidR="00C62E6E" w:rsidRPr="004E2FF9">
        <w:rPr>
          <w:i/>
          <w:iCs/>
          <w:szCs w:val="22"/>
        </w:rPr>
        <w:t>p</w:t>
      </w:r>
      <w:r w:rsidR="00C62E6E" w:rsidRPr="004E2FF9">
        <w:rPr>
          <w:szCs w:val="22"/>
        </w:rPr>
        <w:t>=0.307)</w:t>
      </w:r>
      <w:r w:rsidR="00D27C76" w:rsidRPr="004E2FF9">
        <w:rPr>
          <w:szCs w:val="22"/>
        </w:rPr>
        <w:t xml:space="preserve">, but </w:t>
      </w:r>
      <w:r w:rsidR="00B04623" w:rsidRPr="00081A4D">
        <w:rPr>
          <w:i/>
          <w:szCs w:val="22"/>
        </w:rPr>
        <w:t>VARS2</w:t>
      </w:r>
      <w:r w:rsidR="00B04623">
        <w:rPr>
          <w:szCs w:val="22"/>
        </w:rPr>
        <w:t xml:space="preserve"> </w:t>
      </w:r>
      <w:r w:rsidR="00B04623" w:rsidRPr="004E2FF9">
        <w:rPr>
          <w:szCs w:val="22"/>
        </w:rPr>
        <w:t xml:space="preserve">(hg19/chr6:30.88–30.90 Mb) </w:t>
      </w:r>
      <w:r w:rsidR="00D27C76" w:rsidRPr="004E2FF9">
        <w:rPr>
          <w:szCs w:val="22"/>
        </w:rPr>
        <w:t xml:space="preserve">lies in the MHC region (hg19/chr6:25–34 Mb) which shows strong association with BD (max </w:t>
      </w:r>
      <w:r w:rsidR="00D27C76" w:rsidRPr="004E2FF9">
        <w:rPr>
          <w:i/>
          <w:iCs/>
          <w:szCs w:val="22"/>
        </w:rPr>
        <w:t>p</w:t>
      </w:r>
      <w:r w:rsidR="00D27C76" w:rsidRPr="004E2FF9">
        <w:rPr>
          <w:szCs w:val="22"/>
        </w:rPr>
        <w:t>=5.75×10</w:t>
      </w:r>
      <w:r w:rsidR="00D27C76" w:rsidRPr="004E2FF9">
        <w:rPr>
          <w:szCs w:val="22"/>
          <w:vertAlign w:val="superscript"/>
        </w:rPr>
        <w:t>-15</w:t>
      </w:r>
      <w:r w:rsidR="00D55E64" w:rsidRPr="004E2FF9">
        <w:rPr>
          <w:szCs w:val="22"/>
        </w:rPr>
        <w:t xml:space="preserve"> at rs13195402, 26.46Mb</w:t>
      </w:r>
      <w:proofErr w:type="gramStart"/>
      <w:r w:rsidR="00D55E64" w:rsidRPr="004E2FF9">
        <w:rPr>
          <w:szCs w:val="22"/>
        </w:rPr>
        <w:t>)</w:t>
      </w:r>
      <w:r w:rsidR="00673188" w:rsidRPr="004E2FF9">
        <w:rPr>
          <w:szCs w:val="22"/>
        </w:rPr>
        <w:t>.</w:t>
      </w:r>
      <w:r w:rsidR="00D46C88">
        <w:rPr>
          <w:szCs w:val="22"/>
        </w:rPr>
        <w:t>[</w:t>
      </w:r>
      <w:proofErr w:type="gramEnd"/>
      <w:r w:rsidR="00D46C88">
        <w:rPr>
          <w:szCs w:val="22"/>
        </w:rPr>
        <w:t>5]</w:t>
      </w:r>
      <w:r w:rsidR="007728D9" w:rsidRPr="004E2FF9">
        <w:rPr>
          <w:szCs w:val="22"/>
        </w:rPr>
        <w:t xml:space="preserve"> </w:t>
      </w:r>
      <w:r w:rsidR="007728D9" w:rsidRPr="00081A4D">
        <w:rPr>
          <w:i/>
          <w:szCs w:val="22"/>
        </w:rPr>
        <w:t>VARS2</w:t>
      </w:r>
      <w:r w:rsidR="007728D9" w:rsidRPr="004E2FF9">
        <w:rPr>
          <w:szCs w:val="22"/>
        </w:rPr>
        <w:t xml:space="preserve"> is ubiquitously expressed, but with highest expression in the cerebellum.</w:t>
      </w:r>
    </w:p>
    <w:p w14:paraId="695B117E" w14:textId="77777777" w:rsidR="00457929" w:rsidRDefault="00457929" w:rsidP="00D80CD5">
      <w:pPr>
        <w:spacing w:after="0" w:line="480" w:lineRule="auto"/>
        <w:jc w:val="both"/>
        <w:rPr>
          <w:sz w:val="20"/>
          <w:szCs w:val="24"/>
        </w:rPr>
      </w:pPr>
    </w:p>
    <w:p w14:paraId="65BB0143" w14:textId="77777777" w:rsidR="00457929" w:rsidRDefault="00457929" w:rsidP="00D80CD5">
      <w:pPr>
        <w:spacing w:after="0" w:line="480" w:lineRule="auto"/>
        <w:jc w:val="both"/>
        <w:rPr>
          <w:sz w:val="20"/>
          <w:szCs w:val="24"/>
        </w:rPr>
      </w:pPr>
    </w:p>
    <w:p w14:paraId="522C5628" w14:textId="77777777" w:rsidR="00457929" w:rsidRDefault="00457929" w:rsidP="00D80CD5">
      <w:pPr>
        <w:spacing w:after="0" w:line="480" w:lineRule="auto"/>
        <w:jc w:val="both"/>
        <w:rPr>
          <w:sz w:val="20"/>
          <w:szCs w:val="24"/>
        </w:rPr>
        <w:sectPr w:rsidR="00457929">
          <w:pgSz w:w="11906" w:h="16838"/>
          <w:pgMar w:top="1440" w:right="1440" w:bottom="1440" w:left="1440" w:header="708" w:footer="708" w:gutter="0"/>
          <w:cols w:space="708"/>
          <w:docGrid w:linePitch="360"/>
        </w:sectPr>
      </w:pPr>
    </w:p>
    <w:p w14:paraId="77D99F19" w14:textId="0C251557" w:rsidR="008B0F95" w:rsidRDefault="00F71FC6" w:rsidP="004B29AD">
      <w:pPr>
        <w:spacing w:after="0" w:line="240" w:lineRule="auto"/>
        <w:jc w:val="both"/>
        <w:rPr>
          <w:sz w:val="20"/>
          <w:szCs w:val="24"/>
        </w:rPr>
      </w:pPr>
      <w:r>
        <w:rPr>
          <w:noProof/>
          <w:sz w:val="20"/>
          <w:szCs w:val="24"/>
          <w:lang w:val="en-US" w:eastAsia="en-US" w:bidi="ar-SA"/>
        </w:rPr>
        <w:drawing>
          <wp:inline distT="0" distB="0" distL="0" distR="0" wp14:anchorId="05B05EFC" wp14:editId="27592E7C">
            <wp:extent cx="6484620" cy="522404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ex_v8_ts_FUMA_gene2func52459 (2).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84643" cy="5224061"/>
                    </a:xfrm>
                    <a:prstGeom prst="rect">
                      <a:avLst/>
                    </a:prstGeom>
                  </pic:spPr>
                </pic:pic>
              </a:graphicData>
            </a:graphic>
          </wp:inline>
        </w:drawing>
      </w:r>
    </w:p>
    <w:p w14:paraId="4FC237BB" w14:textId="5EEA9A26" w:rsidR="00A97ED9" w:rsidRDefault="00A97ED9" w:rsidP="00432CF8">
      <w:pPr>
        <w:spacing w:after="0" w:line="360" w:lineRule="auto"/>
        <w:jc w:val="both"/>
        <w:rPr>
          <w:sz w:val="20"/>
          <w:szCs w:val="24"/>
        </w:rPr>
        <w:sectPr w:rsidR="00A97ED9" w:rsidSect="00A97ED9">
          <w:pgSz w:w="16838" w:h="11906" w:orient="landscape"/>
          <w:pgMar w:top="1440" w:right="1440" w:bottom="1440" w:left="1440" w:header="708" w:footer="708" w:gutter="0"/>
          <w:cols w:space="708"/>
          <w:docGrid w:linePitch="360"/>
        </w:sectPr>
      </w:pPr>
      <w:r w:rsidRPr="00432CF8">
        <w:rPr>
          <w:bCs/>
          <w:i/>
          <w:szCs w:val="22"/>
        </w:rPr>
        <w:t xml:space="preserve">Figure </w:t>
      </w:r>
      <w:r w:rsidR="003B77EC" w:rsidRPr="00432CF8">
        <w:rPr>
          <w:bCs/>
          <w:i/>
          <w:szCs w:val="22"/>
        </w:rPr>
        <w:t>S</w:t>
      </w:r>
      <w:r w:rsidR="00097FB8" w:rsidRPr="00432CF8">
        <w:rPr>
          <w:bCs/>
          <w:i/>
          <w:szCs w:val="22"/>
        </w:rPr>
        <w:t>9</w:t>
      </w:r>
      <w:r w:rsidR="00F71FC6" w:rsidRPr="00432CF8">
        <w:rPr>
          <w:bCs/>
          <w:i/>
          <w:szCs w:val="22"/>
        </w:rPr>
        <w:t>.</w:t>
      </w:r>
      <w:r w:rsidRPr="00432CF8">
        <w:rPr>
          <w:b/>
          <w:bCs/>
          <w:szCs w:val="22"/>
        </w:rPr>
        <w:t xml:space="preserve"> </w:t>
      </w:r>
      <w:r w:rsidRPr="00432CF8">
        <w:rPr>
          <w:bCs/>
          <w:szCs w:val="22"/>
        </w:rPr>
        <w:t>Tissue expression analysis of nominal differentially methylated genes (</w:t>
      </w:r>
      <w:r w:rsidRPr="00432CF8">
        <w:rPr>
          <w:bCs/>
          <w:i/>
          <w:iCs/>
          <w:szCs w:val="22"/>
        </w:rPr>
        <w:t>p</w:t>
      </w:r>
      <w:r w:rsidRPr="00432CF8">
        <w:rPr>
          <w:bCs/>
          <w:szCs w:val="22"/>
        </w:rPr>
        <w:t xml:space="preserve">&lt;0.05) from the </w:t>
      </w:r>
      <w:proofErr w:type="spellStart"/>
      <w:r w:rsidRPr="00432CF8">
        <w:rPr>
          <w:bCs/>
          <w:szCs w:val="22"/>
        </w:rPr>
        <w:t>GTEx</w:t>
      </w:r>
      <w:proofErr w:type="spellEnd"/>
      <w:r w:rsidRPr="00432CF8">
        <w:rPr>
          <w:bCs/>
          <w:szCs w:val="22"/>
        </w:rPr>
        <w:t xml:space="preserve"> v8 database in FUMA</w:t>
      </w:r>
      <w:r w:rsidR="001A0E4B" w:rsidRPr="00432CF8">
        <w:rPr>
          <w:bCs/>
          <w:szCs w:val="22"/>
        </w:rPr>
        <w:t xml:space="preserve"> </w:t>
      </w:r>
      <w:r w:rsidR="00D46C88" w:rsidRPr="00432CF8">
        <w:rPr>
          <w:bCs/>
          <w:szCs w:val="22"/>
        </w:rPr>
        <w:t>[26]</w:t>
      </w:r>
      <w:r w:rsidR="00CC3535" w:rsidRPr="00432CF8">
        <w:rPr>
          <w:bCs/>
          <w:szCs w:val="22"/>
        </w:rPr>
        <w:t xml:space="preserve"> analysis of </w:t>
      </w:r>
      <w:r w:rsidRPr="00432CF8">
        <w:rPr>
          <w:bCs/>
          <w:szCs w:val="22"/>
        </w:rPr>
        <w:t>54 tissue types.</w:t>
      </w:r>
      <w:r w:rsidRPr="00432CF8">
        <w:rPr>
          <w:b/>
          <w:bCs/>
          <w:szCs w:val="22"/>
        </w:rPr>
        <w:t xml:space="preserve"> </w:t>
      </w:r>
      <w:r w:rsidRPr="00432CF8">
        <w:rPr>
          <w:bCs/>
          <w:szCs w:val="22"/>
        </w:rPr>
        <w:t>Significant enrichment of DMP genes in DEG across tissues is shown in red.</w:t>
      </w:r>
      <w:bookmarkStart w:id="9" w:name="_GoBack"/>
      <w:bookmarkEnd w:id="9"/>
    </w:p>
    <w:p w14:paraId="4C7280B0" w14:textId="213B37D5" w:rsidR="00615E09" w:rsidRDefault="00615E09" w:rsidP="00D80CD5">
      <w:pPr>
        <w:spacing w:after="0" w:line="480" w:lineRule="auto"/>
        <w:jc w:val="both"/>
        <w:rPr>
          <w:sz w:val="20"/>
          <w:szCs w:val="24"/>
        </w:rPr>
      </w:pPr>
    </w:p>
    <w:p w14:paraId="0B46C559" w14:textId="77777777" w:rsidR="00DF72DC" w:rsidRDefault="00D87D45" w:rsidP="00D80CD5">
      <w:pPr>
        <w:spacing w:after="0" w:line="480" w:lineRule="auto"/>
        <w:jc w:val="both"/>
        <w:rPr>
          <w:sz w:val="20"/>
          <w:szCs w:val="24"/>
        </w:rPr>
      </w:pPr>
      <w:r>
        <w:rPr>
          <w:noProof/>
          <w:lang w:val="en-US" w:eastAsia="en-US" w:bidi="ar-SA"/>
        </w:rPr>
        <w:drawing>
          <wp:inline distT="0" distB="0" distL="0" distR="0" wp14:anchorId="34E8226F" wp14:editId="19AA1987">
            <wp:extent cx="2993423" cy="266078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11819" cy="2677136"/>
                    </a:xfrm>
                    <a:prstGeom prst="rect">
                      <a:avLst/>
                    </a:prstGeom>
                    <a:noFill/>
                    <a:ln>
                      <a:noFill/>
                    </a:ln>
                  </pic:spPr>
                </pic:pic>
              </a:graphicData>
            </a:graphic>
          </wp:inline>
        </w:drawing>
      </w:r>
    </w:p>
    <w:p w14:paraId="57E5E317" w14:textId="70EB9977" w:rsidR="00D87D45" w:rsidRPr="004E2FF9" w:rsidRDefault="00D87D45" w:rsidP="00D80CD5">
      <w:pPr>
        <w:spacing w:after="0" w:line="480" w:lineRule="auto"/>
        <w:jc w:val="both"/>
        <w:rPr>
          <w:szCs w:val="22"/>
        </w:rPr>
      </w:pPr>
      <w:r w:rsidRPr="004E2FF9">
        <w:rPr>
          <w:bCs/>
          <w:i/>
          <w:szCs w:val="22"/>
        </w:rPr>
        <w:t xml:space="preserve">Figure </w:t>
      </w:r>
      <w:r w:rsidR="003B77EC" w:rsidRPr="004E2FF9">
        <w:rPr>
          <w:bCs/>
          <w:i/>
          <w:szCs w:val="22"/>
        </w:rPr>
        <w:t>S</w:t>
      </w:r>
      <w:r w:rsidR="00E52E31">
        <w:rPr>
          <w:bCs/>
          <w:i/>
          <w:szCs w:val="22"/>
        </w:rPr>
        <w:t>1</w:t>
      </w:r>
      <w:r w:rsidR="00097FB8">
        <w:rPr>
          <w:bCs/>
          <w:i/>
          <w:szCs w:val="22"/>
        </w:rPr>
        <w:t>0</w:t>
      </w:r>
      <w:r w:rsidR="004B29AD" w:rsidRPr="004E2FF9">
        <w:rPr>
          <w:bCs/>
          <w:i/>
          <w:szCs w:val="22"/>
        </w:rPr>
        <w:t>.</w:t>
      </w:r>
      <w:r w:rsidRPr="004E2FF9">
        <w:rPr>
          <w:szCs w:val="22"/>
        </w:rPr>
        <w:t xml:space="preserve"> Quantile-quantile plot</w:t>
      </w:r>
      <w:r w:rsidR="00C7634E" w:rsidRPr="004E2FF9">
        <w:rPr>
          <w:szCs w:val="22"/>
        </w:rPr>
        <w:t xml:space="preserve"> for </w:t>
      </w:r>
      <w:r w:rsidR="00027904" w:rsidRPr="004E2FF9">
        <w:rPr>
          <w:szCs w:val="22"/>
        </w:rPr>
        <w:t>supplementary</w:t>
      </w:r>
      <w:r w:rsidR="00C7634E" w:rsidRPr="004E2FF9">
        <w:rPr>
          <w:szCs w:val="22"/>
        </w:rPr>
        <w:t xml:space="preserve"> </w:t>
      </w:r>
      <w:r w:rsidR="00266304" w:rsidRPr="004E2FF9">
        <w:rPr>
          <w:szCs w:val="22"/>
        </w:rPr>
        <w:t>EWAS (</w:t>
      </w:r>
      <w:r w:rsidR="004860D6" w:rsidRPr="004E2FF9">
        <w:rPr>
          <w:szCs w:val="22"/>
        </w:rPr>
        <w:t xml:space="preserve">High </w:t>
      </w:r>
      <w:r w:rsidR="00266304" w:rsidRPr="004E2FF9">
        <w:rPr>
          <w:szCs w:val="22"/>
        </w:rPr>
        <w:t xml:space="preserve">vs. </w:t>
      </w:r>
      <w:r w:rsidR="004860D6" w:rsidRPr="004E2FF9">
        <w:rPr>
          <w:szCs w:val="22"/>
        </w:rPr>
        <w:t>L</w:t>
      </w:r>
      <w:r w:rsidR="00266304" w:rsidRPr="004E2FF9">
        <w:rPr>
          <w:szCs w:val="22"/>
        </w:rPr>
        <w:t xml:space="preserve">ow BD-PRS in HR; </w:t>
      </w:r>
      <w:r w:rsidR="00266304" w:rsidRPr="004E2FF9">
        <w:rPr>
          <w:i/>
          <w:iCs/>
          <w:szCs w:val="22"/>
        </w:rPr>
        <w:t>n</w:t>
      </w:r>
      <w:r w:rsidR="00266304" w:rsidRPr="004E2FF9">
        <w:rPr>
          <w:szCs w:val="22"/>
        </w:rPr>
        <w:t>=82)</w:t>
      </w:r>
      <w:r w:rsidRPr="004E2FF9">
        <w:rPr>
          <w:szCs w:val="22"/>
        </w:rPr>
        <w:t xml:space="preserve"> </w:t>
      </w:r>
      <w:r w:rsidR="00C7634E" w:rsidRPr="004E2FF9">
        <w:rPr>
          <w:szCs w:val="22"/>
        </w:rPr>
        <w:t xml:space="preserve">for 214,352 probes that passed QC </w:t>
      </w:r>
      <w:r w:rsidR="00166DAF" w:rsidRPr="004E2FF9">
        <w:rPr>
          <w:szCs w:val="22"/>
        </w:rPr>
        <w:t>(without applying the brain correlation filter)</w:t>
      </w:r>
      <w:r w:rsidR="00CC3535" w:rsidRPr="004E2FF9">
        <w:rPr>
          <w:szCs w:val="22"/>
        </w:rPr>
        <w:t>. Analysis</w:t>
      </w:r>
      <w:r w:rsidR="00166DAF" w:rsidRPr="004E2FF9">
        <w:rPr>
          <w:szCs w:val="22"/>
        </w:rPr>
        <w:t xml:space="preserve"> employ</w:t>
      </w:r>
      <w:r w:rsidR="00CC3535" w:rsidRPr="004E2FF9">
        <w:rPr>
          <w:szCs w:val="22"/>
        </w:rPr>
        <w:t>ed</w:t>
      </w:r>
      <w:r w:rsidR="00166DAF" w:rsidRPr="004E2FF9">
        <w:rPr>
          <w:szCs w:val="22"/>
        </w:rPr>
        <w:t xml:space="preserve"> identical procedures </w:t>
      </w:r>
      <w:r w:rsidR="004860D6" w:rsidRPr="004E2FF9">
        <w:rPr>
          <w:szCs w:val="22"/>
        </w:rPr>
        <w:t xml:space="preserve">to </w:t>
      </w:r>
      <w:r w:rsidR="00166DAF" w:rsidRPr="004E2FF9">
        <w:rPr>
          <w:szCs w:val="22"/>
        </w:rPr>
        <w:t xml:space="preserve">the primary EWAS after regenerating </w:t>
      </w:r>
      <w:r w:rsidR="00457929" w:rsidRPr="004E2FF9">
        <w:rPr>
          <w:szCs w:val="22"/>
        </w:rPr>
        <w:t>surrogate variable</w:t>
      </w:r>
      <w:r w:rsidR="00166DAF" w:rsidRPr="004E2FF9">
        <w:rPr>
          <w:szCs w:val="22"/>
        </w:rPr>
        <w:t xml:space="preserve">s </w:t>
      </w:r>
      <w:r w:rsidR="00457929" w:rsidRPr="004E2FF9">
        <w:rPr>
          <w:szCs w:val="22"/>
        </w:rPr>
        <w:t>(</w:t>
      </w:r>
      <w:r w:rsidR="00457929" w:rsidRPr="004E2FF9">
        <w:rPr>
          <w:i/>
          <w:iCs/>
          <w:szCs w:val="22"/>
        </w:rPr>
        <w:t>n</w:t>
      </w:r>
      <w:r w:rsidR="00457929" w:rsidRPr="004E2FF9">
        <w:rPr>
          <w:szCs w:val="22"/>
        </w:rPr>
        <w:t xml:space="preserve">=4, </w:t>
      </w:r>
      <w:r w:rsidR="00166DAF" w:rsidRPr="004E2FF9">
        <w:rPr>
          <w:szCs w:val="22"/>
        </w:rPr>
        <w:t>based on new probe-set</w:t>
      </w:r>
      <w:r w:rsidR="004860D6" w:rsidRPr="004E2FF9">
        <w:rPr>
          <w:szCs w:val="22"/>
        </w:rPr>
        <w:t xml:space="preserve">). Plot </w:t>
      </w:r>
      <w:r w:rsidR="00266304" w:rsidRPr="004E2FF9">
        <w:rPr>
          <w:szCs w:val="22"/>
        </w:rPr>
        <w:t>indicat</w:t>
      </w:r>
      <w:r w:rsidR="004860D6" w:rsidRPr="004E2FF9">
        <w:rPr>
          <w:szCs w:val="22"/>
        </w:rPr>
        <w:t>es</w:t>
      </w:r>
      <w:r w:rsidR="00266304" w:rsidRPr="004E2FF9">
        <w:rPr>
          <w:szCs w:val="22"/>
        </w:rPr>
        <w:t xml:space="preserve"> observed vs. expected </w:t>
      </w:r>
      <w:r w:rsidR="00266304" w:rsidRPr="004E2FF9">
        <w:rPr>
          <w:i/>
          <w:iCs/>
          <w:szCs w:val="22"/>
        </w:rPr>
        <w:t>p</w:t>
      </w:r>
      <w:r w:rsidR="004860D6" w:rsidRPr="004E2FF9">
        <w:rPr>
          <w:szCs w:val="22"/>
        </w:rPr>
        <w:t xml:space="preserve"> with bias </w:t>
      </w:r>
      <w:r w:rsidR="00266304" w:rsidRPr="004E2FF9">
        <w:rPr>
          <w:szCs w:val="22"/>
        </w:rPr>
        <w:t xml:space="preserve">and inflation corrected to 0.00097 and 1, respectively. </w:t>
      </w:r>
      <w:r w:rsidR="00C8549B" w:rsidRPr="004E2FF9">
        <w:rPr>
          <w:szCs w:val="22"/>
        </w:rPr>
        <w:t>Specific probes that lie above the inflection point (</w:t>
      </w:r>
      <w:r w:rsidR="00C8549B" w:rsidRPr="004E2FF9">
        <w:rPr>
          <w:i/>
          <w:iCs/>
          <w:szCs w:val="22"/>
        </w:rPr>
        <w:t>p</w:t>
      </w:r>
      <w:r w:rsidR="00C8549B" w:rsidRPr="004E2FF9">
        <w:rPr>
          <w:szCs w:val="22"/>
        </w:rPr>
        <w:t xml:space="preserve">&lt;0.001) are listed in Table </w:t>
      </w:r>
      <w:r w:rsidR="00457A7E" w:rsidRPr="004E2FF9">
        <w:rPr>
          <w:szCs w:val="22"/>
        </w:rPr>
        <w:t>S</w:t>
      </w:r>
      <w:r w:rsidR="00457A7E">
        <w:rPr>
          <w:szCs w:val="22"/>
        </w:rPr>
        <w:t>5</w:t>
      </w:r>
      <w:r w:rsidR="00C8549B" w:rsidRPr="004E2FF9">
        <w:rPr>
          <w:szCs w:val="22"/>
        </w:rPr>
        <w:t>.</w:t>
      </w:r>
    </w:p>
    <w:p w14:paraId="2AA21097" w14:textId="2CCF6C63" w:rsidR="008E4A12" w:rsidRDefault="008E4A12" w:rsidP="00D80CD5">
      <w:pPr>
        <w:spacing w:after="0" w:line="480" w:lineRule="auto"/>
        <w:jc w:val="both"/>
        <w:rPr>
          <w:sz w:val="20"/>
          <w:szCs w:val="24"/>
        </w:rPr>
      </w:pPr>
    </w:p>
    <w:p w14:paraId="4022DF75" w14:textId="77777777" w:rsidR="009F4DB5" w:rsidRDefault="009F4DB5" w:rsidP="00D80CD5">
      <w:pPr>
        <w:spacing w:after="0" w:line="480" w:lineRule="auto"/>
        <w:jc w:val="both"/>
        <w:rPr>
          <w:color w:val="808080" w:themeColor="background1" w:themeShade="80"/>
        </w:rPr>
        <w:sectPr w:rsidR="009F4DB5">
          <w:pgSz w:w="11906" w:h="16838"/>
          <w:pgMar w:top="1440" w:right="1440" w:bottom="1440" w:left="1440" w:header="708" w:footer="708" w:gutter="0"/>
          <w:cols w:space="708"/>
          <w:docGrid w:linePitch="360"/>
        </w:sectPr>
      </w:pPr>
    </w:p>
    <w:p w14:paraId="42F4E79B" w14:textId="77777777" w:rsidR="004B29AD" w:rsidRDefault="004B29AD" w:rsidP="004B29AD">
      <w:pPr>
        <w:spacing w:after="0" w:line="240" w:lineRule="auto"/>
        <w:jc w:val="both"/>
        <w:rPr>
          <w:b/>
          <w:bCs/>
          <w:sz w:val="20"/>
          <w:szCs w:val="24"/>
        </w:rPr>
      </w:pPr>
      <w:r>
        <w:rPr>
          <w:b/>
          <w:bCs/>
          <w:noProof/>
          <w:sz w:val="20"/>
          <w:szCs w:val="24"/>
          <w:lang w:val="en-US" w:eastAsia="en-US" w:bidi="ar-SA"/>
        </w:rPr>
        <w:drawing>
          <wp:inline distT="0" distB="0" distL="0" distR="0" wp14:anchorId="7B67297B" wp14:editId="7A56F6DD">
            <wp:extent cx="6477000" cy="5217905"/>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ex_v8_ts_FUMA_gene2func59538.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76451" cy="5217463"/>
                    </a:xfrm>
                    <a:prstGeom prst="rect">
                      <a:avLst/>
                    </a:prstGeom>
                  </pic:spPr>
                </pic:pic>
              </a:graphicData>
            </a:graphic>
          </wp:inline>
        </w:drawing>
      </w:r>
    </w:p>
    <w:p w14:paraId="40141F42" w14:textId="0F4D5150" w:rsidR="00C8549B" w:rsidRPr="00432CF8" w:rsidRDefault="00C8549B" w:rsidP="00D80CD5">
      <w:pPr>
        <w:spacing w:after="0" w:line="480" w:lineRule="auto"/>
        <w:jc w:val="both"/>
        <w:rPr>
          <w:szCs w:val="22"/>
        </w:rPr>
      </w:pPr>
      <w:r w:rsidRPr="00432CF8">
        <w:rPr>
          <w:bCs/>
          <w:i/>
          <w:szCs w:val="22"/>
        </w:rPr>
        <w:t xml:space="preserve">Figure </w:t>
      </w:r>
      <w:r w:rsidR="003B77EC" w:rsidRPr="00432CF8">
        <w:rPr>
          <w:bCs/>
          <w:i/>
          <w:szCs w:val="22"/>
        </w:rPr>
        <w:t>S</w:t>
      </w:r>
      <w:r w:rsidR="003C685B" w:rsidRPr="00432CF8">
        <w:rPr>
          <w:bCs/>
          <w:i/>
          <w:szCs w:val="22"/>
        </w:rPr>
        <w:t>1</w:t>
      </w:r>
      <w:r w:rsidR="00097FB8" w:rsidRPr="00432CF8">
        <w:rPr>
          <w:bCs/>
          <w:i/>
          <w:szCs w:val="22"/>
        </w:rPr>
        <w:t>1</w:t>
      </w:r>
      <w:r w:rsidR="004B29AD" w:rsidRPr="00432CF8">
        <w:rPr>
          <w:bCs/>
          <w:i/>
          <w:szCs w:val="22"/>
        </w:rPr>
        <w:t>.</w:t>
      </w:r>
      <w:r w:rsidRPr="00432CF8">
        <w:rPr>
          <w:bCs/>
          <w:szCs w:val="22"/>
        </w:rPr>
        <w:t xml:space="preserve"> </w:t>
      </w:r>
      <w:r w:rsidRPr="00432CF8">
        <w:rPr>
          <w:szCs w:val="22"/>
        </w:rPr>
        <w:t>Tissue expression analysis of 1184 differentially methylated genes (</w:t>
      </w:r>
      <w:r w:rsidRPr="00432CF8">
        <w:rPr>
          <w:i/>
          <w:iCs/>
          <w:szCs w:val="22"/>
        </w:rPr>
        <w:t>p</w:t>
      </w:r>
      <w:r w:rsidRPr="00432CF8">
        <w:rPr>
          <w:szCs w:val="22"/>
        </w:rPr>
        <w:t xml:space="preserve">&lt;0.0064) from the </w:t>
      </w:r>
      <w:r w:rsidR="00027904" w:rsidRPr="00432CF8">
        <w:rPr>
          <w:szCs w:val="22"/>
        </w:rPr>
        <w:t>supplementary</w:t>
      </w:r>
      <w:r w:rsidRPr="00432CF8">
        <w:rPr>
          <w:szCs w:val="22"/>
        </w:rPr>
        <w:t xml:space="preserve"> EWAS from the </w:t>
      </w:r>
      <w:proofErr w:type="spellStart"/>
      <w:r w:rsidRPr="00432CF8">
        <w:rPr>
          <w:szCs w:val="22"/>
        </w:rPr>
        <w:t>GTEx</w:t>
      </w:r>
      <w:proofErr w:type="spellEnd"/>
      <w:r w:rsidRPr="00432CF8">
        <w:rPr>
          <w:szCs w:val="22"/>
        </w:rPr>
        <w:t xml:space="preserve"> v8 database in </w:t>
      </w:r>
      <w:proofErr w:type="gramStart"/>
      <w:r w:rsidRPr="00432CF8">
        <w:rPr>
          <w:szCs w:val="22"/>
        </w:rPr>
        <w:t>FUMA</w:t>
      </w:r>
      <w:r w:rsidR="00D46C88" w:rsidRPr="00432CF8">
        <w:rPr>
          <w:szCs w:val="22"/>
        </w:rPr>
        <w:t>[</w:t>
      </w:r>
      <w:proofErr w:type="gramEnd"/>
      <w:r w:rsidR="00D46C88" w:rsidRPr="00432CF8">
        <w:rPr>
          <w:szCs w:val="22"/>
        </w:rPr>
        <w:t>26]</w:t>
      </w:r>
      <w:r w:rsidR="00CC3535" w:rsidRPr="00432CF8">
        <w:rPr>
          <w:bCs/>
          <w:szCs w:val="22"/>
        </w:rPr>
        <w:t xml:space="preserve"> analysis of 54 tissue types</w:t>
      </w:r>
      <w:r w:rsidRPr="00432CF8">
        <w:rPr>
          <w:szCs w:val="22"/>
        </w:rPr>
        <w:t>. Significant enrichment of DMP genes in DEG across tissues is shown in red.</w:t>
      </w:r>
    </w:p>
    <w:p w14:paraId="5EFFF93F" w14:textId="77777777" w:rsidR="00C8549B" w:rsidRPr="00C8549B" w:rsidRDefault="00C8549B" w:rsidP="00D80CD5">
      <w:pPr>
        <w:spacing w:after="0" w:line="480" w:lineRule="auto"/>
        <w:jc w:val="both"/>
        <w:rPr>
          <w:sz w:val="20"/>
          <w:szCs w:val="24"/>
        </w:rPr>
        <w:sectPr w:rsidR="00C8549B" w:rsidRPr="00C8549B" w:rsidSect="00C8549B">
          <w:type w:val="continuous"/>
          <w:pgSz w:w="16838" w:h="11906" w:orient="landscape"/>
          <w:pgMar w:top="1440" w:right="1440" w:bottom="1440" w:left="1440" w:header="708" w:footer="708" w:gutter="0"/>
          <w:cols w:space="708"/>
          <w:docGrid w:linePitch="360"/>
        </w:sectPr>
      </w:pPr>
    </w:p>
    <w:p w14:paraId="106BF7AA" w14:textId="0B11F586" w:rsidR="00C83FE8" w:rsidRDefault="00C83FE8" w:rsidP="00C83FE8"/>
    <w:p w14:paraId="7E830AC6" w14:textId="7CD738CE" w:rsidR="003864B8" w:rsidRDefault="003864B8" w:rsidP="00C83FE8">
      <w:r>
        <w:rPr>
          <w:noProof/>
          <w:lang w:val="en-US" w:eastAsia="en-US" w:bidi="ar-SA"/>
        </w:rPr>
        <w:drawing>
          <wp:inline distT="0" distB="0" distL="0" distR="0" wp14:anchorId="67AB3CBB" wp14:editId="2F45C28D">
            <wp:extent cx="3657917" cy="2194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1_CGI.png"/>
                    <pic:cNvPicPr/>
                  </pic:nvPicPr>
                  <pic:blipFill>
                    <a:blip r:embed="rId31">
                      <a:extLst>
                        <a:ext uri="{28A0092B-C50C-407E-A947-70E740481C1C}">
                          <a14:useLocalDpi xmlns:a14="http://schemas.microsoft.com/office/drawing/2010/main" val="0"/>
                        </a:ext>
                      </a:extLst>
                    </a:blip>
                    <a:stretch>
                      <a:fillRect/>
                    </a:stretch>
                  </pic:blipFill>
                  <pic:spPr>
                    <a:xfrm>
                      <a:off x="0" y="0"/>
                      <a:ext cx="3657917" cy="2194750"/>
                    </a:xfrm>
                    <a:prstGeom prst="rect">
                      <a:avLst/>
                    </a:prstGeom>
                  </pic:spPr>
                </pic:pic>
              </a:graphicData>
            </a:graphic>
          </wp:inline>
        </w:drawing>
      </w:r>
    </w:p>
    <w:p w14:paraId="7015F8B9" w14:textId="080002A6" w:rsidR="006515F5" w:rsidRPr="004E2FF9" w:rsidRDefault="00C83FE8" w:rsidP="004F1B20">
      <w:pPr>
        <w:spacing w:line="480" w:lineRule="auto"/>
        <w:jc w:val="both"/>
        <w:rPr>
          <w:szCs w:val="22"/>
        </w:rPr>
      </w:pPr>
      <w:r w:rsidRPr="004E2FF9">
        <w:rPr>
          <w:i/>
          <w:szCs w:val="22"/>
        </w:rPr>
        <w:t xml:space="preserve">Figure </w:t>
      </w:r>
      <w:r w:rsidR="003B77EC" w:rsidRPr="004E2FF9">
        <w:rPr>
          <w:i/>
          <w:szCs w:val="22"/>
        </w:rPr>
        <w:t>S</w:t>
      </w:r>
      <w:r w:rsidR="003B77EC">
        <w:rPr>
          <w:i/>
          <w:szCs w:val="22"/>
        </w:rPr>
        <w:t>1</w:t>
      </w:r>
      <w:r w:rsidR="00097FB8">
        <w:rPr>
          <w:i/>
          <w:szCs w:val="22"/>
        </w:rPr>
        <w:t>2</w:t>
      </w:r>
      <w:r w:rsidR="004B29AD" w:rsidRPr="004E2FF9">
        <w:rPr>
          <w:i/>
          <w:szCs w:val="22"/>
        </w:rPr>
        <w:t>.</w:t>
      </w:r>
      <w:r w:rsidRPr="004E2FF9">
        <w:rPr>
          <w:szCs w:val="22"/>
        </w:rPr>
        <w:t xml:space="preserve"> Clinical Global Impression </w:t>
      </w:r>
      <w:r w:rsidR="004B29AD" w:rsidRPr="004E2FF9">
        <w:rPr>
          <w:szCs w:val="22"/>
        </w:rPr>
        <w:t>(CG</w:t>
      </w:r>
      <w:proofErr w:type="gramStart"/>
      <w:r w:rsidR="004B29AD" w:rsidRPr="004E2FF9">
        <w:rPr>
          <w:szCs w:val="22"/>
        </w:rPr>
        <w:t>)</w:t>
      </w:r>
      <w:r w:rsidR="00D46C88">
        <w:rPr>
          <w:szCs w:val="22"/>
        </w:rPr>
        <w:t>[</w:t>
      </w:r>
      <w:proofErr w:type="gramEnd"/>
      <w:r w:rsidR="00D46C88">
        <w:rPr>
          <w:szCs w:val="22"/>
        </w:rPr>
        <w:t>27]</w:t>
      </w:r>
      <w:r w:rsidRPr="004E2FF9">
        <w:rPr>
          <w:szCs w:val="22"/>
        </w:rPr>
        <w:t xml:space="preserve"> rating scales for US cohort participants in </w:t>
      </w:r>
      <w:r w:rsidR="00147615" w:rsidRPr="004E2FF9">
        <w:rPr>
          <w:szCs w:val="22"/>
        </w:rPr>
        <w:t xml:space="preserve">Validation </w:t>
      </w:r>
      <w:r w:rsidRPr="004E2FF9">
        <w:rPr>
          <w:szCs w:val="22"/>
        </w:rPr>
        <w:t>Set 2.</w:t>
      </w:r>
      <w:r w:rsidRPr="004E2FF9">
        <w:rPr>
          <w:b/>
          <w:szCs w:val="22"/>
        </w:rPr>
        <w:t xml:space="preserve"> </w:t>
      </w:r>
      <w:r w:rsidRPr="004E2FF9">
        <w:rPr>
          <w:szCs w:val="22"/>
        </w:rPr>
        <w:t>Best</w:t>
      </w:r>
      <w:r w:rsidR="003F44F8" w:rsidRPr="004E2FF9">
        <w:rPr>
          <w:szCs w:val="22"/>
        </w:rPr>
        <w:t>-</w:t>
      </w:r>
      <w:r w:rsidRPr="004E2FF9">
        <w:rPr>
          <w:szCs w:val="22"/>
        </w:rPr>
        <w:t xml:space="preserve">estimate diagnoses for </w:t>
      </w:r>
      <w:proofErr w:type="spellStart"/>
      <w:r w:rsidR="003F44F8" w:rsidRPr="004E2FF9">
        <w:rPr>
          <w:szCs w:val="22"/>
        </w:rPr>
        <w:t>H</w:t>
      </w:r>
      <w:r w:rsidRPr="004E2FF9">
        <w:rPr>
          <w:szCs w:val="22"/>
        </w:rPr>
        <w:t>R</w:t>
      </w:r>
      <w:r w:rsidR="003F44F8" w:rsidRPr="004E2FF9">
        <w:rPr>
          <w:szCs w:val="22"/>
          <w:vertAlign w:val="subscript"/>
        </w:rPr>
        <w:t>unwell</w:t>
      </w:r>
      <w:proofErr w:type="spellEnd"/>
      <w:r w:rsidRPr="004E2FF9">
        <w:rPr>
          <w:szCs w:val="22"/>
        </w:rPr>
        <w:t xml:space="preserve"> </w:t>
      </w:r>
      <w:r w:rsidR="003F44F8" w:rsidRPr="004E2FF9">
        <w:rPr>
          <w:szCs w:val="22"/>
        </w:rPr>
        <w:t>group (</w:t>
      </w:r>
      <w:r w:rsidR="003F44F8" w:rsidRPr="004E2FF9">
        <w:rPr>
          <w:i/>
          <w:iCs/>
          <w:szCs w:val="22"/>
        </w:rPr>
        <w:t>n</w:t>
      </w:r>
      <w:r w:rsidR="003F44F8" w:rsidRPr="004E2FF9">
        <w:rPr>
          <w:szCs w:val="22"/>
        </w:rPr>
        <w:t>=19</w:t>
      </w:r>
      <w:r w:rsidR="003864B8" w:rsidRPr="004E2FF9">
        <w:rPr>
          <w:szCs w:val="22"/>
        </w:rPr>
        <w:t>; grey</w:t>
      </w:r>
      <w:r w:rsidR="003F44F8" w:rsidRPr="004E2FF9">
        <w:rPr>
          <w:szCs w:val="22"/>
        </w:rPr>
        <w:t xml:space="preserve">) </w:t>
      </w:r>
      <w:r w:rsidRPr="004E2FF9">
        <w:rPr>
          <w:szCs w:val="22"/>
        </w:rPr>
        <w:t xml:space="preserve">were BD-I/SABP </w:t>
      </w:r>
      <w:r w:rsidRPr="004E2FF9">
        <w:rPr>
          <w:i/>
          <w:iCs/>
          <w:szCs w:val="22"/>
        </w:rPr>
        <w:t>n</w:t>
      </w:r>
      <w:r w:rsidRPr="004E2FF9">
        <w:rPr>
          <w:szCs w:val="22"/>
        </w:rPr>
        <w:t xml:space="preserve">=7, BD-II </w:t>
      </w:r>
      <w:r w:rsidRPr="004E2FF9">
        <w:rPr>
          <w:i/>
          <w:iCs/>
          <w:szCs w:val="22"/>
        </w:rPr>
        <w:t>n</w:t>
      </w:r>
      <w:r w:rsidRPr="004E2FF9">
        <w:rPr>
          <w:szCs w:val="22"/>
        </w:rPr>
        <w:t xml:space="preserve">=7, BD-NOS </w:t>
      </w:r>
      <w:r w:rsidRPr="004E2FF9">
        <w:rPr>
          <w:i/>
          <w:iCs/>
          <w:szCs w:val="22"/>
        </w:rPr>
        <w:t>n</w:t>
      </w:r>
      <w:r w:rsidRPr="004E2FF9">
        <w:rPr>
          <w:szCs w:val="22"/>
        </w:rPr>
        <w:t xml:space="preserve">=6 (one converted between baseline and follow-up assessment). </w:t>
      </w:r>
      <w:proofErr w:type="spellStart"/>
      <w:r w:rsidR="003F44F8" w:rsidRPr="004E2FF9">
        <w:rPr>
          <w:szCs w:val="22"/>
        </w:rPr>
        <w:t>H</w:t>
      </w:r>
      <w:r w:rsidRPr="004E2FF9">
        <w:rPr>
          <w:szCs w:val="22"/>
        </w:rPr>
        <w:t>R</w:t>
      </w:r>
      <w:r w:rsidR="003F44F8" w:rsidRPr="004E2FF9">
        <w:rPr>
          <w:szCs w:val="22"/>
          <w:vertAlign w:val="subscript"/>
        </w:rPr>
        <w:t>well</w:t>
      </w:r>
      <w:proofErr w:type="spellEnd"/>
      <w:r w:rsidRPr="004E2FF9">
        <w:rPr>
          <w:szCs w:val="22"/>
        </w:rPr>
        <w:t xml:space="preserve"> (</w:t>
      </w:r>
      <w:r w:rsidRPr="004E2FF9">
        <w:rPr>
          <w:i/>
          <w:iCs/>
          <w:szCs w:val="22"/>
        </w:rPr>
        <w:t>n</w:t>
      </w:r>
      <w:r w:rsidRPr="004E2FF9">
        <w:rPr>
          <w:szCs w:val="22"/>
        </w:rPr>
        <w:t>=9</w:t>
      </w:r>
      <w:r w:rsidR="003864B8" w:rsidRPr="004E2FF9">
        <w:rPr>
          <w:szCs w:val="22"/>
        </w:rPr>
        <w:t>; orange</w:t>
      </w:r>
      <w:r w:rsidRPr="004E2FF9">
        <w:rPr>
          <w:szCs w:val="22"/>
        </w:rPr>
        <w:t xml:space="preserve">) and </w:t>
      </w:r>
      <w:proofErr w:type="spellStart"/>
      <w:r w:rsidRPr="004E2FF9">
        <w:rPr>
          <w:szCs w:val="22"/>
        </w:rPr>
        <w:t>CON</w:t>
      </w:r>
      <w:r w:rsidR="003F44F8" w:rsidRPr="004E2FF9">
        <w:rPr>
          <w:szCs w:val="22"/>
          <w:vertAlign w:val="subscript"/>
        </w:rPr>
        <w:t>well</w:t>
      </w:r>
      <w:proofErr w:type="spellEnd"/>
      <w:r w:rsidR="003F44F8" w:rsidRPr="004E2FF9">
        <w:rPr>
          <w:szCs w:val="22"/>
        </w:rPr>
        <w:t xml:space="preserve"> </w:t>
      </w:r>
      <w:r w:rsidRPr="004E2FF9">
        <w:rPr>
          <w:szCs w:val="22"/>
        </w:rPr>
        <w:t>(</w:t>
      </w:r>
      <w:r w:rsidRPr="004E2FF9">
        <w:rPr>
          <w:i/>
          <w:iCs/>
          <w:szCs w:val="22"/>
        </w:rPr>
        <w:t>n</w:t>
      </w:r>
      <w:r w:rsidRPr="004E2FF9">
        <w:rPr>
          <w:szCs w:val="22"/>
        </w:rPr>
        <w:t>=16</w:t>
      </w:r>
      <w:r w:rsidR="003864B8" w:rsidRPr="004E2FF9">
        <w:rPr>
          <w:szCs w:val="22"/>
        </w:rPr>
        <w:t>; blue</w:t>
      </w:r>
      <w:r w:rsidRPr="004E2FF9">
        <w:rPr>
          <w:szCs w:val="22"/>
        </w:rPr>
        <w:t>) comprised 24 with no diagnosis, and 1 with a non-affective diagnosis.</w:t>
      </w:r>
      <w:r w:rsidR="007C151E" w:rsidRPr="004E2FF9">
        <w:rPr>
          <w:szCs w:val="22"/>
        </w:rPr>
        <w:t xml:space="preserve"> CGI scores are coded as</w:t>
      </w:r>
      <w:r w:rsidR="006515F5" w:rsidRPr="004E2FF9">
        <w:rPr>
          <w:szCs w:val="22"/>
        </w:rPr>
        <w:t xml:space="preserve"> previously described by </w:t>
      </w:r>
      <w:proofErr w:type="spellStart"/>
      <w:r w:rsidR="006515F5" w:rsidRPr="004E2FF9">
        <w:rPr>
          <w:szCs w:val="22"/>
        </w:rPr>
        <w:t>Busner</w:t>
      </w:r>
      <w:proofErr w:type="spellEnd"/>
      <w:r w:rsidR="006515F5" w:rsidRPr="004E2FF9">
        <w:rPr>
          <w:szCs w:val="22"/>
        </w:rPr>
        <w:t xml:space="preserve"> </w:t>
      </w:r>
      <w:r w:rsidR="006515F5" w:rsidRPr="004E2FF9">
        <w:rPr>
          <w:i/>
          <w:szCs w:val="22"/>
        </w:rPr>
        <w:t>et al</w:t>
      </w:r>
      <w:r w:rsidR="007C151E" w:rsidRPr="004E2FF9">
        <w:rPr>
          <w:szCs w:val="22"/>
        </w:rPr>
        <w:t xml:space="preserve">: </w:t>
      </w:r>
    </w:p>
    <w:p w14:paraId="1908DBB9" w14:textId="6E5B50F7" w:rsidR="00C83FE8" w:rsidRPr="004E2FF9" w:rsidRDefault="007C151E" w:rsidP="000B4A78">
      <w:pPr>
        <w:spacing w:line="480" w:lineRule="auto"/>
        <w:ind w:left="426"/>
        <w:rPr>
          <w:szCs w:val="22"/>
        </w:rPr>
      </w:pPr>
      <w:r w:rsidRPr="004E2FF9">
        <w:rPr>
          <w:i/>
          <w:szCs w:val="22"/>
        </w:rPr>
        <w:t>1 = Normal</w:t>
      </w:r>
      <w:r w:rsidR="006515F5" w:rsidRPr="004E2FF9">
        <w:rPr>
          <w:i/>
          <w:szCs w:val="22"/>
        </w:rPr>
        <w:t xml:space="preserve"> </w:t>
      </w:r>
      <w:r w:rsidRPr="004E2FF9">
        <w:rPr>
          <w:i/>
          <w:szCs w:val="22"/>
        </w:rPr>
        <w:t>—</w:t>
      </w:r>
      <w:r w:rsidR="006515F5" w:rsidRPr="004E2FF9">
        <w:rPr>
          <w:i/>
          <w:szCs w:val="22"/>
        </w:rPr>
        <w:t xml:space="preserve"> </w:t>
      </w:r>
      <w:r w:rsidRPr="004E2FF9">
        <w:rPr>
          <w:i/>
          <w:szCs w:val="22"/>
        </w:rPr>
        <w:t xml:space="preserve">not at all ill, symptoms of disorder not present </w:t>
      </w:r>
      <w:r w:rsidR="006B23B8" w:rsidRPr="004E2FF9">
        <w:rPr>
          <w:i/>
          <w:szCs w:val="22"/>
        </w:rPr>
        <w:t xml:space="preserve">over </w:t>
      </w:r>
      <w:r w:rsidRPr="004E2FF9">
        <w:rPr>
          <w:i/>
          <w:szCs w:val="22"/>
        </w:rPr>
        <w:t>past seven days; 2 = Borderline mentally ill</w:t>
      </w:r>
      <w:r w:rsidR="006515F5" w:rsidRPr="004E2FF9">
        <w:rPr>
          <w:i/>
          <w:szCs w:val="22"/>
        </w:rPr>
        <w:t xml:space="preserve"> </w:t>
      </w:r>
      <w:r w:rsidRPr="004E2FF9">
        <w:rPr>
          <w:i/>
          <w:szCs w:val="22"/>
        </w:rPr>
        <w:t>—</w:t>
      </w:r>
      <w:r w:rsidR="006515F5" w:rsidRPr="004E2FF9">
        <w:rPr>
          <w:i/>
          <w:szCs w:val="22"/>
        </w:rPr>
        <w:t xml:space="preserve"> </w:t>
      </w:r>
      <w:r w:rsidRPr="004E2FF9">
        <w:rPr>
          <w:i/>
          <w:szCs w:val="22"/>
        </w:rPr>
        <w:t>subtle or suspected pathology</w:t>
      </w:r>
      <w:r w:rsidR="006B23B8" w:rsidRPr="004E2FF9">
        <w:rPr>
          <w:i/>
          <w:szCs w:val="22"/>
        </w:rPr>
        <w:t>;</w:t>
      </w:r>
      <w:r w:rsidRPr="004E2FF9">
        <w:rPr>
          <w:i/>
          <w:szCs w:val="22"/>
        </w:rPr>
        <w:t xml:space="preserve"> 3 = Mildly ill</w:t>
      </w:r>
      <w:r w:rsidR="006515F5" w:rsidRPr="004E2FF9">
        <w:rPr>
          <w:i/>
          <w:szCs w:val="22"/>
        </w:rPr>
        <w:t xml:space="preserve"> </w:t>
      </w:r>
      <w:r w:rsidRPr="004E2FF9">
        <w:rPr>
          <w:i/>
          <w:szCs w:val="22"/>
        </w:rPr>
        <w:t>—</w:t>
      </w:r>
      <w:r w:rsidR="006515F5" w:rsidRPr="004E2FF9">
        <w:rPr>
          <w:i/>
          <w:szCs w:val="22"/>
        </w:rPr>
        <w:t xml:space="preserve"> </w:t>
      </w:r>
      <w:r w:rsidRPr="004E2FF9">
        <w:rPr>
          <w:i/>
          <w:szCs w:val="22"/>
        </w:rPr>
        <w:t>clearly established symptoms with minimal, if any, distress or difficulty in social and occupational function</w:t>
      </w:r>
      <w:r w:rsidR="006B23B8" w:rsidRPr="004E2FF9">
        <w:rPr>
          <w:i/>
          <w:szCs w:val="22"/>
        </w:rPr>
        <w:t>;</w:t>
      </w:r>
      <w:r w:rsidRPr="004E2FF9">
        <w:rPr>
          <w:i/>
          <w:szCs w:val="22"/>
        </w:rPr>
        <w:t xml:space="preserve"> 4 = Moderately ill</w:t>
      </w:r>
      <w:r w:rsidR="006515F5" w:rsidRPr="004E2FF9">
        <w:rPr>
          <w:i/>
          <w:szCs w:val="22"/>
        </w:rPr>
        <w:t xml:space="preserve"> </w:t>
      </w:r>
      <w:r w:rsidRPr="004E2FF9">
        <w:rPr>
          <w:i/>
          <w:szCs w:val="22"/>
        </w:rPr>
        <w:t>—</w:t>
      </w:r>
      <w:r w:rsidR="006515F5" w:rsidRPr="004E2FF9">
        <w:rPr>
          <w:i/>
          <w:szCs w:val="22"/>
        </w:rPr>
        <w:t xml:space="preserve"> </w:t>
      </w:r>
      <w:r w:rsidRPr="004E2FF9">
        <w:rPr>
          <w:i/>
          <w:szCs w:val="22"/>
        </w:rPr>
        <w:t>overt symptoms causing noticeable, but modest, functional impairment or distress</w:t>
      </w:r>
      <w:r w:rsidR="006B23B8" w:rsidRPr="004E2FF9">
        <w:rPr>
          <w:i/>
          <w:szCs w:val="22"/>
        </w:rPr>
        <w:t xml:space="preserve"> with</w:t>
      </w:r>
      <w:r w:rsidRPr="004E2FF9">
        <w:rPr>
          <w:i/>
          <w:szCs w:val="22"/>
        </w:rPr>
        <w:t xml:space="preserve"> symptom level</w:t>
      </w:r>
      <w:r w:rsidR="006B23B8" w:rsidRPr="004E2FF9">
        <w:rPr>
          <w:i/>
          <w:szCs w:val="22"/>
        </w:rPr>
        <w:t xml:space="preserve"> that</w:t>
      </w:r>
      <w:r w:rsidRPr="004E2FF9">
        <w:rPr>
          <w:i/>
          <w:szCs w:val="22"/>
        </w:rPr>
        <w:t xml:space="preserve"> may warrant medication; 5 = Markedly ill</w:t>
      </w:r>
      <w:r w:rsidR="006515F5" w:rsidRPr="004E2FF9">
        <w:rPr>
          <w:i/>
          <w:szCs w:val="22"/>
        </w:rPr>
        <w:t xml:space="preserve"> </w:t>
      </w:r>
      <w:r w:rsidRPr="004E2FF9">
        <w:rPr>
          <w:i/>
          <w:szCs w:val="22"/>
        </w:rPr>
        <w:t>—</w:t>
      </w:r>
      <w:r w:rsidR="006515F5" w:rsidRPr="004E2FF9">
        <w:rPr>
          <w:i/>
          <w:szCs w:val="22"/>
        </w:rPr>
        <w:t xml:space="preserve"> </w:t>
      </w:r>
      <w:r w:rsidRPr="004E2FF9">
        <w:rPr>
          <w:i/>
          <w:szCs w:val="22"/>
        </w:rPr>
        <w:t>intrusive symptoms that distinctly impair social/occupational function or cause intrusive levels of distress; 6 = Severely ill</w:t>
      </w:r>
      <w:r w:rsidR="006515F5" w:rsidRPr="004E2FF9">
        <w:rPr>
          <w:i/>
          <w:szCs w:val="22"/>
        </w:rPr>
        <w:t xml:space="preserve"> </w:t>
      </w:r>
      <w:r w:rsidRPr="004E2FF9">
        <w:rPr>
          <w:i/>
          <w:szCs w:val="22"/>
        </w:rPr>
        <w:t>—</w:t>
      </w:r>
      <w:r w:rsidR="006515F5" w:rsidRPr="004E2FF9">
        <w:rPr>
          <w:i/>
          <w:szCs w:val="22"/>
        </w:rPr>
        <w:t xml:space="preserve"> </w:t>
      </w:r>
      <w:r w:rsidRPr="004E2FF9">
        <w:rPr>
          <w:i/>
          <w:szCs w:val="22"/>
        </w:rPr>
        <w:t xml:space="preserve">disruptive pathology, </w:t>
      </w:r>
      <w:proofErr w:type="spellStart"/>
      <w:r w:rsidRPr="004E2FF9">
        <w:rPr>
          <w:i/>
          <w:szCs w:val="22"/>
        </w:rPr>
        <w:t>behavior</w:t>
      </w:r>
      <w:proofErr w:type="spellEnd"/>
      <w:r w:rsidRPr="004E2FF9">
        <w:rPr>
          <w:i/>
          <w:szCs w:val="22"/>
        </w:rPr>
        <w:t xml:space="preserve"> and function are frequently influenced by symptoms, may require assistance from others; 7 = Among the most extremely ill patients</w:t>
      </w:r>
      <w:r w:rsidR="006515F5" w:rsidRPr="004E2FF9">
        <w:rPr>
          <w:i/>
          <w:szCs w:val="22"/>
        </w:rPr>
        <w:t xml:space="preserve"> </w:t>
      </w:r>
      <w:r w:rsidRPr="004E2FF9">
        <w:rPr>
          <w:i/>
          <w:szCs w:val="22"/>
        </w:rPr>
        <w:t>—</w:t>
      </w:r>
      <w:r w:rsidR="006515F5" w:rsidRPr="004E2FF9">
        <w:rPr>
          <w:i/>
          <w:szCs w:val="22"/>
        </w:rPr>
        <w:t xml:space="preserve"> </w:t>
      </w:r>
      <w:r w:rsidRPr="004E2FF9">
        <w:rPr>
          <w:i/>
          <w:szCs w:val="22"/>
        </w:rPr>
        <w:t>pathology drastically interferes in many life functions</w:t>
      </w:r>
      <w:r w:rsidR="006B23B8" w:rsidRPr="004E2FF9">
        <w:rPr>
          <w:i/>
          <w:szCs w:val="22"/>
        </w:rPr>
        <w:t xml:space="preserve"> and</w:t>
      </w:r>
      <w:r w:rsidRPr="004E2FF9">
        <w:rPr>
          <w:i/>
          <w:szCs w:val="22"/>
        </w:rPr>
        <w:t xml:space="preserve"> may be hospitalized</w:t>
      </w:r>
      <w:r w:rsidR="006B23B8" w:rsidRPr="004E2FF9">
        <w:rPr>
          <w:i/>
          <w:szCs w:val="22"/>
        </w:rPr>
        <w:t>.</w:t>
      </w:r>
      <w:r w:rsidR="00D46C88">
        <w:rPr>
          <w:szCs w:val="22"/>
        </w:rPr>
        <w:t>[27]</w:t>
      </w:r>
    </w:p>
    <w:p w14:paraId="654647B8" w14:textId="77777777" w:rsidR="00C83FE8" w:rsidRDefault="00C83FE8" w:rsidP="00C83FE8"/>
    <w:p w14:paraId="543A3AAE" w14:textId="77777777" w:rsidR="00C83FE8" w:rsidRDefault="00C83FE8" w:rsidP="00C83FE8">
      <w:pPr>
        <w:spacing w:after="0" w:line="480" w:lineRule="auto"/>
        <w:jc w:val="both"/>
        <w:rPr>
          <w:sz w:val="20"/>
          <w:szCs w:val="24"/>
        </w:rPr>
      </w:pPr>
    </w:p>
    <w:p w14:paraId="58EA0112" w14:textId="77777777" w:rsidR="00C83FE8" w:rsidRDefault="00C83FE8" w:rsidP="00C83FE8">
      <w:pPr>
        <w:spacing w:after="0" w:line="480" w:lineRule="auto"/>
        <w:jc w:val="both"/>
        <w:rPr>
          <w:sz w:val="20"/>
          <w:szCs w:val="24"/>
        </w:rPr>
      </w:pPr>
    </w:p>
    <w:p w14:paraId="726AB9EE" w14:textId="3AC22376" w:rsidR="00C83FE8" w:rsidRDefault="00C83FE8" w:rsidP="00D80CD5">
      <w:pPr>
        <w:spacing w:after="0" w:line="480" w:lineRule="auto"/>
        <w:jc w:val="both"/>
        <w:rPr>
          <w:b/>
          <w:sz w:val="24"/>
          <w:szCs w:val="24"/>
        </w:rPr>
        <w:sectPr w:rsidR="00C83FE8" w:rsidSect="005556AD">
          <w:pgSz w:w="11906" w:h="16838"/>
          <w:pgMar w:top="1440" w:right="1440" w:bottom="1440" w:left="1440" w:header="708" w:footer="708" w:gutter="0"/>
          <w:cols w:space="708"/>
          <w:docGrid w:linePitch="360"/>
        </w:sectPr>
      </w:pPr>
    </w:p>
    <w:p w14:paraId="35144787" w14:textId="3C432C5A" w:rsidR="00FA10DB" w:rsidRPr="004E2FF9" w:rsidRDefault="00C8549B" w:rsidP="00D80CD5">
      <w:pPr>
        <w:spacing w:after="0" w:line="480" w:lineRule="auto"/>
        <w:jc w:val="both"/>
        <w:rPr>
          <w:b/>
          <w:sz w:val="28"/>
        </w:rPr>
      </w:pPr>
      <w:r w:rsidRPr="004E2FF9">
        <w:rPr>
          <w:b/>
          <w:sz w:val="28"/>
        </w:rPr>
        <w:t>Supplementary References</w:t>
      </w:r>
    </w:p>
    <w:p w14:paraId="66D16A9F" w14:textId="77777777" w:rsidR="002961F9" w:rsidRPr="002961F9" w:rsidRDefault="002961F9" w:rsidP="00D46C88">
      <w:pPr>
        <w:spacing w:after="0" w:line="240" w:lineRule="auto"/>
        <w:ind w:left="567" w:hanging="567"/>
        <w:jc w:val="both"/>
        <w:rPr>
          <w:szCs w:val="22"/>
        </w:rPr>
      </w:pPr>
      <w:bookmarkStart w:id="10" w:name="_Hlk109038894"/>
      <w:r w:rsidRPr="002961F9">
        <w:rPr>
          <w:szCs w:val="22"/>
        </w:rPr>
        <w:t>1.</w:t>
      </w:r>
      <w:r w:rsidRPr="002961F9">
        <w:rPr>
          <w:szCs w:val="22"/>
        </w:rPr>
        <w:tab/>
        <w:t>Groen K, Lea RA, Maltby VE, Scott RJ, &amp; Lechner-Scott J. Letter to the editor: blood processing and sample storage have negligible effects on methylation. Clin Epigenetics. 2018; 10:22.</w:t>
      </w:r>
    </w:p>
    <w:p w14:paraId="0AF43D17" w14:textId="079DAA0A" w:rsidR="002961F9" w:rsidRPr="002961F9" w:rsidRDefault="002961F9" w:rsidP="00D46C88">
      <w:pPr>
        <w:spacing w:after="0" w:line="240" w:lineRule="auto"/>
        <w:ind w:left="567" w:hanging="567"/>
        <w:jc w:val="both"/>
        <w:rPr>
          <w:szCs w:val="22"/>
        </w:rPr>
      </w:pPr>
      <w:r w:rsidRPr="002961F9">
        <w:rPr>
          <w:szCs w:val="22"/>
        </w:rPr>
        <w:t>2.</w:t>
      </w:r>
      <w:r w:rsidRPr="002961F9">
        <w:rPr>
          <w:szCs w:val="22"/>
        </w:rPr>
        <w:tab/>
        <w:t xml:space="preserve">Wilcox HC, Fullerton JM, Glowinski AL, </w:t>
      </w:r>
      <w:proofErr w:type="spellStart"/>
      <w:r w:rsidRPr="002961F9">
        <w:rPr>
          <w:szCs w:val="22"/>
        </w:rPr>
        <w:t>Benke</w:t>
      </w:r>
      <w:proofErr w:type="spellEnd"/>
      <w:r w:rsidRPr="002961F9">
        <w:rPr>
          <w:szCs w:val="22"/>
        </w:rPr>
        <w:t xml:space="preserve"> K, </w:t>
      </w:r>
      <w:proofErr w:type="spellStart"/>
      <w:r w:rsidRPr="002961F9">
        <w:rPr>
          <w:szCs w:val="22"/>
        </w:rPr>
        <w:t>Kamali</w:t>
      </w:r>
      <w:proofErr w:type="spellEnd"/>
      <w:r w:rsidRPr="002961F9">
        <w:rPr>
          <w:szCs w:val="22"/>
        </w:rPr>
        <w:t xml:space="preserve"> M, </w:t>
      </w:r>
      <w:proofErr w:type="spellStart"/>
      <w:r w:rsidRPr="002961F9">
        <w:rPr>
          <w:szCs w:val="22"/>
        </w:rPr>
        <w:t>Hulvershorn</w:t>
      </w:r>
      <w:proofErr w:type="spellEnd"/>
      <w:r w:rsidRPr="002961F9">
        <w:rPr>
          <w:szCs w:val="22"/>
        </w:rPr>
        <w:t xml:space="preserve"> LA, et al. Traumatic stress interacts with bipolar disorder genetic risk to increase risk for suicide attempts. </w:t>
      </w:r>
      <w:r>
        <w:t xml:space="preserve">J Am </w:t>
      </w:r>
      <w:proofErr w:type="spellStart"/>
      <w:r>
        <w:t>Acad</w:t>
      </w:r>
      <w:proofErr w:type="spellEnd"/>
      <w:r>
        <w:t xml:space="preserve"> Child </w:t>
      </w:r>
      <w:proofErr w:type="spellStart"/>
      <w:r>
        <w:t>Adolesc</w:t>
      </w:r>
      <w:proofErr w:type="spellEnd"/>
      <w:r>
        <w:t xml:space="preserve"> Psychiatry</w:t>
      </w:r>
      <w:r w:rsidRPr="002961F9">
        <w:rPr>
          <w:szCs w:val="22"/>
        </w:rPr>
        <w:t>. 2017; 56(12):1073-1080.</w:t>
      </w:r>
    </w:p>
    <w:p w14:paraId="56D86156" w14:textId="0F6006B4" w:rsidR="002961F9" w:rsidRPr="002961F9" w:rsidRDefault="002961F9" w:rsidP="00D46C88">
      <w:pPr>
        <w:spacing w:after="0" w:line="240" w:lineRule="auto"/>
        <w:ind w:left="567" w:hanging="567"/>
        <w:jc w:val="both"/>
        <w:rPr>
          <w:szCs w:val="22"/>
        </w:rPr>
      </w:pPr>
      <w:r w:rsidRPr="002961F9">
        <w:rPr>
          <w:szCs w:val="22"/>
        </w:rPr>
        <w:t>3.</w:t>
      </w:r>
      <w:r w:rsidRPr="002961F9">
        <w:rPr>
          <w:szCs w:val="22"/>
        </w:rPr>
        <w:tab/>
        <w:t>Purcell S, Neale B, Todd-Brown K, Thomas L, Ferreira MA, Bender D, et al. PLINK: a tool set for whole-genome association and population-based linkage analyses. Am J Hum Genet. 2007; 81(3):559-575.</w:t>
      </w:r>
    </w:p>
    <w:p w14:paraId="461B131B" w14:textId="44DF67A1" w:rsidR="002961F9" w:rsidRPr="002961F9" w:rsidRDefault="002961F9" w:rsidP="00D46C88">
      <w:pPr>
        <w:spacing w:after="0" w:line="240" w:lineRule="auto"/>
        <w:ind w:left="567" w:hanging="567"/>
        <w:jc w:val="both"/>
        <w:rPr>
          <w:szCs w:val="22"/>
        </w:rPr>
      </w:pPr>
      <w:r w:rsidRPr="002961F9">
        <w:rPr>
          <w:szCs w:val="22"/>
        </w:rPr>
        <w:t>4.</w:t>
      </w:r>
      <w:r w:rsidRPr="002961F9">
        <w:rPr>
          <w:szCs w:val="22"/>
        </w:rPr>
        <w:tab/>
        <w:t xml:space="preserve">Das S, Forer L, </w:t>
      </w:r>
      <w:proofErr w:type="spellStart"/>
      <w:r w:rsidRPr="002961F9">
        <w:rPr>
          <w:szCs w:val="22"/>
        </w:rPr>
        <w:t>Schönherr</w:t>
      </w:r>
      <w:proofErr w:type="spellEnd"/>
      <w:r w:rsidRPr="002961F9">
        <w:rPr>
          <w:szCs w:val="22"/>
        </w:rPr>
        <w:t xml:space="preserve"> S, </w:t>
      </w:r>
      <w:proofErr w:type="spellStart"/>
      <w:r w:rsidRPr="002961F9">
        <w:rPr>
          <w:szCs w:val="22"/>
        </w:rPr>
        <w:t>Sidore</w:t>
      </w:r>
      <w:proofErr w:type="spellEnd"/>
      <w:r w:rsidRPr="002961F9">
        <w:rPr>
          <w:szCs w:val="22"/>
        </w:rPr>
        <w:t xml:space="preserve"> C, Locke AE, </w:t>
      </w:r>
      <w:proofErr w:type="spellStart"/>
      <w:r w:rsidRPr="002961F9">
        <w:rPr>
          <w:szCs w:val="22"/>
        </w:rPr>
        <w:t>Kwong</w:t>
      </w:r>
      <w:proofErr w:type="spellEnd"/>
      <w:r w:rsidRPr="002961F9">
        <w:rPr>
          <w:szCs w:val="22"/>
        </w:rPr>
        <w:t xml:space="preserve"> A, et al. Next-generation genotype imputation service and methods. Nat Genet. 2016; 48(10):1284-1287.</w:t>
      </w:r>
    </w:p>
    <w:p w14:paraId="17B8DE1C" w14:textId="299CB987" w:rsidR="002961F9" w:rsidRPr="002961F9" w:rsidRDefault="002961F9" w:rsidP="00D46C88">
      <w:pPr>
        <w:spacing w:after="0" w:line="240" w:lineRule="auto"/>
        <w:ind w:left="567" w:hanging="567"/>
        <w:jc w:val="both"/>
        <w:rPr>
          <w:szCs w:val="22"/>
        </w:rPr>
      </w:pPr>
      <w:r w:rsidRPr="002961F9">
        <w:rPr>
          <w:szCs w:val="22"/>
        </w:rPr>
        <w:t>5.</w:t>
      </w:r>
      <w:r w:rsidRPr="002961F9">
        <w:rPr>
          <w:szCs w:val="22"/>
        </w:rPr>
        <w:tab/>
        <w:t xml:space="preserve">Mullins N, </w:t>
      </w:r>
      <w:proofErr w:type="spellStart"/>
      <w:r w:rsidRPr="002961F9">
        <w:rPr>
          <w:szCs w:val="22"/>
        </w:rPr>
        <w:t>Forstner</w:t>
      </w:r>
      <w:proofErr w:type="spellEnd"/>
      <w:r w:rsidRPr="002961F9">
        <w:rPr>
          <w:szCs w:val="22"/>
        </w:rPr>
        <w:t xml:space="preserve"> AJ, O’Connell KS, Coombes B, Coleman JR, </w:t>
      </w:r>
      <w:proofErr w:type="spellStart"/>
      <w:r w:rsidRPr="002961F9">
        <w:rPr>
          <w:szCs w:val="22"/>
        </w:rPr>
        <w:t>Qiao</w:t>
      </w:r>
      <w:proofErr w:type="spellEnd"/>
      <w:r w:rsidRPr="002961F9">
        <w:rPr>
          <w:szCs w:val="22"/>
        </w:rPr>
        <w:t xml:space="preserve"> Z, et al. Genome-wide association study of more than 40,000 bipolar disorder cases provides new insights into the underlying biology. Nat Genet. 2021:1-13.</w:t>
      </w:r>
    </w:p>
    <w:p w14:paraId="2A2D8FD8" w14:textId="5BB3531F" w:rsidR="002961F9" w:rsidRPr="002961F9" w:rsidRDefault="002961F9" w:rsidP="00D46C88">
      <w:pPr>
        <w:spacing w:after="0" w:line="240" w:lineRule="auto"/>
        <w:ind w:left="567" w:hanging="567"/>
        <w:jc w:val="both"/>
        <w:rPr>
          <w:szCs w:val="22"/>
        </w:rPr>
      </w:pPr>
      <w:r w:rsidRPr="002961F9">
        <w:rPr>
          <w:szCs w:val="22"/>
        </w:rPr>
        <w:t>6.</w:t>
      </w:r>
      <w:r w:rsidRPr="002961F9">
        <w:rPr>
          <w:szCs w:val="22"/>
        </w:rPr>
        <w:tab/>
      </w:r>
      <w:proofErr w:type="spellStart"/>
      <w:r w:rsidRPr="002961F9">
        <w:rPr>
          <w:szCs w:val="22"/>
        </w:rPr>
        <w:t>Nurnberger</w:t>
      </w:r>
      <w:proofErr w:type="spellEnd"/>
      <w:r w:rsidRPr="002961F9">
        <w:rPr>
          <w:szCs w:val="22"/>
        </w:rPr>
        <w:t xml:space="preserve"> JI, McInnis M, Reich W, </w:t>
      </w:r>
      <w:proofErr w:type="spellStart"/>
      <w:r w:rsidRPr="002961F9">
        <w:rPr>
          <w:szCs w:val="22"/>
        </w:rPr>
        <w:t>Kastelic</w:t>
      </w:r>
      <w:proofErr w:type="spellEnd"/>
      <w:r w:rsidRPr="002961F9">
        <w:rPr>
          <w:szCs w:val="22"/>
        </w:rPr>
        <w:t xml:space="preserve"> E, Wilcox HC, Glowinski A, et al. A high-risk study of bipolar disorder: childhood clinical phenotypes as precursors of major mood disorders. Arch </w:t>
      </w:r>
      <w:r>
        <w:rPr>
          <w:szCs w:val="22"/>
        </w:rPr>
        <w:t>G</w:t>
      </w:r>
      <w:r w:rsidRPr="002961F9">
        <w:rPr>
          <w:szCs w:val="22"/>
        </w:rPr>
        <w:t xml:space="preserve">en </w:t>
      </w:r>
      <w:r>
        <w:rPr>
          <w:szCs w:val="22"/>
        </w:rPr>
        <w:t>P</w:t>
      </w:r>
      <w:r w:rsidRPr="002961F9">
        <w:rPr>
          <w:szCs w:val="22"/>
        </w:rPr>
        <w:t>sychiatry. 2011; 68(10):1012-1020.</w:t>
      </w:r>
    </w:p>
    <w:p w14:paraId="30F429BC" w14:textId="77777777" w:rsidR="002961F9" w:rsidRPr="002961F9" w:rsidRDefault="002961F9" w:rsidP="00D46C88">
      <w:pPr>
        <w:spacing w:after="0" w:line="240" w:lineRule="auto"/>
        <w:ind w:left="567" w:hanging="567"/>
        <w:jc w:val="both"/>
        <w:rPr>
          <w:szCs w:val="22"/>
        </w:rPr>
      </w:pPr>
      <w:r w:rsidRPr="002961F9">
        <w:rPr>
          <w:szCs w:val="22"/>
        </w:rPr>
        <w:t>7.</w:t>
      </w:r>
      <w:r w:rsidRPr="002961F9">
        <w:rPr>
          <w:szCs w:val="22"/>
        </w:rPr>
        <w:tab/>
      </w:r>
      <w:proofErr w:type="spellStart"/>
      <w:r w:rsidRPr="002961F9">
        <w:rPr>
          <w:szCs w:val="22"/>
        </w:rPr>
        <w:t>Watkeys</w:t>
      </w:r>
      <w:proofErr w:type="spellEnd"/>
      <w:r w:rsidRPr="002961F9">
        <w:rPr>
          <w:szCs w:val="22"/>
        </w:rPr>
        <w:t xml:space="preserve"> OJ, Cohen-Woods S, </w:t>
      </w:r>
      <w:proofErr w:type="spellStart"/>
      <w:r w:rsidRPr="002961F9">
        <w:rPr>
          <w:szCs w:val="22"/>
        </w:rPr>
        <w:t>Quidé</w:t>
      </w:r>
      <w:proofErr w:type="spellEnd"/>
      <w:r w:rsidRPr="002961F9">
        <w:rPr>
          <w:szCs w:val="22"/>
        </w:rPr>
        <w:t xml:space="preserve"> Y, Cairns MJ, Overs B, Fullerton JM, et al. Derivation of poly-</w:t>
      </w:r>
      <w:proofErr w:type="spellStart"/>
      <w:r w:rsidRPr="002961F9">
        <w:rPr>
          <w:szCs w:val="22"/>
        </w:rPr>
        <w:t>methylomic</w:t>
      </w:r>
      <w:proofErr w:type="spellEnd"/>
      <w:r w:rsidRPr="002961F9">
        <w:rPr>
          <w:szCs w:val="22"/>
        </w:rPr>
        <w:t xml:space="preserve"> profile scores for schizophrenia. Prog </w:t>
      </w:r>
      <w:proofErr w:type="spellStart"/>
      <w:r w:rsidRPr="002961F9">
        <w:rPr>
          <w:szCs w:val="22"/>
        </w:rPr>
        <w:t>Neuropsychopharmacol</w:t>
      </w:r>
      <w:proofErr w:type="spellEnd"/>
      <w:r w:rsidRPr="002961F9">
        <w:rPr>
          <w:szCs w:val="22"/>
        </w:rPr>
        <w:t xml:space="preserve"> Biol Psychiatry. 2020; 101:109925.</w:t>
      </w:r>
    </w:p>
    <w:p w14:paraId="21F1EA17" w14:textId="3041456A" w:rsidR="002961F9" w:rsidRPr="002961F9" w:rsidRDefault="002961F9" w:rsidP="00D46C88">
      <w:pPr>
        <w:spacing w:after="0" w:line="240" w:lineRule="auto"/>
        <w:ind w:left="567" w:hanging="567"/>
        <w:jc w:val="both"/>
        <w:rPr>
          <w:szCs w:val="22"/>
        </w:rPr>
      </w:pPr>
      <w:r w:rsidRPr="002961F9">
        <w:rPr>
          <w:szCs w:val="22"/>
        </w:rPr>
        <w:t>8.</w:t>
      </w:r>
      <w:r w:rsidRPr="002961F9">
        <w:rPr>
          <w:szCs w:val="22"/>
        </w:rPr>
        <w:tab/>
        <w:t xml:space="preserve">Mitchell PB, Johnston AK, Corry J, Ball JR, </w:t>
      </w:r>
      <w:proofErr w:type="spellStart"/>
      <w:r w:rsidRPr="002961F9">
        <w:rPr>
          <w:szCs w:val="22"/>
        </w:rPr>
        <w:t>Malhi</w:t>
      </w:r>
      <w:proofErr w:type="spellEnd"/>
      <w:r w:rsidRPr="002961F9">
        <w:rPr>
          <w:szCs w:val="22"/>
        </w:rPr>
        <w:t xml:space="preserve"> GSJA, &amp; Psychiatry </w:t>
      </w:r>
      <w:proofErr w:type="spellStart"/>
      <w:r w:rsidRPr="002961F9">
        <w:rPr>
          <w:szCs w:val="22"/>
        </w:rPr>
        <w:t>NZJo</w:t>
      </w:r>
      <w:proofErr w:type="spellEnd"/>
      <w:r w:rsidRPr="002961F9">
        <w:rPr>
          <w:szCs w:val="22"/>
        </w:rPr>
        <w:t>. Characteristics of bipolar disorder in an Australian specialist outpatient clinic: comparison across large datasets. Aust N Z J Psychiatry. 2009; 43(2):109-117.</w:t>
      </w:r>
    </w:p>
    <w:p w14:paraId="58AE3132" w14:textId="77777777" w:rsidR="002961F9" w:rsidRPr="002961F9" w:rsidRDefault="002961F9" w:rsidP="00D46C88">
      <w:pPr>
        <w:spacing w:after="0" w:line="240" w:lineRule="auto"/>
        <w:ind w:left="567" w:hanging="567"/>
        <w:jc w:val="both"/>
        <w:rPr>
          <w:szCs w:val="22"/>
        </w:rPr>
      </w:pPr>
      <w:r w:rsidRPr="002961F9">
        <w:rPr>
          <w:szCs w:val="22"/>
        </w:rPr>
        <w:t>9.</w:t>
      </w:r>
      <w:r w:rsidRPr="002961F9">
        <w:rPr>
          <w:szCs w:val="22"/>
        </w:rPr>
        <w:tab/>
        <w:t>American Psychiatric Association, Diagnostic and statistical manual of mental disorders. 4th ed.  (DSM-IV) ed. American Psychiatric Association. 1994, Washington D.C.: American Psychiatric Press Inc.</w:t>
      </w:r>
    </w:p>
    <w:p w14:paraId="2DA237E3" w14:textId="3F0E500A" w:rsidR="002961F9" w:rsidRPr="002961F9" w:rsidRDefault="002961F9" w:rsidP="00D46C88">
      <w:pPr>
        <w:spacing w:after="0" w:line="240" w:lineRule="auto"/>
        <w:ind w:left="567" w:hanging="567"/>
        <w:jc w:val="both"/>
        <w:rPr>
          <w:szCs w:val="22"/>
        </w:rPr>
      </w:pPr>
      <w:r w:rsidRPr="002961F9">
        <w:rPr>
          <w:szCs w:val="22"/>
        </w:rPr>
        <w:t>10.</w:t>
      </w:r>
      <w:r w:rsidRPr="002961F9">
        <w:rPr>
          <w:szCs w:val="22"/>
        </w:rPr>
        <w:tab/>
      </w:r>
      <w:proofErr w:type="spellStart"/>
      <w:r w:rsidRPr="002961F9">
        <w:rPr>
          <w:szCs w:val="22"/>
        </w:rPr>
        <w:t>Nurnberger</w:t>
      </w:r>
      <w:proofErr w:type="spellEnd"/>
      <w:r w:rsidRPr="002961F9">
        <w:rPr>
          <w:szCs w:val="22"/>
        </w:rPr>
        <w:t xml:space="preserve"> JI, Jr., </w:t>
      </w:r>
      <w:proofErr w:type="spellStart"/>
      <w:r w:rsidRPr="002961F9">
        <w:rPr>
          <w:szCs w:val="22"/>
        </w:rPr>
        <w:t>Blehar</w:t>
      </w:r>
      <w:proofErr w:type="spellEnd"/>
      <w:r w:rsidRPr="002961F9">
        <w:rPr>
          <w:szCs w:val="22"/>
        </w:rPr>
        <w:t xml:space="preserve"> MC, Kaufmann CA, York-Cooler C, Simpson SG, </w:t>
      </w:r>
      <w:proofErr w:type="spellStart"/>
      <w:r w:rsidRPr="002961F9">
        <w:rPr>
          <w:szCs w:val="22"/>
        </w:rPr>
        <w:t>Harkavy</w:t>
      </w:r>
      <w:proofErr w:type="spellEnd"/>
      <w:r w:rsidRPr="002961F9">
        <w:rPr>
          <w:szCs w:val="22"/>
        </w:rPr>
        <w:t xml:space="preserve">-Friedman J, et al. Diagnostic interview for genetic studies. Rationale, unique features, and training. NIMH Genetics Initiative. Arch </w:t>
      </w:r>
      <w:r>
        <w:rPr>
          <w:szCs w:val="22"/>
        </w:rPr>
        <w:t>G</w:t>
      </w:r>
      <w:r w:rsidRPr="002961F9">
        <w:rPr>
          <w:szCs w:val="22"/>
        </w:rPr>
        <w:t xml:space="preserve">en </w:t>
      </w:r>
      <w:r>
        <w:rPr>
          <w:szCs w:val="22"/>
        </w:rPr>
        <w:t>P</w:t>
      </w:r>
      <w:r w:rsidRPr="002961F9">
        <w:rPr>
          <w:szCs w:val="22"/>
        </w:rPr>
        <w:t>sychiatry. 1994; 51(11):849-59; discussion 863-4.</w:t>
      </w:r>
    </w:p>
    <w:p w14:paraId="4346C872" w14:textId="77777777" w:rsidR="002961F9" w:rsidRPr="002961F9" w:rsidRDefault="002961F9" w:rsidP="00D46C88">
      <w:pPr>
        <w:spacing w:after="0" w:line="240" w:lineRule="auto"/>
        <w:ind w:left="567" w:hanging="567"/>
        <w:jc w:val="both"/>
        <w:rPr>
          <w:szCs w:val="22"/>
        </w:rPr>
      </w:pPr>
      <w:r w:rsidRPr="002961F9">
        <w:rPr>
          <w:szCs w:val="22"/>
        </w:rPr>
        <w:t>11.</w:t>
      </w:r>
      <w:r w:rsidRPr="002961F9">
        <w:rPr>
          <w:szCs w:val="22"/>
        </w:rPr>
        <w:tab/>
        <w:t>Maxwell ME. Family Interview for Genetic Studies (FIGS): a manual for FIGS. Clinical Neurogenetics Branch, National Institute of Mental Health. 1992.</w:t>
      </w:r>
    </w:p>
    <w:p w14:paraId="0D84941C" w14:textId="77777777" w:rsidR="002961F9" w:rsidRPr="002961F9" w:rsidRDefault="002961F9" w:rsidP="00D46C88">
      <w:pPr>
        <w:spacing w:after="0" w:line="240" w:lineRule="auto"/>
        <w:ind w:left="567" w:hanging="567"/>
        <w:jc w:val="both"/>
        <w:rPr>
          <w:szCs w:val="22"/>
        </w:rPr>
      </w:pPr>
      <w:r w:rsidRPr="002961F9">
        <w:rPr>
          <w:szCs w:val="22"/>
        </w:rPr>
        <w:t>12.</w:t>
      </w:r>
      <w:r w:rsidRPr="002961F9">
        <w:rPr>
          <w:szCs w:val="22"/>
        </w:rPr>
        <w:tab/>
        <w:t xml:space="preserve">Williams JB, Gibbon M, First MB, Spitzer RL, Davies M, </w:t>
      </w:r>
      <w:proofErr w:type="spellStart"/>
      <w:r w:rsidRPr="002961F9">
        <w:rPr>
          <w:szCs w:val="22"/>
        </w:rPr>
        <w:t>Borus</w:t>
      </w:r>
      <w:proofErr w:type="spellEnd"/>
      <w:r w:rsidRPr="002961F9">
        <w:rPr>
          <w:szCs w:val="22"/>
        </w:rPr>
        <w:t xml:space="preserve"> J, et al. The Structured Clinical Interview for DSM-III-R (SCID). II. Multisite test-retest reliability. Arch Gen Psychiatry. 1992; 49(8):630-6.</w:t>
      </w:r>
    </w:p>
    <w:p w14:paraId="3232AFB8" w14:textId="36DE1231" w:rsidR="002961F9" w:rsidRPr="002961F9" w:rsidRDefault="002961F9" w:rsidP="00D46C88">
      <w:pPr>
        <w:spacing w:after="0" w:line="240" w:lineRule="auto"/>
        <w:ind w:left="567" w:hanging="567"/>
        <w:jc w:val="both"/>
        <w:rPr>
          <w:szCs w:val="22"/>
        </w:rPr>
      </w:pPr>
      <w:r w:rsidRPr="002961F9">
        <w:rPr>
          <w:szCs w:val="22"/>
        </w:rPr>
        <w:t>13.</w:t>
      </w:r>
      <w:r w:rsidRPr="002961F9">
        <w:rPr>
          <w:szCs w:val="22"/>
        </w:rPr>
        <w:tab/>
      </w:r>
      <w:proofErr w:type="spellStart"/>
      <w:r w:rsidRPr="002961F9">
        <w:rPr>
          <w:szCs w:val="22"/>
        </w:rPr>
        <w:t>Gatt</w:t>
      </w:r>
      <w:proofErr w:type="spellEnd"/>
      <w:r w:rsidRPr="002961F9">
        <w:rPr>
          <w:szCs w:val="22"/>
        </w:rPr>
        <w:t xml:space="preserve"> JM, </w:t>
      </w:r>
      <w:proofErr w:type="spellStart"/>
      <w:r w:rsidRPr="002961F9">
        <w:rPr>
          <w:szCs w:val="22"/>
        </w:rPr>
        <w:t>Korgaonkar</w:t>
      </w:r>
      <w:proofErr w:type="spellEnd"/>
      <w:r w:rsidRPr="002961F9">
        <w:rPr>
          <w:szCs w:val="22"/>
        </w:rPr>
        <w:t xml:space="preserve"> MS, Schofield PR, Harris A, Clark CR, Oakley KL, et al. The TWIN-E project in emotional wellbeing: study protocol and preliminary heritability results across four MRI and DTI measures. </w:t>
      </w:r>
      <w:r>
        <w:t xml:space="preserve">Twin Res Hum Genet. </w:t>
      </w:r>
      <w:r w:rsidRPr="002961F9">
        <w:rPr>
          <w:szCs w:val="22"/>
        </w:rPr>
        <w:t>2012; 15(3):419-41.</w:t>
      </w:r>
    </w:p>
    <w:p w14:paraId="5D8BEC80" w14:textId="3FF8E957" w:rsidR="002961F9" w:rsidRPr="002961F9" w:rsidRDefault="002961F9" w:rsidP="00D46C88">
      <w:pPr>
        <w:spacing w:after="0" w:line="240" w:lineRule="auto"/>
        <w:ind w:left="567" w:hanging="567"/>
        <w:jc w:val="both"/>
        <w:rPr>
          <w:szCs w:val="22"/>
        </w:rPr>
      </w:pPr>
      <w:r w:rsidRPr="002961F9">
        <w:rPr>
          <w:szCs w:val="22"/>
        </w:rPr>
        <w:t>14.</w:t>
      </w:r>
      <w:r w:rsidRPr="002961F9">
        <w:rPr>
          <w:szCs w:val="22"/>
        </w:rPr>
        <w:tab/>
      </w:r>
      <w:proofErr w:type="spellStart"/>
      <w:r w:rsidRPr="002961F9">
        <w:rPr>
          <w:szCs w:val="22"/>
        </w:rPr>
        <w:t>Jamshidi</w:t>
      </w:r>
      <w:proofErr w:type="spellEnd"/>
      <w:r w:rsidRPr="002961F9">
        <w:rPr>
          <w:szCs w:val="22"/>
        </w:rPr>
        <w:t xml:space="preserve"> J, Williams LM, Schofield PR, Park HR, Montalto A, </w:t>
      </w:r>
      <w:proofErr w:type="spellStart"/>
      <w:r w:rsidRPr="002961F9">
        <w:rPr>
          <w:szCs w:val="22"/>
        </w:rPr>
        <w:t>Chilver</w:t>
      </w:r>
      <w:proofErr w:type="spellEnd"/>
      <w:r w:rsidRPr="002961F9">
        <w:rPr>
          <w:szCs w:val="22"/>
        </w:rPr>
        <w:t xml:space="preserve"> MR, et al. Diverse phenotypic measurements of wellbeing: Heritability, temporal stability and the variance explained by polygenic scores. Genes Brain </w:t>
      </w:r>
      <w:proofErr w:type="spellStart"/>
      <w:r w:rsidRPr="002961F9">
        <w:rPr>
          <w:szCs w:val="22"/>
        </w:rPr>
        <w:t>Behav</w:t>
      </w:r>
      <w:proofErr w:type="spellEnd"/>
      <w:r w:rsidRPr="002961F9">
        <w:rPr>
          <w:szCs w:val="22"/>
        </w:rPr>
        <w:t>. 2020; 19(8</w:t>
      </w:r>
      <w:proofErr w:type="gramStart"/>
      <w:r w:rsidRPr="002961F9">
        <w:rPr>
          <w:szCs w:val="22"/>
        </w:rPr>
        <w:t>):e</w:t>
      </w:r>
      <w:proofErr w:type="gramEnd"/>
      <w:r w:rsidRPr="002961F9">
        <w:rPr>
          <w:szCs w:val="22"/>
        </w:rPr>
        <w:t>12694.</w:t>
      </w:r>
    </w:p>
    <w:p w14:paraId="5BFCCF5A" w14:textId="77777777" w:rsidR="002961F9" w:rsidRPr="002961F9" w:rsidRDefault="002961F9" w:rsidP="00D46C88">
      <w:pPr>
        <w:spacing w:after="0" w:line="240" w:lineRule="auto"/>
        <w:ind w:left="567" w:hanging="567"/>
        <w:jc w:val="both"/>
        <w:rPr>
          <w:szCs w:val="22"/>
        </w:rPr>
      </w:pPr>
      <w:r w:rsidRPr="002961F9">
        <w:rPr>
          <w:szCs w:val="22"/>
        </w:rPr>
        <w:t>15.</w:t>
      </w:r>
      <w:r w:rsidRPr="002961F9">
        <w:rPr>
          <w:szCs w:val="22"/>
        </w:rPr>
        <w:tab/>
        <w:t xml:space="preserve">Price AL, Patterson NJ, </w:t>
      </w:r>
      <w:proofErr w:type="spellStart"/>
      <w:r w:rsidRPr="002961F9">
        <w:rPr>
          <w:szCs w:val="22"/>
        </w:rPr>
        <w:t>Plenge</w:t>
      </w:r>
      <w:proofErr w:type="spellEnd"/>
      <w:r w:rsidRPr="002961F9">
        <w:rPr>
          <w:szCs w:val="22"/>
        </w:rPr>
        <w:t xml:space="preserve"> RM, </w:t>
      </w:r>
      <w:proofErr w:type="spellStart"/>
      <w:r w:rsidRPr="002961F9">
        <w:rPr>
          <w:szCs w:val="22"/>
        </w:rPr>
        <w:t>Weinblatt</w:t>
      </w:r>
      <w:proofErr w:type="spellEnd"/>
      <w:r w:rsidRPr="002961F9">
        <w:rPr>
          <w:szCs w:val="22"/>
        </w:rPr>
        <w:t xml:space="preserve"> ME, </w:t>
      </w:r>
      <w:proofErr w:type="spellStart"/>
      <w:r w:rsidRPr="002961F9">
        <w:rPr>
          <w:szCs w:val="22"/>
        </w:rPr>
        <w:t>Shadick</w:t>
      </w:r>
      <w:proofErr w:type="spellEnd"/>
      <w:r w:rsidRPr="002961F9">
        <w:rPr>
          <w:szCs w:val="22"/>
        </w:rPr>
        <w:t xml:space="preserve"> NA, &amp; Reich D. Principal components analysis corrects for stratification in genome-wide association studies. Nat Genet. 2006; 38(8):904-9.</w:t>
      </w:r>
    </w:p>
    <w:p w14:paraId="0CAB9C45" w14:textId="295D2A35" w:rsidR="002961F9" w:rsidRPr="002961F9" w:rsidRDefault="002961F9" w:rsidP="00D46C88">
      <w:pPr>
        <w:spacing w:after="0" w:line="240" w:lineRule="auto"/>
        <w:ind w:left="567" w:hanging="567"/>
        <w:jc w:val="both"/>
        <w:rPr>
          <w:szCs w:val="22"/>
        </w:rPr>
      </w:pPr>
      <w:r w:rsidRPr="002961F9">
        <w:rPr>
          <w:szCs w:val="22"/>
        </w:rPr>
        <w:t>16.</w:t>
      </w:r>
      <w:r w:rsidRPr="002961F9">
        <w:rPr>
          <w:szCs w:val="22"/>
        </w:rPr>
        <w:tab/>
      </w:r>
      <w:proofErr w:type="spellStart"/>
      <w:r w:rsidRPr="002961F9">
        <w:rPr>
          <w:szCs w:val="22"/>
        </w:rPr>
        <w:t>Piñero</w:t>
      </w:r>
      <w:proofErr w:type="spellEnd"/>
      <w:r w:rsidRPr="002961F9">
        <w:rPr>
          <w:szCs w:val="22"/>
        </w:rPr>
        <w:t xml:space="preserve"> J, Ramírez-</w:t>
      </w:r>
      <w:proofErr w:type="spellStart"/>
      <w:r w:rsidRPr="002961F9">
        <w:rPr>
          <w:szCs w:val="22"/>
        </w:rPr>
        <w:t>Anguita</w:t>
      </w:r>
      <w:proofErr w:type="spellEnd"/>
      <w:r w:rsidRPr="002961F9">
        <w:rPr>
          <w:szCs w:val="22"/>
        </w:rPr>
        <w:t xml:space="preserve"> JM, </w:t>
      </w:r>
      <w:proofErr w:type="spellStart"/>
      <w:r w:rsidRPr="002961F9">
        <w:rPr>
          <w:szCs w:val="22"/>
        </w:rPr>
        <w:t>Saüch-Pitarch</w:t>
      </w:r>
      <w:proofErr w:type="spellEnd"/>
      <w:r w:rsidRPr="002961F9">
        <w:rPr>
          <w:szCs w:val="22"/>
        </w:rPr>
        <w:t xml:space="preserve"> J, </w:t>
      </w:r>
      <w:proofErr w:type="spellStart"/>
      <w:r w:rsidRPr="002961F9">
        <w:rPr>
          <w:szCs w:val="22"/>
        </w:rPr>
        <w:t>Ronzano</w:t>
      </w:r>
      <w:proofErr w:type="spellEnd"/>
      <w:r w:rsidRPr="002961F9">
        <w:rPr>
          <w:szCs w:val="22"/>
        </w:rPr>
        <w:t xml:space="preserve"> F, Centeno E, Sanz F, et al. The </w:t>
      </w:r>
      <w:proofErr w:type="spellStart"/>
      <w:r w:rsidRPr="002961F9">
        <w:rPr>
          <w:szCs w:val="22"/>
        </w:rPr>
        <w:t>DisGeNET</w:t>
      </w:r>
      <w:proofErr w:type="spellEnd"/>
      <w:r w:rsidRPr="002961F9">
        <w:rPr>
          <w:szCs w:val="22"/>
        </w:rPr>
        <w:t xml:space="preserve"> knowledge platform for disease genomics: 2019 update. </w:t>
      </w:r>
      <w:r>
        <w:t xml:space="preserve">Nucleic Acids Res. </w:t>
      </w:r>
      <w:r w:rsidRPr="002961F9">
        <w:rPr>
          <w:szCs w:val="22"/>
        </w:rPr>
        <w:t>2020; 48(D1</w:t>
      </w:r>
      <w:proofErr w:type="gramStart"/>
      <w:r w:rsidRPr="002961F9">
        <w:rPr>
          <w:szCs w:val="22"/>
        </w:rPr>
        <w:t>):D</w:t>
      </w:r>
      <w:proofErr w:type="gramEnd"/>
      <w:r w:rsidRPr="002961F9">
        <w:rPr>
          <w:szCs w:val="22"/>
        </w:rPr>
        <w:t>845-D855.</w:t>
      </w:r>
    </w:p>
    <w:p w14:paraId="2E96BE1C" w14:textId="77777777" w:rsidR="002961F9" w:rsidRPr="002961F9" w:rsidRDefault="002961F9" w:rsidP="00D46C88">
      <w:pPr>
        <w:spacing w:after="0" w:line="240" w:lineRule="auto"/>
        <w:ind w:left="567" w:hanging="567"/>
        <w:jc w:val="both"/>
        <w:rPr>
          <w:szCs w:val="22"/>
        </w:rPr>
      </w:pPr>
      <w:r w:rsidRPr="002961F9">
        <w:rPr>
          <w:szCs w:val="22"/>
        </w:rPr>
        <w:t>17.</w:t>
      </w:r>
      <w:r w:rsidRPr="002961F9">
        <w:rPr>
          <w:szCs w:val="22"/>
        </w:rPr>
        <w:tab/>
        <w:t>Gutiérrez-</w:t>
      </w:r>
      <w:proofErr w:type="spellStart"/>
      <w:r w:rsidRPr="002961F9">
        <w:rPr>
          <w:szCs w:val="22"/>
        </w:rPr>
        <w:t>Sacristán</w:t>
      </w:r>
      <w:proofErr w:type="spellEnd"/>
      <w:r w:rsidRPr="002961F9">
        <w:rPr>
          <w:szCs w:val="22"/>
        </w:rPr>
        <w:t xml:space="preserve"> A, </w:t>
      </w:r>
      <w:proofErr w:type="spellStart"/>
      <w:r w:rsidRPr="002961F9">
        <w:rPr>
          <w:szCs w:val="22"/>
        </w:rPr>
        <w:t>Grosdidier</w:t>
      </w:r>
      <w:proofErr w:type="spellEnd"/>
      <w:r w:rsidRPr="002961F9">
        <w:rPr>
          <w:szCs w:val="22"/>
        </w:rPr>
        <w:t xml:space="preserve"> S, Valverde O, Torrens M, Bravo À, </w:t>
      </w:r>
      <w:proofErr w:type="spellStart"/>
      <w:r w:rsidRPr="002961F9">
        <w:rPr>
          <w:szCs w:val="22"/>
        </w:rPr>
        <w:t>Piñero</w:t>
      </w:r>
      <w:proofErr w:type="spellEnd"/>
      <w:r w:rsidRPr="002961F9">
        <w:rPr>
          <w:szCs w:val="22"/>
        </w:rPr>
        <w:t xml:space="preserve"> J, et al. </w:t>
      </w:r>
      <w:proofErr w:type="spellStart"/>
      <w:r w:rsidRPr="002961F9">
        <w:rPr>
          <w:szCs w:val="22"/>
        </w:rPr>
        <w:t>PsyGeNET</w:t>
      </w:r>
      <w:proofErr w:type="spellEnd"/>
      <w:r w:rsidRPr="002961F9">
        <w:rPr>
          <w:szCs w:val="22"/>
        </w:rPr>
        <w:t>: a knowledge platform on psychiatric disorders and their genes. Bioinformatics. 2015; 31(18):3075-7.</w:t>
      </w:r>
    </w:p>
    <w:p w14:paraId="6808171B" w14:textId="1FE263A7" w:rsidR="002961F9" w:rsidRPr="002961F9" w:rsidRDefault="002961F9" w:rsidP="00D46C88">
      <w:pPr>
        <w:spacing w:after="0" w:line="240" w:lineRule="auto"/>
        <w:ind w:left="567" w:hanging="567"/>
        <w:jc w:val="both"/>
        <w:rPr>
          <w:szCs w:val="22"/>
        </w:rPr>
      </w:pPr>
      <w:r w:rsidRPr="002961F9">
        <w:rPr>
          <w:szCs w:val="22"/>
        </w:rPr>
        <w:t>18.</w:t>
      </w:r>
      <w:r w:rsidRPr="002961F9">
        <w:rPr>
          <w:szCs w:val="22"/>
        </w:rPr>
        <w:tab/>
        <w:t xml:space="preserve">MacArthur J, Bowler E, </w:t>
      </w:r>
      <w:proofErr w:type="spellStart"/>
      <w:r w:rsidRPr="002961F9">
        <w:rPr>
          <w:szCs w:val="22"/>
        </w:rPr>
        <w:t>Cerezo</w:t>
      </w:r>
      <w:proofErr w:type="spellEnd"/>
      <w:r w:rsidRPr="002961F9">
        <w:rPr>
          <w:szCs w:val="22"/>
        </w:rPr>
        <w:t xml:space="preserve"> M, Gil L, Hall P, Hastings E, et al. The new NHGRI-EBI </w:t>
      </w:r>
      <w:proofErr w:type="spellStart"/>
      <w:r w:rsidRPr="002961F9">
        <w:rPr>
          <w:szCs w:val="22"/>
        </w:rPr>
        <w:t>Catalog</w:t>
      </w:r>
      <w:proofErr w:type="spellEnd"/>
      <w:r w:rsidRPr="002961F9">
        <w:rPr>
          <w:szCs w:val="22"/>
        </w:rPr>
        <w:t xml:space="preserve"> of published genome-wide association studies (GWAS </w:t>
      </w:r>
      <w:proofErr w:type="spellStart"/>
      <w:r w:rsidRPr="002961F9">
        <w:rPr>
          <w:szCs w:val="22"/>
        </w:rPr>
        <w:t>Catalog</w:t>
      </w:r>
      <w:proofErr w:type="spellEnd"/>
      <w:r w:rsidRPr="002961F9">
        <w:rPr>
          <w:szCs w:val="22"/>
        </w:rPr>
        <w:t xml:space="preserve">). </w:t>
      </w:r>
      <w:r>
        <w:t xml:space="preserve">Nucleic Acids Res. </w:t>
      </w:r>
      <w:r w:rsidRPr="002961F9">
        <w:rPr>
          <w:szCs w:val="22"/>
        </w:rPr>
        <w:t>2017; 45(D1</w:t>
      </w:r>
      <w:proofErr w:type="gramStart"/>
      <w:r w:rsidRPr="002961F9">
        <w:rPr>
          <w:szCs w:val="22"/>
        </w:rPr>
        <w:t>):D</w:t>
      </w:r>
      <w:proofErr w:type="gramEnd"/>
      <w:r w:rsidRPr="002961F9">
        <w:rPr>
          <w:szCs w:val="22"/>
        </w:rPr>
        <w:t>896-d901.</w:t>
      </w:r>
    </w:p>
    <w:p w14:paraId="196B45F8" w14:textId="7DDAF88D" w:rsidR="002961F9" w:rsidRPr="002961F9" w:rsidRDefault="002961F9" w:rsidP="00D46C88">
      <w:pPr>
        <w:spacing w:after="0" w:line="240" w:lineRule="auto"/>
        <w:ind w:left="567" w:hanging="567"/>
        <w:jc w:val="both"/>
        <w:rPr>
          <w:szCs w:val="22"/>
        </w:rPr>
      </w:pPr>
      <w:r w:rsidRPr="002961F9">
        <w:rPr>
          <w:szCs w:val="22"/>
        </w:rPr>
        <w:t>19.</w:t>
      </w:r>
      <w:r w:rsidRPr="002961F9">
        <w:rPr>
          <w:szCs w:val="22"/>
        </w:rPr>
        <w:tab/>
        <w:t xml:space="preserve">Li MJ, Liu Z, Wang P, Wong MP, Nelson MR, Kocher JP, et al. </w:t>
      </w:r>
      <w:proofErr w:type="spellStart"/>
      <w:r w:rsidRPr="002961F9">
        <w:rPr>
          <w:szCs w:val="22"/>
        </w:rPr>
        <w:t>GWASdb</w:t>
      </w:r>
      <w:proofErr w:type="spellEnd"/>
      <w:r w:rsidRPr="002961F9">
        <w:rPr>
          <w:szCs w:val="22"/>
        </w:rPr>
        <w:t xml:space="preserve"> v2: an update database for human genetic variants identified by genome-wide association studies. </w:t>
      </w:r>
      <w:r>
        <w:t>Nucleic Acids Res.</w:t>
      </w:r>
      <w:r w:rsidRPr="002961F9">
        <w:rPr>
          <w:szCs w:val="22"/>
        </w:rPr>
        <w:t xml:space="preserve"> 2016; 44(D1</w:t>
      </w:r>
      <w:proofErr w:type="gramStart"/>
      <w:r w:rsidRPr="002961F9">
        <w:rPr>
          <w:szCs w:val="22"/>
        </w:rPr>
        <w:t>):D</w:t>
      </w:r>
      <w:proofErr w:type="gramEnd"/>
      <w:r w:rsidRPr="002961F9">
        <w:rPr>
          <w:szCs w:val="22"/>
        </w:rPr>
        <w:t>869-76.</w:t>
      </w:r>
    </w:p>
    <w:p w14:paraId="436808CB" w14:textId="77777777" w:rsidR="002961F9" w:rsidRPr="002961F9" w:rsidRDefault="002961F9" w:rsidP="00D46C88">
      <w:pPr>
        <w:spacing w:after="0" w:line="240" w:lineRule="auto"/>
        <w:ind w:left="567" w:hanging="567"/>
        <w:jc w:val="both"/>
        <w:rPr>
          <w:szCs w:val="22"/>
        </w:rPr>
      </w:pPr>
      <w:r w:rsidRPr="002961F9">
        <w:rPr>
          <w:szCs w:val="22"/>
        </w:rPr>
        <w:t>20.</w:t>
      </w:r>
      <w:r w:rsidRPr="002961F9">
        <w:rPr>
          <w:szCs w:val="22"/>
        </w:rPr>
        <w:tab/>
        <w:t xml:space="preserve">Olson DH, </w:t>
      </w:r>
      <w:proofErr w:type="spellStart"/>
      <w:r w:rsidRPr="002961F9">
        <w:rPr>
          <w:szCs w:val="22"/>
        </w:rPr>
        <w:t>Portner</w:t>
      </w:r>
      <w:proofErr w:type="spellEnd"/>
      <w:r w:rsidRPr="002961F9">
        <w:rPr>
          <w:szCs w:val="22"/>
        </w:rPr>
        <w:t xml:space="preserve"> J, &amp; Bell RQ. FACES II: Family Adaptability and Cohesion Evaluation Scale. St. Paul: University of Minnesota, Department of Family Social Science. 1982.</w:t>
      </w:r>
    </w:p>
    <w:p w14:paraId="09263B73" w14:textId="77777777" w:rsidR="002961F9" w:rsidRPr="002961F9" w:rsidRDefault="002961F9" w:rsidP="00D46C88">
      <w:pPr>
        <w:spacing w:after="0" w:line="240" w:lineRule="auto"/>
        <w:ind w:left="567" w:hanging="567"/>
        <w:jc w:val="both"/>
        <w:rPr>
          <w:szCs w:val="22"/>
        </w:rPr>
      </w:pPr>
      <w:r w:rsidRPr="002961F9">
        <w:rPr>
          <w:szCs w:val="22"/>
        </w:rPr>
        <w:t>21.</w:t>
      </w:r>
      <w:r w:rsidRPr="002961F9">
        <w:rPr>
          <w:szCs w:val="22"/>
        </w:rPr>
        <w:tab/>
      </w:r>
      <w:proofErr w:type="spellStart"/>
      <w:r w:rsidRPr="002961F9">
        <w:rPr>
          <w:szCs w:val="22"/>
        </w:rPr>
        <w:t>Saffari</w:t>
      </w:r>
      <w:proofErr w:type="spellEnd"/>
      <w:r w:rsidRPr="002961F9">
        <w:rPr>
          <w:szCs w:val="22"/>
        </w:rPr>
        <w:t xml:space="preserve"> A, Silver MJ, </w:t>
      </w:r>
      <w:proofErr w:type="spellStart"/>
      <w:r w:rsidRPr="002961F9">
        <w:rPr>
          <w:szCs w:val="22"/>
        </w:rPr>
        <w:t>Zavattari</w:t>
      </w:r>
      <w:proofErr w:type="spellEnd"/>
      <w:r w:rsidRPr="002961F9">
        <w:rPr>
          <w:szCs w:val="22"/>
        </w:rPr>
        <w:t xml:space="preserve"> P, Moi L, </w:t>
      </w:r>
      <w:proofErr w:type="spellStart"/>
      <w:r w:rsidRPr="002961F9">
        <w:rPr>
          <w:szCs w:val="22"/>
        </w:rPr>
        <w:t>Columbano</w:t>
      </w:r>
      <w:proofErr w:type="spellEnd"/>
      <w:r w:rsidRPr="002961F9">
        <w:rPr>
          <w:szCs w:val="22"/>
        </w:rPr>
        <w:t xml:space="preserve"> A, </w:t>
      </w:r>
      <w:proofErr w:type="spellStart"/>
      <w:r w:rsidRPr="002961F9">
        <w:rPr>
          <w:szCs w:val="22"/>
        </w:rPr>
        <w:t>Meaburn</w:t>
      </w:r>
      <w:proofErr w:type="spellEnd"/>
      <w:r w:rsidRPr="002961F9">
        <w:rPr>
          <w:szCs w:val="22"/>
        </w:rPr>
        <w:t xml:space="preserve"> EL, et al. Estimation of a significance threshold for epigenome-wide association studies. Genet Epidemiol. 2018; 42(1):20-33.</w:t>
      </w:r>
    </w:p>
    <w:p w14:paraId="1AC36D3E" w14:textId="77777777" w:rsidR="002961F9" w:rsidRPr="002961F9" w:rsidRDefault="002961F9" w:rsidP="00D46C88">
      <w:pPr>
        <w:spacing w:after="0" w:line="240" w:lineRule="auto"/>
        <w:ind w:left="567" w:hanging="567"/>
        <w:jc w:val="both"/>
        <w:rPr>
          <w:szCs w:val="22"/>
        </w:rPr>
      </w:pPr>
      <w:r w:rsidRPr="002961F9">
        <w:rPr>
          <w:szCs w:val="22"/>
        </w:rPr>
        <w:t>22.</w:t>
      </w:r>
      <w:r w:rsidRPr="002961F9">
        <w:rPr>
          <w:szCs w:val="22"/>
        </w:rPr>
        <w:tab/>
        <w:t>Dawes K, Andersen A, Reimer R, Mills JA, Hoffman E, Long JD, et al. The relationship of smoking to cg05575921 methylation in blood and saliva DNA samples from several studies. Sci Rep. 2021; 11(1):21627.</w:t>
      </w:r>
    </w:p>
    <w:p w14:paraId="56429B6B" w14:textId="77777777" w:rsidR="002961F9" w:rsidRPr="002961F9" w:rsidRDefault="002961F9" w:rsidP="00D46C88">
      <w:pPr>
        <w:spacing w:after="0" w:line="240" w:lineRule="auto"/>
        <w:ind w:left="567" w:hanging="567"/>
        <w:jc w:val="both"/>
        <w:rPr>
          <w:szCs w:val="22"/>
        </w:rPr>
      </w:pPr>
      <w:r w:rsidRPr="002961F9">
        <w:rPr>
          <w:szCs w:val="22"/>
        </w:rPr>
        <w:t>23.</w:t>
      </w:r>
      <w:r w:rsidRPr="002961F9">
        <w:rPr>
          <w:szCs w:val="22"/>
        </w:rPr>
        <w:tab/>
        <w:t xml:space="preserve">Min JL, </w:t>
      </w:r>
      <w:proofErr w:type="spellStart"/>
      <w:r w:rsidRPr="002961F9">
        <w:rPr>
          <w:szCs w:val="22"/>
        </w:rPr>
        <w:t>Hemani</w:t>
      </w:r>
      <w:proofErr w:type="spellEnd"/>
      <w:r w:rsidRPr="002961F9">
        <w:rPr>
          <w:szCs w:val="22"/>
        </w:rPr>
        <w:t xml:space="preserve"> G, Davey Smith G, </w:t>
      </w:r>
      <w:proofErr w:type="spellStart"/>
      <w:r w:rsidRPr="002961F9">
        <w:rPr>
          <w:szCs w:val="22"/>
        </w:rPr>
        <w:t>Relton</w:t>
      </w:r>
      <w:proofErr w:type="spellEnd"/>
      <w:r w:rsidRPr="002961F9">
        <w:rPr>
          <w:szCs w:val="22"/>
        </w:rPr>
        <w:t xml:space="preserve"> C, &amp; </w:t>
      </w:r>
      <w:proofErr w:type="spellStart"/>
      <w:r w:rsidRPr="002961F9">
        <w:rPr>
          <w:szCs w:val="22"/>
        </w:rPr>
        <w:t>Suderman</w:t>
      </w:r>
      <w:proofErr w:type="spellEnd"/>
      <w:r w:rsidRPr="002961F9">
        <w:rPr>
          <w:szCs w:val="22"/>
        </w:rPr>
        <w:t xml:space="preserve"> M. </w:t>
      </w:r>
      <w:proofErr w:type="spellStart"/>
      <w:r w:rsidRPr="002961F9">
        <w:rPr>
          <w:szCs w:val="22"/>
        </w:rPr>
        <w:t>Meffil</w:t>
      </w:r>
      <w:proofErr w:type="spellEnd"/>
      <w:r w:rsidRPr="002961F9">
        <w:rPr>
          <w:szCs w:val="22"/>
        </w:rPr>
        <w:t>: efficient normalization and analysis of very large DNA methylation datasets. Bioinformatics. 2018; 34(23):3983-3989.</w:t>
      </w:r>
    </w:p>
    <w:p w14:paraId="5451450A" w14:textId="258674ED" w:rsidR="002961F9" w:rsidRPr="002961F9" w:rsidRDefault="002961F9" w:rsidP="00D46C88">
      <w:pPr>
        <w:spacing w:after="0" w:line="240" w:lineRule="auto"/>
        <w:ind w:left="567" w:hanging="567"/>
        <w:jc w:val="both"/>
        <w:rPr>
          <w:szCs w:val="22"/>
        </w:rPr>
      </w:pPr>
      <w:r w:rsidRPr="002961F9">
        <w:rPr>
          <w:szCs w:val="22"/>
        </w:rPr>
        <w:t>24.</w:t>
      </w:r>
      <w:r w:rsidRPr="002961F9">
        <w:rPr>
          <w:szCs w:val="22"/>
        </w:rPr>
        <w:tab/>
        <w:t xml:space="preserve">McRae AF, </w:t>
      </w:r>
      <w:proofErr w:type="spellStart"/>
      <w:r w:rsidRPr="002961F9">
        <w:rPr>
          <w:szCs w:val="22"/>
        </w:rPr>
        <w:t>Marioni</w:t>
      </w:r>
      <w:proofErr w:type="spellEnd"/>
      <w:r w:rsidRPr="002961F9">
        <w:rPr>
          <w:szCs w:val="22"/>
        </w:rPr>
        <w:t xml:space="preserve"> RE, Shah S, Yang J, Powell JE, Harris SE, et al. Identification of 55,000 Replicated DNA Methylation QTL. Sci Rep. 2018; 8(1):17605.</w:t>
      </w:r>
    </w:p>
    <w:p w14:paraId="4CD2836C" w14:textId="19148CE3" w:rsidR="002961F9" w:rsidRPr="002961F9" w:rsidRDefault="002961F9" w:rsidP="00D46C88">
      <w:pPr>
        <w:spacing w:after="0" w:line="240" w:lineRule="auto"/>
        <w:ind w:left="567" w:hanging="567"/>
        <w:jc w:val="both"/>
        <w:rPr>
          <w:szCs w:val="22"/>
        </w:rPr>
      </w:pPr>
      <w:r w:rsidRPr="002961F9">
        <w:rPr>
          <w:szCs w:val="22"/>
        </w:rPr>
        <w:t>25.</w:t>
      </w:r>
      <w:r w:rsidRPr="002961F9">
        <w:rPr>
          <w:szCs w:val="22"/>
        </w:rPr>
        <w:tab/>
      </w:r>
      <w:proofErr w:type="spellStart"/>
      <w:r w:rsidRPr="002961F9">
        <w:rPr>
          <w:szCs w:val="22"/>
        </w:rPr>
        <w:t>GTEx</w:t>
      </w:r>
      <w:proofErr w:type="spellEnd"/>
      <w:r w:rsidRPr="002961F9">
        <w:rPr>
          <w:szCs w:val="22"/>
        </w:rPr>
        <w:t xml:space="preserve"> Consortium. The Genotype-Tissue Expression (</w:t>
      </w:r>
      <w:proofErr w:type="spellStart"/>
      <w:r w:rsidRPr="002961F9">
        <w:rPr>
          <w:szCs w:val="22"/>
        </w:rPr>
        <w:t>GTEx</w:t>
      </w:r>
      <w:proofErr w:type="spellEnd"/>
      <w:r w:rsidRPr="002961F9">
        <w:rPr>
          <w:szCs w:val="22"/>
        </w:rPr>
        <w:t>) project. Nat Genet. 2013; 45(6):580-5.</w:t>
      </w:r>
    </w:p>
    <w:p w14:paraId="4308AA90" w14:textId="29B08143" w:rsidR="002961F9" w:rsidRPr="002961F9" w:rsidRDefault="002961F9" w:rsidP="00D46C88">
      <w:pPr>
        <w:spacing w:after="0" w:line="240" w:lineRule="auto"/>
        <w:ind w:left="567" w:hanging="567"/>
        <w:jc w:val="both"/>
        <w:rPr>
          <w:szCs w:val="22"/>
        </w:rPr>
      </w:pPr>
      <w:r w:rsidRPr="002961F9">
        <w:rPr>
          <w:szCs w:val="22"/>
        </w:rPr>
        <w:t>26.</w:t>
      </w:r>
      <w:r w:rsidRPr="002961F9">
        <w:rPr>
          <w:szCs w:val="22"/>
        </w:rPr>
        <w:tab/>
        <w:t xml:space="preserve">Watanabe K, </w:t>
      </w:r>
      <w:proofErr w:type="spellStart"/>
      <w:r w:rsidRPr="002961F9">
        <w:rPr>
          <w:szCs w:val="22"/>
        </w:rPr>
        <w:t>Taskesen</w:t>
      </w:r>
      <w:proofErr w:type="spellEnd"/>
      <w:r w:rsidRPr="002961F9">
        <w:rPr>
          <w:szCs w:val="22"/>
        </w:rPr>
        <w:t xml:space="preserve"> E, Van </w:t>
      </w:r>
      <w:proofErr w:type="spellStart"/>
      <w:r w:rsidRPr="002961F9">
        <w:rPr>
          <w:szCs w:val="22"/>
        </w:rPr>
        <w:t>Bochoven</w:t>
      </w:r>
      <w:proofErr w:type="spellEnd"/>
      <w:r w:rsidRPr="002961F9">
        <w:rPr>
          <w:szCs w:val="22"/>
        </w:rPr>
        <w:t xml:space="preserve"> A, &amp; </w:t>
      </w:r>
      <w:proofErr w:type="spellStart"/>
      <w:r w:rsidRPr="002961F9">
        <w:rPr>
          <w:szCs w:val="22"/>
        </w:rPr>
        <w:t>Posthuma</w:t>
      </w:r>
      <w:proofErr w:type="spellEnd"/>
      <w:r w:rsidRPr="002961F9">
        <w:rPr>
          <w:szCs w:val="22"/>
        </w:rPr>
        <w:t xml:space="preserve"> D. Functional mapping and annotation of genetic associations with FUMA. Nat </w:t>
      </w:r>
      <w:proofErr w:type="spellStart"/>
      <w:r w:rsidRPr="002961F9">
        <w:rPr>
          <w:szCs w:val="22"/>
        </w:rPr>
        <w:t>Commun</w:t>
      </w:r>
      <w:proofErr w:type="spellEnd"/>
      <w:r w:rsidRPr="002961F9">
        <w:rPr>
          <w:szCs w:val="22"/>
        </w:rPr>
        <w:t>. 2017; 8(1):1-11.</w:t>
      </w:r>
    </w:p>
    <w:p w14:paraId="3E843878" w14:textId="77777777" w:rsidR="002961F9" w:rsidRPr="002961F9" w:rsidRDefault="002961F9" w:rsidP="00D46C88">
      <w:pPr>
        <w:spacing w:after="0" w:line="240" w:lineRule="auto"/>
        <w:ind w:left="567" w:hanging="567"/>
        <w:jc w:val="both"/>
        <w:rPr>
          <w:szCs w:val="22"/>
        </w:rPr>
      </w:pPr>
      <w:r w:rsidRPr="002961F9">
        <w:rPr>
          <w:szCs w:val="22"/>
        </w:rPr>
        <w:t>27.</w:t>
      </w:r>
      <w:r w:rsidRPr="002961F9">
        <w:rPr>
          <w:szCs w:val="22"/>
        </w:rPr>
        <w:tab/>
      </w:r>
      <w:proofErr w:type="spellStart"/>
      <w:r w:rsidRPr="002961F9">
        <w:rPr>
          <w:szCs w:val="22"/>
        </w:rPr>
        <w:t>Busner</w:t>
      </w:r>
      <w:proofErr w:type="spellEnd"/>
      <w:r w:rsidRPr="002961F9">
        <w:rPr>
          <w:szCs w:val="22"/>
        </w:rPr>
        <w:t xml:space="preserve"> J &amp; Targum SD. The clinical global impressions scale: applying a research tool in clinical practice. Psychiatry (</w:t>
      </w:r>
      <w:proofErr w:type="spellStart"/>
      <w:r w:rsidRPr="002961F9">
        <w:rPr>
          <w:szCs w:val="22"/>
        </w:rPr>
        <w:t>Edgmont</w:t>
      </w:r>
      <w:proofErr w:type="spellEnd"/>
      <w:r w:rsidRPr="002961F9">
        <w:rPr>
          <w:szCs w:val="22"/>
        </w:rPr>
        <w:t>). 2007; 4(7):28-37.</w:t>
      </w:r>
    </w:p>
    <w:bookmarkEnd w:id="10"/>
    <w:p w14:paraId="5AB6C978" w14:textId="77777777" w:rsidR="002961F9" w:rsidRDefault="002961F9" w:rsidP="00093D89">
      <w:pPr>
        <w:spacing w:after="0" w:line="360" w:lineRule="auto"/>
        <w:jc w:val="both"/>
        <w:rPr>
          <w:b/>
          <w:szCs w:val="22"/>
        </w:rPr>
      </w:pPr>
    </w:p>
    <w:sectPr w:rsidR="002961F9" w:rsidSect="005556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CF30C" w14:textId="77777777" w:rsidR="00A151A4" w:rsidRDefault="00A151A4" w:rsidP="008E4A12">
      <w:pPr>
        <w:spacing w:after="0" w:line="240" w:lineRule="auto"/>
      </w:pPr>
      <w:r>
        <w:separator/>
      </w:r>
    </w:p>
  </w:endnote>
  <w:endnote w:type="continuationSeparator" w:id="0">
    <w:p w14:paraId="1822BAC5" w14:textId="77777777" w:rsidR="00A151A4" w:rsidRDefault="00A151A4" w:rsidP="008E4A12">
      <w:pPr>
        <w:spacing w:after="0" w:line="240" w:lineRule="auto"/>
      </w:pPr>
      <w:r>
        <w:continuationSeparator/>
      </w:r>
    </w:p>
  </w:endnote>
  <w:endnote w:type="continuationNotice" w:id="1">
    <w:p w14:paraId="1A8835A3" w14:textId="77777777" w:rsidR="00A151A4" w:rsidRDefault="00A151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344567"/>
      <w:docPartObj>
        <w:docPartGallery w:val="Page Numbers (Bottom of Page)"/>
        <w:docPartUnique/>
      </w:docPartObj>
    </w:sdtPr>
    <w:sdtEndPr/>
    <w:sdtContent>
      <w:sdt>
        <w:sdtPr>
          <w:id w:val="-1260600719"/>
          <w:docPartObj>
            <w:docPartGallery w:val="Page Numbers (Top of Page)"/>
            <w:docPartUnique/>
          </w:docPartObj>
        </w:sdtPr>
        <w:sdtEndPr/>
        <w:sdtContent>
          <w:p w14:paraId="468EE21D" w14:textId="468D85F4" w:rsidR="00A151A4" w:rsidRDefault="00A151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A607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A6078">
              <w:rPr>
                <w:b/>
                <w:bCs/>
                <w:noProof/>
              </w:rPr>
              <w:t>23</w:t>
            </w:r>
            <w:r>
              <w:rPr>
                <w:b/>
                <w:bCs/>
                <w:sz w:val="24"/>
                <w:szCs w:val="24"/>
              </w:rPr>
              <w:fldChar w:fldCharType="end"/>
            </w:r>
          </w:p>
        </w:sdtContent>
      </w:sdt>
    </w:sdtContent>
  </w:sdt>
  <w:p w14:paraId="602658F3" w14:textId="77777777" w:rsidR="00A151A4" w:rsidRDefault="00A15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D2F85" w14:textId="77777777" w:rsidR="00A151A4" w:rsidRDefault="00A151A4" w:rsidP="008E4A12">
      <w:pPr>
        <w:spacing w:after="0" w:line="240" w:lineRule="auto"/>
      </w:pPr>
      <w:r>
        <w:separator/>
      </w:r>
    </w:p>
  </w:footnote>
  <w:footnote w:type="continuationSeparator" w:id="0">
    <w:p w14:paraId="0E5056EE" w14:textId="77777777" w:rsidR="00A151A4" w:rsidRDefault="00A151A4" w:rsidP="008E4A12">
      <w:pPr>
        <w:spacing w:after="0" w:line="240" w:lineRule="auto"/>
      </w:pPr>
      <w:r>
        <w:continuationSeparator/>
      </w:r>
    </w:p>
  </w:footnote>
  <w:footnote w:type="continuationNotice" w:id="1">
    <w:p w14:paraId="60C8D05B" w14:textId="77777777" w:rsidR="00A151A4" w:rsidRDefault="00A151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0F83" w14:textId="3789D31C" w:rsidR="00A151A4" w:rsidRPr="00C8549B" w:rsidRDefault="00A151A4">
    <w:pPr>
      <w:pStyle w:val="Header"/>
      <w:rPr>
        <w:b/>
      </w:rPr>
    </w:pPr>
    <w:r w:rsidRPr="00C8549B">
      <w:rPr>
        <w:b/>
      </w:rPr>
      <w:t>Supplementary Material</w:t>
    </w:r>
    <w:r>
      <w:rPr>
        <w:b/>
      </w:rPr>
      <w:tab/>
    </w:r>
    <w:r>
      <w:rPr>
        <w:b/>
      </w:rPr>
      <w:tab/>
    </w:r>
    <w:proofErr w:type="spellStart"/>
    <w:r>
      <w:t>Hesam</w:t>
    </w:r>
    <w:proofErr w:type="spellEnd"/>
    <w:r>
      <w:t>-Shariati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A7B4B"/>
    <w:multiLevelType w:val="hybridMultilevel"/>
    <w:tmpl w:val="129C70A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42175DD"/>
    <w:multiLevelType w:val="hybridMultilevel"/>
    <w:tmpl w:val="23F6E3E0"/>
    <w:lvl w:ilvl="0" w:tplc="2F9A7B14">
      <w:start w:val="1"/>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6E277C"/>
    <w:multiLevelType w:val="hybridMultilevel"/>
    <w:tmpl w:val="EB6AF1D0"/>
    <w:lvl w:ilvl="0" w:tplc="96445492">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6F1D6858"/>
    <w:multiLevelType w:val="hybridMultilevel"/>
    <w:tmpl w:val="C89EED28"/>
    <w:lvl w:ilvl="0" w:tplc="3AECC58A">
      <w:start w:val="1"/>
      <w:numFmt w:val="upp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6" w:nlCheck="1" w:checkStyle="1"/>
  <w:activeWritingStyle w:appName="MSWord" w:lang="en-US" w:vendorID="64" w:dllVersion="6" w:nlCheck="1" w:checkStyle="1"/>
  <w:activeWritingStyle w:appName="MSWord" w:lang="en-US" w:vendorID="64" w:dllVersion="0" w:nlCheck="1" w:checkStyle="0"/>
  <w:activeWritingStyle w:appName="MSWord" w:lang="en-AU" w:vendorID="64" w:dllVersion="0" w:nlCheck="1" w:checkStyle="0"/>
  <w:activeWritingStyle w:appName="MSWord" w:lang="en-US" w:vendorID="64" w:dllVersion="4096" w:nlCheck="1" w:checkStyle="0"/>
  <w:activeWritingStyle w:appName="MSWord" w:lang="en-AU" w:vendorID="64" w:dllVersion="4096" w:nlCheck="1" w:checkStyle="0"/>
  <w:proofState w:spelling="clean" w:grammar="clean"/>
  <w:defaultTabStop w:val="720"/>
  <w:characterSpacingControl w:val="doNotCompress"/>
  <w:hdrShapeDefaults>
    <o:shapedefaults v:ext="edit" spidmax="727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 Translational Psychiat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xw5s2wgtrpate9928vatxisxeattavedwp&quot;&gt;My EndNote Library&lt;record-ids&gt;&lt;item&gt;440&lt;/item&gt;&lt;/record-ids&gt;&lt;/item&gt;&lt;/Libraries&gt;"/>
  </w:docVars>
  <w:rsids>
    <w:rsidRoot w:val="008E4A12"/>
    <w:rsid w:val="0000010B"/>
    <w:rsid w:val="000052AA"/>
    <w:rsid w:val="000129CC"/>
    <w:rsid w:val="00017216"/>
    <w:rsid w:val="0002185D"/>
    <w:rsid w:val="000240C3"/>
    <w:rsid w:val="00027904"/>
    <w:rsid w:val="00030327"/>
    <w:rsid w:val="0006417F"/>
    <w:rsid w:val="00067C08"/>
    <w:rsid w:val="00076B13"/>
    <w:rsid w:val="00077300"/>
    <w:rsid w:val="0007764C"/>
    <w:rsid w:val="00081A4D"/>
    <w:rsid w:val="00093D89"/>
    <w:rsid w:val="00097FB8"/>
    <w:rsid w:val="000A0DA1"/>
    <w:rsid w:val="000A38FB"/>
    <w:rsid w:val="000B2C49"/>
    <w:rsid w:val="000B3CD4"/>
    <w:rsid w:val="000B4A78"/>
    <w:rsid w:val="000C1FA9"/>
    <w:rsid w:val="000D2532"/>
    <w:rsid w:val="000D758A"/>
    <w:rsid w:val="000E3543"/>
    <w:rsid w:val="000F48B7"/>
    <w:rsid w:val="000F6383"/>
    <w:rsid w:val="000F746A"/>
    <w:rsid w:val="001057E4"/>
    <w:rsid w:val="00131104"/>
    <w:rsid w:val="0013707C"/>
    <w:rsid w:val="00140AC4"/>
    <w:rsid w:val="001429A9"/>
    <w:rsid w:val="00143D59"/>
    <w:rsid w:val="00145C62"/>
    <w:rsid w:val="00147615"/>
    <w:rsid w:val="001502CA"/>
    <w:rsid w:val="00150408"/>
    <w:rsid w:val="00152C2A"/>
    <w:rsid w:val="00153974"/>
    <w:rsid w:val="0016211C"/>
    <w:rsid w:val="00166DAF"/>
    <w:rsid w:val="00170309"/>
    <w:rsid w:val="00174049"/>
    <w:rsid w:val="00176270"/>
    <w:rsid w:val="00184FE5"/>
    <w:rsid w:val="00186945"/>
    <w:rsid w:val="00193AE8"/>
    <w:rsid w:val="001A0264"/>
    <w:rsid w:val="001A0E4B"/>
    <w:rsid w:val="001A0F81"/>
    <w:rsid w:val="001A37E3"/>
    <w:rsid w:val="001B17FC"/>
    <w:rsid w:val="001C7DEA"/>
    <w:rsid w:val="001D047F"/>
    <w:rsid w:val="001D78C4"/>
    <w:rsid w:val="001E5F9F"/>
    <w:rsid w:val="001F00E0"/>
    <w:rsid w:val="001F2818"/>
    <w:rsid w:val="001F3131"/>
    <w:rsid w:val="001F703B"/>
    <w:rsid w:val="001F74FE"/>
    <w:rsid w:val="00201E27"/>
    <w:rsid w:val="00202C72"/>
    <w:rsid w:val="00202F2C"/>
    <w:rsid w:val="0021163F"/>
    <w:rsid w:val="002262A7"/>
    <w:rsid w:val="00235552"/>
    <w:rsid w:val="00240607"/>
    <w:rsid w:val="0024564E"/>
    <w:rsid w:val="00247E42"/>
    <w:rsid w:val="00254AE1"/>
    <w:rsid w:val="00263EA1"/>
    <w:rsid w:val="00265705"/>
    <w:rsid w:val="00266304"/>
    <w:rsid w:val="00281440"/>
    <w:rsid w:val="0028623A"/>
    <w:rsid w:val="0028627E"/>
    <w:rsid w:val="002961F9"/>
    <w:rsid w:val="002A4E8C"/>
    <w:rsid w:val="002B1569"/>
    <w:rsid w:val="002C290A"/>
    <w:rsid w:val="002C3772"/>
    <w:rsid w:val="002C3A9E"/>
    <w:rsid w:val="002D135D"/>
    <w:rsid w:val="002F47DE"/>
    <w:rsid w:val="002F5EC0"/>
    <w:rsid w:val="002F6FBB"/>
    <w:rsid w:val="00300422"/>
    <w:rsid w:val="00301BA8"/>
    <w:rsid w:val="00302DC9"/>
    <w:rsid w:val="003060D4"/>
    <w:rsid w:val="00307138"/>
    <w:rsid w:val="00310F8C"/>
    <w:rsid w:val="0031511D"/>
    <w:rsid w:val="00362308"/>
    <w:rsid w:val="00367C45"/>
    <w:rsid w:val="00380166"/>
    <w:rsid w:val="00381EF3"/>
    <w:rsid w:val="003864B8"/>
    <w:rsid w:val="003A06FB"/>
    <w:rsid w:val="003A2F66"/>
    <w:rsid w:val="003A6078"/>
    <w:rsid w:val="003B01E7"/>
    <w:rsid w:val="003B0778"/>
    <w:rsid w:val="003B77EC"/>
    <w:rsid w:val="003C0E18"/>
    <w:rsid w:val="003C0F35"/>
    <w:rsid w:val="003C32F0"/>
    <w:rsid w:val="003C41CC"/>
    <w:rsid w:val="003C5523"/>
    <w:rsid w:val="003C685B"/>
    <w:rsid w:val="003E3CA9"/>
    <w:rsid w:val="003E4268"/>
    <w:rsid w:val="003F44F8"/>
    <w:rsid w:val="004063F2"/>
    <w:rsid w:val="00411DB0"/>
    <w:rsid w:val="00416618"/>
    <w:rsid w:val="00423F7D"/>
    <w:rsid w:val="00432CF8"/>
    <w:rsid w:val="00432F36"/>
    <w:rsid w:val="00433A38"/>
    <w:rsid w:val="00443C9E"/>
    <w:rsid w:val="00457929"/>
    <w:rsid w:val="00457A7E"/>
    <w:rsid w:val="00463FA2"/>
    <w:rsid w:val="004675DD"/>
    <w:rsid w:val="00477544"/>
    <w:rsid w:val="00484228"/>
    <w:rsid w:val="004860D6"/>
    <w:rsid w:val="00486791"/>
    <w:rsid w:val="00487671"/>
    <w:rsid w:val="00490306"/>
    <w:rsid w:val="00495EA0"/>
    <w:rsid w:val="004A308B"/>
    <w:rsid w:val="004A381B"/>
    <w:rsid w:val="004A459C"/>
    <w:rsid w:val="004B003D"/>
    <w:rsid w:val="004B29AD"/>
    <w:rsid w:val="004B2C2D"/>
    <w:rsid w:val="004B6F07"/>
    <w:rsid w:val="004C1D7D"/>
    <w:rsid w:val="004C4014"/>
    <w:rsid w:val="004C644D"/>
    <w:rsid w:val="004C6BFB"/>
    <w:rsid w:val="004D3A98"/>
    <w:rsid w:val="004E104D"/>
    <w:rsid w:val="004E20BD"/>
    <w:rsid w:val="004E2FF9"/>
    <w:rsid w:val="004F1B20"/>
    <w:rsid w:val="004F5A90"/>
    <w:rsid w:val="004F74ED"/>
    <w:rsid w:val="00500A5F"/>
    <w:rsid w:val="005034EB"/>
    <w:rsid w:val="00503599"/>
    <w:rsid w:val="00521552"/>
    <w:rsid w:val="00525A0E"/>
    <w:rsid w:val="00531D08"/>
    <w:rsid w:val="0053212B"/>
    <w:rsid w:val="00532175"/>
    <w:rsid w:val="0053679B"/>
    <w:rsid w:val="00536F6F"/>
    <w:rsid w:val="00540AF3"/>
    <w:rsid w:val="005432AE"/>
    <w:rsid w:val="00547AEC"/>
    <w:rsid w:val="00553FC9"/>
    <w:rsid w:val="005556AD"/>
    <w:rsid w:val="0055659C"/>
    <w:rsid w:val="005575AF"/>
    <w:rsid w:val="005674E5"/>
    <w:rsid w:val="00575AC0"/>
    <w:rsid w:val="00580853"/>
    <w:rsid w:val="00580B84"/>
    <w:rsid w:val="0058553E"/>
    <w:rsid w:val="00594476"/>
    <w:rsid w:val="005A1693"/>
    <w:rsid w:val="005A34C9"/>
    <w:rsid w:val="005B010E"/>
    <w:rsid w:val="005B60EC"/>
    <w:rsid w:val="005B6FFF"/>
    <w:rsid w:val="005C6B45"/>
    <w:rsid w:val="005D57E1"/>
    <w:rsid w:val="005D59A5"/>
    <w:rsid w:val="005D613C"/>
    <w:rsid w:val="005E2D52"/>
    <w:rsid w:val="005E7DDB"/>
    <w:rsid w:val="005F072B"/>
    <w:rsid w:val="005F0D27"/>
    <w:rsid w:val="00615E09"/>
    <w:rsid w:val="00616F17"/>
    <w:rsid w:val="00620709"/>
    <w:rsid w:val="006237A6"/>
    <w:rsid w:val="00630DFB"/>
    <w:rsid w:val="00634BF6"/>
    <w:rsid w:val="0063516C"/>
    <w:rsid w:val="00636DDE"/>
    <w:rsid w:val="0064217B"/>
    <w:rsid w:val="006449FD"/>
    <w:rsid w:val="00647282"/>
    <w:rsid w:val="00650EEC"/>
    <w:rsid w:val="006515F5"/>
    <w:rsid w:val="00663F9A"/>
    <w:rsid w:val="006672C9"/>
    <w:rsid w:val="00673188"/>
    <w:rsid w:val="0067558A"/>
    <w:rsid w:val="00675DA9"/>
    <w:rsid w:val="006777CC"/>
    <w:rsid w:val="00687727"/>
    <w:rsid w:val="00691ABE"/>
    <w:rsid w:val="00692D6E"/>
    <w:rsid w:val="0069398F"/>
    <w:rsid w:val="006A172F"/>
    <w:rsid w:val="006A4419"/>
    <w:rsid w:val="006A4FDA"/>
    <w:rsid w:val="006A7EBD"/>
    <w:rsid w:val="006B23B8"/>
    <w:rsid w:val="006B2934"/>
    <w:rsid w:val="006B2A6C"/>
    <w:rsid w:val="006B5558"/>
    <w:rsid w:val="006C1E78"/>
    <w:rsid w:val="006C22E8"/>
    <w:rsid w:val="006C488B"/>
    <w:rsid w:val="006C57A4"/>
    <w:rsid w:val="006C6742"/>
    <w:rsid w:val="006D0ED9"/>
    <w:rsid w:val="006D29BA"/>
    <w:rsid w:val="006F6881"/>
    <w:rsid w:val="00705E34"/>
    <w:rsid w:val="00707E56"/>
    <w:rsid w:val="00711B56"/>
    <w:rsid w:val="00715DEF"/>
    <w:rsid w:val="00727B02"/>
    <w:rsid w:val="00731701"/>
    <w:rsid w:val="00733455"/>
    <w:rsid w:val="00735F35"/>
    <w:rsid w:val="00737E78"/>
    <w:rsid w:val="0075052B"/>
    <w:rsid w:val="0075184B"/>
    <w:rsid w:val="007521F2"/>
    <w:rsid w:val="007644B4"/>
    <w:rsid w:val="00771BC8"/>
    <w:rsid w:val="007728D9"/>
    <w:rsid w:val="0077597A"/>
    <w:rsid w:val="00790BEE"/>
    <w:rsid w:val="007951B4"/>
    <w:rsid w:val="007952C6"/>
    <w:rsid w:val="007964E1"/>
    <w:rsid w:val="00797E38"/>
    <w:rsid w:val="007A4F4E"/>
    <w:rsid w:val="007B01BA"/>
    <w:rsid w:val="007C151E"/>
    <w:rsid w:val="007C34D7"/>
    <w:rsid w:val="007C4F02"/>
    <w:rsid w:val="007D00F7"/>
    <w:rsid w:val="007D2953"/>
    <w:rsid w:val="007D5E31"/>
    <w:rsid w:val="007E42DF"/>
    <w:rsid w:val="007E7B9D"/>
    <w:rsid w:val="007F61AA"/>
    <w:rsid w:val="007F7890"/>
    <w:rsid w:val="008033DB"/>
    <w:rsid w:val="00806DD2"/>
    <w:rsid w:val="00816BD0"/>
    <w:rsid w:val="00823FB3"/>
    <w:rsid w:val="00832044"/>
    <w:rsid w:val="008331EF"/>
    <w:rsid w:val="00834EAD"/>
    <w:rsid w:val="008402C7"/>
    <w:rsid w:val="008473FB"/>
    <w:rsid w:val="008547D2"/>
    <w:rsid w:val="00857607"/>
    <w:rsid w:val="00862C94"/>
    <w:rsid w:val="00870F82"/>
    <w:rsid w:val="00873186"/>
    <w:rsid w:val="0087606E"/>
    <w:rsid w:val="00877B93"/>
    <w:rsid w:val="0088114C"/>
    <w:rsid w:val="0088149D"/>
    <w:rsid w:val="008817D6"/>
    <w:rsid w:val="00894076"/>
    <w:rsid w:val="00896809"/>
    <w:rsid w:val="008A4F84"/>
    <w:rsid w:val="008A62D0"/>
    <w:rsid w:val="008B061D"/>
    <w:rsid w:val="008B0F95"/>
    <w:rsid w:val="008B1C01"/>
    <w:rsid w:val="008B2868"/>
    <w:rsid w:val="008B3883"/>
    <w:rsid w:val="008B480A"/>
    <w:rsid w:val="008B4FCE"/>
    <w:rsid w:val="008C01B7"/>
    <w:rsid w:val="008C3FC6"/>
    <w:rsid w:val="008D3EFA"/>
    <w:rsid w:val="008D7154"/>
    <w:rsid w:val="008E1803"/>
    <w:rsid w:val="008E4A12"/>
    <w:rsid w:val="008E4ED0"/>
    <w:rsid w:val="008F369D"/>
    <w:rsid w:val="008F536D"/>
    <w:rsid w:val="008F687B"/>
    <w:rsid w:val="00915A2B"/>
    <w:rsid w:val="00916AE3"/>
    <w:rsid w:val="00926E81"/>
    <w:rsid w:val="0093488E"/>
    <w:rsid w:val="009367CE"/>
    <w:rsid w:val="009400B0"/>
    <w:rsid w:val="00945A46"/>
    <w:rsid w:val="0095237E"/>
    <w:rsid w:val="00954652"/>
    <w:rsid w:val="009553EC"/>
    <w:rsid w:val="00956872"/>
    <w:rsid w:val="00957033"/>
    <w:rsid w:val="00962E78"/>
    <w:rsid w:val="00974336"/>
    <w:rsid w:val="009816B6"/>
    <w:rsid w:val="00992C5C"/>
    <w:rsid w:val="00993FF8"/>
    <w:rsid w:val="00995723"/>
    <w:rsid w:val="00995B08"/>
    <w:rsid w:val="009A23CC"/>
    <w:rsid w:val="009C63CD"/>
    <w:rsid w:val="009D58BF"/>
    <w:rsid w:val="009E3FD2"/>
    <w:rsid w:val="009E765C"/>
    <w:rsid w:val="009F4DB5"/>
    <w:rsid w:val="00A0511E"/>
    <w:rsid w:val="00A06F83"/>
    <w:rsid w:val="00A07804"/>
    <w:rsid w:val="00A13E77"/>
    <w:rsid w:val="00A151A4"/>
    <w:rsid w:val="00A15B55"/>
    <w:rsid w:val="00A161EC"/>
    <w:rsid w:val="00A168A6"/>
    <w:rsid w:val="00A2291C"/>
    <w:rsid w:val="00A26B45"/>
    <w:rsid w:val="00A3116C"/>
    <w:rsid w:val="00A31E1F"/>
    <w:rsid w:val="00A437AA"/>
    <w:rsid w:val="00A6152F"/>
    <w:rsid w:val="00A636CB"/>
    <w:rsid w:val="00A72941"/>
    <w:rsid w:val="00A733EA"/>
    <w:rsid w:val="00A74201"/>
    <w:rsid w:val="00A74A54"/>
    <w:rsid w:val="00A869EC"/>
    <w:rsid w:val="00A87E76"/>
    <w:rsid w:val="00A93011"/>
    <w:rsid w:val="00A961B8"/>
    <w:rsid w:val="00A97ED9"/>
    <w:rsid w:val="00AA61F2"/>
    <w:rsid w:val="00AA61FB"/>
    <w:rsid w:val="00AB0041"/>
    <w:rsid w:val="00AB15EC"/>
    <w:rsid w:val="00AB1C35"/>
    <w:rsid w:val="00AB6E0D"/>
    <w:rsid w:val="00AC3BE6"/>
    <w:rsid w:val="00AC3FBE"/>
    <w:rsid w:val="00AD1C7F"/>
    <w:rsid w:val="00AD3676"/>
    <w:rsid w:val="00AE17FA"/>
    <w:rsid w:val="00AE2713"/>
    <w:rsid w:val="00AE5BD5"/>
    <w:rsid w:val="00AE607D"/>
    <w:rsid w:val="00AE73B3"/>
    <w:rsid w:val="00B014F0"/>
    <w:rsid w:val="00B04258"/>
    <w:rsid w:val="00B04623"/>
    <w:rsid w:val="00B258CB"/>
    <w:rsid w:val="00B33536"/>
    <w:rsid w:val="00B33850"/>
    <w:rsid w:val="00B361B9"/>
    <w:rsid w:val="00B379C8"/>
    <w:rsid w:val="00B40D03"/>
    <w:rsid w:val="00B419DA"/>
    <w:rsid w:val="00B43236"/>
    <w:rsid w:val="00B528DF"/>
    <w:rsid w:val="00B61FB3"/>
    <w:rsid w:val="00B643E6"/>
    <w:rsid w:val="00B8343D"/>
    <w:rsid w:val="00B83487"/>
    <w:rsid w:val="00B848A3"/>
    <w:rsid w:val="00B87446"/>
    <w:rsid w:val="00B9685C"/>
    <w:rsid w:val="00B976BF"/>
    <w:rsid w:val="00BA0455"/>
    <w:rsid w:val="00BA5317"/>
    <w:rsid w:val="00BB0937"/>
    <w:rsid w:val="00BC2168"/>
    <w:rsid w:val="00BC3BFD"/>
    <w:rsid w:val="00BD05BB"/>
    <w:rsid w:val="00BD54F5"/>
    <w:rsid w:val="00BD7C66"/>
    <w:rsid w:val="00BE1754"/>
    <w:rsid w:val="00BE62A4"/>
    <w:rsid w:val="00BF0B06"/>
    <w:rsid w:val="00C0284E"/>
    <w:rsid w:val="00C12106"/>
    <w:rsid w:val="00C129BA"/>
    <w:rsid w:val="00C1695B"/>
    <w:rsid w:val="00C41F05"/>
    <w:rsid w:val="00C477FF"/>
    <w:rsid w:val="00C525E4"/>
    <w:rsid w:val="00C56932"/>
    <w:rsid w:val="00C62E6E"/>
    <w:rsid w:val="00C7634E"/>
    <w:rsid w:val="00C82333"/>
    <w:rsid w:val="00C83FE8"/>
    <w:rsid w:val="00C8549B"/>
    <w:rsid w:val="00C95A25"/>
    <w:rsid w:val="00C95D89"/>
    <w:rsid w:val="00C97446"/>
    <w:rsid w:val="00CA4CD0"/>
    <w:rsid w:val="00CA53D1"/>
    <w:rsid w:val="00CA5C46"/>
    <w:rsid w:val="00CB3085"/>
    <w:rsid w:val="00CB534E"/>
    <w:rsid w:val="00CC3535"/>
    <w:rsid w:val="00CD0300"/>
    <w:rsid w:val="00CD0EEA"/>
    <w:rsid w:val="00CE1A82"/>
    <w:rsid w:val="00CE2EB5"/>
    <w:rsid w:val="00CE7D05"/>
    <w:rsid w:val="00CF055C"/>
    <w:rsid w:val="00CF0927"/>
    <w:rsid w:val="00CF4B3F"/>
    <w:rsid w:val="00CF7214"/>
    <w:rsid w:val="00D073DD"/>
    <w:rsid w:val="00D10634"/>
    <w:rsid w:val="00D109BC"/>
    <w:rsid w:val="00D114E3"/>
    <w:rsid w:val="00D115C3"/>
    <w:rsid w:val="00D158A8"/>
    <w:rsid w:val="00D2208E"/>
    <w:rsid w:val="00D24799"/>
    <w:rsid w:val="00D24828"/>
    <w:rsid w:val="00D276F9"/>
    <w:rsid w:val="00D27C76"/>
    <w:rsid w:val="00D34229"/>
    <w:rsid w:val="00D40CC5"/>
    <w:rsid w:val="00D4664C"/>
    <w:rsid w:val="00D46C88"/>
    <w:rsid w:val="00D55E64"/>
    <w:rsid w:val="00D65893"/>
    <w:rsid w:val="00D70F59"/>
    <w:rsid w:val="00D77711"/>
    <w:rsid w:val="00D80CD5"/>
    <w:rsid w:val="00D82647"/>
    <w:rsid w:val="00D8367A"/>
    <w:rsid w:val="00D87D45"/>
    <w:rsid w:val="00D9548D"/>
    <w:rsid w:val="00D972E3"/>
    <w:rsid w:val="00DA40E9"/>
    <w:rsid w:val="00DA60AC"/>
    <w:rsid w:val="00DB2FE8"/>
    <w:rsid w:val="00DB7E85"/>
    <w:rsid w:val="00DC556B"/>
    <w:rsid w:val="00DC6C8D"/>
    <w:rsid w:val="00DD597B"/>
    <w:rsid w:val="00DE30A7"/>
    <w:rsid w:val="00DE6885"/>
    <w:rsid w:val="00DF00FC"/>
    <w:rsid w:val="00DF0663"/>
    <w:rsid w:val="00DF63B8"/>
    <w:rsid w:val="00DF72DC"/>
    <w:rsid w:val="00E07BF4"/>
    <w:rsid w:val="00E12F9A"/>
    <w:rsid w:val="00E149A8"/>
    <w:rsid w:val="00E15361"/>
    <w:rsid w:val="00E21594"/>
    <w:rsid w:val="00E307C8"/>
    <w:rsid w:val="00E33BA1"/>
    <w:rsid w:val="00E52E31"/>
    <w:rsid w:val="00E60F02"/>
    <w:rsid w:val="00E65830"/>
    <w:rsid w:val="00E838B4"/>
    <w:rsid w:val="00EA43A4"/>
    <w:rsid w:val="00EA5232"/>
    <w:rsid w:val="00EB6D32"/>
    <w:rsid w:val="00EC04F7"/>
    <w:rsid w:val="00EC1C75"/>
    <w:rsid w:val="00EC2BE4"/>
    <w:rsid w:val="00EC48DC"/>
    <w:rsid w:val="00EE0980"/>
    <w:rsid w:val="00EE5F01"/>
    <w:rsid w:val="00EE700F"/>
    <w:rsid w:val="00EF5C69"/>
    <w:rsid w:val="00EF6D91"/>
    <w:rsid w:val="00EF7295"/>
    <w:rsid w:val="00F11E8F"/>
    <w:rsid w:val="00F17B5E"/>
    <w:rsid w:val="00F2286E"/>
    <w:rsid w:val="00F358DF"/>
    <w:rsid w:val="00F407BC"/>
    <w:rsid w:val="00F45DB4"/>
    <w:rsid w:val="00F51115"/>
    <w:rsid w:val="00F62FA7"/>
    <w:rsid w:val="00F66D8B"/>
    <w:rsid w:val="00F705CA"/>
    <w:rsid w:val="00F71FC6"/>
    <w:rsid w:val="00F75338"/>
    <w:rsid w:val="00F7670C"/>
    <w:rsid w:val="00F77C02"/>
    <w:rsid w:val="00F81DD2"/>
    <w:rsid w:val="00F85F75"/>
    <w:rsid w:val="00F90F6F"/>
    <w:rsid w:val="00F92F01"/>
    <w:rsid w:val="00F93992"/>
    <w:rsid w:val="00F96111"/>
    <w:rsid w:val="00FA10DB"/>
    <w:rsid w:val="00FA2376"/>
    <w:rsid w:val="00FB2BDB"/>
    <w:rsid w:val="00FB3599"/>
    <w:rsid w:val="00FC095F"/>
    <w:rsid w:val="00FC0C7A"/>
    <w:rsid w:val="00FC108E"/>
    <w:rsid w:val="00FC4BE7"/>
    <w:rsid w:val="00FD5A41"/>
    <w:rsid w:val="00FE413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332C2DEB"/>
  <w15:docId w15:val="{4FB988FD-8B42-4C3E-A346-49371B64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0663"/>
    <w:pPr>
      <w:spacing w:after="160" w:line="259" w:lineRule="auto"/>
    </w:pPr>
    <w:rPr>
      <w:rFonts w:eastAsiaTheme="minorEastAsia"/>
      <w:szCs w:val="28"/>
      <w:lang w:eastAsia="zh-CN" w:bidi="th-TH"/>
    </w:rPr>
  </w:style>
  <w:style w:type="paragraph" w:styleId="Heading2">
    <w:name w:val="heading 2"/>
    <w:basedOn w:val="Normal"/>
    <w:next w:val="Normal"/>
    <w:link w:val="Heading2Char"/>
    <w:uiPriority w:val="9"/>
    <w:unhideWhenUsed/>
    <w:qFormat/>
    <w:rsid w:val="00536F6F"/>
    <w:pPr>
      <w:keepNext/>
      <w:keepLines/>
      <w:spacing w:before="200" w:after="0"/>
      <w:outlineLvl w:val="1"/>
    </w:pPr>
    <w:rPr>
      <w:rFonts w:asciiTheme="majorHAnsi" w:eastAsiaTheme="majorEastAsia" w:hAnsiTheme="majorHAnsi" w:cstheme="majorBidi"/>
      <w:b/>
      <w:bCs/>
      <w:color w:val="4F81BD" w:themeColor="accent1"/>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E4A12"/>
    <w:rPr>
      <w:sz w:val="16"/>
      <w:szCs w:val="16"/>
    </w:rPr>
  </w:style>
  <w:style w:type="paragraph" w:styleId="CommentText">
    <w:name w:val="annotation text"/>
    <w:basedOn w:val="Normal"/>
    <w:link w:val="CommentTextChar"/>
    <w:uiPriority w:val="99"/>
    <w:unhideWhenUsed/>
    <w:rsid w:val="008E4A12"/>
    <w:pPr>
      <w:spacing w:after="200" w:line="240" w:lineRule="auto"/>
    </w:pPr>
    <w:rPr>
      <w:rFonts w:eastAsiaTheme="minorHAnsi"/>
      <w:sz w:val="20"/>
      <w:szCs w:val="20"/>
      <w:lang w:eastAsia="en-US" w:bidi="ar-SA"/>
    </w:rPr>
  </w:style>
  <w:style w:type="character" w:customStyle="1" w:styleId="CommentTextChar">
    <w:name w:val="Comment Text Char"/>
    <w:basedOn w:val="DefaultParagraphFont"/>
    <w:link w:val="CommentText"/>
    <w:uiPriority w:val="99"/>
    <w:rsid w:val="008E4A12"/>
    <w:rPr>
      <w:sz w:val="20"/>
      <w:szCs w:val="20"/>
    </w:rPr>
  </w:style>
  <w:style w:type="paragraph" w:styleId="BalloonText">
    <w:name w:val="Balloon Text"/>
    <w:basedOn w:val="Normal"/>
    <w:link w:val="BalloonTextChar"/>
    <w:uiPriority w:val="99"/>
    <w:semiHidden/>
    <w:unhideWhenUsed/>
    <w:rsid w:val="008E4A12"/>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8E4A12"/>
    <w:rPr>
      <w:rFonts w:ascii="Segoe UI" w:eastAsiaTheme="minorEastAsia" w:hAnsi="Segoe UI" w:cs="Angsana New"/>
      <w:sz w:val="18"/>
      <w:lang w:eastAsia="zh-CN" w:bidi="th-TH"/>
    </w:rPr>
  </w:style>
  <w:style w:type="paragraph" w:styleId="Header">
    <w:name w:val="header"/>
    <w:basedOn w:val="Normal"/>
    <w:link w:val="HeaderChar"/>
    <w:uiPriority w:val="99"/>
    <w:unhideWhenUsed/>
    <w:rsid w:val="008E4A12"/>
    <w:pPr>
      <w:tabs>
        <w:tab w:val="center" w:pos="4513"/>
        <w:tab w:val="right" w:pos="9026"/>
      </w:tabs>
      <w:spacing w:after="0" w:line="240" w:lineRule="auto"/>
    </w:pPr>
    <w:rPr>
      <w:rFonts w:cs="Cordia New"/>
    </w:rPr>
  </w:style>
  <w:style w:type="character" w:customStyle="1" w:styleId="HeaderChar">
    <w:name w:val="Header Char"/>
    <w:basedOn w:val="DefaultParagraphFont"/>
    <w:link w:val="Header"/>
    <w:uiPriority w:val="99"/>
    <w:rsid w:val="008E4A12"/>
    <w:rPr>
      <w:rFonts w:eastAsiaTheme="minorEastAsia" w:cs="Cordia New"/>
      <w:szCs w:val="28"/>
      <w:lang w:eastAsia="zh-CN" w:bidi="th-TH"/>
    </w:rPr>
  </w:style>
  <w:style w:type="paragraph" w:styleId="Footer">
    <w:name w:val="footer"/>
    <w:basedOn w:val="Normal"/>
    <w:link w:val="FooterChar"/>
    <w:uiPriority w:val="99"/>
    <w:unhideWhenUsed/>
    <w:rsid w:val="008E4A12"/>
    <w:pPr>
      <w:tabs>
        <w:tab w:val="center" w:pos="4513"/>
        <w:tab w:val="right" w:pos="9026"/>
      </w:tabs>
      <w:spacing w:after="0" w:line="240" w:lineRule="auto"/>
    </w:pPr>
    <w:rPr>
      <w:rFonts w:cs="Cordia New"/>
    </w:rPr>
  </w:style>
  <w:style w:type="character" w:customStyle="1" w:styleId="FooterChar">
    <w:name w:val="Footer Char"/>
    <w:basedOn w:val="DefaultParagraphFont"/>
    <w:link w:val="Footer"/>
    <w:uiPriority w:val="99"/>
    <w:rsid w:val="008E4A12"/>
    <w:rPr>
      <w:rFonts w:eastAsiaTheme="minorEastAsia" w:cs="Cordia New"/>
      <w:szCs w:val="28"/>
      <w:lang w:eastAsia="zh-CN" w:bidi="th-TH"/>
    </w:rPr>
  </w:style>
  <w:style w:type="table" w:styleId="TableGrid">
    <w:name w:val="Table Grid"/>
    <w:basedOn w:val="TableNormal"/>
    <w:uiPriority w:val="59"/>
    <w:rsid w:val="00737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6F17"/>
    <w:pPr>
      <w:ind w:left="720"/>
      <w:contextualSpacing/>
    </w:pPr>
    <w:rPr>
      <w:rFonts w:cs="Cordia New"/>
    </w:rPr>
  </w:style>
  <w:style w:type="paragraph" w:styleId="CommentSubject">
    <w:name w:val="annotation subject"/>
    <w:basedOn w:val="CommentText"/>
    <w:next w:val="CommentText"/>
    <w:link w:val="CommentSubjectChar"/>
    <w:uiPriority w:val="99"/>
    <w:semiHidden/>
    <w:unhideWhenUsed/>
    <w:rsid w:val="00C41F05"/>
    <w:pPr>
      <w:spacing w:after="160"/>
    </w:pPr>
    <w:rPr>
      <w:rFonts w:eastAsiaTheme="minorEastAsia" w:cs="Cordia New"/>
      <w:b/>
      <w:bCs/>
      <w:szCs w:val="25"/>
      <w:lang w:eastAsia="zh-CN" w:bidi="th-TH"/>
    </w:rPr>
  </w:style>
  <w:style w:type="character" w:customStyle="1" w:styleId="CommentSubjectChar">
    <w:name w:val="Comment Subject Char"/>
    <w:basedOn w:val="CommentTextChar"/>
    <w:link w:val="CommentSubject"/>
    <w:uiPriority w:val="99"/>
    <w:semiHidden/>
    <w:rsid w:val="00C41F05"/>
    <w:rPr>
      <w:rFonts w:eastAsiaTheme="minorEastAsia" w:cs="Cordia New"/>
      <w:b/>
      <w:bCs/>
      <w:sz w:val="20"/>
      <w:szCs w:val="25"/>
      <w:lang w:eastAsia="zh-CN" w:bidi="th-TH"/>
    </w:rPr>
  </w:style>
  <w:style w:type="character" w:customStyle="1" w:styleId="Heading2Char">
    <w:name w:val="Heading 2 Char"/>
    <w:basedOn w:val="DefaultParagraphFont"/>
    <w:link w:val="Heading2"/>
    <w:uiPriority w:val="9"/>
    <w:rsid w:val="00536F6F"/>
    <w:rPr>
      <w:rFonts w:asciiTheme="majorHAnsi" w:eastAsiaTheme="majorEastAsia" w:hAnsiTheme="majorHAnsi" w:cstheme="majorBidi"/>
      <w:b/>
      <w:bCs/>
      <w:color w:val="4F81BD" w:themeColor="accent1"/>
      <w:sz w:val="26"/>
      <w:szCs w:val="33"/>
      <w:lang w:eastAsia="zh-CN" w:bidi="th-TH"/>
    </w:rPr>
  </w:style>
  <w:style w:type="character" w:customStyle="1" w:styleId="zmsearchresult">
    <w:name w:val="zmsearchresult"/>
    <w:basedOn w:val="DefaultParagraphFont"/>
    <w:rsid w:val="00536F6F"/>
  </w:style>
  <w:style w:type="paragraph" w:styleId="NormalWeb">
    <w:name w:val="Normal (Web)"/>
    <w:basedOn w:val="Normal"/>
    <w:uiPriority w:val="99"/>
    <w:semiHidden/>
    <w:unhideWhenUsed/>
    <w:rsid w:val="00536F6F"/>
    <w:pPr>
      <w:spacing w:before="100" w:beforeAutospacing="1" w:after="100" w:afterAutospacing="1" w:line="240" w:lineRule="auto"/>
    </w:pPr>
    <w:rPr>
      <w:rFonts w:ascii="Times New Roman" w:eastAsia="Times New Roman" w:hAnsi="Times New Roman" w:cs="Times New Roman"/>
      <w:sz w:val="24"/>
      <w:szCs w:val="24"/>
      <w:lang w:eastAsia="en-AU" w:bidi="ar-SA"/>
    </w:rPr>
  </w:style>
  <w:style w:type="character" w:styleId="Hyperlink">
    <w:name w:val="Hyperlink"/>
    <w:basedOn w:val="DefaultParagraphFont"/>
    <w:uiPriority w:val="99"/>
    <w:unhideWhenUsed/>
    <w:rsid w:val="008B3883"/>
    <w:rPr>
      <w:color w:val="0000FF" w:themeColor="hyperlink"/>
      <w:u w:val="single"/>
    </w:rPr>
  </w:style>
  <w:style w:type="character" w:customStyle="1" w:styleId="id-label">
    <w:name w:val="id-label"/>
    <w:basedOn w:val="DefaultParagraphFont"/>
    <w:rsid w:val="00A72941"/>
  </w:style>
  <w:style w:type="character" w:styleId="Strong">
    <w:name w:val="Strong"/>
    <w:basedOn w:val="DefaultParagraphFont"/>
    <w:uiPriority w:val="22"/>
    <w:qFormat/>
    <w:rsid w:val="00A72941"/>
    <w:rPr>
      <w:b/>
      <w:bCs/>
    </w:rPr>
  </w:style>
  <w:style w:type="paragraph" w:styleId="Subtitle">
    <w:name w:val="Subtitle"/>
    <w:basedOn w:val="Normal"/>
    <w:next w:val="Normal"/>
    <w:link w:val="SubtitleChar"/>
    <w:uiPriority w:val="11"/>
    <w:qFormat/>
    <w:rsid w:val="00490306"/>
    <w:pPr>
      <w:keepNext/>
      <w:keepLines/>
      <w:spacing w:after="320" w:line="276" w:lineRule="auto"/>
    </w:pPr>
    <w:rPr>
      <w:rFonts w:ascii="Arial" w:eastAsia="Arial" w:hAnsi="Arial" w:cs="Arial"/>
      <w:color w:val="666666"/>
      <w:sz w:val="30"/>
      <w:szCs w:val="30"/>
      <w:lang w:val="en" w:eastAsia="en-US" w:bidi="ar-SA"/>
    </w:rPr>
  </w:style>
  <w:style w:type="character" w:customStyle="1" w:styleId="SubtitleChar">
    <w:name w:val="Subtitle Char"/>
    <w:basedOn w:val="DefaultParagraphFont"/>
    <w:link w:val="Subtitle"/>
    <w:uiPriority w:val="11"/>
    <w:rsid w:val="00490306"/>
    <w:rPr>
      <w:rFonts w:ascii="Arial" w:eastAsia="Arial" w:hAnsi="Arial" w:cs="Arial"/>
      <w:color w:val="666666"/>
      <w:sz w:val="30"/>
      <w:szCs w:val="30"/>
      <w:lang w:val="en"/>
    </w:rPr>
  </w:style>
  <w:style w:type="paragraph" w:customStyle="1" w:styleId="EndNoteBibliographyTitle">
    <w:name w:val="EndNote Bibliography Title"/>
    <w:basedOn w:val="Normal"/>
    <w:link w:val="EndNoteBibliographyTitleChar"/>
    <w:rsid w:val="00FA10D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A10DB"/>
    <w:rPr>
      <w:rFonts w:ascii="Calibri" w:eastAsiaTheme="minorEastAsia" w:hAnsi="Calibri" w:cs="Calibri"/>
      <w:noProof/>
      <w:szCs w:val="28"/>
      <w:lang w:eastAsia="zh-CN" w:bidi="th-TH"/>
    </w:rPr>
  </w:style>
  <w:style w:type="paragraph" w:customStyle="1" w:styleId="EndNoteBibliography">
    <w:name w:val="EndNote Bibliography"/>
    <w:basedOn w:val="Normal"/>
    <w:link w:val="EndNoteBibliographyChar"/>
    <w:rsid w:val="00FA10D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A10DB"/>
    <w:rPr>
      <w:rFonts w:ascii="Calibri" w:eastAsiaTheme="minorEastAsia" w:hAnsi="Calibri" w:cs="Calibri"/>
      <w:noProof/>
      <w:szCs w:val="28"/>
      <w:lang w:eastAsia="zh-CN" w:bidi="th-TH"/>
    </w:rPr>
  </w:style>
  <w:style w:type="character" w:styleId="Emphasis">
    <w:name w:val="Emphasis"/>
    <w:basedOn w:val="DefaultParagraphFont"/>
    <w:uiPriority w:val="20"/>
    <w:qFormat/>
    <w:rsid w:val="00443C9E"/>
    <w:rPr>
      <w:i/>
      <w:iCs/>
    </w:rPr>
  </w:style>
  <w:style w:type="character" w:customStyle="1" w:styleId="hgkelc">
    <w:name w:val="hgkelc"/>
    <w:basedOn w:val="DefaultParagraphFont"/>
    <w:rsid w:val="00443C9E"/>
  </w:style>
  <w:style w:type="paragraph" w:styleId="Revision">
    <w:name w:val="Revision"/>
    <w:hidden/>
    <w:uiPriority w:val="99"/>
    <w:semiHidden/>
    <w:rsid w:val="00381EF3"/>
    <w:pPr>
      <w:spacing w:after="0" w:line="240" w:lineRule="auto"/>
    </w:pPr>
    <w:rPr>
      <w:rFonts w:eastAsiaTheme="minorEastAsia" w:cs="Cordia New"/>
      <w:szCs w:val="28"/>
      <w:lang w:eastAsia="zh-CN" w:bidi="th-TH"/>
    </w:rPr>
  </w:style>
  <w:style w:type="character" w:customStyle="1" w:styleId="object">
    <w:name w:val="object"/>
    <w:basedOn w:val="DefaultParagraphFont"/>
    <w:rsid w:val="00381EF3"/>
  </w:style>
  <w:style w:type="paragraph" w:customStyle="1" w:styleId="Default">
    <w:name w:val="Default"/>
    <w:rsid w:val="00CB308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captions">
    <w:name w:val="captions"/>
    <w:basedOn w:val="DefaultParagraphFont"/>
    <w:rsid w:val="00E07BF4"/>
  </w:style>
  <w:style w:type="character" w:styleId="FollowedHyperlink">
    <w:name w:val="FollowedHyperlink"/>
    <w:basedOn w:val="DefaultParagraphFont"/>
    <w:uiPriority w:val="99"/>
    <w:semiHidden/>
    <w:unhideWhenUsed/>
    <w:rsid w:val="005321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1034">
      <w:bodyDiv w:val="1"/>
      <w:marLeft w:val="0"/>
      <w:marRight w:val="0"/>
      <w:marTop w:val="0"/>
      <w:marBottom w:val="0"/>
      <w:divBdr>
        <w:top w:val="none" w:sz="0" w:space="0" w:color="auto"/>
        <w:left w:val="none" w:sz="0" w:space="0" w:color="auto"/>
        <w:bottom w:val="none" w:sz="0" w:space="0" w:color="auto"/>
        <w:right w:val="none" w:sz="0" w:space="0" w:color="auto"/>
      </w:divBdr>
    </w:div>
    <w:div w:id="98917854">
      <w:bodyDiv w:val="1"/>
      <w:marLeft w:val="0"/>
      <w:marRight w:val="0"/>
      <w:marTop w:val="0"/>
      <w:marBottom w:val="0"/>
      <w:divBdr>
        <w:top w:val="none" w:sz="0" w:space="0" w:color="auto"/>
        <w:left w:val="none" w:sz="0" w:space="0" w:color="auto"/>
        <w:bottom w:val="none" w:sz="0" w:space="0" w:color="auto"/>
        <w:right w:val="none" w:sz="0" w:space="0" w:color="auto"/>
      </w:divBdr>
    </w:div>
    <w:div w:id="157576252">
      <w:bodyDiv w:val="1"/>
      <w:marLeft w:val="0"/>
      <w:marRight w:val="0"/>
      <w:marTop w:val="0"/>
      <w:marBottom w:val="0"/>
      <w:divBdr>
        <w:top w:val="none" w:sz="0" w:space="0" w:color="auto"/>
        <w:left w:val="none" w:sz="0" w:space="0" w:color="auto"/>
        <w:bottom w:val="none" w:sz="0" w:space="0" w:color="auto"/>
        <w:right w:val="none" w:sz="0" w:space="0" w:color="auto"/>
      </w:divBdr>
    </w:div>
    <w:div w:id="221714411">
      <w:bodyDiv w:val="1"/>
      <w:marLeft w:val="0"/>
      <w:marRight w:val="0"/>
      <w:marTop w:val="0"/>
      <w:marBottom w:val="0"/>
      <w:divBdr>
        <w:top w:val="none" w:sz="0" w:space="0" w:color="auto"/>
        <w:left w:val="none" w:sz="0" w:space="0" w:color="auto"/>
        <w:bottom w:val="none" w:sz="0" w:space="0" w:color="auto"/>
        <w:right w:val="none" w:sz="0" w:space="0" w:color="auto"/>
      </w:divBdr>
    </w:div>
    <w:div w:id="317417167">
      <w:bodyDiv w:val="1"/>
      <w:marLeft w:val="0"/>
      <w:marRight w:val="0"/>
      <w:marTop w:val="0"/>
      <w:marBottom w:val="0"/>
      <w:divBdr>
        <w:top w:val="none" w:sz="0" w:space="0" w:color="auto"/>
        <w:left w:val="none" w:sz="0" w:space="0" w:color="auto"/>
        <w:bottom w:val="none" w:sz="0" w:space="0" w:color="auto"/>
        <w:right w:val="none" w:sz="0" w:space="0" w:color="auto"/>
      </w:divBdr>
    </w:div>
    <w:div w:id="523255098">
      <w:bodyDiv w:val="1"/>
      <w:marLeft w:val="0"/>
      <w:marRight w:val="0"/>
      <w:marTop w:val="0"/>
      <w:marBottom w:val="0"/>
      <w:divBdr>
        <w:top w:val="none" w:sz="0" w:space="0" w:color="auto"/>
        <w:left w:val="none" w:sz="0" w:space="0" w:color="auto"/>
        <w:bottom w:val="none" w:sz="0" w:space="0" w:color="auto"/>
        <w:right w:val="none" w:sz="0" w:space="0" w:color="auto"/>
      </w:divBdr>
    </w:div>
    <w:div w:id="524906333">
      <w:bodyDiv w:val="1"/>
      <w:marLeft w:val="0"/>
      <w:marRight w:val="0"/>
      <w:marTop w:val="0"/>
      <w:marBottom w:val="0"/>
      <w:divBdr>
        <w:top w:val="none" w:sz="0" w:space="0" w:color="auto"/>
        <w:left w:val="none" w:sz="0" w:space="0" w:color="auto"/>
        <w:bottom w:val="none" w:sz="0" w:space="0" w:color="auto"/>
        <w:right w:val="none" w:sz="0" w:space="0" w:color="auto"/>
      </w:divBdr>
    </w:div>
    <w:div w:id="557909390">
      <w:bodyDiv w:val="1"/>
      <w:marLeft w:val="0"/>
      <w:marRight w:val="0"/>
      <w:marTop w:val="0"/>
      <w:marBottom w:val="0"/>
      <w:divBdr>
        <w:top w:val="none" w:sz="0" w:space="0" w:color="auto"/>
        <w:left w:val="none" w:sz="0" w:space="0" w:color="auto"/>
        <w:bottom w:val="none" w:sz="0" w:space="0" w:color="auto"/>
        <w:right w:val="none" w:sz="0" w:space="0" w:color="auto"/>
      </w:divBdr>
    </w:div>
    <w:div w:id="739599566">
      <w:bodyDiv w:val="1"/>
      <w:marLeft w:val="0"/>
      <w:marRight w:val="0"/>
      <w:marTop w:val="0"/>
      <w:marBottom w:val="0"/>
      <w:divBdr>
        <w:top w:val="none" w:sz="0" w:space="0" w:color="auto"/>
        <w:left w:val="none" w:sz="0" w:space="0" w:color="auto"/>
        <w:bottom w:val="none" w:sz="0" w:space="0" w:color="auto"/>
        <w:right w:val="none" w:sz="0" w:space="0" w:color="auto"/>
      </w:divBdr>
    </w:div>
    <w:div w:id="802891899">
      <w:bodyDiv w:val="1"/>
      <w:marLeft w:val="0"/>
      <w:marRight w:val="0"/>
      <w:marTop w:val="0"/>
      <w:marBottom w:val="0"/>
      <w:divBdr>
        <w:top w:val="none" w:sz="0" w:space="0" w:color="auto"/>
        <w:left w:val="none" w:sz="0" w:space="0" w:color="auto"/>
        <w:bottom w:val="none" w:sz="0" w:space="0" w:color="auto"/>
        <w:right w:val="none" w:sz="0" w:space="0" w:color="auto"/>
      </w:divBdr>
    </w:div>
    <w:div w:id="861477520">
      <w:bodyDiv w:val="1"/>
      <w:marLeft w:val="0"/>
      <w:marRight w:val="0"/>
      <w:marTop w:val="0"/>
      <w:marBottom w:val="0"/>
      <w:divBdr>
        <w:top w:val="none" w:sz="0" w:space="0" w:color="auto"/>
        <w:left w:val="none" w:sz="0" w:space="0" w:color="auto"/>
        <w:bottom w:val="none" w:sz="0" w:space="0" w:color="auto"/>
        <w:right w:val="none" w:sz="0" w:space="0" w:color="auto"/>
      </w:divBdr>
    </w:div>
    <w:div w:id="915744600">
      <w:bodyDiv w:val="1"/>
      <w:marLeft w:val="0"/>
      <w:marRight w:val="0"/>
      <w:marTop w:val="0"/>
      <w:marBottom w:val="0"/>
      <w:divBdr>
        <w:top w:val="none" w:sz="0" w:space="0" w:color="auto"/>
        <w:left w:val="none" w:sz="0" w:space="0" w:color="auto"/>
        <w:bottom w:val="none" w:sz="0" w:space="0" w:color="auto"/>
        <w:right w:val="none" w:sz="0" w:space="0" w:color="auto"/>
      </w:divBdr>
    </w:div>
    <w:div w:id="1059938653">
      <w:bodyDiv w:val="1"/>
      <w:marLeft w:val="0"/>
      <w:marRight w:val="0"/>
      <w:marTop w:val="0"/>
      <w:marBottom w:val="0"/>
      <w:divBdr>
        <w:top w:val="none" w:sz="0" w:space="0" w:color="auto"/>
        <w:left w:val="none" w:sz="0" w:space="0" w:color="auto"/>
        <w:bottom w:val="none" w:sz="0" w:space="0" w:color="auto"/>
        <w:right w:val="none" w:sz="0" w:space="0" w:color="auto"/>
      </w:divBdr>
    </w:div>
    <w:div w:id="1097873583">
      <w:bodyDiv w:val="1"/>
      <w:marLeft w:val="0"/>
      <w:marRight w:val="0"/>
      <w:marTop w:val="0"/>
      <w:marBottom w:val="0"/>
      <w:divBdr>
        <w:top w:val="none" w:sz="0" w:space="0" w:color="auto"/>
        <w:left w:val="none" w:sz="0" w:space="0" w:color="auto"/>
        <w:bottom w:val="none" w:sz="0" w:space="0" w:color="auto"/>
        <w:right w:val="none" w:sz="0" w:space="0" w:color="auto"/>
      </w:divBdr>
    </w:div>
    <w:div w:id="1097943616">
      <w:bodyDiv w:val="1"/>
      <w:marLeft w:val="0"/>
      <w:marRight w:val="0"/>
      <w:marTop w:val="0"/>
      <w:marBottom w:val="0"/>
      <w:divBdr>
        <w:top w:val="none" w:sz="0" w:space="0" w:color="auto"/>
        <w:left w:val="none" w:sz="0" w:space="0" w:color="auto"/>
        <w:bottom w:val="none" w:sz="0" w:space="0" w:color="auto"/>
        <w:right w:val="none" w:sz="0" w:space="0" w:color="auto"/>
      </w:divBdr>
    </w:div>
    <w:div w:id="1614628066">
      <w:bodyDiv w:val="1"/>
      <w:marLeft w:val="0"/>
      <w:marRight w:val="0"/>
      <w:marTop w:val="0"/>
      <w:marBottom w:val="0"/>
      <w:divBdr>
        <w:top w:val="none" w:sz="0" w:space="0" w:color="auto"/>
        <w:left w:val="none" w:sz="0" w:space="0" w:color="auto"/>
        <w:bottom w:val="none" w:sz="0" w:space="0" w:color="auto"/>
        <w:right w:val="none" w:sz="0" w:space="0" w:color="auto"/>
      </w:divBdr>
    </w:div>
    <w:div w:id="1655067612">
      <w:bodyDiv w:val="1"/>
      <w:marLeft w:val="0"/>
      <w:marRight w:val="0"/>
      <w:marTop w:val="0"/>
      <w:marBottom w:val="0"/>
      <w:divBdr>
        <w:top w:val="none" w:sz="0" w:space="0" w:color="auto"/>
        <w:left w:val="none" w:sz="0" w:space="0" w:color="auto"/>
        <w:bottom w:val="none" w:sz="0" w:space="0" w:color="auto"/>
        <w:right w:val="none" w:sz="0" w:space="0" w:color="auto"/>
      </w:divBdr>
    </w:div>
    <w:div w:id="1662611571">
      <w:bodyDiv w:val="1"/>
      <w:marLeft w:val="0"/>
      <w:marRight w:val="0"/>
      <w:marTop w:val="0"/>
      <w:marBottom w:val="0"/>
      <w:divBdr>
        <w:top w:val="none" w:sz="0" w:space="0" w:color="auto"/>
        <w:left w:val="none" w:sz="0" w:space="0" w:color="auto"/>
        <w:bottom w:val="none" w:sz="0" w:space="0" w:color="auto"/>
        <w:right w:val="none" w:sz="0" w:space="0" w:color="auto"/>
      </w:divBdr>
    </w:div>
    <w:div w:id="1743287845">
      <w:bodyDiv w:val="1"/>
      <w:marLeft w:val="0"/>
      <w:marRight w:val="0"/>
      <w:marTop w:val="0"/>
      <w:marBottom w:val="0"/>
      <w:divBdr>
        <w:top w:val="none" w:sz="0" w:space="0" w:color="auto"/>
        <w:left w:val="none" w:sz="0" w:space="0" w:color="auto"/>
        <w:bottom w:val="none" w:sz="0" w:space="0" w:color="auto"/>
        <w:right w:val="none" w:sz="0" w:space="0" w:color="auto"/>
      </w:divBdr>
    </w:div>
    <w:div w:id="1766346476">
      <w:bodyDiv w:val="1"/>
      <w:marLeft w:val="0"/>
      <w:marRight w:val="0"/>
      <w:marTop w:val="0"/>
      <w:marBottom w:val="0"/>
      <w:divBdr>
        <w:top w:val="none" w:sz="0" w:space="0" w:color="auto"/>
        <w:left w:val="none" w:sz="0" w:space="0" w:color="auto"/>
        <w:bottom w:val="none" w:sz="0" w:space="0" w:color="auto"/>
        <w:right w:val="none" w:sz="0" w:space="0" w:color="auto"/>
      </w:divBdr>
      <w:divsChild>
        <w:div w:id="400520470">
          <w:marLeft w:val="0"/>
          <w:marRight w:val="0"/>
          <w:marTop w:val="0"/>
          <w:marBottom w:val="0"/>
          <w:divBdr>
            <w:top w:val="none" w:sz="0" w:space="0" w:color="auto"/>
            <w:left w:val="none" w:sz="0" w:space="0" w:color="auto"/>
            <w:bottom w:val="none" w:sz="0" w:space="0" w:color="auto"/>
            <w:right w:val="none" w:sz="0" w:space="0" w:color="auto"/>
          </w:divBdr>
        </w:div>
        <w:div w:id="440734076">
          <w:marLeft w:val="0"/>
          <w:marRight w:val="0"/>
          <w:marTop w:val="0"/>
          <w:marBottom w:val="0"/>
          <w:divBdr>
            <w:top w:val="none" w:sz="0" w:space="0" w:color="auto"/>
            <w:left w:val="none" w:sz="0" w:space="0" w:color="auto"/>
            <w:bottom w:val="none" w:sz="0" w:space="0" w:color="auto"/>
            <w:right w:val="none" w:sz="0" w:space="0" w:color="auto"/>
          </w:divBdr>
        </w:div>
        <w:div w:id="1128627089">
          <w:marLeft w:val="0"/>
          <w:marRight w:val="0"/>
          <w:marTop w:val="0"/>
          <w:marBottom w:val="0"/>
          <w:divBdr>
            <w:top w:val="none" w:sz="0" w:space="0" w:color="auto"/>
            <w:left w:val="none" w:sz="0" w:space="0" w:color="auto"/>
            <w:bottom w:val="none" w:sz="0" w:space="0" w:color="auto"/>
            <w:right w:val="none" w:sz="0" w:space="0" w:color="auto"/>
          </w:divBdr>
        </w:div>
        <w:div w:id="1829664700">
          <w:marLeft w:val="0"/>
          <w:marRight w:val="0"/>
          <w:marTop w:val="0"/>
          <w:marBottom w:val="0"/>
          <w:divBdr>
            <w:top w:val="none" w:sz="0" w:space="0" w:color="auto"/>
            <w:left w:val="none" w:sz="0" w:space="0" w:color="auto"/>
            <w:bottom w:val="none" w:sz="0" w:space="0" w:color="auto"/>
            <w:right w:val="none" w:sz="0" w:space="0" w:color="auto"/>
          </w:divBdr>
        </w:div>
        <w:div w:id="1896043765">
          <w:marLeft w:val="0"/>
          <w:marRight w:val="0"/>
          <w:marTop w:val="0"/>
          <w:marBottom w:val="0"/>
          <w:divBdr>
            <w:top w:val="none" w:sz="0" w:space="0" w:color="auto"/>
            <w:left w:val="none" w:sz="0" w:space="0" w:color="auto"/>
            <w:bottom w:val="none" w:sz="0" w:space="0" w:color="auto"/>
            <w:right w:val="none" w:sz="0" w:space="0" w:color="auto"/>
          </w:divBdr>
        </w:div>
      </w:divsChild>
    </w:div>
    <w:div w:id="1767194457">
      <w:bodyDiv w:val="1"/>
      <w:marLeft w:val="0"/>
      <w:marRight w:val="0"/>
      <w:marTop w:val="0"/>
      <w:marBottom w:val="0"/>
      <w:divBdr>
        <w:top w:val="none" w:sz="0" w:space="0" w:color="auto"/>
        <w:left w:val="none" w:sz="0" w:space="0" w:color="auto"/>
        <w:bottom w:val="none" w:sz="0" w:space="0" w:color="auto"/>
        <w:right w:val="none" w:sz="0" w:space="0" w:color="auto"/>
      </w:divBdr>
    </w:div>
    <w:div w:id="1896234810">
      <w:bodyDiv w:val="1"/>
      <w:marLeft w:val="0"/>
      <w:marRight w:val="0"/>
      <w:marTop w:val="0"/>
      <w:marBottom w:val="0"/>
      <w:divBdr>
        <w:top w:val="none" w:sz="0" w:space="0" w:color="auto"/>
        <w:left w:val="none" w:sz="0" w:space="0" w:color="auto"/>
        <w:bottom w:val="none" w:sz="0" w:space="0" w:color="auto"/>
        <w:right w:val="none" w:sz="0" w:space="0" w:color="auto"/>
      </w:divBdr>
      <w:divsChild>
        <w:div w:id="9380247">
          <w:marLeft w:val="0"/>
          <w:marRight w:val="0"/>
          <w:marTop w:val="0"/>
          <w:marBottom w:val="0"/>
          <w:divBdr>
            <w:top w:val="none" w:sz="0" w:space="0" w:color="auto"/>
            <w:left w:val="none" w:sz="0" w:space="0" w:color="auto"/>
            <w:bottom w:val="none" w:sz="0" w:space="0" w:color="auto"/>
            <w:right w:val="none" w:sz="0" w:space="0" w:color="auto"/>
          </w:divBdr>
        </w:div>
        <w:div w:id="62146071">
          <w:marLeft w:val="0"/>
          <w:marRight w:val="0"/>
          <w:marTop w:val="0"/>
          <w:marBottom w:val="0"/>
          <w:divBdr>
            <w:top w:val="none" w:sz="0" w:space="0" w:color="auto"/>
            <w:left w:val="none" w:sz="0" w:space="0" w:color="auto"/>
            <w:bottom w:val="none" w:sz="0" w:space="0" w:color="auto"/>
            <w:right w:val="none" w:sz="0" w:space="0" w:color="auto"/>
          </w:divBdr>
        </w:div>
        <w:div w:id="661085236">
          <w:marLeft w:val="0"/>
          <w:marRight w:val="0"/>
          <w:marTop w:val="0"/>
          <w:marBottom w:val="0"/>
          <w:divBdr>
            <w:top w:val="none" w:sz="0" w:space="0" w:color="auto"/>
            <w:left w:val="none" w:sz="0" w:space="0" w:color="auto"/>
            <w:bottom w:val="none" w:sz="0" w:space="0" w:color="auto"/>
            <w:right w:val="none" w:sz="0" w:space="0" w:color="auto"/>
          </w:divBdr>
        </w:div>
        <w:div w:id="1542477403">
          <w:marLeft w:val="0"/>
          <w:marRight w:val="0"/>
          <w:marTop w:val="0"/>
          <w:marBottom w:val="0"/>
          <w:divBdr>
            <w:top w:val="none" w:sz="0" w:space="0" w:color="auto"/>
            <w:left w:val="none" w:sz="0" w:space="0" w:color="auto"/>
            <w:bottom w:val="none" w:sz="0" w:space="0" w:color="auto"/>
            <w:right w:val="none" w:sz="0" w:space="0" w:color="auto"/>
          </w:divBdr>
        </w:div>
        <w:div w:id="1680429748">
          <w:marLeft w:val="0"/>
          <w:marRight w:val="0"/>
          <w:marTop w:val="0"/>
          <w:marBottom w:val="0"/>
          <w:divBdr>
            <w:top w:val="none" w:sz="0" w:space="0" w:color="auto"/>
            <w:left w:val="none" w:sz="0" w:space="0" w:color="auto"/>
            <w:bottom w:val="none" w:sz="0" w:space="0" w:color="auto"/>
            <w:right w:val="none" w:sz="0" w:space="0" w:color="auto"/>
          </w:divBdr>
        </w:div>
      </w:divsChild>
    </w:div>
    <w:div w:id="1933782427">
      <w:bodyDiv w:val="1"/>
      <w:marLeft w:val="0"/>
      <w:marRight w:val="0"/>
      <w:marTop w:val="0"/>
      <w:marBottom w:val="0"/>
      <w:divBdr>
        <w:top w:val="none" w:sz="0" w:space="0" w:color="auto"/>
        <w:left w:val="none" w:sz="0" w:space="0" w:color="auto"/>
        <w:bottom w:val="none" w:sz="0" w:space="0" w:color="auto"/>
        <w:right w:val="none" w:sz="0" w:space="0" w:color="auto"/>
      </w:divBdr>
    </w:div>
    <w:div w:id="2014381103">
      <w:bodyDiv w:val="1"/>
      <w:marLeft w:val="0"/>
      <w:marRight w:val="0"/>
      <w:marTop w:val="0"/>
      <w:marBottom w:val="0"/>
      <w:divBdr>
        <w:top w:val="none" w:sz="0" w:space="0" w:color="auto"/>
        <w:left w:val="none" w:sz="0" w:space="0" w:color="auto"/>
        <w:bottom w:val="none" w:sz="0" w:space="0" w:color="auto"/>
        <w:right w:val="none" w:sz="0" w:space="0" w:color="auto"/>
      </w:divBdr>
      <w:divsChild>
        <w:div w:id="893124680">
          <w:marLeft w:val="0"/>
          <w:marRight w:val="0"/>
          <w:marTop w:val="0"/>
          <w:marBottom w:val="0"/>
          <w:divBdr>
            <w:top w:val="none" w:sz="0" w:space="0" w:color="auto"/>
            <w:left w:val="none" w:sz="0" w:space="0" w:color="auto"/>
            <w:bottom w:val="none" w:sz="0" w:space="0" w:color="auto"/>
            <w:right w:val="none" w:sz="0" w:space="0" w:color="auto"/>
          </w:divBdr>
        </w:div>
        <w:div w:id="958994733">
          <w:marLeft w:val="0"/>
          <w:marRight w:val="0"/>
          <w:marTop w:val="0"/>
          <w:marBottom w:val="0"/>
          <w:divBdr>
            <w:top w:val="none" w:sz="0" w:space="0" w:color="auto"/>
            <w:left w:val="none" w:sz="0" w:space="0" w:color="auto"/>
            <w:bottom w:val="none" w:sz="0" w:space="0" w:color="auto"/>
            <w:right w:val="none" w:sz="0" w:space="0" w:color="auto"/>
          </w:divBdr>
        </w:div>
        <w:div w:id="1099375618">
          <w:marLeft w:val="0"/>
          <w:marRight w:val="0"/>
          <w:marTop w:val="0"/>
          <w:marBottom w:val="0"/>
          <w:divBdr>
            <w:top w:val="none" w:sz="0" w:space="0" w:color="auto"/>
            <w:left w:val="none" w:sz="0" w:space="0" w:color="auto"/>
            <w:bottom w:val="none" w:sz="0" w:space="0" w:color="auto"/>
            <w:right w:val="none" w:sz="0" w:space="0" w:color="auto"/>
          </w:divBdr>
        </w:div>
        <w:div w:id="1118765976">
          <w:marLeft w:val="0"/>
          <w:marRight w:val="0"/>
          <w:marTop w:val="0"/>
          <w:marBottom w:val="0"/>
          <w:divBdr>
            <w:top w:val="none" w:sz="0" w:space="0" w:color="auto"/>
            <w:left w:val="none" w:sz="0" w:space="0" w:color="auto"/>
            <w:bottom w:val="none" w:sz="0" w:space="0" w:color="auto"/>
            <w:right w:val="none" w:sz="0" w:space="0" w:color="auto"/>
          </w:divBdr>
        </w:div>
        <w:div w:id="1183282079">
          <w:marLeft w:val="0"/>
          <w:marRight w:val="0"/>
          <w:marTop w:val="0"/>
          <w:marBottom w:val="0"/>
          <w:divBdr>
            <w:top w:val="none" w:sz="0" w:space="0" w:color="auto"/>
            <w:left w:val="none" w:sz="0" w:space="0" w:color="auto"/>
            <w:bottom w:val="none" w:sz="0" w:space="0" w:color="auto"/>
            <w:right w:val="none" w:sz="0" w:space="0" w:color="auto"/>
          </w:divBdr>
        </w:div>
        <w:div w:id="1243027037">
          <w:marLeft w:val="0"/>
          <w:marRight w:val="0"/>
          <w:marTop w:val="0"/>
          <w:marBottom w:val="0"/>
          <w:divBdr>
            <w:top w:val="none" w:sz="0" w:space="0" w:color="auto"/>
            <w:left w:val="none" w:sz="0" w:space="0" w:color="auto"/>
            <w:bottom w:val="none" w:sz="0" w:space="0" w:color="auto"/>
            <w:right w:val="none" w:sz="0" w:space="0" w:color="auto"/>
          </w:divBdr>
        </w:div>
        <w:div w:id="1683896003">
          <w:marLeft w:val="0"/>
          <w:marRight w:val="0"/>
          <w:marTop w:val="0"/>
          <w:marBottom w:val="0"/>
          <w:divBdr>
            <w:top w:val="none" w:sz="0" w:space="0" w:color="auto"/>
            <w:left w:val="none" w:sz="0" w:space="0" w:color="auto"/>
            <w:bottom w:val="none" w:sz="0" w:space="0" w:color="auto"/>
            <w:right w:val="none" w:sz="0" w:space="0" w:color="auto"/>
          </w:divBdr>
        </w:div>
        <w:div w:id="1716928718">
          <w:marLeft w:val="0"/>
          <w:marRight w:val="0"/>
          <w:marTop w:val="0"/>
          <w:marBottom w:val="0"/>
          <w:divBdr>
            <w:top w:val="none" w:sz="0" w:space="0" w:color="auto"/>
            <w:left w:val="none" w:sz="0" w:space="0" w:color="auto"/>
            <w:bottom w:val="none" w:sz="0" w:space="0" w:color="auto"/>
            <w:right w:val="none" w:sz="0" w:space="0" w:color="auto"/>
          </w:divBdr>
        </w:div>
        <w:div w:id="1873153394">
          <w:marLeft w:val="0"/>
          <w:marRight w:val="0"/>
          <w:marTop w:val="0"/>
          <w:marBottom w:val="0"/>
          <w:divBdr>
            <w:top w:val="none" w:sz="0" w:space="0" w:color="auto"/>
            <w:left w:val="none" w:sz="0" w:space="0" w:color="auto"/>
            <w:bottom w:val="none" w:sz="0" w:space="0" w:color="auto"/>
            <w:right w:val="none" w:sz="0" w:space="0" w:color="auto"/>
          </w:divBdr>
        </w:div>
        <w:div w:id="1998653884">
          <w:marLeft w:val="0"/>
          <w:marRight w:val="0"/>
          <w:marTop w:val="0"/>
          <w:marBottom w:val="0"/>
          <w:divBdr>
            <w:top w:val="none" w:sz="0" w:space="0" w:color="auto"/>
            <w:left w:val="none" w:sz="0" w:space="0" w:color="auto"/>
            <w:bottom w:val="none" w:sz="0" w:space="0" w:color="auto"/>
            <w:right w:val="none" w:sz="0" w:space="0" w:color="auto"/>
          </w:divBdr>
        </w:div>
        <w:div w:id="2108192091">
          <w:marLeft w:val="0"/>
          <w:marRight w:val="0"/>
          <w:marTop w:val="0"/>
          <w:marBottom w:val="0"/>
          <w:divBdr>
            <w:top w:val="none" w:sz="0" w:space="0" w:color="auto"/>
            <w:left w:val="none" w:sz="0" w:space="0" w:color="auto"/>
            <w:bottom w:val="none" w:sz="0" w:space="0" w:color="auto"/>
            <w:right w:val="none" w:sz="0" w:space="0" w:color="auto"/>
          </w:divBdr>
        </w:div>
        <w:div w:id="2114937434">
          <w:marLeft w:val="0"/>
          <w:marRight w:val="0"/>
          <w:marTop w:val="0"/>
          <w:marBottom w:val="0"/>
          <w:divBdr>
            <w:top w:val="none" w:sz="0" w:space="0" w:color="auto"/>
            <w:left w:val="none" w:sz="0" w:space="0" w:color="auto"/>
            <w:bottom w:val="none" w:sz="0" w:space="0" w:color="auto"/>
            <w:right w:val="none" w:sz="0" w:space="0" w:color="auto"/>
          </w:divBdr>
        </w:div>
      </w:divsChild>
    </w:div>
    <w:div w:id="2126348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bi.ac.uk/gwas/"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tif"/><Relationship Id="rId7" Type="http://schemas.openxmlformats.org/officeDocument/2006/relationships/endnotes" Target="endnotes.xml"/><Relationship Id="rId12" Type="http://schemas.openxmlformats.org/officeDocument/2006/relationships/hyperlink" Target="http://enigma.ini.usc.edu/" TargetMode="External"/><Relationship Id="rId17" Type="http://schemas.openxmlformats.org/officeDocument/2006/relationships/image" Target="media/image4.png"/><Relationship Id="rId25" Type="http://schemas.openxmlformats.org/officeDocument/2006/relationships/image" Target="media/image12.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bx.bio/" TargetMode="External"/><Relationship Id="rId24" Type="http://schemas.openxmlformats.org/officeDocument/2006/relationships/image" Target="media/image11.ti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tif"/><Relationship Id="rId28" Type="http://schemas.openxmlformats.org/officeDocument/2006/relationships/image" Target="media/image15.jpeg"/><Relationship Id="rId10" Type="http://schemas.openxmlformats.org/officeDocument/2006/relationships/hyperlink" Target="https://www.rucdr.org/biosample-processing/nucleic-acid-extraction-and-analysis" TargetMode="External"/><Relationship Id="rId19" Type="http://schemas.openxmlformats.org/officeDocument/2006/relationships/image" Target="media/image6.jp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9.tif"/><Relationship Id="rId27" Type="http://schemas.openxmlformats.org/officeDocument/2006/relationships/image" Target="media/image14.png"/><Relationship Id="rId30" Type="http://schemas.openxmlformats.org/officeDocument/2006/relationships/image" Target="media/image17.jpe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42B82-58AE-4C10-BD81-11F3BBF66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5130</Words>
  <Characters>29245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HS</dc:creator>
  <cp:lastModifiedBy>Jan Fullerton</cp:lastModifiedBy>
  <cp:revision>7</cp:revision>
  <cp:lastPrinted>2022-07-18T06:20:00Z</cp:lastPrinted>
  <dcterms:created xsi:type="dcterms:W3CDTF">2022-07-18T02:26:00Z</dcterms:created>
  <dcterms:modified xsi:type="dcterms:W3CDTF">2022-07-18T06:21:00Z</dcterms:modified>
</cp:coreProperties>
</file>