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CCC59" w14:textId="7CFE3174" w:rsidR="00A50C73" w:rsidRPr="00A50C73" w:rsidRDefault="00C1684A">
      <w:pPr>
        <w:rPr>
          <w:b/>
          <w:color w:val="000000"/>
          <w:lang w:val="en-US"/>
        </w:rPr>
      </w:pPr>
      <w:r w:rsidRPr="00A50C73">
        <w:rPr>
          <w:b/>
          <w:color w:val="000000"/>
          <w:lang w:val="en-GB"/>
        </w:rPr>
        <w:t>Supplementary</w:t>
      </w:r>
      <w:r w:rsidR="004A25E9">
        <w:rPr>
          <w:b/>
          <w:color w:val="000000"/>
          <w:lang w:val="en-GB"/>
        </w:rPr>
        <w:t xml:space="preserve"> </w:t>
      </w:r>
      <w:r w:rsidR="001D403F">
        <w:rPr>
          <w:b/>
          <w:color w:val="000000"/>
          <w:lang w:val="en-GB"/>
        </w:rPr>
        <w:t>Methods</w:t>
      </w:r>
      <w:r w:rsidR="006520E2">
        <w:rPr>
          <w:b/>
          <w:color w:val="000000"/>
          <w:lang w:val="en-GB"/>
        </w:rPr>
        <w:t xml:space="preserve"> and Results</w:t>
      </w:r>
    </w:p>
    <w:p w14:paraId="6D3837CA" w14:textId="14524D2F" w:rsidR="00C1684A" w:rsidRDefault="00C1684A">
      <w:pPr>
        <w:rPr>
          <w:color w:val="000000"/>
          <w:lang w:val="en-US"/>
        </w:rPr>
      </w:pPr>
    </w:p>
    <w:p w14:paraId="3467C989" w14:textId="3D397D88" w:rsidR="003E08AD" w:rsidRPr="00035CE4" w:rsidRDefault="00035CE4" w:rsidP="00035CE4">
      <w:pPr>
        <w:spacing w:line="480" w:lineRule="auto"/>
        <w:rPr>
          <w:i/>
          <w:iCs/>
          <w:color w:val="000000"/>
          <w:lang w:val="en-US"/>
        </w:rPr>
      </w:pPr>
      <w:r w:rsidRPr="00035CE4">
        <w:rPr>
          <w:i/>
          <w:iCs/>
          <w:color w:val="000000"/>
          <w:lang w:val="en-US"/>
        </w:rPr>
        <w:t>Microarray data processing</w:t>
      </w:r>
      <w:r w:rsidR="000653E8">
        <w:rPr>
          <w:i/>
          <w:iCs/>
          <w:color w:val="000000"/>
          <w:lang w:val="en-US"/>
        </w:rPr>
        <w:t xml:space="preserve"> and quality control</w:t>
      </w:r>
    </w:p>
    <w:p w14:paraId="62A6D4F2" w14:textId="31526E6B" w:rsidR="008959B0" w:rsidRPr="008959B0" w:rsidRDefault="00035CE4" w:rsidP="00ED50C6">
      <w:pPr>
        <w:spacing w:line="480" w:lineRule="auto"/>
        <w:jc w:val="both"/>
        <w:rPr>
          <w:lang w:val="en-GB"/>
        </w:rPr>
      </w:pPr>
      <w:r>
        <w:rPr>
          <w:lang w:val="en-GB"/>
        </w:rPr>
        <w:t>The</w:t>
      </w:r>
      <w:r w:rsidR="00584B2A">
        <w:rPr>
          <w:lang w:val="en-GB"/>
        </w:rPr>
        <w:t xml:space="preserve"> RNA</w:t>
      </w:r>
      <w:r>
        <w:rPr>
          <w:lang w:val="en-GB"/>
        </w:rPr>
        <w:t xml:space="preserve"> samples were</w:t>
      </w:r>
      <w:r w:rsidRPr="00BD13CB">
        <w:rPr>
          <w:lang w:val="en-GB"/>
        </w:rPr>
        <w:t xml:space="preserve"> </w:t>
      </w:r>
      <w:r>
        <w:rPr>
          <w:lang w:val="en-GB"/>
        </w:rPr>
        <w:t xml:space="preserve">run </w:t>
      </w:r>
      <w:r w:rsidRPr="00BD13CB">
        <w:rPr>
          <w:lang w:val="en-GB"/>
        </w:rPr>
        <w:t xml:space="preserve">in </w:t>
      </w:r>
      <w:r w:rsidRPr="00803CE0">
        <w:rPr>
          <w:lang w:val="en-GB"/>
        </w:rPr>
        <w:t xml:space="preserve">two </w:t>
      </w:r>
      <w:r>
        <w:rPr>
          <w:lang w:val="en-GB"/>
        </w:rPr>
        <w:t>batches</w:t>
      </w:r>
      <w:r w:rsidRPr="00BD13CB">
        <w:rPr>
          <w:lang w:val="en-GB"/>
        </w:rPr>
        <w:t xml:space="preserve"> (1195 samples in </w:t>
      </w:r>
      <w:r w:rsidR="00761846">
        <w:rPr>
          <w:lang w:val="en-GB"/>
        </w:rPr>
        <w:t xml:space="preserve">the first </w:t>
      </w:r>
      <w:r>
        <w:rPr>
          <w:lang w:val="en-GB"/>
        </w:rPr>
        <w:t>batch</w:t>
      </w:r>
      <w:r w:rsidRPr="00BD13CB">
        <w:rPr>
          <w:lang w:val="en-GB"/>
        </w:rPr>
        <w:t xml:space="preserve"> and 696 samples in </w:t>
      </w:r>
      <w:r w:rsidR="00761846">
        <w:rPr>
          <w:lang w:val="en-GB"/>
        </w:rPr>
        <w:t xml:space="preserve">the second </w:t>
      </w:r>
      <w:r>
        <w:rPr>
          <w:lang w:val="en-GB"/>
        </w:rPr>
        <w:t>batch</w:t>
      </w:r>
      <w:r w:rsidRPr="00BD13CB">
        <w:rPr>
          <w:lang w:val="en-GB"/>
        </w:rPr>
        <w:t>)</w:t>
      </w:r>
      <w:r>
        <w:rPr>
          <w:lang w:val="en-GB"/>
        </w:rPr>
        <w:t xml:space="preserve">, </w:t>
      </w:r>
      <w:r w:rsidR="00B840E4">
        <w:rPr>
          <w:lang w:val="en-GB"/>
        </w:rPr>
        <w:t xml:space="preserve">based on availability of the samples. </w:t>
      </w:r>
      <w:r w:rsidR="00761846">
        <w:rPr>
          <w:lang w:val="en-GB"/>
        </w:rPr>
        <w:t xml:space="preserve">The </w:t>
      </w:r>
      <w:r w:rsidR="00761846" w:rsidRPr="00BD13CB">
        <w:rPr>
          <w:lang w:val="en-GB"/>
        </w:rPr>
        <w:t xml:space="preserve">results were </w:t>
      </w:r>
      <w:r w:rsidR="00761846" w:rsidRPr="00803CE0">
        <w:rPr>
          <w:lang w:val="en-GB"/>
        </w:rPr>
        <w:t>highly similar</w:t>
      </w:r>
      <w:r w:rsidR="00761846" w:rsidRPr="00BD13CB">
        <w:rPr>
          <w:lang w:val="en-GB"/>
        </w:rPr>
        <w:t xml:space="preserve"> in the two runs</w:t>
      </w:r>
      <w:r w:rsidR="00761846">
        <w:rPr>
          <w:lang w:val="en-GB"/>
        </w:rPr>
        <w:t xml:space="preserve"> as confirmed by the hypergeometric overlap (p-value &lt; 3E-09). </w:t>
      </w:r>
      <w:r w:rsidR="00D079F0">
        <w:rPr>
          <w:lang w:val="en-GB"/>
        </w:rPr>
        <w:t>We used the meta-analysis tool METAL</w:t>
      </w:r>
      <w:r w:rsidR="00C70B61">
        <w:rPr>
          <w:lang w:val="en-GB"/>
        </w:rPr>
        <w:fldChar w:fldCharType="begin" w:fldLock="1"/>
      </w:r>
      <w:r w:rsidR="00C70B61">
        <w:rPr>
          <w:lang w:val="en-GB"/>
        </w:rPr>
        <w:instrText>ADDIN CSL_CITATION { "citationItems" : [ { "id" : "ITEM-1", "itemData" : { "DOI" : "10.1093/bioinformatics/btq340", "abstract" : "METAL provides a computationally efficient tool for meta-analysis of genome-wide association scans, which is a commonly used approach for improving power complex traits gene mapping studies. METAL provides a rich scripting interface and implements efficient memory management to allow analyses of very large data sets and to support a variety of input file formats. Availability and implementation: METAL, including source code, documentation, examples, and executables, is available at", "author" : [ { "dropping-particle" : "", "family" : "Willer", "given" : "Cristen J", "non-dropping-particle" : "", "parse-names" : false, "suffix" : "" }, { "dropping-particle" : "", "family" : "Li", "given" : "Yun", "non-dropping-particle" : "", "parse-names" : false, "suffix" : "" }, { "dropping-particle" : "", "family" : "Abecasis", "given" : "Gon\u00e7alo R", "non-dropping-particle" : "", "parse-names" : false, "suffix" : "" } ], "container-title" : "BIOINFORMATICS APPLICATIONS NOTE", "id" : "ITEM-1", "issue" : "17", "issued" : { "date-parts" : [ [ "2010" ] ] }, "page" : "2190-2191", "title" : "METAL: fast and efficient meta-analysis of genomewide association scans", "type" : "article-journal", "volume" : "26" }, "uris" : [ "http://www.mendeley.com/documents/?uuid=efb868cb-c6c7-3417-ab87-aad19e2d5bfc" ] } ], "mendeley" : { "formattedCitation" : "&lt;sup&gt;1&lt;/sup&gt;", "plainTextFormattedCitation" : "1", "previouslyFormattedCitation" : "&lt;sup&gt;1&lt;/sup&gt;" }, "properties" : {  }, "schema" : "https://github.com/citation-style-language/schema/raw/master/csl-citation.json" }</w:instrText>
      </w:r>
      <w:r w:rsidR="00C70B61">
        <w:rPr>
          <w:lang w:val="en-GB"/>
        </w:rPr>
        <w:fldChar w:fldCharType="separate"/>
      </w:r>
      <w:r w:rsidR="00C70B61" w:rsidRPr="00C70B61">
        <w:rPr>
          <w:noProof/>
          <w:vertAlign w:val="superscript"/>
          <w:lang w:val="en-GB"/>
        </w:rPr>
        <w:t>1</w:t>
      </w:r>
      <w:r w:rsidR="00C70B61">
        <w:rPr>
          <w:lang w:val="en-GB"/>
        </w:rPr>
        <w:fldChar w:fldCharType="end"/>
      </w:r>
      <w:r w:rsidR="00761846">
        <w:rPr>
          <w:lang w:val="en-GB"/>
        </w:rPr>
        <w:t xml:space="preserve"> </w:t>
      </w:r>
      <w:r w:rsidR="003F2FB7">
        <w:rPr>
          <w:lang w:val="en-GB"/>
        </w:rPr>
        <w:t xml:space="preserve">to compare the gene lists with p-values from the two batches </w:t>
      </w:r>
      <w:r w:rsidR="00C4535E">
        <w:rPr>
          <w:lang w:val="en-GB"/>
        </w:rPr>
        <w:t>(</w:t>
      </w:r>
      <w:r w:rsidR="00FF0D88">
        <w:rPr>
          <w:lang w:val="en-GB"/>
        </w:rPr>
        <w:t>Table S1</w:t>
      </w:r>
      <w:r w:rsidR="00D079F0">
        <w:rPr>
          <w:lang w:val="en-GB"/>
        </w:rPr>
        <w:t>)</w:t>
      </w:r>
      <w:r w:rsidR="00761846">
        <w:rPr>
          <w:lang w:val="en-GB"/>
        </w:rPr>
        <w:t>.</w:t>
      </w:r>
      <w:r w:rsidR="00D079F0">
        <w:rPr>
          <w:lang w:val="en-GB"/>
        </w:rPr>
        <w:t xml:space="preserve"> </w:t>
      </w:r>
      <w:r w:rsidR="003F2FB7">
        <w:rPr>
          <w:lang w:val="en-GB"/>
        </w:rPr>
        <w:t xml:space="preserve">After having verified the </w:t>
      </w:r>
      <w:r w:rsidR="007F78F6">
        <w:rPr>
          <w:lang w:val="en-GB"/>
        </w:rPr>
        <w:t xml:space="preserve">high </w:t>
      </w:r>
      <w:r w:rsidR="003F2FB7">
        <w:rPr>
          <w:lang w:val="en-GB"/>
        </w:rPr>
        <w:t>similarity between the two datasets, a</w:t>
      </w:r>
      <w:r w:rsidR="00761846">
        <w:rPr>
          <w:lang w:val="en-GB"/>
        </w:rPr>
        <w:t>ll</w:t>
      </w:r>
      <w:r w:rsidRPr="00BD13CB">
        <w:rPr>
          <w:lang w:val="en-GB"/>
        </w:rPr>
        <w:t xml:space="preserve"> samples were merged into on</w:t>
      </w:r>
      <w:r>
        <w:rPr>
          <w:lang w:val="en-GB"/>
        </w:rPr>
        <w:t>e</w:t>
      </w:r>
      <w:r w:rsidRPr="00BD13CB">
        <w:rPr>
          <w:lang w:val="en-GB"/>
        </w:rPr>
        <w:t xml:space="preserve"> common dataset to obtain larger groups</w:t>
      </w:r>
      <w:r w:rsidR="003F2FB7">
        <w:rPr>
          <w:lang w:val="en-GB"/>
        </w:rPr>
        <w:t>. The</w:t>
      </w:r>
      <w:r w:rsidR="0053714C">
        <w:rPr>
          <w:lang w:val="en-GB"/>
        </w:rPr>
        <w:t xml:space="preserve"> combined dataset consist</w:t>
      </w:r>
      <w:r w:rsidR="003F2FB7">
        <w:rPr>
          <w:lang w:val="en-GB"/>
        </w:rPr>
        <w:t>ed</w:t>
      </w:r>
      <w:r w:rsidR="0053714C">
        <w:rPr>
          <w:lang w:val="en-GB"/>
        </w:rPr>
        <w:t xml:space="preserve"> of 1891 samples (657 SCZ, 375 BD, 177 other diagnoses, and 682 HC</w:t>
      </w:r>
      <w:r w:rsidR="003F2FB7">
        <w:rPr>
          <w:lang w:val="en-GB"/>
        </w:rPr>
        <w:t>)</w:t>
      </w:r>
      <w:r w:rsidR="0053714C">
        <w:rPr>
          <w:lang w:val="en-GB"/>
        </w:rPr>
        <w:t xml:space="preserve">. Figure S1 shows a flow chart of the sample </w:t>
      </w:r>
      <w:r w:rsidR="009301B7">
        <w:rPr>
          <w:lang w:val="en-GB"/>
        </w:rPr>
        <w:t xml:space="preserve">processing and filtering of samples to obtain the final dataset </w:t>
      </w:r>
      <w:r w:rsidR="00C4535E">
        <w:rPr>
          <w:lang w:val="en-GB"/>
        </w:rPr>
        <w:t>used in this study with</w:t>
      </w:r>
      <w:r w:rsidR="009301B7">
        <w:rPr>
          <w:lang w:val="en-GB"/>
        </w:rPr>
        <w:t xml:space="preserve"> 721 samples (329 SCZ, 203 BD, and 189 HC).</w:t>
      </w:r>
    </w:p>
    <w:p w14:paraId="20C128D6" w14:textId="34C74C4B" w:rsidR="00C1684A" w:rsidRDefault="00C1684A" w:rsidP="00035CE4">
      <w:pPr>
        <w:spacing w:line="480" w:lineRule="auto"/>
        <w:rPr>
          <w:color w:val="000000"/>
          <w:lang w:val="en-US"/>
        </w:rPr>
      </w:pPr>
    </w:p>
    <w:p w14:paraId="5CC6B0FC" w14:textId="4D80A849" w:rsidR="00736876" w:rsidRDefault="00736876" w:rsidP="00035CE4">
      <w:pPr>
        <w:spacing w:line="480" w:lineRule="auto"/>
        <w:rPr>
          <w:color w:val="000000"/>
          <w:lang w:val="en-US"/>
        </w:rPr>
      </w:pPr>
    </w:p>
    <w:p w14:paraId="5BC4D235" w14:textId="28C1255B" w:rsidR="00736876" w:rsidRDefault="00736876" w:rsidP="00035CE4">
      <w:pPr>
        <w:spacing w:line="480" w:lineRule="auto"/>
        <w:rPr>
          <w:color w:val="000000"/>
          <w:lang w:val="en-US"/>
        </w:rPr>
      </w:pPr>
    </w:p>
    <w:p w14:paraId="14C2CF54" w14:textId="109896FF" w:rsidR="00736876" w:rsidRDefault="00736876" w:rsidP="00035CE4">
      <w:pPr>
        <w:spacing w:line="480" w:lineRule="auto"/>
        <w:rPr>
          <w:color w:val="000000"/>
          <w:lang w:val="en-US"/>
        </w:rPr>
      </w:pPr>
    </w:p>
    <w:p w14:paraId="48E56112" w14:textId="22C9BE5E" w:rsidR="00736876" w:rsidRDefault="00736876" w:rsidP="00035CE4">
      <w:pPr>
        <w:spacing w:line="480" w:lineRule="auto"/>
        <w:rPr>
          <w:color w:val="000000"/>
          <w:lang w:val="en-US"/>
        </w:rPr>
      </w:pPr>
    </w:p>
    <w:p w14:paraId="3098D2EC" w14:textId="71E0791B" w:rsidR="00736876" w:rsidRDefault="00736876" w:rsidP="00035CE4">
      <w:pPr>
        <w:spacing w:line="480" w:lineRule="auto"/>
        <w:rPr>
          <w:color w:val="000000"/>
          <w:lang w:val="en-US"/>
        </w:rPr>
      </w:pPr>
    </w:p>
    <w:p w14:paraId="4B92E4B0" w14:textId="5D5C12B8" w:rsidR="00736876" w:rsidRDefault="00736876" w:rsidP="00035CE4">
      <w:pPr>
        <w:spacing w:line="480" w:lineRule="auto"/>
        <w:rPr>
          <w:color w:val="000000"/>
          <w:lang w:val="en-US"/>
        </w:rPr>
      </w:pPr>
    </w:p>
    <w:p w14:paraId="3047146E" w14:textId="31E795E8" w:rsidR="00736876" w:rsidRDefault="00736876" w:rsidP="00035CE4">
      <w:pPr>
        <w:spacing w:line="480" w:lineRule="auto"/>
        <w:rPr>
          <w:color w:val="000000"/>
          <w:lang w:val="en-US"/>
        </w:rPr>
      </w:pPr>
    </w:p>
    <w:p w14:paraId="1C6EA5DF" w14:textId="5BDE2584" w:rsidR="00736876" w:rsidRDefault="00736876" w:rsidP="00035CE4">
      <w:pPr>
        <w:spacing w:line="480" w:lineRule="auto"/>
        <w:rPr>
          <w:color w:val="000000"/>
          <w:lang w:val="en-US"/>
        </w:rPr>
      </w:pPr>
    </w:p>
    <w:p w14:paraId="74521A0F" w14:textId="0CBE9AE0" w:rsidR="00736876" w:rsidRDefault="00736876" w:rsidP="00035CE4">
      <w:pPr>
        <w:spacing w:line="480" w:lineRule="auto"/>
        <w:rPr>
          <w:color w:val="000000"/>
          <w:lang w:val="en-US"/>
        </w:rPr>
      </w:pPr>
    </w:p>
    <w:p w14:paraId="07484CBC" w14:textId="7BB4751A" w:rsidR="00736876" w:rsidRDefault="00736876" w:rsidP="00035CE4">
      <w:pPr>
        <w:spacing w:line="480" w:lineRule="auto"/>
        <w:rPr>
          <w:color w:val="000000"/>
          <w:lang w:val="en-US"/>
        </w:rPr>
      </w:pPr>
    </w:p>
    <w:p w14:paraId="54FD581C" w14:textId="162A1925" w:rsidR="00736876" w:rsidRDefault="00736876" w:rsidP="00035CE4">
      <w:pPr>
        <w:spacing w:line="480" w:lineRule="auto"/>
        <w:rPr>
          <w:color w:val="000000"/>
          <w:lang w:val="en-US"/>
        </w:rPr>
      </w:pPr>
    </w:p>
    <w:p w14:paraId="6813544A" w14:textId="77777777" w:rsidR="00736876" w:rsidRDefault="00736876" w:rsidP="00035CE4">
      <w:pPr>
        <w:spacing w:line="480" w:lineRule="auto"/>
        <w:rPr>
          <w:color w:val="000000"/>
          <w:lang w:val="en-US"/>
        </w:rPr>
      </w:pPr>
    </w:p>
    <w:p w14:paraId="529547A0" w14:textId="268A6102" w:rsidR="008959B0" w:rsidRPr="00B82BD0" w:rsidRDefault="005E77E2" w:rsidP="00736876">
      <w:pPr>
        <w:rPr>
          <w:color w:val="000000"/>
        </w:rPr>
      </w:pPr>
      <w:r>
        <w:rPr>
          <w:noProof/>
          <w:color w:val="000000"/>
        </w:rPr>
        <w:lastRenderedPageBreak/>
        <w:drawing>
          <wp:inline distT="0" distB="0" distL="0" distR="0" wp14:anchorId="7B74B717" wp14:editId="106D4022">
            <wp:extent cx="5760720" cy="7060929"/>
            <wp:effectExtent l="0" t="0" r="0" b="698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rotWithShape="1">
                    <a:blip r:embed="rId8">
                      <a:extLst>
                        <a:ext uri="{28A0092B-C50C-407E-A947-70E740481C1C}">
                          <a14:useLocalDpi xmlns:a14="http://schemas.microsoft.com/office/drawing/2010/main" val="0"/>
                        </a:ext>
                      </a:extLst>
                    </a:blip>
                    <a:srcRect b="8073"/>
                    <a:stretch/>
                  </pic:blipFill>
                  <pic:spPr bwMode="auto">
                    <a:xfrm>
                      <a:off x="0" y="0"/>
                      <a:ext cx="5760720" cy="7060929"/>
                    </a:xfrm>
                    <a:prstGeom prst="rect">
                      <a:avLst/>
                    </a:prstGeom>
                    <a:ln>
                      <a:noFill/>
                    </a:ln>
                    <a:extLst>
                      <a:ext uri="{53640926-AAD7-44D8-BBD7-CCE9431645EC}">
                        <a14:shadowObscured xmlns:a14="http://schemas.microsoft.com/office/drawing/2010/main"/>
                      </a:ext>
                    </a:extLst>
                  </pic:spPr>
                </pic:pic>
              </a:graphicData>
            </a:graphic>
          </wp:inline>
        </w:drawing>
      </w:r>
    </w:p>
    <w:p w14:paraId="5FD7CD9E" w14:textId="02956453" w:rsidR="00761846" w:rsidRDefault="00761846" w:rsidP="00761846">
      <w:pPr>
        <w:spacing w:line="480" w:lineRule="auto"/>
        <w:rPr>
          <w:color w:val="000000"/>
          <w:lang w:val="en-US"/>
        </w:rPr>
      </w:pPr>
      <w:r>
        <w:rPr>
          <w:color w:val="000000"/>
          <w:lang w:val="en-US"/>
        </w:rPr>
        <w:t xml:space="preserve">Figure S1: Flow chart of microarray sample processing and </w:t>
      </w:r>
      <w:r w:rsidR="000653E8">
        <w:rPr>
          <w:color w:val="000000"/>
          <w:lang w:val="en-US"/>
        </w:rPr>
        <w:t>quality control</w:t>
      </w:r>
      <w:r>
        <w:rPr>
          <w:color w:val="000000"/>
          <w:lang w:val="en-US"/>
        </w:rPr>
        <w:t>.</w:t>
      </w:r>
    </w:p>
    <w:p w14:paraId="411CA51E" w14:textId="77777777" w:rsidR="00ED50C6" w:rsidRDefault="00ED50C6">
      <w:pPr>
        <w:rPr>
          <w:i/>
          <w:iCs/>
          <w:color w:val="000000"/>
          <w:lang w:val="en-US"/>
        </w:rPr>
      </w:pPr>
      <w:r>
        <w:rPr>
          <w:i/>
          <w:iCs/>
          <w:color w:val="000000"/>
          <w:lang w:val="en-US"/>
        </w:rPr>
        <w:br w:type="page"/>
      </w:r>
    </w:p>
    <w:p w14:paraId="24C2732D" w14:textId="4596518A" w:rsidR="00F8171D" w:rsidRPr="00E3078B" w:rsidRDefault="00F8171D" w:rsidP="007E3469">
      <w:pPr>
        <w:spacing w:line="480" w:lineRule="auto"/>
        <w:rPr>
          <w:i/>
          <w:iCs/>
          <w:lang w:val="en-US"/>
        </w:rPr>
      </w:pPr>
      <w:r w:rsidRPr="00E3078B">
        <w:rPr>
          <w:i/>
          <w:iCs/>
          <w:lang w:val="en-US"/>
        </w:rPr>
        <w:lastRenderedPageBreak/>
        <w:t>Cell deconvolution</w:t>
      </w:r>
      <w:r w:rsidR="00C70B61" w:rsidRPr="00E3078B">
        <w:rPr>
          <w:i/>
          <w:iCs/>
          <w:lang w:val="en-US"/>
        </w:rPr>
        <w:t xml:space="preserve"> by </w:t>
      </w:r>
      <w:proofErr w:type="spellStart"/>
      <w:r w:rsidR="00C70B61" w:rsidRPr="00E3078B">
        <w:rPr>
          <w:i/>
          <w:iCs/>
          <w:lang w:val="en-US"/>
        </w:rPr>
        <w:t>CIBERSORT</w:t>
      </w:r>
      <w:r w:rsidR="00994530" w:rsidRPr="00E3078B">
        <w:rPr>
          <w:i/>
          <w:iCs/>
          <w:lang w:val="en-US"/>
        </w:rPr>
        <w:t>x</w:t>
      </w:r>
      <w:proofErr w:type="spellEnd"/>
    </w:p>
    <w:p w14:paraId="67FC8540" w14:textId="46612D77" w:rsidR="00F8171D" w:rsidRPr="00E3078B" w:rsidRDefault="00F8171D" w:rsidP="00ED50C6">
      <w:pPr>
        <w:spacing w:line="480" w:lineRule="auto"/>
        <w:jc w:val="both"/>
        <w:rPr>
          <w:lang w:val="en-US"/>
        </w:rPr>
      </w:pPr>
      <w:r w:rsidRPr="00E3078B">
        <w:rPr>
          <w:lang w:val="en-US"/>
        </w:rPr>
        <w:t xml:space="preserve">We used </w:t>
      </w:r>
      <w:proofErr w:type="spellStart"/>
      <w:r w:rsidRPr="00E3078B">
        <w:rPr>
          <w:lang w:val="en-US"/>
        </w:rPr>
        <w:t>CIBERSORT</w:t>
      </w:r>
      <w:r w:rsidR="00994530" w:rsidRPr="00E3078B">
        <w:rPr>
          <w:lang w:val="en-US"/>
        </w:rPr>
        <w:t>x</w:t>
      </w:r>
      <w:proofErr w:type="spellEnd"/>
      <w:r w:rsidRPr="00E3078B">
        <w:rPr>
          <w:lang w:val="en-US"/>
        </w:rPr>
        <w:t xml:space="preserve"> </w:t>
      </w:r>
      <w:r w:rsidR="00994530" w:rsidRPr="00E3078B">
        <w:rPr>
          <w:lang w:val="en-US"/>
        </w:rPr>
        <w:t>(</w:t>
      </w:r>
      <w:hyperlink r:id="rId9" w:history="1">
        <w:r w:rsidR="00994530" w:rsidRPr="00E3078B">
          <w:rPr>
            <w:rStyle w:val="Hyperlink"/>
            <w:color w:val="auto"/>
            <w:lang w:val="en-US"/>
          </w:rPr>
          <w:t>www.cibersortx.stanford.edu</w:t>
        </w:r>
      </w:hyperlink>
      <w:r w:rsidR="00994530" w:rsidRPr="00E3078B">
        <w:rPr>
          <w:lang w:val="en-US"/>
        </w:rPr>
        <w:t xml:space="preserve">) </w:t>
      </w:r>
      <w:r w:rsidRPr="00E3078B">
        <w:rPr>
          <w:lang w:val="en-US"/>
        </w:rPr>
        <w:t>to estimate cell proportions based on gene expression values</w:t>
      </w:r>
      <w:r w:rsidR="0061704F" w:rsidRPr="00E3078B">
        <w:rPr>
          <w:lang w:val="en-US"/>
        </w:rPr>
        <w:fldChar w:fldCharType="begin" w:fldLock="1"/>
      </w:r>
      <w:r w:rsidR="007821E3" w:rsidRPr="00E3078B">
        <w:rPr>
          <w:lang w:val="en-US"/>
        </w:rPr>
        <w:instrText>ADDIN CSL_CITATION { "citationItems" : [ { "id" : "ITEM-1", "itemData" : { "DOI" : "10.1038/S41587-019-0114-2", "ISSN" : "1546-1696", "PMID" : "31061481", "abstract" : "Single-cell RNA-sequencing has emerged as a powerful technique for characterizing cellular heterogeneity, but it is currently impractical on large sample cohorts and cannot be applied to fixed specimens collected as part of routine clinical care. We previously developed an approach for digital cytometry, called CIBERSORT, that enables estimation of cell type abundances from bulk tissue transcriptomes. We now introduce CIBERSORTx, a machine learning method that extends this framework to infer cell-type-specific gene expression profiles without physical cell isolation. By minimizing platform-specific variation, CIBERSORTx also allows the use of single-cell RNA-sequencing data for large-scale tissue dissection. We evaluated the utility of CIBERSORTx in multiple tumor types, including melanoma, where single-cell reference profiles were used to dissect bulk clinical specimens, revealing cell-type-specific phenotypic states linked to distinct driver mutations and response to immune checkpoint blockade. We anticipate that digital cytometry will augment single-cell profiling efforts, enabling cost-effective, high-throughput tissue characterization without the need for antibodies, disaggregation or viable cells.", "author" : [ { "dropping-particle" : "", "family" : "Newman", "given" : "Aaron M.", "non-dropping-particle" : "", "parse-names" : false, "suffix" : "" }, { "dropping-particle" : "", "family" : "Steen", "given" : "Chlo\u00e9 B.", "non-dropping-particle" : "", "parse-names" : false, "suffix" : "" }, { "dropping-particle" : "", "family" : "Liu", "given" : "Chih Long", "non-dropping-particle" : "", "parse-names" : false, "suffix" : "" }, { "dropping-particle" : "", "family" : "Gentles", "given" : "Andrew J.", "non-dropping-particle" : "", "parse-names" : false, "suffix" : "" }, { "dropping-particle" : "", "family" : "Chaudhuri", "given" : "Aadel A.", "non-dropping-particle" : "", "parse-names" : false, "suffix" : "" }, { "dropping-particle" : "", "family" : "Scherer", "given" : "Florian", "non-dropping-particle" : "", "parse-names" : false, "suffix" : "" }, { "dropping-particle" : "", "family" : "Khodadoust", "given" : "Michael S.", "non-dropping-particle" : "", "parse-names" : false, "suffix" : "" }, { "dropping-particle" : "", "family" : "Esfahani", "given" : "Mohammad S.", "non-dropping-particle" : "", "parse-names" : false, "suffix" : "" }, { "dropping-particle" : "", "family" : "Luca", "given" : "Bogdan A.", "non-dropping-particle" : "", "parse-names" : false, "suffix" : "" }, { "dropping-particle" : "", "family" : "Steiner", "given" : "David", "non-dropping-particle" : "", "parse-names" : false, "suffix" : "" }, { "dropping-particle" : "", "family" : "Diehn", "given" : "Maximilian", "non-dropping-particle" : "", "parse-names" : false, "suffix" : "" }, { "dropping-particle" : "", "family" : "Alizadeh", "given" : "Ash A.", "non-dropping-particle" : "", "parse-names" : false, "suffix" : "" } ], "container-title" : "Nature biotechnology", "id" : "ITEM-1", "issue" : "7", "issued" : { "date-parts" : [ [ "2019", "7", "1" ] ] }, "page" : "773-782", "publisher" : "Nat Biotechnol", "title" : "Determining cell type abundance and expression from bulk tissues with digital cytometry", "type" : "article-journal", "volume" : "37" }, "uris" : [ "http://www.mendeley.com/documents/?uuid=8282266a-e750-3bbb-8b6e-dd87456d7817" ] } ], "mendeley" : { "formattedCitation" : "&lt;sup&gt;5&lt;/sup&gt;", "plainTextFormattedCitation" : "5", "previouslyFormattedCitation" : "&lt;sup&gt;5&lt;/sup&gt;" }, "properties" : {  }, "schema" : "https://github.com/citation-style-language/schema/raw/master/csl-citation.json" }</w:instrText>
      </w:r>
      <w:r w:rsidR="0061704F" w:rsidRPr="00E3078B">
        <w:rPr>
          <w:lang w:val="en-US"/>
        </w:rPr>
        <w:fldChar w:fldCharType="separate"/>
      </w:r>
      <w:r w:rsidR="007821E3" w:rsidRPr="00E3078B">
        <w:rPr>
          <w:noProof/>
          <w:vertAlign w:val="superscript"/>
          <w:lang w:val="en-US"/>
        </w:rPr>
        <w:t>5</w:t>
      </w:r>
      <w:r w:rsidR="0061704F" w:rsidRPr="00E3078B">
        <w:rPr>
          <w:lang w:val="en-US"/>
        </w:rPr>
        <w:fldChar w:fldCharType="end"/>
      </w:r>
      <w:r w:rsidRPr="00E3078B">
        <w:rPr>
          <w:lang w:val="en-US"/>
        </w:rPr>
        <w:t xml:space="preserve">. </w:t>
      </w:r>
      <w:r w:rsidR="007E3469" w:rsidRPr="00E3078B">
        <w:rPr>
          <w:lang w:val="en-US"/>
        </w:rPr>
        <w:t xml:space="preserve">The leukocyte gene signature matrix </w:t>
      </w:r>
      <w:r w:rsidRPr="00E3078B">
        <w:rPr>
          <w:lang w:val="en-US"/>
        </w:rPr>
        <w:t>LM22 was used as the reference dataset</w:t>
      </w:r>
      <w:r w:rsidR="007E3469" w:rsidRPr="00E3078B">
        <w:rPr>
          <w:lang w:val="en-US"/>
        </w:rPr>
        <w:t xml:space="preserve">, allowing deconvolution of </w:t>
      </w:r>
      <w:r w:rsidRPr="00E3078B">
        <w:rPr>
          <w:lang w:val="en-US"/>
        </w:rPr>
        <w:t>22 blood cell subsets</w:t>
      </w:r>
      <w:r w:rsidR="007E3469" w:rsidRPr="00E3078B">
        <w:rPr>
          <w:lang w:val="en-US"/>
        </w:rPr>
        <w:t>. Unfortunately</w:t>
      </w:r>
      <w:r w:rsidRPr="00E3078B">
        <w:rPr>
          <w:lang w:val="en-US"/>
        </w:rPr>
        <w:t xml:space="preserve">, </w:t>
      </w:r>
      <w:r w:rsidR="002041B3" w:rsidRPr="00E3078B">
        <w:rPr>
          <w:lang w:val="en-US"/>
        </w:rPr>
        <w:t>LM22</w:t>
      </w:r>
      <w:r w:rsidRPr="00E3078B">
        <w:rPr>
          <w:lang w:val="en-US"/>
        </w:rPr>
        <w:t xml:space="preserve"> does not include our cell type of interest, </w:t>
      </w:r>
      <w:r w:rsidR="009D3CE0" w:rsidRPr="00E3078B">
        <w:rPr>
          <w:i/>
          <w:iCs/>
          <w:lang w:val="en-US"/>
        </w:rPr>
        <w:t>i.e</w:t>
      </w:r>
      <w:r w:rsidR="009D3CE0" w:rsidRPr="00E3078B">
        <w:rPr>
          <w:lang w:val="en-US"/>
        </w:rPr>
        <w:t>.,</w:t>
      </w:r>
      <w:r w:rsidRPr="00E3078B">
        <w:rPr>
          <w:lang w:val="en-US"/>
        </w:rPr>
        <w:t xml:space="preserve"> </w:t>
      </w:r>
      <w:r w:rsidR="000745A0" w:rsidRPr="00E3078B">
        <w:rPr>
          <w:lang w:val="en-US"/>
        </w:rPr>
        <w:t xml:space="preserve">the </w:t>
      </w:r>
      <w:r w:rsidRPr="00E3078B">
        <w:rPr>
          <w:lang w:val="en-US"/>
        </w:rPr>
        <w:t>immature neutrophils</w:t>
      </w:r>
      <w:r w:rsidR="007E3469" w:rsidRPr="00E3078B">
        <w:rPr>
          <w:lang w:val="en-US"/>
        </w:rPr>
        <w:t>, and to our knowledge, such reference data sets are not</w:t>
      </w:r>
      <w:r w:rsidR="002041B3" w:rsidRPr="00E3078B">
        <w:rPr>
          <w:lang w:val="en-US"/>
        </w:rPr>
        <w:t xml:space="preserve"> yet</w:t>
      </w:r>
      <w:r w:rsidR="007E3469" w:rsidRPr="00E3078B">
        <w:rPr>
          <w:lang w:val="en-US"/>
        </w:rPr>
        <w:t xml:space="preserve"> available</w:t>
      </w:r>
      <w:r w:rsidRPr="00E3078B">
        <w:rPr>
          <w:lang w:val="en-US"/>
        </w:rPr>
        <w:t>.</w:t>
      </w:r>
      <w:r w:rsidR="00696056" w:rsidRPr="00E3078B">
        <w:rPr>
          <w:lang w:val="en-US"/>
        </w:rPr>
        <w:t xml:space="preserve"> With this limitation, we calculated the proportion of the 22 blood cell subsets based on our gene expression data. </w:t>
      </w:r>
      <w:r w:rsidR="002242C8" w:rsidRPr="00E3078B">
        <w:rPr>
          <w:lang w:val="en-US"/>
        </w:rPr>
        <w:t>Samples with non-significant p-value (&gt; 0.05) for the deconvolution were excluded before comparing phenotypic groups</w:t>
      </w:r>
      <w:r w:rsidR="004C2686">
        <w:rPr>
          <w:lang w:val="en-US"/>
        </w:rPr>
        <w:t xml:space="preserve"> with </w:t>
      </w:r>
      <w:r w:rsidR="00F14484">
        <w:rPr>
          <w:lang w:val="en-US"/>
        </w:rPr>
        <w:t xml:space="preserve">pairwise </w:t>
      </w:r>
      <w:r w:rsidR="004C2686">
        <w:rPr>
          <w:lang w:val="en-US"/>
        </w:rPr>
        <w:t>Wilcox test</w:t>
      </w:r>
      <w:r w:rsidR="002242C8" w:rsidRPr="00E3078B">
        <w:rPr>
          <w:lang w:val="en-US"/>
        </w:rPr>
        <w:t>.</w:t>
      </w:r>
      <w:r w:rsidR="00ED50C6" w:rsidRPr="00E3078B">
        <w:rPr>
          <w:lang w:val="en-US"/>
        </w:rPr>
        <w:t xml:space="preserve"> </w:t>
      </w:r>
    </w:p>
    <w:p w14:paraId="596D0970" w14:textId="1F4F0B24" w:rsidR="00F8171D" w:rsidRPr="00E3078B" w:rsidRDefault="00A15ACE" w:rsidP="00ED50C6">
      <w:pPr>
        <w:spacing w:line="480" w:lineRule="auto"/>
        <w:jc w:val="both"/>
        <w:rPr>
          <w:lang w:val="en-US"/>
        </w:rPr>
      </w:pPr>
      <w:r w:rsidRPr="00E3078B">
        <w:rPr>
          <w:lang w:val="en-US"/>
        </w:rPr>
        <w:t>The cell deconvolution suggests</w:t>
      </w:r>
      <w:r w:rsidR="00F8171D" w:rsidRPr="00E3078B">
        <w:rPr>
          <w:lang w:val="en-US"/>
        </w:rPr>
        <w:t xml:space="preserve"> lower </w:t>
      </w:r>
      <w:r w:rsidR="00ED50C6" w:rsidRPr="00E3078B">
        <w:rPr>
          <w:lang w:val="en-US"/>
        </w:rPr>
        <w:t xml:space="preserve">levels </w:t>
      </w:r>
      <w:r w:rsidR="00F8171D" w:rsidRPr="00E3078B">
        <w:rPr>
          <w:lang w:val="en-US"/>
        </w:rPr>
        <w:t>of resting NK cells</w:t>
      </w:r>
      <w:r w:rsidR="00ED50C6" w:rsidRPr="00E3078B">
        <w:rPr>
          <w:lang w:val="en-US"/>
        </w:rPr>
        <w:t xml:space="preserve"> and activated CD4 memory T-cells in SCZ and BD vs HC and higher levels of naïve B-cells, </w:t>
      </w:r>
      <w:r w:rsidR="00E02E19">
        <w:rPr>
          <w:lang w:val="en-US"/>
        </w:rPr>
        <w:t>regulatory T-cells (</w:t>
      </w:r>
      <w:r w:rsidR="00ED50C6" w:rsidRPr="00E3078B">
        <w:rPr>
          <w:lang w:val="en-US"/>
        </w:rPr>
        <w:t>Tregs</w:t>
      </w:r>
      <w:r w:rsidR="00E02E19">
        <w:rPr>
          <w:lang w:val="en-US"/>
        </w:rPr>
        <w:t>)</w:t>
      </w:r>
      <w:r w:rsidR="00ED50C6" w:rsidRPr="00E3078B">
        <w:rPr>
          <w:lang w:val="en-US"/>
        </w:rPr>
        <w:t>, and activated dendritic cells (DC). Resting CD4 memory T-cells were only significant in BD vs HC, but not in SCZ.</w:t>
      </w:r>
      <w:r w:rsidR="00F8171D" w:rsidRPr="00E3078B">
        <w:rPr>
          <w:lang w:val="en-US"/>
        </w:rPr>
        <w:t xml:space="preserve"> </w:t>
      </w:r>
      <w:r w:rsidR="007E3469" w:rsidRPr="00E3078B">
        <w:rPr>
          <w:lang w:val="en-US"/>
        </w:rPr>
        <w:t xml:space="preserve">(Figure </w:t>
      </w:r>
      <w:r w:rsidRPr="00E3078B">
        <w:rPr>
          <w:lang w:val="en-US"/>
        </w:rPr>
        <w:t>S2</w:t>
      </w:r>
      <w:r w:rsidR="007E3469" w:rsidRPr="00E3078B">
        <w:rPr>
          <w:lang w:val="en-US"/>
        </w:rPr>
        <w:t>)</w:t>
      </w:r>
      <w:r w:rsidR="00F8171D" w:rsidRPr="00E3078B">
        <w:rPr>
          <w:lang w:val="en-US"/>
        </w:rPr>
        <w:t xml:space="preserve">. </w:t>
      </w:r>
    </w:p>
    <w:p w14:paraId="738EC8D2" w14:textId="2B129561" w:rsidR="00F8171D" w:rsidRPr="00E3078B" w:rsidRDefault="00962105" w:rsidP="00ED50C6">
      <w:pPr>
        <w:jc w:val="both"/>
        <w:rPr>
          <w:lang w:val="en-US"/>
        </w:rPr>
      </w:pPr>
      <w:r>
        <w:rPr>
          <w:noProof/>
          <w:lang w:val="en-US"/>
        </w:rPr>
        <w:lastRenderedPageBreak/>
        <w:drawing>
          <wp:inline distT="0" distB="0" distL="0" distR="0" wp14:anchorId="41F58895" wp14:editId="46DDED85">
            <wp:extent cx="5760720" cy="61829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5760720" cy="6182995"/>
                    </a:xfrm>
                    <a:prstGeom prst="rect">
                      <a:avLst/>
                    </a:prstGeom>
                  </pic:spPr>
                </pic:pic>
              </a:graphicData>
            </a:graphic>
          </wp:inline>
        </w:drawing>
      </w:r>
    </w:p>
    <w:p w14:paraId="4546BE89" w14:textId="77777777" w:rsidR="00F8171D" w:rsidRPr="00E3078B" w:rsidRDefault="00F8171D">
      <w:pPr>
        <w:rPr>
          <w:lang w:val="en-US"/>
        </w:rPr>
      </w:pPr>
    </w:p>
    <w:p w14:paraId="09848072" w14:textId="49148AEA" w:rsidR="00696056" w:rsidRPr="00E3078B" w:rsidRDefault="00A15ACE" w:rsidP="00696056">
      <w:pPr>
        <w:spacing w:line="480" w:lineRule="auto"/>
        <w:jc w:val="both"/>
        <w:rPr>
          <w:lang w:val="en-GB"/>
        </w:rPr>
      </w:pPr>
      <w:r w:rsidRPr="00E3078B">
        <w:rPr>
          <w:b/>
          <w:bCs/>
          <w:lang w:val="en-US"/>
        </w:rPr>
        <w:t>Figure S2</w:t>
      </w:r>
      <w:r w:rsidRPr="00E3078B">
        <w:rPr>
          <w:lang w:val="en-US"/>
        </w:rPr>
        <w:t xml:space="preserve">: </w:t>
      </w:r>
      <w:r w:rsidR="00696056" w:rsidRPr="00E3078B">
        <w:rPr>
          <w:lang w:val="en-US"/>
        </w:rPr>
        <w:t xml:space="preserve">Cell proportions of </w:t>
      </w:r>
      <w:r w:rsidRPr="00E3078B">
        <w:rPr>
          <w:lang w:val="en-US"/>
        </w:rPr>
        <w:t>cell</w:t>
      </w:r>
      <w:r w:rsidR="00ED50C6" w:rsidRPr="00E3078B">
        <w:rPr>
          <w:lang w:val="en-US"/>
        </w:rPr>
        <w:t xml:space="preserve"> type</w:t>
      </w:r>
      <w:r w:rsidRPr="00E3078B">
        <w:rPr>
          <w:lang w:val="en-US"/>
        </w:rPr>
        <w:t xml:space="preserve">s </w:t>
      </w:r>
      <w:r w:rsidR="00ED50C6" w:rsidRPr="00E3078B">
        <w:rPr>
          <w:lang w:val="en-US"/>
        </w:rPr>
        <w:t>that show</w:t>
      </w:r>
      <w:r w:rsidR="004C2686">
        <w:rPr>
          <w:lang w:val="en-US"/>
        </w:rPr>
        <w:t>ed</w:t>
      </w:r>
      <w:r w:rsidR="00ED50C6" w:rsidRPr="00E3078B">
        <w:rPr>
          <w:lang w:val="en-US"/>
        </w:rPr>
        <w:t xml:space="preserve"> significant differences </w:t>
      </w:r>
      <w:r w:rsidRPr="00E3078B">
        <w:rPr>
          <w:lang w:val="en-US"/>
        </w:rPr>
        <w:t xml:space="preserve">in </w:t>
      </w:r>
      <w:r w:rsidR="00696056" w:rsidRPr="00E3078B">
        <w:rPr>
          <w:lang w:val="en-US"/>
        </w:rPr>
        <w:t>SCZ</w:t>
      </w:r>
      <w:r w:rsidR="00ED50C6" w:rsidRPr="00E3078B">
        <w:rPr>
          <w:lang w:val="en-US"/>
        </w:rPr>
        <w:t xml:space="preserve"> and</w:t>
      </w:r>
      <w:r w:rsidR="00696056" w:rsidRPr="00E3078B">
        <w:rPr>
          <w:lang w:val="en-US"/>
        </w:rPr>
        <w:t xml:space="preserve"> BD</w:t>
      </w:r>
      <w:r w:rsidR="00ED50C6" w:rsidRPr="00E3078B">
        <w:rPr>
          <w:lang w:val="en-US"/>
        </w:rPr>
        <w:t xml:space="preserve"> compared to</w:t>
      </w:r>
      <w:r w:rsidR="00696056" w:rsidRPr="00E3078B">
        <w:rPr>
          <w:lang w:val="en-US"/>
        </w:rPr>
        <w:t xml:space="preserve"> HC</w:t>
      </w:r>
      <w:r w:rsidR="00E02E19">
        <w:rPr>
          <w:lang w:val="en-US"/>
        </w:rPr>
        <w:t>: A) Naïve B-cells, B) Resting NK cells, C) Resting CD4 memory T-cells, D) Activated CD4 memory T-cells, E) Tregs, and F) Activated DCs</w:t>
      </w:r>
      <w:r w:rsidRPr="00E3078B">
        <w:rPr>
          <w:lang w:val="en-US"/>
        </w:rPr>
        <w:t xml:space="preserve">. </w:t>
      </w:r>
      <w:r w:rsidR="00696056" w:rsidRPr="00E3078B">
        <w:rPr>
          <w:lang w:val="en-GB"/>
        </w:rPr>
        <w:t xml:space="preserve">Significance is annotated with the </w:t>
      </w:r>
      <w:proofErr w:type="spellStart"/>
      <w:r w:rsidR="00696056" w:rsidRPr="00E3078B">
        <w:rPr>
          <w:lang w:val="en-GB"/>
        </w:rPr>
        <w:t>ggsignif</w:t>
      </w:r>
      <w:proofErr w:type="spellEnd"/>
      <w:r w:rsidR="00696056" w:rsidRPr="00E3078B">
        <w:rPr>
          <w:lang w:val="en-GB"/>
        </w:rPr>
        <w:t xml:space="preserve"> package. </w:t>
      </w:r>
    </w:p>
    <w:p w14:paraId="52BB7133" w14:textId="3B40442C" w:rsidR="00A15ACE" w:rsidRPr="00ED50C6" w:rsidRDefault="00A15ACE" w:rsidP="00A15ACE">
      <w:pPr>
        <w:rPr>
          <w:color w:val="000000"/>
          <w:lang w:val="en-GB"/>
        </w:rPr>
      </w:pPr>
    </w:p>
    <w:p w14:paraId="64E7A66C" w14:textId="77777777" w:rsidR="0061704F" w:rsidRDefault="0061704F">
      <w:pPr>
        <w:rPr>
          <w:color w:val="000000"/>
          <w:lang w:val="en-US"/>
        </w:rPr>
      </w:pPr>
    </w:p>
    <w:p w14:paraId="4C48B9A2" w14:textId="77777777" w:rsidR="0061704F" w:rsidRDefault="0061704F">
      <w:pPr>
        <w:rPr>
          <w:color w:val="000000"/>
          <w:lang w:val="en-US"/>
        </w:rPr>
      </w:pPr>
      <w:r>
        <w:rPr>
          <w:color w:val="000000"/>
          <w:lang w:val="en-US"/>
        </w:rPr>
        <w:br w:type="page"/>
      </w:r>
    </w:p>
    <w:p w14:paraId="4B4A8996" w14:textId="1FF13F51" w:rsidR="0061704F" w:rsidRPr="00ED50C6" w:rsidRDefault="0061704F">
      <w:pPr>
        <w:rPr>
          <w:noProof/>
          <w:color w:val="000000"/>
          <w:lang w:val="en-GB"/>
        </w:rPr>
      </w:pPr>
      <w:r w:rsidRPr="00A15ACE">
        <w:rPr>
          <w:i/>
          <w:iCs/>
          <w:color w:val="000000"/>
          <w:lang w:val="en-US"/>
        </w:rPr>
        <w:lastRenderedPageBreak/>
        <w:t>Additional figures</w:t>
      </w:r>
      <w:r w:rsidR="00A15ACE">
        <w:rPr>
          <w:i/>
          <w:iCs/>
          <w:color w:val="000000"/>
          <w:lang w:val="en-US"/>
        </w:rPr>
        <w:t>:</w:t>
      </w:r>
    </w:p>
    <w:p w14:paraId="39007FF5" w14:textId="77777777" w:rsidR="0061704F" w:rsidRPr="00ED50C6" w:rsidRDefault="0061704F">
      <w:pPr>
        <w:rPr>
          <w:noProof/>
          <w:color w:val="000000"/>
          <w:lang w:val="en-GB"/>
        </w:rPr>
      </w:pPr>
    </w:p>
    <w:p w14:paraId="708C225E" w14:textId="7EA2E0CA" w:rsidR="00DD02BB" w:rsidRPr="00ED50C6" w:rsidRDefault="00DD02BB">
      <w:pPr>
        <w:rPr>
          <w:noProof/>
          <w:color w:val="000000"/>
          <w:lang w:val="en-GB"/>
        </w:rPr>
      </w:pPr>
    </w:p>
    <w:p w14:paraId="31A5D669" w14:textId="44143CAE" w:rsidR="00DD02BB" w:rsidRDefault="00DD02BB" w:rsidP="00761846">
      <w:pPr>
        <w:spacing w:line="480" w:lineRule="auto"/>
        <w:rPr>
          <w:color w:val="000000"/>
          <w:lang w:val="en-US"/>
        </w:rPr>
      </w:pPr>
      <w:r>
        <w:rPr>
          <w:noProof/>
          <w:color w:val="000000"/>
        </w:rPr>
        <w:drawing>
          <wp:inline distT="0" distB="0" distL="0" distR="0" wp14:anchorId="5768B72D" wp14:editId="330E4961">
            <wp:extent cx="5760720" cy="4217035"/>
            <wp:effectExtent l="0" t="0" r="0" b="0"/>
            <wp:docPr id="3"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60720" cy="4217035"/>
                    </a:xfrm>
                    <a:prstGeom prst="rect">
                      <a:avLst/>
                    </a:prstGeom>
                  </pic:spPr>
                </pic:pic>
              </a:graphicData>
            </a:graphic>
          </wp:inline>
        </w:drawing>
      </w:r>
    </w:p>
    <w:p w14:paraId="1F3B0860" w14:textId="27BC10E5" w:rsidR="004E574C" w:rsidRDefault="004E574C" w:rsidP="004E574C">
      <w:pPr>
        <w:spacing w:line="480" w:lineRule="auto"/>
        <w:jc w:val="both"/>
        <w:rPr>
          <w:lang w:val="en-GB"/>
        </w:rPr>
      </w:pPr>
      <w:r w:rsidRPr="00E82F66">
        <w:rPr>
          <w:b/>
          <w:lang w:val="en-GB"/>
        </w:rPr>
        <w:t xml:space="preserve">Figure </w:t>
      </w:r>
      <w:r w:rsidR="00A15ACE">
        <w:rPr>
          <w:b/>
          <w:lang w:val="en-GB"/>
        </w:rPr>
        <w:t>S3</w:t>
      </w:r>
      <w:r>
        <w:rPr>
          <w:b/>
          <w:lang w:val="en-GB"/>
        </w:rPr>
        <w:t>:</w:t>
      </w:r>
      <w:r w:rsidRPr="00E82F66">
        <w:rPr>
          <w:lang w:val="en-GB"/>
        </w:rPr>
        <w:t xml:space="preserve"> </w:t>
      </w:r>
      <w:r w:rsidRPr="004E574C">
        <w:rPr>
          <w:b/>
          <w:bCs/>
          <w:lang w:val="en-GB"/>
        </w:rPr>
        <w:t>Sex-dependent gene expression.</w:t>
      </w:r>
      <w:r>
        <w:rPr>
          <w:b/>
          <w:bCs/>
          <w:lang w:val="en-GB"/>
        </w:rPr>
        <w:t xml:space="preserve"> </w:t>
      </w:r>
      <w:r w:rsidRPr="00E82F66">
        <w:rPr>
          <w:lang w:val="en-GB"/>
        </w:rPr>
        <w:t xml:space="preserve">Violin plots (combining box plot and kernel density plot) of the expression level of </w:t>
      </w:r>
      <w:r w:rsidR="007F78F6">
        <w:rPr>
          <w:lang w:val="en-GB"/>
        </w:rPr>
        <w:t xml:space="preserve">four </w:t>
      </w:r>
      <w:r w:rsidRPr="00E82F66">
        <w:rPr>
          <w:lang w:val="en-GB"/>
        </w:rPr>
        <w:t>selected genes (</w:t>
      </w:r>
      <w:r w:rsidRPr="00E82F66">
        <w:rPr>
          <w:i/>
          <w:lang w:val="en-GB"/>
        </w:rPr>
        <w:t>ELANE,</w:t>
      </w:r>
      <w:r>
        <w:rPr>
          <w:i/>
          <w:lang w:val="en-GB"/>
        </w:rPr>
        <w:t xml:space="preserve"> CEACAM6,</w:t>
      </w:r>
      <w:r w:rsidRPr="00E82F66">
        <w:rPr>
          <w:i/>
          <w:lang w:val="en-GB"/>
        </w:rPr>
        <w:t xml:space="preserve"> SLPI</w:t>
      </w:r>
      <w:r>
        <w:rPr>
          <w:i/>
          <w:lang w:val="en-GB"/>
        </w:rPr>
        <w:t>,</w:t>
      </w:r>
      <w:r w:rsidRPr="00E82F66">
        <w:rPr>
          <w:i/>
          <w:lang w:val="en-GB"/>
        </w:rPr>
        <w:t xml:space="preserve"> </w:t>
      </w:r>
      <w:r w:rsidRPr="00E82F66">
        <w:rPr>
          <w:lang w:val="en-GB"/>
        </w:rPr>
        <w:t>and</w:t>
      </w:r>
      <w:r w:rsidRPr="004E574C">
        <w:rPr>
          <w:i/>
          <w:lang w:val="en-GB"/>
        </w:rPr>
        <w:t xml:space="preserve"> </w:t>
      </w:r>
      <w:r w:rsidRPr="00E82F66">
        <w:rPr>
          <w:i/>
          <w:lang w:val="en-GB"/>
        </w:rPr>
        <w:t>PI3</w:t>
      </w:r>
      <w:r w:rsidRPr="00E82F66">
        <w:rPr>
          <w:lang w:val="en-GB"/>
        </w:rPr>
        <w:t>) in males (</w:t>
      </w:r>
      <w:r>
        <w:rPr>
          <w:lang w:val="en-GB"/>
        </w:rPr>
        <w:t>green</w:t>
      </w:r>
      <w:r w:rsidRPr="00E82F66">
        <w:rPr>
          <w:lang w:val="en-GB"/>
        </w:rPr>
        <w:t>) compared to female</w:t>
      </w:r>
      <w:r>
        <w:rPr>
          <w:lang w:val="en-GB"/>
        </w:rPr>
        <w:t>s</w:t>
      </w:r>
      <w:r w:rsidRPr="00E82F66">
        <w:rPr>
          <w:lang w:val="en-GB"/>
        </w:rPr>
        <w:t xml:space="preserve"> (</w:t>
      </w:r>
      <w:r>
        <w:rPr>
          <w:lang w:val="en-GB"/>
        </w:rPr>
        <w:t>red</w:t>
      </w:r>
      <w:r w:rsidRPr="00E82F66">
        <w:rPr>
          <w:lang w:val="en-GB"/>
        </w:rPr>
        <w:t xml:space="preserve">). The violin plot describes the distribution of expression signals for </w:t>
      </w:r>
      <w:r>
        <w:rPr>
          <w:lang w:val="en-GB"/>
        </w:rPr>
        <w:t>all participants</w:t>
      </w:r>
      <w:r w:rsidRPr="00E82F66">
        <w:rPr>
          <w:lang w:val="en-GB"/>
        </w:rPr>
        <w:t xml:space="preserve"> in the various groups (HC/BD/SCZ and male/female). Normalized gene expression signals are log2 transformed.</w:t>
      </w:r>
      <w:r w:rsidR="00B42875">
        <w:rPr>
          <w:lang w:val="en-GB"/>
        </w:rPr>
        <w:t xml:space="preserve"> Significance is annotated with the </w:t>
      </w:r>
      <w:proofErr w:type="spellStart"/>
      <w:r w:rsidR="00B42875">
        <w:rPr>
          <w:lang w:val="en-GB"/>
        </w:rPr>
        <w:t>ggsignif</w:t>
      </w:r>
      <w:proofErr w:type="spellEnd"/>
      <w:r w:rsidR="00B42875">
        <w:rPr>
          <w:lang w:val="en-GB"/>
        </w:rPr>
        <w:t xml:space="preserve"> package.</w:t>
      </w:r>
      <w:r w:rsidR="002B0D08">
        <w:rPr>
          <w:lang w:val="en-GB"/>
        </w:rPr>
        <w:t xml:space="preserve"> </w:t>
      </w:r>
      <w:r w:rsidR="002B0D08" w:rsidRPr="00E82F66">
        <w:rPr>
          <w:lang w:val="en-GB"/>
        </w:rPr>
        <w:t>Significance level is indicated with *** = p-value = &lt; 0.001</w:t>
      </w:r>
      <w:r w:rsidR="00883C48">
        <w:rPr>
          <w:lang w:val="en-GB"/>
        </w:rPr>
        <w:t>,</w:t>
      </w:r>
      <w:r w:rsidR="002B0D08">
        <w:rPr>
          <w:lang w:val="en-GB"/>
        </w:rPr>
        <w:t xml:space="preserve"> NS = not significant.</w:t>
      </w:r>
    </w:p>
    <w:p w14:paraId="77A13DDE" w14:textId="78E83B69" w:rsidR="008959B0" w:rsidRDefault="008959B0">
      <w:pPr>
        <w:rPr>
          <w:i/>
          <w:lang w:val="en-GB"/>
        </w:rPr>
      </w:pPr>
    </w:p>
    <w:p w14:paraId="596E3837" w14:textId="1C4650F0" w:rsidR="00363314" w:rsidRDefault="001E639D" w:rsidP="00BB6FF4">
      <w:pPr>
        <w:rPr>
          <w:color w:val="000000"/>
          <w:lang w:val="en-US"/>
        </w:rPr>
      </w:pPr>
      <w:r>
        <w:rPr>
          <w:noProof/>
          <w:color w:val="000000"/>
        </w:rPr>
        <w:lastRenderedPageBreak/>
        <w:drawing>
          <wp:inline distT="0" distB="0" distL="0" distR="0" wp14:anchorId="509BC634" wp14:editId="751EF843">
            <wp:extent cx="5760720" cy="7200900"/>
            <wp:effectExtent l="0" t="0" r="0" b="0"/>
            <wp:docPr id="6" name="Picture 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ox and whisker ch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60720" cy="7200900"/>
                    </a:xfrm>
                    <a:prstGeom prst="rect">
                      <a:avLst/>
                    </a:prstGeom>
                  </pic:spPr>
                </pic:pic>
              </a:graphicData>
            </a:graphic>
          </wp:inline>
        </w:drawing>
      </w:r>
    </w:p>
    <w:p w14:paraId="362D86FE" w14:textId="6246743D" w:rsidR="008E42F4" w:rsidRDefault="00FB34D6" w:rsidP="008E42F4">
      <w:pPr>
        <w:spacing w:line="480" w:lineRule="auto"/>
        <w:jc w:val="both"/>
        <w:rPr>
          <w:lang w:val="en-GB"/>
        </w:rPr>
      </w:pPr>
      <w:r w:rsidRPr="00006179">
        <w:rPr>
          <w:b/>
          <w:bCs/>
          <w:color w:val="000000"/>
          <w:lang w:val="en-US"/>
        </w:rPr>
        <w:t xml:space="preserve">Figure </w:t>
      </w:r>
      <w:r w:rsidR="00A15ACE" w:rsidRPr="00006179">
        <w:rPr>
          <w:b/>
          <w:bCs/>
          <w:color w:val="000000"/>
          <w:lang w:val="en-US"/>
        </w:rPr>
        <w:t>S</w:t>
      </w:r>
      <w:r w:rsidR="00A15ACE">
        <w:rPr>
          <w:b/>
          <w:bCs/>
          <w:color w:val="000000"/>
          <w:lang w:val="en-US"/>
        </w:rPr>
        <w:t>4</w:t>
      </w:r>
      <w:r w:rsidRPr="00006179">
        <w:rPr>
          <w:b/>
          <w:bCs/>
          <w:color w:val="000000"/>
          <w:lang w:val="en-US"/>
        </w:rPr>
        <w:t>: Differences in gene expression between antipsychotic groups.</w:t>
      </w:r>
      <w:r w:rsidR="001840EC" w:rsidRPr="00006179">
        <w:rPr>
          <w:b/>
          <w:bCs/>
          <w:color w:val="000000"/>
          <w:lang w:val="en-US"/>
        </w:rPr>
        <w:t xml:space="preserve"> </w:t>
      </w:r>
      <w:r w:rsidR="001840EC" w:rsidRPr="00006179">
        <w:rPr>
          <w:color w:val="000000"/>
          <w:lang w:val="en-US"/>
        </w:rPr>
        <w:t>A-</w:t>
      </w:r>
      <w:r w:rsidR="001840EC">
        <w:rPr>
          <w:color w:val="000000"/>
          <w:lang w:val="en-US"/>
        </w:rPr>
        <w:t xml:space="preserve">C: </w:t>
      </w:r>
      <w:r w:rsidR="002B2A90">
        <w:rPr>
          <w:color w:val="000000"/>
          <w:lang w:val="en-US"/>
        </w:rPr>
        <w:t xml:space="preserve">Levels of </w:t>
      </w:r>
      <w:r w:rsidR="00140019" w:rsidRPr="00140019">
        <w:rPr>
          <w:i/>
          <w:iCs/>
          <w:color w:val="000000"/>
          <w:lang w:val="en-US"/>
        </w:rPr>
        <w:t>PTGDS, CLIC3</w:t>
      </w:r>
      <w:r w:rsidR="00140019">
        <w:rPr>
          <w:color w:val="000000"/>
          <w:lang w:val="en-US"/>
        </w:rPr>
        <w:t xml:space="preserve">, and </w:t>
      </w:r>
      <w:r w:rsidR="00140019" w:rsidRPr="00140019">
        <w:rPr>
          <w:i/>
          <w:iCs/>
          <w:color w:val="000000"/>
          <w:lang w:val="en-US"/>
        </w:rPr>
        <w:t>GZMB</w:t>
      </w:r>
      <w:r w:rsidR="001840EC">
        <w:rPr>
          <w:color w:val="000000"/>
          <w:lang w:val="en-US"/>
        </w:rPr>
        <w:t xml:space="preserve"> are significantly higher in aripiprazole users compared to antipsychotic non-users and olanzapine or quetiapine users. D: </w:t>
      </w:r>
      <w:r w:rsidR="002B2A90" w:rsidRPr="008F5412">
        <w:rPr>
          <w:i/>
          <w:iCs/>
          <w:color w:val="000000"/>
          <w:lang w:val="en-US"/>
        </w:rPr>
        <w:t>TOGARAM2</w:t>
      </w:r>
      <w:r w:rsidR="002B2A90">
        <w:rPr>
          <w:color w:val="000000"/>
          <w:lang w:val="en-US"/>
        </w:rPr>
        <w:t xml:space="preserve"> is lower in quetiapine users compared to the other groups. E: </w:t>
      </w:r>
      <w:r w:rsidR="00140019" w:rsidRPr="00140019">
        <w:rPr>
          <w:i/>
          <w:iCs/>
          <w:color w:val="000000"/>
          <w:lang w:val="en-US"/>
        </w:rPr>
        <w:t>SIDT2</w:t>
      </w:r>
      <w:r w:rsidR="001840EC" w:rsidRPr="00140019">
        <w:rPr>
          <w:i/>
          <w:iCs/>
          <w:color w:val="000000"/>
          <w:lang w:val="en-US"/>
        </w:rPr>
        <w:t xml:space="preserve"> </w:t>
      </w:r>
      <w:r w:rsidR="001840EC">
        <w:rPr>
          <w:color w:val="000000"/>
          <w:lang w:val="en-US"/>
        </w:rPr>
        <w:t xml:space="preserve">is higher in antipsychotic non-users compared to antipsychotic users. </w:t>
      </w:r>
      <w:proofErr w:type="spellStart"/>
      <w:r w:rsidR="008F5412">
        <w:rPr>
          <w:color w:val="000000"/>
          <w:lang w:val="en-US"/>
        </w:rPr>
        <w:t>APfree</w:t>
      </w:r>
      <w:proofErr w:type="spellEnd"/>
      <w:r w:rsidR="008F5412">
        <w:rPr>
          <w:color w:val="000000"/>
          <w:lang w:val="en-US"/>
        </w:rPr>
        <w:t xml:space="preserve"> = Antipsychotic-free, Ari = aripiprazole, Ola = </w:t>
      </w:r>
      <w:r w:rsidR="008F5412">
        <w:rPr>
          <w:color w:val="000000"/>
          <w:lang w:val="en-US"/>
        </w:rPr>
        <w:lastRenderedPageBreak/>
        <w:t>olanzapine, and Que = quetiapine</w:t>
      </w:r>
      <w:r w:rsidR="002B2A90">
        <w:rPr>
          <w:color w:val="000000"/>
          <w:lang w:val="en-US"/>
        </w:rPr>
        <w:t xml:space="preserve">. </w:t>
      </w:r>
      <w:r w:rsidR="002B2A90" w:rsidRPr="00E82F66">
        <w:rPr>
          <w:lang w:val="en-GB"/>
        </w:rPr>
        <w:t>Normalized gene expression signals are log2 transformed.</w:t>
      </w:r>
      <w:r w:rsidR="002B2A90">
        <w:rPr>
          <w:lang w:val="en-GB"/>
        </w:rPr>
        <w:t xml:space="preserve"> Significance is annotated with the </w:t>
      </w:r>
      <w:proofErr w:type="spellStart"/>
      <w:r w:rsidR="002B2A90">
        <w:rPr>
          <w:lang w:val="en-GB"/>
        </w:rPr>
        <w:t>ggsignif</w:t>
      </w:r>
      <w:proofErr w:type="spellEnd"/>
      <w:r w:rsidR="002B2A90">
        <w:rPr>
          <w:lang w:val="en-GB"/>
        </w:rPr>
        <w:t xml:space="preserve"> package.</w:t>
      </w:r>
      <w:r w:rsidR="008E42F4">
        <w:rPr>
          <w:lang w:val="en-GB"/>
        </w:rPr>
        <w:t xml:space="preserve"> </w:t>
      </w:r>
      <w:r w:rsidR="008E42F4" w:rsidRPr="00E82F66">
        <w:rPr>
          <w:lang w:val="en-GB"/>
        </w:rPr>
        <w:t>Significance level is indicated with * = p-value &lt; 0.05, ** = p-value &lt; 0.01 and *** = p-value = &lt; 0.001.</w:t>
      </w:r>
      <w:r w:rsidR="002B0D08">
        <w:rPr>
          <w:lang w:val="en-GB"/>
        </w:rPr>
        <w:t xml:space="preserve"> NS = not significant.</w:t>
      </w:r>
    </w:p>
    <w:p w14:paraId="69D425CE" w14:textId="77777777" w:rsidR="00361A3F" w:rsidRDefault="00361A3F" w:rsidP="008E42F4">
      <w:pPr>
        <w:spacing w:line="480" w:lineRule="auto"/>
        <w:jc w:val="both"/>
        <w:rPr>
          <w:lang w:val="en-GB"/>
        </w:rPr>
      </w:pPr>
    </w:p>
    <w:p w14:paraId="43E62286" w14:textId="60FFD0DF" w:rsidR="00361A3F" w:rsidRPr="000C2F79" w:rsidRDefault="00361A3F" w:rsidP="008E42F4">
      <w:pPr>
        <w:spacing w:line="480" w:lineRule="auto"/>
        <w:jc w:val="both"/>
        <w:rPr>
          <w:b/>
          <w:bCs/>
          <w:lang w:val="en-GB"/>
        </w:rPr>
      </w:pPr>
      <w:r w:rsidRPr="000C2F79">
        <w:rPr>
          <w:b/>
          <w:bCs/>
          <w:lang w:val="en-GB"/>
        </w:rPr>
        <w:t>Table S</w:t>
      </w:r>
      <w:r w:rsidR="00551024" w:rsidRPr="000C2F79">
        <w:rPr>
          <w:b/>
          <w:bCs/>
          <w:lang w:val="en-GB"/>
        </w:rPr>
        <w:t>2</w:t>
      </w:r>
      <w:r w:rsidRPr="000C2F79">
        <w:rPr>
          <w:b/>
          <w:bCs/>
          <w:lang w:val="en-GB"/>
        </w:rPr>
        <w:t>: Statistical calculation of differences between antipsychotic groups</w:t>
      </w:r>
      <w:r w:rsidR="000C2F79">
        <w:rPr>
          <w:b/>
          <w:bCs/>
          <w:lang w:val="en-GB"/>
        </w:rPr>
        <w:t>.</w:t>
      </w:r>
    </w:p>
    <w:tbl>
      <w:tblPr>
        <w:tblW w:w="8130" w:type="dxa"/>
        <w:tblLook w:val="04A0" w:firstRow="1" w:lastRow="0" w:firstColumn="1" w:lastColumn="0" w:noHBand="0" w:noVBand="1"/>
      </w:tblPr>
      <w:tblGrid>
        <w:gridCol w:w="1460"/>
        <w:gridCol w:w="865"/>
        <w:gridCol w:w="865"/>
        <w:gridCol w:w="1240"/>
        <w:gridCol w:w="1280"/>
        <w:gridCol w:w="1360"/>
        <w:gridCol w:w="1060"/>
      </w:tblGrid>
      <w:tr w:rsidR="007B0626" w14:paraId="576FE07D" w14:textId="77777777" w:rsidTr="007B0626">
        <w:trPr>
          <w:trHeight w:val="290"/>
        </w:trPr>
        <w:tc>
          <w:tcPr>
            <w:tcW w:w="1460" w:type="dxa"/>
            <w:tcBorders>
              <w:top w:val="single" w:sz="4" w:space="0" w:color="auto"/>
              <w:left w:val="single" w:sz="4" w:space="0" w:color="auto"/>
              <w:bottom w:val="single" w:sz="4" w:space="0" w:color="auto"/>
              <w:right w:val="single" w:sz="4" w:space="0" w:color="auto"/>
            </w:tcBorders>
            <w:shd w:val="clear" w:color="000000" w:fill="E7E6E6"/>
            <w:noWrap/>
            <w:vAlign w:val="bottom"/>
          </w:tcPr>
          <w:p w14:paraId="5D053DA8" w14:textId="77777777" w:rsidR="007B0626" w:rsidRDefault="007B0626">
            <w:pPr>
              <w:rPr>
                <w:rFonts w:ascii="Calibri" w:hAnsi="Calibri" w:cs="Calibri"/>
                <w:b/>
                <w:bCs/>
                <w:color w:val="000000"/>
                <w:sz w:val="22"/>
                <w:szCs w:val="22"/>
              </w:rPr>
            </w:pPr>
            <w:r>
              <w:rPr>
                <w:rFonts w:ascii="Calibri" w:hAnsi="Calibri" w:cs="Calibri"/>
                <w:b/>
                <w:bCs/>
                <w:color w:val="000000"/>
                <w:sz w:val="22"/>
                <w:szCs w:val="22"/>
              </w:rPr>
              <w:t>Gene</w:t>
            </w:r>
          </w:p>
        </w:tc>
        <w:tc>
          <w:tcPr>
            <w:tcW w:w="865" w:type="dxa"/>
            <w:tcBorders>
              <w:top w:val="single" w:sz="4" w:space="0" w:color="auto"/>
              <w:left w:val="nil"/>
              <w:bottom w:val="single" w:sz="4" w:space="0" w:color="auto"/>
              <w:right w:val="single" w:sz="4" w:space="0" w:color="auto"/>
            </w:tcBorders>
            <w:shd w:val="clear" w:color="000000" w:fill="E7E6E6"/>
            <w:noWrap/>
            <w:vAlign w:val="bottom"/>
          </w:tcPr>
          <w:p w14:paraId="2D1B4CB8" w14:textId="77777777" w:rsidR="007B0626" w:rsidRDefault="007B0626">
            <w:pPr>
              <w:rPr>
                <w:rFonts w:ascii="Calibri" w:hAnsi="Calibri" w:cs="Calibri"/>
                <w:b/>
                <w:bCs/>
                <w:color w:val="000000"/>
                <w:sz w:val="22"/>
                <w:szCs w:val="22"/>
              </w:rPr>
            </w:pPr>
            <w:r>
              <w:rPr>
                <w:rFonts w:ascii="Calibri" w:hAnsi="Calibri" w:cs="Calibri"/>
                <w:b/>
                <w:bCs/>
                <w:color w:val="000000"/>
                <w:sz w:val="22"/>
                <w:szCs w:val="22"/>
              </w:rPr>
              <w:t>group1</w:t>
            </w:r>
          </w:p>
        </w:tc>
        <w:tc>
          <w:tcPr>
            <w:tcW w:w="865" w:type="dxa"/>
            <w:tcBorders>
              <w:top w:val="single" w:sz="4" w:space="0" w:color="auto"/>
              <w:left w:val="nil"/>
              <w:bottom w:val="single" w:sz="4" w:space="0" w:color="auto"/>
              <w:right w:val="single" w:sz="4" w:space="0" w:color="auto"/>
            </w:tcBorders>
            <w:shd w:val="clear" w:color="000000" w:fill="E7E6E6"/>
            <w:noWrap/>
            <w:vAlign w:val="bottom"/>
          </w:tcPr>
          <w:p w14:paraId="0B5AFDE6" w14:textId="77777777" w:rsidR="007B0626" w:rsidRDefault="007B0626">
            <w:pPr>
              <w:rPr>
                <w:rFonts w:ascii="Calibri" w:hAnsi="Calibri" w:cs="Calibri"/>
                <w:b/>
                <w:bCs/>
                <w:color w:val="000000"/>
                <w:sz w:val="22"/>
                <w:szCs w:val="22"/>
              </w:rPr>
            </w:pPr>
            <w:r>
              <w:rPr>
                <w:rFonts w:ascii="Calibri" w:hAnsi="Calibri" w:cs="Calibri"/>
                <w:b/>
                <w:bCs/>
                <w:color w:val="000000"/>
                <w:sz w:val="22"/>
                <w:szCs w:val="22"/>
              </w:rPr>
              <w:t>group2</w:t>
            </w:r>
          </w:p>
        </w:tc>
        <w:tc>
          <w:tcPr>
            <w:tcW w:w="1240" w:type="dxa"/>
            <w:tcBorders>
              <w:top w:val="single" w:sz="4" w:space="0" w:color="auto"/>
              <w:left w:val="nil"/>
              <w:bottom w:val="single" w:sz="4" w:space="0" w:color="auto"/>
              <w:right w:val="single" w:sz="4" w:space="0" w:color="auto"/>
            </w:tcBorders>
            <w:shd w:val="clear" w:color="000000" w:fill="E7E6E6"/>
            <w:noWrap/>
            <w:vAlign w:val="bottom"/>
          </w:tcPr>
          <w:p w14:paraId="3CCB05DF" w14:textId="77777777" w:rsidR="007B0626" w:rsidRDefault="007B0626">
            <w:pPr>
              <w:rPr>
                <w:rFonts w:ascii="Calibri" w:hAnsi="Calibri" w:cs="Calibri"/>
                <w:b/>
                <w:bCs/>
                <w:color w:val="000000"/>
                <w:sz w:val="22"/>
                <w:szCs w:val="22"/>
              </w:rPr>
            </w:pPr>
            <w:proofErr w:type="spellStart"/>
            <w:r>
              <w:rPr>
                <w:rFonts w:ascii="Calibri" w:hAnsi="Calibri" w:cs="Calibri"/>
                <w:b/>
                <w:bCs/>
                <w:color w:val="000000"/>
                <w:sz w:val="22"/>
                <w:szCs w:val="22"/>
              </w:rPr>
              <w:t>df</w:t>
            </w:r>
            <w:proofErr w:type="spellEnd"/>
          </w:p>
        </w:tc>
        <w:tc>
          <w:tcPr>
            <w:tcW w:w="1280" w:type="dxa"/>
            <w:tcBorders>
              <w:top w:val="single" w:sz="4" w:space="0" w:color="auto"/>
              <w:left w:val="nil"/>
              <w:bottom w:val="single" w:sz="4" w:space="0" w:color="auto"/>
              <w:right w:val="single" w:sz="4" w:space="0" w:color="auto"/>
            </w:tcBorders>
            <w:shd w:val="clear" w:color="000000" w:fill="E7E6E6"/>
            <w:noWrap/>
            <w:vAlign w:val="bottom"/>
          </w:tcPr>
          <w:p w14:paraId="53AD0105" w14:textId="77777777" w:rsidR="007B0626" w:rsidRDefault="007B0626">
            <w:pPr>
              <w:rPr>
                <w:rFonts w:ascii="Calibri" w:hAnsi="Calibri" w:cs="Calibri"/>
                <w:b/>
                <w:bCs/>
                <w:color w:val="000000"/>
                <w:sz w:val="22"/>
                <w:szCs w:val="22"/>
              </w:rPr>
            </w:pPr>
            <w:r>
              <w:rPr>
                <w:rFonts w:ascii="Calibri" w:hAnsi="Calibri" w:cs="Calibri"/>
                <w:b/>
                <w:bCs/>
                <w:color w:val="000000"/>
                <w:sz w:val="22"/>
                <w:szCs w:val="22"/>
              </w:rPr>
              <w:t>t-</w:t>
            </w:r>
            <w:proofErr w:type="spellStart"/>
            <w:r>
              <w:rPr>
                <w:rFonts w:ascii="Calibri" w:hAnsi="Calibri" w:cs="Calibri"/>
                <w:b/>
                <w:bCs/>
                <w:color w:val="000000"/>
                <w:sz w:val="22"/>
                <w:szCs w:val="22"/>
              </w:rPr>
              <w:t>statistic</w:t>
            </w:r>
            <w:proofErr w:type="spellEnd"/>
          </w:p>
        </w:tc>
        <w:tc>
          <w:tcPr>
            <w:tcW w:w="1360" w:type="dxa"/>
            <w:tcBorders>
              <w:top w:val="single" w:sz="4" w:space="0" w:color="auto"/>
              <w:left w:val="nil"/>
              <w:bottom w:val="single" w:sz="4" w:space="0" w:color="auto"/>
              <w:right w:val="single" w:sz="4" w:space="0" w:color="auto"/>
            </w:tcBorders>
            <w:shd w:val="clear" w:color="000000" w:fill="E7E6E6"/>
            <w:noWrap/>
            <w:vAlign w:val="bottom"/>
          </w:tcPr>
          <w:p w14:paraId="2F0D01D2" w14:textId="77777777" w:rsidR="007B0626" w:rsidRDefault="007B0626">
            <w:pPr>
              <w:rPr>
                <w:rFonts w:ascii="Calibri" w:hAnsi="Calibri" w:cs="Calibri"/>
                <w:b/>
                <w:bCs/>
                <w:color w:val="000000"/>
                <w:sz w:val="22"/>
                <w:szCs w:val="22"/>
              </w:rPr>
            </w:pPr>
            <w:r>
              <w:rPr>
                <w:rFonts w:ascii="Calibri" w:hAnsi="Calibri" w:cs="Calibri"/>
                <w:b/>
                <w:bCs/>
                <w:color w:val="000000"/>
                <w:sz w:val="22"/>
                <w:szCs w:val="22"/>
              </w:rPr>
              <w:t>p</w:t>
            </w:r>
          </w:p>
        </w:tc>
        <w:tc>
          <w:tcPr>
            <w:tcW w:w="1060" w:type="dxa"/>
            <w:tcBorders>
              <w:top w:val="single" w:sz="4" w:space="0" w:color="auto"/>
              <w:left w:val="nil"/>
              <w:bottom w:val="single" w:sz="4" w:space="0" w:color="auto"/>
              <w:right w:val="single" w:sz="4" w:space="0" w:color="auto"/>
            </w:tcBorders>
            <w:shd w:val="clear" w:color="000000" w:fill="E7E6E6"/>
            <w:noWrap/>
            <w:vAlign w:val="bottom"/>
          </w:tcPr>
          <w:p w14:paraId="210BA970" w14:textId="77777777" w:rsidR="007B0626" w:rsidRDefault="007B0626">
            <w:pPr>
              <w:rPr>
                <w:rFonts w:ascii="Calibri" w:hAnsi="Calibri" w:cs="Calibri"/>
                <w:b/>
                <w:bCs/>
                <w:color w:val="000000"/>
                <w:sz w:val="22"/>
                <w:szCs w:val="22"/>
              </w:rPr>
            </w:pPr>
            <w:proofErr w:type="spellStart"/>
            <w:r>
              <w:rPr>
                <w:rFonts w:ascii="Calibri" w:hAnsi="Calibri" w:cs="Calibri"/>
                <w:b/>
                <w:bCs/>
                <w:color w:val="000000"/>
                <w:sz w:val="22"/>
                <w:szCs w:val="22"/>
              </w:rPr>
              <w:t>p.adj</w:t>
            </w:r>
            <w:proofErr w:type="spellEnd"/>
          </w:p>
        </w:tc>
      </w:tr>
      <w:tr w:rsidR="007B0626" w:rsidRPr="007B0626" w14:paraId="41FF258C" w14:textId="77777777" w:rsidTr="007B0626">
        <w:trPr>
          <w:trHeight w:val="290"/>
        </w:trPr>
        <w:tc>
          <w:tcPr>
            <w:tcW w:w="1460" w:type="dxa"/>
            <w:tcBorders>
              <w:top w:val="single" w:sz="4" w:space="0" w:color="auto"/>
              <w:left w:val="single" w:sz="4" w:space="0" w:color="auto"/>
              <w:bottom w:val="single" w:sz="4" w:space="0" w:color="auto"/>
              <w:right w:val="single" w:sz="4" w:space="0" w:color="auto"/>
            </w:tcBorders>
            <w:shd w:val="clear" w:color="000000" w:fill="E7E6E6"/>
            <w:noWrap/>
            <w:vAlign w:val="bottom"/>
          </w:tcPr>
          <w:p w14:paraId="7A03FB17" w14:textId="77777777" w:rsidR="007B0626" w:rsidRPr="007B0626" w:rsidRDefault="007B0626">
            <w:pPr>
              <w:rPr>
                <w:rFonts w:ascii="Calibri" w:hAnsi="Calibri" w:cs="Calibri"/>
                <w:b/>
                <w:bCs/>
                <w:color w:val="000000"/>
                <w:sz w:val="22"/>
                <w:szCs w:val="22"/>
              </w:rPr>
            </w:pPr>
            <w:r w:rsidRPr="007B0626">
              <w:rPr>
                <w:rFonts w:ascii="Calibri" w:hAnsi="Calibri" w:cs="Calibri"/>
                <w:b/>
                <w:bCs/>
                <w:color w:val="000000"/>
                <w:sz w:val="22"/>
                <w:szCs w:val="22"/>
              </w:rPr>
              <w:t>CLIC3</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05C49FD7"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Ari</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63349F98" w14:textId="77777777" w:rsidR="007B0626" w:rsidRPr="007B0626" w:rsidRDefault="007B0626">
            <w:pPr>
              <w:rPr>
                <w:rFonts w:ascii="Calibri" w:hAnsi="Calibri" w:cs="Calibri"/>
                <w:color w:val="000000"/>
                <w:sz w:val="22"/>
                <w:szCs w:val="22"/>
              </w:rPr>
            </w:pPr>
            <w:proofErr w:type="spellStart"/>
            <w:r w:rsidRPr="007B0626">
              <w:rPr>
                <w:rFonts w:ascii="Calibri" w:hAnsi="Calibri" w:cs="Calibri"/>
                <w:color w:val="000000"/>
                <w:sz w:val="22"/>
                <w:szCs w:val="22"/>
              </w:rPr>
              <w:t>APfree</w:t>
            </w:r>
            <w:proofErr w:type="spellEnd"/>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74DB75AA" w14:textId="77777777" w:rsidR="007B0626" w:rsidRPr="007B0626" w:rsidRDefault="007B0626" w:rsidP="007B0626">
            <w:pPr>
              <w:rPr>
                <w:rFonts w:ascii="Calibri" w:hAnsi="Calibri" w:cs="Calibri"/>
                <w:color w:val="000000"/>
                <w:sz w:val="22"/>
                <w:szCs w:val="22"/>
              </w:rPr>
            </w:pPr>
            <w:r w:rsidRPr="007B0626">
              <w:rPr>
                <w:rFonts w:ascii="Calibri" w:hAnsi="Calibri" w:cs="Calibri"/>
                <w:color w:val="000000"/>
                <w:sz w:val="22"/>
                <w:szCs w:val="22"/>
              </w:rPr>
              <w:t>416</w:t>
            </w:r>
          </w:p>
        </w:tc>
        <w:tc>
          <w:tcPr>
            <w:tcW w:w="1280" w:type="dxa"/>
            <w:tcBorders>
              <w:top w:val="single" w:sz="4" w:space="0" w:color="auto"/>
              <w:left w:val="nil"/>
              <w:bottom w:val="single" w:sz="4" w:space="0" w:color="auto"/>
              <w:right w:val="single" w:sz="4" w:space="0" w:color="auto"/>
            </w:tcBorders>
            <w:shd w:val="clear" w:color="auto" w:fill="auto"/>
            <w:noWrap/>
            <w:vAlign w:val="bottom"/>
          </w:tcPr>
          <w:p w14:paraId="223DE6BB"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2.78</w:t>
            </w:r>
          </w:p>
        </w:tc>
        <w:tc>
          <w:tcPr>
            <w:tcW w:w="1360" w:type="dxa"/>
            <w:tcBorders>
              <w:top w:val="single" w:sz="4" w:space="0" w:color="auto"/>
              <w:left w:val="nil"/>
              <w:bottom w:val="single" w:sz="4" w:space="0" w:color="auto"/>
              <w:right w:val="single" w:sz="4" w:space="0" w:color="auto"/>
            </w:tcBorders>
            <w:shd w:val="clear" w:color="auto" w:fill="auto"/>
            <w:noWrap/>
            <w:vAlign w:val="bottom"/>
          </w:tcPr>
          <w:p w14:paraId="3BC96408"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0.0057</w:t>
            </w:r>
          </w:p>
        </w:tc>
        <w:tc>
          <w:tcPr>
            <w:tcW w:w="1060" w:type="dxa"/>
            <w:tcBorders>
              <w:top w:val="single" w:sz="4" w:space="0" w:color="auto"/>
              <w:left w:val="nil"/>
              <w:bottom w:val="single" w:sz="4" w:space="0" w:color="auto"/>
              <w:right w:val="single" w:sz="4" w:space="0" w:color="auto"/>
            </w:tcBorders>
            <w:shd w:val="clear" w:color="auto" w:fill="auto"/>
            <w:noWrap/>
            <w:vAlign w:val="bottom"/>
          </w:tcPr>
          <w:p w14:paraId="380F676A"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0.0170</w:t>
            </w:r>
          </w:p>
        </w:tc>
      </w:tr>
      <w:tr w:rsidR="007B0626" w:rsidRPr="007B0626" w14:paraId="1B9DBD0C" w14:textId="77777777" w:rsidTr="007B0626">
        <w:trPr>
          <w:trHeight w:val="290"/>
        </w:trPr>
        <w:tc>
          <w:tcPr>
            <w:tcW w:w="1460" w:type="dxa"/>
            <w:tcBorders>
              <w:top w:val="single" w:sz="4" w:space="0" w:color="auto"/>
              <w:left w:val="single" w:sz="4" w:space="0" w:color="auto"/>
              <w:bottom w:val="single" w:sz="4" w:space="0" w:color="auto"/>
              <w:right w:val="single" w:sz="4" w:space="0" w:color="auto"/>
            </w:tcBorders>
            <w:shd w:val="clear" w:color="000000" w:fill="E7E6E6"/>
            <w:noWrap/>
            <w:vAlign w:val="bottom"/>
          </w:tcPr>
          <w:p w14:paraId="7450561B" w14:textId="77777777" w:rsidR="007B0626" w:rsidRPr="007B0626" w:rsidRDefault="007B0626">
            <w:pPr>
              <w:rPr>
                <w:rFonts w:ascii="Calibri" w:hAnsi="Calibri" w:cs="Calibri"/>
                <w:b/>
                <w:bCs/>
                <w:color w:val="000000"/>
                <w:sz w:val="22"/>
                <w:szCs w:val="22"/>
              </w:rPr>
            </w:pPr>
            <w:r w:rsidRPr="007B0626">
              <w:rPr>
                <w:rFonts w:ascii="Calibri" w:hAnsi="Calibri" w:cs="Calibri"/>
                <w:b/>
                <w:bCs/>
                <w:color w:val="000000"/>
                <w:sz w:val="22"/>
                <w:szCs w:val="22"/>
              </w:rPr>
              <w:t>CLIC3</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49043960"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Ari</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421A038C"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Ola</w:t>
            </w: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7B06EC5F" w14:textId="77777777" w:rsidR="007B0626" w:rsidRPr="007B0626" w:rsidRDefault="007B0626" w:rsidP="007B0626">
            <w:pPr>
              <w:rPr>
                <w:rFonts w:ascii="Calibri" w:hAnsi="Calibri" w:cs="Calibri"/>
                <w:color w:val="000000"/>
                <w:sz w:val="22"/>
                <w:szCs w:val="22"/>
              </w:rPr>
            </w:pPr>
            <w:r w:rsidRPr="007B0626">
              <w:rPr>
                <w:rFonts w:ascii="Calibri" w:hAnsi="Calibri" w:cs="Calibri"/>
                <w:color w:val="000000"/>
                <w:sz w:val="22"/>
                <w:szCs w:val="22"/>
              </w:rPr>
              <w:t>416</w:t>
            </w:r>
          </w:p>
        </w:tc>
        <w:tc>
          <w:tcPr>
            <w:tcW w:w="1280" w:type="dxa"/>
            <w:tcBorders>
              <w:top w:val="single" w:sz="4" w:space="0" w:color="auto"/>
              <w:left w:val="nil"/>
              <w:bottom w:val="single" w:sz="4" w:space="0" w:color="auto"/>
              <w:right w:val="single" w:sz="4" w:space="0" w:color="auto"/>
            </w:tcBorders>
            <w:shd w:val="clear" w:color="auto" w:fill="auto"/>
            <w:noWrap/>
            <w:vAlign w:val="bottom"/>
          </w:tcPr>
          <w:p w14:paraId="53A6E289"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2.53</w:t>
            </w:r>
          </w:p>
        </w:tc>
        <w:tc>
          <w:tcPr>
            <w:tcW w:w="1360" w:type="dxa"/>
            <w:tcBorders>
              <w:top w:val="single" w:sz="4" w:space="0" w:color="auto"/>
              <w:left w:val="nil"/>
              <w:bottom w:val="single" w:sz="4" w:space="0" w:color="auto"/>
              <w:right w:val="single" w:sz="4" w:space="0" w:color="auto"/>
            </w:tcBorders>
            <w:shd w:val="clear" w:color="auto" w:fill="auto"/>
            <w:noWrap/>
            <w:vAlign w:val="bottom"/>
          </w:tcPr>
          <w:p w14:paraId="444D7C82"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0.0118</w:t>
            </w:r>
          </w:p>
        </w:tc>
        <w:tc>
          <w:tcPr>
            <w:tcW w:w="1060" w:type="dxa"/>
            <w:tcBorders>
              <w:top w:val="single" w:sz="4" w:space="0" w:color="auto"/>
              <w:left w:val="nil"/>
              <w:bottom w:val="single" w:sz="4" w:space="0" w:color="auto"/>
              <w:right w:val="single" w:sz="4" w:space="0" w:color="auto"/>
            </w:tcBorders>
            <w:shd w:val="clear" w:color="auto" w:fill="auto"/>
            <w:noWrap/>
            <w:vAlign w:val="bottom"/>
          </w:tcPr>
          <w:p w14:paraId="6BAE5FCA"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0.0236</w:t>
            </w:r>
          </w:p>
        </w:tc>
      </w:tr>
      <w:tr w:rsidR="007B0626" w:rsidRPr="007B0626" w14:paraId="7D708B38" w14:textId="77777777" w:rsidTr="007B0626">
        <w:trPr>
          <w:trHeight w:val="290"/>
        </w:trPr>
        <w:tc>
          <w:tcPr>
            <w:tcW w:w="1460" w:type="dxa"/>
            <w:tcBorders>
              <w:top w:val="single" w:sz="4" w:space="0" w:color="auto"/>
              <w:left w:val="single" w:sz="4" w:space="0" w:color="auto"/>
              <w:bottom w:val="single" w:sz="4" w:space="0" w:color="auto"/>
              <w:right w:val="single" w:sz="4" w:space="0" w:color="auto"/>
            </w:tcBorders>
            <w:shd w:val="clear" w:color="000000" w:fill="E7E6E6"/>
            <w:noWrap/>
            <w:vAlign w:val="bottom"/>
          </w:tcPr>
          <w:p w14:paraId="0D6A4829" w14:textId="77777777" w:rsidR="007B0626" w:rsidRPr="007B0626" w:rsidRDefault="007B0626">
            <w:pPr>
              <w:rPr>
                <w:rFonts w:ascii="Calibri" w:hAnsi="Calibri" w:cs="Calibri"/>
                <w:b/>
                <w:bCs/>
                <w:color w:val="000000"/>
                <w:sz w:val="22"/>
                <w:szCs w:val="22"/>
              </w:rPr>
            </w:pPr>
            <w:r w:rsidRPr="007B0626">
              <w:rPr>
                <w:rFonts w:ascii="Calibri" w:hAnsi="Calibri" w:cs="Calibri"/>
                <w:b/>
                <w:bCs/>
                <w:color w:val="000000"/>
                <w:sz w:val="22"/>
                <w:szCs w:val="22"/>
              </w:rPr>
              <w:t>CLIC3</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415EF55B"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Ari</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72F78131" w14:textId="77777777" w:rsidR="007B0626" w:rsidRPr="007B0626" w:rsidRDefault="007B0626">
            <w:pPr>
              <w:rPr>
                <w:rFonts w:ascii="Calibri" w:hAnsi="Calibri" w:cs="Calibri"/>
                <w:color w:val="000000"/>
                <w:sz w:val="22"/>
                <w:szCs w:val="22"/>
              </w:rPr>
            </w:pPr>
            <w:proofErr w:type="spellStart"/>
            <w:r w:rsidRPr="007B0626">
              <w:rPr>
                <w:rFonts w:ascii="Calibri" w:hAnsi="Calibri" w:cs="Calibri"/>
                <w:color w:val="000000"/>
                <w:sz w:val="22"/>
                <w:szCs w:val="22"/>
              </w:rPr>
              <w:t>Que</w:t>
            </w:r>
            <w:proofErr w:type="spellEnd"/>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1C242C8A" w14:textId="77777777" w:rsidR="007B0626" w:rsidRPr="007B0626" w:rsidRDefault="007B0626" w:rsidP="007B0626">
            <w:pPr>
              <w:rPr>
                <w:rFonts w:ascii="Calibri" w:hAnsi="Calibri" w:cs="Calibri"/>
                <w:color w:val="000000"/>
                <w:sz w:val="22"/>
                <w:szCs w:val="22"/>
              </w:rPr>
            </w:pPr>
            <w:r w:rsidRPr="007B0626">
              <w:rPr>
                <w:rFonts w:ascii="Calibri" w:hAnsi="Calibri" w:cs="Calibri"/>
                <w:color w:val="000000"/>
                <w:sz w:val="22"/>
                <w:szCs w:val="22"/>
              </w:rPr>
              <w:t>416</w:t>
            </w:r>
          </w:p>
        </w:tc>
        <w:tc>
          <w:tcPr>
            <w:tcW w:w="1280" w:type="dxa"/>
            <w:tcBorders>
              <w:top w:val="single" w:sz="4" w:space="0" w:color="auto"/>
              <w:left w:val="nil"/>
              <w:bottom w:val="single" w:sz="4" w:space="0" w:color="auto"/>
              <w:right w:val="single" w:sz="4" w:space="0" w:color="auto"/>
            </w:tcBorders>
            <w:shd w:val="clear" w:color="auto" w:fill="auto"/>
            <w:noWrap/>
            <w:vAlign w:val="bottom"/>
          </w:tcPr>
          <w:p w14:paraId="32CD67CD"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3.35</w:t>
            </w:r>
          </w:p>
        </w:tc>
        <w:tc>
          <w:tcPr>
            <w:tcW w:w="1360" w:type="dxa"/>
            <w:tcBorders>
              <w:top w:val="single" w:sz="4" w:space="0" w:color="auto"/>
              <w:left w:val="nil"/>
              <w:bottom w:val="single" w:sz="4" w:space="0" w:color="auto"/>
              <w:right w:val="single" w:sz="4" w:space="0" w:color="auto"/>
            </w:tcBorders>
            <w:shd w:val="clear" w:color="auto" w:fill="auto"/>
            <w:noWrap/>
            <w:vAlign w:val="bottom"/>
          </w:tcPr>
          <w:p w14:paraId="0D13E9C2"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0.0009</w:t>
            </w:r>
          </w:p>
        </w:tc>
        <w:tc>
          <w:tcPr>
            <w:tcW w:w="1060" w:type="dxa"/>
            <w:tcBorders>
              <w:top w:val="single" w:sz="4" w:space="0" w:color="auto"/>
              <w:left w:val="nil"/>
              <w:bottom w:val="single" w:sz="4" w:space="0" w:color="auto"/>
              <w:right w:val="single" w:sz="4" w:space="0" w:color="auto"/>
            </w:tcBorders>
            <w:shd w:val="clear" w:color="auto" w:fill="auto"/>
            <w:noWrap/>
            <w:vAlign w:val="bottom"/>
          </w:tcPr>
          <w:p w14:paraId="4FFB797D"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0.0053</w:t>
            </w:r>
          </w:p>
        </w:tc>
      </w:tr>
      <w:tr w:rsidR="007B0626" w:rsidRPr="007B0626" w14:paraId="4E84225A" w14:textId="77777777" w:rsidTr="007B0626">
        <w:trPr>
          <w:trHeight w:val="290"/>
        </w:trPr>
        <w:tc>
          <w:tcPr>
            <w:tcW w:w="1460" w:type="dxa"/>
            <w:tcBorders>
              <w:top w:val="single" w:sz="4" w:space="0" w:color="auto"/>
              <w:left w:val="single" w:sz="4" w:space="0" w:color="auto"/>
              <w:bottom w:val="single" w:sz="4" w:space="0" w:color="auto"/>
              <w:right w:val="single" w:sz="4" w:space="0" w:color="auto"/>
            </w:tcBorders>
            <w:shd w:val="clear" w:color="000000" w:fill="E7E6E6"/>
            <w:noWrap/>
            <w:vAlign w:val="bottom"/>
          </w:tcPr>
          <w:p w14:paraId="6199E93D" w14:textId="77777777" w:rsidR="007B0626" w:rsidRPr="007B0626" w:rsidRDefault="007B0626">
            <w:pPr>
              <w:rPr>
                <w:rFonts w:ascii="Calibri" w:hAnsi="Calibri" w:cs="Calibri"/>
                <w:b/>
                <w:bCs/>
                <w:color w:val="000000"/>
                <w:sz w:val="22"/>
                <w:szCs w:val="22"/>
              </w:rPr>
            </w:pPr>
            <w:r w:rsidRPr="007B0626">
              <w:rPr>
                <w:rFonts w:ascii="Calibri" w:hAnsi="Calibri" w:cs="Calibri"/>
                <w:b/>
                <w:bCs/>
                <w:color w:val="000000"/>
                <w:sz w:val="22"/>
                <w:szCs w:val="22"/>
              </w:rPr>
              <w:t>GZMB</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6895B9C6"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Ari</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5304E15B" w14:textId="77777777" w:rsidR="007B0626" w:rsidRPr="007B0626" w:rsidRDefault="007B0626">
            <w:pPr>
              <w:rPr>
                <w:rFonts w:ascii="Calibri" w:hAnsi="Calibri" w:cs="Calibri"/>
                <w:color w:val="000000"/>
                <w:sz w:val="22"/>
                <w:szCs w:val="22"/>
              </w:rPr>
            </w:pPr>
            <w:proofErr w:type="spellStart"/>
            <w:r w:rsidRPr="007B0626">
              <w:rPr>
                <w:rFonts w:ascii="Calibri" w:hAnsi="Calibri" w:cs="Calibri"/>
                <w:color w:val="000000"/>
                <w:sz w:val="22"/>
                <w:szCs w:val="22"/>
              </w:rPr>
              <w:t>APfree</w:t>
            </w:r>
            <w:proofErr w:type="spellEnd"/>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7D4646A2" w14:textId="77777777" w:rsidR="007B0626" w:rsidRPr="007B0626" w:rsidRDefault="007B0626" w:rsidP="007B0626">
            <w:pPr>
              <w:rPr>
                <w:rFonts w:ascii="Calibri" w:hAnsi="Calibri" w:cs="Calibri"/>
                <w:color w:val="000000"/>
                <w:sz w:val="22"/>
                <w:szCs w:val="22"/>
              </w:rPr>
            </w:pPr>
            <w:r w:rsidRPr="007B0626">
              <w:rPr>
                <w:rFonts w:ascii="Calibri" w:hAnsi="Calibri" w:cs="Calibri"/>
                <w:color w:val="000000"/>
                <w:sz w:val="22"/>
                <w:szCs w:val="22"/>
              </w:rPr>
              <w:t>416</w:t>
            </w:r>
          </w:p>
        </w:tc>
        <w:tc>
          <w:tcPr>
            <w:tcW w:w="1280" w:type="dxa"/>
            <w:tcBorders>
              <w:top w:val="single" w:sz="4" w:space="0" w:color="auto"/>
              <w:left w:val="nil"/>
              <w:bottom w:val="single" w:sz="4" w:space="0" w:color="auto"/>
              <w:right w:val="single" w:sz="4" w:space="0" w:color="auto"/>
            </w:tcBorders>
            <w:shd w:val="clear" w:color="auto" w:fill="auto"/>
            <w:noWrap/>
            <w:vAlign w:val="bottom"/>
          </w:tcPr>
          <w:p w14:paraId="0C10A83F"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2.56</w:t>
            </w:r>
          </w:p>
        </w:tc>
        <w:tc>
          <w:tcPr>
            <w:tcW w:w="1360" w:type="dxa"/>
            <w:tcBorders>
              <w:top w:val="single" w:sz="4" w:space="0" w:color="auto"/>
              <w:left w:val="nil"/>
              <w:bottom w:val="single" w:sz="4" w:space="0" w:color="auto"/>
              <w:right w:val="single" w:sz="4" w:space="0" w:color="auto"/>
            </w:tcBorders>
            <w:shd w:val="clear" w:color="auto" w:fill="auto"/>
            <w:noWrap/>
            <w:vAlign w:val="bottom"/>
          </w:tcPr>
          <w:p w14:paraId="761321DF"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0.0107</w:t>
            </w:r>
          </w:p>
        </w:tc>
        <w:tc>
          <w:tcPr>
            <w:tcW w:w="1060" w:type="dxa"/>
            <w:tcBorders>
              <w:top w:val="single" w:sz="4" w:space="0" w:color="auto"/>
              <w:left w:val="nil"/>
              <w:bottom w:val="single" w:sz="4" w:space="0" w:color="auto"/>
              <w:right w:val="single" w:sz="4" w:space="0" w:color="auto"/>
            </w:tcBorders>
            <w:shd w:val="clear" w:color="auto" w:fill="auto"/>
            <w:noWrap/>
            <w:vAlign w:val="bottom"/>
          </w:tcPr>
          <w:p w14:paraId="57074F90"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0.0259</w:t>
            </w:r>
          </w:p>
        </w:tc>
      </w:tr>
      <w:tr w:rsidR="007B0626" w:rsidRPr="007B0626" w14:paraId="13C632EC" w14:textId="77777777" w:rsidTr="007B0626">
        <w:trPr>
          <w:trHeight w:val="290"/>
        </w:trPr>
        <w:tc>
          <w:tcPr>
            <w:tcW w:w="1460" w:type="dxa"/>
            <w:tcBorders>
              <w:top w:val="single" w:sz="4" w:space="0" w:color="auto"/>
              <w:left w:val="single" w:sz="4" w:space="0" w:color="auto"/>
              <w:bottom w:val="single" w:sz="4" w:space="0" w:color="auto"/>
              <w:right w:val="single" w:sz="4" w:space="0" w:color="auto"/>
            </w:tcBorders>
            <w:shd w:val="clear" w:color="000000" w:fill="E7E6E6"/>
            <w:noWrap/>
            <w:vAlign w:val="bottom"/>
          </w:tcPr>
          <w:p w14:paraId="3E26A4C5" w14:textId="77777777" w:rsidR="007B0626" w:rsidRPr="007B0626" w:rsidRDefault="007B0626">
            <w:pPr>
              <w:rPr>
                <w:rFonts w:ascii="Calibri" w:hAnsi="Calibri" w:cs="Calibri"/>
                <w:b/>
                <w:bCs/>
                <w:color w:val="000000"/>
                <w:sz w:val="22"/>
                <w:szCs w:val="22"/>
              </w:rPr>
            </w:pPr>
            <w:r w:rsidRPr="007B0626">
              <w:rPr>
                <w:rFonts w:ascii="Calibri" w:hAnsi="Calibri" w:cs="Calibri"/>
                <w:b/>
                <w:bCs/>
                <w:color w:val="000000"/>
                <w:sz w:val="22"/>
                <w:szCs w:val="22"/>
              </w:rPr>
              <w:t>GZMB</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6B8BFDBE"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Ari</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74925C9A"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Ola</w:t>
            </w: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2DF78671" w14:textId="77777777" w:rsidR="007B0626" w:rsidRPr="007B0626" w:rsidRDefault="007B0626" w:rsidP="007B0626">
            <w:pPr>
              <w:rPr>
                <w:rFonts w:ascii="Calibri" w:hAnsi="Calibri" w:cs="Calibri"/>
                <w:color w:val="000000"/>
                <w:sz w:val="22"/>
                <w:szCs w:val="22"/>
              </w:rPr>
            </w:pPr>
            <w:r w:rsidRPr="007B0626">
              <w:rPr>
                <w:rFonts w:ascii="Calibri" w:hAnsi="Calibri" w:cs="Calibri"/>
                <w:color w:val="000000"/>
                <w:sz w:val="22"/>
                <w:szCs w:val="22"/>
              </w:rPr>
              <w:t>416</w:t>
            </w:r>
          </w:p>
        </w:tc>
        <w:tc>
          <w:tcPr>
            <w:tcW w:w="1280" w:type="dxa"/>
            <w:tcBorders>
              <w:top w:val="single" w:sz="4" w:space="0" w:color="auto"/>
              <w:left w:val="nil"/>
              <w:bottom w:val="single" w:sz="4" w:space="0" w:color="auto"/>
              <w:right w:val="single" w:sz="4" w:space="0" w:color="auto"/>
            </w:tcBorders>
            <w:shd w:val="clear" w:color="auto" w:fill="auto"/>
            <w:noWrap/>
            <w:vAlign w:val="bottom"/>
          </w:tcPr>
          <w:p w14:paraId="0BED78B1"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2.50</w:t>
            </w:r>
          </w:p>
        </w:tc>
        <w:tc>
          <w:tcPr>
            <w:tcW w:w="1360" w:type="dxa"/>
            <w:tcBorders>
              <w:top w:val="single" w:sz="4" w:space="0" w:color="auto"/>
              <w:left w:val="nil"/>
              <w:bottom w:val="single" w:sz="4" w:space="0" w:color="auto"/>
              <w:right w:val="single" w:sz="4" w:space="0" w:color="auto"/>
            </w:tcBorders>
            <w:shd w:val="clear" w:color="auto" w:fill="auto"/>
            <w:noWrap/>
            <w:vAlign w:val="bottom"/>
          </w:tcPr>
          <w:p w14:paraId="303BD766"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0.0129</w:t>
            </w:r>
          </w:p>
        </w:tc>
        <w:tc>
          <w:tcPr>
            <w:tcW w:w="1060" w:type="dxa"/>
            <w:tcBorders>
              <w:top w:val="single" w:sz="4" w:space="0" w:color="auto"/>
              <w:left w:val="nil"/>
              <w:bottom w:val="single" w:sz="4" w:space="0" w:color="auto"/>
              <w:right w:val="single" w:sz="4" w:space="0" w:color="auto"/>
            </w:tcBorders>
            <w:shd w:val="clear" w:color="auto" w:fill="auto"/>
            <w:noWrap/>
            <w:vAlign w:val="bottom"/>
          </w:tcPr>
          <w:p w14:paraId="02C32745"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0.0259</w:t>
            </w:r>
          </w:p>
        </w:tc>
      </w:tr>
      <w:tr w:rsidR="007B0626" w:rsidRPr="007B0626" w14:paraId="52649D35" w14:textId="77777777" w:rsidTr="007B0626">
        <w:trPr>
          <w:trHeight w:val="290"/>
        </w:trPr>
        <w:tc>
          <w:tcPr>
            <w:tcW w:w="1460" w:type="dxa"/>
            <w:tcBorders>
              <w:top w:val="single" w:sz="4" w:space="0" w:color="auto"/>
              <w:left w:val="single" w:sz="4" w:space="0" w:color="auto"/>
              <w:bottom w:val="single" w:sz="4" w:space="0" w:color="auto"/>
              <w:right w:val="single" w:sz="4" w:space="0" w:color="auto"/>
            </w:tcBorders>
            <w:shd w:val="clear" w:color="000000" w:fill="E7E6E6"/>
            <w:noWrap/>
            <w:vAlign w:val="bottom"/>
          </w:tcPr>
          <w:p w14:paraId="359C4BB3" w14:textId="77777777" w:rsidR="007B0626" w:rsidRPr="007B0626" w:rsidRDefault="007B0626">
            <w:pPr>
              <w:rPr>
                <w:rFonts w:ascii="Calibri" w:hAnsi="Calibri" w:cs="Calibri"/>
                <w:b/>
                <w:bCs/>
                <w:color w:val="000000"/>
                <w:sz w:val="22"/>
                <w:szCs w:val="22"/>
              </w:rPr>
            </w:pPr>
            <w:r w:rsidRPr="007B0626">
              <w:rPr>
                <w:rFonts w:ascii="Calibri" w:hAnsi="Calibri" w:cs="Calibri"/>
                <w:b/>
                <w:bCs/>
                <w:color w:val="000000"/>
                <w:sz w:val="22"/>
                <w:szCs w:val="22"/>
              </w:rPr>
              <w:t>GZMB</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4810D2D7"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Ari</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48756084" w14:textId="77777777" w:rsidR="007B0626" w:rsidRPr="007B0626" w:rsidRDefault="007B0626">
            <w:pPr>
              <w:rPr>
                <w:rFonts w:ascii="Calibri" w:hAnsi="Calibri" w:cs="Calibri"/>
                <w:color w:val="000000"/>
                <w:sz w:val="22"/>
                <w:szCs w:val="22"/>
              </w:rPr>
            </w:pPr>
            <w:proofErr w:type="spellStart"/>
            <w:r w:rsidRPr="007B0626">
              <w:rPr>
                <w:rFonts w:ascii="Calibri" w:hAnsi="Calibri" w:cs="Calibri"/>
                <w:color w:val="000000"/>
                <w:sz w:val="22"/>
                <w:szCs w:val="22"/>
              </w:rPr>
              <w:t>Que</w:t>
            </w:r>
            <w:proofErr w:type="spellEnd"/>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5A047CB2" w14:textId="77777777" w:rsidR="007B0626" w:rsidRPr="007B0626" w:rsidRDefault="007B0626" w:rsidP="007B0626">
            <w:pPr>
              <w:rPr>
                <w:rFonts w:ascii="Calibri" w:hAnsi="Calibri" w:cs="Calibri"/>
                <w:color w:val="000000"/>
                <w:sz w:val="22"/>
                <w:szCs w:val="22"/>
              </w:rPr>
            </w:pPr>
            <w:r w:rsidRPr="007B0626">
              <w:rPr>
                <w:rFonts w:ascii="Calibri" w:hAnsi="Calibri" w:cs="Calibri"/>
                <w:color w:val="000000"/>
                <w:sz w:val="22"/>
                <w:szCs w:val="22"/>
              </w:rPr>
              <w:t>416</w:t>
            </w:r>
          </w:p>
        </w:tc>
        <w:tc>
          <w:tcPr>
            <w:tcW w:w="1280" w:type="dxa"/>
            <w:tcBorders>
              <w:top w:val="single" w:sz="4" w:space="0" w:color="auto"/>
              <w:left w:val="nil"/>
              <w:bottom w:val="single" w:sz="4" w:space="0" w:color="auto"/>
              <w:right w:val="single" w:sz="4" w:space="0" w:color="auto"/>
            </w:tcBorders>
            <w:shd w:val="clear" w:color="auto" w:fill="auto"/>
            <w:noWrap/>
            <w:vAlign w:val="bottom"/>
          </w:tcPr>
          <w:p w14:paraId="7930A335"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3.69</w:t>
            </w:r>
          </w:p>
        </w:tc>
        <w:tc>
          <w:tcPr>
            <w:tcW w:w="1360" w:type="dxa"/>
            <w:tcBorders>
              <w:top w:val="single" w:sz="4" w:space="0" w:color="auto"/>
              <w:left w:val="nil"/>
              <w:bottom w:val="single" w:sz="4" w:space="0" w:color="auto"/>
              <w:right w:val="single" w:sz="4" w:space="0" w:color="auto"/>
            </w:tcBorders>
            <w:shd w:val="clear" w:color="auto" w:fill="auto"/>
            <w:noWrap/>
            <w:vAlign w:val="bottom"/>
          </w:tcPr>
          <w:p w14:paraId="59F233B2"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0.0003</w:t>
            </w:r>
          </w:p>
        </w:tc>
        <w:tc>
          <w:tcPr>
            <w:tcW w:w="1060" w:type="dxa"/>
            <w:tcBorders>
              <w:top w:val="single" w:sz="4" w:space="0" w:color="auto"/>
              <w:left w:val="nil"/>
              <w:bottom w:val="single" w:sz="4" w:space="0" w:color="auto"/>
              <w:right w:val="single" w:sz="4" w:space="0" w:color="auto"/>
            </w:tcBorders>
            <w:shd w:val="clear" w:color="auto" w:fill="auto"/>
            <w:noWrap/>
            <w:vAlign w:val="bottom"/>
          </w:tcPr>
          <w:p w14:paraId="3BB60EDA"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0.0016</w:t>
            </w:r>
          </w:p>
        </w:tc>
      </w:tr>
      <w:tr w:rsidR="007B0626" w:rsidRPr="007B0626" w14:paraId="72936B08" w14:textId="77777777" w:rsidTr="007B0626">
        <w:trPr>
          <w:trHeight w:val="290"/>
        </w:trPr>
        <w:tc>
          <w:tcPr>
            <w:tcW w:w="1460" w:type="dxa"/>
            <w:tcBorders>
              <w:top w:val="single" w:sz="4" w:space="0" w:color="auto"/>
              <w:left w:val="single" w:sz="4" w:space="0" w:color="auto"/>
              <w:bottom w:val="single" w:sz="4" w:space="0" w:color="auto"/>
              <w:right w:val="single" w:sz="4" w:space="0" w:color="auto"/>
            </w:tcBorders>
            <w:shd w:val="clear" w:color="000000" w:fill="E7E6E6"/>
            <w:noWrap/>
            <w:vAlign w:val="bottom"/>
          </w:tcPr>
          <w:p w14:paraId="78EFD630" w14:textId="77777777" w:rsidR="007B0626" w:rsidRPr="007B0626" w:rsidRDefault="007B0626">
            <w:pPr>
              <w:rPr>
                <w:rFonts w:ascii="Calibri" w:hAnsi="Calibri" w:cs="Calibri"/>
                <w:b/>
                <w:bCs/>
                <w:color w:val="000000"/>
                <w:sz w:val="22"/>
                <w:szCs w:val="22"/>
              </w:rPr>
            </w:pPr>
            <w:r w:rsidRPr="007B0626">
              <w:rPr>
                <w:rFonts w:ascii="Calibri" w:hAnsi="Calibri" w:cs="Calibri"/>
                <w:b/>
                <w:bCs/>
                <w:color w:val="000000"/>
                <w:sz w:val="22"/>
                <w:szCs w:val="22"/>
              </w:rPr>
              <w:t>PTGDS</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23F8EAC6"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Ari</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1F5360CF" w14:textId="77777777" w:rsidR="007B0626" w:rsidRPr="007B0626" w:rsidRDefault="007B0626">
            <w:pPr>
              <w:rPr>
                <w:rFonts w:ascii="Calibri" w:hAnsi="Calibri" w:cs="Calibri"/>
                <w:color w:val="000000"/>
                <w:sz w:val="22"/>
                <w:szCs w:val="22"/>
              </w:rPr>
            </w:pPr>
            <w:proofErr w:type="spellStart"/>
            <w:r w:rsidRPr="007B0626">
              <w:rPr>
                <w:rFonts w:ascii="Calibri" w:hAnsi="Calibri" w:cs="Calibri"/>
                <w:color w:val="000000"/>
                <w:sz w:val="22"/>
                <w:szCs w:val="22"/>
              </w:rPr>
              <w:t>APfree</w:t>
            </w:r>
            <w:proofErr w:type="spellEnd"/>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5CB5A57C" w14:textId="77777777" w:rsidR="007B0626" w:rsidRPr="007B0626" w:rsidRDefault="007B0626" w:rsidP="007B0626">
            <w:pPr>
              <w:rPr>
                <w:rFonts w:ascii="Calibri" w:hAnsi="Calibri" w:cs="Calibri"/>
                <w:color w:val="000000"/>
                <w:sz w:val="22"/>
                <w:szCs w:val="22"/>
              </w:rPr>
            </w:pPr>
            <w:r w:rsidRPr="007B0626">
              <w:rPr>
                <w:rFonts w:ascii="Calibri" w:hAnsi="Calibri" w:cs="Calibri"/>
                <w:color w:val="000000"/>
                <w:sz w:val="22"/>
                <w:szCs w:val="22"/>
              </w:rPr>
              <w:t>416</w:t>
            </w:r>
          </w:p>
        </w:tc>
        <w:tc>
          <w:tcPr>
            <w:tcW w:w="1280" w:type="dxa"/>
            <w:tcBorders>
              <w:top w:val="single" w:sz="4" w:space="0" w:color="auto"/>
              <w:left w:val="nil"/>
              <w:bottom w:val="single" w:sz="4" w:space="0" w:color="auto"/>
              <w:right w:val="single" w:sz="4" w:space="0" w:color="auto"/>
            </w:tcBorders>
            <w:shd w:val="clear" w:color="auto" w:fill="auto"/>
            <w:noWrap/>
            <w:vAlign w:val="bottom"/>
          </w:tcPr>
          <w:p w14:paraId="3F9A8068"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3.53</w:t>
            </w:r>
          </w:p>
        </w:tc>
        <w:tc>
          <w:tcPr>
            <w:tcW w:w="1360" w:type="dxa"/>
            <w:tcBorders>
              <w:top w:val="single" w:sz="4" w:space="0" w:color="auto"/>
              <w:left w:val="nil"/>
              <w:bottom w:val="single" w:sz="4" w:space="0" w:color="auto"/>
              <w:right w:val="single" w:sz="4" w:space="0" w:color="auto"/>
            </w:tcBorders>
            <w:shd w:val="clear" w:color="auto" w:fill="auto"/>
            <w:noWrap/>
            <w:vAlign w:val="bottom"/>
          </w:tcPr>
          <w:p w14:paraId="253CE103"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0.0005</w:t>
            </w:r>
          </w:p>
        </w:tc>
        <w:tc>
          <w:tcPr>
            <w:tcW w:w="1060" w:type="dxa"/>
            <w:tcBorders>
              <w:top w:val="single" w:sz="4" w:space="0" w:color="auto"/>
              <w:left w:val="nil"/>
              <w:bottom w:val="single" w:sz="4" w:space="0" w:color="auto"/>
              <w:right w:val="single" w:sz="4" w:space="0" w:color="auto"/>
            </w:tcBorders>
            <w:shd w:val="clear" w:color="auto" w:fill="auto"/>
            <w:noWrap/>
            <w:vAlign w:val="bottom"/>
          </w:tcPr>
          <w:p w14:paraId="2B90F1A7"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0.0009</w:t>
            </w:r>
          </w:p>
        </w:tc>
      </w:tr>
      <w:tr w:rsidR="007B0626" w:rsidRPr="007B0626" w14:paraId="08757403" w14:textId="77777777" w:rsidTr="007B0626">
        <w:trPr>
          <w:trHeight w:val="290"/>
        </w:trPr>
        <w:tc>
          <w:tcPr>
            <w:tcW w:w="1460" w:type="dxa"/>
            <w:tcBorders>
              <w:top w:val="single" w:sz="4" w:space="0" w:color="auto"/>
              <w:left w:val="single" w:sz="4" w:space="0" w:color="auto"/>
              <w:bottom w:val="single" w:sz="4" w:space="0" w:color="auto"/>
              <w:right w:val="single" w:sz="4" w:space="0" w:color="auto"/>
            </w:tcBorders>
            <w:shd w:val="clear" w:color="000000" w:fill="E7E6E6"/>
            <w:noWrap/>
            <w:vAlign w:val="bottom"/>
          </w:tcPr>
          <w:p w14:paraId="1C7E0A2B" w14:textId="77777777" w:rsidR="007B0626" w:rsidRPr="007B0626" w:rsidRDefault="007B0626">
            <w:pPr>
              <w:rPr>
                <w:rFonts w:ascii="Calibri" w:hAnsi="Calibri" w:cs="Calibri"/>
                <w:b/>
                <w:bCs/>
                <w:color w:val="000000"/>
                <w:sz w:val="22"/>
                <w:szCs w:val="22"/>
              </w:rPr>
            </w:pPr>
            <w:r w:rsidRPr="007B0626">
              <w:rPr>
                <w:rFonts w:ascii="Calibri" w:hAnsi="Calibri" w:cs="Calibri"/>
                <w:b/>
                <w:bCs/>
                <w:color w:val="000000"/>
                <w:sz w:val="22"/>
                <w:szCs w:val="22"/>
              </w:rPr>
              <w:t>PTGDS</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2A58DBA1"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Ari</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2DEE7852"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Ola</w:t>
            </w: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308AAA8C" w14:textId="77777777" w:rsidR="007B0626" w:rsidRPr="007B0626" w:rsidRDefault="007B0626" w:rsidP="007B0626">
            <w:pPr>
              <w:rPr>
                <w:rFonts w:ascii="Calibri" w:hAnsi="Calibri" w:cs="Calibri"/>
                <w:color w:val="000000"/>
                <w:sz w:val="22"/>
                <w:szCs w:val="22"/>
              </w:rPr>
            </w:pPr>
            <w:r w:rsidRPr="007B0626">
              <w:rPr>
                <w:rFonts w:ascii="Calibri" w:hAnsi="Calibri" w:cs="Calibri"/>
                <w:color w:val="000000"/>
                <w:sz w:val="22"/>
                <w:szCs w:val="22"/>
              </w:rPr>
              <w:t>416</w:t>
            </w:r>
          </w:p>
        </w:tc>
        <w:tc>
          <w:tcPr>
            <w:tcW w:w="1280" w:type="dxa"/>
            <w:tcBorders>
              <w:top w:val="single" w:sz="4" w:space="0" w:color="auto"/>
              <w:left w:val="nil"/>
              <w:bottom w:val="single" w:sz="4" w:space="0" w:color="auto"/>
              <w:right w:val="single" w:sz="4" w:space="0" w:color="auto"/>
            </w:tcBorders>
            <w:shd w:val="clear" w:color="auto" w:fill="auto"/>
            <w:noWrap/>
            <w:vAlign w:val="bottom"/>
          </w:tcPr>
          <w:p w14:paraId="52BD7EA5"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3.67</w:t>
            </w:r>
          </w:p>
        </w:tc>
        <w:tc>
          <w:tcPr>
            <w:tcW w:w="1360" w:type="dxa"/>
            <w:tcBorders>
              <w:top w:val="single" w:sz="4" w:space="0" w:color="auto"/>
              <w:left w:val="nil"/>
              <w:bottom w:val="single" w:sz="4" w:space="0" w:color="auto"/>
              <w:right w:val="single" w:sz="4" w:space="0" w:color="auto"/>
            </w:tcBorders>
            <w:shd w:val="clear" w:color="auto" w:fill="auto"/>
            <w:noWrap/>
            <w:vAlign w:val="bottom"/>
          </w:tcPr>
          <w:p w14:paraId="4AB06C36"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0.0003</w:t>
            </w:r>
          </w:p>
        </w:tc>
        <w:tc>
          <w:tcPr>
            <w:tcW w:w="1060" w:type="dxa"/>
            <w:tcBorders>
              <w:top w:val="single" w:sz="4" w:space="0" w:color="auto"/>
              <w:left w:val="nil"/>
              <w:bottom w:val="single" w:sz="4" w:space="0" w:color="auto"/>
              <w:right w:val="single" w:sz="4" w:space="0" w:color="auto"/>
            </w:tcBorders>
            <w:shd w:val="clear" w:color="auto" w:fill="auto"/>
            <w:noWrap/>
            <w:vAlign w:val="bottom"/>
          </w:tcPr>
          <w:p w14:paraId="6D343F83"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0.0008</w:t>
            </w:r>
          </w:p>
        </w:tc>
      </w:tr>
      <w:tr w:rsidR="007B0626" w:rsidRPr="007B0626" w14:paraId="215DEA0C" w14:textId="77777777" w:rsidTr="007B0626">
        <w:trPr>
          <w:trHeight w:val="290"/>
        </w:trPr>
        <w:tc>
          <w:tcPr>
            <w:tcW w:w="1460" w:type="dxa"/>
            <w:tcBorders>
              <w:top w:val="single" w:sz="4" w:space="0" w:color="auto"/>
              <w:left w:val="single" w:sz="4" w:space="0" w:color="auto"/>
              <w:bottom w:val="single" w:sz="4" w:space="0" w:color="auto"/>
              <w:right w:val="single" w:sz="4" w:space="0" w:color="auto"/>
            </w:tcBorders>
            <w:shd w:val="clear" w:color="000000" w:fill="E7E6E6"/>
            <w:noWrap/>
            <w:vAlign w:val="bottom"/>
          </w:tcPr>
          <w:p w14:paraId="1CF04E77" w14:textId="77777777" w:rsidR="007B0626" w:rsidRPr="007B0626" w:rsidRDefault="007B0626">
            <w:pPr>
              <w:rPr>
                <w:rFonts w:ascii="Calibri" w:hAnsi="Calibri" w:cs="Calibri"/>
                <w:b/>
                <w:bCs/>
                <w:color w:val="000000"/>
                <w:sz w:val="22"/>
                <w:szCs w:val="22"/>
              </w:rPr>
            </w:pPr>
            <w:r w:rsidRPr="007B0626">
              <w:rPr>
                <w:rFonts w:ascii="Calibri" w:hAnsi="Calibri" w:cs="Calibri"/>
                <w:b/>
                <w:bCs/>
                <w:color w:val="000000"/>
                <w:sz w:val="22"/>
                <w:szCs w:val="22"/>
              </w:rPr>
              <w:t>PTGDS</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49FEE79F"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Ari</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5308A809" w14:textId="77777777" w:rsidR="007B0626" w:rsidRPr="007B0626" w:rsidRDefault="007B0626">
            <w:pPr>
              <w:rPr>
                <w:rFonts w:ascii="Calibri" w:hAnsi="Calibri" w:cs="Calibri"/>
                <w:color w:val="000000"/>
                <w:sz w:val="22"/>
                <w:szCs w:val="22"/>
              </w:rPr>
            </w:pPr>
            <w:proofErr w:type="spellStart"/>
            <w:r w:rsidRPr="007B0626">
              <w:rPr>
                <w:rFonts w:ascii="Calibri" w:hAnsi="Calibri" w:cs="Calibri"/>
                <w:color w:val="000000"/>
                <w:sz w:val="22"/>
                <w:szCs w:val="22"/>
              </w:rPr>
              <w:t>Que</w:t>
            </w:r>
            <w:proofErr w:type="spellEnd"/>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0E2342FB" w14:textId="77777777" w:rsidR="007B0626" w:rsidRPr="007B0626" w:rsidRDefault="007B0626" w:rsidP="007B0626">
            <w:pPr>
              <w:rPr>
                <w:rFonts w:ascii="Calibri" w:hAnsi="Calibri" w:cs="Calibri"/>
                <w:color w:val="000000"/>
                <w:sz w:val="22"/>
                <w:szCs w:val="22"/>
              </w:rPr>
            </w:pPr>
            <w:r w:rsidRPr="007B0626">
              <w:rPr>
                <w:rFonts w:ascii="Calibri" w:hAnsi="Calibri" w:cs="Calibri"/>
                <w:color w:val="000000"/>
                <w:sz w:val="22"/>
                <w:szCs w:val="22"/>
              </w:rPr>
              <w:t>416</w:t>
            </w:r>
          </w:p>
        </w:tc>
        <w:tc>
          <w:tcPr>
            <w:tcW w:w="1280" w:type="dxa"/>
            <w:tcBorders>
              <w:top w:val="single" w:sz="4" w:space="0" w:color="auto"/>
              <w:left w:val="nil"/>
              <w:bottom w:val="single" w:sz="4" w:space="0" w:color="auto"/>
              <w:right w:val="single" w:sz="4" w:space="0" w:color="auto"/>
            </w:tcBorders>
            <w:shd w:val="clear" w:color="auto" w:fill="auto"/>
            <w:noWrap/>
            <w:vAlign w:val="bottom"/>
          </w:tcPr>
          <w:p w14:paraId="79CD4543"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4.43</w:t>
            </w:r>
          </w:p>
        </w:tc>
        <w:tc>
          <w:tcPr>
            <w:tcW w:w="1360" w:type="dxa"/>
            <w:tcBorders>
              <w:top w:val="single" w:sz="4" w:space="0" w:color="auto"/>
              <w:left w:val="nil"/>
              <w:bottom w:val="single" w:sz="4" w:space="0" w:color="auto"/>
              <w:right w:val="single" w:sz="4" w:space="0" w:color="auto"/>
            </w:tcBorders>
            <w:shd w:val="clear" w:color="auto" w:fill="auto"/>
            <w:noWrap/>
            <w:vAlign w:val="bottom"/>
          </w:tcPr>
          <w:p w14:paraId="52E71061"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0.0000</w:t>
            </w:r>
          </w:p>
        </w:tc>
        <w:tc>
          <w:tcPr>
            <w:tcW w:w="1060" w:type="dxa"/>
            <w:tcBorders>
              <w:top w:val="single" w:sz="4" w:space="0" w:color="auto"/>
              <w:left w:val="nil"/>
              <w:bottom w:val="single" w:sz="4" w:space="0" w:color="auto"/>
              <w:right w:val="single" w:sz="4" w:space="0" w:color="auto"/>
            </w:tcBorders>
            <w:shd w:val="clear" w:color="auto" w:fill="auto"/>
            <w:noWrap/>
            <w:vAlign w:val="bottom"/>
          </w:tcPr>
          <w:p w14:paraId="056C2897"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0.0001</w:t>
            </w:r>
          </w:p>
        </w:tc>
      </w:tr>
      <w:tr w:rsidR="007B0626" w:rsidRPr="007B0626" w14:paraId="6AEF52E2" w14:textId="77777777" w:rsidTr="007B0626">
        <w:trPr>
          <w:trHeight w:val="290"/>
        </w:trPr>
        <w:tc>
          <w:tcPr>
            <w:tcW w:w="1460" w:type="dxa"/>
            <w:tcBorders>
              <w:top w:val="single" w:sz="4" w:space="0" w:color="auto"/>
              <w:left w:val="single" w:sz="4" w:space="0" w:color="auto"/>
              <w:bottom w:val="single" w:sz="4" w:space="0" w:color="auto"/>
              <w:right w:val="single" w:sz="4" w:space="0" w:color="auto"/>
            </w:tcBorders>
            <w:shd w:val="clear" w:color="000000" w:fill="E7E6E6"/>
            <w:noWrap/>
            <w:vAlign w:val="bottom"/>
          </w:tcPr>
          <w:p w14:paraId="2AE882E3" w14:textId="77777777" w:rsidR="007B0626" w:rsidRPr="007B0626" w:rsidRDefault="007B0626">
            <w:pPr>
              <w:rPr>
                <w:rFonts w:ascii="Calibri" w:hAnsi="Calibri" w:cs="Calibri"/>
                <w:b/>
                <w:bCs/>
                <w:color w:val="000000"/>
                <w:sz w:val="22"/>
                <w:szCs w:val="22"/>
              </w:rPr>
            </w:pPr>
            <w:r w:rsidRPr="007B0626">
              <w:rPr>
                <w:rFonts w:ascii="Calibri" w:hAnsi="Calibri" w:cs="Calibri"/>
                <w:b/>
                <w:bCs/>
                <w:color w:val="000000"/>
                <w:sz w:val="22"/>
                <w:szCs w:val="22"/>
              </w:rPr>
              <w:t>SIDT2</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34F1FE9B" w14:textId="77777777" w:rsidR="007B0626" w:rsidRPr="007B0626" w:rsidRDefault="007B0626">
            <w:pPr>
              <w:rPr>
                <w:rFonts w:ascii="Calibri" w:hAnsi="Calibri" w:cs="Calibri"/>
                <w:color w:val="000000"/>
                <w:sz w:val="22"/>
                <w:szCs w:val="22"/>
              </w:rPr>
            </w:pPr>
            <w:proofErr w:type="spellStart"/>
            <w:r w:rsidRPr="007B0626">
              <w:rPr>
                <w:rFonts w:ascii="Calibri" w:hAnsi="Calibri" w:cs="Calibri"/>
                <w:color w:val="000000"/>
                <w:sz w:val="22"/>
                <w:szCs w:val="22"/>
              </w:rPr>
              <w:t>APfree</w:t>
            </w:r>
            <w:proofErr w:type="spellEnd"/>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42C1465E"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Ari</w:t>
            </w: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0BB5579F" w14:textId="77777777" w:rsidR="007B0626" w:rsidRPr="007B0626" w:rsidRDefault="007B0626" w:rsidP="007B0626">
            <w:pPr>
              <w:rPr>
                <w:rFonts w:ascii="Calibri" w:hAnsi="Calibri" w:cs="Calibri"/>
                <w:color w:val="000000"/>
                <w:sz w:val="22"/>
                <w:szCs w:val="22"/>
              </w:rPr>
            </w:pPr>
            <w:r w:rsidRPr="007B0626">
              <w:rPr>
                <w:rFonts w:ascii="Calibri" w:hAnsi="Calibri" w:cs="Calibri"/>
                <w:color w:val="000000"/>
                <w:sz w:val="22"/>
                <w:szCs w:val="22"/>
              </w:rPr>
              <w:t>416</w:t>
            </w:r>
          </w:p>
        </w:tc>
        <w:tc>
          <w:tcPr>
            <w:tcW w:w="1280" w:type="dxa"/>
            <w:tcBorders>
              <w:top w:val="single" w:sz="4" w:space="0" w:color="auto"/>
              <w:left w:val="nil"/>
              <w:bottom w:val="single" w:sz="4" w:space="0" w:color="auto"/>
              <w:right w:val="single" w:sz="4" w:space="0" w:color="auto"/>
            </w:tcBorders>
            <w:shd w:val="clear" w:color="auto" w:fill="auto"/>
            <w:noWrap/>
            <w:vAlign w:val="bottom"/>
          </w:tcPr>
          <w:p w14:paraId="46EF2F93"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3.06</w:t>
            </w:r>
          </w:p>
        </w:tc>
        <w:tc>
          <w:tcPr>
            <w:tcW w:w="1360" w:type="dxa"/>
            <w:tcBorders>
              <w:top w:val="single" w:sz="4" w:space="0" w:color="auto"/>
              <w:left w:val="nil"/>
              <w:bottom w:val="single" w:sz="4" w:space="0" w:color="auto"/>
              <w:right w:val="single" w:sz="4" w:space="0" w:color="auto"/>
            </w:tcBorders>
            <w:shd w:val="clear" w:color="auto" w:fill="auto"/>
            <w:noWrap/>
            <w:vAlign w:val="bottom"/>
          </w:tcPr>
          <w:p w14:paraId="6100F8CF"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0.0023</w:t>
            </w:r>
          </w:p>
        </w:tc>
        <w:tc>
          <w:tcPr>
            <w:tcW w:w="1060" w:type="dxa"/>
            <w:tcBorders>
              <w:top w:val="single" w:sz="4" w:space="0" w:color="auto"/>
              <w:left w:val="nil"/>
              <w:bottom w:val="single" w:sz="4" w:space="0" w:color="auto"/>
              <w:right w:val="single" w:sz="4" w:space="0" w:color="auto"/>
            </w:tcBorders>
            <w:shd w:val="clear" w:color="auto" w:fill="auto"/>
            <w:noWrap/>
            <w:vAlign w:val="bottom"/>
          </w:tcPr>
          <w:p w14:paraId="7D56184E"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0.0070</w:t>
            </w:r>
          </w:p>
        </w:tc>
      </w:tr>
      <w:tr w:rsidR="007B0626" w:rsidRPr="007B0626" w14:paraId="17AC6FBF" w14:textId="77777777" w:rsidTr="007B0626">
        <w:trPr>
          <w:trHeight w:val="290"/>
        </w:trPr>
        <w:tc>
          <w:tcPr>
            <w:tcW w:w="1460" w:type="dxa"/>
            <w:tcBorders>
              <w:top w:val="single" w:sz="4" w:space="0" w:color="auto"/>
              <w:left w:val="single" w:sz="4" w:space="0" w:color="auto"/>
              <w:bottom w:val="single" w:sz="4" w:space="0" w:color="auto"/>
              <w:right w:val="single" w:sz="4" w:space="0" w:color="auto"/>
            </w:tcBorders>
            <w:shd w:val="clear" w:color="000000" w:fill="E7E6E6"/>
            <w:noWrap/>
            <w:vAlign w:val="bottom"/>
          </w:tcPr>
          <w:p w14:paraId="7A4B8D54" w14:textId="77777777" w:rsidR="007B0626" w:rsidRPr="007B0626" w:rsidRDefault="007B0626">
            <w:pPr>
              <w:rPr>
                <w:rFonts w:ascii="Calibri" w:hAnsi="Calibri" w:cs="Calibri"/>
                <w:b/>
                <w:bCs/>
                <w:color w:val="000000"/>
                <w:sz w:val="22"/>
                <w:szCs w:val="22"/>
              </w:rPr>
            </w:pPr>
            <w:r w:rsidRPr="007B0626">
              <w:rPr>
                <w:rFonts w:ascii="Calibri" w:hAnsi="Calibri" w:cs="Calibri"/>
                <w:b/>
                <w:bCs/>
                <w:color w:val="000000"/>
                <w:sz w:val="22"/>
                <w:szCs w:val="22"/>
              </w:rPr>
              <w:t>SIDT2</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3F79B8A4" w14:textId="77777777" w:rsidR="007B0626" w:rsidRPr="007B0626" w:rsidRDefault="007B0626">
            <w:pPr>
              <w:rPr>
                <w:rFonts w:ascii="Calibri" w:hAnsi="Calibri" w:cs="Calibri"/>
                <w:color w:val="000000"/>
                <w:sz w:val="22"/>
                <w:szCs w:val="22"/>
              </w:rPr>
            </w:pPr>
            <w:proofErr w:type="spellStart"/>
            <w:r w:rsidRPr="007B0626">
              <w:rPr>
                <w:rFonts w:ascii="Calibri" w:hAnsi="Calibri" w:cs="Calibri"/>
                <w:color w:val="000000"/>
                <w:sz w:val="22"/>
                <w:szCs w:val="22"/>
              </w:rPr>
              <w:t>APfree</w:t>
            </w:r>
            <w:proofErr w:type="spellEnd"/>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3BAD3F6C"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Ola</w:t>
            </w: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0066F5E5" w14:textId="77777777" w:rsidR="007B0626" w:rsidRPr="007B0626" w:rsidRDefault="007B0626" w:rsidP="007B0626">
            <w:pPr>
              <w:rPr>
                <w:rFonts w:ascii="Calibri" w:hAnsi="Calibri" w:cs="Calibri"/>
                <w:color w:val="000000"/>
                <w:sz w:val="22"/>
                <w:szCs w:val="22"/>
              </w:rPr>
            </w:pPr>
            <w:r w:rsidRPr="007B0626">
              <w:rPr>
                <w:rFonts w:ascii="Calibri" w:hAnsi="Calibri" w:cs="Calibri"/>
                <w:color w:val="000000"/>
                <w:sz w:val="22"/>
                <w:szCs w:val="22"/>
              </w:rPr>
              <w:t>416</w:t>
            </w:r>
          </w:p>
        </w:tc>
        <w:tc>
          <w:tcPr>
            <w:tcW w:w="1280" w:type="dxa"/>
            <w:tcBorders>
              <w:top w:val="single" w:sz="4" w:space="0" w:color="auto"/>
              <w:left w:val="nil"/>
              <w:bottom w:val="single" w:sz="4" w:space="0" w:color="auto"/>
              <w:right w:val="single" w:sz="4" w:space="0" w:color="auto"/>
            </w:tcBorders>
            <w:shd w:val="clear" w:color="auto" w:fill="auto"/>
            <w:noWrap/>
            <w:vAlign w:val="bottom"/>
          </w:tcPr>
          <w:p w14:paraId="08F3F5A3"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2.77</w:t>
            </w:r>
          </w:p>
        </w:tc>
        <w:tc>
          <w:tcPr>
            <w:tcW w:w="1360" w:type="dxa"/>
            <w:tcBorders>
              <w:top w:val="single" w:sz="4" w:space="0" w:color="auto"/>
              <w:left w:val="nil"/>
              <w:bottom w:val="single" w:sz="4" w:space="0" w:color="auto"/>
              <w:right w:val="single" w:sz="4" w:space="0" w:color="auto"/>
            </w:tcBorders>
            <w:shd w:val="clear" w:color="auto" w:fill="auto"/>
            <w:noWrap/>
            <w:vAlign w:val="bottom"/>
          </w:tcPr>
          <w:p w14:paraId="12231E79"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0.0058</w:t>
            </w:r>
          </w:p>
        </w:tc>
        <w:tc>
          <w:tcPr>
            <w:tcW w:w="1060" w:type="dxa"/>
            <w:tcBorders>
              <w:top w:val="single" w:sz="4" w:space="0" w:color="auto"/>
              <w:left w:val="nil"/>
              <w:bottom w:val="single" w:sz="4" w:space="0" w:color="auto"/>
              <w:right w:val="single" w:sz="4" w:space="0" w:color="auto"/>
            </w:tcBorders>
            <w:shd w:val="clear" w:color="auto" w:fill="auto"/>
            <w:noWrap/>
            <w:vAlign w:val="bottom"/>
          </w:tcPr>
          <w:p w14:paraId="6854C8E9"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0.0117</w:t>
            </w:r>
          </w:p>
        </w:tc>
      </w:tr>
      <w:tr w:rsidR="007B0626" w:rsidRPr="007B0626" w14:paraId="117360F3" w14:textId="77777777" w:rsidTr="007B0626">
        <w:trPr>
          <w:trHeight w:val="290"/>
        </w:trPr>
        <w:tc>
          <w:tcPr>
            <w:tcW w:w="1460" w:type="dxa"/>
            <w:tcBorders>
              <w:top w:val="single" w:sz="4" w:space="0" w:color="auto"/>
              <w:left w:val="single" w:sz="4" w:space="0" w:color="auto"/>
              <w:bottom w:val="single" w:sz="4" w:space="0" w:color="auto"/>
              <w:right w:val="single" w:sz="4" w:space="0" w:color="auto"/>
            </w:tcBorders>
            <w:shd w:val="clear" w:color="000000" w:fill="E7E6E6"/>
            <w:noWrap/>
            <w:vAlign w:val="bottom"/>
          </w:tcPr>
          <w:p w14:paraId="4D47AD21" w14:textId="77777777" w:rsidR="007B0626" w:rsidRPr="007B0626" w:rsidRDefault="007B0626">
            <w:pPr>
              <w:rPr>
                <w:rFonts w:ascii="Calibri" w:hAnsi="Calibri" w:cs="Calibri"/>
                <w:b/>
                <w:bCs/>
                <w:color w:val="000000"/>
                <w:sz w:val="22"/>
                <w:szCs w:val="22"/>
              </w:rPr>
            </w:pPr>
            <w:r w:rsidRPr="007B0626">
              <w:rPr>
                <w:rFonts w:ascii="Calibri" w:hAnsi="Calibri" w:cs="Calibri"/>
                <w:b/>
                <w:bCs/>
                <w:color w:val="000000"/>
                <w:sz w:val="22"/>
                <w:szCs w:val="22"/>
              </w:rPr>
              <w:t>SIDT2</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51C9B469" w14:textId="77777777" w:rsidR="007B0626" w:rsidRPr="007B0626" w:rsidRDefault="007B0626">
            <w:pPr>
              <w:rPr>
                <w:rFonts w:ascii="Calibri" w:hAnsi="Calibri" w:cs="Calibri"/>
                <w:color w:val="000000"/>
                <w:sz w:val="22"/>
                <w:szCs w:val="22"/>
              </w:rPr>
            </w:pPr>
            <w:proofErr w:type="spellStart"/>
            <w:r w:rsidRPr="007B0626">
              <w:rPr>
                <w:rFonts w:ascii="Calibri" w:hAnsi="Calibri" w:cs="Calibri"/>
                <w:color w:val="000000"/>
                <w:sz w:val="22"/>
                <w:szCs w:val="22"/>
              </w:rPr>
              <w:t>APfree</w:t>
            </w:r>
            <w:proofErr w:type="spellEnd"/>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421B0FCA" w14:textId="77777777" w:rsidR="007B0626" w:rsidRPr="007B0626" w:rsidRDefault="007B0626">
            <w:pPr>
              <w:rPr>
                <w:rFonts w:ascii="Calibri" w:hAnsi="Calibri" w:cs="Calibri"/>
                <w:color w:val="000000"/>
                <w:sz w:val="22"/>
                <w:szCs w:val="22"/>
              </w:rPr>
            </w:pPr>
            <w:proofErr w:type="spellStart"/>
            <w:r w:rsidRPr="007B0626">
              <w:rPr>
                <w:rFonts w:ascii="Calibri" w:hAnsi="Calibri" w:cs="Calibri"/>
                <w:color w:val="000000"/>
                <w:sz w:val="22"/>
                <w:szCs w:val="22"/>
              </w:rPr>
              <w:t>Que</w:t>
            </w:r>
            <w:proofErr w:type="spellEnd"/>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23398496" w14:textId="77777777" w:rsidR="007B0626" w:rsidRPr="007B0626" w:rsidRDefault="007B0626" w:rsidP="007B0626">
            <w:pPr>
              <w:rPr>
                <w:rFonts w:ascii="Calibri" w:hAnsi="Calibri" w:cs="Calibri"/>
                <w:color w:val="000000"/>
                <w:sz w:val="22"/>
                <w:szCs w:val="22"/>
              </w:rPr>
            </w:pPr>
            <w:r w:rsidRPr="007B0626">
              <w:rPr>
                <w:rFonts w:ascii="Calibri" w:hAnsi="Calibri" w:cs="Calibri"/>
                <w:color w:val="000000"/>
                <w:sz w:val="22"/>
                <w:szCs w:val="22"/>
              </w:rPr>
              <w:t>416</w:t>
            </w:r>
          </w:p>
        </w:tc>
        <w:tc>
          <w:tcPr>
            <w:tcW w:w="1280" w:type="dxa"/>
            <w:tcBorders>
              <w:top w:val="single" w:sz="4" w:space="0" w:color="auto"/>
              <w:left w:val="nil"/>
              <w:bottom w:val="single" w:sz="4" w:space="0" w:color="auto"/>
              <w:right w:val="single" w:sz="4" w:space="0" w:color="auto"/>
            </w:tcBorders>
            <w:shd w:val="clear" w:color="auto" w:fill="auto"/>
            <w:noWrap/>
            <w:vAlign w:val="bottom"/>
          </w:tcPr>
          <w:p w14:paraId="70A03DEA"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3.34</w:t>
            </w:r>
          </w:p>
        </w:tc>
        <w:tc>
          <w:tcPr>
            <w:tcW w:w="1360" w:type="dxa"/>
            <w:tcBorders>
              <w:top w:val="single" w:sz="4" w:space="0" w:color="auto"/>
              <w:left w:val="nil"/>
              <w:bottom w:val="single" w:sz="4" w:space="0" w:color="auto"/>
              <w:right w:val="single" w:sz="4" w:space="0" w:color="auto"/>
            </w:tcBorders>
            <w:shd w:val="clear" w:color="auto" w:fill="auto"/>
            <w:noWrap/>
            <w:vAlign w:val="bottom"/>
          </w:tcPr>
          <w:p w14:paraId="4E742887"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0.0009</w:t>
            </w:r>
          </w:p>
        </w:tc>
        <w:tc>
          <w:tcPr>
            <w:tcW w:w="1060" w:type="dxa"/>
            <w:tcBorders>
              <w:top w:val="single" w:sz="4" w:space="0" w:color="auto"/>
              <w:left w:val="nil"/>
              <w:bottom w:val="single" w:sz="4" w:space="0" w:color="auto"/>
              <w:right w:val="single" w:sz="4" w:space="0" w:color="auto"/>
            </w:tcBorders>
            <w:shd w:val="clear" w:color="auto" w:fill="auto"/>
            <w:noWrap/>
            <w:vAlign w:val="bottom"/>
          </w:tcPr>
          <w:p w14:paraId="594399E2"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0.0055</w:t>
            </w:r>
          </w:p>
        </w:tc>
      </w:tr>
      <w:tr w:rsidR="007B0626" w:rsidRPr="007B0626" w14:paraId="08262C17" w14:textId="77777777" w:rsidTr="007B0626">
        <w:trPr>
          <w:trHeight w:val="290"/>
        </w:trPr>
        <w:tc>
          <w:tcPr>
            <w:tcW w:w="1460" w:type="dxa"/>
            <w:tcBorders>
              <w:top w:val="single" w:sz="4" w:space="0" w:color="auto"/>
              <w:left w:val="single" w:sz="4" w:space="0" w:color="auto"/>
              <w:bottom w:val="single" w:sz="4" w:space="0" w:color="auto"/>
              <w:right w:val="single" w:sz="4" w:space="0" w:color="auto"/>
            </w:tcBorders>
            <w:shd w:val="clear" w:color="000000" w:fill="E7E6E6"/>
            <w:noWrap/>
            <w:vAlign w:val="bottom"/>
          </w:tcPr>
          <w:p w14:paraId="125B08B2" w14:textId="77777777" w:rsidR="007B0626" w:rsidRPr="007B0626" w:rsidRDefault="007B0626">
            <w:pPr>
              <w:rPr>
                <w:rFonts w:ascii="Calibri" w:hAnsi="Calibri" w:cs="Calibri"/>
                <w:b/>
                <w:bCs/>
                <w:color w:val="000000"/>
                <w:sz w:val="22"/>
                <w:szCs w:val="22"/>
              </w:rPr>
            </w:pPr>
            <w:r w:rsidRPr="007B0626">
              <w:rPr>
                <w:rFonts w:ascii="Calibri" w:hAnsi="Calibri" w:cs="Calibri"/>
                <w:b/>
                <w:bCs/>
                <w:color w:val="000000"/>
                <w:sz w:val="22"/>
                <w:szCs w:val="22"/>
              </w:rPr>
              <w:t>TOGARAM2</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496953E7" w14:textId="77777777" w:rsidR="007B0626" w:rsidRPr="007B0626" w:rsidRDefault="007B0626">
            <w:pPr>
              <w:rPr>
                <w:rFonts w:ascii="Calibri" w:hAnsi="Calibri" w:cs="Calibri"/>
                <w:color w:val="000000"/>
                <w:sz w:val="22"/>
                <w:szCs w:val="22"/>
              </w:rPr>
            </w:pPr>
            <w:proofErr w:type="spellStart"/>
            <w:r w:rsidRPr="007B0626">
              <w:rPr>
                <w:rFonts w:ascii="Calibri" w:hAnsi="Calibri" w:cs="Calibri"/>
                <w:color w:val="000000"/>
                <w:sz w:val="22"/>
                <w:szCs w:val="22"/>
              </w:rPr>
              <w:t>Que</w:t>
            </w:r>
            <w:proofErr w:type="spellEnd"/>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68C4AA72" w14:textId="77777777" w:rsidR="007B0626" w:rsidRPr="007B0626" w:rsidRDefault="007B0626">
            <w:pPr>
              <w:rPr>
                <w:rFonts w:ascii="Calibri" w:hAnsi="Calibri" w:cs="Calibri"/>
                <w:color w:val="000000"/>
                <w:sz w:val="22"/>
                <w:szCs w:val="22"/>
              </w:rPr>
            </w:pPr>
            <w:proofErr w:type="spellStart"/>
            <w:r w:rsidRPr="007B0626">
              <w:rPr>
                <w:rFonts w:ascii="Calibri" w:hAnsi="Calibri" w:cs="Calibri"/>
                <w:color w:val="000000"/>
                <w:sz w:val="22"/>
                <w:szCs w:val="22"/>
              </w:rPr>
              <w:t>APfree</w:t>
            </w:r>
            <w:proofErr w:type="spellEnd"/>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5BCBB5F9" w14:textId="77777777" w:rsidR="007B0626" w:rsidRPr="007B0626" w:rsidRDefault="007B0626" w:rsidP="007B0626">
            <w:pPr>
              <w:rPr>
                <w:rFonts w:ascii="Calibri" w:hAnsi="Calibri" w:cs="Calibri"/>
                <w:color w:val="000000"/>
                <w:sz w:val="22"/>
                <w:szCs w:val="22"/>
              </w:rPr>
            </w:pPr>
            <w:r w:rsidRPr="007B0626">
              <w:rPr>
                <w:rFonts w:ascii="Calibri" w:hAnsi="Calibri" w:cs="Calibri"/>
                <w:color w:val="000000"/>
                <w:sz w:val="22"/>
                <w:szCs w:val="22"/>
              </w:rPr>
              <w:t>416</w:t>
            </w:r>
          </w:p>
        </w:tc>
        <w:tc>
          <w:tcPr>
            <w:tcW w:w="1280" w:type="dxa"/>
            <w:tcBorders>
              <w:top w:val="single" w:sz="4" w:space="0" w:color="auto"/>
              <w:left w:val="nil"/>
              <w:bottom w:val="single" w:sz="4" w:space="0" w:color="auto"/>
              <w:right w:val="single" w:sz="4" w:space="0" w:color="auto"/>
            </w:tcBorders>
            <w:shd w:val="clear" w:color="auto" w:fill="auto"/>
            <w:noWrap/>
            <w:vAlign w:val="bottom"/>
          </w:tcPr>
          <w:p w14:paraId="3110F424"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-2.58</w:t>
            </w:r>
          </w:p>
        </w:tc>
        <w:tc>
          <w:tcPr>
            <w:tcW w:w="1360" w:type="dxa"/>
            <w:tcBorders>
              <w:top w:val="single" w:sz="4" w:space="0" w:color="auto"/>
              <w:left w:val="nil"/>
              <w:bottom w:val="single" w:sz="4" w:space="0" w:color="auto"/>
              <w:right w:val="single" w:sz="4" w:space="0" w:color="auto"/>
            </w:tcBorders>
            <w:shd w:val="clear" w:color="auto" w:fill="auto"/>
            <w:noWrap/>
            <w:vAlign w:val="bottom"/>
          </w:tcPr>
          <w:p w14:paraId="7272C505"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0.0103</w:t>
            </w:r>
          </w:p>
        </w:tc>
        <w:tc>
          <w:tcPr>
            <w:tcW w:w="1060" w:type="dxa"/>
            <w:tcBorders>
              <w:top w:val="single" w:sz="4" w:space="0" w:color="auto"/>
              <w:left w:val="nil"/>
              <w:bottom w:val="single" w:sz="4" w:space="0" w:color="auto"/>
              <w:right w:val="single" w:sz="4" w:space="0" w:color="auto"/>
            </w:tcBorders>
            <w:shd w:val="clear" w:color="auto" w:fill="auto"/>
            <w:noWrap/>
            <w:vAlign w:val="bottom"/>
          </w:tcPr>
          <w:p w14:paraId="37FD36A5"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0.0206</w:t>
            </w:r>
          </w:p>
        </w:tc>
      </w:tr>
      <w:tr w:rsidR="007B0626" w:rsidRPr="007B0626" w14:paraId="13049A93" w14:textId="77777777" w:rsidTr="007B0626">
        <w:trPr>
          <w:trHeight w:val="290"/>
        </w:trPr>
        <w:tc>
          <w:tcPr>
            <w:tcW w:w="1460" w:type="dxa"/>
            <w:tcBorders>
              <w:top w:val="single" w:sz="4" w:space="0" w:color="auto"/>
              <w:left w:val="single" w:sz="4" w:space="0" w:color="auto"/>
              <w:bottom w:val="single" w:sz="4" w:space="0" w:color="auto"/>
              <w:right w:val="single" w:sz="4" w:space="0" w:color="auto"/>
            </w:tcBorders>
            <w:shd w:val="clear" w:color="000000" w:fill="E7E6E6"/>
            <w:noWrap/>
            <w:vAlign w:val="bottom"/>
          </w:tcPr>
          <w:p w14:paraId="3B762128" w14:textId="77777777" w:rsidR="007B0626" w:rsidRPr="007B0626" w:rsidRDefault="007B0626">
            <w:pPr>
              <w:rPr>
                <w:rFonts w:ascii="Calibri" w:hAnsi="Calibri" w:cs="Calibri"/>
                <w:b/>
                <w:bCs/>
                <w:color w:val="000000"/>
                <w:sz w:val="22"/>
                <w:szCs w:val="22"/>
              </w:rPr>
            </w:pPr>
            <w:r w:rsidRPr="007B0626">
              <w:rPr>
                <w:rFonts w:ascii="Calibri" w:hAnsi="Calibri" w:cs="Calibri"/>
                <w:b/>
                <w:bCs/>
                <w:color w:val="000000"/>
                <w:sz w:val="22"/>
                <w:szCs w:val="22"/>
              </w:rPr>
              <w:t>TOGARAM2</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3DE2DB37" w14:textId="77777777" w:rsidR="007B0626" w:rsidRPr="007B0626" w:rsidRDefault="007B0626">
            <w:pPr>
              <w:rPr>
                <w:rFonts w:ascii="Calibri" w:hAnsi="Calibri" w:cs="Calibri"/>
                <w:color w:val="000000"/>
                <w:sz w:val="22"/>
                <w:szCs w:val="22"/>
              </w:rPr>
            </w:pPr>
            <w:proofErr w:type="spellStart"/>
            <w:r w:rsidRPr="007B0626">
              <w:rPr>
                <w:rFonts w:ascii="Calibri" w:hAnsi="Calibri" w:cs="Calibri"/>
                <w:color w:val="000000"/>
                <w:sz w:val="22"/>
                <w:szCs w:val="22"/>
              </w:rPr>
              <w:t>Que</w:t>
            </w:r>
            <w:proofErr w:type="spellEnd"/>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4300A519"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Ari</w:t>
            </w: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0ACA7AF0" w14:textId="77777777" w:rsidR="007B0626" w:rsidRPr="007B0626" w:rsidRDefault="007B0626" w:rsidP="007B0626">
            <w:pPr>
              <w:rPr>
                <w:rFonts w:ascii="Calibri" w:hAnsi="Calibri" w:cs="Calibri"/>
                <w:color w:val="000000"/>
                <w:sz w:val="22"/>
                <w:szCs w:val="22"/>
              </w:rPr>
            </w:pPr>
            <w:r w:rsidRPr="007B0626">
              <w:rPr>
                <w:rFonts w:ascii="Calibri" w:hAnsi="Calibri" w:cs="Calibri"/>
                <w:color w:val="000000"/>
                <w:sz w:val="22"/>
                <w:szCs w:val="22"/>
              </w:rPr>
              <w:t>416</w:t>
            </w:r>
          </w:p>
        </w:tc>
        <w:tc>
          <w:tcPr>
            <w:tcW w:w="1280" w:type="dxa"/>
            <w:tcBorders>
              <w:top w:val="single" w:sz="4" w:space="0" w:color="auto"/>
              <w:left w:val="nil"/>
              <w:bottom w:val="single" w:sz="4" w:space="0" w:color="auto"/>
              <w:right w:val="single" w:sz="4" w:space="0" w:color="auto"/>
            </w:tcBorders>
            <w:shd w:val="clear" w:color="auto" w:fill="auto"/>
            <w:noWrap/>
            <w:vAlign w:val="bottom"/>
          </w:tcPr>
          <w:p w14:paraId="14DB0E46"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-3.43</w:t>
            </w:r>
          </w:p>
        </w:tc>
        <w:tc>
          <w:tcPr>
            <w:tcW w:w="1360" w:type="dxa"/>
            <w:tcBorders>
              <w:top w:val="single" w:sz="4" w:space="0" w:color="auto"/>
              <w:left w:val="nil"/>
              <w:bottom w:val="single" w:sz="4" w:space="0" w:color="auto"/>
              <w:right w:val="single" w:sz="4" w:space="0" w:color="auto"/>
            </w:tcBorders>
            <w:shd w:val="clear" w:color="auto" w:fill="auto"/>
            <w:noWrap/>
            <w:vAlign w:val="bottom"/>
          </w:tcPr>
          <w:p w14:paraId="32BF590A"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0.0007</w:t>
            </w:r>
          </w:p>
        </w:tc>
        <w:tc>
          <w:tcPr>
            <w:tcW w:w="1060" w:type="dxa"/>
            <w:tcBorders>
              <w:top w:val="single" w:sz="4" w:space="0" w:color="auto"/>
              <w:left w:val="nil"/>
              <w:bottom w:val="single" w:sz="4" w:space="0" w:color="auto"/>
              <w:right w:val="single" w:sz="4" w:space="0" w:color="auto"/>
            </w:tcBorders>
            <w:shd w:val="clear" w:color="auto" w:fill="auto"/>
            <w:noWrap/>
            <w:vAlign w:val="bottom"/>
          </w:tcPr>
          <w:p w14:paraId="71C7A4A7"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0.0040</w:t>
            </w:r>
          </w:p>
        </w:tc>
      </w:tr>
      <w:tr w:rsidR="007B0626" w:rsidRPr="007B0626" w14:paraId="08BF6868" w14:textId="77777777" w:rsidTr="007B0626">
        <w:trPr>
          <w:trHeight w:val="290"/>
        </w:trPr>
        <w:tc>
          <w:tcPr>
            <w:tcW w:w="1460" w:type="dxa"/>
            <w:tcBorders>
              <w:top w:val="single" w:sz="4" w:space="0" w:color="auto"/>
              <w:left w:val="single" w:sz="4" w:space="0" w:color="auto"/>
              <w:bottom w:val="single" w:sz="4" w:space="0" w:color="auto"/>
              <w:right w:val="single" w:sz="4" w:space="0" w:color="auto"/>
            </w:tcBorders>
            <w:shd w:val="clear" w:color="000000" w:fill="E7E6E6"/>
            <w:noWrap/>
            <w:vAlign w:val="bottom"/>
          </w:tcPr>
          <w:p w14:paraId="32AAAF47" w14:textId="77777777" w:rsidR="007B0626" w:rsidRPr="007B0626" w:rsidRDefault="007B0626">
            <w:pPr>
              <w:rPr>
                <w:rFonts w:ascii="Calibri" w:hAnsi="Calibri" w:cs="Calibri"/>
                <w:b/>
                <w:bCs/>
                <w:color w:val="000000"/>
                <w:sz w:val="22"/>
                <w:szCs w:val="22"/>
              </w:rPr>
            </w:pPr>
            <w:r w:rsidRPr="007B0626">
              <w:rPr>
                <w:rFonts w:ascii="Calibri" w:hAnsi="Calibri" w:cs="Calibri"/>
                <w:b/>
                <w:bCs/>
                <w:color w:val="000000"/>
                <w:sz w:val="22"/>
                <w:szCs w:val="22"/>
              </w:rPr>
              <w:t>TOGARAM2</w:t>
            </w:r>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59130145" w14:textId="77777777" w:rsidR="007B0626" w:rsidRPr="007B0626" w:rsidRDefault="007B0626">
            <w:pPr>
              <w:rPr>
                <w:rFonts w:ascii="Calibri" w:hAnsi="Calibri" w:cs="Calibri"/>
                <w:color w:val="000000"/>
                <w:sz w:val="22"/>
                <w:szCs w:val="22"/>
              </w:rPr>
            </w:pPr>
            <w:proofErr w:type="spellStart"/>
            <w:r w:rsidRPr="007B0626">
              <w:rPr>
                <w:rFonts w:ascii="Calibri" w:hAnsi="Calibri" w:cs="Calibri"/>
                <w:color w:val="000000"/>
                <w:sz w:val="22"/>
                <w:szCs w:val="22"/>
              </w:rPr>
              <w:t>Que</w:t>
            </w:r>
            <w:proofErr w:type="spellEnd"/>
          </w:p>
        </w:tc>
        <w:tc>
          <w:tcPr>
            <w:tcW w:w="865" w:type="dxa"/>
            <w:tcBorders>
              <w:top w:val="single" w:sz="4" w:space="0" w:color="auto"/>
              <w:left w:val="nil"/>
              <w:bottom w:val="single" w:sz="4" w:space="0" w:color="auto"/>
              <w:right w:val="single" w:sz="4" w:space="0" w:color="auto"/>
            </w:tcBorders>
            <w:shd w:val="clear" w:color="auto" w:fill="auto"/>
            <w:noWrap/>
            <w:vAlign w:val="bottom"/>
          </w:tcPr>
          <w:p w14:paraId="4924A309"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Ola</w:t>
            </w: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1D8F6A7C" w14:textId="77777777" w:rsidR="007B0626" w:rsidRPr="007B0626" w:rsidRDefault="007B0626" w:rsidP="007B0626">
            <w:pPr>
              <w:rPr>
                <w:rFonts w:ascii="Calibri" w:hAnsi="Calibri" w:cs="Calibri"/>
                <w:color w:val="000000"/>
                <w:sz w:val="22"/>
                <w:szCs w:val="22"/>
              </w:rPr>
            </w:pPr>
            <w:r w:rsidRPr="007B0626">
              <w:rPr>
                <w:rFonts w:ascii="Calibri" w:hAnsi="Calibri" w:cs="Calibri"/>
                <w:color w:val="000000"/>
                <w:sz w:val="22"/>
                <w:szCs w:val="22"/>
              </w:rPr>
              <w:t>416</w:t>
            </w:r>
          </w:p>
        </w:tc>
        <w:tc>
          <w:tcPr>
            <w:tcW w:w="1280" w:type="dxa"/>
            <w:tcBorders>
              <w:top w:val="single" w:sz="4" w:space="0" w:color="auto"/>
              <w:left w:val="nil"/>
              <w:bottom w:val="single" w:sz="4" w:space="0" w:color="auto"/>
              <w:right w:val="single" w:sz="4" w:space="0" w:color="auto"/>
            </w:tcBorders>
            <w:shd w:val="clear" w:color="auto" w:fill="auto"/>
            <w:noWrap/>
            <w:vAlign w:val="bottom"/>
          </w:tcPr>
          <w:p w14:paraId="21F4E533"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-2.88</w:t>
            </w:r>
          </w:p>
        </w:tc>
        <w:tc>
          <w:tcPr>
            <w:tcW w:w="1360" w:type="dxa"/>
            <w:tcBorders>
              <w:top w:val="single" w:sz="4" w:space="0" w:color="auto"/>
              <w:left w:val="nil"/>
              <w:bottom w:val="single" w:sz="4" w:space="0" w:color="auto"/>
              <w:right w:val="single" w:sz="4" w:space="0" w:color="auto"/>
            </w:tcBorders>
            <w:shd w:val="clear" w:color="auto" w:fill="auto"/>
            <w:noWrap/>
            <w:vAlign w:val="bottom"/>
          </w:tcPr>
          <w:p w14:paraId="4B099A50"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0.0042</w:t>
            </w:r>
          </w:p>
        </w:tc>
        <w:tc>
          <w:tcPr>
            <w:tcW w:w="1060" w:type="dxa"/>
            <w:tcBorders>
              <w:top w:val="single" w:sz="4" w:space="0" w:color="auto"/>
              <w:left w:val="nil"/>
              <w:bottom w:val="single" w:sz="4" w:space="0" w:color="auto"/>
              <w:right w:val="single" w:sz="4" w:space="0" w:color="auto"/>
            </w:tcBorders>
            <w:shd w:val="clear" w:color="auto" w:fill="auto"/>
            <w:noWrap/>
            <w:vAlign w:val="bottom"/>
          </w:tcPr>
          <w:p w14:paraId="4A71BF29" w14:textId="77777777" w:rsidR="007B0626" w:rsidRPr="007B0626" w:rsidRDefault="007B0626">
            <w:pPr>
              <w:rPr>
                <w:rFonts w:ascii="Calibri" w:hAnsi="Calibri" w:cs="Calibri"/>
                <w:color w:val="000000"/>
                <w:sz w:val="22"/>
                <w:szCs w:val="22"/>
              </w:rPr>
            </w:pPr>
            <w:r w:rsidRPr="007B0626">
              <w:rPr>
                <w:rFonts w:ascii="Calibri" w:hAnsi="Calibri" w:cs="Calibri"/>
                <w:color w:val="000000"/>
                <w:sz w:val="22"/>
                <w:szCs w:val="22"/>
              </w:rPr>
              <w:t>0.0127</w:t>
            </w:r>
          </w:p>
        </w:tc>
      </w:tr>
    </w:tbl>
    <w:p w14:paraId="77662660" w14:textId="77777777" w:rsidR="00361A3F" w:rsidRPr="00E82F66" w:rsidRDefault="00361A3F" w:rsidP="008E42F4">
      <w:pPr>
        <w:spacing w:line="480" w:lineRule="auto"/>
        <w:jc w:val="both"/>
        <w:rPr>
          <w:lang w:val="en-GB"/>
        </w:rPr>
      </w:pPr>
    </w:p>
    <w:p w14:paraId="042C56BB" w14:textId="0BA08695" w:rsidR="002B2A90" w:rsidRDefault="002B2A90" w:rsidP="002B2A90">
      <w:pPr>
        <w:spacing w:line="480" w:lineRule="auto"/>
        <w:jc w:val="both"/>
        <w:rPr>
          <w:lang w:val="en-GB"/>
        </w:rPr>
      </w:pPr>
    </w:p>
    <w:p w14:paraId="2FB7401E" w14:textId="0847B2DD" w:rsidR="00C77ACE" w:rsidRPr="00962105" w:rsidRDefault="00C70B61" w:rsidP="00BB6FF4">
      <w:pPr>
        <w:rPr>
          <w:b/>
          <w:bCs/>
          <w:color w:val="000000"/>
          <w:lang w:val="en-GB"/>
        </w:rPr>
      </w:pPr>
      <w:r w:rsidRPr="00962105">
        <w:rPr>
          <w:b/>
          <w:bCs/>
          <w:color w:val="000000"/>
          <w:lang w:val="en-GB"/>
        </w:rPr>
        <w:t>References:</w:t>
      </w:r>
    </w:p>
    <w:p w14:paraId="7C815A70" w14:textId="4F2CDE57" w:rsidR="007821E3" w:rsidRPr="00ED50C6" w:rsidRDefault="00C70B61" w:rsidP="007821E3">
      <w:pPr>
        <w:widowControl w:val="0"/>
        <w:autoSpaceDE w:val="0"/>
        <w:autoSpaceDN w:val="0"/>
        <w:adjustRightInd w:val="0"/>
        <w:ind w:left="640" w:hanging="640"/>
        <w:rPr>
          <w:noProof/>
          <w:lang w:val="en-GB"/>
        </w:rPr>
      </w:pPr>
      <w:r>
        <w:rPr>
          <w:color w:val="000000"/>
          <w:lang w:val="en-GB"/>
        </w:rPr>
        <w:fldChar w:fldCharType="begin" w:fldLock="1"/>
      </w:r>
      <w:r>
        <w:rPr>
          <w:color w:val="000000"/>
          <w:lang w:val="en-GB"/>
        </w:rPr>
        <w:instrText xml:space="preserve">ADDIN Mendeley Bibliography CSL_BIBLIOGRAPHY </w:instrText>
      </w:r>
      <w:r>
        <w:rPr>
          <w:color w:val="000000"/>
          <w:lang w:val="en-GB"/>
        </w:rPr>
        <w:fldChar w:fldCharType="separate"/>
      </w:r>
      <w:r w:rsidR="007821E3" w:rsidRPr="00ED50C6">
        <w:rPr>
          <w:noProof/>
          <w:lang w:val="en-GB"/>
        </w:rPr>
        <w:t xml:space="preserve">1 </w:t>
      </w:r>
      <w:r w:rsidR="007821E3" w:rsidRPr="00ED50C6">
        <w:rPr>
          <w:noProof/>
          <w:lang w:val="en-GB"/>
        </w:rPr>
        <w:tab/>
        <w:t xml:space="preserve">Willer CJ, Li Y, Abecasis GR. METAL: fast and efficient meta-analysis of genomewide association scans. </w:t>
      </w:r>
      <w:r w:rsidR="007821E3" w:rsidRPr="00ED50C6">
        <w:rPr>
          <w:i/>
          <w:iCs/>
          <w:noProof/>
          <w:lang w:val="en-GB"/>
        </w:rPr>
        <w:t>Bioinforma Appl NOTE</w:t>
      </w:r>
      <w:r w:rsidR="007821E3" w:rsidRPr="00ED50C6">
        <w:rPr>
          <w:noProof/>
          <w:lang w:val="en-GB"/>
        </w:rPr>
        <w:t xml:space="preserve"> 2010; </w:t>
      </w:r>
      <w:r w:rsidR="007821E3" w:rsidRPr="00ED50C6">
        <w:rPr>
          <w:b/>
          <w:bCs/>
          <w:noProof/>
          <w:lang w:val="en-GB"/>
        </w:rPr>
        <w:t>26</w:t>
      </w:r>
      <w:r w:rsidR="007821E3" w:rsidRPr="00ED50C6">
        <w:rPr>
          <w:noProof/>
          <w:lang w:val="en-GB"/>
        </w:rPr>
        <w:t>: 2190–2191.</w:t>
      </w:r>
    </w:p>
    <w:p w14:paraId="09778097" w14:textId="77777777" w:rsidR="007821E3" w:rsidRPr="00ED50C6" w:rsidRDefault="007821E3" w:rsidP="007821E3">
      <w:pPr>
        <w:widowControl w:val="0"/>
        <w:autoSpaceDE w:val="0"/>
        <w:autoSpaceDN w:val="0"/>
        <w:adjustRightInd w:val="0"/>
        <w:ind w:left="640" w:hanging="640"/>
        <w:rPr>
          <w:noProof/>
          <w:lang w:val="en-GB"/>
        </w:rPr>
      </w:pPr>
      <w:r w:rsidRPr="00ED50C6">
        <w:rPr>
          <w:noProof/>
          <w:lang w:val="en-GB"/>
        </w:rPr>
        <w:t xml:space="preserve">2 </w:t>
      </w:r>
      <w:r w:rsidRPr="00ED50C6">
        <w:rPr>
          <w:noProof/>
          <w:lang w:val="en-GB"/>
        </w:rPr>
        <w:tab/>
        <w:t xml:space="preserve">Schmittgen TD, Livak KJ. Analyzing real-time PCR data by the comparative C(T) method. </w:t>
      </w:r>
      <w:r w:rsidRPr="00ED50C6">
        <w:rPr>
          <w:i/>
          <w:iCs/>
          <w:noProof/>
          <w:lang w:val="en-GB"/>
        </w:rPr>
        <w:t>Nat Protoc</w:t>
      </w:r>
      <w:r w:rsidRPr="00ED50C6">
        <w:rPr>
          <w:noProof/>
          <w:lang w:val="en-GB"/>
        </w:rPr>
        <w:t xml:space="preserve"> 2008; </w:t>
      </w:r>
      <w:r w:rsidRPr="00ED50C6">
        <w:rPr>
          <w:b/>
          <w:bCs/>
          <w:noProof/>
          <w:lang w:val="en-GB"/>
        </w:rPr>
        <w:t>3</w:t>
      </w:r>
      <w:r w:rsidRPr="00ED50C6">
        <w:rPr>
          <w:noProof/>
          <w:lang w:val="en-GB"/>
        </w:rPr>
        <w:t>: 1101–1108.</w:t>
      </w:r>
    </w:p>
    <w:p w14:paraId="488CC4BF" w14:textId="77777777" w:rsidR="007821E3" w:rsidRPr="00ED50C6" w:rsidRDefault="007821E3" w:rsidP="007821E3">
      <w:pPr>
        <w:widowControl w:val="0"/>
        <w:autoSpaceDE w:val="0"/>
        <w:autoSpaceDN w:val="0"/>
        <w:adjustRightInd w:val="0"/>
        <w:ind w:left="640" w:hanging="640"/>
        <w:rPr>
          <w:noProof/>
          <w:lang w:val="en-GB"/>
        </w:rPr>
      </w:pPr>
      <w:r w:rsidRPr="00ED50C6">
        <w:rPr>
          <w:noProof/>
          <w:lang w:val="en-GB"/>
        </w:rPr>
        <w:t xml:space="preserve">3 </w:t>
      </w:r>
      <w:r w:rsidRPr="00ED50C6">
        <w:rPr>
          <w:noProof/>
          <w:lang w:val="en-GB"/>
        </w:rPr>
        <w:tab/>
        <w:t xml:space="preserve">Linzmeier RM, Ganz T. Human defensin gene copy number polymorphisms: comprehensive analysis of independent variation in alpha- and beta-defensin regions at 8p22-p23. </w:t>
      </w:r>
      <w:r w:rsidRPr="00ED50C6">
        <w:rPr>
          <w:i/>
          <w:iCs/>
          <w:noProof/>
          <w:lang w:val="en-GB"/>
        </w:rPr>
        <w:t>Genomics</w:t>
      </w:r>
      <w:r w:rsidRPr="00ED50C6">
        <w:rPr>
          <w:noProof/>
          <w:lang w:val="en-GB"/>
        </w:rPr>
        <w:t xml:space="preserve"> 2005; </w:t>
      </w:r>
      <w:r w:rsidRPr="00ED50C6">
        <w:rPr>
          <w:b/>
          <w:bCs/>
          <w:noProof/>
          <w:lang w:val="en-GB"/>
        </w:rPr>
        <w:t>86</w:t>
      </w:r>
      <w:r w:rsidRPr="00ED50C6">
        <w:rPr>
          <w:noProof/>
          <w:lang w:val="en-GB"/>
        </w:rPr>
        <w:t>: 423–30.</w:t>
      </w:r>
    </w:p>
    <w:p w14:paraId="5B64AD73" w14:textId="77777777" w:rsidR="007821E3" w:rsidRPr="00ED50C6" w:rsidRDefault="007821E3" w:rsidP="007821E3">
      <w:pPr>
        <w:widowControl w:val="0"/>
        <w:autoSpaceDE w:val="0"/>
        <w:autoSpaceDN w:val="0"/>
        <w:adjustRightInd w:val="0"/>
        <w:ind w:left="640" w:hanging="640"/>
        <w:rPr>
          <w:noProof/>
          <w:lang w:val="en-GB"/>
        </w:rPr>
      </w:pPr>
      <w:r w:rsidRPr="00ED50C6">
        <w:rPr>
          <w:noProof/>
          <w:lang w:val="en-GB"/>
        </w:rPr>
        <w:t xml:space="preserve">4 </w:t>
      </w:r>
      <w:r w:rsidRPr="00ED50C6">
        <w:rPr>
          <w:noProof/>
          <w:lang w:val="en-GB"/>
        </w:rPr>
        <w:tab/>
        <w:t xml:space="preserve">Etienne G, Dupouy M, Costaglioli P, Chollet C, Lagarde V, Pasquet J-M </w:t>
      </w:r>
      <w:r w:rsidRPr="00ED50C6">
        <w:rPr>
          <w:i/>
          <w:iCs/>
          <w:noProof/>
          <w:lang w:val="en-GB"/>
        </w:rPr>
        <w:t>et al.</w:t>
      </w:r>
      <w:r w:rsidRPr="00ED50C6">
        <w:rPr>
          <w:noProof/>
          <w:lang w:val="en-GB"/>
        </w:rPr>
        <w:t xml:space="preserve"> </w:t>
      </w:r>
      <w:r w:rsidRPr="007821E3">
        <w:rPr>
          <w:noProof/>
        </w:rPr>
        <w:t>α</w:t>
      </w:r>
      <w:r w:rsidRPr="00ED50C6">
        <w:rPr>
          <w:noProof/>
          <w:lang w:val="en-GB"/>
        </w:rPr>
        <w:t xml:space="preserve">-defensin 1-3 and </w:t>
      </w:r>
      <w:r w:rsidRPr="007821E3">
        <w:rPr>
          <w:noProof/>
        </w:rPr>
        <w:t>α</w:t>
      </w:r>
      <w:r w:rsidRPr="00ED50C6">
        <w:rPr>
          <w:noProof/>
          <w:lang w:val="en-GB"/>
        </w:rPr>
        <w:t xml:space="preserve">-defensin 4 as predictive markers of imatinib resistance and relapse in CML patients. </w:t>
      </w:r>
      <w:r w:rsidRPr="00ED50C6">
        <w:rPr>
          <w:i/>
          <w:iCs/>
          <w:noProof/>
          <w:lang w:val="en-GB"/>
        </w:rPr>
        <w:t>Dis Markers</w:t>
      </w:r>
      <w:r w:rsidRPr="00ED50C6">
        <w:rPr>
          <w:noProof/>
          <w:lang w:val="en-GB"/>
        </w:rPr>
        <w:t xml:space="preserve"> 2011; </w:t>
      </w:r>
      <w:r w:rsidRPr="00ED50C6">
        <w:rPr>
          <w:b/>
          <w:bCs/>
          <w:noProof/>
          <w:lang w:val="en-GB"/>
        </w:rPr>
        <w:t>30</w:t>
      </w:r>
      <w:r w:rsidRPr="00ED50C6">
        <w:rPr>
          <w:noProof/>
          <w:lang w:val="en-GB"/>
        </w:rPr>
        <w:t>: 221–227.</w:t>
      </w:r>
    </w:p>
    <w:p w14:paraId="405EFB5B" w14:textId="77777777" w:rsidR="007821E3" w:rsidRPr="007821E3" w:rsidRDefault="007821E3" w:rsidP="007821E3">
      <w:pPr>
        <w:widowControl w:val="0"/>
        <w:autoSpaceDE w:val="0"/>
        <w:autoSpaceDN w:val="0"/>
        <w:adjustRightInd w:val="0"/>
        <w:ind w:left="640" w:hanging="640"/>
        <w:rPr>
          <w:noProof/>
        </w:rPr>
      </w:pPr>
      <w:r w:rsidRPr="00ED50C6">
        <w:rPr>
          <w:noProof/>
          <w:lang w:val="en-GB"/>
        </w:rPr>
        <w:t xml:space="preserve">5 </w:t>
      </w:r>
      <w:r w:rsidRPr="00ED50C6">
        <w:rPr>
          <w:noProof/>
          <w:lang w:val="en-GB"/>
        </w:rPr>
        <w:tab/>
        <w:t xml:space="preserve">Newman AM, Steen CB, Liu CL, Gentles AJ, Chaudhuri AA, Scherer F </w:t>
      </w:r>
      <w:r w:rsidRPr="00ED50C6">
        <w:rPr>
          <w:i/>
          <w:iCs/>
          <w:noProof/>
          <w:lang w:val="en-GB"/>
        </w:rPr>
        <w:t>et al.</w:t>
      </w:r>
      <w:r w:rsidRPr="00ED50C6">
        <w:rPr>
          <w:noProof/>
          <w:lang w:val="en-GB"/>
        </w:rPr>
        <w:t xml:space="preserve"> Determining cell type abundance and expression from bulk tissues with digital cytometry. </w:t>
      </w:r>
      <w:r w:rsidRPr="007821E3">
        <w:rPr>
          <w:i/>
          <w:iCs/>
          <w:noProof/>
        </w:rPr>
        <w:t>Nat Biotechnol</w:t>
      </w:r>
      <w:r w:rsidRPr="007821E3">
        <w:rPr>
          <w:noProof/>
        </w:rPr>
        <w:t xml:space="preserve"> 2019; </w:t>
      </w:r>
      <w:r w:rsidRPr="007821E3">
        <w:rPr>
          <w:b/>
          <w:bCs/>
          <w:noProof/>
        </w:rPr>
        <w:t>37</w:t>
      </w:r>
      <w:r w:rsidRPr="007821E3">
        <w:rPr>
          <w:noProof/>
        </w:rPr>
        <w:t>: 773–782.</w:t>
      </w:r>
    </w:p>
    <w:p w14:paraId="41A584AD" w14:textId="0FCA165C" w:rsidR="00C70B61" w:rsidRPr="00515967" w:rsidRDefault="00C70B61" w:rsidP="00BB6FF4">
      <w:pPr>
        <w:rPr>
          <w:color w:val="000000"/>
          <w:lang w:val="en-GB"/>
        </w:rPr>
      </w:pPr>
      <w:r>
        <w:rPr>
          <w:color w:val="000000"/>
          <w:lang w:val="en-GB"/>
        </w:rPr>
        <w:fldChar w:fldCharType="end"/>
      </w:r>
    </w:p>
    <w:sectPr w:rsidR="00C70B61" w:rsidRPr="00515967">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191E2" w14:textId="77777777" w:rsidR="00E02ACB" w:rsidRDefault="00E02ACB" w:rsidP="00E02ACB">
      <w:r>
        <w:separator/>
      </w:r>
    </w:p>
  </w:endnote>
  <w:endnote w:type="continuationSeparator" w:id="0">
    <w:p w14:paraId="525AB932" w14:textId="77777777" w:rsidR="00E02ACB" w:rsidRDefault="00E02ACB" w:rsidP="00E02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5816088"/>
      <w:docPartObj>
        <w:docPartGallery w:val="Page Numbers (Bottom of Page)"/>
        <w:docPartUnique/>
      </w:docPartObj>
    </w:sdtPr>
    <w:sdtEndPr/>
    <w:sdtContent>
      <w:p w14:paraId="393AA40E" w14:textId="42A04216" w:rsidR="00E02ACB" w:rsidRDefault="00E02ACB">
        <w:pPr>
          <w:pStyle w:val="Footer"/>
          <w:jc w:val="right"/>
        </w:pPr>
        <w:r>
          <w:fldChar w:fldCharType="begin"/>
        </w:r>
        <w:r>
          <w:instrText>PAGE   \* MERGEFORMAT</w:instrText>
        </w:r>
        <w:r>
          <w:fldChar w:fldCharType="separate"/>
        </w:r>
        <w:r w:rsidR="00033A34">
          <w:rPr>
            <w:noProof/>
          </w:rPr>
          <w:t>5</w:t>
        </w:r>
        <w:r>
          <w:fldChar w:fldCharType="end"/>
        </w:r>
      </w:p>
    </w:sdtContent>
  </w:sdt>
  <w:p w14:paraId="6FEF5E8B" w14:textId="77777777" w:rsidR="00E02ACB" w:rsidRDefault="00E02A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923B6" w14:textId="77777777" w:rsidR="00E02ACB" w:rsidRDefault="00E02ACB" w:rsidP="00E02ACB">
      <w:r>
        <w:separator/>
      </w:r>
    </w:p>
  </w:footnote>
  <w:footnote w:type="continuationSeparator" w:id="0">
    <w:p w14:paraId="3394898A" w14:textId="77777777" w:rsidR="00E02ACB" w:rsidRDefault="00E02ACB" w:rsidP="00E02A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F30155"/>
    <w:multiLevelType w:val="hybridMultilevel"/>
    <w:tmpl w:val="FC3E65F0"/>
    <w:lvl w:ilvl="0" w:tplc="04140017">
      <w:start w:val="1"/>
      <w:numFmt w:val="low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16cid:durableId="1836602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1AA"/>
    <w:rsid w:val="00003707"/>
    <w:rsid w:val="00006179"/>
    <w:rsid w:val="0001174A"/>
    <w:rsid w:val="000228BC"/>
    <w:rsid w:val="0002361E"/>
    <w:rsid w:val="00033A34"/>
    <w:rsid w:val="00035CE4"/>
    <w:rsid w:val="000365E0"/>
    <w:rsid w:val="00040020"/>
    <w:rsid w:val="000653E8"/>
    <w:rsid w:val="00071C7E"/>
    <w:rsid w:val="000745A0"/>
    <w:rsid w:val="00083FE4"/>
    <w:rsid w:val="0008588E"/>
    <w:rsid w:val="00093C3E"/>
    <w:rsid w:val="000A41D6"/>
    <w:rsid w:val="000B0259"/>
    <w:rsid w:val="000B1FD6"/>
    <w:rsid w:val="000B592C"/>
    <w:rsid w:val="000C1356"/>
    <w:rsid w:val="000C2F79"/>
    <w:rsid w:val="000D324E"/>
    <w:rsid w:val="000D7038"/>
    <w:rsid w:val="00101BE8"/>
    <w:rsid w:val="0010475B"/>
    <w:rsid w:val="001351BA"/>
    <w:rsid w:val="00140019"/>
    <w:rsid w:val="00141CF3"/>
    <w:rsid w:val="00150319"/>
    <w:rsid w:val="00156E8C"/>
    <w:rsid w:val="001840EC"/>
    <w:rsid w:val="00197BA6"/>
    <w:rsid w:val="001A0CF1"/>
    <w:rsid w:val="001A554A"/>
    <w:rsid w:val="001D403F"/>
    <w:rsid w:val="001E48DF"/>
    <w:rsid w:val="001E639D"/>
    <w:rsid w:val="001F353E"/>
    <w:rsid w:val="001F407B"/>
    <w:rsid w:val="00202C6C"/>
    <w:rsid w:val="00202D83"/>
    <w:rsid w:val="002041B3"/>
    <w:rsid w:val="00205348"/>
    <w:rsid w:val="00220C7D"/>
    <w:rsid w:val="002242C8"/>
    <w:rsid w:val="0022442E"/>
    <w:rsid w:val="00240DA5"/>
    <w:rsid w:val="002558D8"/>
    <w:rsid w:val="0026481C"/>
    <w:rsid w:val="0027627D"/>
    <w:rsid w:val="002A115A"/>
    <w:rsid w:val="002B0D08"/>
    <w:rsid w:val="002B2A90"/>
    <w:rsid w:val="002B5DF0"/>
    <w:rsid w:val="002E0965"/>
    <w:rsid w:val="0030237D"/>
    <w:rsid w:val="003068CD"/>
    <w:rsid w:val="0030703E"/>
    <w:rsid w:val="00317B46"/>
    <w:rsid w:val="00346ABD"/>
    <w:rsid w:val="00361A3F"/>
    <w:rsid w:val="00363314"/>
    <w:rsid w:val="00364C55"/>
    <w:rsid w:val="00370131"/>
    <w:rsid w:val="003801BE"/>
    <w:rsid w:val="003B3390"/>
    <w:rsid w:val="003D7B05"/>
    <w:rsid w:val="003E08AD"/>
    <w:rsid w:val="003E527C"/>
    <w:rsid w:val="003E7E82"/>
    <w:rsid w:val="003F2FB7"/>
    <w:rsid w:val="00404F99"/>
    <w:rsid w:val="004414BD"/>
    <w:rsid w:val="004527C6"/>
    <w:rsid w:val="004752EC"/>
    <w:rsid w:val="00480740"/>
    <w:rsid w:val="0049731E"/>
    <w:rsid w:val="004A25E9"/>
    <w:rsid w:val="004C2686"/>
    <w:rsid w:val="004D3190"/>
    <w:rsid w:val="004E08D9"/>
    <w:rsid w:val="004E574C"/>
    <w:rsid w:val="00513178"/>
    <w:rsid w:val="00515967"/>
    <w:rsid w:val="00524694"/>
    <w:rsid w:val="0053398A"/>
    <w:rsid w:val="0053714C"/>
    <w:rsid w:val="00545279"/>
    <w:rsid w:val="00551024"/>
    <w:rsid w:val="00552D5E"/>
    <w:rsid w:val="005535E0"/>
    <w:rsid w:val="0057423C"/>
    <w:rsid w:val="005834BE"/>
    <w:rsid w:val="00584B2A"/>
    <w:rsid w:val="005A2E26"/>
    <w:rsid w:val="005A4DEA"/>
    <w:rsid w:val="005E740E"/>
    <w:rsid w:val="005E77E2"/>
    <w:rsid w:val="006149B7"/>
    <w:rsid w:val="00615B6E"/>
    <w:rsid w:val="0061704F"/>
    <w:rsid w:val="00626F49"/>
    <w:rsid w:val="00627E67"/>
    <w:rsid w:val="00634CC7"/>
    <w:rsid w:val="0064797D"/>
    <w:rsid w:val="006520E2"/>
    <w:rsid w:val="0066124C"/>
    <w:rsid w:val="00663FC8"/>
    <w:rsid w:val="00685726"/>
    <w:rsid w:val="00696056"/>
    <w:rsid w:val="006A39FB"/>
    <w:rsid w:val="006C03B2"/>
    <w:rsid w:val="006C1D42"/>
    <w:rsid w:val="006C4B3E"/>
    <w:rsid w:val="006D7DC1"/>
    <w:rsid w:val="007177E6"/>
    <w:rsid w:val="0072067B"/>
    <w:rsid w:val="007214DF"/>
    <w:rsid w:val="00734DAD"/>
    <w:rsid w:val="00736876"/>
    <w:rsid w:val="00742372"/>
    <w:rsid w:val="00761846"/>
    <w:rsid w:val="00763B56"/>
    <w:rsid w:val="00777A22"/>
    <w:rsid w:val="007821E3"/>
    <w:rsid w:val="007929C5"/>
    <w:rsid w:val="007930B6"/>
    <w:rsid w:val="007B0626"/>
    <w:rsid w:val="007B1A2B"/>
    <w:rsid w:val="007E3469"/>
    <w:rsid w:val="007F78F6"/>
    <w:rsid w:val="00803928"/>
    <w:rsid w:val="00815D26"/>
    <w:rsid w:val="00817739"/>
    <w:rsid w:val="00842A40"/>
    <w:rsid w:val="008446E0"/>
    <w:rsid w:val="008457E7"/>
    <w:rsid w:val="008831AB"/>
    <w:rsid w:val="00883C48"/>
    <w:rsid w:val="0089334B"/>
    <w:rsid w:val="008959B0"/>
    <w:rsid w:val="008971AA"/>
    <w:rsid w:val="008C01DE"/>
    <w:rsid w:val="008C7B57"/>
    <w:rsid w:val="008D6A54"/>
    <w:rsid w:val="008E42F4"/>
    <w:rsid w:val="008E5136"/>
    <w:rsid w:val="008E797C"/>
    <w:rsid w:val="008F5412"/>
    <w:rsid w:val="009170F3"/>
    <w:rsid w:val="009301B7"/>
    <w:rsid w:val="00957410"/>
    <w:rsid w:val="00962105"/>
    <w:rsid w:val="0097521E"/>
    <w:rsid w:val="00994530"/>
    <w:rsid w:val="009D3B90"/>
    <w:rsid w:val="009D3CE0"/>
    <w:rsid w:val="009E4F07"/>
    <w:rsid w:val="009F34E5"/>
    <w:rsid w:val="009F393F"/>
    <w:rsid w:val="00A14851"/>
    <w:rsid w:val="00A15ACE"/>
    <w:rsid w:val="00A15D64"/>
    <w:rsid w:val="00A16E71"/>
    <w:rsid w:val="00A24F20"/>
    <w:rsid w:val="00A25604"/>
    <w:rsid w:val="00A31C7E"/>
    <w:rsid w:val="00A33FEC"/>
    <w:rsid w:val="00A40735"/>
    <w:rsid w:val="00A45770"/>
    <w:rsid w:val="00A463DF"/>
    <w:rsid w:val="00A50C73"/>
    <w:rsid w:val="00A51569"/>
    <w:rsid w:val="00A56F66"/>
    <w:rsid w:val="00A74CA2"/>
    <w:rsid w:val="00A81784"/>
    <w:rsid w:val="00A92045"/>
    <w:rsid w:val="00A9423A"/>
    <w:rsid w:val="00AD3A35"/>
    <w:rsid w:val="00AE5FB5"/>
    <w:rsid w:val="00AF7C43"/>
    <w:rsid w:val="00B0701F"/>
    <w:rsid w:val="00B26659"/>
    <w:rsid w:val="00B316A4"/>
    <w:rsid w:val="00B327F4"/>
    <w:rsid w:val="00B42875"/>
    <w:rsid w:val="00B57DB7"/>
    <w:rsid w:val="00B82BD0"/>
    <w:rsid w:val="00B840E4"/>
    <w:rsid w:val="00BA3CBE"/>
    <w:rsid w:val="00BB0B51"/>
    <w:rsid w:val="00BB6FF4"/>
    <w:rsid w:val="00BC32A0"/>
    <w:rsid w:val="00BD37D5"/>
    <w:rsid w:val="00BF055A"/>
    <w:rsid w:val="00C076F0"/>
    <w:rsid w:val="00C1684A"/>
    <w:rsid w:val="00C4535E"/>
    <w:rsid w:val="00C45980"/>
    <w:rsid w:val="00C70750"/>
    <w:rsid w:val="00C70B61"/>
    <w:rsid w:val="00C77ACE"/>
    <w:rsid w:val="00C937C9"/>
    <w:rsid w:val="00CB3A18"/>
    <w:rsid w:val="00CC21ED"/>
    <w:rsid w:val="00CD67B1"/>
    <w:rsid w:val="00CE5E38"/>
    <w:rsid w:val="00CF217A"/>
    <w:rsid w:val="00CF69F6"/>
    <w:rsid w:val="00D0011F"/>
    <w:rsid w:val="00D079F0"/>
    <w:rsid w:val="00D20311"/>
    <w:rsid w:val="00D21E69"/>
    <w:rsid w:val="00D43935"/>
    <w:rsid w:val="00D500B8"/>
    <w:rsid w:val="00D64A73"/>
    <w:rsid w:val="00D71EA2"/>
    <w:rsid w:val="00D84409"/>
    <w:rsid w:val="00D91011"/>
    <w:rsid w:val="00DA54E1"/>
    <w:rsid w:val="00DC14C9"/>
    <w:rsid w:val="00DC2492"/>
    <w:rsid w:val="00DD02BB"/>
    <w:rsid w:val="00DD6492"/>
    <w:rsid w:val="00DE33CE"/>
    <w:rsid w:val="00DE588A"/>
    <w:rsid w:val="00DF69AC"/>
    <w:rsid w:val="00DF6D17"/>
    <w:rsid w:val="00E02ACB"/>
    <w:rsid w:val="00E02E19"/>
    <w:rsid w:val="00E14022"/>
    <w:rsid w:val="00E16B9E"/>
    <w:rsid w:val="00E2109D"/>
    <w:rsid w:val="00E30120"/>
    <w:rsid w:val="00E3078B"/>
    <w:rsid w:val="00E6054A"/>
    <w:rsid w:val="00E859D0"/>
    <w:rsid w:val="00EA144E"/>
    <w:rsid w:val="00EB7084"/>
    <w:rsid w:val="00ED161E"/>
    <w:rsid w:val="00ED50C6"/>
    <w:rsid w:val="00EE6B13"/>
    <w:rsid w:val="00F14484"/>
    <w:rsid w:val="00F24492"/>
    <w:rsid w:val="00F36A06"/>
    <w:rsid w:val="00F558A9"/>
    <w:rsid w:val="00F613B8"/>
    <w:rsid w:val="00F733F9"/>
    <w:rsid w:val="00F8171D"/>
    <w:rsid w:val="00FA3348"/>
    <w:rsid w:val="00FB1247"/>
    <w:rsid w:val="00FB34D6"/>
    <w:rsid w:val="00FC29EA"/>
    <w:rsid w:val="00FE6E76"/>
    <w:rsid w:val="00FF0D88"/>
    <w:rsid w:val="00FF3414"/>
    <w:rsid w:val="00FF3FB4"/>
    <w:rsid w:val="00FF4A9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2F755B49"/>
  <w15:docId w15:val="{AF173782-50A0-41B7-81E8-DF0BF26EB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14BD"/>
    <w:pPr>
      <w:ind w:left="720"/>
      <w:contextualSpacing/>
    </w:pPr>
  </w:style>
  <w:style w:type="paragraph" w:styleId="BalloonText">
    <w:name w:val="Balloon Text"/>
    <w:basedOn w:val="Normal"/>
    <w:link w:val="BalloonTextChar"/>
    <w:semiHidden/>
    <w:unhideWhenUsed/>
    <w:rsid w:val="001D403F"/>
    <w:rPr>
      <w:rFonts w:ascii="Segoe UI" w:hAnsi="Segoe UI" w:cs="Segoe UI"/>
      <w:sz w:val="18"/>
      <w:szCs w:val="18"/>
    </w:rPr>
  </w:style>
  <w:style w:type="character" w:customStyle="1" w:styleId="BalloonTextChar">
    <w:name w:val="Balloon Text Char"/>
    <w:basedOn w:val="DefaultParagraphFont"/>
    <w:link w:val="BalloonText"/>
    <w:semiHidden/>
    <w:rsid w:val="001D403F"/>
    <w:rPr>
      <w:rFonts w:ascii="Segoe UI" w:hAnsi="Segoe UI" w:cs="Segoe UI"/>
      <w:sz w:val="18"/>
      <w:szCs w:val="18"/>
    </w:rPr>
  </w:style>
  <w:style w:type="character" w:styleId="CommentReference">
    <w:name w:val="annotation reference"/>
    <w:basedOn w:val="DefaultParagraphFont"/>
    <w:uiPriority w:val="99"/>
    <w:semiHidden/>
    <w:unhideWhenUsed/>
    <w:rsid w:val="00202C6C"/>
    <w:rPr>
      <w:sz w:val="16"/>
      <w:szCs w:val="16"/>
    </w:rPr>
  </w:style>
  <w:style w:type="paragraph" w:styleId="CommentText">
    <w:name w:val="annotation text"/>
    <w:basedOn w:val="Normal"/>
    <w:link w:val="CommentTextChar"/>
    <w:uiPriority w:val="99"/>
    <w:unhideWhenUsed/>
    <w:rsid w:val="00202C6C"/>
    <w:rPr>
      <w:sz w:val="20"/>
      <w:szCs w:val="20"/>
    </w:rPr>
  </w:style>
  <w:style w:type="character" w:customStyle="1" w:styleId="CommentTextChar">
    <w:name w:val="Comment Text Char"/>
    <w:basedOn w:val="DefaultParagraphFont"/>
    <w:link w:val="CommentText"/>
    <w:uiPriority w:val="99"/>
    <w:rsid w:val="00202C6C"/>
  </w:style>
  <w:style w:type="paragraph" w:styleId="CommentSubject">
    <w:name w:val="annotation subject"/>
    <w:basedOn w:val="CommentText"/>
    <w:next w:val="CommentText"/>
    <w:link w:val="CommentSubjectChar"/>
    <w:semiHidden/>
    <w:unhideWhenUsed/>
    <w:rsid w:val="00202C6C"/>
    <w:rPr>
      <w:b/>
      <w:bCs/>
    </w:rPr>
  </w:style>
  <w:style w:type="character" w:customStyle="1" w:styleId="CommentSubjectChar">
    <w:name w:val="Comment Subject Char"/>
    <w:basedOn w:val="CommentTextChar"/>
    <w:link w:val="CommentSubject"/>
    <w:semiHidden/>
    <w:rsid w:val="00202C6C"/>
    <w:rPr>
      <w:b/>
      <w:bCs/>
    </w:rPr>
  </w:style>
  <w:style w:type="paragraph" w:styleId="Header">
    <w:name w:val="header"/>
    <w:basedOn w:val="Normal"/>
    <w:link w:val="HeaderChar"/>
    <w:unhideWhenUsed/>
    <w:rsid w:val="00E02ACB"/>
    <w:pPr>
      <w:tabs>
        <w:tab w:val="center" w:pos="4536"/>
        <w:tab w:val="right" w:pos="9072"/>
      </w:tabs>
    </w:pPr>
  </w:style>
  <w:style w:type="character" w:customStyle="1" w:styleId="HeaderChar">
    <w:name w:val="Header Char"/>
    <w:basedOn w:val="DefaultParagraphFont"/>
    <w:link w:val="Header"/>
    <w:rsid w:val="00E02ACB"/>
    <w:rPr>
      <w:sz w:val="24"/>
      <w:szCs w:val="24"/>
    </w:rPr>
  </w:style>
  <w:style w:type="paragraph" w:styleId="Footer">
    <w:name w:val="footer"/>
    <w:basedOn w:val="Normal"/>
    <w:link w:val="FooterChar"/>
    <w:uiPriority w:val="99"/>
    <w:unhideWhenUsed/>
    <w:rsid w:val="00E02ACB"/>
    <w:pPr>
      <w:tabs>
        <w:tab w:val="center" w:pos="4536"/>
        <w:tab w:val="right" w:pos="9072"/>
      </w:tabs>
    </w:pPr>
  </w:style>
  <w:style w:type="character" w:customStyle="1" w:styleId="FooterChar">
    <w:name w:val="Footer Char"/>
    <w:basedOn w:val="DefaultParagraphFont"/>
    <w:link w:val="Footer"/>
    <w:uiPriority w:val="99"/>
    <w:rsid w:val="00E02ACB"/>
    <w:rPr>
      <w:sz w:val="24"/>
      <w:szCs w:val="24"/>
    </w:rPr>
  </w:style>
  <w:style w:type="paragraph" w:styleId="Revision">
    <w:name w:val="Revision"/>
    <w:hidden/>
    <w:uiPriority w:val="99"/>
    <w:semiHidden/>
    <w:rsid w:val="00033A34"/>
    <w:rPr>
      <w:sz w:val="24"/>
      <w:szCs w:val="24"/>
    </w:rPr>
  </w:style>
  <w:style w:type="table" w:styleId="TableGrid">
    <w:name w:val="Table Grid"/>
    <w:basedOn w:val="TableNormal"/>
    <w:uiPriority w:val="39"/>
    <w:rsid w:val="008457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994530"/>
    <w:rPr>
      <w:color w:val="0000FF" w:themeColor="hyperlink"/>
      <w:u w:val="single"/>
    </w:rPr>
  </w:style>
  <w:style w:type="character" w:styleId="UnresolvedMention">
    <w:name w:val="Unresolved Mention"/>
    <w:basedOn w:val="DefaultParagraphFont"/>
    <w:uiPriority w:val="99"/>
    <w:semiHidden/>
    <w:unhideWhenUsed/>
    <w:rsid w:val="00994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00587">
      <w:bodyDiv w:val="1"/>
      <w:marLeft w:val="0"/>
      <w:marRight w:val="0"/>
      <w:marTop w:val="0"/>
      <w:marBottom w:val="0"/>
      <w:divBdr>
        <w:top w:val="none" w:sz="0" w:space="0" w:color="auto"/>
        <w:left w:val="none" w:sz="0" w:space="0" w:color="auto"/>
        <w:bottom w:val="none" w:sz="0" w:space="0" w:color="auto"/>
        <w:right w:val="none" w:sz="0" w:space="0" w:color="auto"/>
      </w:divBdr>
    </w:div>
    <w:div w:id="245695744">
      <w:bodyDiv w:val="1"/>
      <w:marLeft w:val="0"/>
      <w:marRight w:val="0"/>
      <w:marTop w:val="0"/>
      <w:marBottom w:val="0"/>
      <w:divBdr>
        <w:top w:val="none" w:sz="0" w:space="0" w:color="auto"/>
        <w:left w:val="none" w:sz="0" w:space="0" w:color="auto"/>
        <w:bottom w:val="none" w:sz="0" w:space="0" w:color="auto"/>
        <w:right w:val="none" w:sz="0" w:space="0" w:color="auto"/>
      </w:divBdr>
    </w:div>
    <w:div w:id="303199712">
      <w:bodyDiv w:val="1"/>
      <w:marLeft w:val="0"/>
      <w:marRight w:val="0"/>
      <w:marTop w:val="0"/>
      <w:marBottom w:val="0"/>
      <w:divBdr>
        <w:top w:val="none" w:sz="0" w:space="0" w:color="auto"/>
        <w:left w:val="none" w:sz="0" w:space="0" w:color="auto"/>
        <w:bottom w:val="none" w:sz="0" w:space="0" w:color="auto"/>
        <w:right w:val="none" w:sz="0" w:space="0" w:color="auto"/>
      </w:divBdr>
    </w:div>
    <w:div w:id="364790242">
      <w:bodyDiv w:val="1"/>
      <w:marLeft w:val="0"/>
      <w:marRight w:val="0"/>
      <w:marTop w:val="0"/>
      <w:marBottom w:val="0"/>
      <w:divBdr>
        <w:top w:val="none" w:sz="0" w:space="0" w:color="auto"/>
        <w:left w:val="none" w:sz="0" w:space="0" w:color="auto"/>
        <w:bottom w:val="none" w:sz="0" w:space="0" w:color="auto"/>
        <w:right w:val="none" w:sz="0" w:space="0" w:color="auto"/>
      </w:divBdr>
    </w:div>
    <w:div w:id="650712632">
      <w:bodyDiv w:val="1"/>
      <w:marLeft w:val="0"/>
      <w:marRight w:val="0"/>
      <w:marTop w:val="0"/>
      <w:marBottom w:val="0"/>
      <w:divBdr>
        <w:top w:val="none" w:sz="0" w:space="0" w:color="auto"/>
        <w:left w:val="none" w:sz="0" w:space="0" w:color="auto"/>
        <w:bottom w:val="none" w:sz="0" w:space="0" w:color="auto"/>
        <w:right w:val="none" w:sz="0" w:space="0" w:color="auto"/>
      </w:divBdr>
    </w:div>
    <w:div w:id="819269219">
      <w:bodyDiv w:val="1"/>
      <w:marLeft w:val="0"/>
      <w:marRight w:val="0"/>
      <w:marTop w:val="0"/>
      <w:marBottom w:val="0"/>
      <w:divBdr>
        <w:top w:val="none" w:sz="0" w:space="0" w:color="auto"/>
        <w:left w:val="none" w:sz="0" w:space="0" w:color="auto"/>
        <w:bottom w:val="none" w:sz="0" w:space="0" w:color="auto"/>
        <w:right w:val="none" w:sz="0" w:space="0" w:color="auto"/>
      </w:divBdr>
    </w:div>
    <w:div w:id="1509516664">
      <w:bodyDiv w:val="1"/>
      <w:marLeft w:val="0"/>
      <w:marRight w:val="0"/>
      <w:marTop w:val="0"/>
      <w:marBottom w:val="0"/>
      <w:divBdr>
        <w:top w:val="none" w:sz="0" w:space="0" w:color="auto"/>
        <w:left w:val="none" w:sz="0" w:space="0" w:color="auto"/>
        <w:bottom w:val="none" w:sz="0" w:space="0" w:color="auto"/>
        <w:right w:val="none" w:sz="0" w:space="0" w:color="auto"/>
      </w:divBdr>
    </w:div>
    <w:div w:id="1579943638">
      <w:bodyDiv w:val="1"/>
      <w:marLeft w:val="0"/>
      <w:marRight w:val="0"/>
      <w:marTop w:val="0"/>
      <w:marBottom w:val="0"/>
      <w:divBdr>
        <w:top w:val="none" w:sz="0" w:space="0" w:color="auto"/>
        <w:left w:val="none" w:sz="0" w:space="0" w:color="auto"/>
        <w:bottom w:val="none" w:sz="0" w:space="0" w:color="auto"/>
        <w:right w:val="none" w:sz="0" w:space="0" w:color="auto"/>
      </w:divBdr>
    </w:div>
    <w:div w:id="1662080219">
      <w:bodyDiv w:val="1"/>
      <w:marLeft w:val="0"/>
      <w:marRight w:val="0"/>
      <w:marTop w:val="0"/>
      <w:marBottom w:val="0"/>
      <w:divBdr>
        <w:top w:val="none" w:sz="0" w:space="0" w:color="auto"/>
        <w:left w:val="none" w:sz="0" w:space="0" w:color="auto"/>
        <w:bottom w:val="none" w:sz="0" w:space="0" w:color="auto"/>
        <w:right w:val="none" w:sz="0" w:space="0" w:color="auto"/>
      </w:divBdr>
    </w:div>
    <w:div w:id="1676416938">
      <w:bodyDiv w:val="1"/>
      <w:marLeft w:val="0"/>
      <w:marRight w:val="0"/>
      <w:marTop w:val="0"/>
      <w:marBottom w:val="0"/>
      <w:divBdr>
        <w:top w:val="none" w:sz="0" w:space="0" w:color="auto"/>
        <w:left w:val="none" w:sz="0" w:space="0" w:color="auto"/>
        <w:bottom w:val="none" w:sz="0" w:space="0" w:color="auto"/>
        <w:right w:val="none" w:sz="0" w:space="0" w:color="auto"/>
      </w:divBdr>
    </w:div>
    <w:div w:id="1774521058">
      <w:bodyDiv w:val="1"/>
      <w:marLeft w:val="0"/>
      <w:marRight w:val="0"/>
      <w:marTop w:val="0"/>
      <w:marBottom w:val="0"/>
      <w:divBdr>
        <w:top w:val="none" w:sz="0" w:space="0" w:color="auto"/>
        <w:left w:val="none" w:sz="0" w:space="0" w:color="auto"/>
        <w:bottom w:val="none" w:sz="0" w:space="0" w:color="auto"/>
        <w:right w:val="none" w:sz="0" w:space="0" w:color="auto"/>
      </w:divBdr>
    </w:div>
    <w:div w:id="185187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cibersortx.stanford.edu"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3931E-79A9-4992-BA63-8FEA02A57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811</Words>
  <Characters>9960</Characters>
  <Application>Microsoft Office Word</Application>
  <DocSecurity>0</DocSecurity>
  <Lines>83</Lines>
  <Paragraphs>21</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Helse Vest</Company>
  <LinksUpToDate>false</LinksUpToDate>
  <CharactersWithSpaces>10750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Jorunn Skeie Bringsli</dc:creator>
  <cp:lastModifiedBy>Anja Torsvik</cp:lastModifiedBy>
  <cp:revision>5</cp:revision>
  <cp:lastPrinted>2022-09-08T08:58:00Z</cp:lastPrinted>
  <dcterms:created xsi:type="dcterms:W3CDTF">2023-03-20T09:18:00Z</dcterms:created>
  <dcterms:modified xsi:type="dcterms:W3CDTF">2023-04-14T14:09:00Z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http://www.zotero.org/styles/american-medical-association-no-url</vt:lpwstr>
  </property>
  <property fmtid="{D5CDD505-2E9C-101B-9397-08002B2CF9AE}" pid="3" name="Mendeley Recent Style Name 0_1">
    <vt:lpwstr>American Medical Association (no URL)</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http://www.zotero.org/styles/frontiers-in-psychiatry</vt:lpwstr>
  </property>
  <property fmtid="{D5CDD505-2E9C-101B-9397-08002B2CF9AE}" pid="11" name="Mendeley Recent Style Name 4_1">
    <vt:lpwstr>Frontiers in Psychiatry</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http://www.zotero.org/styles/molecular-psychiatry</vt:lpwstr>
  </property>
  <property fmtid="{D5CDD505-2E9C-101B-9397-08002B2CF9AE}" pid="15" name="Mendeley Recent Style Name 6_1">
    <vt:lpwstr>Molecular Psychiatry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http://www.zotero.org/styles/the-world-journal-of-biological-psychiatry</vt:lpwstr>
  </property>
  <property fmtid="{D5CDD505-2E9C-101B-9397-08002B2CF9AE}" pid="19" name="Mendeley Recent Style Name 8_1">
    <vt:lpwstr>The World Journal of Biological Psychiatry</vt:lpwstr>
  </property>
  <property fmtid="{D5CDD505-2E9C-101B-9397-08002B2CF9AE}" pid="20" name="Mendeley Recent Style Id 9_1">
    <vt:lpwstr>http://www.zotero.org/styles/translational-psychiatry</vt:lpwstr>
  </property>
  <property fmtid="{D5CDD505-2E9C-101B-9397-08002B2CF9AE}" pid="21" name="Mendeley Recent Style Name 9_1">
    <vt:lpwstr>Translational Psychiatry</vt:lpwstr>
  </property>
  <property fmtid="{D5CDD505-2E9C-101B-9397-08002B2CF9AE}" pid="22" name="Mendeley Document_1">
    <vt:lpwstr>True</vt:lpwstr>
  </property>
  <property fmtid="{D5CDD505-2E9C-101B-9397-08002B2CF9AE}" pid="23" name="Mendeley Unique User Id_1">
    <vt:lpwstr>1dbd4cb8-d370-3058-9ded-5b979e36f9d1</vt:lpwstr>
  </property>
  <property fmtid="{D5CDD505-2E9C-101B-9397-08002B2CF9AE}" pid="24" name="Mendeley Citation Style_1">
    <vt:lpwstr>http://www.zotero.org/styles/translational-psychiatry</vt:lpwstr>
  </property>
</Properties>
</file>