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BC9E6" w14:textId="7611AA02" w:rsidR="00F04C3D" w:rsidRDefault="00245064" w:rsidP="00245064">
      <w:pPr>
        <w:pStyle w:val="Heading1"/>
      </w:pPr>
      <w:r>
        <w:t>Supplementary Materials</w:t>
      </w:r>
    </w:p>
    <w:p w14:paraId="1A450980" w14:textId="77777777" w:rsidR="009E41E9" w:rsidRDefault="009E41E9" w:rsidP="00245064">
      <w:pPr>
        <w:rPr>
          <w:b/>
        </w:rPr>
      </w:pPr>
    </w:p>
    <w:p w14:paraId="1C9F99EA" w14:textId="1A39CF5C" w:rsidR="00A61737" w:rsidRDefault="00F42A72" w:rsidP="00245064">
      <w:pPr>
        <w:rPr>
          <w:b/>
        </w:rPr>
      </w:pPr>
      <w:r w:rsidRPr="00F42A72">
        <w:rPr>
          <w:b/>
        </w:rPr>
        <w:t>Recruitment</w:t>
      </w:r>
    </w:p>
    <w:p w14:paraId="7EC49988" w14:textId="01422457" w:rsidR="001B4423" w:rsidRDefault="001B4423" w:rsidP="00A61737">
      <w:pPr>
        <w:ind w:left="360"/>
        <w:rPr>
          <w:b/>
        </w:rPr>
      </w:pPr>
      <w:r>
        <w:rPr>
          <w:b/>
        </w:rPr>
        <w:t>Inclusion criteria</w:t>
      </w:r>
    </w:p>
    <w:p w14:paraId="4C803A47" w14:textId="000F4FBF" w:rsidR="009E41E9" w:rsidRPr="009E41E9" w:rsidRDefault="009E41E9" w:rsidP="009E41E9">
      <w:pPr>
        <w:numPr>
          <w:ilvl w:val="0"/>
          <w:numId w:val="1"/>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Ages 18 and up</w:t>
      </w:r>
    </w:p>
    <w:p w14:paraId="6E48952D" w14:textId="31781E67" w:rsidR="009E41E9" w:rsidRPr="009E41E9" w:rsidRDefault="009E41E9" w:rsidP="009E41E9">
      <w:pPr>
        <w:numPr>
          <w:ilvl w:val="0"/>
          <w:numId w:val="1"/>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 xml:space="preserve">Diagnosis of chronic PTSD, as established by the </w:t>
      </w:r>
      <w:r w:rsidR="008619BC">
        <w:rPr>
          <w:rFonts w:ascii="Source Sans Pro" w:eastAsia="Times New Roman" w:hAnsi="Source Sans Pro" w:cs="Times New Roman" w:hint="eastAsia"/>
          <w:color w:val="000000"/>
          <w:sz w:val="23"/>
          <w:szCs w:val="23"/>
        </w:rPr>
        <w:t>Clinician-Admini</w:t>
      </w:r>
      <w:r w:rsidR="008619BC">
        <w:rPr>
          <w:rFonts w:ascii="Source Sans Pro" w:eastAsia="Times New Roman" w:hAnsi="Source Sans Pro" w:cs="Times New Roman"/>
          <w:color w:val="000000"/>
          <w:sz w:val="23"/>
          <w:szCs w:val="23"/>
        </w:rPr>
        <w:t>stered</w:t>
      </w:r>
      <w:r w:rsidRPr="009E41E9">
        <w:rPr>
          <w:rFonts w:ascii="Source Sans Pro" w:eastAsia="Times New Roman" w:hAnsi="Source Sans Pro" w:cs="Times New Roman"/>
          <w:color w:val="000000"/>
          <w:sz w:val="23"/>
          <w:szCs w:val="23"/>
        </w:rPr>
        <w:t xml:space="preserve"> PTSD Scale for Diagnostic and Statistical Manual of Mental Disorders, Fifth Edition (DSM-V; CAPS-5)</w:t>
      </w:r>
    </w:p>
    <w:p w14:paraId="718FC1F3" w14:textId="77777777" w:rsidR="009E41E9" w:rsidRPr="009E41E9" w:rsidRDefault="009E41E9" w:rsidP="009E41E9">
      <w:pPr>
        <w:numPr>
          <w:ilvl w:val="0"/>
          <w:numId w:val="1"/>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Ability to give signed, informed consent in English</w:t>
      </w:r>
    </w:p>
    <w:p w14:paraId="331088FB" w14:textId="77777777" w:rsidR="009E41E9" w:rsidRPr="009E41E9" w:rsidRDefault="009E41E9" w:rsidP="009E41E9">
      <w:pPr>
        <w:numPr>
          <w:ilvl w:val="0"/>
          <w:numId w:val="1"/>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Normal or corrected-to-normal vision</w:t>
      </w:r>
    </w:p>
    <w:p w14:paraId="1C63C8D9" w14:textId="77777777" w:rsidR="009E41E9" w:rsidRPr="009E41E9" w:rsidRDefault="009E41E9" w:rsidP="009E41E9">
      <w:pPr>
        <w:numPr>
          <w:ilvl w:val="0"/>
          <w:numId w:val="1"/>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Participants who are on a stable dose of selective serotonin reuptake inhibitor (SSRI) antidepressants for 2 months (3 months if they are on sertraline), or who have been un-medicated for at least 2 months, will be allowed to participate in this study</w:t>
      </w:r>
    </w:p>
    <w:p w14:paraId="3B1CE122" w14:textId="77777777" w:rsidR="009E41E9" w:rsidRPr="009E41E9" w:rsidRDefault="009E41E9" w:rsidP="009E41E9">
      <w:pPr>
        <w:numPr>
          <w:ilvl w:val="0"/>
          <w:numId w:val="1"/>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At the time of recruitment, patients must have no intention of changing their medication or psychotherapy during the 2.5-month period of the intervention</w:t>
      </w:r>
    </w:p>
    <w:p w14:paraId="5DF5A6F2" w14:textId="77777777" w:rsidR="009E41E9" w:rsidRPr="009E41E9" w:rsidRDefault="009E41E9" w:rsidP="009E41E9">
      <w:pPr>
        <w:numPr>
          <w:ilvl w:val="0"/>
          <w:numId w:val="1"/>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Research group must be able to identify a trauma-related target region in or immediately adjacent to the amygdala</w:t>
      </w:r>
    </w:p>
    <w:p w14:paraId="0343E1E3" w14:textId="772B8528" w:rsidR="009E41E9" w:rsidRPr="009E41E9" w:rsidRDefault="009E41E9" w:rsidP="00A61737">
      <w:pPr>
        <w:ind w:left="360"/>
        <w:rPr>
          <w:rFonts w:ascii="Calibri" w:eastAsia="Times New Roman" w:hAnsi="Calibri" w:cs="Calibri"/>
          <w:b/>
          <w:bCs/>
        </w:rPr>
      </w:pPr>
      <w:r w:rsidRPr="009E41E9">
        <w:rPr>
          <w:rFonts w:ascii="Calibri" w:eastAsia="Times New Roman" w:hAnsi="Calibri" w:cs="Calibri"/>
          <w:b/>
          <w:bCs/>
        </w:rPr>
        <w:t>Exclusion Criteria</w:t>
      </w:r>
    </w:p>
    <w:p w14:paraId="5E3D68E0"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Any primary psychiatric diagnosis of a current major mood disorder, psychotic disorder, autism, mental retardation, or DSM-5 substance use disorder of mild or greater severity (2 or more symptoms) in the past 30 days. Comorbid mood and anxiety disorders will be permitted if they are not the primary focus of clinical attention</w:t>
      </w:r>
    </w:p>
    <w:p w14:paraId="74ED480B"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Any history of psychosis or mania</w:t>
      </w:r>
    </w:p>
    <w:p w14:paraId="4DF1C9B4"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Active suicidality within past year, or history of suicide attempt in past 2 years</w:t>
      </w:r>
    </w:p>
    <w:p w14:paraId="4FD3D408"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Any contraindication to MRI scanning (severe claustrophobia, ferromagnetic metal in body, etc.)</w:t>
      </w:r>
    </w:p>
    <w:p w14:paraId="0C7A285A"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Pregnancy</w:t>
      </w:r>
    </w:p>
    <w:p w14:paraId="456AB852"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Any unstable medical or neurological condition</w:t>
      </w:r>
    </w:p>
    <w:p w14:paraId="2A2E0166"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Any history of severe past drug dependence (i.e., a focus of clinical attention or a cause of substantial social or occupational difficulty)</w:t>
      </w:r>
    </w:p>
    <w:p w14:paraId="41F87734"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Any history of brain surgery, of penetrating, neurovascular, infectious, or other major brain injury, of epilepsy, or of other major neurological abnormality (including a history of traumatic brain injury [TBI] with loss of consciousness for more than 24 hours or posttraumatic amnesia for more than 7 days)</w:t>
      </w:r>
    </w:p>
    <w:p w14:paraId="7401D4DD"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Significant hearing loss or severe sensory impairment</w:t>
      </w:r>
    </w:p>
    <w:p w14:paraId="05500D5D"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Any psychotropic medication other than a stable dose of selective serotonin reuptake inhibitors (SSRIs)</w:t>
      </w:r>
    </w:p>
    <w:p w14:paraId="6B1D4BA0"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Any change in accepted psychotropic medication within the past 2 months</w:t>
      </w:r>
    </w:p>
    <w:p w14:paraId="5DEB24B8"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lastRenderedPageBreak/>
        <w:t>Active engagement in cognitive-behavioral therapy or any evidence-based PTSD psychotherapy (Cognitive Processing Therapy [CPT], Prolonged Exposure [PE], Eye Movement Desensitization and Reprocessing [EMDR]) initiated within the past 3 months; continuation of established maintenance supportive therapy will be permitted</w:t>
      </w:r>
    </w:p>
    <w:p w14:paraId="20ECA0C1" w14:textId="77777777" w:rsidR="009E41E9" w:rsidRPr="009E41E9" w:rsidRDefault="009E41E9" w:rsidP="009E41E9">
      <w:pPr>
        <w:numPr>
          <w:ilvl w:val="0"/>
          <w:numId w:val="2"/>
        </w:numPr>
        <w:shd w:val="clear" w:color="auto" w:fill="FFFFFF"/>
        <w:spacing w:before="84" w:after="60"/>
        <w:rPr>
          <w:rFonts w:ascii="Source Sans Pro" w:eastAsia="Times New Roman" w:hAnsi="Source Sans Pro" w:cs="Times New Roman"/>
          <w:color w:val="000000"/>
          <w:sz w:val="23"/>
          <w:szCs w:val="23"/>
        </w:rPr>
      </w:pPr>
      <w:r w:rsidRPr="009E41E9">
        <w:rPr>
          <w:rFonts w:ascii="Source Sans Pro" w:eastAsia="Times New Roman" w:hAnsi="Source Sans Pro" w:cs="Times New Roman"/>
          <w:color w:val="000000"/>
          <w:sz w:val="23"/>
          <w:szCs w:val="23"/>
        </w:rPr>
        <w:t>Enrollment in another research study testing an experimental/clinical/behavioral intervention intended to affect symptoms initiated within the last 2 months, or intended enrollment within the next 2.5 months</w:t>
      </w:r>
    </w:p>
    <w:p w14:paraId="586A8D25" w14:textId="07CDF44C" w:rsidR="009E41E9" w:rsidRPr="009E41E9" w:rsidRDefault="009E41E9" w:rsidP="009E41E9">
      <w:pPr>
        <w:rPr>
          <w:rFonts w:ascii="Calibri" w:eastAsia="Times New Roman" w:hAnsi="Calibri" w:cs="Calibri"/>
        </w:rPr>
      </w:pPr>
      <w:r>
        <w:rPr>
          <w:rFonts w:ascii="Calibri" w:eastAsia="Times New Roman" w:hAnsi="Calibri" w:cs="Calibri"/>
        </w:rPr>
        <w:t xml:space="preserve">Other details of the current trial can be found on </w:t>
      </w:r>
      <w:hyperlink r:id="rId8" w:history="1">
        <w:r w:rsidRPr="009E41E9">
          <w:rPr>
            <w:rStyle w:val="Hyperlink"/>
            <w:rFonts w:ascii="Calibri" w:eastAsia="Times New Roman" w:hAnsi="Calibri" w:cs="Calibri"/>
          </w:rPr>
          <w:t>clinicaltrials.gov/ct2/show/NCT03574974</w:t>
        </w:r>
      </w:hyperlink>
      <w:r w:rsidR="008619BC">
        <w:rPr>
          <w:rFonts w:ascii="Calibri" w:eastAsia="Times New Roman" w:hAnsi="Calibri" w:cs="Calibri"/>
        </w:rPr>
        <w:t>.</w:t>
      </w:r>
    </w:p>
    <w:p w14:paraId="624CDC14" w14:textId="4329E97F" w:rsidR="001B4423" w:rsidRPr="001B4423" w:rsidRDefault="001B4423" w:rsidP="00245064">
      <w:pPr>
        <w:rPr>
          <w:bCs/>
        </w:rPr>
      </w:pPr>
    </w:p>
    <w:p w14:paraId="1AF42DF0" w14:textId="1D6B3B9C" w:rsidR="00F42A72" w:rsidRDefault="00F42A72" w:rsidP="00245064">
      <w:pPr>
        <w:rPr>
          <w:b/>
        </w:rPr>
      </w:pPr>
      <w:r>
        <w:rPr>
          <w:b/>
        </w:rPr>
        <w:t xml:space="preserve">Figure </w:t>
      </w:r>
      <w:r w:rsidR="00105466">
        <w:rPr>
          <w:b/>
        </w:rPr>
        <w:t>S</w:t>
      </w:r>
      <w:r>
        <w:rPr>
          <w:b/>
        </w:rPr>
        <w:t>1. CONSORT flow diagram</w:t>
      </w:r>
    </w:p>
    <w:p w14:paraId="366AE928" w14:textId="77777777" w:rsidR="00F42A72" w:rsidRDefault="00F42A72" w:rsidP="00245064">
      <w:pPr>
        <w:rPr>
          <w:b/>
        </w:rPr>
      </w:pPr>
    </w:p>
    <w:p w14:paraId="3EA1AAB5" w14:textId="2265D4D2" w:rsidR="00F42A72" w:rsidRDefault="00B571C2" w:rsidP="00B571C2">
      <w:pPr>
        <w:jc w:val="center"/>
        <w:rPr>
          <w:b/>
        </w:rPr>
      </w:pPr>
      <w:r>
        <w:rPr>
          <w:b/>
          <w:noProof/>
        </w:rPr>
        <w:drawing>
          <wp:inline distT="0" distB="0" distL="0" distR="0" wp14:anchorId="37A24E90" wp14:editId="244D6E2D">
            <wp:extent cx="4548812" cy="5128592"/>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67200" cy="5149324"/>
                    </a:xfrm>
                    <a:prstGeom prst="rect">
                      <a:avLst/>
                    </a:prstGeom>
                  </pic:spPr>
                </pic:pic>
              </a:graphicData>
            </a:graphic>
          </wp:inline>
        </w:drawing>
      </w:r>
    </w:p>
    <w:p w14:paraId="13EE2402" w14:textId="77777777" w:rsidR="008619BC" w:rsidRDefault="008619BC" w:rsidP="00245064">
      <w:pPr>
        <w:rPr>
          <w:b/>
        </w:rPr>
      </w:pPr>
    </w:p>
    <w:p w14:paraId="47E54D1B" w14:textId="1C0B4B48" w:rsidR="00A61737" w:rsidRPr="000A4C5A" w:rsidRDefault="00A61737" w:rsidP="00A61737">
      <w:pPr>
        <w:rPr>
          <w:b/>
          <w:bCs/>
        </w:rPr>
      </w:pPr>
      <w:r w:rsidRPr="000A4C5A">
        <w:rPr>
          <w:b/>
          <w:bCs/>
        </w:rPr>
        <w:t>Self-regulation strategies</w:t>
      </w:r>
      <w:r w:rsidR="009F1E67" w:rsidRPr="000A4C5A">
        <w:rPr>
          <w:b/>
          <w:bCs/>
        </w:rPr>
        <w:t xml:space="preserve"> during neurofeedback training</w:t>
      </w:r>
    </w:p>
    <w:p w14:paraId="7853D488" w14:textId="554F9B91" w:rsidR="009F1E67" w:rsidRDefault="009F1E67" w:rsidP="00A61737">
      <w:r>
        <w:t xml:space="preserve">Before the first neurofeedback session, </w:t>
      </w:r>
      <w:r w:rsidR="000E36CA">
        <w:t>both groups of</w:t>
      </w:r>
      <w:r>
        <w:t xml:space="preserve"> participants met with a clinical psychologist for a strategy development session</w:t>
      </w:r>
      <w:r w:rsidR="008869B5">
        <w:t xml:space="preserve">. This clinical psychologist was blind to their intervention assignment. During this session, the participants were provided with a number of </w:t>
      </w:r>
      <w:r w:rsidR="008869B5">
        <w:lastRenderedPageBreak/>
        <w:t xml:space="preserve">individualized mental strategies that might help them to decrease their amygdala activity and anxiety level after trauma recall during the </w:t>
      </w:r>
      <w:r w:rsidR="00A67715">
        <w:t xml:space="preserve">forthcoming </w:t>
      </w:r>
      <w:r w:rsidR="008869B5">
        <w:t xml:space="preserve">neurofeedback runs. </w:t>
      </w:r>
      <w:r w:rsidR="006D1A48">
        <w:t>Common</w:t>
      </w:r>
      <w:r w:rsidR="00A67715">
        <w:t>ly discussed</w:t>
      </w:r>
      <w:r w:rsidR="006D1A48">
        <w:t xml:space="preserve"> approaches included </w:t>
      </w:r>
      <w:r w:rsidR="006D1A48" w:rsidRPr="006D1A48">
        <w:t>progressive relaxation</w:t>
      </w:r>
      <w:r w:rsidR="006D1A48">
        <w:t xml:space="preserve"> </w:t>
      </w:r>
      <w:r w:rsidR="006D1A48">
        <w:fldChar w:fldCharType="begin"/>
      </w:r>
      <w:r w:rsidR="008D42D3">
        <w:instrText xml:space="preserve"> ADDIN EN.CITE &lt;EndNote&gt;&lt;Cite&gt;&lt;Author&gt;Jacobs&lt;/Author&gt;&lt;Year&gt;1929&lt;/Year&gt;&lt;RecNum&gt;1200&lt;/RecNum&gt;&lt;DisplayText&gt;[1]&lt;/DisplayText&gt;&lt;record&gt;&lt;rec-number&gt;1200&lt;/rec-number&gt;&lt;foreign-keys&gt;&lt;key app="EN" db-id="sawe209d6p5v9weatervrxxvfxrxrsrpwvzz" timestamp="1663682000"&gt;1200&lt;/key&gt;&lt;/foreign-keys&gt;&lt;ref-type name="Generic"&gt;13&lt;/ref-type&gt;&lt;contributors&gt;&lt;authors&gt;&lt;author&gt;Jacobs, E&lt;/author&gt;&lt;/authors&gt;&lt;/contributors&gt;&lt;titles&gt;&lt;title&gt;Progressive relaxation: physiological and clinical investigation of muscular states and their significance in psychology and medical practice&lt;/title&gt;&lt;/titles&gt;&lt;dates&gt;&lt;year&gt;1929&lt;/year&gt;&lt;/dates&gt;&lt;publisher&gt;University of Chicago Press, Chicago&lt;/publisher&gt;&lt;urls&gt;&lt;/urls&gt;&lt;/record&gt;&lt;/Cite&gt;&lt;/EndNote&gt;</w:instrText>
      </w:r>
      <w:r w:rsidR="006D1A48">
        <w:fldChar w:fldCharType="separate"/>
      </w:r>
      <w:r w:rsidR="008D42D3">
        <w:rPr>
          <w:noProof/>
        </w:rPr>
        <w:t>[1]</w:t>
      </w:r>
      <w:r w:rsidR="006D1A48">
        <w:fldChar w:fldCharType="end"/>
      </w:r>
      <w:r w:rsidR="006D1A48" w:rsidRPr="006D1A48">
        <w:t>, mindfulness</w:t>
      </w:r>
      <w:r w:rsidR="006D1A48">
        <w:t xml:space="preserve"> </w:t>
      </w:r>
      <w:r w:rsidR="006D1A48">
        <w:fldChar w:fldCharType="begin"/>
      </w:r>
      <w:r w:rsidR="008D42D3">
        <w:instrText xml:space="preserve"> ADDIN EN.CITE &lt;EndNote&gt;&lt;Cite&gt;&lt;Author&gt;Brown&lt;/Author&gt;&lt;Year&gt;2003&lt;/Year&gt;&lt;RecNum&gt;1201&lt;/RecNum&gt;&lt;DisplayText&gt;[2]&lt;/DisplayText&gt;&lt;record&gt;&lt;rec-number&gt;1201&lt;/rec-number&gt;&lt;foreign-keys&gt;&lt;key app="EN" db-id="sawe209d6p5v9weatervrxxvfxrxrsrpwvzz" timestamp="1663682058"&gt;1201&lt;/key&gt;&lt;/foreign-keys&gt;&lt;ref-type name="Journal Article"&gt;17&lt;/ref-type&gt;&lt;contributors&gt;&lt;authors&gt;&lt;author&gt;Brown, Kirk Warren&lt;/author&gt;&lt;author&gt;Ryan, Richard M&lt;/author&gt;&lt;/authors&gt;&lt;/contributors&gt;&lt;titles&gt;&lt;title&gt;The benefits of being present: mindfulness and its role in psychological well-being&lt;/title&gt;&lt;secondary-title&gt;Journal of personality and social psychology&lt;/secondary-title&gt;&lt;/titles&gt;&lt;periodical&gt;&lt;full-title&gt;Journal of Personality and Social Psychology&lt;/full-title&gt;&lt;/periodical&gt;&lt;pages&gt;822&lt;/pages&gt;&lt;volume&gt;84&lt;/volume&gt;&lt;number&gt;4&lt;/number&gt;&lt;dates&gt;&lt;year&gt;2003&lt;/year&gt;&lt;/dates&gt;&lt;isbn&gt;1939-1315&lt;/isbn&gt;&lt;urls&gt;&lt;/urls&gt;&lt;/record&gt;&lt;/Cite&gt;&lt;/EndNote&gt;</w:instrText>
      </w:r>
      <w:r w:rsidR="006D1A48">
        <w:fldChar w:fldCharType="separate"/>
      </w:r>
      <w:r w:rsidR="008D42D3">
        <w:rPr>
          <w:noProof/>
        </w:rPr>
        <w:t>[2]</w:t>
      </w:r>
      <w:r w:rsidR="006D1A48">
        <w:fldChar w:fldCharType="end"/>
      </w:r>
      <w:r w:rsidR="006D1A48">
        <w:t>,</w:t>
      </w:r>
      <w:r w:rsidR="006D1A48" w:rsidRPr="006D1A48">
        <w:t xml:space="preserve"> and reappraisal of emotion</w:t>
      </w:r>
      <w:r w:rsidR="000E36CA">
        <w:t xml:space="preserve"> </w:t>
      </w:r>
      <w:r w:rsidR="000E36CA">
        <w:fldChar w:fldCharType="begin"/>
      </w:r>
      <w:r w:rsidR="008D42D3">
        <w:instrText xml:space="preserve"> ADDIN EN.CITE &lt;EndNote&gt;&lt;Cite&gt;&lt;Author&gt;Buhle&lt;/Author&gt;&lt;Year&gt;2014&lt;/Year&gt;&lt;RecNum&gt;1202&lt;/RecNum&gt;&lt;DisplayText&gt;[3]&lt;/DisplayText&gt;&lt;record&gt;&lt;rec-number&gt;1202&lt;/rec-number&gt;&lt;foreign-keys&gt;&lt;key app="EN" db-id="sawe209d6p5v9weatervrxxvfxrxrsrpwvzz" timestamp="1663682127"&gt;1202&lt;/key&gt;&lt;/foreign-keys&gt;&lt;ref-type name="Journal Article"&gt;17&lt;/ref-type&gt;&lt;contributors&gt;&lt;authors&gt;&lt;author&gt;Buhle, Jason T&lt;/author&gt;&lt;author&gt;Silvers, Jennifer A&lt;/author&gt;&lt;author&gt;Wager, Tor D&lt;/author&gt;&lt;author&gt;Lopez, Richard&lt;/author&gt;&lt;author&gt;Onyemekwu, Chukwudi&lt;/author&gt;&lt;author&gt;Kober, Hedy&lt;/author&gt;&lt;author&gt;Weber, Jochen&lt;/author&gt;&lt;author&gt;Ochsner, Kevin N&lt;/author&gt;&lt;/authors&gt;&lt;/contributors&gt;&lt;titles&gt;&lt;title&gt;Cognitive reappraisal of emotion: a meta-analysis of human neuroimaging studies&lt;/title&gt;&lt;secondary-title&gt;Cerebral cortex&lt;/secondary-title&gt;&lt;/titles&gt;&lt;periodical&gt;&lt;full-title&gt;Cerebral Cortex&lt;/full-title&gt;&lt;/periodical&gt;&lt;pages&gt;2981-2990&lt;/pages&gt;&lt;volume&gt;24&lt;/volume&gt;&lt;number&gt;11&lt;/number&gt;&lt;dates&gt;&lt;year&gt;2014&lt;/year&gt;&lt;/dates&gt;&lt;isbn&gt;1047-3211&lt;/isbn&gt;&lt;urls&gt;&lt;/urls&gt;&lt;/record&gt;&lt;/Cite&gt;&lt;/EndNote&gt;</w:instrText>
      </w:r>
      <w:r w:rsidR="000E36CA">
        <w:fldChar w:fldCharType="separate"/>
      </w:r>
      <w:r w:rsidR="008D42D3">
        <w:rPr>
          <w:noProof/>
        </w:rPr>
        <w:t>[3]</w:t>
      </w:r>
      <w:r w:rsidR="000E36CA">
        <w:fldChar w:fldCharType="end"/>
      </w:r>
      <w:r w:rsidR="006D1A48" w:rsidRPr="006D1A48">
        <w:t>.</w:t>
      </w:r>
      <w:r w:rsidR="000E36CA">
        <w:t xml:space="preserve"> The goal of this procedure is to ensure </w:t>
      </w:r>
      <w:r w:rsidR="008143AC">
        <w:t>participants in both groups have some cognitive strategies that may be helpful for</w:t>
      </w:r>
      <w:r w:rsidR="000E36CA">
        <w:t xml:space="preserve"> controlling amygdala activity at the beginning of training.</w:t>
      </w:r>
    </w:p>
    <w:p w14:paraId="5BA239A8" w14:textId="6F4F2804" w:rsidR="000E36CA" w:rsidRDefault="000E36CA" w:rsidP="00A61737"/>
    <w:p w14:paraId="4ABF0A47" w14:textId="7768BFAE" w:rsidR="000E36CA" w:rsidRPr="00E85890" w:rsidRDefault="000E36CA" w:rsidP="00A61737">
      <w:r>
        <w:t xml:space="preserve">During training sessions, the participants were instructed to judge the success of each cognitive strategy based on the feedback signal which allows </w:t>
      </w:r>
      <w:r w:rsidR="00A67715">
        <w:t>them</w:t>
      </w:r>
      <w:r>
        <w:t xml:space="preserve"> to discover </w:t>
      </w:r>
      <w:r w:rsidR="00A67715">
        <w:t>and practice the most effective strategies for each individual.</w:t>
      </w:r>
    </w:p>
    <w:p w14:paraId="4ADB77EC" w14:textId="77777777" w:rsidR="00A61737" w:rsidRDefault="00A61737" w:rsidP="00245064">
      <w:pPr>
        <w:rPr>
          <w:b/>
        </w:rPr>
      </w:pPr>
    </w:p>
    <w:p w14:paraId="4BB11BC0" w14:textId="52BD72D9" w:rsidR="009B052F" w:rsidRPr="00BF0332" w:rsidRDefault="009B052F" w:rsidP="00245064">
      <w:pPr>
        <w:rPr>
          <w:b/>
        </w:rPr>
      </w:pPr>
      <w:r w:rsidRPr="00BF0332">
        <w:rPr>
          <w:b/>
        </w:rPr>
        <w:t>Imaging parameters</w:t>
      </w:r>
      <w:r w:rsidR="00416CA0">
        <w:rPr>
          <w:b/>
        </w:rPr>
        <w:t xml:space="preserve"> and </w:t>
      </w:r>
      <w:r w:rsidR="00A61737">
        <w:rPr>
          <w:b/>
        </w:rPr>
        <w:t xml:space="preserve">offline </w:t>
      </w:r>
      <w:r w:rsidR="00416CA0">
        <w:rPr>
          <w:b/>
        </w:rPr>
        <w:t>preprocessing</w:t>
      </w:r>
    </w:p>
    <w:p w14:paraId="2DB4D6B2" w14:textId="52601189" w:rsidR="009B052F" w:rsidRDefault="00F42A72" w:rsidP="00245064">
      <w:r>
        <w:t xml:space="preserve">MRI data were collected on a 3-Tesla MAGNETOM Prisma Fit system (Siemens Medical Solutions, Erlangen, Germany; version VE11B) using the 64-channel head coil. We used the same </w:t>
      </w:r>
      <w:r w:rsidR="00E85890">
        <w:t xml:space="preserve">T2* weighted </w:t>
      </w:r>
      <w:r>
        <w:t xml:space="preserve">echo-planar imaging sequence (with various length) for all the functional scans: </w:t>
      </w:r>
      <w:r w:rsidR="004C40AB" w:rsidRPr="004C40AB">
        <w:t>GRAPPA</w:t>
      </w:r>
      <w:r w:rsidR="004C40AB">
        <w:t xml:space="preserve"> factor acceleration factor = 2, bandwidth = 2520 Hz/Px, TR = 2000ms, TE = 25ms, flip angle = 80 degrees, voxel size = 3.1×3.1×3.0 mm, </w:t>
      </w:r>
      <w:r w:rsidR="00E85890">
        <w:t>FoV = 200mm</w:t>
      </w:r>
      <w:r w:rsidR="00E85890" w:rsidRPr="00E85890">
        <w:rPr>
          <w:vertAlign w:val="superscript"/>
        </w:rPr>
        <w:t>2</w:t>
      </w:r>
      <w:r w:rsidR="00E85890">
        <w:t xml:space="preserve">, </w:t>
      </w:r>
      <w:r w:rsidR="004C40AB">
        <w:t xml:space="preserve">forty-one interleaved AC-PC aligned slices per volume. </w:t>
      </w:r>
      <w:r w:rsidR="00E85890">
        <w:t>To assist spatial registration to the standard space, high-resolution structural data were collected with an MPRage sequence: TR = 2530ms, TE = 2.81ms, flip angle = 7 degrees, 1mm</w:t>
      </w:r>
      <w:r w:rsidR="00E85890" w:rsidRPr="00E85890">
        <w:rPr>
          <w:vertAlign w:val="superscript"/>
        </w:rPr>
        <w:t>3</w:t>
      </w:r>
      <w:r w:rsidR="00E85890">
        <w:rPr>
          <w:vertAlign w:val="superscript"/>
        </w:rPr>
        <w:t xml:space="preserve"> </w:t>
      </w:r>
      <w:r w:rsidR="00E85890">
        <w:t>isotropic voxel, FoV = 256mm</w:t>
      </w:r>
      <w:r w:rsidR="00E85890" w:rsidRPr="00E85890">
        <w:rPr>
          <w:vertAlign w:val="superscript"/>
        </w:rPr>
        <w:t>2</w:t>
      </w:r>
      <w:r w:rsidR="00E85890">
        <w:t>, 176 sagittal slices per volume.</w:t>
      </w:r>
    </w:p>
    <w:p w14:paraId="6D96582E" w14:textId="77777777" w:rsidR="00416CA0" w:rsidRDefault="00416CA0" w:rsidP="00245064"/>
    <w:p w14:paraId="17CB1AEA" w14:textId="4271376B" w:rsidR="00520815" w:rsidRDefault="00416CA0" w:rsidP="00245064">
      <w:r>
        <w:t xml:space="preserve">During offline preprocessing, functional data from each task were aligned to the first volume using </w:t>
      </w:r>
      <w:r w:rsidR="001C6399">
        <w:t xml:space="preserve">an </w:t>
      </w:r>
      <w:r>
        <w:t>in-house script based on SPM8</w:t>
      </w:r>
      <w:r w:rsidR="00CD17DE">
        <w:t xml:space="preserve"> functions</w:t>
      </w:r>
      <w:r>
        <w:t xml:space="preserve">. </w:t>
      </w:r>
      <w:r w:rsidR="001C6399">
        <w:t>A f</w:t>
      </w:r>
      <w:r w:rsidR="008619BC">
        <w:t>unctional</w:t>
      </w:r>
      <w:r>
        <w:t xml:space="preserve"> </w:t>
      </w:r>
      <w:r w:rsidR="001C6399">
        <w:t xml:space="preserve">run </w:t>
      </w:r>
      <w:r>
        <w:t xml:space="preserve">was discarded if the </w:t>
      </w:r>
      <w:r w:rsidR="008143AC">
        <w:t xml:space="preserve">average </w:t>
      </w:r>
      <w:r>
        <w:t xml:space="preserve">frame-wise displacement was higher than </w:t>
      </w:r>
      <w:r w:rsidR="0048733F">
        <w:t>0.</w:t>
      </w:r>
      <w:r>
        <w:t xml:space="preserve">25mm during the run. </w:t>
      </w:r>
    </w:p>
    <w:p w14:paraId="1D45D62A" w14:textId="77777777" w:rsidR="00520815" w:rsidRDefault="00520815" w:rsidP="00245064"/>
    <w:p w14:paraId="0F1683C3" w14:textId="7EA34050" w:rsidR="00416CA0" w:rsidRDefault="00CD17DE" w:rsidP="00245064">
      <w:r>
        <w:t xml:space="preserve">The MPRage structural images were skull-stripped </w:t>
      </w:r>
      <w:r w:rsidR="00C47E35">
        <w:t>by</w:t>
      </w:r>
      <w:r>
        <w:t xml:space="preserve"> the brain extraction tool in FSL (v6.0.1). The</w:t>
      </w:r>
      <w:r w:rsidR="000D5EB5">
        <w:t>se</w:t>
      </w:r>
      <w:r>
        <w:t xml:space="preserve"> extracted brains were </w:t>
      </w:r>
      <w:r w:rsidR="000D5EB5">
        <w:t xml:space="preserve">normalized to the MNI template </w:t>
      </w:r>
      <w:r w:rsidR="00C47E35">
        <w:t>using</w:t>
      </w:r>
      <w:r w:rsidR="000D5EB5">
        <w:t xml:space="preserve"> the non-linear registration </w:t>
      </w:r>
      <w:r w:rsidR="00C47E35">
        <w:t>tool</w:t>
      </w:r>
      <w:r w:rsidR="000D5EB5">
        <w:t xml:space="preserve"> in BioImage Suite (v3.5).</w:t>
      </w:r>
    </w:p>
    <w:p w14:paraId="33A2F4A1" w14:textId="0D8F8F92" w:rsidR="00992447" w:rsidRDefault="00992447" w:rsidP="00245064"/>
    <w:p w14:paraId="578387AA" w14:textId="205D83C1" w:rsidR="00992447" w:rsidRPr="001E75C6" w:rsidRDefault="00992447" w:rsidP="00245064">
      <w:pPr>
        <w:rPr>
          <w:b/>
        </w:rPr>
      </w:pPr>
      <w:r w:rsidRPr="001E75C6">
        <w:rPr>
          <w:b/>
        </w:rPr>
        <w:t>Localizer task</w:t>
      </w:r>
    </w:p>
    <w:p w14:paraId="006743C0" w14:textId="7E17984D" w:rsidR="00105466" w:rsidRDefault="00992447" w:rsidP="00245064">
      <w:r>
        <w:t xml:space="preserve">The participants underwent a localizer session to determine their eligibility for the study as well as to identify the amygdala region for </w:t>
      </w:r>
      <w:r w:rsidR="001C6399">
        <w:t xml:space="preserve">the </w:t>
      </w:r>
      <w:r>
        <w:t xml:space="preserve">neurofeedback intervention. Each of the three runs </w:t>
      </w:r>
      <w:r w:rsidR="00105466">
        <w:t xml:space="preserve">lasted 5 minutes during which participants were exposed to </w:t>
      </w:r>
      <w:r w:rsidR="00841417">
        <w:t xml:space="preserve">the </w:t>
      </w:r>
      <w:r w:rsidR="00105466">
        <w:t>trauma audio clips with the highest rank. They were instructed to listen to the clips without controlling for their negative emotional responses. Similar to the control task, the rest</w:t>
      </w:r>
      <w:r w:rsidR="00841417">
        <w:t xml:space="preserve"> (80s)</w:t>
      </w:r>
      <w:r w:rsidR="00105466">
        <w:t xml:space="preserve"> and symptom provocation </w:t>
      </w:r>
      <w:r w:rsidR="00841417">
        <w:t xml:space="preserve">(60s) </w:t>
      </w:r>
      <w:r w:rsidR="00105466">
        <w:t>blocks were separated by 1-back blocks</w:t>
      </w:r>
      <w:r w:rsidR="00841417">
        <w:t xml:space="preserve"> (40s)</w:t>
      </w:r>
      <w:r w:rsidR="00520815">
        <w:t xml:space="preserve"> for </w:t>
      </w:r>
      <w:r w:rsidR="00105466">
        <w:t>a cleaner baseline</w:t>
      </w:r>
      <w:r w:rsidR="00841417">
        <w:t xml:space="preserve"> (Figure S2)</w:t>
      </w:r>
      <w:r w:rsidR="00105466">
        <w:t>.</w:t>
      </w:r>
    </w:p>
    <w:p w14:paraId="39FA52BE" w14:textId="62D40724" w:rsidR="00DC217A" w:rsidRDefault="00DC217A" w:rsidP="00245064">
      <w:pPr>
        <w:rPr>
          <w:b/>
        </w:rPr>
      </w:pPr>
    </w:p>
    <w:p w14:paraId="7B22CD5C" w14:textId="77777777" w:rsidR="00DC217A" w:rsidRDefault="00DC217A" w:rsidP="00245064"/>
    <w:p w14:paraId="3E9440EE" w14:textId="450D59C1" w:rsidR="00992447" w:rsidRPr="00841417" w:rsidRDefault="00105466" w:rsidP="00245064">
      <w:pPr>
        <w:rPr>
          <w:b/>
        </w:rPr>
      </w:pPr>
      <w:r w:rsidRPr="00841417">
        <w:rPr>
          <w:b/>
        </w:rPr>
        <w:t>Figure S2. Illustration of a localizer run</w:t>
      </w:r>
    </w:p>
    <w:p w14:paraId="2C3907C6" w14:textId="64848A68" w:rsidR="00105466" w:rsidRDefault="00E37906" w:rsidP="00E73CD6">
      <w:pPr>
        <w:jc w:val="center"/>
      </w:pPr>
      <w:r>
        <w:rPr>
          <w:noProof/>
        </w:rPr>
        <w:drawing>
          <wp:inline distT="0" distB="0" distL="0" distR="0" wp14:anchorId="3BF658A5" wp14:editId="477927DF">
            <wp:extent cx="5757598" cy="895350"/>
            <wp:effectExtent l="0" t="0" r="0" b="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4968" t="25071" r="20833" b="54416"/>
                    <a:stretch/>
                  </pic:blipFill>
                  <pic:spPr bwMode="auto">
                    <a:xfrm>
                      <a:off x="0" y="0"/>
                      <a:ext cx="5764684" cy="896452"/>
                    </a:xfrm>
                    <a:prstGeom prst="rect">
                      <a:avLst/>
                    </a:prstGeom>
                    <a:noFill/>
                    <a:ln>
                      <a:noFill/>
                    </a:ln>
                    <a:extLst>
                      <a:ext uri="{53640926-AAD7-44D8-BBD7-CCE9431645EC}">
                        <a14:shadowObscured xmlns:a14="http://schemas.microsoft.com/office/drawing/2010/main"/>
                      </a:ext>
                    </a:extLst>
                  </pic:spPr>
                </pic:pic>
              </a:graphicData>
            </a:graphic>
          </wp:inline>
        </w:drawing>
      </w:r>
    </w:p>
    <w:p w14:paraId="1C4E5630" w14:textId="54DB8C7F" w:rsidR="009B052F" w:rsidRDefault="009B052F" w:rsidP="00245064">
      <w:pPr>
        <w:rPr>
          <w:b/>
          <w:bCs/>
        </w:rPr>
      </w:pPr>
      <w:r>
        <w:rPr>
          <w:b/>
          <w:bCs/>
        </w:rPr>
        <w:lastRenderedPageBreak/>
        <w:t>GLM analyses</w:t>
      </w:r>
    </w:p>
    <w:p w14:paraId="6AC94D82" w14:textId="2C89EE8F" w:rsidR="00937586" w:rsidRDefault="00CD17DE" w:rsidP="00245064">
      <w:r>
        <w:t xml:space="preserve">Generalized Linear Model (GLM) analyses were performed </w:t>
      </w:r>
      <w:r w:rsidR="003871E8">
        <w:t>in</w:t>
      </w:r>
      <w:r>
        <w:t xml:space="preserve"> </w:t>
      </w:r>
      <w:r w:rsidR="004E2586">
        <w:t xml:space="preserve">individual space. We used </w:t>
      </w:r>
      <w:r>
        <w:t>BioImage Suite</w:t>
      </w:r>
      <w:r w:rsidR="00BF0332">
        <w:t xml:space="preserve"> </w:t>
      </w:r>
      <w:r w:rsidR="004E2586">
        <w:t xml:space="preserve">to build GLMs for </w:t>
      </w:r>
      <w:r w:rsidR="00937586">
        <w:t>the localizer and control task</w:t>
      </w:r>
      <w:r w:rsidR="004E2586">
        <w:t>s</w:t>
      </w:r>
      <w:r w:rsidR="00937586">
        <w:t xml:space="preserve"> </w:t>
      </w:r>
      <w:r w:rsidR="00953110">
        <w:t>with</w:t>
      </w:r>
      <w:r w:rsidR="00BF0332">
        <w:t xml:space="preserve"> </w:t>
      </w:r>
      <w:r w:rsidR="00416CA0">
        <w:t xml:space="preserve">all but the rest condition </w:t>
      </w:r>
      <w:r w:rsidR="00953110">
        <w:t xml:space="preserve">included in the models </w:t>
      </w:r>
      <w:r w:rsidR="00416CA0">
        <w:t xml:space="preserve">as </w:t>
      </w:r>
      <w:r w:rsidR="00953110">
        <w:t xml:space="preserve">task </w:t>
      </w:r>
      <w:r w:rsidR="00937586">
        <w:t>reg</w:t>
      </w:r>
      <w:r w:rsidR="00416CA0">
        <w:t xml:space="preserve">ressors. The six rigid-body head movement </w:t>
      </w:r>
      <w:r w:rsidR="00937586">
        <w:t>parameters</w:t>
      </w:r>
      <w:r>
        <w:t xml:space="preserve"> </w:t>
      </w:r>
      <w:r>
        <w:fldChar w:fldCharType="begin"/>
      </w:r>
      <w:r w:rsidR="008D42D3">
        <w:instrText xml:space="preserve"> ADDIN EN.CITE &lt;EndNote&gt;&lt;Cite&gt;&lt;Author&gt;Friston&lt;/Author&gt;&lt;Year&gt;1996&lt;/Year&gt;&lt;RecNum&gt;851&lt;/RecNum&gt;&lt;DisplayText&gt;[4]&lt;/DisplayText&gt;&lt;record&gt;&lt;rec-number&gt;851&lt;/rec-number&gt;&lt;foreign-keys&gt;&lt;key app="EN" db-id="sawe209d6p5v9weatervrxxvfxrxrsrpwvzz" timestamp="1581366529"&gt;851&lt;/key&gt;&lt;/foreign-keys&gt;&lt;ref-type name="Journal Article"&gt;17&lt;/ref-type&gt;&lt;contributors&gt;&lt;authors&gt;&lt;author&gt;Friston, K. J.&lt;/author&gt;&lt;author&gt;Williams, S.&lt;/author&gt;&lt;author&gt;Howard, R.&lt;/author&gt;&lt;author&gt;Frackowiak, R. S.&lt;/author&gt;&lt;author&gt;Turner, R.&lt;/author&gt;&lt;/authors&gt;&lt;/contributors&gt;&lt;auth-address&gt;Wellcome Department of Cognitive Neurology, Institute of Neurology, United Kingdom.&lt;/auth-address&gt;&lt;titles&gt;&lt;title&gt;Movement-related effects in fMRI time-series&lt;/title&gt;&lt;secondary-title&gt;Magn Reson Med&lt;/secondary-title&gt;&lt;/titles&gt;&lt;pages&gt;346-55&lt;/pages&gt;&lt;volume&gt;35&lt;/volume&gt;&lt;number&gt;3&lt;/number&gt;&lt;edition&gt;1996/03/01&lt;/edition&gt;&lt;keywords&gt;&lt;keyword&gt;*Artifacts&lt;/keyword&gt;&lt;keyword&gt;Brain/*physiology&lt;/keyword&gt;&lt;keyword&gt;Humans&lt;/keyword&gt;&lt;keyword&gt;*Magnetic Resonance Imaging/methods&lt;/keyword&gt;&lt;keyword&gt;Male&lt;/keyword&gt;&lt;keyword&gt;*Movement&lt;/keyword&gt;&lt;keyword&gt;Photic Stimulation&lt;/keyword&gt;&lt;keyword&gt;Psychomotor Performance&lt;/keyword&gt;&lt;/keywords&gt;&lt;dates&gt;&lt;year&gt;1996&lt;/year&gt;&lt;pub-dates&gt;&lt;date&gt;Mar&lt;/date&gt;&lt;/pub-dates&gt;&lt;/dates&gt;&lt;isbn&gt;0740-3194 (Print)&amp;#xD;0740-3194 (Linking)&lt;/isbn&gt;&lt;accession-num&gt;8699946&lt;/accession-num&gt;&lt;urls&gt;&lt;related-urls&gt;&lt;url&gt;https://www.ncbi.nlm.nih.gov/pubmed/8699946&lt;/url&gt;&lt;/related-urls&gt;&lt;/urls&gt;&lt;electronic-resource-num&gt;10.1002/mrm.1910350312&lt;/electronic-resource-num&gt;&lt;/record&gt;&lt;/Cite&gt;&lt;/EndNote&gt;</w:instrText>
      </w:r>
      <w:r>
        <w:fldChar w:fldCharType="separate"/>
      </w:r>
      <w:r w:rsidR="008D42D3">
        <w:rPr>
          <w:noProof/>
        </w:rPr>
        <w:t>[4]</w:t>
      </w:r>
      <w:r>
        <w:fldChar w:fldCharType="end"/>
      </w:r>
      <w:r w:rsidR="00937586">
        <w:t xml:space="preserve"> and scanner drift (first-order) were added as nuisance regressors.  </w:t>
      </w:r>
    </w:p>
    <w:p w14:paraId="58945387" w14:textId="77777777" w:rsidR="00937586" w:rsidRDefault="00937586" w:rsidP="00245064"/>
    <w:p w14:paraId="05A9BF54" w14:textId="7DBC071D" w:rsidR="009B052F" w:rsidRDefault="00937586" w:rsidP="00245064">
      <w:r>
        <w:t xml:space="preserve">For the </w:t>
      </w:r>
      <w:r w:rsidR="00D95B8A">
        <w:t xml:space="preserve">untrained </w:t>
      </w:r>
      <w:r>
        <w:t>control task</w:t>
      </w:r>
      <w:r w:rsidR="00D95B8A">
        <w:t xml:space="preserve"> runs</w:t>
      </w:r>
      <w:r>
        <w:t xml:space="preserve">, </w:t>
      </w:r>
      <w:r w:rsidR="00D95B8A">
        <w:t>the downregulation beta maps were spatially smoothed using a 6mm FWHM kernel then registered to the MNI space</w:t>
      </w:r>
      <w:r w:rsidR="000D5EB5">
        <w:t xml:space="preserve"> using the transformation matrices generated from the structural registration step above</w:t>
      </w:r>
      <w:r w:rsidR="00F32991">
        <w:t xml:space="preserve"> after registering the</w:t>
      </w:r>
      <w:r w:rsidR="00A67715">
        <w:t>se</w:t>
      </w:r>
      <w:r w:rsidR="00F32991">
        <w:t xml:space="preserve"> beta maps to the </w:t>
      </w:r>
      <w:r w:rsidR="00A67715">
        <w:t>structural</w:t>
      </w:r>
      <w:r w:rsidR="00F32991">
        <w:t xml:space="preserve"> images in FSL</w:t>
      </w:r>
      <w:r w:rsidR="00D95B8A">
        <w:t xml:space="preserve">. Average </w:t>
      </w:r>
      <w:r>
        <w:t xml:space="preserve">beta values </w:t>
      </w:r>
      <w:r w:rsidR="000D5EB5">
        <w:t>during</w:t>
      </w:r>
      <w:r w:rsidR="00D95B8A">
        <w:t xml:space="preserve"> downregulation were extracted from the </w:t>
      </w:r>
      <w:r w:rsidR="004950E2">
        <w:t xml:space="preserve">target region of the amygdala (originally defined as the </w:t>
      </w:r>
      <w:r w:rsidR="00D95B8A">
        <w:t>30 most active voxels for each subject</w:t>
      </w:r>
      <w:r w:rsidR="004950E2">
        <w:t xml:space="preserve"> in the functional space of the localizer and then transformed to MNI space via the same registrations as the beta maps)</w:t>
      </w:r>
      <w:r w:rsidR="00D95B8A">
        <w:t xml:space="preserve">. </w:t>
      </w:r>
      <w:r w:rsidR="000D5EB5">
        <w:t>This downregulation value averaged across two control runs</w:t>
      </w:r>
      <w:r w:rsidR="004E33C3">
        <w:t xml:space="preserve"> (separately at screening, 30-day and 60-day follow-up)</w:t>
      </w:r>
      <w:r w:rsidR="000D5EB5">
        <w:t xml:space="preserve"> served as the measurement for amygdala control.</w:t>
      </w:r>
    </w:p>
    <w:p w14:paraId="33482A44" w14:textId="728A456C" w:rsidR="00841417" w:rsidRDefault="00841417" w:rsidP="00245064"/>
    <w:p w14:paraId="3D962E74" w14:textId="4555D572" w:rsidR="00841417" w:rsidRDefault="003A5408" w:rsidP="00245064">
      <w:pPr>
        <w:rPr>
          <w:b/>
        </w:rPr>
      </w:pPr>
      <w:r>
        <w:rPr>
          <w:b/>
        </w:rPr>
        <w:br w:type="page"/>
      </w:r>
      <w:r w:rsidR="00841417" w:rsidRPr="00841417">
        <w:rPr>
          <w:b/>
        </w:rPr>
        <w:lastRenderedPageBreak/>
        <w:t>Table S1. Baseline characteristics of the completers</w:t>
      </w:r>
    </w:p>
    <w:tbl>
      <w:tblPr>
        <w:tblW w:w="9540" w:type="dxa"/>
        <w:tblLook w:val="04A0" w:firstRow="1" w:lastRow="0" w:firstColumn="1" w:lastColumn="0" w:noHBand="0" w:noVBand="1"/>
      </w:tblPr>
      <w:tblGrid>
        <w:gridCol w:w="3150"/>
        <w:gridCol w:w="1350"/>
        <w:gridCol w:w="1800"/>
        <w:gridCol w:w="1350"/>
        <w:gridCol w:w="1890"/>
      </w:tblGrid>
      <w:tr w:rsidR="003A5408" w:rsidRPr="00C1388F" w14:paraId="494662A2" w14:textId="77777777" w:rsidTr="00CE0F03">
        <w:trPr>
          <w:trHeight w:val="320"/>
        </w:trPr>
        <w:tc>
          <w:tcPr>
            <w:tcW w:w="3150" w:type="dxa"/>
            <w:tcBorders>
              <w:top w:val="single" w:sz="18" w:space="0" w:color="000000"/>
              <w:left w:val="nil"/>
              <w:bottom w:val="single" w:sz="18" w:space="0" w:color="000000"/>
              <w:right w:val="nil"/>
            </w:tcBorders>
            <w:shd w:val="clear" w:color="auto" w:fill="auto"/>
            <w:noWrap/>
            <w:vAlign w:val="bottom"/>
            <w:hideMark/>
          </w:tcPr>
          <w:p w14:paraId="65A96D10" w14:textId="77777777" w:rsidR="003A5408" w:rsidRPr="00C1388F" w:rsidRDefault="003A5408" w:rsidP="00A35B4D">
            <w:pPr>
              <w:rPr>
                <w:rFonts w:ascii="Times New Roman" w:eastAsia="Times New Roman" w:hAnsi="Times New Roman" w:cs="Times New Roman"/>
              </w:rPr>
            </w:pPr>
          </w:p>
        </w:tc>
        <w:tc>
          <w:tcPr>
            <w:tcW w:w="3150" w:type="dxa"/>
            <w:gridSpan w:val="2"/>
            <w:tcBorders>
              <w:top w:val="single" w:sz="18" w:space="0" w:color="000000"/>
              <w:left w:val="nil"/>
              <w:bottom w:val="single" w:sz="18" w:space="0" w:color="000000"/>
              <w:right w:val="nil"/>
            </w:tcBorders>
            <w:shd w:val="clear" w:color="auto" w:fill="auto"/>
            <w:noWrap/>
            <w:vAlign w:val="bottom"/>
            <w:hideMark/>
          </w:tcPr>
          <w:p w14:paraId="2FC9EED5" w14:textId="3E026B7C" w:rsidR="003A5408" w:rsidRPr="00C1388F" w:rsidRDefault="00A17B88" w:rsidP="00A35B4D">
            <w:pPr>
              <w:jc w:val="center"/>
              <w:rPr>
                <w:rFonts w:ascii="Helvetica Neue" w:eastAsia="Times New Roman" w:hAnsi="Helvetica Neue" w:cs="Calibri"/>
                <w:b/>
                <w:bCs/>
                <w:color w:val="000000"/>
                <w:sz w:val="20"/>
                <w:szCs w:val="20"/>
              </w:rPr>
            </w:pPr>
            <w:r>
              <w:rPr>
                <w:rFonts w:ascii="Helvetica Neue" w:eastAsia="Times New Roman" w:hAnsi="Helvetica Neue" w:cs="Calibri"/>
                <w:b/>
                <w:bCs/>
                <w:color w:val="000000"/>
                <w:sz w:val="20"/>
                <w:szCs w:val="20"/>
              </w:rPr>
              <w:t>Active</w:t>
            </w:r>
            <w:r w:rsidR="003A5408" w:rsidRPr="00C1388F">
              <w:rPr>
                <w:rFonts w:ascii="Helvetica Neue" w:eastAsia="Times New Roman" w:hAnsi="Helvetica Neue" w:cs="Calibri"/>
                <w:b/>
                <w:bCs/>
                <w:color w:val="000000"/>
                <w:sz w:val="20"/>
                <w:szCs w:val="20"/>
              </w:rPr>
              <w:t xml:space="preserve"> Group (</w:t>
            </w:r>
            <w:r w:rsidR="003A5408" w:rsidRPr="00C1388F">
              <w:rPr>
                <w:rFonts w:ascii="Helvetica Neue" w:eastAsia="Times New Roman" w:hAnsi="Helvetica Neue" w:cs="Calibri"/>
                <w:b/>
                <w:bCs/>
                <w:i/>
                <w:iCs/>
                <w:color w:val="000000"/>
                <w:sz w:val="20"/>
                <w:szCs w:val="20"/>
              </w:rPr>
              <w:t xml:space="preserve">n = </w:t>
            </w:r>
            <w:r w:rsidR="003A5408" w:rsidRPr="00C1388F">
              <w:rPr>
                <w:rFonts w:ascii="Helvetica Neue" w:eastAsia="Times New Roman" w:hAnsi="Helvetica Neue" w:cs="Calibri"/>
                <w:b/>
                <w:bCs/>
                <w:color w:val="000000"/>
                <w:sz w:val="20"/>
                <w:szCs w:val="20"/>
              </w:rPr>
              <w:t>14)</w:t>
            </w:r>
          </w:p>
        </w:tc>
        <w:tc>
          <w:tcPr>
            <w:tcW w:w="3240" w:type="dxa"/>
            <w:gridSpan w:val="2"/>
            <w:tcBorders>
              <w:top w:val="single" w:sz="18" w:space="0" w:color="000000"/>
              <w:left w:val="nil"/>
              <w:bottom w:val="single" w:sz="18" w:space="0" w:color="000000"/>
              <w:right w:val="nil"/>
            </w:tcBorders>
            <w:shd w:val="clear" w:color="auto" w:fill="auto"/>
            <w:noWrap/>
            <w:vAlign w:val="bottom"/>
            <w:hideMark/>
          </w:tcPr>
          <w:p w14:paraId="70DC2A0F" w14:textId="3125FB63" w:rsidR="003A5408" w:rsidRPr="00C1388F" w:rsidRDefault="00A17B88" w:rsidP="00A35B4D">
            <w:pPr>
              <w:jc w:val="center"/>
              <w:rPr>
                <w:rFonts w:ascii="Helvetica Neue" w:eastAsia="Times New Roman" w:hAnsi="Helvetica Neue" w:cs="Calibri"/>
                <w:b/>
                <w:bCs/>
                <w:color w:val="000000"/>
                <w:sz w:val="20"/>
                <w:szCs w:val="20"/>
              </w:rPr>
            </w:pPr>
            <w:r>
              <w:rPr>
                <w:rFonts w:ascii="Helvetica Neue" w:eastAsia="Times New Roman" w:hAnsi="Helvetica Neue" w:cs="Calibri"/>
                <w:b/>
                <w:bCs/>
                <w:color w:val="000000"/>
                <w:sz w:val="20"/>
                <w:szCs w:val="20"/>
              </w:rPr>
              <w:t>Control</w:t>
            </w:r>
            <w:r w:rsidR="003A5408" w:rsidRPr="00C1388F">
              <w:rPr>
                <w:rFonts w:ascii="Helvetica Neue" w:eastAsia="Times New Roman" w:hAnsi="Helvetica Neue" w:cs="Calibri"/>
                <w:b/>
                <w:bCs/>
                <w:color w:val="000000"/>
                <w:sz w:val="20"/>
                <w:szCs w:val="20"/>
              </w:rPr>
              <w:t xml:space="preserve"> Group (</w:t>
            </w:r>
            <w:r w:rsidR="003A5408" w:rsidRPr="00C1388F">
              <w:rPr>
                <w:rFonts w:ascii="Helvetica Neue" w:eastAsia="Times New Roman" w:hAnsi="Helvetica Neue" w:cs="Calibri"/>
                <w:b/>
                <w:bCs/>
                <w:i/>
                <w:iCs/>
                <w:color w:val="000000"/>
                <w:sz w:val="20"/>
                <w:szCs w:val="20"/>
              </w:rPr>
              <w:t xml:space="preserve">n = </w:t>
            </w:r>
            <w:r w:rsidR="003A5408" w:rsidRPr="00C1388F">
              <w:rPr>
                <w:rFonts w:ascii="Helvetica Neue" w:eastAsia="Times New Roman" w:hAnsi="Helvetica Neue" w:cs="Calibri"/>
                <w:b/>
                <w:bCs/>
                <w:color w:val="000000"/>
                <w:sz w:val="20"/>
                <w:szCs w:val="20"/>
              </w:rPr>
              <w:t>11)</w:t>
            </w:r>
          </w:p>
        </w:tc>
      </w:tr>
      <w:tr w:rsidR="003A5408" w:rsidRPr="00C1388F" w14:paraId="49A7E484" w14:textId="77777777" w:rsidTr="00CE0F03">
        <w:trPr>
          <w:trHeight w:val="320"/>
        </w:trPr>
        <w:tc>
          <w:tcPr>
            <w:tcW w:w="3150" w:type="dxa"/>
            <w:tcBorders>
              <w:top w:val="single" w:sz="18" w:space="0" w:color="000000"/>
              <w:left w:val="nil"/>
              <w:bottom w:val="nil"/>
              <w:right w:val="nil"/>
            </w:tcBorders>
            <w:shd w:val="clear" w:color="auto" w:fill="auto"/>
            <w:noWrap/>
            <w:vAlign w:val="bottom"/>
            <w:hideMark/>
          </w:tcPr>
          <w:p w14:paraId="2C42AAF5" w14:textId="77777777" w:rsidR="003A5408" w:rsidRPr="00C1388F" w:rsidRDefault="003A5408" w:rsidP="00A35B4D">
            <w:pPr>
              <w:jc w:val="center"/>
              <w:rPr>
                <w:rFonts w:ascii="Helvetica Neue" w:eastAsia="Times New Roman" w:hAnsi="Helvetica Neue" w:cs="Calibri"/>
                <w:b/>
                <w:bCs/>
                <w:color w:val="000000"/>
                <w:sz w:val="20"/>
                <w:szCs w:val="20"/>
              </w:rPr>
            </w:pPr>
          </w:p>
        </w:tc>
        <w:tc>
          <w:tcPr>
            <w:tcW w:w="1350" w:type="dxa"/>
            <w:tcBorders>
              <w:top w:val="single" w:sz="18" w:space="0" w:color="000000"/>
              <w:left w:val="nil"/>
              <w:bottom w:val="nil"/>
              <w:right w:val="nil"/>
            </w:tcBorders>
            <w:shd w:val="clear" w:color="auto" w:fill="auto"/>
            <w:noWrap/>
            <w:vAlign w:val="bottom"/>
            <w:hideMark/>
          </w:tcPr>
          <w:p w14:paraId="14A54522" w14:textId="77777777" w:rsidR="003A5408" w:rsidRPr="00C1388F" w:rsidRDefault="003A5408" w:rsidP="00A35B4D">
            <w:pPr>
              <w:jc w:val="center"/>
              <w:rPr>
                <w:rFonts w:ascii="Helvetica" w:eastAsia="Times New Roman" w:hAnsi="Helvetica" w:cs="Calibri"/>
                <w:b/>
                <w:bCs/>
                <w:color w:val="000000"/>
                <w:sz w:val="20"/>
                <w:szCs w:val="20"/>
              </w:rPr>
            </w:pPr>
            <w:r w:rsidRPr="00C1388F">
              <w:rPr>
                <w:rFonts w:ascii="Helvetica" w:eastAsia="Times New Roman" w:hAnsi="Helvetica" w:cs="Calibri"/>
                <w:b/>
                <w:bCs/>
                <w:color w:val="000000"/>
                <w:sz w:val="20"/>
                <w:szCs w:val="20"/>
              </w:rPr>
              <w:t>Mean (</w:t>
            </w:r>
            <w:r>
              <w:rPr>
                <w:rFonts w:ascii="Helvetica" w:eastAsia="Times New Roman" w:hAnsi="Helvetica" w:cs="Calibri"/>
                <w:b/>
                <w:bCs/>
                <w:color w:val="000000"/>
                <w:sz w:val="20"/>
                <w:szCs w:val="20"/>
              </w:rPr>
              <w:sym w:font="Symbol" w:char="F06D"/>
            </w:r>
            <w:r w:rsidRPr="00C1388F">
              <w:rPr>
                <w:rFonts w:ascii="Helvetica" w:eastAsia="Times New Roman" w:hAnsi="Helvetica" w:cs="Calibri"/>
                <w:b/>
                <w:bCs/>
                <w:color w:val="000000"/>
                <w:sz w:val="20"/>
                <w:szCs w:val="20"/>
              </w:rPr>
              <w:t>)</w:t>
            </w:r>
          </w:p>
        </w:tc>
        <w:tc>
          <w:tcPr>
            <w:tcW w:w="1800" w:type="dxa"/>
            <w:tcBorders>
              <w:top w:val="single" w:sz="18" w:space="0" w:color="000000"/>
              <w:left w:val="nil"/>
              <w:bottom w:val="nil"/>
              <w:right w:val="nil"/>
            </w:tcBorders>
            <w:shd w:val="clear" w:color="auto" w:fill="auto"/>
            <w:noWrap/>
            <w:vAlign w:val="bottom"/>
            <w:hideMark/>
          </w:tcPr>
          <w:p w14:paraId="2359F1CF" w14:textId="77777777" w:rsidR="003A5408" w:rsidRPr="00C1388F" w:rsidRDefault="003A5408" w:rsidP="00A35B4D">
            <w:pPr>
              <w:jc w:val="center"/>
              <w:rPr>
                <w:rFonts w:ascii="Helvetica" w:eastAsia="Times New Roman" w:hAnsi="Helvetica" w:cs="Calibri"/>
                <w:b/>
                <w:bCs/>
                <w:color w:val="000000"/>
                <w:sz w:val="20"/>
                <w:szCs w:val="20"/>
              </w:rPr>
            </w:pPr>
            <w:r w:rsidRPr="00C1388F">
              <w:rPr>
                <w:rFonts w:ascii="Helvetica" w:eastAsia="Times New Roman" w:hAnsi="Helvetica" w:cs="Calibri"/>
                <w:b/>
                <w:bCs/>
                <w:color w:val="000000"/>
                <w:sz w:val="20"/>
                <w:szCs w:val="20"/>
              </w:rPr>
              <w:t xml:space="preserve">Std dev </w:t>
            </w:r>
            <w:r>
              <w:rPr>
                <w:rFonts w:ascii="Helvetica" w:eastAsia="Times New Roman" w:hAnsi="Helvetica" w:cs="Calibri"/>
                <w:b/>
                <w:bCs/>
                <w:color w:val="000000"/>
                <w:sz w:val="20"/>
                <w:szCs w:val="20"/>
              </w:rPr>
              <w:t>(</w:t>
            </w:r>
            <w:r>
              <w:rPr>
                <w:rFonts w:ascii="Helvetica" w:eastAsia="Times New Roman" w:hAnsi="Helvetica" w:cs="Calibri"/>
                <w:b/>
                <w:bCs/>
                <w:color w:val="000000"/>
                <w:sz w:val="20"/>
                <w:szCs w:val="20"/>
              </w:rPr>
              <w:sym w:font="Symbol" w:char="F073"/>
            </w:r>
            <w:r>
              <w:rPr>
                <w:rFonts w:ascii="Helvetica" w:eastAsia="Times New Roman" w:hAnsi="Helvetica" w:cs="Calibri"/>
                <w:b/>
                <w:bCs/>
                <w:color w:val="000000"/>
                <w:sz w:val="20"/>
                <w:szCs w:val="20"/>
              </w:rPr>
              <w:t>)</w:t>
            </w:r>
          </w:p>
        </w:tc>
        <w:tc>
          <w:tcPr>
            <w:tcW w:w="1350" w:type="dxa"/>
            <w:tcBorders>
              <w:top w:val="single" w:sz="18" w:space="0" w:color="000000"/>
              <w:left w:val="nil"/>
              <w:bottom w:val="nil"/>
              <w:right w:val="nil"/>
            </w:tcBorders>
            <w:shd w:val="clear" w:color="auto" w:fill="auto"/>
            <w:noWrap/>
            <w:vAlign w:val="bottom"/>
            <w:hideMark/>
          </w:tcPr>
          <w:p w14:paraId="4C9E5E7A" w14:textId="77777777" w:rsidR="003A5408" w:rsidRPr="00C1388F" w:rsidRDefault="003A5408" w:rsidP="00A35B4D">
            <w:pPr>
              <w:jc w:val="center"/>
              <w:rPr>
                <w:rFonts w:ascii="Helvetica" w:eastAsia="Times New Roman" w:hAnsi="Helvetica" w:cs="Calibri"/>
                <w:b/>
                <w:bCs/>
                <w:color w:val="000000"/>
                <w:sz w:val="20"/>
                <w:szCs w:val="20"/>
              </w:rPr>
            </w:pPr>
            <w:r w:rsidRPr="00C1388F">
              <w:rPr>
                <w:rFonts w:ascii="Helvetica" w:eastAsia="Times New Roman" w:hAnsi="Helvetica" w:cs="Calibri"/>
                <w:b/>
                <w:bCs/>
                <w:color w:val="000000"/>
                <w:sz w:val="20"/>
                <w:szCs w:val="20"/>
              </w:rPr>
              <w:t>Mean (</w:t>
            </w:r>
            <w:r>
              <w:rPr>
                <w:rFonts w:ascii="Helvetica" w:eastAsia="Times New Roman" w:hAnsi="Helvetica" w:cs="Calibri"/>
                <w:b/>
                <w:bCs/>
                <w:color w:val="000000"/>
                <w:sz w:val="20"/>
                <w:szCs w:val="20"/>
              </w:rPr>
              <w:sym w:font="Symbol" w:char="F06D"/>
            </w:r>
            <w:r w:rsidRPr="00C1388F">
              <w:rPr>
                <w:rFonts w:ascii="Helvetica" w:eastAsia="Times New Roman" w:hAnsi="Helvetica" w:cs="Calibri"/>
                <w:b/>
                <w:bCs/>
                <w:color w:val="000000"/>
                <w:sz w:val="20"/>
                <w:szCs w:val="20"/>
              </w:rPr>
              <w:t>)</w:t>
            </w:r>
          </w:p>
        </w:tc>
        <w:tc>
          <w:tcPr>
            <w:tcW w:w="1890" w:type="dxa"/>
            <w:tcBorders>
              <w:top w:val="single" w:sz="18" w:space="0" w:color="000000"/>
              <w:left w:val="nil"/>
              <w:bottom w:val="nil"/>
              <w:right w:val="nil"/>
            </w:tcBorders>
            <w:shd w:val="clear" w:color="auto" w:fill="auto"/>
            <w:noWrap/>
            <w:vAlign w:val="bottom"/>
            <w:hideMark/>
          </w:tcPr>
          <w:p w14:paraId="729B44B6" w14:textId="77777777" w:rsidR="003A5408" w:rsidRPr="00C1388F" w:rsidRDefault="003A5408" w:rsidP="00A35B4D">
            <w:pPr>
              <w:jc w:val="center"/>
              <w:rPr>
                <w:rFonts w:ascii="Helvetica" w:eastAsia="Times New Roman" w:hAnsi="Helvetica" w:cs="Calibri"/>
                <w:b/>
                <w:bCs/>
                <w:color w:val="000000"/>
                <w:sz w:val="20"/>
                <w:szCs w:val="20"/>
              </w:rPr>
            </w:pPr>
            <w:r w:rsidRPr="00C1388F">
              <w:rPr>
                <w:rFonts w:ascii="Helvetica" w:eastAsia="Times New Roman" w:hAnsi="Helvetica" w:cs="Calibri"/>
                <w:b/>
                <w:bCs/>
                <w:color w:val="000000"/>
                <w:sz w:val="20"/>
                <w:szCs w:val="20"/>
              </w:rPr>
              <w:t xml:space="preserve">Std dev </w:t>
            </w:r>
            <w:r>
              <w:rPr>
                <w:rFonts w:ascii="Helvetica" w:eastAsia="Times New Roman" w:hAnsi="Helvetica" w:cs="Calibri"/>
                <w:b/>
                <w:bCs/>
                <w:color w:val="000000"/>
                <w:sz w:val="20"/>
                <w:szCs w:val="20"/>
              </w:rPr>
              <w:t>(</w:t>
            </w:r>
            <w:r>
              <w:rPr>
                <w:rFonts w:ascii="Helvetica" w:eastAsia="Times New Roman" w:hAnsi="Helvetica" w:cs="Calibri"/>
                <w:b/>
                <w:bCs/>
                <w:color w:val="000000"/>
                <w:sz w:val="20"/>
                <w:szCs w:val="20"/>
              </w:rPr>
              <w:sym w:font="Symbol" w:char="F073"/>
            </w:r>
            <w:r>
              <w:rPr>
                <w:rFonts w:ascii="Helvetica" w:eastAsia="Times New Roman" w:hAnsi="Helvetica" w:cs="Calibri"/>
                <w:b/>
                <w:bCs/>
                <w:color w:val="000000"/>
                <w:sz w:val="20"/>
                <w:szCs w:val="20"/>
              </w:rPr>
              <w:t>)</w:t>
            </w:r>
          </w:p>
        </w:tc>
      </w:tr>
      <w:tr w:rsidR="003A5408" w:rsidRPr="00C1388F" w14:paraId="54A0AD61" w14:textId="77777777" w:rsidTr="00CE0F03">
        <w:trPr>
          <w:trHeight w:val="320"/>
        </w:trPr>
        <w:tc>
          <w:tcPr>
            <w:tcW w:w="3150" w:type="dxa"/>
            <w:tcBorders>
              <w:top w:val="nil"/>
              <w:left w:val="nil"/>
              <w:bottom w:val="nil"/>
              <w:right w:val="nil"/>
            </w:tcBorders>
            <w:shd w:val="clear" w:color="auto" w:fill="auto"/>
            <w:noWrap/>
            <w:vAlign w:val="bottom"/>
            <w:hideMark/>
          </w:tcPr>
          <w:p w14:paraId="48F67318" w14:textId="77777777" w:rsidR="003A5408" w:rsidRPr="00C1388F" w:rsidRDefault="003A5408" w:rsidP="00A35B4D">
            <w:pPr>
              <w:rPr>
                <w:rFonts w:ascii="Helvetica Neue" w:eastAsia="Times New Roman" w:hAnsi="Helvetica Neue" w:cs="Calibri"/>
                <w:b/>
                <w:bCs/>
                <w:color w:val="000000"/>
                <w:sz w:val="20"/>
                <w:szCs w:val="20"/>
              </w:rPr>
            </w:pPr>
            <w:r w:rsidRPr="00C1388F">
              <w:rPr>
                <w:rFonts w:ascii="Helvetica Neue" w:eastAsia="Times New Roman" w:hAnsi="Helvetica Neue" w:cs="Calibri"/>
                <w:b/>
                <w:bCs/>
                <w:color w:val="000000"/>
                <w:sz w:val="20"/>
                <w:szCs w:val="20"/>
              </w:rPr>
              <w:t>Age, Years</w:t>
            </w:r>
          </w:p>
        </w:tc>
        <w:tc>
          <w:tcPr>
            <w:tcW w:w="1350" w:type="dxa"/>
            <w:tcBorders>
              <w:top w:val="nil"/>
              <w:left w:val="nil"/>
              <w:bottom w:val="nil"/>
              <w:right w:val="nil"/>
            </w:tcBorders>
            <w:shd w:val="clear" w:color="auto" w:fill="auto"/>
            <w:noWrap/>
            <w:vAlign w:val="bottom"/>
            <w:hideMark/>
          </w:tcPr>
          <w:p w14:paraId="31AA4313"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40.2</w:t>
            </w:r>
          </w:p>
        </w:tc>
        <w:tc>
          <w:tcPr>
            <w:tcW w:w="1800" w:type="dxa"/>
            <w:tcBorders>
              <w:top w:val="nil"/>
              <w:left w:val="nil"/>
              <w:bottom w:val="nil"/>
              <w:right w:val="nil"/>
            </w:tcBorders>
            <w:shd w:val="clear" w:color="auto" w:fill="auto"/>
            <w:noWrap/>
            <w:vAlign w:val="bottom"/>
            <w:hideMark/>
          </w:tcPr>
          <w:p w14:paraId="6BDC0432"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14.27</w:t>
            </w:r>
          </w:p>
        </w:tc>
        <w:tc>
          <w:tcPr>
            <w:tcW w:w="1350" w:type="dxa"/>
            <w:tcBorders>
              <w:top w:val="nil"/>
              <w:left w:val="nil"/>
              <w:bottom w:val="nil"/>
              <w:right w:val="nil"/>
            </w:tcBorders>
            <w:shd w:val="clear" w:color="auto" w:fill="auto"/>
            <w:noWrap/>
            <w:vAlign w:val="bottom"/>
            <w:hideMark/>
          </w:tcPr>
          <w:p w14:paraId="7299D943"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50.36</w:t>
            </w:r>
          </w:p>
        </w:tc>
        <w:tc>
          <w:tcPr>
            <w:tcW w:w="1890" w:type="dxa"/>
            <w:tcBorders>
              <w:top w:val="nil"/>
              <w:left w:val="nil"/>
              <w:bottom w:val="nil"/>
              <w:right w:val="nil"/>
            </w:tcBorders>
            <w:shd w:val="clear" w:color="auto" w:fill="auto"/>
            <w:noWrap/>
            <w:vAlign w:val="bottom"/>
            <w:hideMark/>
          </w:tcPr>
          <w:p w14:paraId="1330DD26"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12.78</w:t>
            </w:r>
          </w:p>
        </w:tc>
      </w:tr>
      <w:tr w:rsidR="003A5408" w:rsidRPr="00C1388F" w14:paraId="238D8B6D" w14:textId="77777777" w:rsidTr="00CE0F03">
        <w:trPr>
          <w:trHeight w:val="320"/>
        </w:trPr>
        <w:tc>
          <w:tcPr>
            <w:tcW w:w="3150" w:type="dxa"/>
            <w:tcBorders>
              <w:top w:val="nil"/>
              <w:left w:val="nil"/>
              <w:bottom w:val="nil"/>
              <w:right w:val="nil"/>
            </w:tcBorders>
            <w:shd w:val="clear" w:color="auto" w:fill="auto"/>
            <w:noWrap/>
            <w:vAlign w:val="bottom"/>
            <w:hideMark/>
          </w:tcPr>
          <w:p w14:paraId="33285362" w14:textId="23542877" w:rsidR="003A5408" w:rsidRPr="00C1388F" w:rsidRDefault="003A5408" w:rsidP="00A35B4D">
            <w:pPr>
              <w:rPr>
                <w:rFonts w:ascii="Helvetica Neue" w:eastAsia="Times New Roman" w:hAnsi="Helvetica Neue" w:cs="Calibri"/>
                <w:b/>
                <w:bCs/>
                <w:color w:val="000000"/>
                <w:sz w:val="20"/>
                <w:szCs w:val="20"/>
              </w:rPr>
            </w:pPr>
            <w:r w:rsidRPr="00C1388F">
              <w:rPr>
                <w:rFonts w:ascii="Helvetica Neue" w:eastAsia="Times New Roman" w:hAnsi="Helvetica Neue" w:cs="Calibri"/>
                <w:b/>
                <w:bCs/>
                <w:color w:val="000000"/>
                <w:sz w:val="20"/>
                <w:szCs w:val="20"/>
              </w:rPr>
              <w:t>CAPS</w:t>
            </w:r>
            <w:r w:rsidR="00A17B88">
              <w:rPr>
                <w:rFonts w:ascii="Helvetica Neue" w:eastAsia="Times New Roman" w:hAnsi="Helvetica Neue" w:cs="Calibri"/>
                <w:b/>
                <w:bCs/>
                <w:color w:val="000000"/>
                <w:sz w:val="20"/>
                <w:szCs w:val="20"/>
              </w:rPr>
              <w:t>-5</w:t>
            </w:r>
          </w:p>
        </w:tc>
        <w:tc>
          <w:tcPr>
            <w:tcW w:w="1350" w:type="dxa"/>
            <w:tcBorders>
              <w:top w:val="nil"/>
              <w:left w:val="nil"/>
              <w:bottom w:val="nil"/>
              <w:right w:val="nil"/>
            </w:tcBorders>
            <w:shd w:val="clear" w:color="auto" w:fill="auto"/>
            <w:noWrap/>
            <w:vAlign w:val="bottom"/>
            <w:hideMark/>
          </w:tcPr>
          <w:p w14:paraId="2D1394B8"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33.71</w:t>
            </w:r>
          </w:p>
        </w:tc>
        <w:tc>
          <w:tcPr>
            <w:tcW w:w="1800" w:type="dxa"/>
            <w:tcBorders>
              <w:top w:val="nil"/>
              <w:left w:val="nil"/>
              <w:bottom w:val="nil"/>
              <w:right w:val="nil"/>
            </w:tcBorders>
            <w:shd w:val="clear" w:color="auto" w:fill="auto"/>
            <w:noWrap/>
            <w:vAlign w:val="bottom"/>
            <w:hideMark/>
          </w:tcPr>
          <w:p w14:paraId="633D2092"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7.99</w:t>
            </w:r>
          </w:p>
        </w:tc>
        <w:tc>
          <w:tcPr>
            <w:tcW w:w="1350" w:type="dxa"/>
            <w:tcBorders>
              <w:top w:val="nil"/>
              <w:left w:val="nil"/>
              <w:bottom w:val="nil"/>
              <w:right w:val="nil"/>
            </w:tcBorders>
            <w:shd w:val="clear" w:color="auto" w:fill="auto"/>
            <w:noWrap/>
            <w:vAlign w:val="bottom"/>
            <w:hideMark/>
          </w:tcPr>
          <w:p w14:paraId="3B17770D"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39.73</w:t>
            </w:r>
          </w:p>
        </w:tc>
        <w:tc>
          <w:tcPr>
            <w:tcW w:w="1890" w:type="dxa"/>
            <w:tcBorders>
              <w:top w:val="nil"/>
              <w:left w:val="nil"/>
              <w:bottom w:val="nil"/>
              <w:right w:val="nil"/>
            </w:tcBorders>
            <w:shd w:val="clear" w:color="auto" w:fill="auto"/>
            <w:noWrap/>
            <w:vAlign w:val="bottom"/>
            <w:hideMark/>
          </w:tcPr>
          <w:p w14:paraId="0E3F0AC9"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9.27</w:t>
            </w:r>
          </w:p>
        </w:tc>
      </w:tr>
      <w:tr w:rsidR="003A5408" w:rsidRPr="00C1388F" w14:paraId="6C1627C8" w14:textId="77777777" w:rsidTr="00CE0F03">
        <w:trPr>
          <w:trHeight w:val="320"/>
        </w:trPr>
        <w:tc>
          <w:tcPr>
            <w:tcW w:w="3150" w:type="dxa"/>
            <w:tcBorders>
              <w:top w:val="nil"/>
              <w:left w:val="nil"/>
              <w:bottom w:val="nil"/>
              <w:right w:val="nil"/>
            </w:tcBorders>
            <w:shd w:val="clear" w:color="auto" w:fill="auto"/>
            <w:noWrap/>
            <w:vAlign w:val="bottom"/>
            <w:hideMark/>
          </w:tcPr>
          <w:p w14:paraId="082A963D" w14:textId="7B5056C8" w:rsidR="003A5408" w:rsidRPr="00C1388F" w:rsidRDefault="003A5408" w:rsidP="00A35B4D">
            <w:pPr>
              <w:rPr>
                <w:rFonts w:ascii="Helvetica Neue" w:eastAsia="Times New Roman" w:hAnsi="Helvetica Neue" w:cs="Calibri"/>
                <w:b/>
                <w:bCs/>
                <w:color w:val="000000"/>
                <w:sz w:val="20"/>
                <w:szCs w:val="20"/>
              </w:rPr>
            </w:pPr>
            <w:r w:rsidRPr="00C1388F">
              <w:rPr>
                <w:rFonts w:ascii="Helvetica Neue" w:eastAsia="Times New Roman" w:hAnsi="Helvetica Neue" w:cs="Calibri"/>
                <w:b/>
                <w:bCs/>
                <w:color w:val="000000"/>
                <w:sz w:val="20"/>
                <w:szCs w:val="20"/>
              </w:rPr>
              <w:t>PCL</w:t>
            </w:r>
            <w:r w:rsidR="00A17B88">
              <w:rPr>
                <w:rFonts w:ascii="Helvetica Neue" w:eastAsia="Times New Roman" w:hAnsi="Helvetica Neue" w:cs="Calibri"/>
                <w:b/>
                <w:bCs/>
                <w:color w:val="000000"/>
                <w:sz w:val="20"/>
                <w:szCs w:val="20"/>
              </w:rPr>
              <w:t>-</w:t>
            </w:r>
            <w:r w:rsidRPr="00C1388F">
              <w:rPr>
                <w:rFonts w:ascii="Helvetica Neue" w:eastAsia="Times New Roman" w:hAnsi="Helvetica Neue" w:cs="Calibri"/>
                <w:b/>
                <w:bCs/>
                <w:color w:val="000000"/>
                <w:sz w:val="20"/>
                <w:szCs w:val="20"/>
              </w:rPr>
              <w:t>5 Rating</w:t>
            </w:r>
          </w:p>
        </w:tc>
        <w:tc>
          <w:tcPr>
            <w:tcW w:w="1350" w:type="dxa"/>
            <w:tcBorders>
              <w:top w:val="nil"/>
              <w:left w:val="nil"/>
              <w:bottom w:val="nil"/>
              <w:right w:val="nil"/>
            </w:tcBorders>
            <w:shd w:val="clear" w:color="auto" w:fill="auto"/>
            <w:noWrap/>
            <w:vAlign w:val="bottom"/>
            <w:hideMark/>
          </w:tcPr>
          <w:p w14:paraId="64D25A21"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43.43</w:t>
            </w:r>
          </w:p>
        </w:tc>
        <w:tc>
          <w:tcPr>
            <w:tcW w:w="1800" w:type="dxa"/>
            <w:tcBorders>
              <w:top w:val="nil"/>
              <w:left w:val="nil"/>
              <w:bottom w:val="nil"/>
              <w:right w:val="nil"/>
            </w:tcBorders>
            <w:shd w:val="clear" w:color="auto" w:fill="auto"/>
            <w:noWrap/>
            <w:vAlign w:val="bottom"/>
            <w:hideMark/>
          </w:tcPr>
          <w:p w14:paraId="74D89820"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13.42</w:t>
            </w:r>
          </w:p>
        </w:tc>
        <w:tc>
          <w:tcPr>
            <w:tcW w:w="1350" w:type="dxa"/>
            <w:tcBorders>
              <w:top w:val="nil"/>
              <w:left w:val="nil"/>
              <w:bottom w:val="nil"/>
              <w:right w:val="nil"/>
            </w:tcBorders>
            <w:shd w:val="clear" w:color="auto" w:fill="auto"/>
            <w:noWrap/>
            <w:vAlign w:val="bottom"/>
            <w:hideMark/>
          </w:tcPr>
          <w:p w14:paraId="3450F24C"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47.45</w:t>
            </w:r>
          </w:p>
        </w:tc>
        <w:tc>
          <w:tcPr>
            <w:tcW w:w="1890" w:type="dxa"/>
            <w:tcBorders>
              <w:top w:val="nil"/>
              <w:left w:val="nil"/>
              <w:bottom w:val="nil"/>
              <w:right w:val="nil"/>
            </w:tcBorders>
            <w:shd w:val="clear" w:color="auto" w:fill="auto"/>
            <w:noWrap/>
            <w:vAlign w:val="bottom"/>
            <w:hideMark/>
          </w:tcPr>
          <w:p w14:paraId="206C0C07"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14.03</w:t>
            </w:r>
          </w:p>
        </w:tc>
      </w:tr>
      <w:tr w:rsidR="003A5408" w:rsidRPr="00C1388F" w14:paraId="3DB3845A" w14:textId="77777777" w:rsidTr="00CE0F03">
        <w:trPr>
          <w:trHeight w:val="320"/>
        </w:trPr>
        <w:tc>
          <w:tcPr>
            <w:tcW w:w="3150" w:type="dxa"/>
            <w:tcBorders>
              <w:top w:val="nil"/>
              <w:left w:val="nil"/>
              <w:bottom w:val="nil"/>
              <w:right w:val="nil"/>
            </w:tcBorders>
            <w:shd w:val="clear" w:color="auto" w:fill="auto"/>
            <w:noWrap/>
            <w:vAlign w:val="bottom"/>
            <w:hideMark/>
          </w:tcPr>
          <w:p w14:paraId="29010930" w14:textId="77777777" w:rsidR="003A5408" w:rsidRPr="00C1388F" w:rsidRDefault="003A5408" w:rsidP="00A35B4D">
            <w:pPr>
              <w:jc w:val="center"/>
              <w:rPr>
                <w:rFonts w:ascii="Helvetica" w:eastAsia="Times New Roman" w:hAnsi="Helvetica" w:cs="Calibri"/>
                <w:color w:val="000000"/>
                <w:sz w:val="20"/>
                <w:szCs w:val="20"/>
              </w:rPr>
            </w:pPr>
          </w:p>
        </w:tc>
        <w:tc>
          <w:tcPr>
            <w:tcW w:w="1350" w:type="dxa"/>
            <w:tcBorders>
              <w:top w:val="nil"/>
              <w:left w:val="nil"/>
              <w:bottom w:val="nil"/>
              <w:right w:val="nil"/>
            </w:tcBorders>
            <w:shd w:val="clear" w:color="auto" w:fill="auto"/>
            <w:noWrap/>
            <w:vAlign w:val="bottom"/>
            <w:hideMark/>
          </w:tcPr>
          <w:p w14:paraId="27CA2EB6" w14:textId="77777777" w:rsidR="003A5408" w:rsidRPr="00C1388F" w:rsidRDefault="003A5408" w:rsidP="00A35B4D">
            <w:pPr>
              <w:jc w:val="center"/>
              <w:rPr>
                <w:rFonts w:ascii="Helvetica" w:eastAsia="Times New Roman" w:hAnsi="Helvetica" w:cs="Calibri"/>
                <w:b/>
                <w:bCs/>
                <w:color w:val="000000"/>
                <w:sz w:val="20"/>
                <w:szCs w:val="20"/>
              </w:rPr>
            </w:pPr>
            <w:r w:rsidRPr="00C1388F">
              <w:rPr>
                <w:rFonts w:ascii="Helvetica" w:eastAsia="Times New Roman" w:hAnsi="Helvetica" w:cs="Calibri"/>
                <w:b/>
                <w:bCs/>
                <w:color w:val="000000"/>
                <w:sz w:val="20"/>
                <w:szCs w:val="20"/>
              </w:rPr>
              <w:t>Count (n)</w:t>
            </w:r>
          </w:p>
        </w:tc>
        <w:tc>
          <w:tcPr>
            <w:tcW w:w="1800" w:type="dxa"/>
            <w:tcBorders>
              <w:top w:val="nil"/>
              <w:left w:val="nil"/>
              <w:bottom w:val="nil"/>
              <w:right w:val="nil"/>
            </w:tcBorders>
            <w:shd w:val="clear" w:color="auto" w:fill="auto"/>
            <w:noWrap/>
            <w:vAlign w:val="bottom"/>
            <w:hideMark/>
          </w:tcPr>
          <w:p w14:paraId="126EBF68" w14:textId="77777777" w:rsidR="003A5408" w:rsidRPr="00C1388F" w:rsidRDefault="003A5408" w:rsidP="00A35B4D">
            <w:pPr>
              <w:jc w:val="center"/>
              <w:rPr>
                <w:rFonts w:ascii="Helvetica" w:eastAsia="Times New Roman" w:hAnsi="Helvetica" w:cs="Calibri"/>
                <w:b/>
                <w:bCs/>
                <w:color w:val="000000"/>
                <w:sz w:val="20"/>
                <w:szCs w:val="20"/>
              </w:rPr>
            </w:pPr>
            <w:r w:rsidRPr="00C1388F">
              <w:rPr>
                <w:rFonts w:ascii="Helvetica" w:eastAsia="Times New Roman" w:hAnsi="Helvetica" w:cs="Calibri"/>
                <w:b/>
                <w:bCs/>
                <w:color w:val="000000"/>
                <w:sz w:val="20"/>
                <w:szCs w:val="20"/>
              </w:rPr>
              <w:t>Percentage (%)</w:t>
            </w:r>
          </w:p>
        </w:tc>
        <w:tc>
          <w:tcPr>
            <w:tcW w:w="1350" w:type="dxa"/>
            <w:tcBorders>
              <w:top w:val="nil"/>
              <w:left w:val="nil"/>
              <w:bottom w:val="nil"/>
              <w:right w:val="nil"/>
            </w:tcBorders>
            <w:shd w:val="clear" w:color="auto" w:fill="auto"/>
            <w:noWrap/>
            <w:vAlign w:val="bottom"/>
            <w:hideMark/>
          </w:tcPr>
          <w:p w14:paraId="3DB1B09A" w14:textId="77777777" w:rsidR="003A5408" w:rsidRPr="00C1388F" w:rsidRDefault="003A5408" w:rsidP="00A35B4D">
            <w:pPr>
              <w:jc w:val="center"/>
              <w:rPr>
                <w:rFonts w:ascii="Helvetica" w:eastAsia="Times New Roman" w:hAnsi="Helvetica" w:cs="Calibri"/>
                <w:b/>
                <w:bCs/>
                <w:color w:val="000000"/>
                <w:sz w:val="20"/>
                <w:szCs w:val="20"/>
              </w:rPr>
            </w:pPr>
            <w:r w:rsidRPr="00C1388F">
              <w:rPr>
                <w:rFonts w:ascii="Helvetica" w:eastAsia="Times New Roman" w:hAnsi="Helvetica" w:cs="Calibri"/>
                <w:b/>
                <w:bCs/>
                <w:color w:val="000000"/>
                <w:sz w:val="20"/>
                <w:szCs w:val="20"/>
              </w:rPr>
              <w:t>Count (n)</w:t>
            </w:r>
          </w:p>
        </w:tc>
        <w:tc>
          <w:tcPr>
            <w:tcW w:w="1890" w:type="dxa"/>
            <w:tcBorders>
              <w:top w:val="nil"/>
              <w:left w:val="nil"/>
              <w:bottom w:val="nil"/>
              <w:right w:val="nil"/>
            </w:tcBorders>
            <w:shd w:val="clear" w:color="auto" w:fill="auto"/>
            <w:noWrap/>
            <w:vAlign w:val="bottom"/>
            <w:hideMark/>
          </w:tcPr>
          <w:p w14:paraId="64D0EA25" w14:textId="77777777" w:rsidR="003A5408" w:rsidRPr="00C1388F" w:rsidRDefault="003A5408" w:rsidP="00A35B4D">
            <w:pPr>
              <w:jc w:val="center"/>
              <w:rPr>
                <w:rFonts w:ascii="Helvetica" w:eastAsia="Times New Roman" w:hAnsi="Helvetica" w:cs="Calibri"/>
                <w:b/>
                <w:bCs/>
                <w:color w:val="000000"/>
                <w:sz w:val="20"/>
                <w:szCs w:val="20"/>
              </w:rPr>
            </w:pPr>
            <w:r w:rsidRPr="00C1388F">
              <w:rPr>
                <w:rFonts w:ascii="Helvetica" w:eastAsia="Times New Roman" w:hAnsi="Helvetica" w:cs="Calibri"/>
                <w:b/>
                <w:bCs/>
                <w:color w:val="000000"/>
                <w:sz w:val="20"/>
                <w:szCs w:val="20"/>
              </w:rPr>
              <w:t>Percentage (%)</w:t>
            </w:r>
          </w:p>
        </w:tc>
      </w:tr>
      <w:tr w:rsidR="003A5408" w:rsidRPr="00C1388F" w14:paraId="0A1DDA36" w14:textId="77777777" w:rsidTr="00CE0F03">
        <w:trPr>
          <w:trHeight w:val="320"/>
        </w:trPr>
        <w:tc>
          <w:tcPr>
            <w:tcW w:w="3150" w:type="dxa"/>
            <w:tcBorders>
              <w:top w:val="nil"/>
              <w:left w:val="nil"/>
              <w:bottom w:val="nil"/>
              <w:right w:val="nil"/>
            </w:tcBorders>
            <w:shd w:val="clear" w:color="auto" w:fill="auto"/>
            <w:noWrap/>
            <w:vAlign w:val="bottom"/>
            <w:hideMark/>
          </w:tcPr>
          <w:p w14:paraId="2AE954A7" w14:textId="77777777" w:rsidR="003A5408" w:rsidRPr="00C1388F" w:rsidRDefault="003A5408" w:rsidP="00A35B4D">
            <w:pPr>
              <w:rPr>
                <w:rFonts w:ascii="Helvetica Neue" w:eastAsia="Times New Roman" w:hAnsi="Helvetica Neue" w:cs="Calibri"/>
                <w:b/>
                <w:bCs/>
                <w:color w:val="000000"/>
                <w:sz w:val="20"/>
                <w:szCs w:val="20"/>
              </w:rPr>
            </w:pPr>
            <w:r w:rsidRPr="00C1388F">
              <w:rPr>
                <w:rFonts w:ascii="Helvetica Neue" w:eastAsia="Times New Roman" w:hAnsi="Helvetica Neue" w:cs="Calibri"/>
                <w:b/>
                <w:bCs/>
                <w:color w:val="000000"/>
                <w:sz w:val="20"/>
                <w:szCs w:val="20"/>
              </w:rPr>
              <w:t>Male Gender</w:t>
            </w:r>
          </w:p>
        </w:tc>
        <w:tc>
          <w:tcPr>
            <w:tcW w:w="1350" w:type="dxa"/>
            <w:tcBorders>
              <w:top w:val="nil"/>
              <w:left w:val="nil"/>
              <w:bottom w:val="nil"/>
              <w:right w:val="nil"/>
            </w:tcBorders>
            <w:shd w:val="clear" w:color="auto" w:fill="auto"/>
            <w:noWrap/>
            <w:vAlign w:val="bottom"/>
            <w:hideMark/>
          </w:tcPr>
          <w:p w14:paraId="546149FB"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w:t>
            </w:r>
          </w:p>
        </w:tc>
        <w:tc>
          <w:tcPr>
            <w:tcW w:w="1800" w:type="dxa"/>
            <w:tcBorders>
              <w:top w:val="nil"/>
              <w:left w:val="nil"/>
              <w:bottom w:val="nil"/>
              <w:right w:val="nil"/>
            </w:tcBorders>
            <w:shd w:val="clear" w:color="auto" w:fill="auto"/>
            <w:noWrap/>
            <w:vAlign w:val="bottom"/>
            <w:hideMark/>
          </w:tcPr>
          <w:p w14:paraId="33600EAE"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21.43</w:t>
            </w:r>
          </w:p>
        </w:tc>
        <w:tc>
          <w:tcPr>
            <w:tcW w:w="1350" w:type="dxa"/>
            <w:tcBorders>
              <w:top w:val="nil"/>
              <w:left w:val="nil"/>
              <w:bottom w:val="nil"/>
              <w:right w:val="nil"/>
            </w:tcBorders>
            <w:shd w:val="clear" w:color="auto" w:fill="auto"/>
            <w:noWrap/>
            <w:vAlign w:val="bottom"/>
            <w:hideMark/>
          </w:tcPr>
          <w:p w14:paraId="072003A7"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90" w:type="dxa"/>
            <w:tcBorders>
              <w:top w:val="nil"/>
              <w:left w:val="nil"/>
              <w:bottom w:val="nil"/>
              <w:right w:val="nil"/>
            </w:tcBorders>
            <w:shd w:val="clear" w:color="auto" w:fill="auto"/>
            <w:noWrap/>
            <w:vAlign w:val="bottom"/>
            <w:hideMark/>
          </w:tcPr>
          <w:p w14:paraId="7238DA5B"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9.09</w:t>
            </w:r>
          </w:p>
        </w:tc>
      </w:tr>
      <w:tr w:rsidR="003A5408" w:rsidRPr="00C1388F" w14:paraId="199218E4" w14:textId="77777777" w:rsidTr="00CE0F03">
        <w:trPr>
          <w:trHeight w:val="320"/>
        </w:trPr>
        <w:tc>
          <w:tcPr>
            <w:tcW w:w="3150" w:type="dxa"/>
            <w:tcBorders>
              <w:top w:val="nil"/>
              <w:left w:val="nil"/>
              <w:bottom w:val="nil"/>
              <w:right w:val="nil"/>
            </w:tcBorders>
            <w:shd w:val="clear" w:color="auto" w:fill="auto"/>
            <w:noWrap/>
            <w:vAlign w:val="bottom"/>
            <w:hideMark/>
          </w:tcPr>
          <w:p w14:paraId="3648F48D" w14:textId="77777777" w:rsidR="003A5408" w:rsidRPr="00C1388F" w:rsidRDefault="003A5408" w:rsidP="00A35B4D">
            <w:pPr>
              <w:rPr>
                <w:rFonts w:ascii="Helvetica Neue" w:eastAsia="Times New Roman" w:hAnsi="Helvetica Neue" w:cs="Calibri"/>
                <w:b/>
                <w:bCs/>
                <w:color w:val="000000"/>
                <w:sz w:val="20"/>
                <w:szCs w:val="20"/>
              </w:rPr>
            </w:pPr>
            <w:r w:rsidRPr="00C1388F">
              <w:rPr>
                <w:rFonts w:ascii="Helvetica Neue" w:eastAsia="Times New Roman" w:hAnsi="Helvetica Neue" w:cs="Calibri"/>
                <w:b/>
                <w:bCs/>
                <w:color w:val="000000"/>
                <w:sz w:val="20"/>
                <w:szCs w:val="20"/>
              </w:rPr>
              <w:t>Race </w:t>
            </w:r>
          </w:p>
        </w:tc>
        <w:tc>
          <w:tcPr>
            <w:tcW w:w="1350" w:type="dxa"/>
            <w:tcBorders>
              <w:top w:val="nil"/>
              <w:left w:val="nil"/>
              <w:bottom w:val="nil"/>
              <w:right w:val="nil"/>
            </w:tcBorders>
            <w:shd w:val="clear" w:color="auto" w:fill="auto"/>
            <w:noWrap/>
            <w:vAlign w:val="bottom"/>
            <w:hideMark/>
          </w:tcPr>
          <w:p w14:paraId="27DAA223" w14:textId="77777777" w:rsidR="003A5408" w:rsidRPr="00C1388F" w:rsidRDefault="003A5408" w:rsidP="00A35B4D">
            <w:pPr>
              <w:rPr>
                <w:rFonts w:ascii="Helvetica Neue" w:eastAsia="Times New Roman" w:hAnsi="Helvetica Neue" w:cs="Calibri"/>
                <w:b/>
                <w:bCs/>
                <w:color w:val="000000"/>
                <w:sz w:val="20"/>
                <w:szCs w:val="20"/>
              </w:rPr>
            </w:pPr>
          </w:p>
        </w:tc>
        <w:tc>
          <w:tcPr>
            <w:tcW w:w="1800" w:type="dxa"/>
            <w:tcBorders>
              <w:top w:val="nil"/>
              <w:left w:val="nil"/>
              <w:bottom w:val="nil"/>
              <w:right w:val="nil"/>
            </w:tcBorders>
            <w:shd w:val="clear" w:color="auto" w:fill="auto"/>
            <w:noWrap/>
            <w:vAlign w:val="bottom"/>
            <w:hideMark/>
          </w:tcPr>
          <w:p w14:paraId="098AD530" w14:textId="77777777" w:rsidR="003A5408" w:rsidRPr="00C1388F" w:rsidRDefault="003A5408" w:rsidP="00A35B4D">
            <w:pPr>
              <w:jc w:val="center"/>
              <w:rPr>
                <w:rFonts w:ascii="Times New Roman" w:eastAsia="Times New Roman" w:hAnsi="Times New Roman" w:cs="Times New Roman"/>
                <w:sz w:val="20"/>
                <w:szCs w:val="20"/>
              </w:rPr>
            </w:pPr>
          </w:p>
        </w:tc>
        <w:tc>
          <w:tcPr>
            <w:tcW w:w="1350" w:type="dxa"/>
            <w:tcBorders>
              <w:top w:val="nil"/>
              <w:left w:val="nil"/>
              <w:bottom w:val="nil"/>
              <w:right w:val="nil"/>
            </w:tcBorders>
            <w:shd w:val="clear" w:color="auto" w:fill="auto"/>
            <w:noWrap/>
            <w:vAlign w:val="bottom"/>
            <w:hideMark/>
          </w:tcPr>
          <w:p w14:paraId="2E2135F4" w14:textId="77777777" w:rsidR="003A5408" w:rsidRPr="00C1388F" w:rsidRDefault="003A5408" w:rsidP="00A35B4D">
            <w:pPr>
              <w:jc w:val="center"/>
              <w:rPr>
                <w:rFonts w:ascii="Times New Roman" w:eastAsia="Times New Roman" w:hAnsi="Times New Roman" w:cs="Times New Roman"/>
                <w:sz w:val="20"/>
                <w:szCs w:val="20"/>
              </w:rPr>
            </w:pPr>
          </w:p>
        </w:tc>
        <w:tc>
          <w:tcPr>
            <w:tcW w:w="1890" w:type="dxa"/>
            <w:tcBorders>
              <w:top w:val="nil"/>
              <w:left w:val="nil"/>
              <w:bottom w:val="nil"/>
              <w:right w:val="nil"/>
            </w:tcBorders>
            <w:shd w:val="clear" w:color="auto" w:fill="auto"/>
            <w:noWrap/>
            <w:vAlign w:val="bottom"/>
            <w:hideMark/>
          </w:tcPr>
          <w:p w14:paraId="4B1FAF3A" w14:textId="77777777" w:rsidR="003A5408" w:rsidRPr="00C1388F" w:rsidRDefault="003A5408" w:rsidP="00A35B4D">
            <w:pPr>
              <w:jc w:val="center"/>
              <w:rPr>
                <w:rFonts w:ascii="Times New Roman" w:eastAsia="Times New Roman" w:hAnsi="Times New Roman" w:cs="Times New Roman"/>
                <w:sz w:val="20"/>
                <w:szCs w:val="20"/>
              </w:rPr>
            </w:pPr>
          </w:p>
        </w:tc>
      </w:tr>
      <w:tr w:rsidR="003A5408" w:rsidRPr="00C1388F" w14:paraId="6303F9A6" w14:textId="77777777" w:rsidTr="00CE0F03">
        <w:trPr>
          <w:trHeight w:val="320"/>
        </w:trPr>
        <w:tc>
          <w:tcPr>
            <w:tcW w:w="3150" w:type="dxa"/>
            <w:tcBorders>
              <w:top w:val="nil"/>
              <w:left w:val="nil"/>
              <w:bottom w:val="nil"/>
              <w:right w:val="nil"/>
            </w:tcBorders>
            <w:shd w:val="clear" w:color="auto" w:fill="auto"/>
            <w:noWrap/>
            <w:vAlign w:val="bottom"/>
            <w:hideMark/>
          </w:tcPr>
          <w:p w14:paraId="14D1ADFC"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White </w:t>
            </w:r>
          </w:p>
        </w:tc>
        <w:tc>
          <w:tcPr>
            <w:tcW w:w="1350" w:type="dxa"/>
            <w:tcBorders>
              <w:top w:val="nil"/>
              <w:left w:val="nil"/>
              <w:bottom w:val="nil"/>
              <w:right w:val="nil"/>
            </w:tcBorders>
            <w:shd w:val="clear" w:color="auto" w:fill="auto"/>
            <w:noWrap/>
            <w:vAlign w:val="bottom"/>
            <w:hideMark/>
          </w:tcPr>
          <w:p w14:paraId="4B0C5724"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14</w:t>
            </w:r>
          </w:p>
        </w:tc>
        <w:tc>
          <w:tcPr>
            <w:tcW w:w="1800" w:type="dxa"/>
            <w:tcBorders>
              <w:top w:val="nil"/>
              <w:left w:val="nil"/>
              <w:bottom w:val="nil"/>
              <w:right w:val="nil"/>
            </w:tcBorders>
            <w:shd w:val="clear" w:color="auto" w:fill="auto"/>
            <w:noWrap/>
            <w:vAlign w:val="bottom"/>
            <w:hideMark/>
          </w:tcPr>
          <w:p w14:paraId="3377DB91"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100</w:t>
            </w:r>
          </w:p>
        </w:tc>
        <w:tc>
          <w:tcPr>
            <w:tcW w:w="1350" w:type="dxa"/>
            <w:tcBorders>
              <w:top w:val="nil"/>
              <w:left w:val="nil"/>
              <w:bottom w:val="nil"/>
              <w:right w:val="nil"/>
            </w:tcBorders>
            <w:shd w:val="clear" w:color="auto" w:fill="auto"/>
            <w:noWrap/>
            <w:vAlign w:val="bottom"/>
            <w:hideMark/>
          </w:tcPr>
          <w:p w14:paraId="182F1B33"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11</w:t>
            </w:r>
          </w:p>
        </w:tc>
        <w:tc>
          <w:tcPr>
            <w:tcW w:w="1890" w:type="dxa"/>
            <w:tcBorders>
              <w:top w:val="nil"/>
              <w:left w:val="nil"/>
              <w:bottom w:val="nil"/>
              <w:right w:val="nil"/>
            </w:tcBorders>
            <w:shd w:val="clear" w:color="auto" w:fill="auto"/>
            <w:noWrap/>
            <w:vAlign w:val="bottom"/>
            <w:hideMark/>
          </w:tcPr>
          <w:p w14:paraId="62333EFA"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100</w:t>
            </w:r>
          </w:p>
        </w:tc>
      </w:tr>
      <w:tr w:rsidR="003A5408" w:rsidRPr="00C1388F" w14:paraId="2E43D6E2" w14:textId="77777777" w:rsidTr="00CE0F03">
        <w:trPr>
          <w:trHeight w:val="320"/>
        </w:trPr>
        <w:tc>
          <w:tcPr>
            <w:tcW w:w="3150" w:type="dxa"/>
            <w:tcBorders>
              <w:top w:val="nil"/>
              <w:left w:val="nil"/>
              <w:bottom w:val="nil"/>
              <w:right w:val="nil"/>
            </w:tcBorders>
            <w:shd w:val="clear" w:color="auto" w:fill="auto"/>
            <w:noWrap/>
            <w:vAlign w:val="bottom"/>
            <w:hideMark/>
          </w:tcPr>
          <w:p w14:paraId="2A8D46AC" w14:textId="77777777" w:rsidR="003A5408" w:rsidRPr="00C1388F" w:rsidRDefault="003A5408" w:rsidP="00A35B4D">
            <w:pPr>
              <w:rPr>
                <w:rFonts w:ascii="Helvetica Neue" w:eastAsia="Times New Roman" w:hAnsi="Helvetica Neue" w:cs="Calibri"/>
                <w:b/>
                <w:bCs/>
                <w:color w:val="000000"/>
                <w:sz w:val="20"/>
                <w:szCs w:val="20"/>
              </w:rPr>
            </w:pPr>
            <w:r w:rsidRPr="00C1388F">
              <w:rPr>
                <w:rFonts w:ascii="Helvetica Neue" w:eastAsia="Times New Roman" w:hAnsi="Helvetica Neue" w:cs="Calibri"/>
                <w:b/>
                <w:bCs/>
                <w:color w:val="000000"/>
                <w:sz w:val="20"/>
                <w:szCs w:val="20"/>
              </w:rPr>
              <w:t>Ethnicity</w:t>
            </w:r>
          </w:p>
        </w:tc>
        <w:tc>
          <w:tcPr>
            <w:tcW w:w="1350" w:type="dxa"/>
            <w:tcBorders>
              <w:top w:val="nil"/>
              <w:left w:val="nil"/>
              <w:bottom w:val="nil"/>
              <w:right w:val="nil"/>
            </w:tcBorders>
            <w:shd w:val="clear" w:color="auto" w:fill="auto"/>
            <w:noWrap/>
            <w:vAlign w:val="bottom"/>
            <w:hideMark/>
          </w:tcPr>
          <w:p w14:paraId="08DD0782" w14:textId="77777777" w:rsidR="003A5408" w:rsidRPr="00C1388F" w:rsidRDefault="003A5408" w:rsidP="00A35B4D">
            <w:pPr>
              <w:rPr>
                <w:rFonts w:ascii="Helvetica Neue" w:eastAsia="Times New Roman" w:hAnsi="Helvetica Neue" w:cs="Calibri"/>
                <w:b/>
                <w:bCs/>
                <w:color w:val="000000"/>
                <w:sz w:val="20"/>
                <w:szCs w:val="20"/>
              </w:rPr>
            </w:pPr>
          </w:p>
        </w:tc>
        <w:tc>
          <w:tcPr>
            <w:tcW w:w="1800" w:type="dxa"/>
            <w:tcBorders>
              <w:top w:val="nil"/>
              <w:left w:val="nil"/>
              <w:bottom w:val="nil"/>
              <w:right w:val="nil"/>
            </w:tcBorders>
            <w:shd w:val="clear" w:color="auto" w:fill="auto"/>
            <w:noWrap/>
            <w:vAlign w:val="bottom"/>
            <w:hideMark/>
          </w:tcPr>
          <w:p w14:paraId="2275C398" w14:textId="77777777" w:rsidR="003A5408" w:rsidRPr="00C1388F" w:rsidRDefault="003A5408" w:rsidP="00A35B4D">
            <w:pPr>
              <w:jc w:val="center"/>
              <w:rPr>
                <w:rFonts w:ascii="Times New Roman" w:eastAsia="Times New Roman" w:hAnsi="Times New Roman" w:cs="Times New Roman"/>
                <w:sz w:val="20"/>
                <w:szCs w:val="20"/>
              </w:rPr>
            </w:pPr>
          </w:p>
        </w:tc>
        <w:tc>
          <w:tcPr>
            <w:tcW w:w="1350" w:type="dxa"/>
            <w:tcBorders>
              <w:top w:val="nil"/>
              <w:left w:val="nil"/>
              <w:bottom w:val="nil"/>
              <w:right w:val="nil"/>
            </w:tcBorders>
            <w:shd w:val="clear" w:color="auto" w:fill="auto"/>
            <w:noWrap/>
            <w:vAlign w:val="bottom"/>
            <w:hideMark/>
          </w:tcPr>
          <w:p w14:paraId="1ADD6EFE" w14:textId="77777777" w:rsidR="003A5408" w:rsidRPr="00C1388F" w:rsidRDefault="003A5408" w:rsidP="00A35B4D">
            <w:pPr>
              <w:jc w:val="center"/>
              <w:rPr>
                <w:rFonts w:ascii="Times New Roman" w:eastAsia="Times New Roman" w:hAnsi="Times New Roman" w:cs="Times New Roman"/>
                <w:sz w:val="20"/>
                <w:szCs w:val="20"/>
              </w:rPr>
            </w:pPr>
          </w:p>
        </w:tc>
        <w:tc>
          <w:tcPr>
            <w:tcW w:w="1890" w:type="dxa"/>
            <w:tcBorders>
              <w:top w:val="nil"/>
              <w:left w:val="nil"/>
              <w:bottom w:val="nil"/>
              <w:right w:val="nil"/>
            </w:tcBorders>
            <w:shd w:val="clear" w:color="auto" w:fill="auto"/>
            <w:noWrap/>
            <w:vAlign w:val="bottom"/>
            <w:hideMark/>
          </w:tcPr>
          <w:p w14:paraId="3BF7D8C5" w14:textId="77777777" w:rsidR="003A5408" w:rsidRPr="00C1388F" w:rsidRDefault="003A5408" w:rsidP="00A35B4D">
            <w:pPr>
              <w:jc w:val="center"/>
              <w:rPr>
                <w:rFonts w:ascii="Times New Roman" w:eastAsia="Times New Roman" w:hAnsi="Times New Roman" w:cs="Times New Roman"/>
                <w:sz w:val="20"/>
                <w:szCs w:val="20"/>
              </w:rPr>
            </w:pPr>
          </w:p>
        </w:tc>
      </w:tr>
      <w:tr w:rsidR="003A5408" w:rsidRPr="00C1388F" w14:paraId="2FCD5A9E" w14:textId="77777777" w:rsidTr="00CE0F03">
        <w:trPr>
          <w:trHeight w:val="320"/>
        </w:trPr>
        <w:tc>
          <w:tcPr>
            <w:tcW w:w="3150" w:type="dxa"/>
            <w:tcBorders>
              <w:top w:val="nil"/>
              <w:left w:val="nil"/>
              <w:bottom w:val="nil"/>
              <w:right w:val="nil"/>
            </w:tcBorders>
            <w:shd w:val="clear" w:color="auto" w:fill="auto"/>
            <w:noWrap/>
            <w:vAlign w:val="bottom"/>
            <w:hideMark/>
          </w:tcPr>
          <w:p w14:paraId="7B97635B"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Hispanic</w:t>
            </w:r>
          </w:p>
        </w:tc>
        <w:tc>
          <w:tcPr>
            <w:tcW w:w="1350" w:type="dxa"/>
            <w:tcBorders>
              <w:top w:val="nil"/>
              <w:left w:val="nil"/>
              <w:bottom w:val="nil"/>
              <w:right w:val="nil"/>
            </w:tcBorders>
            <w:shd w:val="clear" w:color="auto" w:fill="auto"/>
            <w:noWrap/>
            <w:vAlign w:val="bottom"/>
            <w:hideMark/>
          </w:tcPr>
          <w:p w14:paraId="79CB904B"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w:t>
            </w:r>
          </w:p>
        </w:tc>
        <w:tc>
          <w:tcPr>
            <w:tcW w:w="1800" w:type="dxa"/>
            <w:tcBorders>
              <w:top w:val="nil"/>
              <w:left w:val="nil"/>
              <w:bottom w:val="nil"/>
              <w:right w:val="nil"/>
            </w:tcBorders>
            <w:shd w:val="clear" w:color="auto" w:fill="auto"/>
            <w:noWrap/>
            <w:vAlign w:val="bottom"/>
            <w:hideMark/>
          </w:tcPr>
          <w:p w14:paraId="116B7F5D"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21.43</w:t>
            </w:r>
          </w:p>
        </w:tc>
        <w:tc>
          <w:tcPr>
            <w:tcW w:w="1350" w:type="dxa"/>
            <w:tcBorders>
              <w:top w:val="nil"/>
              <w:left w:val="nil"/>
              <w:bottom w:val="nil"/>
              <w:right w:val="nil"/>
            </w:tcBorders>
            <w:shd w:val="clear" w:color="auto" w:fill="auto"/>
            <w:noWrap/>
            <w:vAlign w:val="bottom"/>
            <w:hideMark/>
          </w:tcPr>
          <w:p w14:paraId="6401DED6"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90" w:type="dxa"/>
            <w:tcBorders>
              <w:top w:val="nil"/>
              <w:left w:val="nil"/>
              <w:bottom w:val="nil"/>
              <w:right w:val="nil"/>
            </w:tcBorders>
            <w:shd w:val="clear" w:color="auto" w:fill="auto"/>
            <w:noWrap/>
            <w:vAlign w:val="bottom"/>
            <w:hideMark/>
          </w:tcPr>
          <w:p w14:paraId="36CE9F98"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9.09</w:t>
            </w:r>
          </w:p>
        </w:tc>
      </w:tr>
      <w:tr w:rsidR="003A5408" w:rsidRPr="00C1388F" w14:paraId="170EBA88" w14:textId="77777777" w:rsidTr="00CE0F03">
        <w:trPr>
          <w:trHeight w:val="320"/>
        </w:trPr>
        <w:tc>
          <w:tcPr>
            <w:tcW w:w="3150" w:type="dxa"/>
            <w:tcBorders>
              <w:top w:val="nil"/>
              <w:left w:val="nil"/>
              <w:bottom w:val="nil"/>
              <w:right w:val="nil"/>
            </w:tcBorders>
            <w:shd w:val="clear" w:color="auto" w:fill="auto"/>
            <w:noWrap/>
            <w:vAlign w:val="bottom"/>
            <w:hideMark/>
          </w:tcPr>
          <w:p w14:paraId="741A356A" w14:textId="77777777" w:rsidR="003A5408" w:rsidRPr="00C1388F" w:rsidRDefault="003A5408" w:rsidP="00A35B4D">
            <w:pPr>
              <w:rPr>
                <w:rFonts w:ascii="Helvetica Neue" w:eastAsia="Times New Roman" w:hAnsi="Helvetica Neue" w:cs="Calibri"/>
                <w:b/>
                <w:bCs/>
                <w:color w:val="000000"/>
                <w:sz w:val="20"/>
                <w:szCs w:val="20"/>
              </w:rPr>
            </w:pPr>
            <w:r w:rsidRPr="00C1388F">
              <w:rPr>
                <w:rFonts w:ascii="Helvetica Neue" w:eastAsia="Times New Roman" w:hAnsi="Helvetica Neue" w:cs="Calibri"/>
                <w:b/>
                <w:bCs/>
                <w:color w:val="000000"/>
                <w:sz w:val="20"/>
                <w:szCs w:val="20"/>
              </w:rPr>
              <w:t>Medication Status</w:t>
            </w:r>
          </w:p>
        </w:tc>
        <w:tc>
          <w:tcPr>
            <w:tcW w:w="1350" w:type="dxa"/>
            <w:tcBorders>
              <w:top w:val="nil"/>
              <w:left w:val="nil"/>
              <w:bottom w:val="nil"/>
              <w:right w:val="nil"/>
            </w:tcBorders>
            <w:shd w:val="clear" w:color="auto" w:fill="auto"/>
            <w:noWrap/>
            <w:vAlign w:val="bottom"/>
            <w:hideMark/>
          </w:tcPr>
          <w:p w14:paraId="2C80116E" w14:textId="77777777" w:rsidR="003A5408" w:rsidRPr="00C1388F" w:rsidRDefault="003A5408" w:rsidP="00A35B4D">
            <w:pPr>
              <w:rPr>
                <w:rFonts w:ascii="Helvetica Neue" w:eastAsia="Times New Roman" w:hAnsi="Helvetica Neue" w:cs="Calibri"/>
                <w:b/>
                <w:bCs/>
                <w:color w:val="000000"/>
                <w:sz w:val="20"/>
                <w:szCs w:val="20"/>
              </w:rPr>
            </w:pPr>
          </w:p>
        </w:tc>
        <w:tc>
          <w:tcPr>
            <w:tcW w:w="1800" w:type="dxa"/>
            <w:tcBorders>
              <w:top w:val="nil"/>
              <w:left w:val="nil"/>
              <w:bottom w:val="nil"/>
              <w:right w:val="nil"/>
            </w:tcBorders>
            <w:shd w:val="clear" w:color="auto" w:fill="auto"/>
            <w:noWrap/>
            <w:vAlign w:val="bottom"/>
            <w:hideMark/>
          </w:tcPr>
          <w:p w14:paraId="48296E6B" w14:textId="77777777" w:rsidR="003A5408" w:rsidRPr="00C1388F" w:rsidRDefault="003A5408" w:rsidP="00A35B4D">
            <w:pPr>
              <w:jc w:val="center"/>
              <w:rPr>
                <w:rFonts w:ascii="Times New Roman" w:eastAsia="Times New Roman" w:hAnsi="Times New Roman" w:cs="Times New Roman"/>
                <w:sz w:val="20"/>
                <w:szCs w:val="20"/>
              </w:rPr>
            </w:pPr>
          </w:p>
        </w:tc>
        <w:tc>
          <w:tcPr>
            <w:tcW w:w="1350" w:type="dxa"/>
            <w:tcBorders>
              <w:top w:val="nil"/>
              <w:left w:val="nil"/>
              <w:bottom w:val="nil"/>
              <w:right w:val="nil"/>
            </w:tcBorders>
            <w:shd w:val="clear" w:color="auto" w:fill="auto"/>
            <w:noWrap/>
            <w:vAlign w:val="bottom"/>
            <w:hideMark/>
          </w:tcPr>
          <w:p w14:paraId="787DE751" w14:textId="77777777" w:rsidR="003A5408" w:rsidRPr="00C1388F" w:rsidRDefault="003A5408" w:rsidP="00A35B4D">
            <w:pPr>
              <w:jc w:val="center"/>
              <w:rPr>
                <w:rFonts w:ascii="Times New Roman" w:eastAsia="Times New Roman" w:hAnsi="Times New Roman" w:cs="Times New Roman"/>
                <w:sz w:val="20"/>
                <w:szCs w:val="20"/>
              </w:rPr>
            </w:pPr>
          </w:p>
        </w:tc>
        <w:tc>
          <w:tcPr>
            <w:tcW w:w="1890" w:type="dxa"/>
            <w:tcBorders>
              <w:top w:val="nil"/>
              <w:left w:val="nil"/>
              <w:bottom w:val="nil"/>
              <w:right w:val="nil"/>
            </w:tcBorders>
            <w:shd w:val="clear" w:color="auto" w:fill="auto"/>
            <w:noWrap/>
            <w:vAlign w:val="bottom"/>
            <w:hideMark/>
          </w:tcPr>
          <w:p w14:paraId="11201693" w14:textId="77777777" w:rsidR="003A5408" w:rsidRPr="00C1388F" w:rsidRDefault="003A5408" w:rsidP="00A35B4D">
            <w:pPr>
              <w:jc w:val="center"/>
              <w:rPr>
                <w:rFonts w:ascii="Times New Roman" w:eastAsia="Times New Roman" w:hAnsi="Times New Roman" w:cs="Times New Roman"/>
                <w:sz w:val="20"/>
                <w:szCs w:val="20"/>
              </w:rPr>
            </w:pPr>
          </w:p>
        </w:tc>
      </w:tr>
      <w:tr w:rsidR="003A5408" w:rsidRPr="00C1388F" w14:paraId="4F2A497D" w14:textId="77777777" w:rsidTr="00CE0F03">
        <w:trPr>
          <w:trHeight w:val="320"/>
        </w:trPr>
        <w:tc>
          <w:tcPr>
            <w:tcW w:w="3150" w:type="dxa"/>
            <w:tcBorders>
              <w:top w:val="nil"/>
              <w:left w:val="nil"/>
              <w:bottom w:val="nil"/>
              <w:right w:val="nil"/>
            </w:tcBorders>
            <w:shd w:val="clear" w:color="auto" w:fill="auto"/>
            <w:noWrap/>
            <w:vAlign w:val="bottom"/>
            <w:hideMark/>
          </w:tcPr>
          <w:p w14:paraId="2B169E91"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No medication</w:t>
            </w:r>
          </w:p>
        </w:tc>
        <w:tc>
          <w:tcPr>
            <w:tcW w:w="1350" w:type="dxa"/>
            <w:tcBorders>
              <w:top w:val="nil"/>
              <w:left w:val="nil"/>
              <w:bottom w:val="nil"/>
              <w:right w:val="nil"/>
            </w:tcBorders>
            <w:shd w:val="clear" w:color="auto" w:fill="auto"/>
            <w:noWrap/>
            <w:vAlign w:val="bottom"/>
            <w:hideMark/>
          </w:tcPr>
          <w:p w14:paraId="1DCDEC22"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00" w:type="dxa"/>
            <w:tcBorders>
              <w:top w:val="nil"/>
              <w:left w:val="nil"/>
              <w:bottom w:val="nil"/>
              <w:right w:val="nil"/>
            </w:tcBorders>
            <w:shd w:val="clear" w:color="auto" w:fill="auto"/>
            <w:noWrap/>
            <w:vAlign w:val="bottom"/>
            <w:hideMark/>
          </w:tcPr>
          <w:p w14:paraId="7FE88474"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14.29</w:t>
            </w:r>
          </w:p>
        </w:tc>
        <w:tc>
          <w:tcPr>
            <w:tcW w:w="1350" w:type="dxa"/>
            <w:tcBorders>
              <w:top w:val="nil"/>
              <w:left w:val="nil"/>
              <w:bottom w:val="nil"/>
              <w:right w:val="nil"/>
            </w:tcBorders>
            <w:shd w:val="clear" w:color="auto" w:fill="auto"/>
            <w:noWrap/>
            <w:vAlign w:val="bottom"/>
            <w:hideMark/>
          </w:tcPr>
          <w:p w14:paraId="162E4783"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90" w:type="dxa"/>
            <w:tcBorders>
              <w:top w:val="nil"/>
              <w:left w:val="nil"/>
              <w:bottom w:val="nil"/>
              <w:right w:val="nil"/>
            </w:tcBorders>
            <w:shd w:val="clear" w:color="auto" w:fill="auto"/>
            <w:noWrap/>
            <w:vAlign w:val="bottom"/>
            <w:hideMark/>
          </w:tcPr>
          <w:p w14:paraId="087A1953"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18.18</w:t>
            </w:r>
          </w:p>
        </w:tc>
      </w:tr>
      <w:tr w:rsidR="003A5408" w:rsidRPr="00C1388F" w14:paraId="08208C7C" w14:textId="77777777" w:rsidTr="00CE0F03">
        <w:trPr>
          <w:trHeight w:val="320"/>
        </w:trPr>
        <w:tc>
          <w:tcPr>
            <w:tcW w:w="3150" w:type="dxa"/>
            <w:tcBorders>
              <w:top w:val="nil"/>
              <w:left w:val="nil"/>
              <w:bottom w:val="nil"/>
              <w:right w:val="nil"/>
            </w:tcBorders>
            <w:shd w:val="clear" w:color="auto" w:fill="auto"/>
            <w:noWrap/>
            <w:vAlign w:val="bottom"/>
            <w:hideMark/>
          </w:tcPr>
          <w:p w14:paraId="24520D10"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Antidepressants</w:t>
            </w:r>
          </w:p>
        </w:tc>
        <w:tc>
          <w:tcPr>
            <w:tcW w:w="1350" w:type="dxa"/>
            <w:tcBorders>
              <w:top w:val="nil"/>
              <w:left w:val="nil"/>
              <w:bottom w:val="nil"/>
              <w:right w:val="nil"/>
            </w:tcBorders>
            <w:shd w:val="clear" w:color="auto" w:fill="auto"/>
            <w:noWrap/>
            <w:vAlign w:val="bottom"/>
            <w:hideMark/>
          </w:tcPr>
          <w:p w14:paraId="7ACBF1AE"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7</w:t>
            </w:r>
          </w:p>
        </w:tc>
        <w:tc>
          <w:tcPr>
            <w:tcW w:w="1800" w:type="dxa"/>
            <w:tcBorders>
              <w:top w:val="nil"/>
              <w:left w:val="nil"/>
              <w:bottom w:val="nil"/>
              <w:right w:val="nil"/>
            </w:tcBorders>
            <w:shd w:val="clear" w:color="auto" w:fill="auto"/>
            <w:noWrap/>
            <w:vAlign w:val="bottom"/>
            <w:hideMark/>
          </w:tcPr>
          <w:p w14:paraId="7D039C5D"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50</w:t>
            </w:r>
          </w:p>
        </w:tc>
        <w:tc>
          <w:tcPr>
            <w:tcW w:w="1350" w:type="dxa"/>
            <w:tcBorders>
              <w:top w:val="nil"/>
              <w:left w:val="nil"/>
              <w:bottom w:val="nil"/>
              <w:right w:val="nil"/>
            </w:tcBorders>
            <w:shd w:val="clear" w:color="auto" w:fill="auto"/>
            <w:noWrap/>
            <w:vAlign w:val="bottom"/>
            <w:hideMark/>
          </w:tcPr>
          <w:p w14:paraId="0E929B3E"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90" w:type="dxa"/>
            <w:tcBorders>
              <w:top w:val="nil"/>
              <w:left w:val="nil"/>
              <w:bottom w:val="nil"/>
              <w:right w:val="nil"/>
            </w:tcBorders>
            <w:shd w:val="clear" w:color="auto" w:fill="auto"/>
            <w:noWrap/>
            <w:vAlign w:val="bottom"/>
            <w:hideMark/>
          </w:tcPr>
          <w:p w14:paraId="295A4BF4"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18.18</w:t>
            </w:r>
          </w:p>
        </w:tc>
      </w:tr>
      <w:tr w:rsidR="003A5408" w:rsidRPr="00C1388F" w14:paraId="6F89533E" w14:textId="77777777" w:rsidTr="00CE0F03">
        <w:trPr>
          <w:trHeight w:val="320"/>
        </w:trPr>
        <w:tc>
          <w:tcPr>
            <w:tcW w:w="3150" w:type="dxa"/>
            <w:tcBorders>
              <w:top w:val="nil"/>
              <w:left w:val="nil"/>
              <w:bottom w:val="nil"/>
              <w:right w:val="nil"/>
            </w:tcBorders>
            <w:shd w:val="clear" w:color="auto" w:fill="auto"/>
            <w:noWrap/>
            <w:vAlign w:val="bottom"/>
            <w:hideMark/>
          </w:tcPr>
          <w:p w14:paraId="63BA3767"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Anticonvulsant</w:t>
            </w:r>
          </w:p>
        </w:tc>
        <w:tc>
          <w:tcPr>
            <w:tcW w:w="1350" w:type="dxa"/>
            <w:tcBorders>
              <w:top w:val="nil"/>
              <w:left w:val="nil"/>
              <w:bottom w:val="nil"/>
              <w:right w:val="nil"/>
            </w:tcBorders>
            <w:shd w:val="clear" w:color="auto" w:fill="auto"/>
            <w:noWrap/>
            <w:vAlign w:val="bottom"/>
            <w:hideMark/>
          </w:tcPr>
          <w:p w14:paraId="79EC59C2"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c>
          <w:tcPr>
            <w:tcW w:w="1800" w:type="dxa"/>
            <w:tcBorders>
              <w:top w:val="nil"/>
              <w:left w:val="nil"/>
              <w:bottom w:val="nil"/>
              <w:right w:val="nil"/>
            </w:tcBorders>
            <w:shd w:val="clear" w:color="auto" w:fill="auto"/>
            <w:noWrap/>
            <w:vAlign w:val="bottom"/>
            <w:hideMark/>
          </w:tcPr>
          <w:p w14:paraId="7B3C6487"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c>
          <w:tcPr>
            <w:tcW w:w="1350" w:type="dxa"/>
            <w:tcBorders>
              <w:top w:val="nil"/>
              <w:left w:val="nil"/>
              <w:bottom w:val="nil"/>
              <w:right w:val="nil"/>
            </w:tcBorders>
            <w:shd w:val="clear" w:color="auto" w:fill="auto"/>
            <w:noWrap/>
            <w:vAlign w:val="bottom"/>
            <w:hideMark/>
          </w:tcPr>
          <w:p w14:paraId="56E99563"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90" w:type="dxa"/>
            <w:tcBorders>
              <w:top w:val="nil"/>
              <w:left w:val="nil"/>
              <w:bottom w:val="nil"/>
              <w:right w:val="nil"/>
            </w:tcBorders>
            <w:shd w:val="clear" w:color="auto" w:fill="auto"/>
            <w:noWrap/>
            <w:vAlign w:val="bottom"/>
            <w:hideMark/>
          </w:tcPr>
          <w:p w14:paraId="5A14EB07"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18.18</w:t>
            </w:r>
          </w:p>
        </w:tc>
      </w:tr>
      <w:tr w:rsidR="003A5408" w:rsidRPr="00C1388F" w14:paraId="73951F31" w14:textId="77777777" w:rsidTr="00CE0F03">
        <w:trPr>
          <w:trHeight w:val="320"/>
        </w:trPr>
        <w:tc>
          <w:tcPr>
            <w:tcW w:w="3150" w:type="dxa"/>
            <w:tcBorders>
              <w:top w:val="nil"/>
              <w:left w:val="nil"/>
              <w:bottom w:val="nil"/>
              <w:right w:val="nil"/>
            </w:tcBorders>
            <w:shd w:val="clear" w:color="auto" w:fill="auto"/>
            <w:noWrap/>
            <w:vAlign w:val="bottom"/>
            <w:hideMark/>
          </w:tcPr>
          <w:p w14:paraId="024B5A5A"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Stimulants</w:t>
            </w:r>
          </w:p>
        </w:tc>
        <w:tc>
          <w:tcPr>
            <w:tcW w:w="1350" w:type="dxa"/>
            <w:tcBorders>
              <w:top w:val="nil"/>
              <w:left w:val="nil"/>
              <w:bottom w:val="nil"/>
              <w:right w:val="nil"/>
            </w:tcBorders>
            <w:shd w:val="clear" w:color="auto" w:fill="auto"/>
            <w:noWrap/>
            <w:vAlign w:val="bottom"/>
            <w:hideMark/>
          </w:tcPr>
          <w:p w14:paraId="1FD5E6AB"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00" w:type="dxa"/>
            <w:tcBorders>
              <w:top w:val="nil"/>
              <w:left w:val="nil"/>
              <w:bottom w:val="nil"/>
              <w:right w:val="nil"/>
            </w:tcBorders>
            <w:shd w:val="clear" w:color="auto" w:fill="auto"/>
            <w:noWrap/>
            <w:vAlign w:val="bottom"/>
            <w:hideMark/>
          </w:tcPr>
          <w:p w14:paraId="6BFEFBE6"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7.14</w:t>
            </w:r>
          </w:p>
        </w:tc>
        <w:tc>
          <w:tcPr>
            <w:tcW w:w="1350" w:type="dxa"/>
            <w:tcBorders>
              <w:top w:val="nil"/>
              <w:left w:val="nil"/>
              <w:bottom w:val="nil"/>
              <w:right w:val="nil"/>
            </w:tcBorders>
            <w:shd w:val="clear" w:color="auto" w:fill="auto"/>
            <w:noWrap/>
            <w:vAlign w:val="bottom"/>
            <w:hideMark/>
          </w:tcPr>
          <w:p w14:paraId="301285DD"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c>
          <w:tcPr>
            <w:tcW w:w="1890" w:type="dxa"/>
            <w:tcBorders>
              <w:top w:val="nil"/>
              <w:left w:val="nil"/>
              <w:bottom w:val="nil"/>
              <w:right w:val="nil"/>
            </w:tcBorders>
            <w:shd w:val="clear" w:color="auto" w:fill="auto"/>
            <w:noWrap/>
            <w:vAlign w:val="bottom"/>
            <w:hideMark/>
          </w:tcPr>
          <w:p w14:paraId="51A64AEC"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r>
      <w:tr w:rsidR="003A5408" w:rsidRPr="00C1388F" w14:paraId="1D3E1A8F" w14:textId="77777777" w:rsidTr="00CE0F03">
        <w:trPr>
          <w:trHeight w:val="320"/>
        </w:trPr>
        <w:tc>
          <w:tcPr>
            <w:tcW w:w="3150" w:type="dxa"/>
            <w:tcBorders>
              <w:top w:val="nil"/>
              <w:left w:val="nil"/>
              <w:bottom w:val="nil"/>
              <w:right w:val="nil"/>
            </w:tcBorders>
            <w:shd w:val="clear" w:color="auto" w:fill="auto"/>
            <w:noWrap/>
            <w:vAlign w:val="bottom"/>
            <w:hideMark/>
          </w:tcPr>
          <w:p w14:paraId="3ADA8460"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w:t>
            </w:r>
            <w:r>
              <w:rPr>
                <w:rFonts w:ascii="Helvetica Neue" w:eastAsia="Times New Roman" w:hAnsi="Helvetica Neue" w:cs="Calibri"/>
                <w:color w:val="000000"/>
                <w:sz w:val="20"/>
                <w:szCs w:val="20"/>
              </w:rPr>
              <w:t xml:space="preserve"> </w:t>
            </w:r>
            <w:r w:rsidRPr="00C1388F">
              <w:rPr>
                <w:rFonts w:ascii="Helvetica Neue" w:eastAsia="Times New Roman" w:hAnsi="Helvetica Neue" w:cs="Calibri"/>
                <w:color w:val="000000"/>
                <w:sz w:val="20"/>
                <w:szCs w:val="20"/>
              </w:rPr>
              <w:t>Medical Marijuana/Cannabinoids (CBD Oil)</w:t>
            </w:r>
          </w:p>
        </w:tc>
        <w:tc>
          <w:tcPr>
            <w:tcW w:w="1350" w:type="dxa"/>
            <w:tcBorders>
              <w:top w:val="nil"/>
              <w:left w:val="nil"/>
              <w:bottom w:val="nil"/>
              <w:right w:val="nil"/>
            </w:tcBorders>
            <w:shd w:val="clear" w:color="auto" w:fill="auto"/>
            <w:noWrap/>
            <w:vAlign w:val="bottom"/>
            <w:hideMark/>
          </w:tcPr>
          <w:p w14:paraId="6C152E2A"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00" w:type="dxa"/>
            <w:tcBorders>
              <w:top w:val="nil"/>
              <w:left w:val="nil"/>
              <w:bottom w:val="nil"/>
              <w:right w:val="nil"/>
            </w:tcBorders>
            <w:shd w:val="clear" w:color="auto" w:fill="auto"/>
            <w:noWrap/>
            <w:vAlign w:val="bottom"/>
            <w:hideMark/>
          </w:tcPr>
          <w:p w14:paraId="0398F28E"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7.14</w:t>
            </w:r>
          </w:p>
        </w:tc>
        <w:tc>
          <w:tcPr>
            <w:tcW w:w="1350" w:type="dxa"/>
            <w:tcBorders>
              <w:top w:val="nil"/>
              <w:left w:val="nil"/>
              <w:bottom w:val="nil"/>
              <w:right w:val="nil"/>
            </w:tcBorders>
            <w:shd w:val="clear" w:color="auto" w:fill="auto"/>
            <w:noWrap/>
            <w:vAlign w:val="bottom"/>
            <w:hideMark/>
          </w:tcPr>
          <w:p w14:paraId="1D9DD747"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w:t>
            </w:r>
          </w:p>
        </w:tc>
        <w:tc>
          <w:tcPr>
            <w:tcW w:w="1890" w:type="dxa"/>
            <w:tcBorders>
              <w:top w:val="nil"/>
              <w:left w:val="nil"/>
              <w:bottom w:val="nil"/>
              <w:right w:val="nil"/>
            </w:tcBorders>
            <w:shd w:val="clear" w:color="auto" w:fill="auto"/>
            <w:noWrap/>
            <w:vAlign w:val="bottom"/>
            <w:hideMark/>
          </w:tcPr>
          <w:p w14:paraId="4B588048"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27.27</w:t>
            </w:r>
          </w:p>
        </w:tc>
      </w:tr>
      <w:tr w:rsidR="003A5408" w:rsidRPr="00C1388F" w14:paraId="5ABA38A1" w14:textId="77777777" w:rsidTr="00CE0F03">
        <w:trPr>
          <w:trHeight w:val="320"/>
        </w:trPr>
        <w:tc>
          <w:tcPr>
            <w:tcW w:w="3150" w:type="dxa"/>
            <w:tcBorders>
              <w:top w:val="nil"/>
              <w:left w:val="nil"/>
              <w:bottom w:val="nil"/>
              <w:right w:val="nil"/>
            </w:tcBorders>
            <w:shd w:val="clear" w:color="auto" w:fill="auto"/>
            <w:noWrap/>
            <w:vAlign w:val="bottom"/>
            <w:hideMark/>
          </w:tcPr>
          <w:p w14:paraId="728D8F9A"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Unknown</w:t>
            </w:r>
          </w:p>
        </w:tc>
        <w:tc>
          <w:tcPr>
            <w:tcW w:w="1350" w:type="dxa"/>
            <w:tcBorders>
              <w:top w:val="nil"/>
              <w:left w:val="nil"/>
              <w:bottom w:val="nil"/>
              <w:right w:val="nil"/>
            </w:tcBorders>
            <w:shd w:val="clear" w:color="auto" w:fill="auto"/>
            <w:noWrap/>
            <w:vAlign w:val="bottom"/>
            <w:hideMark/>
          </w:tcPr>
          <w:p w14:paraId="3BCAF4DE"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00" w:type="dxa"/>
            <w:tcBorders>
              <w:top w:val="nil"/>
              <w:left w:val="nil"/>
              <w:bottom w:val="nil"/>
              <w:right w:val="nil"/>
            </w:tcBorders>
            <w:shd w:val="clear" w:color="auto" w:fill="auto"/>
            <w:noWrap/>
            <w:vAlign w:val="bottom"/>
            <w:hideMark/>
          </w:tcPr>
          <w:p w14:paraId="7420AE1B"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7.14</w:t>
            </w:r>
          </w:p>
        </w:tc>
        <w:tc>
          <w:tcPr>
            <w:tcW w:w="1350" w:type="dxa"/>
            <w:tcBorders>
              <w:top w:val="nil"/>
              <w:left w:val="nil"/>
              <w:bottom w:val="nil"/>
              <w:right w:val="nil"/>
            </w:tcBorders>
            <w:shd w:val="clear" w:color="auto" w:fill="auto"/>
            <w:noWrap/>
            <w:vAlign w:val="bottom"/>
            <w:hideMark/>
          </w:tcPr>
          <w:p w14:paraId="24C42A43"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c>
          <w:tcPr>
            <w:tcW w:w="1890" w:type="dxa"/>
            <w:tcBorders>
              <w:top w:val="nil"/>
              <w:left w:val="nil"/>
              <w:bottom w:val="nil"/>
              <w:right w:val="nil"/>
            </w:tcBorders>
            <w:shd w:val="clear" w:color="auto" w:fill="auto"/>
            <w:noWrap/>
            <w:vAlign w:val="bottom"/>
            <w:hideMark/>
          </w:tcPr>
          <w:p w14:paraId="149607E9"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r>
      <w:tr w:rsidR="003A5408" w:rsidRPr="00C1388F" w14:paraId="4E930623" w14:textId="77777777" w:rsidTr="00CE0F03">
        <w:trPr>
          <w:trHeight w:val="320"/>
        </w:trPr>
        <w:tc>
          <w:tcPr>
            <w:tcW w:w="3150" w:type="dxa"/>
            <w:tcBorders>
              <w:top w:val="nil"/>
              <w:left w:val="nil"/>
              <w:bottom w:val="nil"/>
              <w:right w:val="nil"/>
            </w:tcBorders>
            <w:shd w:val="clear" w:color="auto" w:fill="auto"/>
            <w:noWrap/>
            <w:vAlign w:val="bottom"/>
            <w:hideMark/>
          </w:tcPr>
          <w:p w14:paraId="351B612A" w14:textId="77777777" w:rsidR="003A5408" w:rsidRPr="00C1388F" w:rsidRDefault="003A5408" w:rsidP="00A35B4D">
            <w:pPr>
              <w:rPr>
                <w:rFonts w:ascii="Helvetica Neue" w:eastAsia="Times New Roman" w:hAnsi="Helvetica Neue" w:cs="Calibri"/>
                <w:b/>
                <w:bCs/>
                <w:color w:val="000000"/>
                <w:sz w:val="20"/>
                <w:szCs w:val="20"/>
              </w:rPr>
            </w:pPr>
            <w:r w:rsidRPr="00C1388F">
              <w:rPr>
                <w:rFonts w:ascii="Helvetica Neue" w:eastAsia="Times New Roman" w:hAnsi="Helvetica Neue" w:cs="Calibri"/>
                <w:b/>
                <w:bCs/>
                <w:color w:val="000000"/>
                <w:sz w:val="20"/>
                <w:szCs w:val="20"/>
              </w:rPr>
              <w:t>Additional Diagnoses</w:t>
            </w:r>
          </w:p>
        </w:tc>
        <w:tc>
          <w:tcPr>
            <w:tcW w:w="1350" w:type="dxa"/>
            <w:tcBorders>
              <w:top w:val="nil"/>
              <w:left w:val="nil"/>
              <w:bottom w:val="nil"/>
              <w:right w:val="nil"/>
            </w:tcBorders>
            <w:shd w:val="clear" w:color="auto" w:fill="auto"/>
            <w:noWrap/>
            <w:vAlign w:val="bottom"/>
            <w:hideMark/>
          </w:tcPr>
          <w:p w14:paraId="766B5894" w14:textId="77777777" w:rsidR="003A5408" w:rsidRPr="00C1388F" w:rsidRDefault="003A5408" w:rsidP="00A35B4D">
            <w:pPr>
              <w:jc w:val="center"/>
              <w:rPr>
                <w:rFonts w:ascii="Helvetica" w:eastAsia="Times New Roman" w:hAnsi="Helvetica" w:cs="Calibri"/>
                <w:color w:val="000000"/>
                <w:sz w:val="20"/>
                <w:szCs w:val="20"/>
              </w:rPr>
            </w:pPr>
          </w:p>
        </w:tc>
        <w:tc>
          <w:tcPr>
            <w:tcW w:w="1800" w:type="dxa"/>
            <w:tcBorders>
              <w:top w:val="nil"/>
              <w:left w:val="nil"/>
              <w:bottom w:val="nil"/>
              <w:right w:val="nil"/>
            </w:tcBorders>
            <w:shd w:val="clear" w:color="auto" w:fill="auto"/>
            <w:noWrap/>
            <w:vAlign w:val="bottom"/>
            <w:hideMark/>
          </w:tcPr>
          <w:p w14:paraId="0F321B2E" w14:textId="77777777" w:rsidR="003A5408" w:rsidRPr="00C1388F" w:rsidRDefault="003A5408" w:rsidP="00A35B4D">
            <w:pPr>
              <w:jc w:val="center"/>
              <w:rPr>
                <w:rFonts w:ascii="Helvetica" w:eastAsia="Times New Roman" w:hAnsi="Helvetica" w:cs="Calibri"/>
                <w:color w:val="000000"/>
                <w:sz w:val="20"/>
                <w:szCs w:val="20"/>
              </w:rPr>
            </w:pPr>
          </w:p>
        </w:tc>
        <w:tc>
          <w:tcPr>
            <w:tcW w:w="1350" w:type="dxa"/>
            <w:tcBorders>
              <w:top w:val="nil"/>
              <w:left w:val="nil"/>
              <w:bottom w:val="nil"/>
              <w:right w:val="nil"/>
            </w:tcBorders>
            <w:shd w:val="clear" w:color="auto" w:fill="auto"/>
            <w:noWrap/>
            <w:vAlign w:val="bottom"/>
            <w:hideMark/>
          </w:tcPr>
          <w:p w14:paraId="10497F77" w14:textId="77777777" w:rsidR="003A5408" w:rsidRPr="00C1388F" w:rsidRDefault="003A5408" w:rsidP="00A35B4D">
            <w:pPr>
              <w:jc w:val="center"/>
              <w:rPr>
                <w:rFonts w:ascii="Helvetica" w:eastAsia="Times New Roman" w:hAnsi="Helvetica" w:cs="Calibri"/>
                <w:color w:val="000000"/>
                <w:sz w:val="20"/>
                <w:szCs w:val="20"/>
              </w:rPr>
            </w:pPr>
          </w:p>
        </w:tc>
        <w:tc>
          <w:tcPr>
            <w:tcW w:w="1890" w:type="dxa"/>
            <w:tcBorders>
              <w:top w:val="nil"/>
              <w:left w:val="nil"/>
              <w:bottom w:val="nil"/>
              <w:right w:val="nil"/>
            </w:tcBorders>
            <w:shd w:val="clear" w:color="auto" w:fill="auto"/>
            <w:noWrap/>
            <w:vAlign w:val="bottom"/>
            <w:hideMark/>
          </w:tcPr>
          <w:p w14:paraId="6EABC435" w14:textId="77777777" w:rsidR="003A5408" w:rsidRPr="00C1388F" w:rsidRDefault="003A5408" w:rsidP="00A35B4D">
            <w:pPr>
              <w:jc w:val="center"/>
              <w:rPr>
                <w:rFonts w:ascii="Helvetica" w:eastAsia="Times New Roman" w:hAnsi="Helvetica" w:cs="Calibri"/>
                <w:color w:val="000000"/>
                <w:sz w:val="20"/>
                <w:szCs w:val="20"/>
              </w:rPr>
            </w:pPr>
          </w:p>
        </w:tc>
      </w:tr>
      <w:tr w:rsidR="003A5408" w:rsidRPr="00C1388F" w14:paraId="68EE4303" w14:textId="77777777" w:rsidTr="00CE0F03">
        <w:trPr>
          <w:trHeight w:val="320"/>
        </w:trPr>
        <w:tc>
          <w:tcPr>
            <w:tcW w:w="3150" w:type="dxa"/>
            <w:tcBorders>
              <w:top w:val="nil"/>
              <w:left w:val="nil"/>
              <w:bottom w:val="nil"/>
              <w:right w:val="nil"/>
            </w:tcBorders>
            <w:shd w:val="clear" w:color="auto" w:fill="auto"/>
            <w:noWrap/>
            <w:vAlign w:val="bottom"/>
            <w:hideMark/>
          </w:tcPr>
          <w:p w14:paraId="795F414E"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MDD</w:t>
            </w:r>
          </w:p>
        </w:tc>
        <w:tc>
          <w:tcPr>
            <w:tcW w:w="1350" w:type="dxa"/>
            <w:tcBorders>
              <w:top w:val="nil"/>
              <w:left w:val="nil"/>
              <w:bottom w:val="nil"/>
              <w:right w:val="nil"/>
            </w:tcBorders>
            <w:shd w:val="clear" w:color="auto" w:fill="auto"/>
            <w:noWrap/>
            <w:vAlign w:val="bottom"/>
            <w:hideMark/>
          </w:tcPr>
          <w:p w14:paraId="5659504F"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5</w:t>
            </w:r>
          </w:p>
        </w:tc>
        <w:tc>
          <w:tcPr>
            <w:tcW w:w="1800" w:type="dxa"/>
            <w:tcBorders>
              <w:top w:val="nil"/>
              <w:left w:val="nil"/>
              <w:bottom w:val="nil"/>
              <w:right w:val="nil"/>
            </w:tcBorders>
            <w:shd w:val="clear" w:color="auto" w:fill="auto"/>
            <w:noWrap/>
            <w:vAlign w:val="bottom"/>
            <w:hideMark/>
          </w:tcPr>
          <w:p w14:paraId="3B6AD405"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35.71</w:t>
            </w:r>
          </w:p>
        </w:tc>
        <w:tc>
          <w:tcPr>
            <w:tcW w:w="1350" w:type="dxa"/>
            <w:tcBorders>
              <w:top w:val="nil"/>
              <w:left w:val="nil"/>
              <w:bottom w:val="nil"/>
              <w:right w:val="nil"/>
            </w:tcBorders>
            <w:shd w:val="clear" w:color="auto" w:fill="auto"/>
            <w:noWrap/>
            <w:vAlign w:val="bottom"/>
            <w:hideMark/>
          </w:tcPr>
          <w:p w14:paraId="0C549E2F"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5</w:t>
            </w:r>
          </w:p>
        </w:tc>
        <w:tc>
          <w:tcPr>
            <w:tcW w:w="1890" w:type="dxa"/>
            <w:tcBorders>
              <w:top w:val="nil"/>
              <w:left w:val="nil"/>
              <w:bottom w:val="nil"/>
              <w:right w:val="nil"/>
            </w:tcBorders>
            <w:shd w:val="clear" w:color="auto" w:fill="auto"/>
            <w:noWrap/>
            <w:vAlign w:val="bottom"/>
            <w:hideMark/>
          </w:tcPr>
          <w:p w14:paraId="254526CD"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45.45</w:t>
            </w:r>
          </w:p>
        </w:tc>
      </w:tr>
      <w:tr w:rsidR="003A5408" w:rsidRPr="00C1388F" w14:paraId="6639F3AA" w14:textId="77777777" w:rsidTr="00CE0F03">
        <w:trPr>
          <w:trHeight w:val="320"/>
        </w:trPr>
        <w:tc>
          <w:tcPr>
            <w:tcW w:w="3150" w:type="dxa"/>
            <w:tcBorders>
              <w:top w:val="nil"/>
              <w:left w:val="nil"/>
              <w:bottom w:val="nil"/>
              <w:right w:val="nil"/>
            </w:tcBorders>
            <w:shd w:val="clear" w:color="auto" w:fill="auto"/>
            <w:noWrap/>
            <w:vAlign w:val="bottom"/>
            <w:hideMark/>
          </w:tcPr>
          <w:p w14:paraId="178DC14E"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MDD in partial remission</w:t>
            </w:r>
          </w:p>
        </w:tc>
        <w:tc>
          <w:tcPr>
            <w:tcW w:w="1350" w:type="dxa"/>
            <w:tcBorders>
              <w:top w:val="nil"/>
              <w:left w:val="nil"/>
              <w:bottom w:val="nil"/>
              <w:right w:val="nil"/>
            </w:tcBorders>
            <w:shd w:val="clear" w:color="auto" w:fill="auto"/>
            <w:noWrap/>
            <w:vAlign w:val="bottom"/>
            <w:hideMark/>
          </w:tcPr>
          <w:p w14:paraId="343D8070"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00" w:type="dxa"/>
            <w:tcBorders>
              <w:top w:val="nil"/>
              <w:left w:val="nil"/>
              <w:bottom w:val="nil"/>
              <w:right w:val="nil"/>
            </w:tcBorders>
            <w:shd w:val="clear" w:color="auto" w:fill="auto"/>
            <w:noWrap/>
            <w:vAlign w:val="bottom"/>
            <w:hideMark/>
          </w:tcPr>
          <w:p w14:paraId="36751DE2"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14.29</w:t>
            </w:r>
          </w:p>
        </w:tc>
        <w:tc>
          <w:tcPr>
            <w:tcW w:w="1350" w:type="dxa"/>
            <w:tcBorders>
              <w:top w:val="nil"/>
              <w:left w:val="nil"/>
              <w:bottom w:val="nil"/>
              <w:right w:val="nil"/>
            </w:tcBorders>
            <w:shd w:val="clear" w:color="auto" w:fill="auto"/>
            <w:noWrap/>
            <w:vAlign w:val="bottom"/>
            <w:hideMark/>
          </w:tcPr>
          <w:p w14:paraId="46082EBC"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90" w:type="dxa"/>
            <w:tcBorders>
              <w:top w:val="nil"/>
              <w:left w:val="nil"/>
              <w:bottom w:val="nil"/>
              <w:right w:val="nil"/>
            </w:tcBorders>
            <w:shd w:val="clear" w:color="auto" w:fill="auto"/>
            <w:noWrap/>
            <w:vAlign w:val="bottom"/>
            <w:hideMark/>
          </w:tcPr>
          <w:p w14:paraId="42F5AEA6"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18.18</w:t>
            </w:r>
          </w:p>
        </w:tc>
      </w:tr>
      <w:tr w:rsidR="003A5408" w:rsidRPr="00C1388F" w14:paraId="16144B6B" w14:textId="77777777" w:rsidTr="00CE0F03">
        <w:trPr>
          <w:trHeight w:val="320"/>
        </w:trPr>
        <w:tc>
          <w:tcPr>
            <w:tcW w:w="3150" w:type="dxa"/>
            <w:tcBorders>
              <w:top w:val="nil"/>
              <w:left w:val="nil"/>
              <w:bottom w:val="nil"/>
              <w:right w:val="nil"/>
            </w:tcBorders>
            <w:shd w:val="clear" w:color="auto" w:fill="auto"/>
            <w:noWrap/>
            <w:vAlign w:val="bottom"/>
            <w:hideMark/>
          </w:tcPr>
          <w:p w14:paraId="5845A709"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MDD in full remission</w:t>
            </w:r>
          </w:p>
        </w:tc>
        <w:tc>
          <w:tcPr>
            <w:tcW w:w="1350" w:type="dxa"/>
            <w:tcBorders>
              <w:top w:val="nil"/>
              <w:left w:val="nil"/>
              <w:bottom w:val="nil"/>
              <w:right w:val="nil"/>
            </w:tcBorders>
            <w:shd w:val="clear" w:color="auto" w:fill="auto"/>
            <w:noWrap/>
            <w:vAlign w:val="bottom"/>
            <w:hideMark/>
          </w:tcPr>
          <w:p w14:paraId="0325DBCA"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5</w:t>
            </w:r>
          </w:p>
        </w:tc>
        <w:tc>
          <w:tcPr>
            <w:tcW w:w="1800" w:type="dxa"/>
            <w:tcBorders>
              <w:top w:val="nil"/>
              <w:left w:val="nil"/>
              <w:bottom w:val="nil"/>
              <w:right w:val="nil"/>
            </w:tcBorders>
            <w:shd w:val="clear" w:color="auto" w:fill="auto"/>
            <w:noWrap/>
            <w:vAlign w:val="bottom"/>
            <w:hideMark/>
          </w:tcPr>
          <w:p w14:paraId="5E6D8DDA"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35.71</w:t>
            </w:r>
          </w:p>
        </w:tc>
        <w:tc>
          <w:tcPr>
            <w:tcW w:w="1350" w:type="dxa"/>
            <w:tcBorders>
              <w:top w:val="nil"/>
              <w:left w:val="nil"/>
              <w:bottom w:val="nil"/>
              <w:right w:val="nil"/>
            </w:tcBorders>
            <w:shd w:val="clear" w:color="auto" w:fill="auto"/>
            <w:noWrap/>
            <w:vAlign w:val="bottom"/>
            <w:hideMark/>
          </w:tcPr>
          <w:p w14:paraId="2BE7CA40"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90" w:type="dxa"/>
            <w:tcBorders>
              <w:top w:val="nil"/>
              <w:left w:val="nil"/>
              <w:bottom w:val="nil"/>
              <w:right w:val="nil"/>
            </w:tcBorders>
            <w:shd w:val="clear" w:color="auto" w:fill="auto"/>
            <w:noWrap/>
            <w:vAlign w:val="bottom"/>
            <w:hideMark/>
          </w:tcPr>
          <w:p w14:paraId="7646D2DC"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18.18</w:t>
            </w:r>
          </w:p>
        </w:tc>
      </w:tr>
      <w:tr w:rsidR="003A5408" w:rsidRPr="00C1388F" w14:paraId="0C540F9E" w14:textId="77777777" w:rsidTr="00CE0F03">
        <w:trPr>
          <w:trHeight w:val="320"/>
        </w:trPr>
        <w:tc>
          <w:tcPr>
            <w:tcW w:w="3150" w:type="dxa"/>
            <w:tcBorders>
              <w:top w:val="nil"/>
              <w:left w:val="nil"/>
              <w:bottom w:val="nil"/>
              <w:right w:val="nil"/>
            </w:tcBorders>
            <w:shd w:val="clear" w:color="auto" w:fill="auto"/>
            <w:noWrap/>
            <w:vAlign w:val="bottom"/>
            <w:hideMark/>
          </w:tcPr>
          <w:p w14:paraId="239E0756"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Dysthymic Disorder</w:t>
            </w:r>
          </w:p>
        </w:tc>
        <w:tc>
          <w:tcPr>
            <w:tcW w:w="1350" w:type="dxa"/>
            <w:tcBorders>
              <w:top w:val="nil"/>
              <w:left w:val="nil"/>
              <w:bottom w:val="nil"/>
              <w:right w:val="nil"/>
            </w:tcBorders>
            <w:shd w:val="clear" w:color="auto" w:fill="auto"/>
            <w:noWrap/>
            <w:vAlign w:val="bottom"/>
            <w:hideMark/>
          </w:tcPr>
          <w:p w14:paraId="008C4251"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c>
          <w:tcPr>
            <w:tcW w:w="1800" w:type="dxa"/>
            <w:tcBorders>
              <w:top w:val="nil"/>
              <w:left w:val="nil"/>
              <w:bottom w:val="nil"/>
              <w:right w:val="nil"/>
            </w:tcBorders>
            <w:shd w:val="clear" w:color="auto" w:fill="auto"/>
            <w:noWrap/>
            <w:vAlign w:val="bottom"/>
            <w:hideMark/>
          </w:tcPr>
          <w:p w14:paraId="1FD8C943"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c>
          <w:tcPr>
            <w:tcW w:w="1350" w:type="dxa"/>
            <w:tcBorders>
              <w:top w:val="nil"/>
              <w:left w:val="nil"/>
              <w:bottom w:val="nil"/>
              <w:right w:val="nil"/>
            </w:tcBorders>
            <w:shd w:val="clear" w:color="auto" w:fill="auto"/>
            <w:noWrap/>
            <w:vAlign w:val="bottom"/>
            <w:hideMark/>
          </w:tcPr>
          <w:p w14:paraId="5AADCCC8"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90" w:type="dxa"/>
            <w:tcBorders>
              <w:top w:val="nil"/>
              <w:left w:val="nil"/>
              <w:bottom w:val="nil"/>
              <w:right w:val="nil"/>
            </w:tcBorders>
            <w:shd w:val="clear" w:color="auto" w:fill="auto"/>
            <w:noWrap/>
            <w:vAlign w:val="bottom"/>
            <w:hideMark/>
          </w:tcPr>
          <w:p w14:paraId="5895F7E6"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9.09</w:t>
            </w:r>
          </w:p>
        </w:tc>
      </w:tr>
      <w:tr w:rsidR="003A5408" w:rsidRPr="00C1388F" w14:paraId="430F94C0" w14:textId="77777777" w:rsidTr="00CE0F03">
        <w:trPr>
          <w:trHeight w:val="320"/>
        </w:trPr>
        <w:tc>
          <w:tcPr>
            <w:tcW w:w="3150" w:type="dxa"/>
            <w:tcBorders>
              <w:top w:val="nil"/>
              <w:left w:val="nil"/>
              <w:bottom w:val="nil"/>
              <w:right w:val="nil"/>
            </w:tcBorders>
            <w:shd w:val="clear" w:color="auto" w:fill="auto"/>
            <w:noWrap/>
            <w:vAlign w:val="bottom"/>
            <w:hideMark/>
          </w:tcPr>
          <w:p w14:paraId="0FE7EACE"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OCD</w:t>
            </w:r>
          </w:p>
        </w:tc>
        <w:tc>
          <w:tcPr>
            <w:tcW w:w="1350" w:type="dxa"/>
            <w:tcBorders>
              <w:top w:val="nil"/>
              <w:left w:val="nil"/>
              <w:bottom w:val="nil"/>
              <w:right w:val="nil"/>
            </w:tcBorders>
            <w:shd w:val="clear" w:color="auto" w:fill="auto"/>
            <w:noWrap/>
            <w:vAlign w:val="bottom"/>
            <w:hideMark/>
          </w:tcPr>
          <w:p w14:paraId="4F27A279"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w:t>
            </w:r>
          </w:p>
        </w:tc>
        <w:tc>
          <w:tcPr>
            <w:tcW w:w="1800" w:type="dxa"/>
            <w:tcBorders>
              <w:top w:val="nil"/>
              <w:left w:val="nil"/>
              <w:bottom w:val="nil"/>
              <w:right w:val="nil"/>
            </w:tcBorders>
            <w:shd w:val="clear" w:color="auto" w:fill="auto"/>
            <w:noWrap/>
            <w:vAlign w:val="bottom"/>
            <w:hideMark/>
          </w:tcPr>
          <w:p w14:paraId="3E90DA4B"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21.43</w:t>
            </w:r>
          </w:p>
        </w:tc>
        <w:tc>
          <w:tcPr>
            <w:tcW w:w="1350" w:type="dxa"/>
            <w:tcBorders>
              <w:top w:val="nil"/>
              <w:left w:val="nil"/>
              <w:bottom w:val="nil"/>
              <w:right w:val="nil"/>
            </w:tcBorders>
            <w:shd w:val="clear" w:color="auto" w:fill="auto"/>
            <w:noWrap/>
            <w:vAlign w:val="bottom"/>
            <w:hideMark/>
          </w:tcPr>
          <w:p w14:paraId="56133D05"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c>
          <w:tcPr>
            <w:tcW w:w="1890" w:type="dxa"/>
            <w:tcBorders>
              <w:top w:val="nil"/>
              <w:left w:val="nil"/>
              <w:bottom w:val="nil"/>
              <w:right w:val="nil"/>
            </w:tcBorders>
            <w:shd w:val="clear" w:color="auto" w:fill="auto"/>
            <w:noWrap/>
            <w:vAlign w:val="bottom"/>
            <w:hideMark/>
          </w:tcPr>
          <w:p w14:paraId="3B18D77C"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r>
      <w:tr w:rsidR="003A5408" w:rsidRPr="00C1388F" w14:paraId="160FC5D0" w14:textId="77777777" w:rsidTr="00CE0F03">
        <w:trPr>
          <w:trHeight w:val="320"/>
        </w:trPr>
        <w:tc>
          <w:tcPr>
            <w:tcW w:w="3150" w:type="dxa"/>
            <w:tcBorders>
              <w:top w:val="nil"/>
              <w:left w:val="nil"/>
              <w:bottom w:val="nil"/>
              <w:right w:val="nil"/>
            </w:tcBorders>
            <w:shd w:val="clear" w:color="auto" w:fill="auto"/>
            <w:noWrap/>
            <w:vAlign w:val="bottom"/>
            <w:hideMark/>
          </w:tcPr>
          <w:p w14:paraId="47CA6862"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Social Phobia</w:t>
            </w:r>
          </w:p>
        </w:tc>
        <w:tc>
          <w:tcPr>
            <w:tcW w:w="1350" w:type="dxa"/>
            <w:tcBorders>
              <w:top w:val="nil"/>
              <w:left w:val="nil"/>
              <w:bottom w:val="nil"/>
              <w:right w:val="nil"/>
            </w:tcBorders>
            <w:shd w:val="clear" w:color="auto" w:fill="auto"/>
            <w:noWrap/>
            <w:vAlign w:val="bottom"/>
            <w:hideMark/>
          </w:tcPr>
          <w:p w14:paraId="3B136140"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5</w:t>
            </w:r>
          </w:p>
        </w:tc>
        <w:tc>
          <w:tcPr>
            <w:tcW w:w="1800" w:type="dxa"/>
            <w:tcBorders>
              <w:top w:val="nil"/>
              <w:left w:val="nil"/>
              <w:bottom w:val="nil"/>
              <w:right w:val="nil"/>
            </w:tcBorders>
            <w:shd w:val="clear" w:color="auto" w:fill="auto"/>
            <w:noWrap/>
            <w:vAlign w:val="bottom"/>
            <w:hideMark/>
          </w:tcPr>
          <w:p w14:paraId="7186B26F"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35.71</w:t>
            </w:r>
          </w:p>
        </w:tc>
        <w:tc>
          <w:tcPr>
            <w:tcW w:w="1350" w:type="dxa"/>
            <w:tcBorders>
              <w:top w:val="nil"/>
              <w:left w:val="nil"/>
              <w:bottom w:val="nil"/>
              <w:right w:val="nil"/>
            </w:tcBorders>
            <w:shd w:val="clear" w:color="auto" w:fill="auto"/>
            <w:noWrap/>
            <w:vAlign w:val="bottom"/>
            <w:hideMark/>
          </w:tcPr>
          <w:p w14:paraId="57783286"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w:t>
            </w:r>
          </w:p>
        </w:tc>
        <w:tc>
          <w:tcPr>
            <w:tcW w:w="1890" w:type="dxa"/>
            <w:tcBorders>
              <w:top w:val="nil"/>
              <w:left w:val="nil"/>
              <w:bottom w:val="nil"/>
              <w:right w:val="nil"/>
            </w:tcBorders>
            <w:shd w:val="clear" w:color="auto" w:fill="auto"/>
            <w:noWrap/>
            <w:vAlign w:val="bottom"/>
            <w:hideMark/>
          </w:tcPr>
          <w:p w14:paraId="39373597"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27.27</w:t>
            </w:r>
          </w:p>
        </w:tc>
      </w:tr>
      <w:tr w:rsidR="003A5408" w:rsidRPr="00C1388F" w14:paraId="4D8EBB85" w14:textId="77777777" w:rsidTr="00CE0F03">
        <w:trPr>
          <w:trHeight w:val="320"/>
        </w:trPr>
        <w:tc>
          <w:tcPr>
            <w:tcW w:w="3150" w:type="dxa"/>
            <w:tcBorders>
              <w:top w:val="nil"/>
              <w:left w:val="nil"/>
              <w:bottom w:val="nil"/>
              <w:right w:val="nil"/>
            </w:tcBorders>
            <w:shd w:val="clear" w:color="auto" w:fill="auto"/>
            <w:noWrap/>
            <w:vAlign w:val="bottom"/>
            <w:hideMark/>
          </w:tcPr>
          <w:p w14:paraId="76247BE0"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GAD</w:t>
            </w:r>
          </w:p>
        </w:tc>
        <w:tc>
          <w:tcPr>
            <w:tcW w:w="1350" w:type="dxa"/>
            <w:tcBorders>
              <w:top w:val="nil"/>
              <w:left w:val="nil"/>
              <w:bottom w:val="nil"/>
              <w:right w:val="nil"/>
            </w:tcBorders>
            <w:shd w:val="clear" w:color="auto" w:fill="auto"/>
            <w:noWrap/>
            <w:vAlign w:val="bottom"/>
            <w:hideMark/>
          </w:tcPr>
          <w:p w14:paraId="70B12CDE"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00" w:type="dxa"/>
            <w:tcBorders>
              <w:top w:val="nil"/>
              <w:left w:val="nil"/>
              <w:bottom w:val="nil"/>
              <w:right w:val="nil"/>
            </w:tcBorders>
            <w:shd w:val="clear" w:color="auto" w:fill="auto"/>
            <w:noWrap/>
            <w:vAlign w:val="bottom"/>
            <w:hideMark/>
          </w:tcPr>
          <w:p w14:paraId="58134173"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14.29</w:t>
            </w:r>
          </w:p>
        </w:tc>
        <w:tc>
          <w:tcPr>
            <w:tcW w:w="1350" w:type="dxa"/>
            <w:tcBorders>
              <w:top w:val="nil"/>
              <w:left w:val="nil"/>
              <w:bottom w:val="nil"/>
              <w:right w:val="nil"/>
            </w:tcBorders>
            <w:shd w:val="clear" w:color="auto" w:fill="auto"/>
            <w:noWrap/>
            <w:vAlign w:val="bottom"/>
            <w:hideMark/>
          </w:tcPr>
          <w:p w14:paraId="75C2BBE8"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90" w:type="dxa"/>
            <w:tcBorders>
              <w:top w:val="nil"/>
              <w:left w:val="nil"/>
              <w:bottom w:val="nil"/>
              <w:right w:val="nil"/>
            </w:tcBorders>
            <w:shd w:val="clear" w:color="auto" w:fill="auto"/>
            <w:noWrap/>
            <w:vAlign w:val="bottom"/>
            <w:hideMark/>
          </w:tcPr>
          <w:p w14:paraId="4AAF9909"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18.18</w:t>
            </w:r>
          </w:p>
        </w:tc>
      </w:tr>
      <w:tr w:rsidR="003A5408" w:rsidRPr="00C1388F" w14:paraId="4595893C" w14:textId="77777777" w:rsidTr="00CE0F03">
        <w:trPr>
          <w:trHeight w:val="320"/>
        </w:trPr>
        <w:tc>
          <w:tcPr>
            <w:tcW w:w="3150" w:type="dxa"/>
            <w:tcBorders>
              <w:top w:val="nil"/>
              <w:left w:val="nil"/>
              <w:bottom w:val="nil"/>
              <w:right w:val="nil"/>
            </w:tcBorders>
            <w:shd w:val="clear" w:color="auto" w:fill="auto"/>
            <w:noWrap/>
            <w:vAlign w:val="bottom"/>
            <w:hideMark/>
          </w:tcPr>
          <w:p w14:paraId="77BCC191"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Body Dysmorphic Disorder</w:t>
            </w:r>
          </w:p>
        </w:tc>
        <w:tc>
          <w:tcPr>
            <w:tcW w:w="1350" w:type="dxa"/>
            <w:tcBorders>
              <w:top w:val="nil"/>
              <w:left w:val="nil"/>
              <w:bottom w:val="nil"/>
              <w:right w:val="nil"/>
            </w:tcBorders>
            <w:shd w:val="clear" w:color="auto" w:fill="auto"/>
            <w:noWrap/>
            <w:vAlign w:val="bottom"/>
            <w:hideMark/>
          </w:tcPr>
          <w:p w14:paraId="1F5AD93B"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00" w:type="dxa"/>
            <w:tcBorders>
              <w:top w:val="nil"/>
              <w:left w:val="nil"/>
              <w:bottom w:val="nil"/>
              <w:right w:val="nil"/>
            </w:tcBorders>
            <w:shd w:val="clear" w:color="auto" w:fill="auto"/>
            <w:noWrap/>
            <w:vAlign w:val="bottom"/>
            <w:hideMark/>
          </w:tcPr>
          <w:p w14:paraId="7B4C6227"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14.29</w:t>
            </w:r>
          </w:p>
        </w:tc>
        <w:tc>
          <w:tcPr>
            <w:tcW w:w="1350" w:type="dxa"/>
            <w:tcBorders>
              <w:top w:val="nil"/>
              <w:left w:val="nil"/>
              <w:bottom w:val="nil"/>
              <w:right w:val="nil"/>
            </w:tcBorders>
            <w:shd w:val="clear" w:color="auto" w:fill="auto"/>
            <w:noWrap/>
            <w:vAlign w:val="bottom"/>
            <w:hideMark/>
          </w:tcPr>
          <w:p w14:paraId="3C5E7B70"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w:t>
            </w:r>
          </w:p>
        </w:tc>
        <w:tc>
          <w:tcPr>
            <w:tcW w:w="1890" w:type="dxa"/>
            <w:tcBorders>
              <w:top w:val="nil"/>
              <w:left w:val="nil"/>
              <w:bottom w:val="nil"/>
              <w:right w:val="nil"/>
            </w:tcBorders>
            <w:shd w:val="clear" w:color="auto" w:fill="auto"/>
            <w:noWrap/>
            <w:vAlign w:val="bottom"/>
            <w:hideMark/>
          </w:tcPr>
          <w:p w14:paraId="0FB2488A"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18.18</w:t>
            </w:r>
          </w:p>
        </w:tc>
      </w:tr>
      <w:tr w:rsidR="003A5408" w:rsidRPr="00C1388F" w14:paraId="4C26E199" w14:textId="77777777" w:rsidTr="00CE0F03">
        <w:trPr>
          <w:trHeight w:val="320"/>
        </w:trPr>
        <w:tc>
          <w:tcPr>
            <w:tcW w:w="3150" w:type="dxa"/>
            <w:tcBorders>
              <w:top w:val="nil"/>
              <w:left w:val="nil"/>
              <w:bottom w:val="nil"/>
              <w:right w:val="nil"/>
            </w:tcBorders>
            <w:shd w:val="clear" w:color="auto" w:fill="auto"/>
            <w:noWrap/>
            <w:vAlign w:val="bottom"/>
            <w:hideMark/>
          </w:tcPr>
          <w:p w14:paraId="14BE97FE"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Panic Disorder with Agoraphobia</w:t>
            </w:r>
          </w:p>
        </w:tc>
        <w:tc>
          <w:tcPr>
            <w:tcW w:w="1350" w:type="dxa"/>
            <w:tcBorders>
              <w:top w:val="nil"/>
              <w:left w:val="nil"/>
              <w:bottom w:val="nil"/>
              <w:right w:val="nil"/>
            </w:tcBorders>
            <w:shd w:val="clear" w:color="auto" w:fill="auto"/>
            <w:noWrap/>
            <w:vAlign w:val="bottom"/>
            <w:hideMark/>
          </w:tcPr>
          <w:p w14:paraId="6ED9B2E7"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00" w:type="dxa"/>
            <w:tcBorders>
              <w:top w:val="nil"/>
              <w:left w:val="nil"/>
              <w:bottom w:val="nil"/>
              <w:right w:val="nil"/>
            </w:tcBorders>
            <w:shd w:val="clear" w:color="auto" w:fill="auto"/>
            <w:noWrap/>
            <w:vAlign w:val="bottom"/>
            <w:hideMark/>
          </w:tcPr>
          <w:p w14:paraId="30B13AA2"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7.14</w:t>
            </w:r>
          </w:p>
        </w:tc>
        <w:tc>
          <w:tcPr>
            <w:tcW w:w="1350" w:type="dxa"/>
            <w:tcBorders>
              <w:top w:val="nil"/>
              <w:left w:val="nil"/>
              <w:bottom w:val="nil"/>
              <w:right w:val="nil"/>
            </w:tcBorders>
            <w:shd w:val="clear" w:color="auto" w:fill="auto"/>
            <w:noWrap/>
            <w:vAlign w:val="bottom"/>
            <w:hideMark/>
          </w:tcPr>
          <w:p w14:paraId="1A23364A"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90" w:type="dxa"/>
            <w:tcBorders>
              <w:top w:val="nil"/>
              <w:left w:val="nil"/>
              <w:bottom w:val="nil"/>
              <w:right w:val="nil"/>
            </w:tcBorders>
            <w:shd w:val="clear" w:color="auto" w:fill="auto"/>
            <w:noWrap/>
            <w:vAlign w:val="bottom"/>
            <w:hideMark/>
          </w:tcPr>
          <w:p w14:paraId="53E67BC4"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9.09</w:t>
            </w:r>
          </w:p>
        </w:tc>
      </w:tr>
      <w:tr w:rsidR="003A5408" w:rsidRPr="00C1388F" w14:paraId="30E7140A" w14:textId="77777777" w:rsidTr="00CE0F03">
        <w:trPr>
          <w:trHeight w:val="320"/>
        </w:trPr>
        <w:tc>
          <w:tcPr>
            <w:tcW w:w="3150" w:type="dxa"/>
            <w:tcBorders>
              <w:top w:val="nil"/>
              <w:left w:val="nil"/>
              <w:bottom w:val="nil"/>
              <w:right w:val="nil"/>
            </w:tcBorders>
            <w:shd w:val="clear" w:color="auto" w:fill="auto"/>
            <w:noWrap/>
            <w:vAlign w:val="bottom"/>
            <w:hideMark/>
          </w:tcPr>
          <w:p w14:paraId="0AA98ACB" w14:textId="7BFAD569"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Panic Disorder without </w:t>
            </w:r>
            <w:r w:rsidR="008619BC">
              <w:rPr>
                <w:rFonts w:ascii="Helvetica Neue" w:eastAsia="Times New Roman" w:hAnsi="Helvetica Neue" w:cs="Calibri" w:hint="eastAsia"/>
                <w:color w:val="000000"/>
                <w:sz w:val="20"/>
                <w:szCs w:val="20"/>
              </w:rPr>
              <w:t>A</w:t>
            </w:r>
            <w:r w:rsidRPr="00C1388F">
              <w:rPr>
                <w:rFonts w:ascii="Helvetica Neue" w:eastAsia="Times New Roman" w:hAnsi="Helvetica Neue" w:cs="Calibri"/>
                <w:color w:val="000000"/>
                <w:sz w:val="20"/>
                <w:szCs w:val="20"/>
              </w:rPr>
              <w:t>goraphobia</w:t>
            </w:r>
          </w:p>
        </w:tc>
        <w:tc>
          <w:tcPr>
            <w:tcW w:w="1350" w:type="dxa"/>
            <w:tcBorders>
              <w:top w:val="nil"/>
              <w:left w:val="nil"/>
              <w:bottom w:val="nil"/>
              <w:right w:val="nil"/>
            </w:tcBorders>
            <w:shd w:val="clear" w:color="auto" w:fill="auto"/>
            <w:noWrap/>
            <w:vAlign w:val="bottom"/>
            <w:hideMark/>
          </w:tcPr>
          <w:p w14:paraId="253E49EA"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00" w:type="dxa"/>
            <w:tcBorders>
              <w:top w:val="nil"/>
              <w:left w:val="nil"/>
              <w:bottom w:val="nil"/>
              <w:right w:val="nil"/>
            </w:tcBorders>
            <w:shd w:val="clear" w:color="auto" w:fill="auto"/>
            <w:noWrap/>
            <w:vAlign w:val="bottom"/>
            <w:hideMark/>
          </w:tcPr>
          <w:p w14:paraId="61A66A60"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7.14</w:t>
            </w:r>
          </w:p>
        </w:tc>
        <w:tc>
          <w:tcPr>
            <w:tcW w:w="1350" w:type="dxa"/>
            <w:tcBorders>
              <w:top w:val="nil"/>
              <w:left w:val="nil"/>
              <w:bottom w:val="nil"/>
              <w:right w:val="nil"/>
            </w:tcBorders>
            <w:shd w:val="clear" w:color="auto" w:fill="auto"/>
            <w:noWrap/>
            <w:vAlign w:val="bottom"/>
            <w:hideMark/>
          </w:tcPr>
          <w:p w14:paraId="484BD2F2"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3</w:t>
            </w:r>
          </w:p>
        </w:tc>
        <w:tc>
          <w:tcPr>
            <w:tcW w:w="1890" w:type="dxa"/>
            <w:tcBorders>
              <w:top w:val="nil"/>
              <w:left w:val="nil"/>
              <w:bottom w:val="nil"/>
              <w:right w:val="nil"/>
            </w:tcBorders>
            <w:shd w:val="clear" w:color="auto" w:fill="auto"/>
            <w:noWrap/>
            <w:vAlign w:val="bottom"/>
            <w:hideMark/>
          </w:tcPr>
          <w:p w14:paraId="1FE8613D"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27.27</w:t>
            </w:r>
          </w:p>
        </w:tc>
      </w:tr>
      <w:tr w:rsidR="003A5408" w:rsidRPr="00C1388F" w14:paraId="77317B13" w14:textId="77777777" w:rsidTr="00CE0F03">
        <w:trPr>
          <w:trHeight w:val="320"/>
        </w:trPr>
        <w:tc>
          <w:tcPr>
            <w:tcW w:w="3150" w:type="dxa"/>
            <w:tcBorders>
              <w:top w:val="nil"/>
              <w:left w:val="nil"/>
              <w:bottom w:val="nil"/>
              <w:right w:val="nil"/>
            </w:tcBorders>
            <w:shd w:val="clear" w:color="auto" w:fill="auto"/>
            <w:noWrap/>
            <w:vAlign w:val="bottom"/>
            <w:hideMark/>
          </w:tcPr>
          <w:p w14:paraId="2BF883EC"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Agoraphobia without History of Panic Disorder</w:t>
            </w:r>
          </w:p>
        </w:tc>
        <w:tc>
          <w:tcPr>
            <w:tcW w:w="1350" w:type="dxa"/>
            <w:tcBorders>
              <w:top w:val="nil"/>
              <w:left w:val="nil"/>
              <w:bottom w:val="nil"/>
              <w:right w:val="nil"/>
            </w:tcBorders>
            <w:shd w:val="clear" w:color="auto" w:fill="auto"/>
            <w:noWrap/>
            <w:vAlign w:val="bottom"/>
            <w:hideMark/>
          </w:tcPr>
          <w:p w14:paraId="77E9C8BA"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00" w:type="dxa"/>
            <w:tcBorders>
              <w:top w:val="nil"/>
              <w:left w:val="nil"/>
              <w:bottom w:val="nil"/>
              <w:right w:val="nil"/>
            </w:tcBorders>
            <w:shd w:val="clear" w:color="auto" w:fill="auto"/>
            <w:noWrap/>
            <w:vAlign w:val="bottom"/>
            <w:hideMark/>
          </w:tcPr>
          <w:p w14:paraId="5EC67929"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7.14</w:t>
            </w:r>
          </w:p>
        </w:tc>
        <w:tc>
          <w:tcPr>
            <w:tcW w:w="1350" w:type="dxa"/>
            <w:tcBorders>
              <w:top w:val="nil"/>
              <w:left w:val="nil"/>
              <w:bottom w:val="nil"/>
              <w:right w:val="nil"/>
            </w:tcBorders>
            <w:shd w:val="clear" w:color="auto" w:fill="auto"/>
            <w:noWrap/>
            <w:vAlign w:val="bottom"/>
            <w:hideMark/>
          </w:tcPr>
          <w:p w14:paraId="7F2301D1"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c>
          <w:tcPr>
            <w:tcW w:w="1890" w:type="dxa"/>
            <w:tcBorders>
              <w:top w:val="nil"/>
              <w:left w:val="nil"/>
              <w:bottom w:val="nil"/>
              <w:right w:val="nil"/>
            </w:tcBorders>
            <w:shd w:val="clear" w:color="auto" w:fill="auto"/>
            <w:noWrap/>
            <w:vAlign w:val="bottom"/>
            <w:hideMark/>
          </w:tcPr>
          <w:p w14:paraId="7D09ACA7"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r>
      <w:tr w:rsidR="003A5408" w:rsidRPr="00C1388F" w14:paraId="0A720A3D" w14:textId="77777777" w:rsidTr="00CE0F03">
        <w:trPr>
          <w:trHeight w:val="320"/>
        </w:trPr>
        <w:tc>
          <w:tcPr>
            <w:tcW w:w="3150" w:type="dxa"/>
            <w:tcBorders>
              <w:top w:val="nil"/>
              <w:left w:val="nil"/>
              <w:bottom w:val="single" w:sz="18" w:space="0" w:color="000000"/>
              <w:right w:val="nil"/>
            </w:tcBorders>
            <w:shd w:val="clear" w:color="auto" w:fill="auto"/>
            <w:noWrap/>
            <w:vAlign w:val="bottom"/>
            <w:hideMark/>
          </w:tcPr>
          <w:p w14:paraId="404B8435" w14:textId="77777777" w:rsidR="003A5408" w:rsidRPr="00C1388F" w:rsidRDefault="003A5408" w:rsidP="00A35B4D">
            <w:pPr>
              <w:rPr>
                <w:rFonts w:ascii="Helvetica Neue" w:eastAsia="Times New Roman" w:hAnsi="Helvetica Neue" w:cs="Calibri"/>
                <w:color w:val="000000"/>
                <w:sz w:val="20"/>
                <w:szCs w:val="20"/>
              </w:rPr>
            </w:pPr>
            <w:r w:rsidRPr="00C1388F">
              <w:rPr>
                <w:rFonts w:ascii="Helvetica Neue" w:eastAsia="Times New Roman" w:hAnsi="Helvetica Neue" w:cs="Calibri"/>
                <w:color w:val="000000"/>
                <w:sz w:val="20"/>
                <w:szCs w:val="20"/>
              </w:rPr>
              <w:t xml:space="preserve">     Specific Phobia (heights)</w:t>
            </w:r>
          </w:p>
        </w:tc>
        <w:tc>
          <w:tcPr>
            <w:tcW w:w="1350" w:type="dxa"/>
            <w:tcBorders>
              <w:top w:val="nil"/>
              <w:left w:val="nil"/>
              <w:bottom w:val="single" w:sz="18" w:space="0" w:color="000000"/>
              <w:right w:val="nil"/>
            </w:tcBorders>
            <w:shd w:val="clear" w:color="auto" w:fill="auto"/>
            <w:noWrap/>
            <w:vAlign w:val="bottom"/>
            <w:hideMark/>
          </w:tcPr>
          <w:p w14:paraId="2C1BCC48"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c>
          <w:tcPr>
            <w:tcW w:w="1800" w:type="dxa"/>
            <w:tcBorders>
              <w:top w:val="nil"/>
              <w:left w:val="nil"/>
              <w:bottom w:val="single" w:sz="18" w:space="0" w:color="000000"/>
              <w:right w:val="nil"/>
            </w:tcBorders>
            <w:shd w:val="clear" w:color="auto" w:fill="auto"/>
            <w:noWrap/>
            <w:vAlign w:val="bottom"/>
            <w:hideMark/>
          </w:tcPr>
          <w:p w14:paraId="4178B6A1"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0</w:t>
            </w:r>
          </w:p>
        </w:tc>
        <w:tc>
          <w:tcPr>
            <w:tcW w:w="1350" w:type="dxa"/>
            <w:tcBorders>
              <w:top w:val="nil"/>
              <w:left w:val="nil"/>
              <w:bottom w:val="single" w:sz="18" w:space="0" w:color="000000"/>
              <w:right w:val="nil"/>
            </w:tcBorders>
            <w:shd w:val="clear" w:color="auto" w:fill="auto"/>
            <w:noWrap/>
            <w:vAlign w:val="bottom"/>
            <w:hideMark/>
          </w:tcPr>
          <w:p w14:paraId="4F031B79"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1</w:t>
            </w:r>
          </w:p>
        </w:tc>
        <w:tc>
          <w:tcPr>
            <w:tcW w:w="1890" w:type="dxa"/>
            <w:tcBorders>
              <w:top w:val="nil"/>
              <w:left w:val="nil"/>
              <w:bottom w:val="single" w:sz="18" w:space="0" w:color="000000"/>
              <w:right w:val="nil"/>
            </w:tcBorders>
            <w:shd w:val="clear" w:color="auto" w:fill="auto"/>
            <w:noWrap/>
            <w:vAlign w:val="bottom"/>
            <w:hideMark/>
          </w:tcPr>
          <w:p w14:paraId="4541DAC1" w14:textId="77777777" w:rsidR="003A5408" w:rsidRPr="00C1388F" w:rsidRDefault="003A5408" w:rsidP="00A35B4D">
            <w:pPr>
              <w:jc w:val="center"/>
              <w:rPr>
                <w:rFonts w:ascii="Helvetica" w:eastAsia="Times New Roman" w:hAnsi="Helvetica" w:cs="Calibri"/>
                <w:color w:val="000000"/>
                <w:sz w:val="20"/>
                <w:szCs w:val="20"/>
              </w:rPr>
            </w:pPr>
            <w:r w:rsidRPr="00C1388F">
              <w:rPr>
                <w:rFonts w:ascii="Helvetica" w:eastAsia="Times New Roman" w:hAnsi="Helvetica" w:cs="Calibri"/>
                <w:color w:val="000000"/>
                <w:sz w:val="20"/>
                <w:szCs w:val="20"/>
              </w:rPr>
              <w:t>9.09</w:t>
            </w:r>
          </w:p>
        </w:tc>
      </w:tr>
    </w:tbl>
    <w:p w14:paraId="4B13326B" w14:textId="77777777" w:rsidR="003A5408" w:rsidRDefault="003A5408" w:rsidP="003A5408">
      <w:pPr>
        <w:tabs>
          <w:tab w:val="left" w:pos="1012"/>
        </w:tabs>
      </w:pPr>
    </w:p>
    <w:p w14:paraId="6D6E2655" w14:textId="333B5A24" w:rsidR="003A5408" w:rsidRPr="00B24926" w:rsidRDefault="003A5408" w:rsidP="003A5408">
      <w:pPr>
        <w:tabs>
          <w:tab w:val="left" w:pos="1012"/>
        </w:tabs>
      </w:pPr>
      <w:r>
        <w:t xml:space="preserve">CAPS, </w:t>
      </w:r>
      <w:r w:rsidR="00A17B88">
        <w:rPr>
          <w:rFonts w:hint="eastAsia"/>
        </w:rPr>
        <w:t>Clinician-Admini</w:t>
      </w:r>
      <w:r w:rsidR="00A17B88">
        <w:t>stered</w:t>
      </w:r>
      <w:r>
        <w:t xml:space="preserve"> PTSD Scale; GAD, Generalized Anxiety Disorder; MDD, Major Depressive Disorder; OCD, Obsessive-Compulsive Disorder; PCL, PTSD Checklist</w:t>
      </w:r>
    </w:p>
    <w:p w14:paraId="146444A0" w14:textId="77777777" w:rsidR="003A5408" w:rsidRPr="00841417" w:rsidRDefault="003A5408" w:rsidP="00245064">
      <w:pPr>
        <w:rPr>
          <w:b/>
        </w:rPr>
      </w:pPr>
    </w:p>
    <w:p w14:paraId="5701D9B0" w14:textId="77777777" w:rsidR="00A17B88" w:rsidRDefault="00A17B88" w:rsidP="00245064">
      <w:pPr>
        <w:rPr>
          <w:b/>
          <w:bCs/>
        </w:rPr>
      </w:pPr>
    </w:p>
    <w:p w14:paraId="768BDD37" w14:textId="1D8A92A7" w:rsidR="00245064" w:rsidRPr="008524E5" w:rsidRDefault="00245064" w:rsidP="00245064">
      <w:pPr>
        <w:rPr>
          <w:b/>
          <w:bCs/>
        </w:rPr>
      </w:pPr>
      <w:r w:rsidRPr="008524E5">
        <w:rPr>
          <w:b/>
          <w:bCs/>
        </w:rPr>
        <w:lastRenderedPageBreak/>
        <w:t>Change in PCL-5 score</w:t>
      </w:r>
    </w:p>
    <w:p w14:paraId="4897B5C4" w14:textId="586E668D" w:rsidR="00C301FC" w:rsidRPr="00C301FC" w:rsidRDefault="00C301FC" w:rsidP="00C301FC">
      <w:pPr>
        <w:rPr>
          <w:rFonts w:ascii="Times New Roman" w:eastAsia="Times New Roman" w:hAnsi="Times New Roman" w:cs="Times New Roman"/>
          <w:lang w:eastAsia="en-US"/>
        </w:rPr>
      </w:pPr>
      <w:r w:rsidRPr="00C301FC">
        <w:rPr>
          <w:rFonts w:ascii="Calibri" w:eastAsia="Times New Roman" w:hAnsi="Calibri" w:cs="Calibri"/>
          <w:color w:val="000000"/>
          <w:sz w:val="22"/>
          <w:szCs w:val="22"/>
          <w:lang w:eastAsia="en-US"/>
        </w:rPr>
        <w:t>PTSD Checklist for DSM-5 (PCL-5) was assessed du</w:t>
      </w:r>
      <w:r w:rsidRPr="00AD2D84">
        <w:rPr>
          <w:rFonts w:ascii="Calibri" w:eastAsia="Times New Roman" w:hAnsi="Calibri" w:cs="Calibri"/>
          <w:color w:val="000000"/>
          <w:sz w:val="22"/>
          <w:szCs w:val="22"/>
          <w:lang w:eastAsia="en-US"/>
        </w:rPr>
        <w:t>ring all visits. To compare with the CAPS-5 data we computed change from the</w:t>
      </w:r>
      <w:r w:rsidRPr="00C301FC">
        <w:rPr>
          <w:rFonts w:ascii="Calibri" w:eastAsia="Times New Roman" w:hAnsi="Calibri" w:cs="Calibri"/>
          <w:color w:val="000000"/>
          <w:sz w:val="22"/>
          <w:szCs w:val="22"/>
          <w:lang w:eastAsia="en-US"/>
        </w:rPr>
        <w:t xml:space="preserve"> individual baseline at the 30-day and 60-day follow-up time points and ran pooled t-tests on these change scores. Although the active group showed qualitatively greater reduction in the PCL score for both timepoints, the t-tests did not reveal a difference between the two intervention groups at either 30-day (</w:t>
      </w:r>
      <w:r w:rsidRPr="00AD2D84">
        <w:rPr>
          <w:rFonts w:ascii="Calibri" w:eastAsia="Times New Roman" w:hAnsi="Calibri" w:cs="Calibri"/>
          <w:color w:val="000000"/>
          <w:sz w:val="22"/>
          <w:szCs w:val="22"/>
          <w:lang w:eastAsia="en-US"/>
        </w:rPr>
        <w:t xml:space="preserve">p </w:t>
      </w:r>
      <w:r w:rsidR="0083682C" w:rsidRPr="00AD2D84">
        <w:rPr>
          <w:rFonts w:ascii="Calibri" w:eastAsia="Times New Roman" w:hAnsi="Calibri" w:cs="Calibri"/>
          <w:color w:val="000000"/>
          <w:sz w:val="22"/>
          <w:szCs w:val="22"/>
          <w:lang w:eastAsia="en-US"/>
        </w:rPr>
        <w:t>=</w:t>
      </w:r>
      <w:r w:rsidR="00AA5382">
        <w:rPr>
          <w:rFonts w:ascii="Calibri" w:eastAsia="Times New Roman" w:hAnsi="Calibri" w:cs="Calibri"/>
          <w:color w:val="000000"/>
          <w:sz w:val="22"/>
          <w:szCs w:val="22"/>
          <w:lang w:eastAsia="en-US"/>
        </w:rPr>
        <w:t xml:space="preserve"> </w:t>
      </w:r>
      <w:r w:rsidR="00576FC0">
        <w:rPr>
          <w:rFonts w:ascii="Calibri" w:eastAsia="Times New Roman" w:hAnsi="Calibri" w:cs="Calibri"/>
          <w:color w:val="000000"/>
          <w:sz w:val="22"/>
          <w:szCs w:val="22"/>
          <w:lang w:eastAsia="en-US"/>
        </w:rPr>
        <w:t>0.827)</w:t>
      </w:r>
      <w:r w:rsidR="0083682C" w:rsidRPr="00AD2D84">
        <w:rPr>
          <w:rFonts w:ascii="Calibri" w:eastAsia="Times New Roman" w:hAnsi="Calibri" w:cs="Calibri"/>
          <w:color w:val="000000"/>
          <w:sz w:val="22"/>
          <w:szCs w:val="22"/>
          <w:lang w:eastAsia="en-US"/>
        </w:rPr>
        <w:t xml:space="preserve"> </w:t>
      </w:r>
      <w:r w:rsidRPr="00AD2D84">
        <w:rPr>
          <w:rFonts w:ascii="Calibri" w:eastAsia="Times New Roman" w:hAnsi="Calibri" w:cs="Calibri"/>
          <w:color w:val="000000"/>
          <w:sz w:val="22"/>
          <w:szCs w:val="22"/>
          <w:lang w:eastAsia="en-US"/>
        </w:rPr>
        <w:t>or 60-day (p =</w:t>
      </w:r>
      <w:r w:rsidR="00AA5382">
        <w:rPr>
          <w:rFonts w:ascii="Calibri" w:eastAsia="Times New Roman" w:hAnsi="Calibri" w:cs="Calibri"/>
          <w:color w:val="000000"/>
          <w:sz w:val="22"/>
          <w:szCs w:val="22"/>
          <w:lang w:eastAsia="en-US"/>
        </w:rPr>
        <w:t xml:space="preserve"> </w:t>
      </w:r>
      <w:r w:rsidR="0083682C" w:rsidRPr="00AD2D84">
        <w:rPr>
          <w:rFonts w:ascii="Calibri" w:eastAsia="Times New Roman" w:hAnsi="Calibri" w:cs="Calibri"/>
          <w:color w:val="000000"/>
          <w:sz w:val="22"/>
          <w:szCs w:val="22"/>
          <w:lang w:eastAsia="en-US"/>
        </w:rPr>
        <w:t>0.476</w:t>
      </w:r>
      <w:r w:rsidRPr="00AD2D84">
        <w:rPr>
          <w:rFonts w:ascii="Calibri" w:eastAsia="Times New Roman" w:hAnsi="Calibri" w:cs="Calibri"/>
          <w:color w:val="000000"/>
          <w:sz w:val="22"/>
          <w:szCs w:val="22"/>
          <w:lang w:eastAsia="en-US"/>
        </w:rPr>
        <w:t> ) follow-up for PCL-5. However, repeated-measures ANOVA does suggest a significant main effect of time (p</w:t>
      </w:r>
      <w:r w:rsidR="00AA5382">
        <w:rPr>
          <w:rFonts w:ascii="Calibri" w:eastAsia="Times New Roman" w:hAnsi="Calibri" w:cs="Calibri"/>
          <w:color w:val="000000"/>
          <w:sz w:val="22"/>
          <w:szCs w:val="22"/>
          <w:lang w:eastAsia="en-US"/>
        </w:rPr>
        <w:t xml:space="preserve"> </w:t>
      </w:r>
      <w:r w:rsidRPr="00AD2D84">
        <w:rPr>
          <w:rFonts w:ascii="Calibri" w:eastAsia="Times New Roman" w:hAnsi="Calibri" w:cs="Calibri"/>
          <w:color w:val="000000"/>
          <w:sz w:val="22"/>
          <w:szCs w:val="22"/>
          <w:lang w:eastAsia="en-US"/>
        </w:rPr>
        <w:t>&lt;</w:t>
      </w:r>
      <w:r w:rsidR="00AA5382">
        <w:rPr>
          <w:rFonts w:ascii="Calibri" w:eastAsia="Times New Roman" w:hAnsi="Calibri" w:cs="Calibri"/>
          <w:color w:val="000000"/>
          <w:sz w:val="22"/>
          <w:szCs w:val="22"/>
          <w:lang w:eastAsia="en-US"/>
        </w:rPr>
        <w:t xml:space="preserve"> </w:t>
      </w:r>
      <w:r w:rsidRPr="00AD2D84">
        <w:rPr>
          <w:rFonts w:ascii="Calibri" w:eastAsia="Times New Roman" w:hAnsi="Calibri" w:cs="Calibri"/>
          <w:color w:val="000000"/>
          <w:sz w:val="22"/>
          <w:szCs w:val="22"/>
          <w:lang w:eastAsia="en-US"/>
        </w:rPr>
        <w:t>0.001) without an interaction between time and intervention (p =</w:t>
      </w:r>
      <w:r w:rsidR="0083682C" w:rsidRPr="00AD2D84">
        <w:rPr>
          <w:rFonts w:ascii="Calibri" w:eastAsia="Times New Roman" w:hAnsi="Calibri" w:cs="Calibri"/>
          <w:color w:val="000000"/>
          <w:sz w:val="22"/>
          <w:szCs w:val="22"/>
          <w:lang w:eastAsia="en-US"/>
        </w:rPr>
        <w:t xml:space="preserve"> 0.352</w:t>
      </w:r>
      <w:r w:rsidR="00576FC0">
        <w:rPr>
          <w:rFonts w:ascii="Calibri" w:eastAsia="Times New Roman" w:hAnsi="Calibri" w:cs="Calibri"/>
          <w:color w:val="000000"/>
          <w:sz w:val="22"/>
          <w:szCs w:val="22"/>
          <w:lang w:eastAsia="en-US"/>
        </w:rPr>
        <w:t>).</w:t>
      </w:r>
    </w:p>
    <w:p w14:paraId="0B41EFBF" w14:textId="77777777" w:rsidR="00CD17DE" w:rsidRDefault="00CD17DE" w:rsidP="00245064"/>
    <w:p w14:paraId="6F4F8F91" w14:textId="6D233B44" w:rsidR="00CD17DE" w:rsidRDefault="00CD17DE" w:rsidP="00245064"/>
    <w:p w14:paraId="7BA59E8E" w14:textId="59446850" w:rsidR="00B44A18" w:rsidRPr="00B44A18" w:rsidRDefault="00B44A18" w:rsidP="00245064">
      <w:pPr>
        <w:rPr>
          <w:b/>
        </w:rPr>
      </w:pPr>
      <w:r w:rsidRPr="00B44A18">
        <w:rPr>
          <w:b/>
        </w:rPr>
        <w:t>Reference</w:t>
      </w:r>
      <w:r w:rsidR="00B31499">
        <w:rPr>
          <w:b/>
        </w:rPr>
        <w:t>s</w:t>
      </w:r>
    </w:p>
    <w:p w14:paraId="4528B5FD" w14:textId="77777777" w:rsidR="008D42D3" w:rsidRPr="008D42D3" w:rsidRDefault="00CD17DE" w:rsidP="008D42D3">
      <w:pPr>
        <w:pStyle w:val="EndNoteBibliography"/>
        <w:ind w:left="720" w:hanging="720"/>
      </w:pPr>
      <w:r>
        <w:fldChar w:fldCharType="begin"/>
      </w:r>
      <w:r>
        <w:instrText xml:space="preserve"> ADDIN EN.REFLIST </w:instrText>
      </w:r>
      <w:r>
        <w:fldChar w:fldCharType="separate"/>
      </w:r>
      <w:r w:rsidR="008D42D3" w:rsidRPr="008D42D3">
        <w:t>1.</w:t>
      </w:r>
      <w:r w:rsidR="008D42D3" w:rsidRPr="008D42D3">
        <w:tab/>
        <w:t>Jacobs E. Progressive relaxation: physiological and clinical investigation of muscular states and their significance in psychology and medical practice. University of Chicago Press, Chicago1929.</w:t>
      </w:r>
    </w:p>
    <w:p w14:paraId="6A491540" w14:textId="77777777" w:rsidR="008D42D3" w:rsidRPr="008D42D3" w:rsidRDefault="008D42D3" w:rsidP="008D42D3">
      <w:pPr>
        <w:pStyle w:val="EndNoteBibliography"/>
      </w:pPr>
    </w:p>
    <w:p w14:paraId="1363FF68" w14:textId="77777777" w:rsidR="008D42D3" w:rsidRPr="008D42D3" w:rsidRDefault="008D42D3" w:rsidP="008D42D3">
      <w:pPr>
        <w:pStyle w:val="EndNoteBibliography"/>
        <w:ind w:left="720" w:hanging="720"/>
      </w:pPr>
      <w:r w:rsidRPr="008D42D3">
        <w:t>2.</w:t>
      </w:r>
      <w:r w:rsidRPr="008D42D3">
        <w:tab/>
        <w:t xml:space="preserve">Brown KW, Ryan RM. The benefits of being present: mindfulness and its role in psychological well-being. </w:t>
      </w:r>
      <w:r w:rsidRPr="008D42D3">
        <w:rPr>
          <w:i/>
        </w:rPr>
        <w:t>Journal of personality and social psychology</w:t>
      </w:r>
      <w:r w:rsidRPr="008D42D3">
        <w:t xml:space="preserve"> 2003; </w:t>
      </w:r>
      <w:r w:rsidRPr="008D42D3">
        <w:rPr>
          <w:b/>
        </w:rPr>
        <w:t>84</w:t>
      </w:r>
      <w:r w:rsidRPr="008D42D3">
        <w:t>(4)</w:t>
      </w:r>
      <w:r w:rsidRPr="008D42D3">
        <w:rPr>
          <w:b/>
        </w:rPr>
        <w:t xml:space="preserve">: </w:t>
      </w:r>
      <w:r w:rsidRPr="008D42D3">
        <w:t>822.</w:t>
      </w:r>
    </w:p>
    <w:p w14:paraId="779CF341" w14:textId="77777777" w:rsidR="008D42D3" w:rsidRPr="008D42D3" w:rsidRDefault="008D42D3" w:rsidP="008D42D3">
      <w:pPr>
        <w:pStyle w:val="EndNoteBibliography"/>
      </w:pPr>
    </w:p>
    <w:p w14:paraId="55EBBC0E" w14:textId="77777777" w:rsidR="008D42D3" w:rsidRPr="008D42D3" w:rsidRDefault="008D42D3" w:rsidP="008D42D3">
      <w:pPr>
        <w:pStyle w:val="EndNoteBibliography"/>
        <w:ind w:left="720" w:hanging="720"/>
      </w:pPr>
      <w:r w:rsidRPr="008D42D3">
        <w:t>3.</w:t>
      </w:r>
      <w:r w:rsidRPr="008D42D3">
        <w:tab/>
        <w:t>Buhle JT, Silvers JA, Wager TD, Lopez R, Onyemekwu C, Kober H</w:t>
      </w:r>
      <w:r w:rsidRPr="008D42D3">
        <w:rPr>
          <w:i/>
        </w:rPr>
        <w:t xml:space="preserve"> et al.</w:t>
      </w:r>
      <w:r w:rsidRPr="008D42D3">
        <w:t xml:space="preserve"> Cognitive reappraisal of emotion: a meta-analysis of human neuroimaging studies. </w:t>
      </w:r>
      <w:r w:rsidRPr="008D42D3">
        <w:rPr>
          <w:i/>
        </w:rPr>
        <w:t>Cerebral cortex</w:t>
      </w:r>
      <w:r w:rsidRPr="008D42D3">
        <w:t xml:space="preserve"> 2014; </w:t>
      </w:r>
      <w:r w:rsidRPr="008D42D3">
        <w:rPr>
          <w:b/>
        </w:rPr>
        <w:t>24</w:t>
      </w:r>
      <w:r w:rsidRPr="008D42D3">
        <w:t>(11)</w:t>
      </w:r>
      <w:r w:rsidRPr="008D42D3">
        <w:rPr>
          <w:b/>
        </w:rPr>
        <w:t xml:space="preserve">: </w:t>
      </w:r>
      <w:r w:rsidRPr="008D42D3">
        <w:t>2981-2990.</w:t>
      </w:r>
    </w:p>
    <w:p w14:paraId="6D44468F" w14:textId="77777777" w:rsidR="008D42D3" w:rsidRPr="008D42D3" w:rsidRDefault="008D42D3" w:rsidP="008D42D3">
      <w:pPr>
        <w:pStyle w:val="EndNoteBibliography"/>
      </w:pPr>
    </w:p>
    <w:p w14:paraId="7B93FF8E" w14:textId="77777777" w:rsidR="008D42D3" w:rsidRPr="008D42D3" w:rsidRDefault="008D42D3" w:rsidP="008D42D3">
      <w:pPr>
        <w:pStyle w:val="EndNoteBibliography"/>
        <w:ind w:left="720" w:hanging="720"/>
      </w:pPr>
      <w:r w:rsidRPr="008D42D3">
        <w:t>4.</w:t>
      </w:r>
      <w:r w:rsidRPr="008D42D3">
        <w:tab/>
        <w:t xml:space="preserve">Friston KJ, Williams S, Howard R, Frackowiak RS, Turner R. Movement-related effects in fMRI time-series. </w:t>
      </w:r>
      <w:r w:rsidRPr="008D42D3">
        <w:rPr>
          <w:i/>
        </w:rPr>
        <w:t>Magn Reson Med</w:t>
      </w:r>
      <w:r w:rsidRPr="008D42D3">
        <w:t xml:space="preserve"> 1996; </w:t>
      </w:r>
      <w:r w:rsidRPr="008D42D3">
        <w:rPr>
          <w:b/>
        </w:rPr>
        <w:t>35</w:t>
      </w:r>
      <w:r w:rsidRPr="008D42D3">
        <w:t>(3)</w:t>
      </w:r>
      <w:r w:rsidRPr="008D42D3">
        <w:rPr>
          <w:b/>
        </w:rPr>
        <w:t xml:space="preserve">: </w:t>
      </w:r>
      <w:r w:rsidRPr="008D42D3">
        <w:t>346-355.</w:t>
      </w:r>
    </w:p>
    <w:p w14:paraId="174068E9" w14:textId="77777777" w:rsidR="008D42D3" w:rsidRPr="008D42D3" w:rsidRDefault="008D42D3" w:rsidP="008D42D3">
      <w:pPr>
        <w:pStyle w:val="EndNoteBibliography"/>
      </w:pPr>
    </w:p>
    <w:p w14:paraId="1C11BED9" w14:textId="77BFE1A5" w:rsidR="00063F67" w:rsidRPr="00245064" w:rsidRDefault="00CD17DE" w:rsidP="00245064">
      <w:r>
        <w:fldChar w:fldCharType="end"/>
      </w:r>
    </w:p>
    <w:sectPr w:rsidR="00063F67" w:rsidRPr="00245064" w:rsidSect="00F7773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2DA21" w14:textId="77777777" w:rsidR="000C39A4" w:rsidRDefault="000C39A4" w:rsidP="00542631">
      <w:r>
        <w:separator/>
      </w:r>
    </w:p>
  </w:endnote>
  <w:endnote w:type="continuationSeparator" w:id="0">
    <w:p w14:paraId="7C5D4ACE" w14:textId="77777777" w:rsidR="000C39A4" w:rsidRDefault="000C39A4" w:rsidP="00542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604020202020204"/>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2A242" w14:textId="77777777" w:rsidR="000C39A4" w:rsidRDefault="000C39A4" w:rsidP="00542631">
      <w:r>
        <w:separator/>
      </w:r>
    </w:p>
  </w:footnote>
  <w:footnote w:type="continuationSeparator" w:id="0">
    <w:p w14:paraId="18E99098" w14:textId="77777777" w:rsidR="000C39A4" w:rsidRDefault="000C39A4" w:rsidP="005426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90578"/>
    <w:multiLevelType w:val="hybridMultilevel"/>
    <w:tmpl w:val="EAFAF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9312E9"/>
    <w:multiLevelType w:val="multilevel"/>
    <w:tmpl w:val="5696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EA56EB"/>
    <w:multiLevelType w:val="multilevel"/>
    <w:tmpl w:val="99AA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0863507">
    <w:abstractNumId w:val="1"/>
  </w:num>
  <w:num w:numId="2" w16cid:durableId="1182477949">
    <w:abstractNumId w:val="2"/>
  </w:num>
  <w:num w:numId="3" w16cid:durableId="160957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olecular Psychiatry updated&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awe209d6p5v9weatervrxxvfxrxrsrpwvzz&quot;&gt;My EndNote Library&lt;record-ids&gt;&lt;item&gt;851&lt;/item&gt;&lt;/record-ids&gt;&lt;/item&gt;&lt;/Libraries&gt;"/>
  </w:docVars>
  <w:rsids>
    <w:rsidRoot w:val="00245064"/>
    <w:rsid w:val="00017F7F"/>
    <w:rsid w:val="00032B29"/>
    <w:rsid w:val="00036F4C"/>
    <w:rsid w:val="000413C1"/>
    <w:rsid w:val="00054D9C"/>
    <w:rsid w:val="000614E3"/>
    <w:rsid w:val="0006256E"/>
    <w:rsid w:val="00063F67"/>
    <w:rsid w:val="00066D1B"/>
    <w:rsid w:val="0008457F"/>
    <w:rsid w:val="00092EF0"/>
    <w:rsid w:val="000A2275"/>
    <w:rsid w:val="000A2926"/>
    <w:rsid w:val="000A4C5A"/>
    <w:rsid w:val="000A7261"/>
    <w:rsid w:val="000C39A4"/>
    <w:rsid w:val="000D5EB5"/>
    <w:rsid w:val="000E36CA"/>
    <w:rsid w:val="000E44F4"/>
    <w:rsid w:val="00105466"/>
    <w:rsid w:val="00121076"/>
    <w:rsid w:val="00122A4A"/>
    <w:rsid w:val="001361E8"/>
    <w:rsid w:val="00162B60"/>
    <w:rsid w:val="00192739"/>
    <w:rsid w:val="001B3C0E"/>
    <w:rsid w:val="001B4423"/>
    <w:rsid w:val="001C6204"/>
    <w:rsid w:val="001C6399"/>
    <w:rsid w:val="001E4B3D"/>
    <w:rsid w:val="001E75C6"/>
    <w:rsid w:val="001F39CF"/>
    <w:rsid w:val="002024EA"/>
    <w:rsid w:val="002079E8"/>
    <w:rsid w:val="00211A58"/>
    <w:rsid w:val="00222D23"/>
    <w:rsid w:val="00226622"/>
    <w:rsid w:val="002361ED"/>
    <w:rsid w:val="00242432"/>
    <w:rsid w:val="00245064"/>
    <w:rsid w:val="002629F9"/>
    <w:rsid w:val="0027724C"/>
    <w:rsid w:val="00287EDF"/>
    <w:rsid w:val="00296753"/>
    <w:rsid w:val="002B4BB4"/>
    <w:rsid w:val="002C40FD"/>
    <w:rsid w:val="002D2D62"/>
    <w:rsid w:val="002E221D"/>
    <w:rsid w:val="00314FAD"/>
    <w:rsid w:val="003176FD"/>
    <w:rsid w:val="00317EFB"/>
    <w:rsid w:val="00324239"/>
    <w:rsid w:val="003255C1"/>
    <w:rsid w:val="0032615F"/>
    <w:rsid w:val="0033201E"/>
    <w:rsid w:val="0035249D"/>
    <w:rsid w:val="003601D9"/>
    <w:rsid w:val="00365258"/>
    <w:rsid w:val="00373235"/>
    <w:rsid w:val="003871E8"/>
    <w:rsid w:val="00397383"/>
    <w:rsid w:val="003A238C"/>
    <w:rsid w:val="003A5408"/>
    <w:rsid w:val="003A683D"/>
    <w:rsid w:val="003B69DB"/>
    <w:rsid w:val="003B7404"/>
    <w:rsid w:val="003C1A06"/>
    <w:rsid w:val="003C4530"/>
    <w:rsid w:val="003E529D"/>
    <w:rsid w:val="00416CA0"/>
    <w:rsid w:val="00430394"/>
    <w:rsid w:val="00433C83"/>
    <w:rsid w:val="00442792"/>
    <w:rsid w:val="004518AF"/>
    <w:rsid w:val="004540E4"/>
    <w:rsid w:val="004656F3"/>
    <w:rsid w:val="0048733F"/>
    <w:rsid w:val="004950E2"/>
    <w:rsid w:val="004A741B"/>
    <w:rsid w:val="004B6893"/>
    <w:rsid w:val="004C151B"/>
    <w:rsid w:val="004C40AB"/>
    <w:rsid w:val="004D7239"/>
    <w:rsid w:val="004E2586"/>
    <w:rsid w:val="004E33C3"/>
    <w:rsid w:val="004F20D5"/>
    <w:rsid w:val="004F2D8F"/>
    <w:rsid w:val="005071FB"/>
    <w:rsid w:val="0050771B"/>
    <w:rsid w:val="00514D81"/>
    <w:rsid w:val="00516E10"/>
    <w:rsid w:val="00517784"/>
    <w:rsid w:val="00520815"/>
    <w:rsid w:val="00521488"/>
    <w:rsid w:val="005240E8"/>
    <w:rsid w:val="00540110"/>
    <w:rsid w:val="00542631"/>
    <w:rsid w:val="00544715"/>
    <w:rsid w:val="005537C5"/>
    <w:rsid w:val="0057304B"/>
    <w:rsid w:val="00576FC0"/>
    <w:rsid w:val="005820FD"/>
    <w:rsid w:val="00594156"/>
    <w:rsid w:val="005D6A23"/>
    <w:rsid w:val="005E0D7E"/>
    <w:rsid w:val="00644421"/>
    <w:rsid w:val="00652D96"/>
    <w:rsid w:val="0069317F"/>
    <w:rsid w:val="00693DCD"/>
    <w:rsid w:val="00697EA4"/>
    <w:rsid w:val="006D1A48"/>
    <w:rsid w:val="006E210F"/>
    <w:rsid w:val="006E3C51"/>
    <w:rsid w:val="006E592F"/>
    <w:rsid w:val="006F1742"/>
    <w:rsid w:val="007054E3"/>
    <w:rsid w:val="0071291F"/>
    <w:rsid w:val="00732E7B"/>
    <w:rsid w:val="00735B0E"/>
    <w:rsid w:val="0074192E"/>
    <w:rsid w:val="007553F2"/>
    <w:rsid w:val="00766ED0"/>
    <w:rsid w:val="00771C3E"/>
    <w:rsid w:val="00774086"/>
    <w:rsid w:val="007A758A"/>
    <w:rsid w:val="007B6C26"/>
    <w:rsid w:val="007E7874"/>
    <w:rsid w:val="008007E3"/>
    <w:rsid w:val="00801541"/>
    <w:rsid w:val="008143AC"/>
    <w:rsid w:val="00814E7F"/>
    <w:rsid w:val="0083682C"/>
    <w:rsid w:val="00841417"/>
    <w:rsid w:val="008524E5"/>
    <w:rsid w:val="008619BC"/>
    <w:rsid w:val="00865389"/>
    <w:rsid w:val="00867B3F"/>
    <w:rsid w:val="00870E1A"/>
    <w:rsid w:val="008869B5"/>
    <w:rsid w:val="00893E85"/>
    <w:rsid w:val="008A3529"/>
    <w:rsid w:val="008D42D3"/>
    <w:rsid w:val="008E2006"/>
    <w:rsid w:val="008E35A0"/>
    <w:rsid w:val="00914FEF"/>
    <w:rsid w:val="00937586"/>
    <w:rsid w:val="0094737F"/>
    <w:rsid w:val="00953110"/>
    <w:rsid w:val="009564C6"/>
    <w:rsid w:val="0095797C"/>
    <w:rsid w:val="00962CD4"/>
    <w:rsid w:val="0097495B"/>
    <w:rsid w:val="00984AF2"/>
    <w:rsid w:val="00992447"/>
    <w:rsid w:val="0099666E"/>
    <w:rsid w:val="009B052F"/>
    <w:rsid w:val="009B12CE"/>
    <w:rsid w:val="009B216F"/>
    <w:rsid w:val="009B7D16"/>
    <w:rsid w:val="009C4990"/>
    <w:rsid w:val="009D0130"/>
    <w:rsid w:val="009D4CAD"/>
    <w:rsid w:val="009D6FBD"/>
    <w:rsid w:val="009E220B"/>
    <w:rsid w:val="009E41E9"/>
    <w:rsid w:val="009F1E67"/>
    <w:rsid w:val="00A03E8B"/>
    <w:rsid w:val="00A14BD1"/>
    <w:rsid w:val="00A17B88"/>
    <w:rsid w:val="00A61737"/>
    <w:rsid w:val="00A66456"/>
    <w:rsid w:val="00A67715"/>
    <w:rsid w:val="00A760D0"/>
    <w:rsid w:val="00A77EC8"/>
    <w:rsid w:val="00A87C14"/>
    <w:rsid w:val="00AA5382"/>
    <w:rsid w:val="00AA7D5E"/>
    <w:rsid w:val="00AC57C5"/>
    <w:rsid w:val="00AD2D84"/>
    <w:rsid w:val="00AE0CFB"/>
    <w:rsid w:val="00AE44E6"/>
    <w:rsid w:val="00AE4EF2"/>
    <w:rsid w:val="00AE710E"/>
    <w:rsid w:val="00B01B57"/>
    <w:rsid w:val="00B31499"/>
    <w:rsid w:val="00B338B0"/>
    <w:rsid w:val="00B44A18"/>
    <w:rsid w:val="00B566E6"/>
    <w:rsid w:val="00B571C2"/>
    <w:rsid w:val="00B578E1"/>
    <w:rsid w:val="00B634F2"/>
    <w:rsid w:val="00B71235"/>
    <w:rsid w:val="00B75BB0"/>
    <w:rsid w:val="00B9182D"/>
    <w:rsid w:val="00B951D1"/>
    <w:rsid w:val="00BB21C7"/>
    <w:rsid w:val="00BC153E"/>
    <w:rsid w:val="00BE58F5"/>
    <w:rsid w:val="00BF0332"/>
    <w:rsid w:val="00C02687"/>
    <w:rsid w:val="00C26032"/>
    <w:rsid w:val="00C301FC"/>
    <w:rsid w:val="00C43D84"/>
    <w:rsid w:val="00C47E35"/>
    <w:rsid w:val="00C750BC"/>
    <w:rsid w:val="00C778E2"/>
    <w:rsid w:val="00C833CE"/>
    <w:rsid w:val="00C97078"/>
    <w:rsid w:val="00CB3209"/>
    <w:rsid w:val="00CD17DE"/>
    <w:rsid w:val="00CD1A26"/>
    <w:rsid w:val="00CE0F03"/>
    <w:rsid w:val="00CF472B"/>
    <w:rsid w:val="00D01014"/>
    <w:rsid w:val="00D06111"/>
    <w:rsid w:val="00D153A9"/>
    <w:rsid w:val="00D2715A"/>
    <w:rsid w:val="00D50CE3"/>
    <w:rsid w:val="00D726E9"/>
    <w:rsid w:val="00D86158"/>
    <w:rsid w:val="00D9019E"/>
    <w:rsid w:val="00D95B8A"/>
    <w:rsid w:val="00DA3AAF"/>
    <w:rsid w:val="00DB5362"/>
    <w:rsid w:val="00DC217A"/>
    <w:rsid w:val="00E02FC2"/>
    <w:rsid w:val="00E0513C"/>
    <w:rsid w:val="00E21FE1"/>
    <w:rsid w:val="00E37906"/>
    <w:rsid w:val="00E5452E"/>
    <w:rsid w:val="00E73CD6"/>
    <w:rsid w:val="00E85774"/>
    <w:rsid w:val="00E85890"/>
    <w:rsid w:val="00EE3CC2"/>
    <w:rsid w:val="00EE5185"/>
    <w:rsid w:val="00EE57A7"/>
    <w:rsid w:val="00EE5B99"/>
    <w:rsid w:val="00EF1456"/>
    <w:rsid w:val="00EF39F8"/>
    <w:rsid w:val="00EF6CBC"/>
    <w:rsid w:val="00F32991"/>
    <w:rsid w:val="00F42A72"/>
    <w:rsid w:val="00F47433"/>
    <w:rsid w:val="00F52B23"/>
    <w:rsid w:val="00F616DA"/>
    <w:rsid w:val="00F618A4"/>
    <w:rsid w:val="00F70605"/>
    <w:rsid w:val="00F7773C"/>
    <w:rsid w:val="00F85955"/>
    <w:rsid w:val="00F86AA1"/>
    <w:rsid w:val="00F97683"/>
    <w:rsid w:val="00FA020A"/>
    <w:rsid w:val="00FA3A78"/>
    <w:rsid w:val="00FB2F59"/>
    <w:rsid w:val="00FE1A0C"/>
    <w:rsid w:val="00FF0A8C"/>
    <w:rsid w:val="00FF254D"/>
    <w:rsid w:val="00FF48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AE278"/>
  <w15:chartTrackingRefBased/>
  <w15:docId w15:val="{BF2E8978-055C-7346-BBBB-52CD66D9B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50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506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0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5064"/>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542631"/>
    <w:pPr>
      <w:tabs>
        <w:tab w:val="center" w:pos="4680"/>
        <w:tab w:val="right" w:pos="9360"/>
      </w:tabs>
    </w:pPr>
  </w:style>
  <w:style w:type="character" w:customStyle="1" w:styleId="HeaderChar">
    <w:name w:val="Header Char"/>
    <w:basedOn w:val="DefaultParagraphFont"/>
    <w:link w:val="Header"/>
    <w:uiPriority w:val="99"/>
    <w:rsid w:val="00542631"/>
  </w:style>
  <w:style w:type="paragraph" w:styleId="Footer">
    <w:name w:val="footer"/>
    <w:basedOn w:val="Normal"/>
    <w:link w:val="FooterChar"/>
    <w:uiPriority w:val="99"/>
    <w:unhideWhenUsed/>
    <w:rsid w:val="00542631"/>
    <w:pPr>
      <w:tabs>
        <w:tab w:val="center" w:pos="4680"/>
        <w:tab w:val="right" w:pos="9360"/>
      </w:tabs>
    </w:pPr>
  </w:style>
  <w:style w:type="character" w:customStyle="1" w:styleId="FooterChar">
    <w:name w:val="Footer Char"/>
    <w:basedOn w:val="DefaultParagraphFont"/>
    <w:link w:val="Footer"/>
    <w:uiPriority w:val="99"/>
    <w:rsid w:val="00542631"/>
  </w:style>
  <w:style w:type="paragraph" w:styleId="BalloonText">
    <w:name w:val="Balloon Text"/>
    <w:basedOn w:val="Normal"/>
    <w:link w:val="BalloonTextChar"/>
    <w:uiPriority w:val="99"/>
    <w:semiHidden/>
    <w:unhideWhenUsed/>
    <w:rsid w:val="00CD17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7DE"/>
    <w:rPr>
      <w:rFonts w:ascii="Segoe UI" w:hAnsi="Segoe UI" w:cs="Segoe UI"/>
      <w:sz w:val="18"/>
      <w:szCs w:val="18"/>
    </w:rPr>
  </w:style>
  <w:style w:type="paragraph" w:customStyle="1" w:styleId="EndNoteBibliographyTitle">
    <w:name w:val="EndNote Bibliography Title"/>
    <w:basedOn w:val="Normal"/>
    <w:link w:val="EndNoteBibliographyTitleChar"/>
    <w:rsid w:val="00CD17DE"/>
    <w:pPr>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CD17DE"/>
    <w:rPr>
      <w:rFonts w:ascii="Calibri" w:hAnsi="Calibri" w:cs="Calibri"/>
      <w:noProof/>
    </w:rPr>
  </w:style>
  <w:style w:type="paragraph" w:customStyle="1" w:styleId="EndNoteBibliography">
    <w:name w:val="EndNote Bibliography"/>
    <w:basedOn w:val="Normal"/>
    <w:link w:val="EndNoteBibliographyChar"/>
    <w:rsid w:val="00CD17DE"/>
    <w:rPr>
      <w:rFonts w:ascii="Calibri" w:hAnsi="Calibri" w:cs="Calibri"/>
      <w:noProof/>
    </w:rPr>
  </w:style>
  <w:style w:type="character" w:customStyle="1" w:styleId="EndNoteBibliographyChar">
    <w:name w:val="EndNote Bibliography Char"/>
    <w:basedOn w:val="DefaultParagraphFont"/>
    <w:link w:val="EndNoteBibliography"/>
    <w:rsid w:val="00CD17DE"/>
    <w:rPr>
      <w:rFonts w:ascii="Calibri" w:hAnsi="Calibri" w:cs="Calibri"/>
      <w:noProof/>
    </w:rPr>
  </w:style>
  <w:style w:type="character" w:styleId="CommentReference">
    <w:name w:val="annotation reference"/>
    <w:basedOn w:val="DefaultParagraphFont"/>
    <w:uiPriority w:val="99"/>
    <w:semiHidden/>
    <w:unhideWhenUsed/>
    <w:rsid w:val="00841417"/>
    <w:rPr>
      <w:sz w:val="16"/>
      <w:szCs w:val="16"/>
    </w:rPr>
  </w:style>
  <w:style w:type="paragraph" w:styleId="CommentText">
    <w:name w:val="annotation text"/>
    <w:basedOn w:val="Normal"/>
    <w:link w:val="CommentTextChar"/>
    <w:uiPriority w:val="99"/>
    <w:unhideWhenUsed/>
    <w:rsid w:val="00841417"/>
    <w:rPr>
      <w:sz w:val="20"/>
      <w:szCs w:val="20"/>
    </w:rPr>
  </w:style>
  <w:style w:type="character" w:customStyle="1" w:styleId="CommentTextChar">
    <w:name w:val="Comment Text Char"/>
    <w:basedOn w:val="DefaultParagraphFont"/>
    <w:link w:val="CommentText"/>
    <w:uiPriority w:val="99"/>
    <w:rsid w:val="00841417"/>
    <w:rPr>
      <w:sz w:val="20"/>
      <w:szCs w:val="20"/>
    </w:rPr>
  </w:style>
  <w:style w:type="paragraph" w:styleId="CommentSubject">
    <w:name w:val="annotation subject"/>
    <w:basedOn w:val="CommentText"/>
    <w:next w:val="CommentText"/>
    <w:link w:val="CommentSubjectChar"/>
    <w:uiPriority w:val="99"/>
    <w:semiHidden/>
    <w:unhideWhenUsed/>
    <w:rsid w:val="00841417"/>
    <w:rPr>
      <w:b/>
      <w:bCs/>
    </w:rPr>
  </w:style>
  <w:style w:type="character" w:customStyle="1" w:styleId="CommentSubjectChar">
    <w:name w:val="Comment Subject Char"/>
    <w:basedOn w:val="CommentTextChar"/>
    <w:link w:val="CommentSubject"/>
    <w:uiPriority w:val="99"/>
    <w:semiHidden/>
    <w:rsid w:val="00841417"/>
    <w:rPr>
      <w:b/>
      <w:bCs/>
      <w:sz w:val="20"/>
      <w:szCs w:val="20"/>
    </w:rPr>
  </w:style>
  <w:style w:type="paragraph" w:styleId="NormalWeb">
    <w:name w:val="Normal (Web)"/>
    <w:basedOn w:val="Normal"/>
    <w:uiPriority w:val="99"/>
    <w:semiHidden/>
    <w:unhideWhenUsed/>
    <w:rsid w:val="009E41E9"/>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E41E9"/>
    <w:rPr>
      <w:color w:val="0563C1" w:themeColor="hyperlink"/>
      <w:u w:val="single"/>
    </w:rPr>
  </w:style>
  <w:style w:type="character" w:styleId="UnresolvedMention">
    <w:name w:val="Unresolved Mention"/>
    <w:basedOn w:val="DefaultParagraphFont"/>
    <w:uiPriority w:val="99"/>
    <w:semiHidden/>
    <w:unhideWhenUsed/>
    <w:rsid w:val="009E41E9"/>
    <w:rPr>
      <w:color w:val="605E5C"/>
      <w:shd w:val="clear" w:color="auto" w:fill="E1DFDD"/>
    </w:rPr>
  </w:style>
  <w:style w:type="paragraph" w:styleId="Revision">
    <w:name w:val="Revision"/>
    <w:hidden/>
    <w:uiPriority w:val="99"/>
    <w:semiHidden/>
    <w:rsid w:val="0048733F"/>
  </w:style>
  <w:style w:type="character" w:customStyle="1" w:styleId="apple-converted-space">
    <w:name w:val="apple-converted-space"/>
    <w:basedOn w:val="DefaultParagraphFont"/>
    <w:rsid w:val="00C30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82347">
      <w:bodyDiv w:val="1"/>
      <w:marLeft w:val="0"/>
      <w:marRight w:val="0"/>
      <w:marTop w:val="0"/>
      <w:marBottom w:val="0"/>
      <w:divBdr>
        <w:top w:val="none" w:sz="0" w:space="0" w:color="auto"/>
        <w:left w:val="none" w:sz="0" w:space="0" w:color="auto"/>
        <w:bottom w:val="none" w:sz="0" w:space="0" w:color="auto"/>
        <w:right w:val="none" w:sz="0" w:space="0" w:color="auto"/>
      </w:divBdr>
    </w:div>
    <w:div w:id="418412127">
      <w:bodyDiv w:val="1"/>
      <w:marLeft w:val="0"/>
      <w:marRight w:val="0"/>
      <w:marTop w:val="0"/>
      <w:marBottom w:val="0"/>
      <w:divBdr>
        <w:top w:val="none" w:sz="0" w:space="0" w:color="auto"/>
        <w:left w:val="none" w:sz="0" w:space="0" w:color="auto"/>
        <w:bottom w:val="none" w:sz="0" w:space="0" w:color="auto"/>
        <w:right w:val="none" w:sz="0" w:space="0" w:color="auto"/>
      </w:divBdr>
    </w:div>
    <w:div w:id="608900545">
      <w:bodyDiv w:val="1"/>
      <w:marLeft w:val="0"/>
      <w:marRight w:val="0"/>
      <w:marTop w:val="0"/>
      <w:marBottom w:val="0"/>
      <w:divBdr>
        <w:top w:val="none" w:sz="0" w:space="0" w:color="auto"/>
        <w:left w:val="none" w:sz="0" w:space="0" w:color="auto"/>
        <w:bottom w:val="none" w:sz="0" w:space="0" w:color="auto"/>
        <w:right w:val="none" w:sz="0" w:space="0" w:color="auto"/>
      </w:divBdr>
    </w:div>
    <w:div w:id="1031610100">
      <w:bodyDiv w:val="1"/>
      <w:marLeft w:val="0"/>
      <w:marRight w:val="0"/>
      <w:marTop w:val="0"/>
      <w:marBottom w:val="0"/>
      <w:divBdr>
        <w:top w:val="none" w:sz="0" w:space="0" w:color="auto"/>
        <w:left w:val="none" w:sz="0" w:space="0" w:color="auto"/>
        <w:bottom w:val="none" w:sz="0" w:space="0" w:color="auto"/>
        <w:right w:val="none" w:sz="0" w:space="0" w:color="auto"/>
      </w:divBdr>
    </w:div>
    <w:div w:id="121176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inicaltrials.gov/ct2/show/NCT0357497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ABD19-C2F5-C04E-A30C-CE3ECEC9C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2047</Words>
  <Characters>11670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Zhao, Charles</dc:creator>
  <cp:keywords/>
  <dc:description/>
  <cp:lastModifiedBy>Zhao, Charles</cp:lastModifiedBy>
  <cp:revision>6</cp:revision>
  <dcterms:created xsi:type="dcterms:W3CDTF">2023-03-29T12:27:00Z</dcterms:created>
  <dcterms:modified xsi:type="dcterms:W3CDTF">2023-04-04T08:18:00Z</dcterms:modified>
</cp:coreProperties>
</file>