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CD9AA" w14:textId="724543DC" w:rsidR="00175D49" w:rsidRPr="001B7A24" w:rsidRDefault="00175D49" w:rsidP="00D617D5">
      <w:pPr>
        <w:spacing w:line="360" w:lineRule="auto"/>
        <w:jc w:val="center"/>
        <w:rPr>
          <w:rFonts w:ascii="Times New Roman" w:eastAsia="Times New Roman" w:hAnsi="Times New Roman" w:cs="Times New Roman"/>
          <w:b/>
          <w:bCs/>
          <w:color w:val="000000"/>
          <w:sz w:val="28"/>
          <w:szCs w:val="32"/>
          <w:lang w:val="en-US"/>
        </w:rPr>
      </w:pPr>
      <w:r w:rsidRPr="001B7A24">
        <w:rPr>
          <w:rFonts w:ascii="Times New Roman" w:eastAsia="Times New Roman" w:hAnsi="Times New Roman" w:cs="Times New Roman"/>
          <w:b/>
          <w:bCs/>
          <w:color w:val="000000"/>
          <w:sz w:val="28"/>
          <w:szCs w:val="32"/>
          <w:lang w:val="en-US"/>
        </w:rPr>
        <w:t xml:space="preserve">SUPPLEMENTARY </w:t>
      </w:r>
      <w:r w:rsidR="00990B05">
        <w:rPr>
          <w:rFonts w:ascii="Times New Roman" w:eastAsia="Times New Roman" w:hAnsi="Times New Roman" w:cs="Times New Roman"/>
          <w:b/>
          <w:bCs/>
          <w:color w:val="000000"/>
          <w:sz w:val="28"/>
          <w:szCs w:val="32"/>
          <w:lang w:val="en-US"/>
        </w:rPr>
        <w:t>INFORMATION</w:t>
      </w:r>
    </w:p>
    <w:p w14:paraId="3D0DC9EC" w14:textId="726129C8" w:rsidR="00175D49" w:rsidRPr="001B7A24" w:rsidRDefault="00175D49" w:rsidP="00D617D5">
      <w:pPr>
        <w:spacing w:line="360" w:lineRule="auto"/>
        <w:jc w:val="center"/>
        <w:rPr>
          <w:rFonts w:ascii="Times New Roman" w:eastAsia="Times New Roman" w:hAnsi="Times New Roman" w:cs="Times New Roman"/>
          <w:b/>
          <w:bCs/>
          <w:color w:val="000000"/>
          <w:sz w:val="28"/>
          <w:szCs w:val="28"/>
          <w:lang w:val="en-US"/>
        </w:rPr>
      </w:pPr>
      <w:r w:rsidRPr="001B7A24">
        <w:rPr>
          <w:rFonts w:ascii="Times New Roman" w:eastAsia="Times New Roman" w:hAnsi="Times New Roman" w:cs="Times New Roman"/>
          <w:b/>
          <w:bCs/>
          <w:color w:val="000000"/>
          <w:sz w:val="28"/>
          <w:szCs w:val="28"/>
          <w:lang w:val="en-US"/>
        </w:rPr>
        <w:t>Genome-wide analysis of anorexia nervosa and major psychiatric disorders and traits reveals genetic overlap and identifies novel risk loci for anorexia nervosa.</w:t>
      </w:r>
    </w:p>
    <w:p w14:paraId="550835D4" w14:textId="77777777" w:rsidR="00175D49" w:rsidRPr="00B66E86" w:rsidRDefault="00175D49" w:rsidP="00D617D5">
      <w:pPr>
        <w:spacing w:line="360" w:lineRule="auto"/>
        <w:jc w:val="both"/>
        <w:rPr>
          <w:rFonts w:ascii="Times New Roman" w:eastAsia="Times New Roman" w:hAnsi="Times New Roman" w:cs="Times New Roman"/>
          <w:szCs w:val="24"/>
          <w:lang w:val="en-GB"/>
        </w:rPr>
      </w:pPr>
      <w:r w:rsidRPr="00B66E86">
        <w:rPr>
          <w:rFonts w:ascii="Times New Roman" w:eastAsia="Times New Roman" w:hAnsi="Times New Roman" w:cs="Times New Roman"/>
          <w:color w:val="000000"/>
          <w:szCs w:val="24"/>
          <w:lang w:val="en-GB"/>
        </w:rPr>
        <w:t> </w:t>
      </w:r>
    </w:p>
    <w:p w14:paraId="1D32CAA0" w14:textId="69DBA33E" w:rsidR="009658CD" w:rsidRPr="00C473A3" w:rsidRDefault="009658CD" w:rsidP="009658CD">
      <w:pPr>
        <w:jc w:val="both"/>
        <w:rPr>
          <w:rFonts w:ascii="Times New Roman" w:eastAsia="Times New Roman" w:hAnsi="Times New Roman" w:cs="Times New Roman"/>
          <w:szCs w:val="24"/>
          <w:lang w:val="en-GB"/>
        </w:rPr>
      </w:pPr>
      <w:r w:rsidRPr="00C473A3">
        <w:rPr>
          <w:rFonts w:ascii="Times New Roman" w:eastAsia="Times New Roman" w:hAnsi="Times New Roman" w:cs="Times New Roman"/>
          <w:color w:val="000000"/>
          <w:szCs w:val="24"/>
          <w:lang w:val="en-GB"/>
        </w:rPr>
        <w:t>Lasse Bang (Ph.D.)</w:t>
      </w:r>
      <w:r w:rsidRPr="00C473A3">
        <w:rPr>
          <w:rFonts w:ascii="Times New Roman" w:eastAsia="Times New Roman" w:hAnsi="Times New Roman" w:cs="Times New Roman"/>
          <w:color w:val="000000"/>
          <w:vertAlign w:val="superscript"/>
          <w:lang w:val="en-GB"/>
        </w:rPr>
        <w:t>1,2*</w:t>
      </w:r>
      <w:r w:rsidRPr="00C473A3">
        <w:rPr>
          <w:rFonts w:ascii="Times New Roman" w:eastAsia="Times New Roman" w:hAnsi="Times New Roman" w:cs="Times New Roman"/>
          <w:color w:val="000000"/>
          <w:szCs w:val="24"/>
          <w:lang w:val="en-GB"/>
        </w:rPr>
        <w:t xml:space="preserve">, Shahram </w:t>
      </w:r>
      <w:proofErr w:type="spellStart"/>
      <w:r w:rsidRPr="00C473A3">
        <w:rPr>
          <w:rFonts w:ascii="Times New Roman" w:eastAsia="Times New Roman" w:hAnsi="Times New Roman" w:cs="Times New Roman"/>
          <w:color w:val="000000"/>
          <w:szCs w:val="24"/>
          <w:lang w:val="en-GB"/>
        </w:rPr>
        <w:t>Bahrami</w:t>
      </w:r>
      <w:proofErr w:type="spellEnd"/>
      <w:r w:rsidRPr="00C473A3">
        <w:rPr>
          <w:rFonts w:ascii="Times New Roman" w:eastAsia="Times New Roman" w:hAnsi="Times New Roman" w:cs="Times New Roman"/>
          <w:color w:val="000000"/>
          <w:szCs w:val="24"/>
          <w:lang w:val="en-GB"/>
        </w:rPr>
        <w:t xml:space="preserve"> (Ph.D.)</w:t>
      </w:r>
      <w:r w:rsidRPr="00C473A3">
        <w:rPr>
          <w:rFonts w:ascii="Times New Roman" w:eastAsia="Times New Roman" w:hAnsi="Times New Roman" w:cs="Times New Roman"/>
          <w:color w:val="000000"/>
          <w:vertAlign w:val="superscript"/>
          <w:lang w:val="en-GB"/>
        </w:rPr>
        <w:t>3*</w:t>
      </w:r>
      <w:r w:rsidRPr="00C473A3">
        <w:rPr>
          <w:rFonts w:ascii="Times New Roman" w:eastAsia="Times New Roman" w:hAnsi="Times New Roman" w:cs="Times New Roman"/>
          <w:color w:val="000000"/>
          <w:szCs w:val="24"/>
          <w:lang w:val="en-GB"/>
        </w:rPr>
        <w:t>, Guy Hindley</w:t>
      </w:r>
      <w:r w:rsidRPr="00646002">
        <w:rPr>
          <w:rFonts w:eastAsia="Times New Roman"/>
          <w:vertAlign w:val="superscript"/>
          <w:lang w:val="en-GB"/>
        </w:rPr>
        <w:t>3,4</w:t>
      </w:r>
      <w:r w:rsidRPr="00646002">
        <w:rPr>
          <w:rFonts w:eastAsia="Times New Roman"/>
          <w:lang w:val="en-GB"/>
        </w:rPr>
        <w:t xml:space="preserve">, </w:t>
      </w:r>
      <w:r w:rsidRPr="00C473A3">
        <w:rPr>
          <w:rFonts w:ascii="Times New Roman" w:eastAsia="Times New Roman" w:hAnsi="Times New Roman" w:cs="Times New Roman"/>
          <w:color w:val="000000"/>
          <w:szCs w:val="24"/>
          <w:lang w:val="en-GB"/>
        </w:rPr>
        <w:t xml:space="preserve">Olav B. </w:t>
      </w:r>
      <w:proofErr w:type="spellStart"/>
      <w:r w:rsidRPr="00C473A3">
        <w:rPr>
          <w:rFonts w:ascii="Times New Roman" w:eastAsia="Times New Roman" w:hAnsi="Times New Roman" w:cs="Times New Roman"/>
          <w:color w:val="000000"/>
          <w:szCs w:val="24"/>
          <w:lang w:val="en-GB"/>
        </w:rPr>
        <w:t>Smeland</w:t>
      </w:r>
      <w:proofErr w:type="spellEnd"/>
      <w:r w:rsidRPr="00C473A3">
        <w:rPr>
          <w:rFonts w:ascii="Times New Roman" w:eastAsia="Times New Roman" w:hAnsi="Times New Roman" w:cs="Times New Roman"/>
          <w:color w:val="000000"/>
          <w:szCs w:val="24"/>
          <w:lang w:val="en-GB"/>
        </w:rPr>
        <w:t xml:space="preserve"> (M.D. Ph.D.)</w:t>
      </w:r>
      <w:r w:rsidRPr="00C473A3">
        <w:rPr>
          <w:rFonts w:ascii="Times New Roman" w:eastAsia="Times New Roman" w:hAnsi="Times New Roman" w:cs="Times New Roman"/>
          <w:color w:val="000000"/>
          <w:vertAlign w:val="superscript"/>
          <w:lang w:val="en-GB"/>
        </w:rPr>
        <w:t>3</w:t>
      </w:r>
      <w:r w:rsidRPr="00C473A3">
        <w:rPr>
          <w:rFonts w:ascii="Times New Roman" w:eastAsia="Times New Roman" w:hAnsi="Times New Roman" w:cs="Times New Roman"/>
          <w:color w:val="000000"/>
          <w:szCs w:val="24"/>
          <w:lang w:val="en-GB"/>
        </w:rPr>
        <w:t xml:space="preserve">, Linn </w:t>
      </w:r>
      <w:proofErr w:type="spellStart"/>
      <w:r w:rsidRPr="00C473A3">
        <w:rPr>
          <w:rFonts w:ascii="Times New Roman" w:eastAsia="Times New Roman" w:hAnsi="Times New Roman" w:cs="Times New Roman"/>
          <w:color w:val="000000"/>
          <w:szCs w:val="24"/>
          <w:lang w:val="en-GB"/>
        </w:rPr>
        <w:t>Rødevand</w:t>
      </w:r>
      <w:proofErr w:type="spellEnd"/>
      <w:r w:rsidRPr="00C473A3">
        <w:rPr>
          <w:rFonts w:ascii="Times New Roman" w:eastAsia="Times New Roman" w:hAnsi="Times New Roman" w:cs="Times New Roman"/>
          <w:color w:val="000000"/>
          <w:szCs w:val="24"/>
          <w:lang w:val="en-GB"/>
        </w:rPr>
        <w:t xml:space="preserve"> (Ph.D.)</w:t>
      </w:r>
      <w:r w:rsidRPr="00C473A3">
        <w:rPr>
          <w:rFonts w:ascii="Times New Roman" w:eastAsia="Times New Roman" w:hAnsi="Times New Roman" w:cs="Times New Roman"/>
          <w:color w:val="000000"/>
          <w:vertAlign w:val="superscript"/>
          <w:lang w:val="en-GB"/>
        </w:rPr>
        <w:t>3</w:t>
      </w:r>
      <w:r w:rsidRPr="00C473A3">
        <w:rPr>
          <w:rFonts w:ascii="Times New Roman" w:eastAsia="Times New Roman" w:hAnsi="Times New Roman" w:cs="Times New Roman"/>
          <w:color w:val="000000"/>
          <w:szCs w:val="24"/>
          <w:lang w:val="en-GB"/>
        </w:rPr>
        <w:t>,</w:t>
      </w:r>
      <w:r w:rsidR="00C473A3" w:rsidRPr="002139D0">
        <w:rPr>
          <w:rFonts w:ascii="Times New Roman" w:eastAsia="Times New Roman" w:hAnsi="Times New Roman" w:cs="Times New Roman"/>
          <w:color w:val="000000"/>
          <w:szCs w:val="24"/>
          <w:lang w:val="en-GB"/>
        </w:rPr>
        <w:t xml:space="preserve"> Piotr P</w:t>
      </w:r>
      <w:r w:rsidR="002139D0">
        <w:rPr>
          <w:rFonts w:ascii="Times New Roman" w:eastAsia="Times New Roman" w:hAnsi="Times New Roman" w:cs="Times New Roman"/>
          <w:color w:val="000000"/>
          <w:szCs w:val="24"/>
          <w:lang w:val="en-GB"/>
        </w:rPr>
        <w:t>.</w:t>
      </w:r>
      <w:r w:rsidR="00C473A3" w:rsidRPr="002139D0">
        <w:rPr>
          <w:rFonts w:ascii="Times New Roman" w:eastAsia="Times New Roman" w:hAnsi="Times New Roman" w:cs="Times New Roman"/>
          <w:color w:val="000000"/>
          <w:szCs w:val="24"/>
          <w:lang w:val="en-GB"/>
        </w:rPr>
        <w:t xml:space="preserve"> Jaholkowski</w:t>
      </w:r>
      <w:r w:rsidR="00C473A3" w:rsidRPr="002139D0">
        <w:rPr>
          <w:rFonts w:ascii="Times New Roman" w:eastAsia="Times New Roman" w:hAnsi="Times New Roman" w:cs="Times New Roman"/>
          <w:color w:val="000000"/>
          <w:szCs w:val="24"/>
          <w:vertAlign w:val="superscript"/>
          <w:lang w:val="en-GB"/>
        </w:rPr>
        <w:t>3</w:t>
      </w:r>
      <w:r w:rsidR="00C473A3">
        <w:rPr>
          <w:rFonts w:ascii="Times New Roman" w:eastAsia="Times New Roman" w:hAnsi="Times New Roman" w:cs="Times New Roman"/>
          <w:color w:val="000000"/>
          <w:szCs w:val="24"/>
          <w:lang w:val="en-GB"/>
        </w:rPr>
        <w:t xml:space="preserve">, </w:t>
      </w:r>
      <w:r w:rsidRPr="00C473A3">
        <w:rPr>
          <w:rFonts w:ascii="Times New Roman" w:eastAsia="Times New Roman" w:hAnsi="Times New Roman" w:cs="Times New Roman"/>
          <w:color w:val="000000"/>
          <w:szCs w:val="24"/>
          <w:lang w:val="en-GB"/>
        </w:rPr>
        <w:t xml:space="preserve">Alexey </w:t>
      </w:r>
      <w:proofErr w:type="spellStart"/>
      <w:r w:rsidRPr="00C473A3">
        <w:rPr>
          <w:rFonts w:ascii="Times New Roman" w:eastAsia="Times New Roman" w:hAnsi="Times New Roman" w:cs="Times New Roman"/>
          <w:color w:val="000000"/>
          <w:szCs w:val="24"/>
          <w:lang w:val="en-GB"/>
        </w:rPr>
        <w:t>Shadrin</w:t>
      </w:r>
      <w:proofErr w:type="spellEnd"/>
      <w:r w:rsidRPr="00C473A3">
        <w:rPr>
          <w:rFonts w:ascii="Times New Roman" w:eastAsia="Times New Roman" w:hAnsi="Times New Roman" w:cs="Times New Roman"/>
          <w:color w:val="000000"/>
          <w:szCs w:val="24"/>
          <w:lang w:val="en-GB"/>
        </w:rPr>
        <w:t xml:space="preserve"> (Ph.D.)</w:t>
      </w:r>
      <w:r w:rsidRPr="00C473A3">
        <w:rPr>
          <w:rFonts w:ascii="Times New Roman" w:eastAsia="Times New Roman" w:hAnsi="Times New Roman" w:cs="Times New Roman"/>
          <w:color w:val="000000"/>
          <w:vertAlign w:val="superscript"/>
          <w:lang w:val="en-GB"/>
        </w:rPr>
        <w:t>3</w:t>
      </w:r>
      <w:r w:rsidRPr="00C473A3">
        <w:rPr>
          <w:rFonts w:ascii="Times New Roman" w:eastAsia="Times New Roman" w:hAnsi="Times New Roman" w:cs="Times New Roman"/>
          <w:color w:val="000000"/>
          <w:szCs w:val="24"/>
          <w:lang w:val="en-GB"/>
        </w:rPr>
        <w:t>,</w:t>
      </w:r>
      <w:r w:rsidRPr="00646002">
        <w:rPr>
          <w:rFonts w:eastAsia="Times New Roman"/>
          <w:lang w:val="en-GB"/>
        </w:rPr>
        <w:t xml:space="preserve"> </w:t>
      </w:r>
      <w:r w:rsidRPr="00C473A3">
        <w:rPr>
          <w:rFonts w:ascii="Times New Roman" w:eastAsia="Times New Roman" w:hAnsi="Times New Roman" w:cs="Times New Roman"/>
          <w:color w:val="000000"/>
          <w:szCs w:val="24"/>
          <w:lang w:val="en-GB"/>
        </w:rPr>
        <w:t>Kevin S. O’Connell (Ph.D.)</w:t>
      </w:r>
      <w:r w:rsidRPr="00C473A3">
        <w:rPr>
          <w:rFonts w:ascii="Times New Roman" w:eastAsia="Times New Roman" w:hAnsi="Times New Roman" w:cs="Times New Roman"/>
          <w:color w:val="000000"/>
          <w:vertAlign w:val="superscript"/>
          <w:lang w:val="en-GB"/>
        </w:rPr>
        <w:t>3</w:t>
      </w:r>
      <w:r w:rsidRPr="00646002">
        <w:rPr>
          <w:rFonts w:eastAsia="Times New Roman"/>
          <w:lang w:val="en-GB"/>
        </w:rPr>
        <w:t xml:space="preserve">, </w:t>
      </w:r>
      <w:r w:rsidRPr="00C473A3">
        <w:rPr>
          <w:rFonts w:ascii="Times New Roman" w:eastAsia="Times New Roman" w:hAnsi="Times New Roman" w:cs="Times New Roman"/>
          <w:color w:val="000000"/>
          <w:szCs w:val="24"/>
          <w:lang w:val="en-GB"/>
        </w:rPr>
        <w:t>Oleksandr Frei (Ph.D.)</w:t>
      </w:r>
      <w:r w:rsidRPr="00C473A3">
        <w:rPr>
          <w:rFonts w:ascii="Times New Roman" w:eastAsia="Times New Roman" w:hAnsi="Times New Roman" w:cs="Times New Roman"/>
          <w:color w:val="000000"/>
          <w:vertAlign w:val="superscript"/>
          <w:lang w:val="en-GB"/>
        </w:rPr>
        <w:t>3</w:t>
      </w:r>
      <w:r w:rsidRPr="00C473A3">
        <w:rPr>
          <w:rFonts w:ascii="Times New Roman" w:eastAsia="Times New Roman" w:hAnsi="Times New Roman" w:cs="Times New Roman"/>
          <w:color w:val="000000"/>
          <w:szCs w:val="24"/>
          <w:lang w:val="en-GB"/>
        </w:rPr>
        <w:t xml:space="preserve">, </w:t>
      </w:r>
      <w:proofErr w:type="spellStart"/>
      <w:r w:rsidRPr="00C473A3">
        <w:rPr>
          <w:rFonts w:ascii="Times New Roman" w:eastAsia="Times New Roman" w:hAnsi="Times New Roman" w:cs="Times New Roman"/>
          <w:color w:val="000000"/>
          <w:szCs w:val="24"/>
          <w:lang w:val="en-GB"/>
        </w:rPr>
        <w:t>Aihua</w:t>
      </w:r>
      <w:proofErr w:type="spellEnd"/>
      <w:r w:rsidRPr="00C473A3">
        <w:rPr>
          <w:rFonts w:ascii="Times New Roman" w:eastAsia="Times New Roman" w:hAnsi="Times New Roman" w:cs="Times New Roman"/>
          <w:color w:val="000000"/>
          <w:szCs w:val="24"/>
          <w:lang w:val="en-GB"/>
        </w:rPr>
        <w:t xml:space="preserve"> Lin (Ph.D.)</w:t>
      </w:r>
      <w:r w:rsidRPr="00C473A3">
        <w:rPr>
          <w:rFonts w:ascii="Times New Roman" w:eastAsia="Times New Roman" w:hAnsi="Times New Roman" w:cs="Times New Roman"/>
          <w:color w:val="000000"/>
          <w:vertAlign w:val="superscript"/>
          <w:lang w:val="en-GB"/>
        </w:rPr>
        <w:t>3</w:t>
      </w:r>
      <w:r w:rsidRPr="00C473A3">
        <w:rPr>
          <w:rFonts w:ascii="Times New Roman" w:eastAsia="Times New Roman" w:hAnsi="Times New Roman" w:cs="Times New Roman"/>
          <w:color w:val="000000"/>
          <w:szCs w:val="24"/>
          <w:lang w:val="en-GB"/>
        </w:rPr>
        <w:t xml:space="preserve">, </w:t>
      </w:r>
      <w:proofErr w:type="spellStart"/>
      <w:r w:rsidRPr="00C473A3">
        <w:rPr>
          <w:rFonts w:ascii="Times New Roman" w:eastAsia="Times New Roman" w:hAnsi="Times New Roman" w:cs="Times New Roman"/>
          <w:color w:val="000000"/>
          <w:szCs w:val="24"/>
          <w:lang w:val="en-GB"/>
        </w:rPr>
        <w:t>Zillur</w:t>
      </w:r>
      <w:proofErr w:type="spellEnd"/>
      <w:r w:rsidRPr="00C473A3">
        <w:rPr>
          <w:rFonts w:ascii="Times New Roman" w:eastAsia="Times New Roman" w:hAnsi="Times New Roman" w:cs="Times New Roman"/>
          <w:color w:val="000000"/>
          <w:szCs w:val="24"/>
          <w:lang w:val="en-GB"/>
        </w:rPr>
        <w:t xml:space="preserve"> Rahman (Ph.D.)</w:t>
      </w:r>
      <w:r w:rsidRPr="00C473A3">
        <w:rPr>
          <w:rFonts w:ascii="Times New Roman" w:eastAsia="Times New Roman" w:hAnsi="Times New Roman" w:cs="Times New Roman"/>
          <w:color w:val="000000"/>
          <w:vertAlign w:val="superscript"/>
          <w:lang w:val="en-GB"/>
        </w:rPr>
        <w:t>3</w:t>
      </w:r>
      <w:r w:rsidRPr="00C473A3">
        <w:rPr>
          <w:rFonts w:ascii="Times New Roman" w:eastAsia="Times New Roman" w:hAnsi="Times New Roman" w:cs="Times New Roman"/>
          <w:color w:val="000000"/>
          <w:lang w:val="en-GB"/>
        </w:rPr>
        <w:t>,</w:t>
      </w:r>
      <w:r w:rsidRPr="00C473A3">
        <w:rPr>
          <w:rFonts w:ascii="Times New Roman" w:eastAsia="Times New Roman" w:hAnsi="Times New Roman" w:cs="Times New Roman"/>
          <w:color w:val="000000"/>
          <w:vertAlign w:val="superscript"/>
          <w:lang w:val="en-GB"/>
        </w:rPr>
        <w:t xml:space="preserve"> </w:t>
      </w:r>
      <w:proofErr w:type="spellStart"/>
      <w:r w:rsidRPr="00C473A3">
        <w:rPr>
          <w:rFonts w:ascii="Times New Roman" w:eastAsia="Times New Roman" w:hAnsi="Times New Roman" w:cs="Times New Roman"/>
          <w:color w:val="000000"/>
          <w:szCs w:val="24"/>
          <w:lang w:val="en-GB"/>
        </w:rPr>
        <w:t>Weiqiu</w:t>
      </w:r>
      <w:proofErr w:type="spellEnd"/>
      <w:r w:rsidRPr="00C473A3">
        <w:rPr>
          <w:rFonts w:ascii="Times New Roman" w:eastAsia="Times New Roman" w:hAnsi="Times New Roman" w:cs="Times New Roman"/>
          <w:color w:val="000000"/>
          <w:szCs w:val="24"/>
          <w:lang w:val="en-GB"/>
        </w:rPr>
        <w:t xml:space="preserve"> Cheng (Ph.D.)</w:t>
      </w:r>
      <w:r w:rsidRPr="00C473A3">
        <w:rPr>
          <w:rFonts w:ascii="Times New Roman" w:eastAsia="Times New Roman" w:hAnsi="Times New Roman" w:cs="Times New Roman"/>
          <w:color w:val="000000"/>
          <w:vertAlign w:val="superscript"/>
          <w:lang w:val="en-GB"/>
        </w:rPr>
        <w:t>3</w:t>
      </w:r>
      <w:r w:rsidRPr="00C473A3">
        <w:rPr>
          <w:rFonts w:ascii="Times New Roman" w:eastAsia="Times New Roman" w:hAnsi="Times New Roman" w:cs="Times New Roman"/>
          <w:color w:val="000000"/>
          <w:szCs w:val="24"/>
          <w:lang w:val="en-GB"/>
        </w:rPr>
        <w:t>,</w:t>
      </w:r>
      <w:r w:rsidRPr="00C473A3">
        <w:rPr>
          <w:lang w:val="en-GB"/>
        </w:rPr>
        <w:t xml:space="preserve"> </w:t>
      </w:r>
      <w:r w:rsidRPr="00C473A3">
        <w:rPr>
          <w:rFonts w:ascii="Times New Roman" w:eastAsia="Times New Roman" w:hAnsi="Times New Roman" w:cs="Times New Roman"/>
          <w:color w:val="000000"/>
          <w:szCs w:val="24"/>
          <w:lang w:val="en-GB"/>
        </w:rPr>
        <w:t>Nadine Parker (Ph.D.)</w:t>
      </w:r>
      <w:r w:rsidRPr="00C473A3">
        <w:rPr>
          <w:rFonts w:ascii="Times New Roman" w:eastAsia="Times New Roman" w:hAnsi="Times New Roman" w:cs="Times New Roman"/>
          <w:color w:val="000000"/>
          <w:vertAlign w:val="superscript"/>
          <w:lang w:val="en-GB"/>
        </w:rPr>
        <w:t>3</w:t>
      </w:r>
      <w:r w:rsidRPr="00C473A3">
        <w:rPr>
          <w:rFonts w:ascii="Times New Roman" w:eastAsia="Times New Roman" w:hAnsi="Times New Roman" w:cs="Times New Roman"/>
          <w:color w:val="000000"/>
          <w:lang w:val="en-GB"/>
        </w:rPr>
        <w:t>,</w:t>
      </w:r>
      <w:r w:rsidRPr="00C473A3">
        <w:rPr>
          <w:rFonts w:ascii="Times New Roman" w:eastAsia="Times New Roman" w:hAnsi="Times New Roman" w:cs="Times New Roman"/>
          <w:color w:val="000000"/>
          <w:szCs w:val="24"/>
          <w:lang w:val="en-GB"/>
        </w:rPr>
        <w:t xml:space="preserve"> Chun C. Fan (M.D.)</w:t>
      </w:r>
      <w:r w:rsidRPr="00C473A3">
        <w:rPr>
          <w:rFonts w:ascii="Times New Roman" w:eastAsia="Times New Roman" w:hAnsi="Times New Roman" w:cs="Times New Roman"/>
          <w:color w:val="000000"/>
          <w:vertAlign w:val="superscript"/>
          <w:lang w:val="en-GB"/>
        </w:rPr>
        <w:t>5,6</w:t>
      </w:r>
      <w:r w:rsidRPr="00C473A3">
        <w:rPr>
          <w:rFonts w:ascii="Times New Roman" w:eastAsia="Times New Roman" w:hAnsi="Times New Roman" w:cs="Times New Roman"/>
          <w:color w:val="000000"/>
          <w:szCs w:val="24"/>
          <w:lang w:val="en-GB"/>
        </w:rPr>
        <w:t>, Anders M. Dale (Ph.D.)</w:t>
      </w:r>
      <w:r w:rsidRPr="00C473A3">
        <w:rPr>
          <w:rFonts w:ascii="Times New Roman" w:eastAsia="Times New Roman" w:hAnsi="Times New Roman" w:cs="Times New Roman"/>
          <w:color w:val="000000"/>
          <w:vertAlign w:val="superscript"/>
          <w:lang w:val="en-GB"/>
        </w:rPr>
        <w:t>5,7,8,9</w:t>
      </w:r>
      <w:r w:rsidRPr="00C473A3">
        <w:rPr>
          <w:rFonts w:ascii="Times New Roman" w:eastAsia="Times New Roman" w:hAnsi="Times New Roman" w:cs="Times New Roman"/>
          <w:color w:val="000000"/>
          <w:szCs w:val="24"/>
          <w:lang w:val="en-GB"/>
        </w:rPr>
        <w:t xml:space="preserve">, </w:t>
      </w:r>
      <w:proofErr w:type="spellStart"/>
      <w:r w:rsidRPr="00C473A3">
        <w:rPr>
          <w:rFonts w:ascii="Times New Roman" w:eastAsia="Times New Roman" w:hAnsi="Times New Roman" w:cs="Times New Roman"/>
          <w:color w:val="000000"/>
          <w:szCs w:val="24"/>
          <w:lang w:val="en-GB"/>
        </w:rPr>
        <w:t>Srdjan</w:t>
      </w:r>
      <w:proofErr w:type="spellEnd"/>
      <w:r w:rsidRPr="00C473A3">
        <w:rPr>
          <w:rFonts w:ascii="Times New Roman" w:eastAsia="Times New Roman" w:hAnsi="Times New Roman" w:cs="Times New Roman"/>
          <w:color w:val="000000"/>
          <w:szCs w:val="24"/>
          <w:lang w:val="en-GB"/>
        </w:rPr>
        <w:t xml:space="preserve"> </w:t>
      </w:r>
      <w:proofErr w:type="spellStart"/>
      <w:r w:rsidRPr="00C473A3">
        <w:rPr>
          <w:rFonts w:ascii="Times New Roman" w:eastAsia="Times New Roman" w:hAnsi="Times New Roman" w:cs="Times New Roman"/>
          <w:color w:val="000000"/>
          <w:szCs w:val="24"/>
          <w:lang w:val="en-GB"/>
        </w:rPr>
        <w:t>Djurovic</w:t>
      </w:r>
      <w:proofErr w:type="spellEnd"/>
      <w:r w:rsidRPr="00C473A3">
        <w:rPr>
          <w:rFonts w:ascii="Times New Roman" w:eastAsia="Times New Roman" w:hAnsi="Times New Roman" w:cs="Times New Roman"/>
          <w:color w:val="000000"/>
          <w:szCs w:val="24"/>
          <w:lang w:val="en-GB"/>
        </w:rPr>
        <w:t xml:space="preserve"> (Ph.D.)</w:t>
      </w:r>
      <w:r w:rsidRPr="00C473A3">
        <w:rPr>
          <w:rFonts w:ascii="Times New Roman" w:eastAsia="Times New Roman" w:hAnsi="Times New Roman" w:cs="Times New Roman"/>
          <w:color w:val="000000"/>
          <w:vertAlign w:val="superscript"/>
          <w:lang w:val="en-GB"/>
        </w:rPr>
        <w:t>8,1</w:t>
      </w:r>
      <w:r w:rsidR="006A5154">
        <w:rPr>
          <w:rFonts w:ascii="Times New Roman" w:eastAsia="Times New Roman" w:hAnsi="Times New Roman" w:cs="Times New Roman"/>
          <w:color w:val="000000"/>
          <w:vertAlign w:val="superscript"/>
          <w:lang w:val="en-GB"/>
        </w:rPr>
        <w:t>0</w:t>
      </w:r>
      <w:r w:rsidRPr="00C473A3">
        <w:rPr>
          <w:rFonts w:ascii="Times New Roman" w:eastAsia="Times New Roman" w:hAnsi="Times New Roman" w:cs="Times New Roman"/>
          <w:color w:val="000000"/>
          <w:vertAlign w:val="superscript"/>
          <w:lang w:val="en-GB"/>
        </w:rPr>
        <w:t>,1</w:t>
      </w:r>
      <w:r w:rsidR="006A5154">
        <w:rPr>
          <w:rFonts w:ascii="Times New Roman" w:eastAsia="Times New Roman" w:hAnsi="Times New Roman" w:cs="Times New Roman"/>
          <w:color w:val="000000"/>
          <w:vertAlign w:val="superscript"/>
          <w:lang w:val="en-GB"/>
        </w:rPr>
        <w:t>1</w:t>
      </w:r>
      <w:r w:rsidRPr="00C473A3">
        <w:rPr>
          <w:rFonts w:ascii="Times New Roman" w:eastAsia="Times New Roman" w:hAnsi="Times New Roman" w:cs="Times New Roman"/>
          <w:color w:val="000000"/>
          <w:szCs w:val="24"/>
          <w:lang w:val="en-GB"/>
        </w:rPr>
        <w:t xml:space="preserve">, Cynthia M. </w:t>
      </w:r>
      <w:proofErr w:type="spellStart"/>
      <w:r w:rsidRPr="00C473A3">
        <w:rPr>
          <w:rFonts w:ascii="Times New Roman" w:eastAsia="Times New Roman" w:hAnsi="Times New Roman" w:cs="Times New Roman"/>
          <w:color w:val="000000"/>
          <w:szCs w:val="24"/>
          <w:lang w:val="en-GB"/>
        </w:rPr>
        <w:t>Bulik</w:t>
      </w:r>
      <w:proofErr w:type="spellEnd"/>
      <w:r w:rsidRPr="00C473A3">
        <w:rPr>
          <w:rFonts w:ascii="Times New Roman" w:eastAsia="Times New Roman" w:hAnsi="Times New Roman" w:cs="Times New Roman"/>
          <w:color w:val="000000"/>
          <w:szCs w:val="24"/>
          <w:lang w:val="en-GB"/>
        </w:rPr>
        <w:t xml:space="preserve"> (Ph.D.)</w:t>
      </w:r>
      <w:r w:rsidRPr="00C473A3">
        <w:rPr>
          <w:rFonts w:ascii="Times New Roman" w:eastAsia="Times New Roman" w:hAnsi="Times New Roman" w:cs="Times New Roman"/>
          <w:color w:val="000000"/>
          <w:vertAlign w:val="superscript"/>
          <w:lang w:val="en-GB"/>
        </w:rPr>
        <w:t>1</w:t>
      </w:r>
      <w:r w:rsidR="006A5154">
        <w:rPr>
          <w:rFonts w:ascii="Times New Roman" w:eastAsia="Times New Roman" w:hAnsi="Times New Roman" w:cs="Times New Roman"/>
          <w:color w:val="000000"/>
          <w:vertAlign w:val="superscript"/>
          <w:lang w:val="en-GB"/>
        </w:rPr>
        <w:t>2,13</w:t>
      </w:r>
      <w:r w:rsidRPr="00C473A3">
        <w:rPr>
          <w:rFonts w:ascii="Times New Roman" w:eastAsia="Times New Roman" w:hAnsi="Times New Roman" w:cs="Times New Roman"/>
          <w:color w:val="000000"/>
          <w:vertAlign w:val="superscript"/>
          <w:lang w:val="en-GB"/>
        </w:rPr>
        <w:t>,1</w:t>
      </w:r>
      <w:r w:rsidR="006A5154">
        <w:rPr>
          <w:rFonts w:ascii="Times New Roman" w:eastAsia="Times New Roman" w:hAnsi="Times New Roman" w:cs="Times New Roman"/>
          <w:color w:val="000000"/>
          <w:vertAlign w:val="superscript"/>
          <w:lang w:val="en-GB"/>
        </w:rPr>
        <w:t>4</w:t>
      </w:r>
      <w:r w:rsidRPr="00C473A3">
        <w:rPr>
          <w:rFonts w:ascii="Times New Roman" w:eastAsia="Times New Roman" w:hAnsi="Times New Roman" w:cs="Times New Roman"/>
          <w:color w:val="000000"/>
          <w:szCs w:val="24"/>
          <w:lang w:val="en-GB"/>
        </w:rPr>
        <w:t xml:space="preserve">, Ole A. </w:t>
      </w:r>
      <w:proofErr w:type="spellStart"/>
      <w:r w:rsidRPr="00C473A3">
        <w:rPr>
          <w:rFonts w:ascii="Times New Roman" w:eastAsia="Times New Roman" w:hAnsi="Times New Roman" w:cs="Times New Roman"/>
          <w:color w:val="000000"/>
          <w:szCs w:val="24"/>
          <w:lang w:val="en-GB"/>
        </w:rPr>
        <w:t>Andreassen</w:t>
      </w:r>
      <w:proofErr w:type="spellEnd"/>
      <w:r w:rsidRPr="00C473A3">
        <w:rPr>
          <w:rFonts w:ascii="Times New Roman" w:eastAsia="Times New Roman" w:hAnsi="Times New Roman" w:cs="Times New Roman"/>
          <w:color w:val="000000"/>
          <w:szCs w:val="24"/>
          <w:lang w:val="en-GB"/>
        </w:rPr>
        <w:t xml:space="preserve"> (M.D. Ph.D.)</w:t>
      </w:r>
      <w:r w:rsidRPr="00C473A3">
        <w:rPr>
          <w:rFonts w:ascii="Times New Roman" w:eastAsia="Times New Roman" w:hAnsi="Times New Roman" w:cs="Times New Roman"/>
          <w:color w:val="000000"/>
          <w:vertAlign w:val="superscript"/>
          <w:lang w:val="en-GB"/>
        </w:rPr>
        <w:t>3</w:t>
      </w:r>
    </w:p>
    <w:p w14:paraId="618B8BCC" w14:textId="5F5EF562" w:rsidR="00175D49" w:rsidRDefault="00175D49" w:rsidP="00D617D5">
      <w:pPr>
        <w:spacing w:line="360" w:lineRule="auto"/>
        <w:rPr>
          <w:rFonts w:asciiTheme="majorBidi" w:hAnsiTheme="majorBidi" w:cstheme="majorBidi"/>
          <w:sz w:val="24"/>
          <w:szCs w:val="24"/>
          <w:lang w:val="en-US"/>
        </w:rPr>
      </w:pPr>
    </w:p>
    <w:p w14:paraId="30B04922" w14:textId="77777777" w:rsidR="005D7A07" w:rsidRPr="00C473A3" w:rsidRDefault="005D7A07" w:rsidP="005D7A07">
      <w:pPr>
        <w:jc w:val="both"/>
        <w:rPr>
          <w:rFonts w:ascii="Times New Roman" w:eastAsia="Times New Roman" w:hAnsi="Times New Roman" w:cs="Times New Roman"/>
          <w:color w:val="000000"/>
          <w:vertAlign w:val="superscript"/>
          <w:lang w:val="en-US"/>
        </w:rPr>
      </w:pPr>
      <w:r w:rsidRPr="00C473A3">
        <w:rPr>
          <w:rFonts w:ascii="Times New Roman" w:eastAsia="Times New Roman" w:hAnsi="Times New Roman" w:cs="Times New Roman"/>
          <w:color w:val="000000"/>
          <w:vertAlign w:val="superscript"/>
          <w:lang w:val="en-US"/>
        </w:rPr>
        <w:t>1</w:t>
      </w:r>
      <w:r w:rsidRPr="00C473A3">
        <w:rPr>
          <w:rFonts w:ascii="Times New Roman" w:eastAsia="Times New Roman" w:hAnsi="Times New Roman" w:cs="Times New Roman"/>
          <w:color w:val="000000"/>
          <w:szCs w:val="24"/>
          <w:lang w:val="en-US"/>
        </w:rPr>
        <w:t>Department of Child Health and Development, Norwegian Institute of Public Health, Oslo, Norway;</w:t>
      </w:r>
    </w:p>
    <w:p w14:paraId="75F2734B" w14:textId="77777777" w:rsidR="005D7A07" w:rsidRPr="00C473A3" w:rsidRDefault="005D7A07" w:rsidP="005D7A07">
      <w:pPr>
        <w:jc w:val="both"/>
        <w:rPr>
          <w:rFonts w:ascii="Times New Roman" w:eastAsia="Times New Roman" w:hAnsi="Times New Roman" w:cs="Times New Roman"/>
          <w:color w:val="000000"/>
          <w:szCs w:val="24"/>
          <w:lang w:val="en-US"/>
        </w:rPr>
      </w:pPr>
      <w:r w:rsidRPr="00C473A3">
        <w:rPr>
          <w:rFonts w:ascii="Times New Roman" w:eastAsia="Times New Roman" w:hAnsi="Times New Roman" w:cs="Times New Roman"/>
          <w:color w:val="000000"/>
          <w:vertAlign w:val="superscript"/>
          <w:lang w:val="en-US"/>
        </w:rPr>
        <w:t>2</w:t>
      </w:r>
      <w:r w:rsidRPr="00C473A3">
        <w:rPr>
          <w:rFonts w:ascii="Times New Roman" w:eastAsia="Times New Roman" w:hAnsi="Times New Roman" w:cs="Times New Roman"/>
          <w:color w:val="000000"/>
          <w:szCs w:val="24"/>
          <w:lang w:val="en-US"/>
        </w:rPr>
        <w:t>Regional Department for Eating Disorders, Division of Mental Health and Addiction, Oslo University Hospital;</w:t>
      </w:r>
    </w:p>
    <w:p w14:paraId="713DEB32" w14:textId="77777777" w:rsidR="005D7A07" w:rsidRPr="00C473A3" w:rsidRDefault="005D7A07" w:rsidP="005D7A07">
      <w:pPr>
        <w:jc w:val="both"/>
        <w:rPr>
          <w:rFonts w:ascii="Times New Roman" w:eastAsia="Times New Roman" w:hAnsi="Times New Roman" w:cs="Times New Roman"/>
          <w:color w:val="000000"/>
          <w:szCs w:val="24"/>
          <w:lang w:val="en-US"/>
        </w:rPr>
      </w:pPr>
      <w:r w:rsidRPr="00C473A3">
        <w:rPr>
          <w:rFonts w:ascii="Times New Roman" w:eastAsia="Times New Roman" w:hAnsi="Times New Roman" w:cs="Times New Roman"/>
          <w:color w:val="000000"/>
          <w:vertAlign w:val="superscript"/>
          <w:lang w:val="en-US"/>
        </w:rPr>
        <w:t>3</w:t>
      </w:r>
      <w:r w:rsidRPr="00C473A3">
        <w:rPr>
          <w:rFonts w:ascii="Times New Roman" w:eastAsia="Times New Roman" w:hAnsi="Times New Roman" w:cs="Times New Roman"/>
          <w:color w:val="000000"/>
          <w:szCs w:val="24"/>
          <w:lang w:val="en-US"/>
        </w:rPr>
        <w:t>NORMENT Centre, Institute of Clinical Medicine, University of Oslo and Division of Mental Health and Addiction, Oslo University Hospital, 0407 Oslo, Norway;</w:t>
      </w:r>
    </w:p>
    <w:p w14:paraId="6F74CD2E" w14:textId="77777777" w:rsidR="005D7A07" w:rsidRPr="00646002" w:rsidRDefault="005D7A07" w:rsidP="005D7A07">
      <w:pPr>
        <w:pStyle w:val="NoSpacing"/>
        <w:spacing w:after="0" w:line="480" w:lineRule="auto"/>
        <w:jc w:val="left"/>
        <w:rPr>
          <w:rFonts w:cs="Times New Roman"/>
          <w:szCs w:val="24"/>
        </w:rPr>
      </w:pPr>
      <w:r w:rsidRPr="00646002">
        <w:rPr>
          <w:rFonts w:cs="Times New Roman"/>
          <w:sz w:val="22"/>
          <w:vertAlign w:val="superscript"/>
        </w:rPr>
        <w:t>4</w:t>
      </w:r>
      <w:r w:rsidRPr="00646002">
        <w:rPr>
          <w:rFonts w:eastAsia="Times New Roman" w:cs="Times New Roman"/>
          <w:color w:val="000000"/>
          <w:szCs w:val="24"/>
          <w:lang w:val="en-US" w:eastAsia="en-US"/>
        </w:rPr>
        <w:t xml:space="preserve">Institute of Psychiatry, Psychology and Neuroscience, King’s College London, 16 De </w:t>
      </w:r>
      <w:proofErr w:type="spellStart"/>
      <w:r w:rsidRPr="00646002">
        <w:rPr>
          <w:rFonts w:eastAsia="Times New Roman" w:cs="Times New Roman"/>
          <w:color w:val="000000"/>
          <w:szCs w:val="24"/>
          <w:lang w:val="en-US" w:eastAsia="en-US"/>
        </w:rPr>
        <w:t>Crespigny</w:t>
      </w:r>
      <w:proofErr w:type="spellEnd"/>
      <w:r w:rsidRPr="00646002">
        <w:rPr>
          <w:rFonts w:eastAsia="Times New Roman" w:cs="Times New Roman"/>
          <w:color w:val="000000"/>
          <w:szCs w:val="24"/>
          <w:lang w:val="en-US" w:eastAsia="en-US"/>
        </w:rPr>
        <w:t xml:space="preserve"> Park, London, SE5 8AB, UK</w:t>
      </w:r>
    </w:p>
    <w:p w14:paraId="6EF04CD4" w14:textId="77777777" w:rsidR="005D7A07" w:rsidRPr="00C473A3" w:rsidRDefault="005D7A07" w:rsidP="005D7A07">
      <w:pPr>
        <w:jc w:val="both"/>
        <w:rPr>
          <w:rFonts w:ascii="Times New Roman" w:eastAsia="Times New Roman" w:hAnsi="Times New Roman" w:cs="Times New Roman"/>
          <w:szCs w:val="24"/>
          <w:lang w:val="en-US"/>
        </w:rPr>
      </w:pPr>
      <w:r w:rsidRPr="00C473A3">
        <w:rPr>
          <w:rFonts w:ascii="Times New Roman" w:eastAsia="Times New Roman" w:hAnsi="Times New Roman" w:cs="Times New Roman"/>
          <w:color w:val="000000"/>
          <w:vertAlign w:val="superscript"/>
          <w:lang w:val="en-US"/>
        </w:rPr>
        <w:t>5</w:t>
      </w:r>
      <w:r w:rsidRPr="00C473A3">
        <w:rPr>
          <w:rFonts w:ascii="Times New Roman" w:eastAsia="Times New Roman" w:hAnsi="Times New Roman" w:cs="Times New Roman"/>
          <w:color w:val="000000"/>
          <w:szCs w:val="24"/>
          <w:lang w:val="en-US"/>
        </w:rPr>
        <w:t>Department of Radiology, University of California, San Diego, La Jolla, CA 92093, United States of America;</w:t>
      </w:r>
    </w:p>
    <w:p w14:paraId="13C0493E" w14:textId="77777777" w:rsidR="005D7A07" w:rsidRPr="00C473A3" w:rsidRDefault="005D7A07" w:rsidP="005D7A07">
      <w:pPr>
        <w:jc w:val="both"/>
        <w:rPr>
          <w:rFonts w:ascii="Times New Roman" w:eastAsia="Times New Roman" w:hAnsi="Times New Roman" w:cs="Times New Roman"/>
          <w:szCs w:val="24"/>
          <w:lang w:val="en-US"/>
        </w:rPr>
      </w:pPr>
      <w:r w:rsidRPr="00C473A3">
        <w:rPr>
          <w:rFonts w:ascii="Times New Roman" w:eastAsia="Times New Roman" w:hAnsi="Times New Roman" w:cs="Times New Roman"/>
          <w:color w:val="000000"/>
          <w:vertAlign w:val="superscript"/>
          <w:lang w:val="en-US"/>
        </w:rPr>
        <w:t>6</w:t>
      </w:r>
      <w:r w:rsidRPr="00C473A3">
        <w:rPr>
          <w:rFonts w:ascii="Times New Roman" w:eastAsia="Times New Roman" w:hAnsi="Times New Roman" w:cs="Times New Roman"/>
          <w:color w:val="000000"/>
          <w:szCs w:val="24"/>
          <w:lang w:val="en-US"/>
        </w:rPr>
        <w:t>Department of Cognitive Science, University of California, San Diego, La Jolla, CA, USA;</w:t>
      </w:r>
    </w:p>
    <w:p w14:paraId="52C69C79" w14:textId="77777777" w:rsidR="005D7A07" w:rsidRPr="00C473A3" w:rsidRDefault="005D7A07" w:rsidP="005D7A07">
      <w:pPr>
        <w:jc w:val="both"/>
        <w:rPr>
          <w:rFonts w:ascii="Times New Roman" w:eastAsia="Times New Roman" w:hAnsi="Times New Roman" w:cs="Times New Roman"/>
          <w:szCs w:val="24"/>
          <w:lang w:val="en-US"/>
        </w:rPr>
      </w:pPr>
      <w:r w:rsidRPr="00C473A3">
        <w:rPr>
          <w:rFonts w:ascii="Times New Roman" w:eastAsia="Times New Roman" w:hAnsi="Times New Roman" w:cs="Times New Roman"/>
          <w:color w:val="000000"/>
          <w:vertAlign w:val="superscript"/>
          <w:lang w:val="en-US"/>
        </w:rPr>
        <w:t>7</w:t>
      </w:r>
      <w:r w:rsidRPr="00C473A3">
        <w:rPr>
          <w:rFonts w:ascii="Times New Roman" w:eastAsia="Times New Roman" w:hAnsi="Times New Roman" w:cs="Times New Roman"/>
          <w:color w:val="000000"/>
          <w:szCs w:val="24"/>
          <w:lang w:val="en-US"/>
        </w:rPr>
        <w:t>Multimodal Imaging Laboratory, University of California San Diego, La Jolla, CA 92093, United States of America;</w:t>
      </w:r>
    </w:p>
    <w:p w14:paraId="49BDB830" w14:textId="77777777" w:rsidR="006A5154" w:rsidRPr="006A5154" w:rsidRDefault="006A5154" w:rsidP="006A5154">
      <w:pPr>
        <w:jc w:val="both"/>
        <w:rPr>
          <w:rFonts w:ascii="Times New Roman" w:eastAsia="Times New Roman" w:hAnsi="Times New Roman" w:cs="Times New Roman"/>
          <w:szCs w:val="24"/>
          <w:lang w:val="en-US"/>
        </w:rPr>
      </w:pPr>
      <w:r w:rsidRPr="006A5154">
        <w:rPr>
          <w:rFonts w:ascii="Times New Roman" w:eastAsia="Times New Roman" w:hAnsi="Times New Roman" w:cs="Times New Roman"/>
          <w:color w:val="000000"/>
          <w:vertAlign w:val="superscript"/>
          <w:lang w:val="en-US"/>
        </w:rPr>
        <w:t>8</w:t>
      </w:r>
      <w:r w:rsidRPr="006A5154">
        <w:rPr>
          <w:rFonts w:ascii="Times New Roman" w:eastAsia="Times New Roman" w:hAnsi="Times New Roman" w:cs="Times New Roman"/>
          <w:color w:val="000000"/>
          <w:szCs w:val="24"/>
          <w:lang w:val="en-US"/>
        </w:rPr>
        <w:t>Department of Psychiatry, University of California, San Diego, La Jolla, CA, USA.</w:t>
      </w:r>
    </w:p>
    <w:p w14:paraId="0E4FF4BD" w14:textId="77777777" w:rsidR="006A5154" w:rsidRPr="006A5154" w:rsidRDefault="006A5154" w:rsidP="006A5154">
      <w:pPr>
        <w:jc w:val="both"/>
        <w:rPr>
          <w:rFonts w:ascii="Times New Roman" w:eastAsia="Times New Roman" w:hAnsi="Times New Roman" w:cs="Times New Roman"/>
          <w:szCs w:val="24"/>
          <w:lang w:val="en-US"/>
        </w:rPr>
      </w:pPr>
      <w:r w:rsidRPr="006A5154">
        <w:rPr>
          <w:rFonts w:ascii="Times New Roman" w:eastAsia="Times New Roman" w:hAnsi="Times New Roman" w:cs="Times New Roman"/>
          <w:color w:val="000000"/>
          <w:vertAlign w:val="superscript"/>
          <w:lang w:val="en-US"/>
        </w:rPr>
        <w:t>9</w:t>
      </w:r>
      <w:r w:rsidRPr="006A5154">
        <w:rPr>
          <w:rFonts w:ascii="Times New Roman" w:eastAsia="Times New Roman" w:hAnsi="Times New Roman" w:cs="Times New Roman"/>
          <w:color w:val="000000"/>
          <w:szCs w:val="24"/>
          <w:lang w:val="en-US"/>
        </w:rPr>
        <w:t>Department of Neurosciences, University of California San Diego, La Jolla, CA 92093, United States of America.</w:t>
      </w:r>
    </w:p>
    <w:p w14:paraId="2C6CAE55" w14:textId="77777777" w:rsidR="006A5154" w:rsidRPr="006A5154" w:rsidRDefault="006A5154" w:rsidP="006A5154">
      <w:pPr>
        <w:jc w:val="both"/>
        <w:rPr>
          <w:rFonts w:ascii="Times New Roman" w:eastAsia="Times New Roman" w:hAnsi="Times New Roman" w:cs="Times New Roman"/>
          <w:color w:val="000000"/>
          <w:szCs w:val="24"/>
          <w:lang w:val="en-US"/>
        </w:rPr>
      </w:pPr>
      <w:r w:rsidRPr="006A5154">
        <w:rPr>
          <w:rFonts w:ascii="Times New Roman" w:eastAsia="Times New Roman" w:hAnsi="Times New Roman" w:cs="Times New Roman"/>
          <w:color w:val="000000"/>
          <w:vertAlign w:val="superscript"/>
          <w:lang w:val="en-US"/>
        </w:rPr>
        <w:t>10</w:t>
      </w:r>
      <w:r w:rsidRPr="006A5154">
        <w:rPr>
          <w:rFonts w:ascii="Times New Roman" w:eastAsia="Times New Roman" w:hAnsi="Times New Roman" w:cs="Times New Roman"/>
          <w:color w:val="000000"/>
          <w:szCs w:val="24"/>
          <w:lang w:val="en-US"/>
        </w:rPr>
        <w:t>Department of Medical Genetics, Oslo University Hospital, Oslo, Norway.</w:t>
      </w:r>
    </w:p>
    <w:p w14:paraId="6068CB25" w14:textId="77777777" w:rsidR="006A5154" w:rsidRPr="006A5154" w:rsidRDefault="006A5154" w:rsidP="006A5154">
      <w:pPr>
        <w:jc w:val="both"/>
        <w:rPr>
          <w:rFonts w:ascii="Times New Roman" w:eastAsia="Times New Roman" w:hAnsi="Times New Roman" w:cs="Times New Roman"/>
          <w:color w:val="000000"/>
          <w:szCs w:val="24"/>
          <w:lang w:val="en-US"/>
        </w:rPr>
      </w:pPr>
      <w:r w:rsidRPr="006A5154">
        <w:rPr>
          <w:rFonts w:ascii="Times New Roman" w:eastAsia="Times New Roman" w:hAnsi="Times New Roman" w:cs="Times New Roman"/>
          <w:color w:val="000000"/>
          <w:vertAlign w:val="superscript"/>
          <w:lang w:val="en-US"/>
        </w:rPr>
        <w:t>11</w:t>
      </w:r>
      <w:r w:rsidRPr="006A5154">
        <w:rPr>
          <w:rFonts w:ascii="Times New Roman" w:eastAsia="Times New Roman" w:hAnsi="Times New Roman" w:cs="Times New Roman"/>
          <w:color w:val="000000"/>
          <w:szCs w:val="24"/>
          <w:lang w:val="en-US"/>
        </w:rPr>
        <w:t>NORMENT Centre, Department of Clinical Science, University of Bergen, Bergen, Norway.</w:t>
      </w:r>
    </w:p>
    <w:p w14:paraId="2F46233C" w14:textId="77777777" w:rsidR="006A5154" w:rsidRPr="006A5154" w:rsidRDefault="006A5154" w:rsidP="006A5154">
      <w:pPr>
        <w:jc w:val="both"/>
        <w:rPr>
          <w:rFonts w:ascii="Times New Roman" w:eastAsia="Times New Roman" w:hAnsi="Times New Roman" w:cs="Times New Roman"/>
          <w:szCs w:val="24"/>
          <w:lang w:val="en-US"/>
        </w:rPr>
      </w:pPr>
      <w:r w:rsidRPr="006A5154">
        <w:rPr>
          <w:rFonts w:ascii="Times New Roman" w:eastAsia="Times New Roman" w:hAnsi="Times New Roman" w:cs="Times New Roman"/>
          <w:color w:val="000000"/>
          <w:vertAlign w:val="superscript"/>
          <w:lang w:val="en-US"/>
        </w:rPr>
        <w:t>12</w:t>
      </w:r>
      <w:r w:rsidRPr="006A5154">
        <w:rPr>
          <w:rFonts w:ascii="Times New Roman" w:eastAsia="Times New Roman" w:hAnsi="Times New Roman" w:cs="Times New Roman"/>
          <w:color w:val="000000"/>
          <w:szCs w:val="24"/>
          <w:lang w:val="en-US"/>
        </w:rPr>
        <w:t>Department of Nutrition, University of North Carolina at Chapel Hill, Chapel Hill, NC, USA.</w:t>
      </w:r>
    </w:p>
    <w:p w14:paraId="30C271A4" w14:textId="77777777" w:rsidR="006A5154" w:rsidRPr="006A5154" w:rsidRDefault="006A5154" w:rsidP="006A5154">
      <w:pPr>
        <w:jc w:val="both"/>
        <w:rPr>
          <w:rFonts w:ascii="Times New Roman" w:eastAsia="Times New Roman" w:hAnsi="Times New Roman" w:cs="Times New Roman"/>
          <w:color w:val="000000"/>
          <w:szCs w:val="24"/>
          <w:lang w:val="en-US"/>
        </w:rPr>
      </w:pPr>
      <w:r w:rsidRPr="006A5154">
        <w:rPr>
          <w:rFonts w:ascii="Times New Roman" w:eastAsia="Times New Roman" w:hAnsi="Times New Roman" w:cs="Times New Roman"/>
          <w:color w:val="000000"/>
          <w:vertAlign w:val="superscript"/>
          <w:lang w:val="en-US"/>
        </w:rPr>
        <w:t>13</w:t>
      </w:r>
      <w:r w:rsidRPr="006A5154">
        <w:rPr>
          <w:rFonts w:ascii="Times New Roman" w:eastAsia="Times New Roman" w:hAnsi="Times New Roman" w:cs="Times New Roman"/>
          <w:color w:val="000000"/>
          <w:szCs w:val="24"/>
          <w:lang w:val="en-US"/>
        </w:rPr>
        <w:t>Department of Medical Epidemiology and Biostatistics, Karolinska Institutet, Stockholm, Sweden.</w:t>
      </w:r>
    </w:p>
    <w:p w14:paraId="2E8E66F0" w14:textId="77777777" w:rsidR="006A5154" w:rsidRPr="006A5154" w:rsidRDefault="006A5154" w:rsidP="006A5154">
      <w:pPr>
        <w:jc w:val="both"/>
        <w:rPr>
          <w:rFonts w:ascii="Times New Roman" w:eastAsia="Times New Roman" w:hAnsi="Times New Roman" w:cs="Times New Roman"/>
          <w:szCs w:val="24"/>
          <w:lang w:val="en-US"/>
        </w:rPr>
      </w:pPr>
      <w:r w:rsidRPr="006A5154">
        <w:rPr>
          <w:rFonts w:ascii="Times New Roman" w:eastAsia="Times New Roman" w:hAnsi="Times New Roman" w:cs="Times New Roman"/>
          <w:color w:val="000000"/>
          <w:vertAlign w:val="superscript"/>
          <w:lang w:val="en-US"/>
        </w:rPr>
        <w:t>14</w:t>
      </w:r>
      <w:r w:rsidRPr="006A5154">
        <w:rPr>
          <w:rFonts w:ascii="Times New Roman" w:eastAsia="Times New Roman" w:hAnsi="Times New Roman" w:cs="Times New Roman"/>
          <w:color w:val="000000"/>
          <w:szCs w:val="24"/>
          <w:lang w:val="en-US"/>
        </w:rPr>
        <w:t>Department of Psychiatry, University of North Carolina at Chapel Hill, Chapel Hill, NC, USA.</w:t>
      </w:r>
    </w:p>
    <w:p w14:paraId="3111079F" w14:textId="77777777" w:rsidR="009B1938" w:rsidRPr="00B66E86" w:rsidRDefault="009B1938" w:rsidP="009B1938">
      <w:pPr>
        <w:spacing w:line="240" w:lineRule="auto"/>
        <w:rPr>
          <w:rFonts w:ascii="Times New Roman" w:eastAsia="Times New Roman" w:hAnsi="Times New Roman" w:cs="Times New Roman"/>
          <w:szCs w:val="24"/>
          <w:lang w:val="en-GB"/>
        </w:rPr>
      </w:pPr>
    </w:p>
    <w:p w14:paraId="58F89B60" w14:textId="1F48C2F9" w:rsidR="009B1938" w:rsidRPr="006A5154" w:rsidRDefault="009B1938" w:rsidP="006A5154">
      <w:pPr>
        <w:spacing w:line="240" w:lineRule="auto"/>
        <w:jc w:val="both"/>
        <w:rPr>
          <w:rFonts w:ascii="Times New Roman" w:eastAsia="Times New Roman" w:hAnsi="Times New Roman" w:cs="Times New Roman"/>
          <w:szCs w:val="24"/>
          <w:lang w:val="en-GB"/>
        </w:rPr>
      </w:pPr>
      <w:r w:rsidRPr="00B66E86">
        <w:rPr>
          <w:rFonts w:ascii="Times New Roman" w:eastAsia="Times New Roman" w:hAnsi="Times New Roman" w:cs="Times New Roman"/>
          <w:color w:val="000000"/>
          <w:szCs w:val="24"/>
          <w:shd w:val="clear" w:color="auto" w:fill="FFFFFF"/>
          <w:lang w:val="en-GB"/>
        </w:rPr>
        <w:t>* Equal contribution</w:t>
      </w:r>
    </w:p>
    <w:p w14:paraId="24322B9E" w14:textId="77777777" w:rsidR="009B1938" w:rsidRDefault="009B1938" w:rsidP="00D617D5">
      <w:pPr>
        <w:spacing w:line="360" w:lineRule="auto"/>
        <w:rPr>
          <w:rFonts w:asciiTheme="majorBidi" w:hAnsiTheme="majorBidi" w:cstheme="majorBidi"/>
          <w:b/>
          <w:bCs/>
          <w:sz w:val="24"/>
          <w:szCs w:val="24"/>
          <w:lang w:val="en-US"/>
        </w:rPr>
      </w:pPr>
    </w:p>
    <w:p w14:paraId="77E7E778" w14:textId="7B4C0664" w:rsidR="00466434" w:rsidRPr="001D3829" w:rsidRDefault="002649DC" w:rsidP="00D617D5">
      <w:pPr>
        <w:spacing w:line="360" w:lineRule="auto"/>
        <w:rPr>
          <w:rFonts w:asciiTheme="majorBidi" w:hAnsiTheme="majorBidi" w:cstheme="majorBidi"/>
          <w:b/>
          <w:bCs/>
          <w:sz w:val="24"/>
          <w:szCs w:val="24"/>
          <w:lang w:val="en-US"/>
        </w:rPr>
      </w:pPr>
      <w:r w:rsidRPr="001D3829">
        <w:rPr>
          <w:rFonts w:asciiTheme="majorBidi" w:hAnsiTheme="majorBidi" w:cstheme="majorBidi"/>
          <w:b/>
          <w:bCs/>
          <w:sz w:val="24"/>
          <w:szCs w:val="24"/>
          <w:lang w:val="en-US"/>
        </w:rPr>
        <w:t>Supplementary methods</w:t>
      </w:r>
      <w:r w:rsidR="00437E9B" w:rsidRPr="001D3829">
        <w:rPr>
          <w:rFonts w:asciiTheme="majorBidi" w:hAnsiTheme="majorBidi" w:cstheme="majorBidi"/>
          <w:b/>
          <w:bCs/>
          <w:sz w:val="24"/>
          <w:szCs w:val="24"/>
          <w:lang w:val="en-US"/>
        </w:rPr>
        <w:tab/>
        <w:t xml:space="preserve">p. </w:t>
      </w:r>
      <w:r w:rsidR="00DD293E">
        <w:rPr>
          <w:rFonts w:asciiTheme="majorBidi" w:hAnsiTheme="majorBidi" w:cstheme="majorBidi"/>
          <w:b/>
          <w:bCs/>
          <w:sz w:val="24"/>
          <w:szCs w:val="24"/>
          <w:lang w:val="en-US"/>
        </w:rPr>
        <w:t>3-4</w:t>
      </w:r>
      <w:r w:rsidR="00437E9B" w:rsidRPr="001D3829">
        <w:rPr>
          <w:rFonts w:asciiTheme="majorBidi" w:hAnsiTheme="majorBidi" w:cstheme="majorBidi"/>
          <w:b/>
          <w:bCs/>
          <w:sz w:val="24"/>
          <w:szCs w:val="24"/>
          <w:lang w:val="en-US"/>
        </w:rPr>
        <w:t>.</w:t>
      </w:r>
    </w:p>
    <w:p w14:paraId="5AD887FD" w14:textId="2AFFB633" w:rsidR="00437E9B" w:rsidRPr="001D3829" w:rsidRDefault="00437E9B" w:rsidP="00ED6251">
      <w:pPr>
        <w:tabs>
          <w:tab w:val="left" w:pos="708"/>
          <w:tab w:val="left" w:pos="1416"/>
          <w:tab w:val="left" w:pos="2124"/>
          <w:tab w:val="left" w:pos="2832"/>
          <w:tab w:val="left" w:pos="3540"/>
          <w:tab w:val="left" w:pos="7060"/>
        </w:tabs>
        <w:spacing w:line="360" w:lineRule="auto"/>
        <w:rPr>
          <w:rFonts w:asciiTheme="majorBidi" w:hAnsiTheme="majorBidi" w:cstheme="majorBidi"/>
          <w:b/>
          <w:bCs/>
          <w:sz w:val="24"/>
          <w:szCs w:val="24"/>
          <w:lang w:val="en-US"/>
        </w:rPr>
      </w:pPr>
      <w:r w:rsidRPr="001D3829">
        <w:rPr>
          <w:rFonts w:asciiTheme="majorBidi" w:hAnsiTheme="majorBidi" w:cstheme="majorBidi"/>
          <w:b/>
          <w:bCs/>
          <w:sz w:val="24"/>
          <w:szCs w:val="24"/>
          <w:lang w:val="en-US"/>
        </w:rPr>
        <w:t>Supplementary results</w:t>
      </w:r>
      <w:r w:rsidRPr="001D3829">
        <w:rPr>
          <w:rFonts w:asciiTheme="majorBidi" w:hAnsiTheme="majorBidi" w:cstheme="majorBidi"/>
          <w:b/>
          <w:bCs/>
          <w:sz w:val="24"/>
          <w:szCs w:val="24"/>
          <w:lang w:val="en-US"/>
        </w:rPr>
        <w:tab/>
        <w:t xml:space="preserve">p. </w:t>
      </w:r>
      <w:r w:rsidR="00DD293E">
        <w:rPr>
          <w:rFonts w:asciiTheme="majorBidi" w:hAnsiTheme="majorBidi" w:cstheme="majorBidi"/>
          <w:b/>
          <w:bCs/>
          <w:sz w:val="24"/>
          <w:szCs w:val="24"/>
          <w:lang w:val="en-US"/>
        </w:rPr>
        <w:t>5</w:t>
      </w:r>
      <w:r w:rsidR="009C3127">
        <w:rPr>
          <w:rFonts w:asciiTheme="majorBidi" w:hAnsiTheme="majorBidi" w:cstheme="majorBidi"/>
          <w:b/>
          <w:bCs/>
          <w:sz w:val="24"/>
          <w:szCs w:val="24"/>
          <w:lang w:val="en-US"/>
        </w:rPr>
        <w:t>-</w:t>
      </w:r>
      <w:r w:rsidR="00DD293E">
        <w:rPr>
          <w:rFonts w:asciiTheme="majorBidi" w:hAnsiTheme="majorBidi" w:cstheme="majorBidi"/>
          <w:b/>
          <w:bCs/>
          <w:sz w:val="24"/>
          <w:szCs w:val="24"/>
          <w:lang w:val="en-US"/>
        </w:rPr>
        <w:t>6</w:t>
      </w:r>
      <w:r w:rsidRPr="001D3829">
        <w:rPr>
          <w:rFonts w:asciiTheme="majorBidi" w:hAnsiTheme="majorBidi" w:cstheme="majorBidi"/>
          <w:b/>
          <w:bCs/>
          <w:sz w:val="24"/>
          <w:szCs w:val="24"/>
          <w:lang w:val="en-US"/>
        </w:rPr>
        <w:t>.</w:t>
      </w:r>
      <w:r w:rsidR="00ED6251">
        <w:rPr>
          <w:rFonts w:asciiTheme="majorBidi" w:hAnsiTheme="majorBidi" w:cstheme="majorBidi"/>
          <w:b/>
          <w:bCs/>
          <w:sz w:val="24"/>
          <w:szCs w:val="24"/>
          <w:lang w:val="en-US"/>
        </w:rPr>
        <w:tab/>
      </w:r>
      <w:r w:rsidR="00ED6251">
        <w:rPr>
          <w:rFonts w:asciiTheme="majorBidi" w:hAnsiTheme="majorBidi" w:cstheme="majorBidi"/>
          <w:b/>
          <w:bCs/>
          <w:sz w:val="24"/>
          <w:szCs w:val="24"/>
          <w:lang w:val="en-US"/>
        </w:rPr>
        <w:tab/>
      </w:r>
    </w:p>
    <w:p w14:paraId="51E2DC45" w14:textId="04E0DFF9" w:rsidR="00246AFE" w:rsidRDefault="00246AFE" w:rsidP="00D617D5">
      <w:p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Figure S1</w:t>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t xml:space="preserve">p. </w:t>
      </w:r>
      <w:r w:rsidR="00DD293E">
        <w:rPr>
          <w:rFonts w:asciiTheme="majorBidi" w:hAnsiTheme="majorBidi" w:cstheme="majorBidi"/>
          <w:b/>
          <w:bCs/>
          <w:sz w:val="24"/>
          <w:szCs w:val="24"/>
          <w:lang w:val="en-US"/>
        </w:rPr>
        <w:t>7</w:t>
      </w:r>
      <w:r>
        <w:rPr>
          <w:rFonts w:asciiTheme="majorBidi" w:hAnsiTheme="majorBidi" w:cstheme="majorBidi"/>
          <w:b/>
          <w:bCs/>
          <w:sz w:val="24"/>
          <w:szCs w:val="24"/>
          <w:lang w:val="en-US"/>
        </w:rPr>
        <w:t>.</w:t>
      </w:r>
    </w:p>
    <w:p w14:paraId="67000539" w14:textId="04361246" w:rsidR="00437E9B" w:rsidRPr="001D3829" w:rsidRDefault="00437E9B" w:rsidP="00D617D5">
      <w:pPr>
        <w:spacing w:line="360" w:lineRule="auto"/>
        <w:rPr>
          <w:rFonts w:asciiTheme="majorBidi" w:hAnsiTheme="majorBidi" w:cstheme="majorBidi"/>
          <w:b/>
          <w:bCs/>
          <w:sz w:val="24"/>
          <w:szCs w:val="24"/>
          <w:lang w:val="en-US"/>
        </w:rPr>
      </w:pPr>
      <w:r w:rsidRPr="001D3829">
        <w:rPr>
          <w:rFonts w:asciiTheme="majorBidi" w:hAnsiTheme="majorBidi" w:cstheme="majorBidi"/>
          <w:b/>
          <w:bCs/>
          <w:sz w:val="24"/>
          <w:szCs w:val="24"/>
          <w:lang w:val="en-US"/>
        </w:rPr>
        <w:t xml:space="preserve">Figure </w:t>
      </w:r>
      <w:r w:rsidR="00A770AF">
        <w:rPr>
          <w:rFonts w:asciiTheme="majorBidi" w:hAnsiTheme="majorBidi" w:cstheme="majorBidi"/>
          <w:b/>
          <w:bCs/>
          <w:sz w:val="24"/>
          <w:szCs w:val="24"/>
          <w:lang w:val="en-US"/>
        </w:rPr>
        <w:t>S</w:t>
      </w:r>
      <w:r w:rsidR="00246AFE">
        <w:rPr>
          <w:rFonts w:asciiTheme="majorBidi" w:hAnsiTheme="majorBidi" w:cstheme="majorBidi"/>
          <w:b/>
          <w:bCs/>
          <w:sz w:val="24"/>
          <w:szCs w:val="24"/>
          <w:lang w:val="en-US"/>
        </w:rPr>
        <w:t>2</w:t>
      </w:r>
      <w:r w:rsidRPr="001D3829">
        <w:rPr>
          <w:rFonts w:asciiTheme="majorBidi" w:hAnsiTheme="majorBidi" w:cstheme="majorBidi"/>
          <w:b/>
          <w:bCs/>
          <w:sz w:val="24"/>
          <w:szCs w:val="24"/>
          <w:lang w:val="en-US"/>
        </w:rPr>
        <w:tab/>
      </w:r>
      <w:r w:rsidR="00962247">
        <w:rPr>
          <w:rFonts w:asciiTheme="majorBidi" w:hAnsiTheme="majorBidi" w:cstheme="majorBidi"/>
          <w:b/>
          <w:bCs/>
          <w:sz w:val="24"/>
          <w:szCs w:val="24"/>
          <w:lang w:val="en-US"/>
        </w:rPr>
        <w:tab/>
      </w:r>
      <w:r w:rsidR="00962247">
        <w:rPr>
          <w:rFonts w:asciiTheme="majorBidi" w:hAnsiTheme="majorBidi" w:cstheme="majorBidi"/>
          <w:b/>
          <w:bCs/>
          <w:sz w:val="24"/>
          <w:szCs w:val="24"/>
          <w:lang w:val="en-US"/>
        </w:rPr>
        <w:tab/>
      </w:r>
      <w:r w:rsidRPr="001D3829">
        <w:rPr>
          <w:rFonts w:asciiTheme="majorBidi" w:hAnsiTheme="majorBidi" w:cstheme="majorBidi"/>
          <w:b/>
          <w:bCs/>
          <w:sz w:val="24"/>
          <w:szCs w:val="24"/>
          <w:lang w:val="en-US"/>
        </w:rPr>
        <w:t xml:space="preserve">p. </w:t>
      </w:r>
      <w:r w:rsidR="00DD293E">
        <w:rPr>
          <w:rFonts w:asciiTheme="majorBidi" w:hAnsiTheme="majorBidi" w:cstheme="majorBidi"/>
          <w:b/>
          <w:bCs/>
          <w:sz w:val="24"/>
          <w:szCs w:val="24"/>
          <w:lang w:val="en-US"/>
        </w:rPr>
        <w:t>8</w:t>
      </w:r>
      <w:r w:rsidR="00D617D5">
        <w:rPr>
          <w:rFonts w:asciiTheme="majorBidi" w:hAnsiTheme="majorBidi" w:cstheme="majorBidi"/>
          <w:b/>
          <w:bCs/>
          <w:sz w:val="24"/>
          <w:szCs w:val="24"/>
          <w:lang w:val="en-US"/>
        </w:rPr>
        <w:t>-</w:t>
      </w:r>
      <w:r w:rsidR="00DD293E">
        <w:rPr>
          <w:rFonts w:asciiTheme="majorBidi" w:hAnsiTheme="majorBidi" w:cstheme="majorBidi"/>
          <w:b/>
          <w:bCs/>
          <w:sz w:val="24"/>
          <w:szCs w:val="24"/>
          <w:lang w:val="en-US"/>
        </w:rPr>
        <w:t>9</w:t>
      </w:r>
      <w:r w:rsidRPr="001D3829">
        <w:rPr>
          <w:rFonts w:asciiTheme="majorBidi" w:hAnsiTheme="majorBidi" w:cstheme="majorBidi"/>
          <w:b/>
          <w:bCs/>
          <w:sz w:val="24"/>
          <w:szCs w:val="24"/>
          <w:lang w:val="en-US"/>
        </w:rPr>
        <w:t>.</w:t>
      </w:r>
    </w:p>
    <w:p w14:paraId="6551FF57" w14:textId="3E9DF28A" w:rsidR="00437E9B" w:rsidRDefault="00437E9B" w:rsidP="00D617D5">
      <w:pPr>
        <w:spacing w:line="360" w:lineRule="auto"/>
        <w:rPr>
          <w:rFonts w:asciiTheme="majorBidi" w:hAnsiTheme="majorBidi" w:cstheme="majorBidi"/>
          <w:b/>
          <w:bCs/>
          <w:sz w:val="24"/>
          <w:szCs w:val="24"/>
          <w:lang w:val="en-US"/>
        </w:rPr>
      </w:pPr>
      <w:r w:rsidRPr="001D3829">
        <w:rPr>
          <w:rFonts w:asciiTheme="majorBidi" w:hAnsiTheme="majorBidi" w:cstheme="majorBidi"/>
          <w:b/>
          <w:bCs/>
          <w:sz w:val="24"/>
          <w:szCs w:val="24"/>
          <w:lang w:val="en-US"/>
        </w:rPr>
        <w:t xml:space="preserve">Figure </w:t>
      </w:r>
      <w:r w:rsidR="00A770AF">
        <w:rPr>
          <w:rFonts w:asciiTheme="majorBidi" w:hAnsiTheme="majorBidi" w:cstheme="majorBidi"/>
          <w:b/>
          <w:bCs/>
          <w:sz w:val="24"/>
          <w:szCs w:val="24"/>
          <w:lang w:val="en-US"/>
        </w:rPr>
        <w:t>S</w:t>
      </w:r>
      <w:r w:rsidR="00246AFE">
        <w:rPr>
          <w:rFonts w:asciiTheme="majorBidi" w:hAnsiTheme="majorBidi" w:cstheme="majorBidi"/>
          <w:b/>
          <w:bCs/>
          <w:sz w:val="24"/>
          <w:szCs w:val="24"/>
          <w:lang w:val="en-US"/>
        </w:rPr>
        <w:t>3</w:t>
      </w:r>
      <w:r w:rsidRPr="001D3829">
        <w:rPr>
          <w:rFonts w:asciiTheme="majorBidi" w:hAnsiTheme="majorBidi" w:cstheme="majorBidi"/>
          <w:b/>
          <w:bCs/>
          <w:sz w:val="24"/>
          <w:szCs w:val="24"/>
          <w:lang w:val="en-US"/>
        </w:rPr>
        <w:tab/>
      </w:r>
      <w:r w:rsidR="00962247">
        <w:rPr>
          <w:rFonts w:asciiTheme="majorBidi" w:hAnsiTheme="majorBidi" w:cstheme="majorBidi"/>
          <w:b/>
          <w:bCs/>
          <w:sz w:val="24"/>
          <w:szCs w:val="24"/>
          <w:lang w:val="en-US"/>
        </w:rPr>
        <w:tab/>
      </w:r>
      <w:r w:rsidR="00962247">
        <w:rPr>
          <w:rFonts w:asciiTheme="majorBidi" w:hAnsiTheme="majorBidi" w:cstheme="majorBidi"/>
          <w:b/>
          <w:bCs/>
          <w:sz w:val="24"/>
          <w:szCs w:val="24"/>
          <w:lang w:val="en-US"/>
        </w:rPr>
        <w:tab/>
      </w:r>
      <w:r w:rsidRPr="001D3829">
        <w:rPr>
          <w:rFonts w:asciiTheme="majorBidi" w:hAnsiTheme="majorBidi" w:cstheme="majorBidi"/>
          <w:b/>
          <w:bCs/>
          <w:sz w:val="24"/>
          <w:szCs w:val="24"/>
          <w:lang w:val="en-US"/>
        </w:rPr>
        <w:t xml:space="preserve">p. </w:t>
      </w:r>
      <w:r w:rsidR="00DD293E">
        <w:rPr>
          <w:rFonts w:asciiTheme="majorBidi" w:hAnsiTheme="majorBidi" w:cstheme="majorBidi"/>
          <w:b/>
          <w:bCs/>
          <w:sz w:val="24"/>
          <w:szCs w:val="24"/>
          <w:lang w:val="en-US"/>
        </w:rPr>
        <w:t>10</w:t>
      </w:r>
      <w:r w:rsidR="00D617D5">
        <w:rPr>
          <w:rFonts w:asciiTheme="majorBidi" w:hAnsiTheme="majorBidi" w:cstheme="majorBidi"/>
          <w:b/>
          <w:bCs/>
          <w:sz w:val="24"/>
          <w:szCs w:val="24"/>
          <w:lang w:val="en-US"/>
        </w:rPr>
        <w:t>-</w:t>
      </w:r>
      <w:r w:rsidR="00DD293E">
        <w:rPr>
          <w:rFonts w:asciiTheme="majorBidi" w:hAnsiTheme="majorBidi" w:cstheme="majorBidi"/>
          <w:b/>
          <w:bCs/>
          <w:sz w:val="24"/>
          <w:szCs w:val="24"/>
          <w:lang w:val="en-US"/>
        </w:rPr>
        <w:t>11</w:t>
      </w:r>
      <w:r w:rsidRPr="001D3829">
        <w:rPr>
          <w:rFonts w:asciiTheme="majorBidi" w:hAnsiTheme="majorBidi" w:cstheme="majorBidi"/>
          <w:b/>
          <w:bCs/>
          <w:sz w:val="24"/>
          <w:szCs w:val="24"/>
          <w:lang w:val="en-US"/>
        </w:rPr>
        <w:t>.</w:t>
      </w:r>
    </w:p>
    <w:p w14:paraId="622A1915" w14:textId="0D256B9E" w:rsidR="00F2697F" w:rsidRPr="001D3829" w:rsidRDefault="00F2697F" w:rsidP="00D617D5">
      <w:p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References</w:t>
      </w:r>
      <w:r>
        <w:rPr>
          <w:rFonts w:asciiTheme="majorBidi" w:hAnsiTheme="majorBidi" w:cstheme="majorBidi"/>
          <w:b/>
          <w:bCs/>
          <w:sz w:val="24"/>
          <w:szCs w:val="24"/>
          <w:lang w:val="en-US"/>
        </w:rPr>
        <w:tab/>
      </w:r>
      <w:r>
        <w:rPr>
          <w:rFonts w:asciiTheme="majorBidi" w:hAnsiTheme="majorBidi" w:cstheme="majorBidi"/>
          <w:b/>
          <w:bCs/>
          <w:sz w:val="24"/>
          <w:szCs w:val="24"/>
          <w:lang w:val="en-US"/>
        </w:rPr>
        <w:tab/>
      </w:r>
      <w:r>
        <w:rPr>
          <w:rFonts w:asciiTheme="majorBidi" w:hAnsiTheme="majorBidi" w:cstheme="majorBidi"/>
          <w:b/>
          <w:bCs/>
          <w:sz w:val="24"/>
          <w:szCs w:val="24"/>
          <w:lang w:val="en-US"/>
        </w:rPr>
        <w:tab/>
        <w:t xml:space="preserve">p. </w:t>
      </w:r>
      <w:r w:rsidR="00DD293E">
        <w:rPr>
          <w:rFonts w:asciiTheme="majorBidi" w:hAnsiTheme="majorBidi" w:cstheme="majorBidi"/>
          <w:b/>
          <w:bCs/>
          <w:sz w:val="24"/>
          <w:szCs w:val="24"/>
          <w:lang w:val="en-US"/>
        </w:rPr>
        <w:t>11-12</w:t>
      </w:r>
      <w:r>
        <w:rPr>
          <w:rFonts w:asciiTheme="majorBidi" w:hAnsiTheme="majorBidi" w:cstheme="majorBidi"/>
          <w:b/>
          <w:bCs/>
          <w:sz w:val="24"/>
          <w:szCs w:val="24"/>
          <w:lang w:val="en-US"/>
        </w:rPr>
        <w:t>.</w:t>
      </w:r>
    </w:p>
    <w:p w14:paraId="306252D4" w14:textId="77777777" w:rsidR="00F454C0" w:rsidRPr="001D3829" w:rsidRDefault="00F454C0" w:rsidP="00D617D5">
      <w:pPr>
        <w:spacing w:line="360" w:lineRule="auto"/>
        <w:rPr>
          <w:rFonts w:asciiTheme="majorBidi" w:hAnsiTheme="majorBidi" w:cstheme="majorBidi"/>
          <w:b/>
          <w:bCs/>
          <w:sz w:val="24"/>
          <w:szCs w:val="24"/>
          <w:lang w:val="en-US"/>
        </w:rPr>
      </w:pPr>
    </w:p>
    <w:p w14:paraId="0568FB7E" w14:textId="77777777" w:rsidR="00A770AF" w:rsidRDefault="00A770AF" w:rsidP="00D617D5">
      <w:pPr>
        <w:spacing w:line="360" w:lineRule="auto"/>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br w:type="page"/>
      </w:r>
    </w:p>
    <w:p w14:paraId="52FBE217" w14:textId="33F627FE" w:rsidR="00B90A3B" w:rsidRPr="001D3829" w:rsidRDefault="00B90A3B" w:rsidP="00D617D5">
      <w:pPr>
        <w:spacing w:before="240" w:after="240" w:line="360" w:lineRule="auto"/>
        <w:jc w:val="center"/>
        <w:rPr>
          <w:rFonts w:ascii="Times New Roman" w:eastAsia="Times New Roman" w:hAnsi="Times New Roman" w:cs="Times New Roman"/>
          <w:b/>
          <w:bCs/>
          <w:color w:val="000000"/>
          <w:sz w:val="24"/>
          <w:szCs w:val="24"/>
          <w:lang w:val="en-US"/>
        </w:rPr>
      </w:pPr>
      <w:r w:rsidRPr="001D3829">
        <w:rPr>
          <w:rFonts w:ascii="Times New Roman" w:eastAsia="Times New Roman" w:hAnsi="Times New Roman" w:cs="Times New Roman"/>
          <w:b/>
          <w:bCs/>
          <w:color w:val="000000"/>
          <w:sz w:val="24"/>
          <w:szCs w:val="24"/>
          <w:lang w:val="en-US"/>
        </w:rPr>
        <w:lastRenderedPageBreak/>
        <w:t>SUPPLEMENTARY METHODS</w:t>
      </w:r>
    </w:p>
    <w:p w14:paraId="4B3DD5D2" w14:textId="5A1DF0DB" w:rsidR="00F81C4E" w:rsidRDefault="00F81C4E" w:rsidP="00D617D5">
      <w:pPr>
        <w:spacing w:before="240" w:after="240" w:line="360" w:lineRule="auto"/>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Sample</w:t>
      </w:r>
      <w:r w:rsidR="007F428A">
        <w:rPr>
          <w:rFonts w:ascii="Times New Roman" w:eastAsia="Times New Roman" w:hAnsi="Times New Roman" w:cs="Times New Roman"/>
          <w:b/>
          <w:bCs/>
          <w:color w:val="000000"/>
          <w:sz w:val="24"/>
          <w:szCs w:val="24"/>
          <w:lang w:val="en-US"/>
        </w:rPr>
        <w:t xml:space="preserve"> overlap</w:t>
      </w:r>
    </w:p>
    <w:p w14:paraId="392A0776" w14:textId="0A197D3B" w:rsidR="00E51C81" w:rsidRDefault="009902EC" w:rsidP="007F428A">
      <w:pPr>
        <w:spacing w:before="240" w:after="240" w:line="360" w:lineRule="auto"/>
        <w:ind w:firstLine="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w:t>
      </w:r>
      <w:r w:rsidRPr="009902EC">
        <w:rPr>
          <w:rFonts w:ascii="Times New Roman" w:eastAsia="Times New Roman" w:hAnsi="Times New Roman" w:cs="Times New Roman"/>
          <w:color w:val="000000"/>
          <w:sz w:val="24"/>
          <w:szCs w:val="24"/>
          <w:lang w:val="en-US"/>
        </w:rPr>
        <w:t xml:space="preserve"> small proportion of our AN sample (4.5%; 768 AN </w:t>
      </w:r>
      <w:proofErr w:type="gramStart"/>
      <w:r w:rsidRPr="009902EC">
        <w:rPr>
          <w:rFonts w:ascii="Times New Roman" w:eastAsia="Times New Roman" w:hAnsi="Times New Roman" w:cs="Times New Roman"/>
          <w:color w:val="000000"/>
          <w:sz w:val="24"/>
          <w:szCs w:val="24"/>
          <w:lang w:val="en-US"/>
        </w:rPr>
        <w:t>cases</w:t>
      </w:r>
      <w:proofErr w:type="gramEnd"/>
      <w:r w:rsidRPr="009902EC">
        <w:rPr>
          <w:rFonts w:ascii="Times New Roman" w:eastAsia="Times New Roman" w:hAnsi="Times New Roman" w:cs="Times New Roman"/>
          <w:color w:val="000000"/>
          <w:sz w:val="24"/>
          <w:szCs w:val="24"/>
          <w:lang w:val="en-US"/>
        </w:rPr>
        <w:t xml:space="preserve"> and 3065 controls) was derived from the UK Biobank, which also contributed to the BIP, MOOD, NEUR and INT samples (see Supplementary material).</w:t>
      </w:r>
      <w:r w:rsidR="00402113" w:rsidRPr="00402113">
        <w:rPr>
          <w:rFonts w:ascii="Times New Roman" w:eastAsia="Times New Roman" w:hAnsi="Times New Roman" w:cs="Times New Roman"/>
          <w:color w:val="000000"/>
          <w:sz w:val="24"/>
          <w:szCs w:val="24"/>
          <w:lang w:val="en-US"/>
        </w:rPr>
        <w:t xml:space="preserve"> </w:t>
      </w:r>
      <w:r w:rsidR="00B66E86">
        <w:rPr>
          <w:rFonts w:ascii="Times New Roman" w:eastAsia="Times New Roman" w:hAnsi="Times New Roman" w:cs="Times New Roman"/>
          <w:color w:val="000000"/>
          <w:sz w:val="24"/>
          <w:szCs w:val="24"/>
          <w:lang w:val="en-US"/>
        </w:rPr>
        <w:t>Since we had access to sub-study data for BIP, we therefore excluded UKB samples from our BIP summary statistics.</w:t>
      </w:r>
    </w:p>
    <w:p w14:paraId="798EE31F" w14:textId="5D57D003" w:rsidR="00BA1807" w:rsidRDefault="00D677BA" w:rsidP="00BA1807">
      <w:pPr>
        <w:spacing w:before="240" w:after="240" w:line="360" w:lineRule="auto"/>
        <w:ind w:firstLine="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We were unable to exclude samples that overlapped in the </w:t>
      </w:r>
      <w:proofErr w:type="spellStart"/>
      <w:r>
        <w:rPr>
          <w:rFonts w:ascii="Times New Roman" w:eastAsia="Times New Roman" w:hAnsi="Times New Roman" w:cs="Times New Roman"/>
          <w:color w:val="000000"/>
          <w:sz w:val="24"/>
          <w:szCs w:val="24"/>
          <w:lang w:val="en-US"/>
        </w:rPr>
        <w:t>conjFDR</w:t>
      </w:r>
      <w:proofErr w:type="spellEnd"/>
      <w:r>
        <w:rPr>
          <w:rFonts w:ascii="Times New Roman" w:eastAsia="Times New Roman" w:hAnsi="Times New Roman" w:cs="Times New Roman"/>
          <w:color w:val="000000"/>
          <w:sz w:val="24"/>
          <w:szCs w:val="24"/>
          <w:lang w:val="en-US"/>
        </w:rPr>
        <w:t xml:space="preserve"> analyses of</w:t>
      </w:r>
      <w:r w:rsidR="00402113">
        <w:rPr>
          <w:rFonts w:ascii="Times New Roman" w:eastAsia="Times New Roman" w:hAnsi="Times New Roman" w:cs="Times New Roman"/>
          <w:color w:val="000000"/>
          <w:sz w:val="24"/>
          <w:szCs w:val="24"/>
          <w:lang w:val="en-US"/>
        </w:rPr>
        <w:t xml:space="preserve"> the remaining phenotypes MOOD, NEUR and INT</w:t>
      </w:r>
      <w:r>
        <w:rPr>
          <w:rFonts w:ascii="Times New Roman" w:eastAsia="Times New Roman" w:hAnsi="Times New Roman" w:cs="Times New Roman"/>
          <w:color w:val="000000"/>
          <w:sz w:val="24"/>
          <w:szCs w:val="24"/>
          <w:lang w:val="en-US"/>
        </w:rPr>
        <w:t>.</w:t>
      </w:r>
      <w:r w:rsidR="00E51C81">
        <w:rPr>
          <w:rFonts w:ascii="Times New Roman" w:eastAsia="Times New Roman" w:hAnsi="Times New Roman" w:cs="Times New Roman"/>
          <w:color w:val="000000"/>
          <w:sz w:val="24"/>
          <w:szCs w:val="24"/>
          <w:lang w:val="en-US"/>
        </w:rPr>
        <w:t xml:space="preserve"> </w:t>
      </w:r>
      <w:r w:rsidR="009965E0">
        <w:rPr>
          <w:rFonts w:ascii="Times New Roman" w:eastAsia="Times New Roman" w:hAnsi="Times New Roman" w:cs="Times New Roman"/>
          <w:color w:val="000000"/>
          <w:sz w:val="24"/>
          <w:szCs w:val="24"/>
          <w:lang w:val="en-US"/>
        </w:rPr>
        <w:t xml:space="preserve">In the MOOD sample, 363,705 participants were derived from </w:t>
      </w:r>
      <w:r w:rsidR="002D1A85">
        <w:rPr>
          <w:rFonts w:ascii="Times New Roman" w:eastAsia="Times New Roman" w:hAnsi="Times New Roman" w:cs="Times New Roman"/>
          <w:color w:val="000000"/>
          <w:sz w:val="24"/>
          <w:szCs w:val="24"/>
          <w:lang w:val="en-US"/>
        </w:rPr>
        <w:t xml:space="preserve">the </w:t>
      </w:r>
      <w:r w:rsidR="009965E0">
        <w:rPr>
          <w:rFonts w:ascii="Times New Roman" w:eastAsia="Times New Roman" w:hAnsi="Times New Roman" w:cs="Times New Roman"/>
          <w:color w:val="000000"/>
          <w:sz w:val="24"/>
          <w:szCs w:val="24"/>
          <w:lang w:val="en-US"/>
        </w:rPr>
        <w:t xml:space="preserve">UK Biobank. The corresponding numbers for NEUR and INT were </w:t>
      </w:r>
      <w:r w:rsidR="00BA1807">
        <w:rPr>
          <w:rFonts w:ascii="Times New Roman" w:eastAsia="Times New Roman" w:hAnsi="Times New Roman" w:cs="Times New Roman"/>
          <w:color w:val="000000"/>
          <w:sz w:val="24"/>
          <w:szCs w:val="24"/>
          <w:lang w:val="en-US"/>
        </w:rPr>
        <w:t>372,903 and 195,653.</w:t>
      </w:r>
      <w:r w:rsidR="00175464">
        <w:rPr>
          <w:rFonts w:ascii="Times New Roman" w:eastAsia="Times New Roman" w:hAnsi="Times New Roman" w:cs="Times New Roman"/>
          <w:color w:val="000000"/>
          <w:sz w:val="24"/>
          <w:szCs w:val="24"/>
          <w:lang w:val="en-US"/>
        </w:rPr>
        <w:t xml:space="preserve"> We note that since </w:t>
      </w:r>
      <w:r w:rsidR="001007BB">
        <w:rPr>
          <w:rFonts w:ascii="Times New Roman" w:eastAsia="Times New Roman" w:hAnsi="Times New Roman" w:cs="Times New Roman"/>
          <w:color w:val="000000"/>
          <w:sz w:val="24"/>
          <w:szCs w:val="24"/>
          <w:lang w:val="en-US"/>
        </w:rPr>
        <w:t>only a small proportion of our</w:t>
      </w:r>
      <w:r w:rsidR="00175464">
        <w:rPr>
          <w:rFonts w:ascii="Times New Roman" w:eastAsia="Times New Roman" w:hAnsi="Times New Roman" w:cs="Times New Roman"/>
          <w:color w:val="000000"/>
          <w:sz w:val="24"/>
          <w:szCs w:val="24"/>
          <w:lang w:val="en-US"/>
        </w:rPr>
        <w:t xml:space="preserve"> AN sample </w:t>
      </w:r>
      <w:r w:rsidR="001007BB">
        <w:rPr>
          <w:rFonts w:ascii="Times New Roman" w:eastAsia="Times New Roman" w:hAnsi="Times New Roman" w:cs="Times New Roman"/>
          <w:color w:val="000000"/>
          <w:sz w:val="24"/>
          <w:szCs w:val="24"/>
          <w:lang w:val="en-US"/>
        </w:rPr>
        <w:t xml:space="preserve">was derived from the UK Biobank, the sample overlap </w:t>
      </w:r>
      <w:r w:rsidR="00620B87">
        <w:rPr>
          <w:rFonts w:ascii="Times New Roman" w:eastAsia="Times New Roman" w:hAnsi="Times New Roman" w:cs="Times New Roman"/>
          <w:color w:val="000000"/>
          <w:sz w:val="24"/>
          <w:szCs w:val="24"/>
          <w:lang w:val="en-US"/>
        </w:rPr>
        <w:t>with MOOD, NEUR and INT samples is very small.</w:t>
      </w:r>
    </w:p>
    <w:p w14:paraId="36FB8736" w14:textId="77777777" w:rsidR="00F62B81" w:rsidRDefault="00F62B81" w:rsidP="00D617D5">
      <w:pPr>
        <w:spacing w:before="240" w:after="240" w:line="360" w:lineRule="auto"/>
        <w:rPr>
          <w:rFonts w:ascii="Times New Roman" w:eastAsia="Times New Roman" w:hAnsi="Times New Roman" w:cs="Times New Roman"/>
          <w:color w:val="000000"/>
          <w:sz w:val="24"/>
          <w:szCs w:val="28"/>
          <w:lang w:val="en-US"/>
        </w:rPr>
      </w:pPr>
    </w:p>
    <w:p w14:paraId="2CF4100F" w14:textId="63AE7641" w:rsidR="00DB462F" w:rsidRDefault="007D3308" w:rsidP="00D617D5">
      <w:pPr>
        <w:spacing w:before="240" w:after="240" w:line="360" w:lineRule="auto"/>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Phenotyping</w:t>
      </w:r>
    </w:p>
    <w:p w14:paraId="151177B8" w14:textId="68EE4AF0" w:rsidR="00DB462F" w:rsidRDefault="004900FB" w:rsidP="00C84A32">
      <w:pPr>
        <w:spacing w:before="240" w:after="240" w:line="360" w:lineRule="auto"/>
        <w:ind w:firstLine="708"/>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Details regarding the phenotype definitions </w:t>
      </w:r>
      <w:r w:rsidR="00E1682D">
        <w:rPr>
          <w:rFonts w:ascii="Times New Roman" w:eastAsia="Times New Roman" w:hAnsi="Times New Roman" w:cs="Times New Roman"/>
          <w:color w:val="000000"/>
          <w:sz w:val="24"/>
          <w:szCs w:val="24"/>
          <w:lang w:val="en-US"/>
        </w:rPr>
        <w:t>in the individual GWAS samples are described in the original papers.</w:t>
      </w:r>
      <w:r w:rsidR="00C84A32">
        <w:rPr>
          <w:rFonts w:ascii="Times New Roman" w:eastAsia="Times New Roman" w:hAnsi="Times New Roman" w:cs="Times New Roman"/>
          <w:color w:val="000000"/>
          <w:sz w:val="24"/>
          <w:szCs w:val="24"/>
          <w:lang w:val="en-US"/>
        </w:rPr>
        <w:t xml:space="preserve"> </w:t>
      </w:r>
      <w:r w:rsidR="00961F86">
        <w:rPr>
          <w:rFonts w:ascii="Times New Roman" w:eastAsia="Times New Roman" w:hAnsi="Times New Roman" w:cs="Times New Roman"/>
          <w:color w:val="000000"/>
          <w:sz w:val="24"/>
          <w:szCs w:val="24"/>
          <w:lang w:val="en-US"/>
        </w:rPr>
        <w:t xml:space="preserve">For the major psychiatric disorders </w:t>
      </w:r>
      <w:r w:rsidR="004B4589">
        <w:rPr>
          <w:rFonts w:ascii="Times New Roman" w:eastAsia="Times New Roman" w:hAnsi="Times New Roman" w:cs="Times New Roman"/>
          <w:color w:val="000000"/>
          <w:sz w:val="24"/>
          <w:szCs w:val="24"/>
          <w:lang w:val="en-US"/>
        </w:rPr>
        <w:t xml:space="preserve">anorexia nervosa (AN), </w:t>
      </w:r>
      <w:r w:rsidR="00961F86">
        <w:rPr>
          <w:rFonts w:ascii="Times New Roman" w:eastAsia="Times New Roman" w:hAnsi="Times New Roman" w:cs="Times New Roman"/>
          <w:color w:val="000000"/>
          <w:sz w:val="24"/>
          <w:szCs w:val="24"/>
          <w:lang w:val="en-US"/>
        </w:rPr>
        <w:t>schizophrenia (SCZ), bipolar disorder (BIP) and major depression (MD)</w:t>
      </w:r>
      <w:r w:rsidR="004B4589">
        <w:rPr>
          <w:rFonts w:ascii="Times New Roman" w:eastAsia="Times New Roman" w:hAnsi="Times New Roman" w:cs="Times New Roman"/>
          <w:color w:val="000000"/>
          <w:sz w:val="24"/>
          <w:szCs w:val="24"/>
          <w:lang w:val="en-US"/>
        </w:rPr>
        <w:t>; the phenotyp</w:t>
      </w:r>
      <w:r w:rsidR="00226249">
        <w:rPr>
          <w:rFonts w:ascii="Times New Roman" w:eastAsia="Times New Roman" w:hAnsi="Times New Roman" w:cs="Times New Roman"/>
          <w:color w:val="000000"/>
          <w:sz w:val="24"/>
          <w:szCs w:val="24"/>
          <w:lang w:val="en-US"/>
        </w:rPr>
        <w:t>e</w:t>
      </w:r>
      <w:r w:rsidR="004B4589">
        <w:rPr>
          <w:rFonts w:ascii="Times New Roman" w:eastAsia="Times New Roman" w:hAnsi="Times New Roman" w:cs="Times New Roman"/>
          <w:color w:val="000000"/>
          <w:sz w:val="24"/>
          <w:szCs w:val="24"/>
          <w:lang w:val="en-US"/>
        </w:rPr>
        <w:t xml:space="preserve"> definitions involved </w:t>
      </w:r>
      <w:r w:rsidR="009F51A2">
        <w:rPr>
          <w:rFonts w:ascii="Times New Roman" w:eastAsia="Times New Roman" w:hAnsi="Times New Roman" w:cs="Times New Roman"/>
          <w:color w:val="000000"/>
          <w:sz w:val="24"/>
          <w:szCs w:val="24"/>
          <w:lang w:val="en-US"/>
        </w:rPr>
        <w:t>fulfilling</w:t>
      </w:r>
      <w:r w:rsidR="004B4589">
        <w:rPr>
          <w:rFonts w:ascii="Times New Roman" w:eastAsia="Times New Roman" w:hAnsi="Times New Roman" w:cs="Times New Roman"/>
          <w:color w:val="000000"/>
          <w:sz w:val="24"/>
          <w:szCs w:val="24"/>
          <w:lang w:val="en-US"/>
        </w:rPr>
        <w:t xml:space="preserve"> </w:t>
      </w:r>
      <w:r w:rsidR="009F51A2">
        <w:rPr>
          <w:rFonts w:ascii="Times New Roman" w:eastAsia="Times New Roman" w:hAnsi="Times New Roman" w:cs="Times New Roman"/>
          <w:color w:val="000000"/>
          <w:sz w:val="24"/>
          <w:szCs w:val="24"/>
          <w:lang w:val="en-US"/>
        </w:rPr>
        <w:t>lifetime diagnostic</w:t>
      </w:r>
      <w:r w:rsidR="003F7455">
        <w:rPr>
          <w:rFonts w:ascii="Times New Roman" w:eastAsia="Times New Roman" w:hAnsi="Times New Roman" w:cs="Times New Roman"/>
          <w:color w:val="000000"/>
          <w:sz w:val="24"/>
          <w:szCs w:val="24"/>
          <w:lang w:val="en-US"/>
        </w:rPr>
        <w:t xml:space="preserve"> (DSM)</w:t>
      </w:r>
      <w:r w:rsidR="009F51A2">
        <w:rPr>
          <w:rFonts w:ascii="Times New Roman" w:eastAsia="Times New Roman" w:hAnsi="Times New Roman" w:cs="Times New Roman"/>
          <w:color w:val="000000"/>
          <w:sz w:val="24"/>
          <w:szCs w:val="24"/>
          <w:lang w:val="en-US"/>
        </w:rPr>
        <w:t xml:space="preserve"> criteria for the disorder. </w:t>
      </w:r>
      <w:r w:rsidR="00397C18">
        <w:rPr>
          <w:rFonts w:ascii="Times New Roman" w:eastAsia="Times New Roman" w:hAnsi="Times New Roman" w:cs="Times New Roman"/>
          <w:color w:val="000000"/>
          <w:sz w:val="24"/>
          <w:szCs w:val="24"/>
          <w:lang w:val="en-US"/>
        </w:rPr>
        <w:t>Information on</w:t>
      </w:r>
      <w:r w:rsidR="000E11AE">
        <w:rPr>
          <w:rFonts w:ascii="Times New Roman" w:eastAsia="Times New Roman" w:hAnsi="Times New Roman" w:cs="Times New Roman"/>
          <w:color w:val="000000"/>
          <w:sz w:val="24"/>
          <w:szCs w:val="24"/>
          <w:lang w:val="en-US"/>
        </w:rPr>
        <w:t xml:space="preserve"> how </w:t>
      </w:r>
      <w:r w:rsidR="00397C18">
        <w:rPr>
          <w:rFonts w:ascii="Times New Roman" w:eastAsia="Times New Roman" w:hAnsi="Times New Roman" w:cs="Times New Roman"/>
          <w:color w:val="000000"/>
          <w:sz w:val="24"/>
          <w:szCs w:val="24"/>
          <w:lang w:val="en-US"/>
        </w:rPr>
        <w:t xml:space="preserve">the </w:t>
      </w:r>
      <w:r w:rsidR="000E11AE">
        <w:rPr>
          <w:rFonts w:ascii="Times New Roman" w:eastAsia="Times New Roman" w:hAnsi="Times New Roman" w:cs="Times New Roman"/>
          <w:color w:val="000000"/>
          <w:sz w:val="24"/>
          <w:szCs w:val="24"/>
          <w:lang w:val="en-US"/>
        </w:rPr>
        <w:t xml:space="preserve">diagnostic criteria were assessed are described in the original papers </w:t>
      </w:r>
      <w:r w:rsidR="00FC2E5C">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UWBUzSsy","properties":{"formattedCitation":"(5\\uc0\\u8211{}8)","plainCitation":"(5–8)","noteIndex":0},"citationItems":[{"id":32,"uris":["http://zotero.org/users/8344251/items/EK5XUMJ4"],"uri":["http://zotero.org/users/8344251/items/EK5XUMJ4"],"itemData":{"id":32,"type":"article-journal","abstract":"Characterized primarily by a low body-mass index, anorexia nervosa is a complex and serious illness1, affecting 0.9-4% of women and 0.3% of men2-4, with twin-based heritability estimates of 50-60%5. Mortality rates are higher than those in other psychiatric disorders6, and outcomes are unacceptably poor7. Here we combine data from the Anorexia Nervosa Genetics Initiative (ANGI)8,9 and the Eating Disorders Working Group of the Psychiatric Genomics Consortium (PGC-ED) and conduct a genome-wide association study of 16,992 cases of anorexia nervosa and 55,525 controls, identifying eight significant loci. The genetic architecture of anorexia nervosa mirrors its clinical presentation, showing significant genetic correlations with psychiatric disorders, physical activity, and metabolic (including glycemic), lipid and anthropometric traits, independent of the effects of common variants associated with body-mass index. These results further encourage a reconceptualization of anorexia nervosa as a metabo-psychiatric disorder. Elucidating the metabolic component is a critical direction for future research, and paying attention to both psychiatric and metabolic components may be key to improving outcomes.","container-title":"Nature Genetics","DOI":"10.1038/s41588-019-0439-2","ISSN":"1546-1718","issue":"8","journalAbbreviation":"Nat Genet","language":"eng","note":"PMID: 31308545\nPMCID: PMC6779477","page":"1207-1214","source":"PubMed","title":"Genome-wide association study identifies eight risk loci and implicates metabo-psychiatric origins for anorexia nervosa","volume":"51","author":[{"family":"Watson","given":"Hunna J."},{"family":"Yilmaz","given":"Zeynep"},{"family":"Thornton","given":"Laura M."},{"family":"Hübel","given":"Christopher"},{"family":"Coleman","given":"Jonathan R. I."},{"family":"Gaspar","given":"Héléna A."},{"family":"Bryois","given":"Julien"},{"family":"Hinney","given":"Anke"},{"family":"Leppä","given":"Virpi M."},{"family":"Mattheisen","given":"Manuel"},{"family":"Medland","given":"Sarah E."},{"family":"Ripke","given":"Stephan"},{"family":"Yao","given":"Shuyang"},{"family":"Giusti-Rodríguez","given":"Paola"},{"literal":"Anorexia Nervosa Genetics Initiative"},{"family":"Hanscombe","given":"Ken B."},{"family":"Purves","given":"Kirstin L."},{"literal":"Eating Disorders Working Group of the Psychiatric Genomics Consortium"},{"family":"Adan","given":"Roger A. H."},{"family":"Alfredsson","given":"Lars"},{"family":"Ando","given":"Tetsuya"},{"family":"Andreassen","given":"Ole A."},{"family":"Baker","given":"Jessica H."},{"family":"Berrettini","given":"Wade H."},{"family":"Boehm","given":"Ilka"},{"family":"Boni","given":"Claudette"},{"family":"Perica","given":"Vesna Boraska"},{"family":"Buehren","given":"Katharina"},{"family":"Burghardt","given":"Roland"},{"family":"Cassina","given":"Matteo"},{"family":"Cichon","given":"Sven"},{"family":"Clementi","given":"Maurizio"},{"family":"Cone","given":"Roger D."},{"family":"Courtet","given":"Philippe"},{"family":"Crow","given":"Scott"},{"family":"Crowley","given":"James J."},{"family":"Danner","given":"Unna N."},{"family":"Davis","given":"Oliver S. P."},{"family":"Zwaan","given":"Martina","non-dropping-particle":"de"},{"family":"Dedoussis","given":"George"},{"family":"Degortes","given":"Daniela"},{"family":"DeSocio","given":"Janiece E."},{"family":"Dick","given":"Danielle M."},{"family":"Dikeos","given":"Dimitris"},{"family":"Dina","given":"Christian"},{"family":"Dmitrzak-Weglarz","given":"Monika"},{"family":"Docampo","given":"Elisa"},{"family":"Duncan","given":"Laramie E."},{"family":"Egberts","given":"Karin"},{"family":"Ehrlich","given":"Stefan"},{"family":"Escaramís","given":"Geòrgia"},{"family":"Esko","given":"Tõnu"},{"family":"Estivill","given":"Xavier"},{"family":"Farmer","given":"Anne"},{"family":"Favaro","given":"Angela"},{"family":"Fernández-Aranda","given":"Fernando"},{"family":"Fichter","given":"Manfred M."},{"family":"Fischer","given":"Krista"},{"family":"Föcker","given":"Manuel"},{"family":"Foretova","given":"Lenka"},{"family":"Forstner","given":"Andreas J."},{"family":"Forzan","given":"Monica"},{"family":"Franklin","given":"Christopher S."},{"family":"Gallinger","given":"Steven"},{"family":"Giegling","given":"Ina"},{"family":"Giuranna","given":"Johanna"},{"family":"Gonidakis","given":"Fragiskos"},{"family":"Gorwood","given":"Philip"},{"family":"Mayora","given":"Monica Gratacos"},{"family":"Guillaume","given":"Sébastien"},{"family":"Guo","given":"Yiran"},{"family":"Hakonarson","given":"Hakon"},{"family":"Hatzikotoulas","given":"Konstantinos"},{"family":"Hauser","given":"Joanna"},{"family":"Hebebrand","given":"Johannes"},{"family":"Helder","given":"Sietske G."},{"family":"Herms","given":"Stefan"},{"family":"Herpertz-Dahlmann","given":"Beate"},{"family":"Herzog","given":"Wolfgang"},{"family":"Huckins","given":"Laura M."},{"family":"Hudson","given":"James I."},{"family":"Imgart","given":"Hartmut"},{"family":"Inoko","given":"Hidetoshi"},{"family":"Janout","given":"Vladimir"},{"family":"Jiménez-Murcia","given":"Susana"},{"family":"Julià","given":"Antonio"},{"family":"Kalsi","given":"Gursharan"},{"family":"Kaminská","given":"Deborah"},{"family":"Kaprio","given":"Jaakko"},{"family":"Karhunen","given":"Leila"},{"family":"Karwautz","given":"Andreas"},{"family":"Kas","given":"Martien J. H."},{"family":"Kennedy","given":"James L."},{"family":"Keski-Rahkonen","given":"Anna"},{"family":"Kiezebrink","given":"Kirsty"},{"family":"Kim","given":"Youl-Ri"},{"family":"Klareskog","given":"Lars"},{"family":"Klump","given":"Kelly L."},{"family":"Knudsen","given":"Gun Peggy S."},{"family":"La Via","given":"Maria C."},{"family":"Le Hellard","given":"Stephanie"},{"family":"Levitan","given":"Robert D."},{"family":"Li","given":"Dong"},{"family":"Lilenfeld","given":"Lisa"},{"family":"Lin","given":"Bochao Danae"},{"family":"Lissowska","given":"Jolanta"},{"family":"Luykx","given":"Jurjen"},{"family":"Magistretti","given":"Pierre J."},{"family":"Maj","given":"Mario"},{"family":"Mannik","given":"Katrin"},{"family":"Marsal","given":"Sara"},{"family":"Marshall","given":"Christian R."},{"family":"Mattingsdal","given":"Morten"},{"family":"McDevitt","given":"Sara"},{"family":"McGuffin","given":"Peter"},{"family":"Metspalu","given":"Andres"},{"family":"Meulenbelt","given":"Ingrid"},{"family":"Micali","given":"Nadia"},{"family":"Mitchell","given":"Karen"},{"family":"Monteleone","given":"Alessio Maria"},{"family":"Monteleone","given":"Palmiero"},{"family":"Munn-Chernoff","given":"Melissa A."},{"family":"Nacmias","given":"Benedetta"},{"family":"Navratilova","given":"Marie"},{"family":"Ntalla","given":"Ioanna"},{"family":"O'Toole","given":"Julie K."},{"family":"Ophoff","given":"Roel A."},{"family":"Padyukov","given":"Leonid"},{"family":"Palotie","given":"Aarno"},{"family":"Pantel","given":"Jacques"},{"family":"Papezova","given":"Hana"},{"family":"Pinto","given":"Dalila"},{"family":"Rabionet","given":"Raquel"},{"family":"Raevuori","given":"Anu"},{"family":"Ramoz","given":"Nicolas"},{"family":"Reichborn-Kjennerud","given":"Ted"},{"family":"Ricca","given":"Valdo"},{"family":"Ripatti","given":"Samuli"},{"family":"Ritschel","given":"Franziska"},{"family":"Roberts","given":"Marion"},{"family":"Rotondo","given":"Alessandro"},{"family":"Rujescu","given":"Dan"},{"family":"Rybakowski","given":"Filip"},{"family":"Santonastaso","given":"Paolo"},{"family":"Scherag","given":"André"},{"family":"Scherer","given":"Stephen W."},{"family":"Schmidt","given":"Ulrike"},{"family":"Schork","given":"Nicholas J."},{"family":"Schosser","given":"Alexandra"},{"family":"Seitz","given":"Jochen"},{"family":"Slachtova","given":"Lenka"},{"family":"Slagboom","given":"P. Eline"},{"family":"Slof-Op 't Landt","given":"Margarita C. T."},{"family":"Slopien","given":"Agnieszka"},{"family":"Sorbi","given":"Sandro"},{"family":"Świątkowska","given":"Beata"},{"family":"Szatkiewicz","given":"Jin P."},{"family":"Tachmazidou","given":"Ioanna"},{"family":"Tenconi","given":"Elena"},{"family":"Tortorella","given":"Alfonso"},{"family":"Tozzi","given":"Federica"},{"family":"Treasure","given":"Janet"},{"family":"Tsitsika","given":"Artemis"},{"family":"Tyszkiewicz-Nwafor","given":"Marta"},{"family":"Tziouvas","given":"Konstantinos"},{"family":"Elburg","given":"Annemarie A.","non-dropping-particle":"van"},{"family":"Furth","given":"Eric F.","non-dropping-particle":"van"},{"family":"Wagner","given":"Gudrun"},{"family":"Walton","given":"Esther"},{"family":"Widen","given":"Elisabeth"},{"family":"Zeggini","given":"Eleftheria"},{"family":"Zerwas","given":"Stephanie"},{"family":"Zipfel","given":"Stephan"},{"family":"Bergen","given":"Andrew W."},{"family":"Boden","given":"Joseph M."},{"family":"Brandt","given":"Harry"},{"family":"Crawford","given":"Steven"},{"family":"Halmi","given":"Katherine A."},{"family":"Horwood","given":"L. John"},{"family":"Johnson","given":"Craig"},{"family":"Kaplan","given":"Allan S."},{"family":"Kaye","given":"Walter H."},{"family":"Mitchell","given":"James E."},{"family":"Olsen","given":"Catherine M."},{"family":"Pearson","given":"John F."},{"family":"Pedersen","given":"Nancy L."},{"family":"Strober","given":"Michael"},{"family":"Werge","given":"Thomas"},{"family":"Whiteman","given":"David C."},{"family":"Woodside","given":"D. Blake"},{"family":"Stuber","given":"Garret D."},{"family":"Gordon","given":"Scott"},{"family":"Grove","given":"Jakob"},{"family":"Henders","given":"Anjali K."},{"family":"Juréus","given":"Anders"},{"family":"Kirk","given":"Katherine M."},{"family":"Larsen","given":"Janne T."},{"family":"Parker","given":"Richard"},{"family":"Petersen","given":"Liselotte"},{"family":"Jordan","given":"Jennifer"},{"family":"Kennedy","given":"Martin"},{"family":"Montgomery","given":"Grant W."},{"family":"Wade","given":"Tracey D."},{"family":"Birgegård","given":"Andreas"},{"family":"Lichtenstein","given":"Paul"},{"family":"Norring","given":"Claes"},{"family":"Landén","given":"Mikael"},{"family":"Martin","given":"Nicholas G."},{"family":"Mortensen","given":"Preben Bo"},{"family":"Sullivan","given":"Patrick F."},{"family":"Breen","given":"Gerome"},{"family":"Bulik","given":"Cynthia M."}],"issued":{"date-parts":[["2019",8]]}}},{"id":21,"uris":["http://zotero.org/users/8344251/items/IM6H2AKZ"],"uri":["http://zotero.org/users/8344251/items/IM6H2AKZ"],"itemData":{"id":21,"type":"article-journal","abstract":"Schizophrenia is a debilitating psychiatric condition often associated with poor quality of life and decreased life expectancy. Lack of progress in improving treatment outcomes has been attributed to limited knowledge of the underlying biology, although large-scale genomic studies have begun to provide insights. We report a new genome-wide association study of schizophrenia (11,260 cases and 24,542 controls), and through meta-analysis with existing data we identify 50 novel associated loci and 145 loci in total. Through integrating genomic fine-mapping with brain expression and chromosome conformation data, we identify candidate causal genes within 33 loci. We also show for the first time that the common variant association signal is highly enriched among genes that are under strong selective pressures. These findings provide new insights into the biology and genetic architecture of schizophrenia, highlight the importance of mutation-intolerant genes and suggest a mechanism by which common risk variants persist in the population.","container-title":"Nature Genetics","DOI":"10.1038/s41588-018-0059-2","ISSN":"1546-1718","issue":"3","journalAbbreviation":"Nat Genet","language":"eng","note":"PMID: 29483656\nPMCID: PMC5918692","page":"381-389","source":"PubMed","title":"Common schizophrenia alleles are enriched in mutation-intolerant genes and in regions under strong background selection","volume":"50","author":[{"family":"Pardiñas","given":"Antonio F."},{"family":"Holmans","given":"Peter"},{"family":"Pocklington","given":"Andrew J."},{"family":"Escott-Price","given":"Valentina"},{"family":"Ripke","given":"Stephan"},{"family":"Carrera","given":"Noa"},{"family":"Legge","given":"Sophie E."},{"family":"Bishop","given":"Sophie"},{"family":"Cameron","given":"Darren"},{"family":"Hamshere","given":"Marian L."},{"family":"Han","given":"Jun"},{"family":"Hubbard","given":"Leon"},{"family":"Lynham","given":"Amy"},{"family":"Mantripragada","given":"Kiran"},{"family":"Rees","given":"Elliott"},{"family":"MacCabe","given":"James H."},{"family":"McCarroll","given":"Steven A."},{"family":"Baune","given":"Bernhard T."},{"family":"Breen","given":"Gerome"},{"family":"Byrne","given":"Enda M."},{"family":"Dannlowski","given":"Udo"},{"family":"Eley","given":"Thalia C."},{"family":"Hayward","given":"Caroline"},{"family":"Martin","given":"Nicholas G."},{"family":"McIntosh","given":"Andrew M."},{"family":"Plomin","given":"Robert"},{"family":"Porteous","given":"David J."},{"family":"Wray","given":"Naomi R."},{"family":"Caballero","given":"Armando"},{"family":"Geschwind","given":"Daniel H."},{"family":"Huckins","given":"Laura M."},{"family":"Ruderfer","given":"Douglas M."},{"family":"Santiago","given":"Enrique"},{"family":"Sklar","given":"Pamela"},{"family":"Stahl","given":"Eli A."},{"family":"Won","given":"Hyejung"},{"family":"Agerbo","given":"Esben"},{"family":"Als","given":"Thomas D."},{"family":"Andreassen","given":"Ole A."},{"family":"Bækvad-Hansen","given":"Marie"},{"family":"Mortensen","given":"Preben Bo"},{"family":"Pedersen","given":"Carsten Bøcker"},{"family":"Børglum","given":"Anders D."},{"family":"Bybjerg-Grauholm","given":"Jonas"},{"family":"Djurovic","given":"Srdjan"},{"family":"Durmishi","given":"Naser"},{"family":"Pedersen","given":"Marianne Giørtz"},{"family":"Golimbet","given":"Vera"},{"family":"Grove","given":"Jakob"},{"family":"Hougaard","given":"David M."},{"family":"Mattheisen","given":"Manuel"},{"family":"Molden","given":"Espen"},{"family":"Mors","given":"Ole"},{"family":"Nordentoft","given":"Merete"},{"family":"Pejovic-Milovancevic","given":"Milica"},{"family":"Sigurdsson","given":"Engilbert"},{"family":"Silagadze","given":"Teimuraz"},{"family":"Hansen","given":"Christine Søholm"},{"family":"Stefansson","given":"Kari"},{"family":"Stefansson","given":"Hreinn"},{"family":"Steinberg","given":"Stacy"},{"family":"Tosato","given":"Sarah"},{"family":"Werge","given":"Thomas"},{"literal":"GERAD1 Consortium"},{"literal":"CRESTAR Consortium"},{"family":"Collier","given":"David A."},{"family":"Rujescu","given":"Dan"},{"family":"Kirov","given":"George"},{"family":"Owen","given":"Michael J."},{"family":"O'Donovan","given":"Michael C."},{"family":"Walters","given":"James T. R."}],"issued":{"date-parts":[["2018",3]]}}},{"id":19,"uris":["http://zotero.org/users/8344251/items/8Q5UVIY5"],"uri":["http://zotero.org/users/8344251/items/8Q5UVIY5"],"itemData":{"id":19,"type":"article-journal","abstract":"Major depressive disorder (MDD) is a common illness accompanied by considerable morbidity, mortality, costs, and heightened risk of suicide. We conducted a genome-wide association meta-analysis based in 135,458 cases and 344,901 controls and identified 44 independent and significant loci. The genetic findings were associated with clinical features of major depression and implicated brain regions exhibiting anatomical differences in cases. Targets of antidepressant medications and genes involved in gene splicing were enriched for smaller association signal. We found important relationships of genetic risk for major depression with educational attainment, body mass, and schizophrenia: lower educational attainment and higher body mass were putatively causal, whereas major depression and schizophrenia reflected a partly shared biological etiology. All humans carry lesser or greater numbers of genetic risk factors for major depression. These findings help refine the basis of major depression and imply that a continuous measure of risk underlies the clinical phenotype.","container-title":"Nature Genetics","DOI":"10.1038/s41588-018-0090-3","ISSN":"1546-1718","issue":"5","journalAbbreviation":"Nat Genet","language":"eng","note":"PMID: 29700475\nPMCID: PMC5934326","page":"668-681","source":"PubMed","title":"Genome-wide association analyses identify 44 risk variants and refine the genetic architecture of major depression","volume":"50","author":[{"family":"Wray","given":"Naomi R."},{"family":"Ripke","given":"Stephan"},{"family":"Mattheisen","given":"Manuel"},{"family":"Trzaskowski","given":"Maciej"},{"family":"Byrne","given":"Enda M."},{"family":"Abdellaoui","given":"Abdel"},{"family":"Adams","given":"Mark J."},{"family":"Agerbo","given":"Esben"},{"family":"Air","given":"Tracy M."},{"family":"Andlauer","given":"Till M. F."},{"family":"Bacanu","given":"Silviu-Alin"},{"family":"Bækvad-Hansen","given":"Marie"},{"family":"Beekman","given":"Aartjan F. T."},{"family":"Bigdeli","given":"Tim B."},{"family":"Binder","given":"Elisabeth B."},{"family":"Blackwood","given":"Douglas R. H."},{"family":"Bryois","given":"Julien"},{"family":"Buttenschøn","given":"Henriette N."},{"family":"Bybjerg-Grauholm","given":"Jonas"},{"family":"Cai","given":"Na"},{"family":"Castelao","given":"Enrique"},{"family":"Christensen","given":"Jane Hvarregaard"},{"family":"Clarke","given":"Toni-Kim"},{"family":"Coleman","given":"Jonathan I. R."},{"family":"Colodro-Conde","given":"Lucía"},{"family":"Couvy-Duchesne","given":"Baptiste"},{"family":"Craddock","given":"Nick"},{"family":"Crawford","given":"Gregory E."},{"family":"Crowley","given":"Cheynna A."},{"family":"Dashti","given":"Hassan S."},{"family":"Davies","given":"Gail"},{"family":"Deary","given":"Ian J."},{"family":"Degenhardt","given":"Franziska"},{"family":"Derks","given":"Eske M."},{"family":"Direk","given":"Nese"},{"family":"Dolan","given":"Conor V."},{"family":"Dunn","given":"Erin C."},{"family":"Eley","given":"Thalia C."},{"family":"Eriksson","given":"Nicholas"},{"family":"Escott-Price","given":"Valentina"},{"family":"Kiadeh","given":"Farnush Hassan Farhadi"},{"family":"Finucane","given":"Hilary K."},{"family":"Forstner","given":"Andreas J."},{"family":"Frank","given":"Josef"},{"family":"Gaspar","given":"Héléna A."},{"family":"Gill","given":"Michael"},{"family":"Giusti-Rodríguez","given":"Paola"},{"family":"Goes","given":"Fernando S."},{"family":"Gordon","given":"Scott D."},{"family":"Grove","given":"Jakob"},{"family":"Hall","given":"Lynsey S."},{"family":"Hannon","given":"Eilis"},{"family":"Hansen","given":"Christine Søholm"},{"family":"Hansen","given":"Thomas F."},{"family":"Herms","given":"Stefan"},{"family":"Hickie","given":"Ian B."},{"family":"Hoffmann","given":"Per"},{"family":"Homuth","given":"Georg"},{"family":"Horn","given":"Carsten"},{"family":"Hottenga","given":"Jouke-Jan"},{"family":"Hougaard","given":"David M."},{"family":"Hu","given":"Ming"},{"family":"Hyde","given":"Craig L."},{"family":"Ising","given":"Marcus"},{"family":"Jansen","given":"Rick"},{"family":"Jin","given":"Fulai"},{"family":"Jorgenson","given":"Eric"},{"family":"Knowles","given":"James A."},{"family":"Kohane","given":"Isaac S."},{"family":"Kraft","given":"Julia"},{"family":"Kretzschmar","given":"Warren W."},{"family":"Krogh","given":"Jesper"},{"family":"Kutalik","given":"Zoltán"},{"family":"Lane","given":"Jacqueline M."},{"family":"Li","given":"Yihan"},{"family":"Li","given":"Yun"},{"family":"Lind","given":"Penelope A."},{"family":"Liu","given":"Xiaoxiao"},{"family":"Lu","given":"Leina"},{"family":"MacIntyre","given":"Donald J."},{"family":"MacKinnon","given":"Dean F."},{"family":"Maier","given":"Robert M."},{"family":"Maier","given":"Wolfgang"},{"family":"Marchini","given":"Jonathan"},{"family":"Mbarek","given":"Hamdi"},{"family":"McGrath","given":"Patrick"},{"family":"McGuffin","given":"Peter"},{"family":"Medland","given":"Sarah E."},{"family":"Mehta","given":"Divya"},{"family":"Middeldorp","given":"Christel M."},{"family":"Mihailov","given":"Evelin"},{"family":"Milaneschi","given":"Yuri"},{"family":"Milani","given":"Lili"},{"family":"Mill","given":"Jonathan"},{"family":"Mondimore","given":"Francis M."},{"family":"Montgomery","given":"Grant W."},{"family":"Mostafavi","given":"Sara"},{"family":"Mullins","given":"Niamh"},{"family":"Nauck","given":"Matthias"},{"family":"Ng","given":"Bernard"},{"family":"Nivard","given":"Michel G."},{"family":"Nyholt","given":"Dale R."},{"family":"O'Reilly","given":"Paul F."},{"family":"Oskarsson","given":"Hogni"},{"family":"Owen","given":"Michael J."},{"family":"Painter","given":"Jodie N."},{"family":"Pedersen","given":"Carsten Bøcker"},{"family":"Pedersen","given":"Marianne Giørtz"},{"family":"Peterson","given":"Roseann E."},{"family":"Pettersson","given":"Erik"},{"family":"Peyrot","given":"Wouter J."},{"family":"Pistis","given":"Giorgio"},{"family":"Posthuma","given":"Danielle"},{"family":"Purcell","given":"Shaun M."},{"family":"Quiroz","given":"Jorge A."},{"family":"Qvist","given":"Per"},{"family":"Rice","given":"John P."},{"family":"Riley","given":"Brien P."},{"family":"Rivera","given":"Margarita"},{"family":"Saeed Mirza","given":"Saira"},{"family":"Saxena","given":"Richa"},{"family":"Schoevers","given":"Robert"},{"family":"Schulte","given":"Eva C."},{"family":"Shen","given":"Ling"},{"family":"Shi","given":"Jianxin"},{"family":"Shyn","given":"Stanley I."},{"family":"Sigurdsson","given":"Engilbert"},{"family":"Sinnamon","given":"Grant B. C."},{"family":"Smit","given":"Johannes H."},{"family":"Smith","given":"Daniel J."},{"family":"Stefansson","given":"Hreinn"},{"family":"Steinberg","given":"Stacy"},{"family":"Stockmeier","given":"Craig A."},{"family":"Streit","given":"Fabian"},{"family":"Strohmaier","given":"Jana"},{"family":"Tansey","given":"Katherine E."},{"family":"Teismann","given":"Henning"},{"family":"Teumer","given":"Alexander"},{"family":"Thompson","given":"Wesley"},{"family":"Thomson","given":"Pippa A."},{"family":"Thorgeirsson","given":"Thorgeir E."},{"family":"Tian","given":"Chao"},{"family":"Traylor","given":"Matthew"},{"family":"Treutlein","given":"Jens"},{"family":"Trubetskoy","given":"Vassily"},{"family":"Uitterlinden","given":"André G."},{"family":"Umbricht","given":"Daniel"},{"family":"Van der Auwera","given":"Sandra"},{"family":"Hemert","given":"Albert M.","non-dropping-particle":"van"},{"family":"Viktorin","given":"Alexander"},{"family":"Visscher","given":"Peter M."},{"family":"Wang","given":"Yunpeng"},{"family":"Webb","given":"Bradley T."},{"family":"Weinsheimer","given":"Shantel Marie"},{"family":"Wellmann","given":"Jürgen"},{"family":"Willemsen","given":"Gonneke"},{"family":"Witt","given":"Stephanie H."},{"family":"Wu","given":"Yang"},{"family":"Xi","given":"Hualin S."},{"family":"Yang","given":"Jian"},{"family":"Zhang","given":"Futao"},{"literal":"eQTLGen"},{"literal":"23andMe"},{"family":"Arolt","given":"Volker"},{"family":"Baune","given":"Bernhard T."},{"family":"Berger","given":"Klaus"},{"family":"Boomsma","given":"Dorret I."},{"family":"Cichon","given":"Sven"},{"family":"Dannlowski","given":"Udo"},{"family":"Geus","given":"E. C. J.","non-dropping-particle":"de"},{"family":"DePaulo","given":"J. Raymond"},{"family":"Domenici","given":"Enrico"},{"family":"Domschke","given":"Katharina"},{"family":"Esko","given":"Tõnu"},{"family":"Grabe","given":"Hans J."},{"family":"Hamilton","given":"Steven P."},{"family":"Hayward","given":"Caroline"},{"family":"Heath","given":"Andrew C."},{"family":"Hinds","given":"David A."},{"family":"Kendler","given":"Kenneth S."},{"family":"Kloiber","given":"Stefan"},{"family":"Lewis","given":"Glyn"},{"family":"Li","given":"Qingqin S."},{"family":"Lucae","given":"Susanne"},{"family":"Madden","given":"Pamela F. A."},{"family":"Magnusson","given":"Patrik K."},{"family":"Martin","given":"Nicholas G."},{"family":"McIntosh","given":"Andrew M."},{"family":"Metspalu","given":"Andres"},{"family":"Mors","given":"Ole"},{"family":"Mortensen","given":"Preben Bo"},{"family":"Müller-Myhsok","given":"Bertram"},{"family":"Nordentoft","given":"Merete"},{"family":"Nöthen","given":"Markus M."},{"family":"O'Donovan","given":"Michael C."},{"family":"Paciga","given":"Sara A."},{"family":"Pedersen","given":"Nancy L."},{"family":"Penninx","given":"Brenda W. J. H."},{"family":"Perlis","given":"Roy H."},{"family":"Porteous","given":"David J."},{"family":"Potash","given":"James B."},{"family":"Preisig","given":"Martin"},{"family":"Rietschel","given":"Marcella"},{"family":"Schaefer","given":"Catherine"},{"family":"Schulze","given":"Thomas G."},{"family":"Smoller","given":"Jordan W."},{"family":"Stefansson","given":"Kari"},{"family":"Tiemeier","given":"Henning"},{"family":"Uher","given":"Rudolf"},{"family":"Völzke","given":"Henry"},{"family":"Weissman","given":"Myrna M."},{"family":"Werge","given":"Thomas"},{"family":"Winslow","given":"Ashley R."},{"family":"Lewis","given":"Cathryn M."},{"family":"Levinson","given":"Douglas F."},{"family":"Breen","given":"Gerome"},{"family":"Børglum","given":"Anders D."},{"family":"Sullivan","given":"Patrick F."},{"literal":"Major Depressive Disorder Working Group of the Psychiatric Genomics Consortium"}],"issued":{"date-parts":[["2018",5]]}}},{"id":20,"uris":["http://zotero.org/users/8344251/items/NYGYQQCN"],"uri":["http://zotero.org/users/8344251/items/NYGYQQCN"],"itemData":{"id":20,"type":"article-journal","abstract":"Bipolar disorder is a heritable mental illness with complex etiology. We performed a genome-wide association study of 41,917 bipolar disorder cases and 371,549 controls of European ancestry, which identified 64 associated genomic loci. Bipolar disorder risk alleles were enriched in genes in synaptic signaling pathways and brain-expressed genes, particularly those with high specificity of expression in neurons of the prefrontal cortex and hippocampus. Significant signal enrichment was found in genes encoding targets of antipsychotics, calcium channel blockers, antiepileptics and anesthetics. Integrating expression quantitative trait locus data implicated 15 genes robustly linked to bipolar disorder via gene expression, encoding druggable targets such as HTR6, MCHR1, DCLK3 and FURIN. Analyses of bipolar disorder subtypes indicated high but imperfect genetic correlation between bipolar disorder type I and II and identified additional associated loci. Together, these results advance our understanding of the biological etiology of bipolar disorder, identify novel therapeutic leads and prioritize genes for functional follow-up studies.","container-title":"Nature Genetics","DOI":"10.1038/s41588-021-00857-4","ISSN":"1546-1718","issue":"6","journalAbbreviation":"Nat Genet","language":"eng","note":"PMID: 34002096\nPMCID: PMC8192451","page":"817-829","source":"PubMed","title":"Genome-wide association study of more than 40,000 bipolar disorder cases provides new insights into the underlying biology","volume":"53","author":[{"family":"Mullins","given":"Niamh"},{"family":"Forstner","given":"Andreas J."},{"family":"O'Connell","given":"Kevin S."},{"family":"Coombes","given":"Brandon"},{"family":"Coleman","given":"Jonathan R. I."},{"family":"Qiao","given":"Zhen"},{"family":"Als","given":"Thomas D."},{"family":"Bigdeli","given":"Tim B."},{"family":"Børte","given":"Sigrid"},{"family":"Bryois","given":"Julien"},{"family":"Charney","given":"Alexander W."},{"family":"Drange","given":"Ole Kristian"},{"family":"Gandal","given":"Michael J."},{"family":"Hagenaars","given":"Saskia P."},{"family":"Ikeda","given":"Masashi"},{"family":"Kamitaki","given":"Nolan"},{"family":"Kim","given":"Minsoo"},{"family":"Krebs","given":"Kristi"},{"family":"Panagiotaropoulou","given":"Georgia"},{"family":"Schilder","given":"Brian M."},{"family":"Sloofman","given":"Laura G."},{"family":"Steinberg","given":"Stacy"},{"family":"Trubetskoy","given":"Vassily"},{"family":"Winsvold","given":"Bendik S."},{"family":"Won","given":"Hong-Hee"},{"family":"Abramova","given":"Liliya"},{"family":"Adorjan","given":"Kristina"},{"family":"Agerbo","given":"Esben"},{"family":"Al Eissa","given":"Mariam"},{"family":"Albani","given":"Diego"},{"family":"Alliey-Rodriguez","given":"Ney"},{"family":"Anjorin","given":"Adebayo"},{"family":"Antilla","given":"Verneri"},{"family":"Antoniou","given":"Anastasia"},{"family":"Awasthi","given":"Swapnil"},{"family":"Baek","given":"Ji Hyun"},{"family":"Bækvad-Hansen","given":"Marie"},{"family":"Bass","given":"Nicholas"},{"family":"Bauer","given":"Michael"},{"family":"Beins","given":"Eva C."},{"family":"Bergen","given":"Sarah E."},{"family":"Birner","given":"Armin"},{"family":"Bøcker Pedersen","given":"Carsten"},{"family":"Bøen","given":"Erlend"},{"family":"Boks","given":"Marco P."},{"family":"Bosch","given":"Rosa"},{"family":"Brum","given":"Murielle"},{"family":"Brumpton","given":"Ben M."},{"family":"Brunkhorst-Kanaan","given":"Nathalie"},{"family":"Budde","given":"Monika"},{"family":"Bybjerg-Grauholm","given":"Jonas"},{"family":"Byerley","given":"William"},{"family":"Cairns","given":"Murray"},{"family":"Casas","given":"Miquel"},{"family":"Cervantes","given":"Pablo"},{"family":"Clarke","given":"Toni-Kim"},{"family":"Cruceanu","given":"Cristiana"},{"family":"Cuellar-Barboza","given":"Alfredo"},{"family":"Cunningham","given":"Julie"},{"family":"Curtis","given":"David"},{"family":"Czerski","given":"Piotr M."},{"family":"Dale","given":"Anders M."},{"family":"Dalkner","given":"Nina"},{"family":"David","given":"Friederike S."},{"family":"Degenhardt","given":"Franziska"},{"family":"Djurovic","given":"Srdjan"},{"family":"Dobbyn","given":"Amanda L."},{"family":"Douzenis","given":"Athanassios"},{"family":"Elvsåshagen","given":"Torbjørn"},{"family":"Escott-Price","given":"Valentina"},{"family":"Ferrier","given":"I. Nicol"},{"family":"Fiorentino","given":"Alessia"},{"family":"Foroud","given":"Tatiana M."},{"family":"Forty","given":"Liz"},{"family":"Frank","given":"Josef"},{"family":"Frei","given":"Oleksandr"},{"family":"Freimer","given":"Nelson B."},{"family":"Frisén","given":"Louise"},{"family":"Gade","given":"Katrin"},{"family":"Garnham","given":"Julie"},{"family":"Gelernter","given":"Joel"},{"family":"Giørtz Pedersen","given":"Marianne"},{"family":"Gizer","given":"Ian R."},{"family":"Gordon","given":"Scott D."},{"family":"Gordon-Smith","given":"Katherine"},{"family":"Greenwood","given":"Tiffany A."},{"family":"Grove","given":"Jakob"},{"family":"Guzman-Parra","given":"José"},{"family":"Ha","given":"Kyooseob"},{"family":"Haraldsson","given":"Magnus"},{"family":"Hautzinger","given":"Martin"},{"family":"Heilbronner","given":"Urs"},{"family":"Hellgren","given":"Dennis"},{"family":"Herms","given":"Stefan"},{"family":"Hoffmann","given":"Per"},{"family":"Holmans","given":"Peter A."},{"family":"Huckins","given":"Laura"},{"family":"Jamain","given":"Stéphane"},{"family":"Johnson","given":"Jessica S."},{"family":"Kalman","given":"Janos L."},{"family":"Kamatani","given":"Yoichiro"},{"family":"Kennedy","given":"James L."},{"family":"Kittel-Schneider","given":"Sarah"},{"family":"Knowles","given":"James A."},{"family":"Kogevinas","given":"Manolis"},{"family":"Koromina","given":"Maria"},{"family":"Kranz","given":"Thorsten M."},{"family":"Kranzler","given":"Henry R."},{"family":"Kubo","given":"Michiaki"},{"family":"Kupka","given":"Ralph"},{"family":"Kushner","given":"Steven A."},{"family":"Lavebratt","given":"Catharina"},{"family":"Lawrence","given":"Jacob"},{"family":"Leber","given":"Markus"},{"family":"Lee","given":"Heon-Jeong"},{"family":"Lee","given":"Phil H."},{"family":"Levy","given":"Shawn E."},{"family":"Lewis","given":"Catrin"},{"family":"Liao","given":"Calwing"},{"family":"Lucae","given":"Susanne"},{"family":"Lundberg","given":"Martin"},{"family":"MacIntyre","given":"Donald J."},{"family":"Magnusson","given":"Sigurdur H."},{"family":"Maier","given":"Wolfgang"},{"family":"Maihofer","given":"Adam"},{"family":"Malaspina","given":"Dolores"},{"family":"Maratou","given":"Eirini"},{"family":"Martinsson","given":"Lina"},{"family":"Mattheisen","given":"Manuel"},{"family":"McCarroll","given":"Steven A."},{"family":"McGregor","given":"Nathaniel W."},{"family":"McGuffin","given":"Peter"},{"family":"McKay","given":"James D."},{"family":"Medeiros","given":"Helena"},{"family":"Medland","given":"Sarah E."},{"family":"Millischer","given":"Vincent"},{"family":"Montgomery","given":"Grant W."},{"family":"Moran","given":"Jennifer L."},{"family":"Morris","given":"Derek W."},{"family":"Mühleisen","given":"Thomas W."},{"family":"O'Brien","given":"Niamh"},{"family":"O'Donovan","given":"Claire"},{"family":"Olde Loohuis","given":"Loes M."},{"family":"Oruc","given":"Lilijana"},{"family":"Papiol","given":"Sergi"},{"family":"Pardiñas","given":"Antonio F."},{"family":"Perry","given":"Amy"},{"family":"Pfennig","given":"Andrea"},{"family":"Porichi","given":"Evgenia"},{"family":"Potash","given":"James B."},{"family":"Quested","given":"Digby"},{"family":"Raj","given":"Towfique"},{"family":"Rapaport","given":"Mark H."},{"family":"DePaulo","given":"J. Raymond"},{"family":"Regeer","given":"Eline J."},{"family":"Rice","given":"John P."},{"family":"Rivas","given":"Fabio"},{"family":"Rivera","given":"Margarita"},{"family":"Roth","given":"Julian"},{"family":"Roussos","given":"Panos"},{"family":"Ruderfer","given":"Douglas M."},{"family":"Sánchez-Mora","given":"Cristina"},{"family":"Schulte","given":"Eva C."},{"family":"Senner","given":"Fanny"},{"family":"Sharp","given":"Sally"},{"family":"Shilling","given":"Paul D."},{"family":"Sigurdsson","given":"Engilbert"},{"family":"Sirignano","given":"Lea"},{"family":"Slaney","given":"Claire"},{"family":"Smeland","given":"Olav B."},{"family":"Smith","given":"Daniel J."},{"family":"Sobell","given":"Janet L."},{"family":"Søholm Hansen","given":"Christine"},{"family":"Soler Artigas","given":"Maria"},{"family":"Spijker","given":"Anne T."},{"family":"Stein","given":"Dan J."},{"family":"Strauss","given":"John S."},{"family":"Świątkowska","given":"Beata"},{"family":"Terao","given":"Chikashi"},{"family":"Thorgeirsson","given":"Thorgeir E."},{"family":"Toma","given":"Claudio"},{"family":"Tooney","given":"Paul"},{"family":"Tsermpini","given":"Evangelia-Eirini"},{"family":"Vawter","given":"Marquis P."},{"family":"Vedder","given":"Helmut"},{"family":"Walters","given":"James T. R."},{"family":"Witt","given":"Stephanie H."},{"family":"Xi","given":"Simon"},{"family":"Xu","given":"Wei"},{"family":"Yang","given":"Jessica Mei Kay"},{"family":"Young","given":"Allan H."},{"family":"Young","given":"Hannah"},{"family":"Zandi","given":"Peter P."},{"family":"Zhou","given":"Hang"},{"family":"Zillich","given":"Lea"},{"literal":"HUNT All-In Psychiatry"},{"family":"Adolfsson","given":"Rolf"},{"family":"Agartz","given":"Ingrid"},{"family":"Alda","given":"Martin"},{"family":"Alfredsson","given":"Lars"},{"family":"Babadjanova","given":"Gulja"},{"family":"Backlund","given":"Lena"},{"family":"Baune","given":"Bernhard T."},{"family":"Bellivier","given":"Frank"},{"family":"Bengesser","given":"Susanne"},{"family":"Berrettini","given":"Wade H."},{"family":"Blackwood","given":"Douglas H. R."},{"family":"Boehnke","given":"Michael"},{"family":"Børglum","given":"Anders D."},{"family":"Breen","given":"Gerome"},{"family":"Carr","given":"Vaughan J."},{"family":"Catts","given":"Stanley"},{"family":"Corvin","given":"Aiden"},{"family":"Craddock","given":"Nicholas"},{"family":"Dannlowski","given":"Udo"},{"family":"Dikeos","given":"Dimitris"},{"family":"Esko","given":"Tõnu"},{"family":"Etain","given":"Bruno"},{"family":"Ferentinos","given":"Panagiotis"},{"family":"Frye","given":"Mark"},{"family":"Fullerton","given":"Janice M."},{"family":"Gawlik","given":"Micha"},{"family":"Gershon","given":"Elliot S."},{"family":"Goes","given":"Fernando S."},{"family":"Green","given":"Melissa J."},{"family":"Grigoroiu-Serbanescu","given":"Maria"},{"family":"Hauser","given":"Joanna"},{"family":"Henskens","given":"Frans"},{"family":"Hillert","given":"Jan"},{"family":"Hong","given":"Kyung Sue"},{"family":"Hougaard","given":"David M."},{"family":"Hultman","given":"Christina M."},{"family":"Hveem","given":"Kristian"},{"family":"Iwata","given":"Nakao"},{"family":"Jablensky","given":"Assen V."},{"family":"Jones","given":"Ian"},{"family":"Jones","given":"Lisa A."},{"family":"Kahn","given":"René S."},{"family":"Kelsoe","given":"John R."},{"family":"Kirov","given":"George"},{"family":"Landén","given":"Mikael"},{"family":"Leboyer","given":"Marion"},{"family":"Lewis","given":"Cathryn M."},{"family":"Li","given":"Qingqin S."},{"family":"Lissowska","given":"Jolanta"},{"family":"Lochner","given":"Christine"},{"family":"Loughland","given":"Carmel"},{"family":"Martin","given":"Nicholas G."},{"family":"Mathews","given":"Carol A."},{"family":"Mayoral","given":"Fermin"},{"family":"McElroy","given":"Susan L."},{"family":"McIntosh","given":"Andrew M."},{"family":"McMahon","given":"Francis J."},{"family":"Melle","given":"Ingrid"},{"family":"Michie","given":"Patricia"},{"family":"Milani","given":"Lili"},{"family":"Mitchell","given":"Philip B."},{"family":"Morken","given":"Gunnar"},{"family":"Mors","given":"Ole"},{"family":"Mortensen","given":"Preben Bo"},{"family":"Mowry","given":"Bryan"},{"family":"Müller-Myhsok","given":"Bertram"},{"family":"Myers","given":"Richard M."},{"family":"Neale","given":"Benjamin M."},{"family":"Nievergelt","given":"Caroline M."},{"family":"Nordentoft","given":"Merete"},{"family":"Nöthen","given":"Markus M."},{"family":"O'Donovan","given":"Michael C."},{"family":"Oedegaard","given":"Ketil J."},{"family":"Olsson","given":"Tomas"},{"family":"Owen","given":"Michael J."},{"family":"Paciga","given":"Sara A."},{"family":"Pantelis","given":"Chris"},{"family":"Pato","given":"Carlos"},{"family":"Pato","given":"Michele T."},{"family":"Patrinos","given":"George P."},{"family":"Perlis","given":"Roy H."},{"family":"Posthuma","given":"Danielle"},{"family":"Ramos-Quiroga","given":"Josep Antoni"},{"family":"Reif","given":"Andreas"},{"family":"Reininghaus","given":"Eva Z."},{"family":"Ribasés","given":"Marta"},{"family":"Rietschel","given":"Marcella"},{"family":"Ripke","given":"Stephan"},{"family":"Rouleau","given":"Guy A."},{"family":"Saito","given":"Takeo"},{"family":"Schall","given":"Ulrich"},{"family":"Schalling","given":"Martin"},{"family":"Schofield","given":"Peter R."},{"family":"Schulze","given":"Thomas G."},{"family":"Scott","given":"Laura J."},{"family":"Scott","given":"Rodney J."},{"family":"Serretti","given":"Alessandro"},{"family":"Shannon Weickert","given":"Cynthia"},{"family":"Smoller","given":"Jordan W."},{"family":"Stefansson","given":"Hreinn"},{"family":"Stefansson","given":"Kari"},{"family":"Stordal","given":"Eystein"},{"family":"Streit","given":"Fabian"},{"family":"Sullivan","given":"Patrick F."},{"family":"Turecki","given":"Gustavo"},{"family":"Vaaler","given":"Arne E."},{"family":"Vieta","given":"Eduard"},{"family":"Vincent","given":"John B."},{"family":"Waldman","given":"Irwin D."},{"family":"Weickert","given":"Thomas W."},{"family":"Werge","given":"Thomas"},{"family":"Wray","given":"Naomi R."},{"family":"Zwart","given":"John-Anker"},{"family":"Biernacka","given":"Joanna M."},{"family":"Nurnberger","given":"John I."},{"family":"Cichon","given":"Sven"},{"family":"Edenberg","given":"Howard J."},{"family":"Stahl","given":"Eli A."},{"family":"McQuillin","given":"Andrew"},{"family":"Di Florio","given":"Arianna"},{"family":"Ophoff","given":"Roel A."},{"family":"Andreassen","given":"Ole A."}],"issued":{"date-parts":[["2021",6]]}}}],"schema":"https://github.com/citation-style-language/schema/raw/master/csl-citation.json"} </w:instrText>
      </w:r>
      <w:r w:rsidR="00FC2E5C">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szCs w:val="24"/>
          <w:lang w:val="en-GB"/>
        </w:rPr>
        <w:t>(5–8)</w:t>
      </w:r>
      <w:r w:rsidR="00FC2E5C">
        <w:rPr>
          <w:rFonts w:ascii="Times New Roman" w:eastAsia="Times New Roman" w:hAnsi="Times New Roman" w:cs="Times New Roman"/>
          <w:color w:val="000000"/>
          <w:sz w:val="24"/>
          <w:szCs w:val="24"/>
          <w:lang w:val="en-US"/>
        </w:rPr>
        <w:fldChar w:fldCharType="end"/>
      </w:r>
      <w:r w:rsidR="000E11AE">
        <w:rPr>
          <w:rFonts w:ascii="Times New Roman" w:eastAsia="Times New Roman" w:hAnsi="Times New Roman" w:cs="Times New Roman"/>
          <w:color w:val="000000"/>
          <w:sz w:val="24"/>
          <w:szCs w:val="24"/>
          <w:lang w:val="en-US"/>
        </w:rPr>
        <w:t>.</w:t>
      </w:r>
    </w:p>
    <w:p w14:paraId="6F99D072" w14:textId="07123D28" w:rsidR="000E11AE" w:rsidRDefault="00D32B52" w:rsidP="007549F2">
      <w:pPr>
        <w:spacing w:before="240" w:after="240" w:line="360" w:lineRule="auto"/>
        <w:ind w:firstLine="708"/>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Mood instability (Mood) </w:t>
      </w:r>
      <w:r w:rsidR="00BE3CC3">
        <w:rPr>
          <w:rFonts w:ascii="Times New Roman" w:eastAsia="Times New Roman" w:hAnsi="Times New Roman" w:cs="Times New Roman"/>
          <w:color w:val="000000"/>
          <w:sz w:val="24"/>
          <w:szCs w:val="24"/>
          <w:lang w:val="en-US"/>
        </w:rPr>
        <w:t xml:space="preserve">was measured with the </w:t>
      </w:r>
      <w:r w:rsidR="00C80E40">
        <w:rPr>
          <w:rFonts w:ascii="Times New Roman" w:eastAsia="Times New Roman" w:hAnsi="Times New Roman" w:cs="Times New Roman"/>
          <w:color w:val="000000"/>
          <w:sz w:val="24"/>
          <w:szCs w:val="24"/>
          <w:lang w:val="en-US"/>
        </w:rPr>
        <w:t xml:space="preserve">self-report </w:t>
      </w:r>
      <w:r w:rsidR="00BE3CC3">
        <w:rPr>
          <w:rFonts w:ascii="Times New Roman" w:eastAsia="Times New Roman" w:hAnsi="Times New Roman" w:cs="Times New Roman"/>
          <w:color w:val="000000"/>
          <w:sz w:val="24"/>
          <w:szCs w:val="24"/>
          <w:lang w:val="en-US"/>
        </w:rPr>
        <w:t>yes/no question: “does your mood often go up and down?”</w:t>
      </w:r>
      <w:r w:rsidR="001D5436">
        <w:rPr>
          <w:rFonts w:ascii="Times New Roman" w:eastAsia="Times New Roman" w:hAnsi="Times New Roman" w:cs="Times New Roman"/>
          <w:color w:val="000000"/>
          <w:sz w:val="24"/>
          <w:szCs w:val="24"/>
          <w:lang w:val="en-US"/>
        </w:rPr>
        <w:t xml:space="preserve"> </w:t>
      </w:r>
      <w:r w:rsidR="001D5436">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DgxCcIvd","properties":{"formattedCitation":"(1)","plainCitation":"(1)","noteIndex":0},"citationItems":[{"id":1337,"uris":["http://zotero.org/users/8344251/items/XEJFQGUE"],"uri":["http://zotero.org/users/8344251/items/XEJFQGUE"],"itemData":{"id":1337,"type":"article-journal","abstract":"Genome-wide association studies (GWAS) of psychiatric phenotypes have tended to focus on categorical diagnoses, but to understand the biology of mental illness it may be more useful to study traits which cut across traditional boundaries. Here, we report the results of a GWAS of mood instability as a trait in a large population cohort (UK Biobank, n = 363,705). We also assess the clinical and biological relevance of the findings, including whether genetic associations show enrichment for nervous system pathways. Forty six unique loci associated with mood instability were identified with a SNP heritability estimate of 9%. Linkage Disequilibrium Score Regression (LDSR) analyses identified genetic correlations with Major Depressive Disorder (MDD), Bipolar Disorder (BD), Schizophrenia, anxiety, and Post Traumatic Stress Disorder (PTSD). Gene-level and gene set analyses identified 244 significant genes and 6 enriched gene sets. Tissue expression analysis of the SNP-level data found enrichment in multiple brain regions, and eQTL analyses highlighted an inversion on chromosome 17 plus two brain-specific eQTLs. In addition, we used a Phenotype Linkage Network (PLN) analysis and community analysis to assess for enrichment of nervous system gene sets using mouse orthologue databases. The PLN analysis found enrichment in nervous system PLNs for a community containing serotonin and melatonin receptors. In summary, this work has identified novel loci, tissues and gene sets contributing to mood instability. These findings may be relevant for the identification of novel trans-diagnostic drug targets and could help to inform future stratified medicine innovations in mental health.","container-title":"Molecular Psychiatry","DOI":"10.1038/s41380-019-0439-8","ISSN":"1476-5578","issue":"11","journalAbbreviation":"Mol Psychiatry","language":"eng","note":"PMID: 31168069\nPMCID: PMC7116257","page":"3091-3099","source":"PubMed","title":"The genomic basis of mood instability: identification of 46 loci in 363,705 UK Biobank participants, genetic correlation with psychiatric disorders, and association with gene expression and function","title-short":"The genomic basis of mood instability","volume":"25","author":[{"family":"Ward","given":"Joey"},{"family":"Tunbridge","given":"Elizabeth M."},{"family":"Sandor","given":"Cynthia"},{"family":"Lyall","given":"Laura M."},{"family":"Ferguson","given":"Amy"},{"family":"Strawbridge","given":"Rona J."},{"family":"Lyall","given":"Donald M."},{"family":"Cullen","given":"Breda"},{"family":"Graham","given":"Nicholas"},{"family":"Johnston","given":"Keira J. A."},{"family":"Webber","given":"Caleb"},{"family":"Escott-Price","given":"Valentina"},{"family":"O'Donovan","given":"Michael"},{"family":"Pell","given":"Jill P."},{"family":"Bailey","given":"Mark E. S."},{"family":"Harrison","given":"Paul J."},{"family":"Smith","given":"Daniel J."}],"issued":{"date-parts":[["2020",11]]}}}],"schema":"https://github.com/citation-style-language/schema/raw/master/csl-citation.json"} </w:instrText>
      </w:r>
      <w:r w:rsidR="001D5436">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(1)</w:t>
      </w:r>
      <w:r w:rsidR="001D5436">
        <w:rPr>
          <w:rFonts w:ascii="Times New Roman" w:eastAsia="Times New Roman" w:hAnsi="Times New Roman" w:cs="Times New Roman"/>
          <w:color w:val="000000"/>
          <w:sz w:val="24"/>
          <w:szCs w:val="24"/>
          <w:lang w:val="en-US"/>
        </w:rPr>
        <w:fldChar w:fldCharType="end"/>
      </w:r>
      <w:r w:rsidR="00BE3CC3">
        <w:rPr>
          <w:rFonts w:ascii="Times New Roman" w:eastAsia="Times New Roman" w:hAnsi="Times New Roman" w:cs="Times New Roman"/>
          <w:color w:val="000000"/>
          <w:sz w:val="24"/>
          <w:szCs w:val="24"/>
          <w:lang w:val="en-US"/>
        </w:rPr>
        <w:t xml:space="preserve">. </w:t>
      </w:r>
      <w:r w:rsidR="00F24697">
        <w:rPr>
          <w:rFonts w:ascii="Times New Roman" w:eastAsia="Times New Roman" w:hAnsi="Times New Roman" w:cs="Times New Roman"/>
          <w:color w:val="000000"/>
          <w:sz w:val="24"/>
          <w:szCs w:val="24"/>
          <w:lang w:val="en-US"/>
        </w:rPr>
        <w:t>Neuroticism (NEUR) was measured</w:t>
      </w:r>
      <w:r w:rsidR="0021342E">
        <w:rPr>
          <w:rFonts w:ascii="Times New Roman" w:eastAsia="Times New Roman" w:hAnsi="Times New Roman" w:cs="Times New Roman"/>
          <w:color w:val="000000"/>
          <w:sz w:val="24"/>
          <w:szCs w:val="24"/>
          <w:lang w:val="en-US"/>
        </w:rPr>
        <w:t xml:space="preserve"> with</w:t>
      </w:r>
      <w:r w:rsidR="00F24697">
        <w:rPr>
          <w:rFonts w:ascii="Times New Roman" w:eastAsia="Times New Roman" w:hAnsi="Times New Roman" w:cs="Times New Roman"/>
          <w:color w:val="000000"/>
          <w:sz w:val="24"/>
          <w:szCs w:val="24"/>
          <w:lang w:val="en-US"/>
        </w:rPr>
        <w:t xml:space="preserve"> </w:t>
      </w:r>
      <w:r w:rsidR="00C80E40">
        <w:rPr>
          <w:rFonts w:ascii="Times New Roman" w:eastAsia="Times New Roman" w:hAnsi="Times New Roman" w:cs="Times New Roman"/>
          <w:color w:val="000000"/>
          <w:sz w:val="24"/>
          <w:szCs w:val="24"/>
          <w:lang w:val="en-US"/>
        </w:rPr>
        <w:t>self-report questions based on the</w:t>
      </w:r>
      <w:r w:rsidR="009954AF">
        <w:rPr>
          <w:rFonts w:ascii="Times New Roman" w:eastAsia="Times New Roman" w:hAnsi="Times New Roman" w:cs="Times New Roman"/>
          <w:color w:val="000000"/>
          <w:sz w:val="24"/>
          <w:szCs w:val="24"/>
          <w:lang w:val="en-US"/>
        </w:rPr>
        <w:t xml:space="preserve"> </w:t>
      </w:r>
      <w:r w:rsidR="009954AF" w:rsidRPr="009954AF">
        <w:rPr>
          <w:rFonts w:ascii="Times New Roman" w:eastAsia="Times New Roman" w:hAnsi="Times New Roman" w:cs="Times New Roman"/>
          <w:color w:val="000000"/>
          <w:sz w:val="24"/>
          <w:szCs w:val="24"/>
          <w:lang w:val="en-US"/>
        </w:rPr>
        <w:t xml:space="preserve">Eysenck Personality Questionnaire Revised Short Form </w:t>
      </w:r>
      <w:r w:rsidR="00E0179D">
        <w:rPr>
          <w:rFonts w:ascii="Times New Roman" w:eastAsia="Times New Roman" w:hAnsi="Times New Roman" w:cs="Times New Roman"/>
          <w:color w:val="000000"/>
          <w:sz w:val="24"/>
          <w:szCs w:val="24"/>
          <w:lang w:val="en-US"/>
        </w:rPr>
        <w:t xml:space="preserve">and </w:t>
      </w:r>
      <w:r w:rsidR="009954AF" w:rsidRPr="009954AF">
        <w:rPr>
          <w:rFonts w:ascii="Times New Roman" w:eastAsia="Times New Roman" w:hAnsi="Times New Roman" w:cs="Times New Roman"/>
          <w:color w:val="000000"/>
          <w:sz w:val="24"/>
          <w:szCs w:val="24"/>
          <w:lang w:val="en-US"/>
        </w:rPr>
        <w:t>Big Five Inventory</w:t>
      </w:r>
      <w:r w:rsidR="00F24AD4">
        <w:rPr>
          <w:rFonts w:ascii="Times New Roman" w:eastAsia="Times New Roman" w:hAnsi="Times New Roman" w:cs="Times New Roman"/>
          <w:color w:val="000000"/>
          <w:sz w:val="24"/>
          <w:szCs w:val="24"/>
          <w:lang w:val="en-US"/>
        </w:rPr>
        <w:t xml:space="preserve"> </w:t>
      </w:r>
      <w:r w:rsidR="00F24AD4">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XAodf78W","properties":{"formattedCitation":"(2)","plainCitation":"(2)","noteIndex":0},"citationItems":[{"id":1336,"uris":["http://zotero.org/users/8344251/items/F6EXJWWJ"],"uri":["http://zotero.org/users/8344251/items/F6EXJWWJ"],"itemData":{"id":1336,"type":"article-journal","abstract":"Neuroticism is an important risk factor for psychiatric traits, including depression1, anxiety2,3, and schizophrenia4-6. At the time of analysis, previous genome-wide association studies7-12 (GWAS) reported 16 genomic loci associated to neuroticism10-12. Here we conducted a large GWAS meta-analysis (n = 449,484) of neuroticism and identified 136 independent genome-wide significant loci (124 new at the time of analysis), which implicate 599 genes. Functional follow-up analyses showed enrichment in several brain regions and involvement of specific cell types, including dopaminergic neuroblasts (P = 3.49 × 10-8), medium spiny neurons (P = 4.23 × 10-8), and serotonergic neurons (P = 1.37 × 10-7). Gene set analyses implicated three specific pathways: neurogenesis (P = 4.43 × 10-9), behavioral response to cocaine processes (P = 1.84 × 10-7), and axon part (P = 5.26 × 10-8). We show that neuroticism's genetic signal partly originates in two genetically distinguishable subclusters13 ('depressed affect' and 'worry'), suggesting distinct causal mechanisms for subtypes of individuals. Mendelian randomization analysis showed unidirectional and bidirectional effects between neuroticism and multiple psychiatric traits. These results enhance neurobiological understanding of neuroticism and provide specific leads for functional follow-up experiments.","container-title":"Nature Genetics","DOI":"10.1038/s41588-018-0151-7","ISSN":"1546-1718","issue":"7","journalAbbreviation":"Nat Genet","language":"eng","note":"PMID: 29942085","page":"920-927","source":"PubMed","title":"Meta-analysis of genome-wide association studies for neuroticism in 449,484 individuals identifies novel genetic loci and pathways","volume":"50","author":[{"family":"Nagel","given":"Mats"},{"family":"Jansen","given":"Philip R."},{"family":"Stringer","given":"Sven"},{"family":"Watanabe","given":"Kyoko"},{"family":"Leeuw","given":"Christiaan A.","non-dropping-particle":"de"},{"family":"Bryois","given":"Julien"},{"family":"Savage","given":"Jeanne E."},{"family":"Hammerschlag","given":"Anke R."},{"family":"Skene","given":"Nathan G."},{"family":"Muñoz-Manchado","given":"Ana B."},{"literal":"23andMe Research Team"},{"family":"White","given":"Tonya"},{"family":"Tiemeier","given":"Henning"},{"family":"Linnarsson","given":"Sten"},{"family":"Hjerling-Leffler","given":"Jens"},{"family":"Polderman","given":"Tinca J. C."},{"family":"Sullivan","given":"Patrick F."},{"family":"Sluis","given":"Sophie","non-dropping-particle":"van der"},{"family":"Posthuma","given":"Danielle"}],"issued":{"date-parts":[["2018",7]]}}}],"schema":"https://github.com/citation-style-language/schema/raw/master/csl-citation.json"} </w:instrText>
      </w:r>
      <w:r w:rsidR="00F24AD4">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(2)</w:t>
      </w:r>
      <w:r w:rsidR="00F24AD4">
        <w:rPr>
          <w:rFonts w:ascii="Times New Roman" w:eastAsia="Times New Roman" w:hAnsi="Times New Roman" w:cs="Times New Roman"/>
          <w:color w:val="000000"/>
          <w:sz w:val="24"/>
          <w:szCs w:val="24"/>
          <w:lang w:val="en-US"/>
        </w:rPr>
        <w:fldChar w:fldCharType="end"/>
      </w:r>
      <w:r w:rsidR="009954AF" w:rsidRPr="009954AF">
        <w:rPr>
          <w:rFonts w:ascii="Times New Roman" w:eastAsia="Times New Roman" w:hAnsi="Times New Roman" w:cs="Times New Roman"/>
          <w:color w:val="000000"/>
          <w:sz w:val="24"/>
          <w:szCs w:val="24"/>
          <w:lang w:val="en-US"/>
        </w:rPr>
        <w:t>.</w:t>
      </w:r>
      <w:r w:rsidR="00E0179D">
        <w:rPr>
          <w:rFonts w:ascii="Times New Roman" w:eastAsia="Times New Roman" w:hAnsi="Times New Roman" w:cs="Times New Roman"/>
          <w:color w:val="000000"/>
          <w:sz w:val="24"/>
          <w:szCs w:val="24"/>
          <w:lang w:val="en-US"/>
        </w:rPr>
        <w:t xml:space="preserve"> Intelligence (INT) was measured </w:t>
      </w:r>
      <w:r w:rsidR="00315496">
        <w:rPr>
          <w:rFonts w:ascii="Times New Roman" w:eastAsia="Times New Roman" w:hAnsi="Times New Roman" w:cs="Times New Roman"/>
          <w:color w:val="000000"/>
          <w:sz w:val="24"/>
          <w:szCs w:val="24"/>
          <w:lang w:val="en-US"/>
        </w:rPr>
        <w:t>with diverse cognitive measures, the majority of which relate to fluid domains of cognition</w:t>
      </w:r>
      <w:r w:rsidR="00F24AD4">
        <w:rPr>
          <w:rFonts w:ascii="Times New Roman" w:eastAsia="Times New Roman" w:hAnsi="Times New Roman" w:cs="Times New Roman"/>
          <w:color w:val="000000"/>
          <w:sz w:val="24"/>
          <w:szCs w:val="24"/>
          <w:lang w:val="en-US"/>
        </w:rPr>
        <w:t xml:space="preserve"> </w:t>
      </w:r>
      <w:r w:rsidR="00F24AD4">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1d6ZO7tp","properties":{"formattedCitation":"(3)","plainCitation":"(3)","noteIndex":0},"citationItems":[{"id":1335,"uris":["http://zotero.org/users/8344251/items/2ZH2V4RC"],"uri":["http://zotero.org/users/8344251/items/2ZH2V4RC"],"itemData":{"id":1335,"type":"article-journal","abstract":"Intelligence is highly heritable1 and a major determinant of human health and well-being2. Recent genome-wide meta-analyses have identified 24 genomic loci linked to variation in intelligence3-7, but much about its genetic underpinnings remains to be discovered. Here, we present a large-scale genetic association study of intelligence (n = 269,867), identifying 205 associated genomic loci (190 new) and 1,016 genes (939 new) via positional mapping, expression quantitative trait locus (eQTL) mapping, chromatin interaction mapping, and gene-based association analysis. We find enrichment of genetic effects in conserved and coding regions and associations with 146 nonsynonymous exonic variants. Associated genes are strongly expressed in the brain, specifically in striatal medium spiny neurons and hippocampal pyramidal neurons. Gene set analyses implicate pathways related to nervous system development and synaptic structure. We confirm previous strong genetic correlations with multiple health-related outcomes, and Mendelian randomization analysis results suggest protective effects of intelligence for Alzheimer's disease and ADHD and bidirectional causation with pleiotropic effects for schizophrenia. These results are a major step forward in understanding the neurobiology of cognitive function as well as genetically related neurological and psychiatric disorders.","container-title":"Nature Genetics","DOI":"10.1038/s41588-018-0152-6","ISSN":"1546-1718","issue":"7","journalAbbreviation":"Nat Genet","language":"eng","note":"PMID: 29942086\nPMCID: PMC6411041","page":"912-919","source":"PubMed","title":"Genome-wide association meta-analysis in 269,867 individuals identifies new genetic and functional links to intelligence","volume":"50","author":[{"family":"Savage","given":"Jeanne E."},{"family":"Jansen","given":"Philip R."},{"family":"Stringer","given":"Sven"},{"family":"Watanabe","given":"Kyoko"},{"family":"Bryois","given":"Julien"},{"family":"Leeuw","given":"Christiaan A.","non-dropping-particle":"de"},{"family":"Nagel","given":"Mats"},{"family":"Awasthi","given":"Swapnil"},{"family":"Barr","given":"Peter B."},{"family":"Coleman","given":"Jonathan R. I."},{"family":"Grasby","given":"Katrina L."},{"family":"Hammerschlag","given":"Anke R."},{"family":"Kaminski","given":"Jakob A."},{"family":"Karlsson","given":"Robert"},{"family":"Krapohl","given":"Eva"},{"family":"Lam","given":"Max"},{"family":"Nygaard","given":"Marianne"},{"family":"Reynolds","given":"Chandra A."},{"family":"Trampush","given":"Joey W."},{"family":"Young","given":"Hannah"},{"family":"Zabaneh","given":"Delilah"},{"family":"Hägg","given":"Sara"},{"family":"Hansell","given":"Narelle K."},{"family":"Karlsson","given":"Ida K."},{"family":"Linnarsson","given":"Sten"},{"family":"Montgomery","given":"Grant W."},{"family":"Muñoz-Manchado","given":"Ana B."},{"family":"Quinlan","given":"Erin B."},{"family":"Schumann","given":"Gunter"},{"family":"Skene","given":"Nathan G."},{"family":"Webb","given":"Bradley T."},{"family":"White","given":"Tonya"},{"family":"Arking","given":"Dan E."},{"family":"Avramopoulos","given":"Dimitrios"},{"family":"Bilder","given":"Robert M."},{"family":"Bitsios","given":"Panos"},{"family":"Burdick","given":"Katherine E."},{"family":"Cannon","given":"Tyrone D."},{"family":"Chiba-Falek","given":"Ornit"},{"family":"Christoforou","given":"Andrea"},{"family":"Cirulli","given":"Elizabeth T."},{"family":"Congdon","given":"Eliza"},{"family":"Corvin","given":"Aiden"},{"family":"Davies","given":"Gail"},{"family":"Deary","given":"Ian J."},{"family":"DeRosse","given":"Pamela"},{"family":"Dickinson","given":"Dwight"},{"family":"Djurovic","given":"Srdjan"},{"family":"Donohoe","given":"Gary"},{"family":"Conley","given":"Emily Drabant"},{"family":"Eriksson","given":"Johan G."},{"family":"Espeseth","given":"Thomas"},{"family":"Freimer","given":"Nelson A."},{"family":"Giakoumaki","given":"Stella"},{"family":"Giegling","given":"Ina"},{"family":"Gill","given":"Michael"},{"family":"Glahn","given":"David C."},{"family":"Hariri","given":"Ahmad R."},{"family":"Hatzimanolis","given":"Alex"},{"family":"Keller","given":"Matthew C."},{"family":"Knowles","given":"Emma"},{"family":"Koltai","given":"Deborah"},{"family":"Konte","given":"Bettina"},{"family":"Lahti","given":"Jari"},{"family":"Le Hellard","given":"Stephanie"},{"family":"Lencz","given":"Todd"},{"family":"Liewald","given":"David C."},{"family":"London","given":"Edythe"},{"family":"Lundervold","given":"Astri J."},{"family":"Malhotra","given":"Anil K."},{"family":"Melle","given":"Ingrid"},{"family":"Morris","given":"Derek"},{"family":"Need","given":"Anna C."},{"family":"Ollier","given":"William"},{"family":"Palotie","given":"Aarno"},{"family":"Payton","given":"Antony"},{"family":"Pendleton","given":"Neil"},{"family":"Poldrack","given":"Russell A."},{"family":"Räikkönen","given":"Katri"},{"family":"Reinvang","given":"Ivar"},{"family":"Roussos","given":"Panos"},{"family":"Rujescu","given":"Dan"},{"family":"Sabb","given":"Fred W."},{"family":"Scult","given":"Matthew A."},{"family":"Smeland","given":"Olav B."},{"family":"Smyrnis","given":"Nikolaos"},{"family":"Starr","given":"John M."},{"family":"Steen","given":"Vidar M."},{"family":"Stefanis","given":"Nikos C."},{"family":"Straub","given":"Richard E."},{"family":"Sundet","given":"Kjetil"},{"family":"Tiemeier","given":"Henning"},{"family":"Voineskos","given":"Aristotle N."},{"family":"Weinberger","given":"Daniel R."},{"family":"Widen","given":"Elisabeth"},{"family":"Yu","given":"Jin"},{"family":"Abecasis","given":"Goncalo"},{"family":"Andreassen","given":"Ole A."},{"family":"Breen","given":"Gerome"},{"family":"Christiansen","given":"Lene"},{"family":"Debrabant","given":"Birgit"},{"family":"Dick","given":"Danielle M."},{"family":"Heinz","given":"Andreas"},{"family":"Hjerling-Leffler","given":"Jens"},{"family":"Ikram","given":"M. Arfan"},{"family":"Kendler","given":"Kenneth S."},{"family":"Martin","given":"Nicholas G."},{"family":"Medland","given":"Sarah E."},{"family":"Pedersen","given":"Nancy L."},{"family":"Plomin","given":"Robert"},{"family":"Polderman","given":"Tinca J. C."},{"family":"Ripke","given":"Stephan"},{"family":"Sluis","given":"Sophie","non-dropping-particle":"van der"},{"family":"Sullivan","given":"Patrick F."},{"family":"Vrieze","given":"Scott I."},{"family":"Wright","given":"Margaret J."},{"family":"Posthuma","given":"Danielle"}],"issued":{"date-parts":[["2018",7]]}}}],"schema":"https://github.com/citation-style-language/schema/raw/master/csl-citation.json"} </w:instrText>
      </w:r>
      <w:r w:rsidR="00F24AD4">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(3)</w:t>
      </w:r>
      <w:r w:rsidR="00F24AD4">
        <w:rPr>
          <w:rFonts w:ascii="Times New Roman" w:eastAsia="Times New Roman" w:hAnsi="Times New Roman" w:cs="Times New Roman"/>
          <w:color w:val="000000"/>
          <w:sz w:val="24"/>
          <w:szCs w:val="24"/>
          <w:lang w:val="en-US"/>
        </w:rPr>
        <w:fldChar w:fldCharType="end"/>
      </w:r>
      <w:r w:rsidR="00315496">
        <w:rPr>
          <w:rFonts w:ascii="Times New Roman" w:eastAsia="Times New Roman" w:hAnsi="Times New Roman" w:cs="Times New Roman"/>
          <w:color w:val="000000"/>
          <w:sz w:val="24"/>
          <w:szCs w:val="24"/>
          <w:lang w:val="en-US"/>
        </w:rPr>
        <w:t>.</w:t>
      </w:r>
      <w:r w:rsidR="003D653C">
        <w:rPr>
          <w:rFonts w:ascii="Times New Roman" w:eastAsia="Times New Roman" w:hAnsi="Times New Roman" w:cs="Times New Roman"/>
          <w:color w:val="000000"/>
          <w:sz w:val="24"/>
          <w:szCs w:val="24"/>
          <w:lang w:val="en-US"/>
        </w:rPr>
        <w:t xml:space="preserve"> </w:t>
      </w:r>
      <w:r w:rsidR="003D653C" w:rsidRPr="003D653C">
        <w:rPr>
          <w:rFonts w:ascii="Times New Roman" w:eastAsia="Times New Roman" w:hAnsi="Times New Roman" w:cs="Times New Roman"/>
          <w:color w:val="000000"/>
          <w:sz w:val="24"/>
          <w:szCs w:val="24"/>
          <w:lang w:val="en-US"/>
        </w:rPr>
        <w:t xml:space="preserve">Measures included: </w:t>
      </w:r>
      <w:r w:rsidR="003D653C">
        <w:rPr>
          <w:rFonts w:ascii="Times New Roman" w:eastAsia="Times New Roman" w:hAnsi="Times New Roman" w:cs="Times New Roman"/>
          <w:color w:val="000000"/>
          <w:sz w:val="24"/>
          <w:szCs w:val="24"/>
          <w:lang w:val="en-US"/>
        </w:rPr>
        <w:t>v</w:t>
      </w:r>
      <w:r w:rsidR="003D653C" w:rsidRPr="003D653C">
        <w:rPr>
          <w:rFonts w:ascii="Times New Roman" w:eastAsia="Times New Roman" w:hAnsi="Times New Roman" w:cs="Times New Roman"/>
          <w:color w:val="000000"/>
          <w:sz w:val="24"/>
          <w:szCs w:val="24"/>
          <w:lang w:val="en-US"/>
        </w:rPr>
        <w:t>erbal and mathematical reasoning, letter-digit substitution, Stroop, verbal fluency, delayed recall, SON-R, logical, verbal, spatial and technical ability subtests, SAT test scores, WISC-III, Raven's progressive matrices, WISC-IV, CANTAB factor score, SRT-C factor score, MAB-II IQ score, WAIS IQ score, ICAR verbal reasoning test</w:t>
      </w:r>
      <w:r w:rsidR="00086FEA">
        <w:rPr>
          <w:rFonts w:ascii="Times New Roman" w:eastAsia="Times New Roman" w:hAnsi="Times New Roman" w:cs="Times New Roman"/>
          <w:color w:val="000000"/>
          <w:sz w:val="24"/>
          <w:szCs w:val="24"/>
          <w:lang w:val="en-US"/>
        </w:rPr>
        <w:t xml:space="preserve"> and </w:t>
      </w:r>
      <w:r w:rsidR="003D653C" w:rsidRPr="003D653C">
        <w:rPr>
          <w:rFonts w:ascii="Times New Roman" w:eastAsia="Times New Roman" w:hAnsi="Times New Roman" w:cs="Times New Roman"/>
          <w:color w:val="000000"/>
          <w:sz w:val="24"/>
          <w:szCs w:val="24"/>
          <w:lang w:val="en-US"/>
        </w:rPr>
        <w:t>processing speed tests.</w:t>
      </w:r>
    </w:p>
    <w:p w14:paraId="4119EBEF" w14:textId="77777777" w:rsidR="007D3308" w:rsidRPr="007D3308" w:rsidRDefault="007D3308" w:rsidP="00D617D5">
      <w:pPr>
        <w:spacing w:before="240" w:after="240" w:line="360" w:lineRule="auto"/>
        <w:rPr>
          <w:rFonts w:ascii="Times New Roman" w:eastAsia="Times New Roman" w:hAnsi="Times New Roman" w:cs="Times New Roman"/>
          <w:color w:val="000000"/>
          <w:sz w:val="24"/>
          <w:szCs w:val="24"/>
          <w:lang w:val="en-US"/>
        </w:rPr>
      </w:pPr>
    </w:p>
    <w:p w14:paraId="6B6FFB98" w14:textId="3CC00106" w:rsidR="000B3FA8" w:rsidRPr="001D3829" w:rsidRDefault="000B3FA8" w:rsidP="00D617D5">
      <w:pPr>
        <w:spacing w:before="240" w:after="240" w:line="360" w:lineRule="auto"/>
        <w:rPr>
          <w:rFonts w:ascii="Times New Roman" w:eastAsia="Times New Roman" w:hAnsi="Times New Roman" w:cs="Times New Roman"/>
          <w:sz w:val="24"/>
          <w:szCs w:val="24"/>
          <w:lang w:val="en-US"/>
        </w:rPr>
      </w:pPr>
      <w:r w:rsidRPr="001D3829">
        <w:rPr>
          <w:rFonts w:ascii="Times New Roman" w:eastAsia="Times New Roman" w:hAnsi="Times New Roman" w:cs="Times New Roman"/>
          <w:b/>
          <w:bCs/>
          <w:color w:val="000000"/>
          <w:sz w:val="24"/>
          <w:szCs w:val="24"/>
          <w:lang w:val="en-US"/>
        </w:rPr>
        <w:lastRenderedPageBreak/>
        <w:t>Genomic loci definition and functional annotation</w:t>
      </w:r>
    </w:p>
    <w:p w14:paraId="4213E317" w14:textId="3F62AA2C" w:rsidR="000B3FA8" w:rsidRPr="00246AFE" w:rsidRDefault="000B3FA8" w:rsidP="007549F2">
      <w:pPr>
        <w:spacing w:before="240" w:after="240" w:line="360" w:lineRule="auto"/>
        <w:ind w:firstLine="720"/>
        <w:rPr>
          <w:rFonts w:ascii="Times New Roman" w:eastAsia="Times New Roman" w:hAnsi="Times New Roman" w:cs="Times New Roman"/>
          <w:color w:val="000000"/>
          <w:sz w:val="24"/>
          <w:szCs w:val="24"/>
          <w:lang w:val="en-US"/>
        </w:rPr>
      </w:pPr>
      <w:r w:rsidRPr="001D3829">
        <w:rPr>
          <w:rFonts w:ascii="Times New Roman" w:eastAsia="Times New Roman" w:hAnsi="Times New Roman" w:cs="Times New Roman"/>
          <w:color w:val="000000"/>
          <w:sz w:val="24"/>
          <w:szCs w:val="24"/>
          <w:lang w:val="en-US"/>
        </w:rPr>
        <w:t xml:space="preserve">We defined independent genomic loci identified by conditional or </w:t>
      </w:r>
      <w:proofErr w:type="spellStart"/>
      <w:r w:rsidRPr="001D3829">
        <w:rPr>
          <w:rFonts w:ascii="Times New Roman" w:eastAsia="Times New Roman" w:hAnsi="Times New Roman" w:cs="Times New Roman"/>
          <w:color w:val="000000"/>
          <w:sz w:val="24"/>
          <w:szCs w:val="24"/>
          <w:lang w:val="en-US"/>
        </w:rPr>
        <w:t>conjFDR</w:t>
      </w:r>
      <w:proofErr w:type="spellEnd"/>
      <w:r w:rsidRPr="001D3829">
        <w:rPr>
          <w:rFonts w:ascii="Times New Roman" w:eastAsia="Times New Roman" w:hAnsi="Times New Roman" w:cs="Times New Roman"/>
          <w:color w:val="000000"/>
          <w:sz w:val="24"/>
          <w:szCs w:val="24"/>
          <w:lang w:val="en-US"/>
        </w:rPr>
        <w:t xml:space="preserve"> analysis using the FUMA protocol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IwGfTNMC","properties":{"formattedCitation":"(9)","plainCitation":"(9)","noteIndex":0},"citationItems":[{"id":18,"uris":["http://zotero.org/users/8344251/items/XYG7K6S4"],"uri":["http://zotero.org/users/8344251/items/XYG7K6S4"],"itemData":{"id":18,"type":"article-journal","abstract":"A main challenge in genome-wide association studies (GWAS) is to pinpoint possible causal variants. Results from GWAS typically do not directly translate into causal variants because the majority of hits are in non-coding or intergenic regions, and the presence of linkage disequilibrium leads to effects being statistically spread out across multiple variants. Post-GWAS annotation facilitates the selection of most likely causal variant(s). Multiple resources are available for post-GWAS annotation, yet these can be time consuming and do not provide integrated visual aids for data interpretation. We, therefore, develop FUMA: an integrative web-based platform using information from multiple biological resources to facilitate functional annotation of GWAS results, gene prioritization and interactive visualization. FUMA accommodates positional, expression quantitative trait loci (eQTL) and chromatin interaction mappings, and provides gene-based, pathway and tissue enrichment results. FUMA results directly aid in generating hypotheses that are testable in functional experiments aimed at proving causal relations.","container-title":"Nature Communications","DOI":"10.1038/s41467-017-01261-5","ISSN":"2041-1723","issue":"1","journalAbbreviation":"Nat Commun","language":"eng","note":"PMID: 29184056\nPMCID: PMC5705698","page":"1826","source":"PubMed","title":"Functional mapping and annotation of genetic associations with FUMA","volume":"8","author":[{"family":"Watanabe","given":"Kyoko"},{"family":"Taskesen","given":"Erdogan"},{"family":"Bochoven","given":"Arjen","non-dropping-particle":"van"},{"family":"Posthuma","given":"Danielle"}],"issued":{"date-parts":[["2017",11,28]]}}}],"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(9)</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w:t>
      </w:r>
      <w:r w:rsidR="00246AFE">
        <w:rPr>
          <w:rFonts w:ascii="Times New Roman" w:eastAsia="Times New Roman" w:hAnsi="Times New Roman" w:cs="Times New Roman"/>
          <w:color w:val="000000"/>
          <w:sz w:val="24"/>
          <w:szCs w:val="24"/>
          <w:lang w:val="en-US"/>
        </w:rPr>
        <w:t xml:space="preserve"> </w:t>
      </w:r>
      <w:r w:rsidR="00365A13">
        <w:rPr>
          <w:rFonts w:ascii="Times New Roman" w:eastAsia="Times New Roman" w:hAnsi="Times New Roman" w:cs="Times New Roman"/>
          <w:color w:val="000000"/>
          <w:sz w:val="24"/>
          <w:szCs w:val="24"/>
          <w:lang w:val="en-US"/>
        </w:rPr>
        <w:t>A</w:t>
      </w:r>
      <w:r w:rsidRPr="001D3829">
        <w:rPr>
          <w:rFonts w:ascii="Times New Roman" w:eastAsia="Times New Roman" w:hAnsi="Times New Roman" w:cs="Times New Roman"/>
          <w:color w:val="000000"/>
          <w:sz w:val="24"/>
          <w:szCs w:val="24"/>
          <w:lang w:val="en-US"/>
        </w:rPr>
        <w:t xml:space="preserve">ll SNPs with a </w:t>
      </w:r>
      <w:proofErr w:type="spellStart"/>
      <w:r w:rsidRPr="001D3829">
        <w:rPr>
          <w:rFonts w:ascii="Times New Roman" w:eastAsia="Times New Roman" w:hAnsi="Times New Roman" w:cs="Times New Roman"/>
          <w:color w:val="000000"/>
          <w:sz w:val="24"/>
          <w:szCs w:val="24"/>
          <w:lang w:val="en-US"/>
        </w:rPr>
        <w:t>conjFDR</w:t>
      </w:r>
      <w:proofErr w:type="spellEnd"/>
      <w:r w:rsidRPr="001D3829">
        <w:rPr>
          <w:rFonts w:ascii="Times New Roman" w:eastAsia="Times New Roman" w:hAnsi="Times New Roman" w:cs="Times New Roman"/>
          <w:color w:val="000000"/>
          <w:sz w:val="24"/>
          <w:szCs w:val="24"/>
          <w:lang w:val="en-US"/>
        </w:rPr>
        <w:t xml:space="preserve"> value &lt; 0.10 having an LD </w:t>
      </w:r>
      <w:r w:rsidRPr="001D3829">
        <w:rPr>
          <w:rFonts w:ascii="Times New Roman" w:eastAsia="Times New Roman" w:hAnsi="Times New Roman" w:cs="Times New Roman"/>
          <w:i/>
          <w:iCs/>
          <w:color w:val="000000"/>
          <w:sz w:val="24"/>
          <w:szCs w:val="24"/>
          <w:lang w:val="en-US"/>
        </w:rPr>
        <w:t>r</w:t>
      </w:r>
      <w:r w:rsidRPr="001D3829">
        <w:rPr>
          <w:rFonts w:ascii="Times New Roman" w:eastAsia="Times New Roman" w:hAnsi="Times New Roman" w:cs="Times New Roman"/>
          <w:color w:val="000000"/>
          <w:sz w:val="14"/>
          <w:szCs w:val="14"/>
          <w:vertAlign w:val="superscript"/>
          <w:lang w:val="en-US"/>
        </w:rPr>
        <w:t>2</w:t>
      </w:r>
      <w:r w:rsidRPr="001D3829">
        <w:rPr>
          <w:rFonts w:ascii="Times New Roman" w:eastAsia="Times New Roman" w:hAnsi="Times New Roman" w:cs="Times New Roman"/>
          <w:color w:val="000000"/>
          <w:sz w:val="24"/>
          <w:szCs w:val="24"/>
          <w:lang w:val="en-US"/>
        </w:rPr>
        <w:t xml:space="preserve"> </w:t>
      </w:r>
      <w:r w:rsidRPr="001D3829">
        <w:rPr>
          <w:rFonts w:ascii="Cambria Math" w:eastAsia="Times New Roman" w:hAnsi="Cambria Math" w:cs="Cambria Math"/>
          <w:color w:val="000000"/>
          <w:sz w:val="24"/>
          <w:szCs w:val="24"/>
          <w:lang w:val="en-US"/>
        </w:rPr>
        <w:t>≧</w:t>
      </w:r>
      <w:r w:rsidRPr="001D3829">
        <w:rPr>
          <w:rFonts w:ascii="Times New Roman" w:eastAsia="Times New Roman" w:hAnsi="Times New Roman" w:cs="Times New Roman"/>
          <w:color w:val="000000"/>
          <w:sz w:val="24"/>
          <w:szCs w:val="24"/>
          <w:lang w:val="en-US"/>
        </w:rPr>
        <w:t xml:space="preserve"> 0.6 with one of the independent significant SNPs were functionally annotated using multiple tools, performed in FUMA including (a) Combined Annotation Dependent Depletion scores (CADD)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CBRTxPz9","properties":{"formattedCitation":"(10)","plainCitation":"(10)","noteIndex":0},"citationItems":[{"id":17,"uris":["http://zotero.org/users/8344251/items/IQP5E4N9"],"uri":["http://zotero.org/users/8344251/items/IQP5E4N9"],"itemData":{"id":17,"type":"article-journal","abstract":"Current methods for annotating and interpreting human genetic variation tend to exploit a single information type (for example, conservation) and/or are restricted in scope (for example, to missense changes). Here we describe Combined Annotation-Dependent Depletion (CADD), a method for objectively integrating many diverse annotations into a single measure (C score) for each variant. We implement CADD as a support vector machine trained to differentiate 14.7 million high-frequency human-derived alleles from 14.7 million simulated variants. We precompute C scores for all 8.6 billion possible human single-nucleotide variants and enable scoring of short insertions-deletions. C scores correlate with allelic diversity, annotations of functionality, pathogenicity, disease severity, experimentally measured regulatory effects and complex trait associations, and they highly rank known pathogenic variants within individual genomes. The ability of CADD to prioritize functional, deleterious and pathogenic variants across many functional categories, effect sizes and genetic architectures is unmatched by any current single-annotation method.","container-title":"Nature Genetics","DOI":"10.1038/ng.2892","ISSN":"1546-1718","issue":"3","journalAbbreviation":"Nat Genet","language":"eng","note":"PMID: 24487276\nPMCID: PMC3992975","page":"310-315","source":"PubMed","title":"A general framework for estimating the relative pathogenicity of human genetic variants","volume":"46","author":[{"family":"Kircher","given":"Martin"},{"family":"Witten","given":"Daniela M."},{"family":"Jain","given":"Preti"},{"family":"O'Roak","given":"Brian J."},{"family":"Cooper","given":"Gregory M."},{"family":"Shendure","given":"Jay"}],"issued":{"date-parts":[["2014",3]]}}}],"schema":"https://github.com/citation-style-language/schema/raw/master/csl-citation.json"}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7549F2">
        <w:rPr>
          <w:rFonts w:ascii="Times New Roman" w:hAnsi="Times New Roman" w:cs="Times New Roman"/>
          <w:sz w:val="24"/>
        </w:rPr>
        <w:t>(10)</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 xml:space="preserve">, (b) </w:t>
      </w:r>
      <w:proofErr w:type="spellStart"/>
      <w:r w:rsidRPr="001D3829">
        <w:rPr>
          <w:rFonts w:ascii="Times New Roman" w:eastAsia="Times New Roman" w:hAnsi="Times New Roman" w:cs="Times New Roman"/>
          <w:color w:val="000000"/>
          <w:sz w:val="24"/>
          <w:szCs w:val="24"/>
          <w:lang w:val="en-US"/>
        </w:rPr>
        <w:t>RegulomeDB</w:t>
      </w:r>
      <w:proofErr w:type="spellEnd"/>
      <w:r w:rsidRPr="001D3829">
        <w:rPr>
          <w:rFonts w:ascii="Times New Roman" w:eastAsia="Times New Roman" w:hAnsi="Times New Roman" w:cs="Times New Roman"/>
          <w:color w:val="000000"/>
          <w:sz w:val="24"/>
          <w:szCs w:val="24"/>
          <w:lang w:val="en-US"/>
        </w:rPr>
        <w:t xml:space="preserve"> scores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ZiqK1nLc","properties":{"formattedCitation":"(11)","plainCitation":"(11)","noteIndex":0},"citationItems":[{"id":16,"uris":["http://zotero.org/users/8344251/items/WSDA7MUD"],"uri":["http://zotero.org/users/8344251/items/WSDA7MUD"],"itemData":{"id":16,"type":"article-journal","abstract":"As the sequencing of healthy and disease genomes becomes more commonplace, detailed annotation provides interpretation for individual variation responsible for normal and disease phenotypes. Current approaches focus on direct changes in protein coding genes, particularly nonsynonymous mutations that directly affect the gene product. However, most individual variation occurs outside of genes and, indeed, most markers generated from genome-wide association studies (GWAS) identify variants outside of coding segments. Identification of potential regulatory changes that perturb these sites will lead to a better localization of truly functional variants and interpretation of their effects. We have developed a novel approach and database, RegulomeDB, which guides interpretation of regulatory variants in the human genome. RegulomeDB includes high-throughput, experimental data sets from ENCODE and other sources, as well as computational predictions and manual annotations to identify putative regulatory potential and identify functional variants. These data sources are combined into a powerful tool that scores variants to help separate functional variants from a large pool and provides a small set of putative sites with testable hypotheses as to their function. We demonstrate the applicability of this tool to the annotation of noncoding variants from 69 full sequenced genomes as well as that of a personal genome, where thousands of functionally associated variants were identified. Moreover, we demonstrate a GWAS where the database is able to quickly identify the known associated functional variant and provide a hypothesis as to its function. Overall, we expect this approach and resource to be valuable for the annotation of human genome sequences.","container-title":"Genome Research","DOI":"10.1101/gr.137323.112","ISSN":"1549-5469","issue":"9","journalAbbreviation":"Genome Res","language":"eng","note":"PMID: 22955989\nPMCID: PMC3431494","page":"1790-1797","source":"PubMed","title":"Annotation of functional variation in personal genomes using RegulomeDB","volume":"22","author":[{"family":"Boyle","given":"Alan P."},{"family":"Hong","given":"Eurie L."},{"family":"Hariharan","given":"Manoj"},{"family":"Cheng","given":"Yong"},{"family":"Schaub","given":"Marc A."},{"family":"Kasowski","given":"Maya"},{"family":"Karczewski","given":"Konrad J."},{"family":"Park","given":"Julie"},{"family":"Hitz","given":"Benjamin C."},{"family":"Weng","given":"Shuai"},{"family":"Cherry","given":"J. Michael"},{"family":"Snyder","given":"Michael"}],"issued":{"date-parts":[["2012",9]]}}}],"schema":"https://github.com/citation-style-language/schema/raw/master/csl-citation.json"}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7549F2">
        <w:rPr>
          <w:rFonts w:ascii="Times New Roman" w:hAnsi="Times New Roman" w:cs="Times New Roman"/>
          <w:sz w:val="24"/>
        </w:rPr>
        <w:t>(11)</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 xml:space="preserve">, and (c) minimum chromatin state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ecUiaXCh","properties":{"formattedCitation":"(12,13)","plainCitation":"(12,13)","noteIndex":0},"citationItems":[{"id":15,"uris":["http://zotero.org/users/8344251/items/YAQ8LIUB"],"uri":["http://zotero.org/users/8344251/items/YAQ8LIUB"],"itemData":{"id":15,"type":"article-journal","abstract":"The reference human genome sequence set the stage for studies of genetic variation and its association with human disease, but epigenomic studies lack a similar reference. To address this need, the NIH Roadmap Epigenomics Consortium generated the largest collection so far of human epigenomes for primary cells and tissues. Here we describe the integrative analysis of 111 reference human epigenomes generated as part of the programme, profiled for histone modification patterns, DNA accessibility, DNA methylation and RNA expression. We establish global maps of regulatory elements, define regulatory modules of coordinated activity, and their likely activators and repressors. We show that disease- and trait-associated genetic variants are enriched in tissue-specific epigenomic marks, revealing biologically relevant cell types for diverse human traits, and providing a resource for interpreting the molecular basis of human disease. Our results demonstrate the central role of epigenomic information for understanding gene regulation, cellular differentiation and human disease.","container-title":"Nature","DOI":"10.1038/nature14248","ISSN":"1476-4687","issue":"7539","journalAbbreviation":"Nature","language":"eng","note":"PMID: 25693563\nPMCID: PMC4530010","page":"317-330","source":"PubMed","title":"Integrative analysis of 111 reference human epigenomes","volume":"518","author":[{"literal":"Roadmap Epigenomics Consortium"},{"family":"Kundaje","given":"Anshul"},{"family":"Meuleman","given":"Wouter"},{"family":"Ernst","given":"Jason"},{"family":"Bilenky","given":"Misha"},{"family":"Yen","given":"Angela"},{"family":"Heravi-Moussavi","given":"Alireza"},{"family":"Kheradpour","given":"Pouya"},{"family":"Zhang","given":"Zhizhuo"},{"family":"Wang","given":"Jianrong"},{"family":"Ziller","given":"Michael J."},{"family":"Amin","given":"Viren"},{"family":"Whitaker","given":"John W."},{"family":"Schultz","given":"Matthew D."},{"family":"Ward","given":"Lucas D."},{"family":"Sarkar","given":"Abhishek"},{"family":"Quon","given":"Gerald"},{"family":"Sandstrom","given":"Richard S."},{"family":"Eaton","given":"Matthew L."},{"family":"Wu","given":"Yi-Chieh"},{"family":"Pfenning","given":"Andreas R."},{"family":"Wang","given":"Xinchen"},{"family":"Claussnitzer","given":"Melina"},{"family":"Liu","given":"Yaping"},{"family":"Coarfa","given":"Cristian"},{"family":"Harris","given":"R. Alan"},{"family":"Shoresh","given":"Noam"},{"family":"Epstein","given":"Charles B."},{"family":"Gjoneska","given":"Elizabeta"},{"family":"Leung","given":"Danny"},{"family":"Xie","given":"Wei"},{"family":"Hawkins","given":"R. David"},{"family":"Lister","given":"Ryan"},{"family":"Hong","given":"Chibo"},{"family":"Gascard","given":"Philippe"},{"family":"Mungall","given":"Andrew J."},{"family":"Moore","given":"Richard"},{"family":"Chuah","given":"Eric"},{"family":"Tam","given":"Angela"},{"family":"Canfield","given":"Theresa K."},{"family":"Hansen","given":"R. Scott"},{"family":"Kaul","given":"Rajinder"},{"family":"Sabo","given":"Peter J."},{"family":"Bansal","given":"Mukul S."},{"family":"Carles","given":"Annaick"},{"family":"Dixon","given":"Jesse R."},{"family":"Farh","given":"Kai-How"},{"family":"Feizi","given":"Soheil"},{"family":"Karlic","given":"Rosa"},{"family":"Kim","given":"Ah-Ram"},{"family":"Kulkarni","given":"Ashwinikumar"},{"family":"Li","given":"Daofeng"},{"family":"Lowdon","given":"Rebecca"},{"family":"Elliott","given":"GiNell"},{"family":"Mercer","given":"Tim R."},{"family":"Neph","given":"Shane J."},{"family":"Onuchic","given":"Vitor"},{"family":"Polak","given":"Paz"},{"family":"Rajagopal","given":"Nisha"},{"family":"Ray","given":"Pradipta"},{"family":"Sallari","given":"Richard C."},{"family":"Siebenthall","given":"Kyle T."},{"family":"Sinnott-Armstrong","given":"Nicholas A."},{"family":"Stevens","given":"Michael"},{"family":"Thurman","given":"Robert E."},{"family":"Wu","given":"Jie"},{"family":"Zhang","given":"Bo"},{"family":"Zhou","given":"Xin"},{"family":"Beaudet","given":"Arthur E."},{"family":"Boyer","given":"Laurie A."},{"family":"De Jager","given":"Philip L."},{"family":"Farnham","given":"Peggy J."},{"family":"Fisher","given":"Susan J."},{"family":"Haussler","given":"David"},{"family":"Jones","given":"Steven J. M."},{"family":"Li","given":"Wei"},{"family":"Marra","given":"Marco A."},{"family":"McManus","given":"Michael T."},{"family":"Sunyaev","given":"Shamil"},{"family":"Thomson","given":"James A."},{"family":"Tlsty","given":"Thea D."},{"family":"Tsai","given":"Li-Huei"},{"family":"Wang","given":"Wei"},{"family":"Waterland","given":"Robert A."},{"family":"Zhang","given":"Michael Q."},{"family":"Chadwick","given":"Lisa H."},{"family":"Bernstein","given":"Bradley E."},{"family":"Costello","given":"Joseph F."},{"family":"Ecker","given":"Joseph R."},{"family":"Hirst","given":"Martin"},{"family":"Meissner","given":"Alexander"},{"family":"Milosavljevic","given":"Aleksandar"},{"family":"Ren","given":"Bing"},{"family":"Stamatoyannopoulos","given":"John A."},{"family":"Wang","given":"Ting"},{"family":"Kellis","given":"Manolis"}],"issued":{"date-parts":[["2015",2,19]]}}},{"id":14,"uris":["http://zotero.org/users/8344251/items/9FB6UZ7G"],"uri":["http://zotero.org/users/8344251/items/9FB6UZ7G"],"itemData":{"id":14,"type":"article-journal","abstract":"Genome-wide association studies (GWAS) have identified thousands of genetic variants associated with human complex traits. However, the genes or functional DNA elements through which these variants exert their effects on the traits are often unknown. We propose a method (called SMR) that integrates summary-level data from GWAS with data from expression quantitative trait locus (eQTL) studies to identify genes whose expression levels are associated with a complex trait because of pleiotropy. We apply the method to five human complex traits using GWAS data on up to 339,224 individuals and eQTL data on 5,311 individuals, and we prioritize 126 genes (for example, TRAF1 and ANKRD55 for rheumatoid arthritis and SNX19 and NMRAL1 for schizophrenia), of which 25 genes are new candidates; 77 genes are not the nearest annotated gene to the top associated GWAS SNP. These genes provide important leads to design future functional studies to understand the mechanism whereby DNA variation leads to complex trait variation.","container-title":"Nature Genetics","DOI":"10.1038/ng.3538","ISSN":"1546-1718","issue":"5","journalAbbreviation":"Nat Genet","language":"eng","note":"PMID: 27019110","page":"481-487","source":"PubMed","title":"Integration of summary data from GWAS and eQTL studies predicts complex trait gene targets","volume":"48","author":[{"family":"Zhu","given":"Zhihong"},{"family":"Zhang","given":"Futao"},{"family":"Hu","given":"Han"},{"family":"Bakshi","given":"Andrew"},{"family":"Robinson","given":"Matthew R."},{"family":"Powell","given":"Joseph E."},{"family":"Montgomery","given":"Grant W."},{"family":"Goddard","given":"Michael E."},{"family":"Wray","given":"Naomi R."},{"family":"Visscher","given":"Peter M."},{"family":"Yang","given":"Jian"}],"issued":{"date-parts":[["2016",5]]}}}],"schema":"https://github.com/citation-style-language/schema/raw/master/csl-citation.json"}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(12,13)</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 xml:space="preserve">. A CADD score above 12.37 shows an association of deleterious protein with outcomes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Zs8dPnue","properties":{"formattedCitation":"(10)","plainCitation":"(10)","noteIndex":0},"citationItems":[{"id":17,"uris":["http://zotero.org/users/8344251/items/IQP5E4N9"],"uri":["http://zotero.org/users/8344251/items/IQP5E4N9"],"itemData":{"id":17,"type":"article-journal","abstract":"Current methods for annotating and interpreting human genetic variation tend to exploit a single information type (for example, conservation) and/or are restricted in scope (for example, to missense changes). Here we describe Combined Annotation-Dependent Depletion (CADD), a method for objectively integrating many diverse annotations into a single measure (C score) for each variant. We implement CADD as a support vector machine trained to differentiate 14.7 million high-frequency human-derived alleles from 14.7 million simulated variants. We precompute C scores for all 8.6 billion possible human single-nucleotide variants and enable scoring of short insertions-deletions. C scores correlate with allelic diversity, annotations of functionality, pathogenicity, disease severity, experimentally measured regulatory effects and complex trait associations, and they highly rank known pathogenic variants within individual genomes. The ability of CADD to prioritize functional, deleterious and pathogenic variants across many functional categories, effect sizes and genetic architectures is unmatched by any current single-annotation method.","container-title":"Nature Genetics","DOI":"10.1038/ng.2892","ISSN":"1546-1718","issue":"3","journalAbbreviation":"Nat Genet","language":"eng","note":"PMID: 24487276\nPMCID: PMC3992975","page":"310-315","source":"PubMed","title":"A general framework for estimating the relative pathogenicity of human genetic variants","volume":"46","author":[{"family":"Kircher","given":"Martin"},{"family":"Witten","given":"Daniela M."},{"family":"Jain","given":"Preti"},{"family":"O'Roak","given":"Brian J."},{"family":"Cooper","given":"Gregory M."},{"family":"Shendure","given":"Jay"}],"issued":{"date-parts":[["2014",3]]}}}],"schema":"https://github.com/citation-style-language/schema/raw/master/csl-citation.json"}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(10)</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 xml:space="preserve">. The </w:t>
      </w:r>
      <w:proofErr w:type="spellStart"/>
      <w:r w:rsidRPr="001D3829">
        <w:rPr>
          <w:rFonts w:ascii="Times New Roman" w:eastAsia="Times New Roman" w:hAnsi="Times New Roman" w:cs="Times New Roman"/>
          <w:color w:val="000000"/>
          <w:sz w:val="24"/>
          <w:szCs w:val="24"/>
          <w:lang w:val="en-US"/>
        </w:rPr>
        <w:t>RegulomeDB</w:t>
      </w:r>
      <w:proofErr w:type="spellEnd"/>
      <w:r w:rsidRPr="001D3829">
        <w:rPr>
          <w:rFonts w:ascii="Times New Roman" w:eastAsia="Times New Roman" w:hAnsi="Times New Roman" w:cs="Times New Roman"/>
          <w:color w:val="000000"/>
          <w:sz w:val="24"/>
          <w:szCs w:val="24"/>
          <w:lang w:val="en-US"/>
        </w:rPr>
        <w:t xml:space="preserve"> score indicates the regulatory functionality of SNPs based on expression quantitative trait loci and chromatin marks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Q5jdgS98","properties":{"formattedCitation":"(11)","plainCitation":"(11)","noteIndex":0},"citationItems":[{"id":16,"uris":["http://zotero.org/users/8344251/items/WSDA7MUD"],"uri":["http://zotero.org/users/8344251/items/WSDA7MUD"],"itemData":{"id":16,"type":"article-journal","abstract":"As the sequencing of healthy and disease genomes becomes more commonplace, detailed annotation provides interpretation for individual variation responsible for normal and disease phenotypes. Current approaches focus on direct changes in protein coding genes, particularly nonsynonymous mutations that directly affect the gene product. However, most individual variation occurs outside of genes and, indeed, most markers generated from genome-wide association studies (GWAS) identify variants outside of coding segments. Identification of potential regulatory changes that perturb these sites will lead to a better localization of truly functional variants and interpretation of their effects. We have developed a novel approach and database, RegulomeDB, which guides interpretation of regulatory variants in the human genome. RegulomeDB includes high-throughput, experimental data sets from ENCODE and other sources, as well as computational predictions and manual annotations to identify putative regulatory potential and identify functional variants. These data sources are combined into a powerful tool that scores variants to help separate functional variants from a large pool and provides a small set of putative sites with testable hypotheses as to their function. We demonstrate the applicability of this tool to the annotation of noncoding variants from 69 full sequenced genomes as well as that of a personal genome, where thousands of functionally associated variants were identified. Moreover, we demonstrate a GWAS where the database is able to quickly identify the known associated functional variant and provide a hypothesis as to its function. Overall, we expect this approach and resource to be valuable for the annotation of human genome sequences.","container-title":"Genome Research","DOI":"10.1101/gr.137323.112","ISSN":"1549-5469","issue":"9","journalAbbreviation":"Genome Res","language":"eng","note":"PMID: 22955989\nPMCID: PMC3431494","page":"1790-1797","source":"PubMed","title":"Annotation of functional variation in personal genomes using RegulomeDB","volume":"22","author":[{"family":"Boyle","given":"Alan P."},{"family":"Hong","given":"Eurie L."},{"family":"Hariharan","given":"Manoj"},{"family":"Cheng","given":"Yong"},{"family":"Schaub","given":"Marc A."},{"family":"Kasowski","given":"Maya"},{"family":"Karczewski","given":"Konrad J."},{"family":"Park","given":"Julie"},{"family":"Hitz","given":"Benjamin C."},{"family":"Weng","given":"Shuai"},{"family":"Cherry","given":"J. Michael"},{"family":"Snyder","given":"Michael"}],"issued":{"date-parts":[["2012",9]]}}}],"schema":"https://github.com/citation-style-language/schema/raw/master/csl-citation.json"}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(11)</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 xml:space="preserve">. The chromatin state indicates the accessibility of genomic regions using 15 categories, as predicted by </w:t>
      </w:r>
      <w:proofErr w:type="spellStart"/>
      <w:r w:rsidRPr="001D3829">
        <w:rPr>
          <w:rFonts w:ascii="Times New Roman" w:eastAsia="Times New Roman" w:hAnsi="Times New Roman" w:cs="Times New Roman"/>
          <w:color w:val="000000"/>
          <w:sz w:val="24"/>
          <w:szCs w:val="24"/>
          <w:lang w:val="en-US"/>
        </w:rPr>
        <w:t>ChromHMM</w:t>
      </w:r>
      <w:proofErr w:type="spellEnd"/>
      <w:r w:rsidRPr="001D3829">
        <w:rPr>
          <w:rFonts w:ascii="Times New Roman" w:eastAsia="Times New Roman" w:hAnsi="Times New Roman" w:cs="Times New Roman"/>
          <w:color w:val="000000"/>
          <w:sz w:val="24"/>
          <w:szCs w:val="24"/>
          <w:lang w:val="en-US"/>
        </w:rPr>
        <w:t xml:space="preserve"> based on 5 chromatin marks for 127 epigenomes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jZjLlhOC","properties":{"formattedCitation":"(12,13)","plainCitation":"(12,13)","noteIndex":0},"citationItems":[{"id":15,"uris":["http://zotero.org/users/8344251/items/YAQ8LIUB"],"uri":["http://zotero.org/users/8344251/items/YAQ8LIUB"],"itemData":{"id":15,"type":"article-journal","abstract":"The reference human genome sequence set the stage for studies of genetic variation and its association with human disease, but epigenomic studies lack a similar reference. To address this need, the NIH Roadmap Epigenomics Consortium generated the largest collection so far of human epigenomes for primary cells and tissues. Here we describe the integrative analysis of 111 reference human epigenomes generated as part of the programme, profiled for histone modification patterns, DNA accessibility, DNA methylation and RNA expression. We establish global maps of regulatory elements, define regulatory modules of coordinated activity, and their likely activators and repressors. We show that disease- and trait-associated genetic variants are enriched in tissue-specific epigenomic marks, revealing biologically relevant cell types for diverse human traits, and providing a resource for interpreting the molecular basis of human disease. Our results demonstrate the central role of epigenomic information for understanding gene regulation, cellular differentiation and human disease.","container-title":"Nature","DOI":"10.1038/nature14248","ISSN":"1476-4687","issue":"7539","journalAbbreviation":"Nature","language":"eng","note":"PMID: 25693563\nPMCID: PMC4530010","page":"317-330","source":"PubMed","title":"Integrative analysis of 111 reference human epigenomes","volume":"518","author":[{"literal":"Roadmap Epigenomics Consortium"},{"family":"Kundaje","given":"Anshul"},{"family":"Meuleman","given":"Wouter"},{"family":"Ernst","given":"Jason"},{"family":"Bilenky","given":"Misha"},{"family":"Yen","given":"Angela"},{"family":"Heravi-Moussavi","given":"Alireza"},{"family":"Kheradpour","given":"Pouya"},{"family":"Zhang","given":"Zhizhuo"},{"family":"Wang","given":"Jianrong"},{"family":"Ziller","given":"Michael J."},{"family":"Amin","given":"Viren"},{"family":"Whitaker","given":"John W."},{"family":"Schultz","given":"Matthew D."},{"family":"Ward","given":"Lucas D."},{"family":"Sarkar","given":"Abhishek"},{"family":"Quon","given":"Gerald"},{"family":"Sandstrom","given":"Richard S."},{"family":"Eaton","given":"Matthew L."},{"family":"Wu","given":"Yi-Chieh"},{"family":"Pfenning","given":"Andreas R."},{"family":"Wang","given":"Xinchen"},{"family":"Claussnitzer","given":"Melina"},{"family":"Liu","given":"Yaping"},{"family":"Coarfa","given":"Cristian"},{"family":"Harris","given":"R. Alan"},{"family":"Shoresh","given":"Noam"},{"family":"Epstein","given":"Charles B."},{"family":"Gjoneska","given":"Elizabeta"},{"family":"Leung","given":"Danny"},{"family":"Xie","given":"Wei"},{"family":"Hawkins","given":"R. David"},{"family":"Lister","given":"Ryan"},{"family":"Hong","given":"Chibo"},{"family":"Gascard","given":"Philippe"},{"family":"Mungall","given":"Andrew J."},{"family":"Moore","given":"Richard"},{"family":"Chuah","given":"Eric"},{"family":"Tam","given":"Angela"},{"family":"Canfield","given":"Theresa K."},{"family":"Hansen","given":"R. Scott"},{"family":"Kaul","given":"Rajinder"},{"family":"Sabo","given":"Peter J."},{"family":"Bansal","given":"Mukul S."},{"family":"Carles","given":"Annaick"},{"family":"Dixon","given":"Jesse R."},{"family":"Farh","given":"Kai-How"},{"family":"Feizi","given":"Soheil"},{"family":"Karlic","given":"Rosa"},{"family":"Kim","given":"Ah-Ram"},{"family":"Kulkarni","given":"Ashwinikumar"},{"family":"Li","given":"Daofeng"},{"family":"Lowdon","given":"Rebecca"},{"family":"Elliott","given":"GiNell"},{"family":"Mercer","given":"Tim R."},{"family":"Neph","given":"Shane J."},{"family":"Onuchic","given":"Vitor"},{"family":"Polak","given":"Paz"},{"family":"Rajagopal","given":"Nisha"},{"family":"Ray","given":"Pradipta"},{"family":"Sallari","given":"Richard C."},{"family":"Siebenthall","given":"Kyle T."},{"family":"Sinnott-Armstrong","given":"Nicholas A."},{"family":"Stevens","given":"Michael"},{"family":"Thurman","given":"Robert E."},{"family":"Wu","given":"Jie"},{"family":"Zhang","given":"Bo"},{"family":"Zhou","given":"Xin"},{"family":"Beaudet","given":"Arthur E."},{"family":"Boyer","given":"Laurie A."},{"family":"De Jager","given":"Philip L."},{"family":"Farnham","given":"Peggy J."},{"family":"Fisher","given":"Susan J."},{"family":"Haussler","given":"David"},{"family":"Jones","given":"Steven J. M."},{"family":"Li","given":"Wei"},{"family":"Marra","given":"Marco A."},{"family":"McManus","given":"Michael T."},{"family":"Sunyaev","given":"Shamil"},{"family":"Thomson","given":"James A."},{"family":"Tlsty","given":"Thea D."},{"family":"Tsai","given":"Li-Huei"},{"family":"Wang","given":"Wei"},{"family":"Waterland","given":"Robert A."},{"family":"Zhang","given":"Michael Q."},{"family":"Chadwick","given":"Lisa H."},{"family":"Bernstein","given":"Bradley E."},{"family":"Costello","given":"Joseph F."},{"family":"Ecker","given":"Joseph R."},{"family":"Hirst","given":"Martin"},{"family":"Meissner","given":"Alexander"},{"family":"Milosavljevic","given":"Aleksandar"},{"family":"Ren","given":"Bing"},{"family":"Stamatoyannopoulos","given":"John A."},{"family":"Wang","given":"Ting"},{"family":"Kellis","given":"Manolis"}],"issued":{"date-parts":[["2015",2,19]]}}},{"id":14,"uris":["http://zotero.org/users/8344251/items/9FB6UZ7G"],"uri":["http://zotero.org/users/8344251/items/9FB6UZ7G"],"itemData":{"id":14,"type":"article-journal","abstract":"Genome-wide association studies (GWAS) have identified thousands of genetic variants associated with human complex traits. However, the genes or functional DNA elements through which these variants exert their effects on the traits are often unknown. We propose a method (called SMR) that integrates summary-level data from GWAS with data from expression quantitative trait locus (eQTL) studies to identify genes whose expression levels are associated with a complex trait because of pleiotropy. We apply the method to five human complex traits using GWAS data on up to 339,224 individuals and eQTL data on 5,311 individuals, and we prioritize 126 genes (for example, TRAF1 and ANKRD55 for rheumatoid arthritis and SNX19 and NMRAL1 for schizophrenia), of which 25 genes are new candidates; 77 genes are not the nearest annotated gene to the top associated GWAS SNP. These genes provide important leads to design future functional studies to understand the mechanism whereby DNA variation leads to complex trait variation.","container-title":"Nature Genetics","DOI":"10.1038/ng.3538","ISSN":"1546-1718","issue":"5","journalAbbreviation":"Nat Genet","language":"eng","note":"PMID: 27019110","page":"481-487","source":"PubMed","title":"Integration of summary data from GWAS and eQTL studies predicts complex trait gene targets","volume":"48","author":[{"family":"Zhu","given":"Zhihong"},{"family":"Zhang","given":"Futao"},{"family":"Hu","given":"Han"},{"family":"Bakshi","given":"Andrew"},{"family":"Robinson","given":"Matthew R."},{"family":"Powell","given":"Joseph E."},{"family":"Montgomery","given":"Grant W."},{"family":"Goddard","given":"Michael E."},{"family":"Wray","given":"Naomi R."},{"family":"Visscher","given":"Peter M."},{"family":"Yang","given":"Jian"}],"issued":{"date-parts":[["2016",5]]}}}],"schema":"https://github.com/citation-style-language/schema/raw/master/csl-citation.json"}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(12,13)</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 xml:space="preserve">. FUMA’s default parameters were used to outline the distinct genomic loci and their borders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XikT1pCl","properties":{"formattedCitation":"(9)","plainCitation":"(9)","noteIndex":0},"citationItems":[{"id":18,"uris":["http://zotero.org/users/8344251/items/XYG7K6S4"],"uri":["http://zotero.org/users/8344251/items/XYG7K6S4"],"itemData":{"id":18,"type":"article-journal","abstract":"A main challenge in genome-wide association studies (GWAS) is to pinpoint possible causal variants. Results from GWAS typically do not directly translate into causal variants because the majority of hits are in non-coding or intergenic regions, and the presence of linkage disequilibrium leads to effects being statistically spread out across multiple variants. Post-GWAS annotation facilitates the selection of most likely causal variant(s). Multiple resources are available for post-GWAS annotation, yet these can be time consuming and do not provide integrated visual aids for data interpretation. We, therefore, develop FUMA: an integrative web-based platform using information from multiple biological resources to facilitate functional annotation of GWAS results, gene prioritization and interactive visualization. FUMA accommodates positional, expression quantitative trait loci (eQTL) and chromatin interaction mappings, and provides gene-based, pathway and tissue enrichment results. FUMA results directly aid in generating hypotheses that are testable in functional experiments aimed at proving causal relations.","container-title":"Nature Communications","DOI":"10.1038/s41467-017-01261-5","ISSN":"2041-1723","issue":"1","journalAbbreviation":"Nat Commun","language":"eng","note":"PMID: 29184056\nPMCID: PMC5705698","page":"1826","source":"PubMed","title":"Functional mapping and annotation of genetic associations with FUMA","volume":"8","author":[{"family":"Watanabe","given":"Kyoko"},{"family":"Taskesen","given":"Erdogan"},{"family":"Bochoven","given":"Arjen","non-dropping-particle":"van"},{"family":"Posthuma","given":"Danielle"}],"issued":{"date-parts":[["2017",11,28]]}}}],"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(9)</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w:t>
      </w:r>
    </w:p>
    <w:p w14:paraId="0FFBC05A" w14:textId="32133F2B" w:rsidR="000B3FA8" w:rsidRPr="001D3829" w:rsidRDefault="000B3FA8" w:rsidP="007549F2">
      <w:pPr>
        <w:spacing w:after="0" w:line="360" w:lineRule="auto"/>
        <w:ind w:firstLine="720"/>
        <w:rPr>
          <w:rFonts w:ascii="Times New Roman" w:eastAsia="Times New Roman" w:hAnsi="Times New Roman" w:cs="Times New Roman"/>
          <w:color w:val="000000"/>
          <w:sz w:val="24"/>
          <w:szCs w:val="24"/>
          <w:lang w:val="en-US"/>
        </w:rPr>
      </w:pPr>
      <w:r w:rsidRPr="001D3829">
        <w:rPr>
          <w:rFonts w:ascii="Times New Roman" w:eastAsia="Times New Roman" w:hAnsi="Times New Roman" w:cs="Times New Roman"/>
          <w:color w:val="000000"/>
          <w:sz w:val="24"/>
          <w:szCs w:val="24"/>
          <w:lang w:val="en-US"/>
        </w:rPr>
        <w:t xml:space="preserve">Next, we used three independent gene-mapping strategies to map the lead SNPs to genes;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qOwGuIkL","properties":{"formattedCitation":"(9)","plainCitation":"(9)","noteIndex":0},"citationItems":[{"id":18,"uris":["http://zotero.org/users/8344251/items/XYG7K6S4"],"uri":["http://zotero.org/users/8344251/items/XYG7K6S4"],"itemData":{"id":18,"type":"article-journal","abstract":"A main challenge in genome-wide association studies (GWAS) is to pinpoint possible causal variants. Results from GWAS typically do not directly translate into causal variants because the majority of hits are in non-coding or intergenic regions, and the presence of linkage disequilibrium leads to effects being statistically spread out across multiple variants. Post-GWAS annotation facilitates the selection of most likely causal variant(s). Multiple resources are available for post-GWAS annotation, yet these can be time consuming and do not provide integrated visual aids for data interpretation. We, therefore, develop FUMA: an integrative web-based platform using information from multiple biological resources to facilitate functional annotation of GWAS results, gene prioritization and interactive visualization. FUMA accommodates positional, expression quantitative trait loci (eQTL) and chromatin interaction mappings, and provides gene-based, pathway and tissue enrichment results. FUMA results directly aid in generating hypotheses that are testable in functional experiments aimed at proving causal relations.","container-title":"Nature Communications","DOI":"10.1038/s41467-017-01261-5","ISSN":"2041-1723","issue":"1","journalAbbreviation":"Nat Commun","language":"eng","note":"PMID: 29184056\nPMCID: PMC5705698","page":"1826","source":"PubMed","title":"Functional mapping and annotation of genetic associations with FUMA","volume":"8","author":[{"family":"Watanabe","given":"Kyoko"},{"family":"Taskesen","given":"Erdogan"},{"family":"Bochoven","given":"Arjen","non-dropping-particle":"van"},{"family":"Posthuma","given":"Danielle"}],"issued":{"date-parts":[["2017",11,28]]}}}],"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(9)</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 a) positional mapping to align SNPs to genes based on their physical proximity, b) expression quantitative trait locus (</w:t>
      </w:r>
      <w:proofErr w:type="spellStart"/>
      <w:r w:rsidRPr="001D3829">
        <w:rPr>
          <w:rFonts w:ascii="Times New Roman" w:eastAsia="Times New Roman" w:hAnsi="Times New Roman" w:cs="Times New Roman"/>
          <w:color w:val="000000"/>
          <w:sz w:val="24"/>
          <w:szCs w:val="24"/>
          <w:lang w:val="en-US"/>
        </w:rPr>
        <w:t>eQTL</w:t>
      </w:r>
      <w:proofErr w:type="spellEnd"/>
      <w:r w:rsidRPr="001D3829">
        <w:rPr>
          <w:rFonts w:ascii="Times New Roman" w:eastAsia="Times New Roman" w:hAnsi="Times New Roman" w:cs="Times New Roman"/>
          <w:color w:val="000000"/>
          <w:sz w:val="24"/>
          <w:szCs w:val="24"/>
          <w:lang w:val="en-US"/>
        </w:rPr>
        <w:t>) mapping to match cis-</w:t>
      </w:r>
      <w:proofErr w:type="spellStart"/>
      <w:r w:rsidRPr="001D3829">
        <w:rPr>
          <w:rFonts w:ascii="Times New Roman" w:eastAsia="Times New Roman" w:hAnsi="Times New Roman" w:cs="Times New Roman"/>
          <w:color w:val="000000"/>
          <w:sz w:val="24"/>
          <w:szCs w:val="24"/>
          <w:lang w:val="en-US"/>
        </w:rPr>
        <w:t>eQTL</w:t>
      </w:r>
      <w:proofErr w:type="spellEnd"/>
      <w:r w:rsidRPr="001D3829">
        <w:rPr>
          <w:rFonts w:ascii="Times New Roman" w:eastAsia="Times New Roman" w:hAnsi="Times New Roman" w:cs="Times New Roman"/>
          <w:color w:val="000000"/>
          <w:sz w:val="24"/>
          <w:szCs w:val="24"/>
          <w:lang w:val="en-US"/>
        </w:rPr>
        <w:t xml:space="preserve"> SNPs to genes whose expression is associated with allelic variation at the SNP level, and c) chromatin interaction mapping to link SNPs to genes based on three-dimensional DNA–DNA interactions between each SNP’s genomic region and nearby or distant genes. All gene mapping strategies were limited to brain tissues. </w:t>
      </w:r>
    </w:p>
    <w:p w14:paraId="480EEBC0" w14:textId="5142A7CC" w:rsidR="000B3FA8" w:rsidRPr="001D3829" w:rsidRDefault="000B3FA8" w:rsidP="007549F2">
      <w:pPr>
        <w:spacing w:after="0" w:line="360" w:lineRule="auto"/>
        <w:ind w:firstLine="720"/>
        <w:rPr>
          <w:rFonts w:ascii="Times New Roman" w:eastAsia="Times New Roman" w:hAnsi="Times New Roman" w:cs="Times New Roman"/>
          <w:sz w:val="24"/>
          <w:szCs w:val="24"/>
          <w:lang w:val="en-US"/>
        </w:rPr>
      </w:pPr>
      <w:r w:rsidRPr="001D3829">
        <w:rPr>
          <w:rFonts w:ascii="Times New Roman" w:eastAsia="Times New Roman" w:hAnsi="Times New Roman" w:cs="Times New Roman"/>
          <w:color w:val="000000"/>
          <w:sz w:val="24"/>
          <w:szCs w:val="24"/>
          <w:lang w:val="en-US"/>
        </w:rPr>
        <w:t xml:space="preserve">In addition, we applied </w:t>
      </w:r>
      <w:proofErr w:type="spellStart"/>
      <w:r w:rsidRPr="001D3829">
        <w:rPr>
          <w:rFonts w:ascii="Times New Roman" w:eastAsia="Times New Roman" w:hAnsi="Times New Roman" w:cs="Times New Roman"/>
          <w:color w:val="000000"/>
          <w:sz w:val="24"/>
          <w:szCs w:val="24"/>
          <w:lang w:val="en-US"/>
        </w:rPr>
        <w:t>spatio</w:t>
      </w:r>
      <w:proofErr w:type="spellEnd"/>
      <w:r w:rsidRPr="001D3829">
        <w:rPr>
          <w:rFonts w:ascii="Times New Roman" w:eastAsia="Times New Roman" w:hAnsi="Times New Roman" w:cs="Times New Roman"/>
          <w:color w:val="000000"/>
          <w:sz w:val="24"/>
          <w:szCs w:val="24"/>
          <w:lang w:val="en-US"/>
        </w:rPr>
        <w:t xml:space="preserve">-temporal analysis to show patterns of gene expression of the genes mapped to SNPs in the shared loci between AN and the related disorders and traits across 11 brain tissues at 11 developmental timepoints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t4qdqoLq","properties":{"formattedCitation":"(14\\uc0\\u8211{}16)","plainCitation":"(14–16)","noteIndex":0},"citationItems":[{"id":1331,"uris":["http://zotero.org/users/8344251/items/NR4CDKZ6"],"uri":["http://zotero.org/users/8344251/items/NR4CDKZ6"],"itemData":{"id":1331,"type":"article-journal","abstract":"Previous investigations have combined transcriptional and genetic analyses in human cell lines, but few have applied these techniques to human neural tissue. To gain a global molecular perspective on the role of the human genome in cortical development, function and ageing, we explore the temporal dynamics and genetic control of transcription in human prefrontal cortex in an extensive series of post-mortem brains from fetal development through ageing. We discover a wave of gene expression changes occurring during fetal development which are reversed in early postnatal life. One half-century later in life, this pattern of reversals is mirrored in ageing and in neurodegeneration. Although we identify thousands of robust associations of individual genetic polymorphisms with gene expression, we also demonstrate that there is no association between the total extent of genetic differences between subjects and the global similarity of their transcriptional profiles. Hence, the human genome produces a consistent molecular architecture in the prefrontal cortex, despite millions of genetic differences across individuals and races. To enable further discovery, this entire data set is freely available (from Gene Expression Omnibus: accession GSE30272; and dbGaP: accession phs000417.v1.p1) and can also be interrogated via a biologist-friendly stand-alone application (http://www.libd.org/braincloud).","container-title":"Nature","DOI":"10.1038/nature10524","ISSN":"1476-4687","issue":"7370","journalAbbreviation":"Nature","language":"eng","note":"PMID: 22031444\nPMCID: PMC3510670","page":"519-523","source":"PubMed","title":"Temporal dynamics and genetic control of transcription in the human prefrontal cortex","volume":"478","author":[{"family":"Colantuoni","given":"Carlo"},{"family":"Lipska","given":"Barbara K."},{"family":"Ye","given":"Tianzhang"},{"family":"Hyde","given":"Thomas M."},{"family":"Tao","given":"Ran"},{"family":"Leek","given":"Jeffrey T."},{"family":"Colantuoni","given":"Elizabeth A."},{"family":"Elkahloun","given":"Abdel G."},{"family":"Herman","given":"Mary M."},{"family":"Weinberger","given":"Daniel R."},{"family":"Kleinman","given":"Joel E."}],"issued":{"date-parts":[["2011",10,26]]}}},{"id":1332,"uris":["http://zotero.org/users/8344251/items/C972TQIF"],"uri":["http://zotero.org/users/8344251/items/C972TQIF"],"itemData":{"id":1332,"type":"article-journal","abstract":"Our understanding of the evolution, formation, and pathological disruption of human brain circuits is impeded by a lack of comprehensive data on the developing brain transcriptome. A whole-genome, exon-level expression analysis of 13 regions from left and right sides of the mid-fetal human brain revealed that 76% of genes are expressed, and 44% of these are differentially regulated. These data reveal a large number of specific gene expression and alternative splicing patterns, as well as coexpression networks, associated with distinct regions and neurodevelopmental processes. Of particular relevance to cognitive specializations, we have characterized the transcriptional landscapes of prefrontal cortex and perisylvian speech and language areas, which exhibit a population-level global expression symmetry. We show that differentially expressed genes are more frequently associated with human-specific evolution of putative cis-regulatory elements. These data provide a wealth of biological insights into the complex transcriptional and molecular underpinnings of human brain development and evolution.","container-title":"Neuron","DOI":"10.1016/j.neuron.2009.03.027","ISSN":"1097-4199","issue":"4","journalAbbreviation":"Neuron","language":"eng","note":"PMID: 19477152\nPMCID: PMC2739738","page":"494-509","source":"PubMed","title":"Functional and evolutionary insights into human brain development through global transcriptome analysis","volume":"62","author":[{"family":"Johnson","given":"Matthew B."},{"family":"Kawasawa","given":"Yuka Imamura"},{"family":"Mason","given":"Christopher E."},{"family":"Krsnik","given":"Zeljka"},{"family":"Coppola","given":"Giovanni"},{"family":"Bogdanović","given":"Darko"},{"family":"Geschwind","given":"Daniel H."},{"family":"Mane","given":"Shrikant M."},{"family":"State","given":"Matthew W."},{"family":"Sestan","given":"Nenad"}],"issued":{"date-parts":[["2009",5,28]]}}},{"id":1333,"uris":["http://zotero.org/users/8344251/items/SDKXKAPD"],"uri":["http://zotero.org/users/8344251/items/SDKXKAPD"],"itemData":{"id":1333,"type":"article-journal","abstract":"Brain development and function depend on the precise regulation of gene expression. However, our understanding of the complexity and dynamics of the transcriptome of the human brain is incomplete. Here we report the generation and analysis of exon-level transcriptome and associated genotyping data, representing males and females of different ethnicities, from multiple brain regions and neocortical areas of developing and adult post-mortem human brains. We found that 86 per cent of the genes analysed were expressed, and that 90 per cent of these were differentially regulated at the whole-transcript or exon level across brain regions and/or time. The majority of these spatio-temporal differences were detected before birth, with subsequent increases in the similarity among regional transcriptomes. The transcriptome is organized into distinct co-expression networks, and shows sex-biased gene expression and exon usage. We also profiled trajectories of genes associated with neurobiological categories and diseases, and identified associations between single nucleotide polymorphisms and gene expression. This study provides a comprehensive data set on the human brain transcriptome and insights into the transcriptional foundations of human neurodevelopment.","container-title":"Nature","DOI":"10.1038/nature10523","ISSN":"1476-4687","issue":"7370","journalAbbreviation":"Nature","language":"eng","note":"PMID: 22031440\nPMCID: PMC3566780","page":"483-489","source":"PubMed","title":"Spatio-temporal transcriptome of the human brain","volume":"478","author":[{"family":"Kang","given":"Hyo Jung"},{"family":"Kawasawa","given":"Yuka Imamura"},{"family":"Cheng","given":"Feng"},{"family":"Zhu","given":"Ying"},{"family":"Xu","given":"Xuming"},{"family":"Li","given":"Mingfeng"},{"family":"Sousa","given":"André M. M."},{"family":"Pletikos","given":"Mihovil"},{"family":"Meyer","given":"Kyle A."},{"family":"Sedmak","given":"Goran"},{"family":"Guennel","given":"Tobias"},{"family":"Shin","given":"Yurae"},{"family":"Johnson","given":"Matthew B."},{"family":"Krsnik","given":"Zeljka"},{"family":"Mayer","given":"Simone"},{"family":"Fertuzinhos","given":"Sofia"},{"family":"Umlauf","given":"Sheila"},{"family":"Lisgo","given":"Steven N."},{"family":"Vortmeyer","given":"Alexander"},{"family":"Weinberger","given":"Daniel R."},{"family":"Mane","given":"Shrikant"},{"family":"Hyde","given":"Thomas M."},{"family":"Huttner","given":"Anita"},{"family":"Reimers","given":"Mark"},{"family":"Kleinman","given":"Joel E."},{"family":"Sestan","given":"Nenad"}],"issued":{"date-parts":[["2011",10,26]]}}}],"schema":"https://github.com/citation-style-language/schema/raw/master/csl-citation.json"}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szCs w:val="24"/>
          <w:lang w:val="en-GB"/>
        </w:rPr>
        <w:t>(14–16)</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 xml:space="preserve">. Finally, pathway over-representation analyses were performed for each of these mapped genes using </w:t>
      </w:r>
      <w:proofErr w:type="spellStart"/>
      <w:r w:rsidRPr="001D3829">
        <w:rPr>
          <w:rFonts w:ascii="Times New Roman" w:eastAsia="Times New Roman" w:hAnsi="Times New Roman" w:cs="Times New Roman"/>
          <w:color w:val="000000"/>
          <w:sz w:val="24"/>
          <w:szCs w:val="24"/>
          <w:lang w:val="en-US"/>
        </w:rPr>
        <w:t>ConsensusPathDB</w:t>
      </w:r>
      <w:proofErr w:type="spellEnd"/>
      <w:r w:rsidRPr="001D3829">
        <w:rPr>
          <w:rFonts w:ascii="Times New Roman" w:eastAsia="Times New Roman" w:hAnsi="Times New Roman" w:cs="Times New Roman"/>
          <w:color w:val="000000"/>
          <w:sz w:val="24"/>
          <w:szCs w:val="24"/>
          <w:lang w:val="en-US"/>
        </w:rPr>
        <w:t xml:space="preserve"> </w:t>
      </w:r>
      <w:r w:rsidRPr="001D3829">
        <w:rPr>
          <w:rFonts w:ascii="Times New Roman" w:eastAsia="Times New Roman" w:hAnsi="Times New Roman" w:cs="Times New Roman"/>
          <w:color w:val="000000"/>
          <w:sz w:val="24"/>
          <w:szCs w:val="24"/>
          <w:lang w:val="en-US"/>
        </w:rPr>
        <w:fldChar w:fldCharType="begin"/>
      </w:r>
      <w:r w:rsidR="007549F2">
        <w:rPr>
          <w:rFonts w:ascii="Times New Roman" w:eastAsia="Times New Roman" w:hAnsi="Times New Roman" w:cs="Times New Roman"/>
          <w:color w:val="000000"/>
          <w:sz w:val="24"/>
          <w:szCs w:val="24"/>
          <w:lang w:val="en-US"/>
        </w:rPr>
        <w:instrText xml:space="preserve"> ADDIN ZOTERO_ITEM CSL_CITATION {"citationID":"MgVlD9ak","properties":{"formattedCitation":"(17)","plainCitation":"(17)","noteIndex":0},"citationItems":[{"id":13,"uris":["http://zotero.org/users/8344251/items/8SLHEUL7"],"uri":["http://zotero.org/users/8344251/items/8SLHEUL7"],"itemData":{"id":13,"type":"article-journal","abstract":"Knowledge of the various interactions between molecules in the cell is crucial for understanding cellular processes in health and disease. Currently available interaction databases, being largely complementary to each other, must be integrated to obtain a comprehensive global map of the different types of interactions. We have previously reported the development of an integrative interaction database called ConsensusPathDB (http://ConsensusPathDB.org) that aims to fulfill this task. In this update article, we report its significant progress in terms of interaction content and web interface tools. ConsensusPathDB has grown mainly due to the integration of 12 further databases; it now contains 215 541 unique interactions and 4601 pathways from overall 30 databases. Binary protein interactions are scored with our confidence assessment tool, IntScore. The ConsensusPathDB web interface allows users to take advantage of these integrated interaction and pathway data in different contexts. Recent developments include pathway analysis of metabolite lists, visualization of functional gene/metabolite sets as overlap graphs, gene set analysis based on protein complexes and induced network modules analysis that connects a list of genes through various interaction types. To facilitate the interactive, visual interpretation of interaction and pathway data, we have re-implemented the graph visualization feature of ConsensusPathDB using the Cytoscape.js library.","container-title":"Nucleic Acids Research","DOI":"10.1093/nar/gks1055","ISSN":"1362-4962","issue":"Database issue","journalAbbreviation":"Nucleic Acids Res","language":"eng","note":"PMID: 23143270\nPMCID: PMC3531102","page":"D793-800","source":"PubMed","title":"The ConsensusPathDB interaction database: 2013 update","title-short":"The ConsensusPathDB interaction database","volume":"41","author":[{"family":"Kamburov","given":"Atanas"},{"family":"Stelzl","given":"Ulrich"},{"family":"Lehrach","given":"Hans"},{"family":"Herwig","given":"Ralf"}],"issued":{"date-parts":[["2013",1]]}}}],"schema":"https://github.com/citation-style-language/schema/raw/master/csl-citation.json"} </w:instrText>
      </w:r>
      <w:r w:rsidRPr="001D3829">
        <w:rPr>
          <w:rFonts w:ascii="Times New Roman" w:eastAsia="Times New Roman" w:hAnsi="Times New Roman" w:cs="Times New Roman"/>
          <w:color w:val="000000"/>
          <w:sz w:val="24"/>
          <w:szCs w:val="24"/>
          <w:lang w:val="en-US"/>
        </w:rPr>
        <w:fldChar w:fldCharType="separate"/>
      </w:r>
      <w:r w:rsidR="007549F2" w:rsidRPr="00B66E86">
        <w:rPr>
          <w:rFonts w:ascii="Times New Roman" w:hAnsi="Times New Roman" w:cs="Times New Roman"/>
          <w:sz w:val="24"/>
          <w:lang w:val="en-GB"/>
        </w:rPr>
        <w:t>(17)</w:t>
      </w:r>
      <w:r w:rsidRPr="001D3829">
        <w:rPr>
          <w:rFonts w:ascii="Times New Roman" w:eastAsia="Times New Roman" w:hAnsi="Times New Roman" w:cs="Times New Roman"/>
          <w:color w:val="000000"/>
          <w:sz w:val="24"/>
          <w:szCs w:val="24"/>
          <w:lang w:val="en-US"/>
        </w:rPr>
        <w:fldChar w:fldCharType="end"/>
      </w:r>
      <w:r w:rsidRPr="001D3829">
        <w:rPr>
          <w:rFonts w:ascii="Times New Roman" w:eastAsia="Times New Roman" w:hAnsi="Times New Roman" w:cs="Times New Roman"/>
          <w:color w:val="000000"/>
          <w:sz w:val="24"/>
          <w:szCs w:val="24"/>
          <w:lang w:val="en-US"/>
        </w:rPr>
        <w:t>. All analyses were corrected for multiple comparisons, and significance set at a two-sided</w:t>
      </w:r>
      <w:r w:rsidRPr="001D3829">
        <w:rPr>
          <w:rFonts w:ascii="Times New Roman" w:eastAsia="Times New Roman" w:hAnsi="Times New Roman" w:cs="Times New Roman"/>
          <w:i/>
          <w:iCs/>
          <w:color w:val="000000"/>
          <w:sz w:val="24"/>
          <w:szCs w:val="24"/>
          <w:lang w:val="en-US"/>
        </w:rPr>
        <w:t xml:space="preserve"> p</w:t>
      </w:r>
      <w:r w:rsidRPr="001D3829">
        <w:rPr>
          <w:rFonts w:ascii="Times New Roman" w:eastAsia="Times New Roman" w:hAnsi="Times New Roman" w:cs="Times New Roman"/>
          <w:color w:val="000000"/>
          <w:sz w:val="24"/>
          <w:szCs w:val="24"/>
          <w:lang w:val="en-US"/>
        </w:rPr>
        <w:t>-value &lt; .05.</w:t>
      </w:r>
    </w:p>
    <w:p w14:paraId="79F29CA2" w14:textId="77777777" w:rsidR="000B3FA8" w:rsidRPr="001D3829" w:rsidRDefault="000B3FA8" w:rsidP="00D617D5">
      <w:pPr>
        <w:spacing w:line="360" w:lineRule="auto"/>
        <w:rPr>
          <w:rFonts w:asciiTheme="majorBidi" w:hAnsiTheme="majorBidi" w:cstheme="majorBidi"/>
          <w:sz w:val="24"/>
          <w:szCs w:val="24"/>
          <w:lang w:val="en-US"/>
        </w:rPr>
      </w:pPr>
    </w:p>
    <w:p w14:paraId="7B6C5487" w14:textId="77777777" w:rsidR="00D617D5" w:rsidRDefault="00D617D5">
      <w:pPr>
        <w:rPr>
          <w:rFonts w:asciiTheme="majorBidi" w:hAnsiTheme="majorBidi" w:cstheme="majorBidi"/>
          <w:b/>
          <w:bCs/>
          <w:sz w:val="24"/>
          <w:szCs w:val="24"/>
          <w:lang w:val="en-US"/>
        </w:rPr>
      </w:pPr>
      <w:r>
        <w:rPr>
          <w:rFonts w:asciiTheme="majorBidi" w:hAnsiTheme="majorBidi" w:cstheme="majorBidi"/>
          <w:b/>
          <w:bCs/>
          <w:sz w:val="24"/>
          <w:szCs w:val="24"/>
          <w:lang w:val="en-US"/>
        </w:rPr>
        <w:br w:type="page"/>
      </w:r>
    </w:p>
    <w:p w14:paraId="223D0FA2" w14:textId="2B872A3E" w:rsidR="00466434" w:rsidRPr="001D3829" w:rsidRDefault="00B90A3B" w:rsidP="00D617D5">
      <w:pPr>
        <w:spacing w:line="360" w:lineRule="auto"/>
        <w:jc w:val="center"/>
        <w:rPr>
          <w:rFonts w:asciiTheme="majorBidi" w:hAnsiTheme="majorBidi" w:cstheme="majorBidi"/>
          <w:b/>
          <w:bCs/>
          <w:sz w:val="24"/>
          <w:szCs w:val="24"/>
          <w:lang w:val="en-US"/>
        </w:rPr>
      </w:pPr>
      <w:r w:rsidRPr="001D3829">
        <w:rPr>
          <w:rFonts w:asciiTheme="majorBidi" w:hAnsiTheme="majorBidi" w:cstheme="majorBidi"/>
          <w:b/>
          <w:bCs/>
          <w:sz w:val="24"/>
          <w:szCs w:val="24"/>
          <w:lang w:val="en-US"/>
        </w:rPr>
        <w:lastRenderedPageBreak/>
        <w:t>SUPPLEMENTARY RESULTS</w:t>
      </w:r>
    </w:p>
    <w:p w14:paraId="7A47E722" w14:textId="77777777" w:rsidR="00EC08A3" w:rsidRPr="001D3829" w:rsidRDefault="00EC08A3" w:rsidP="00D617D5">
      <w:pPr>
        <w:spacing w:before="240" w:after="240" w:line="360" w:lineRule="auto"/>
        <w:rPr>
          <w:rFonts w:ascii="Times New Roman" w:eastAsia="Times New Roman" w:hAnsi="Times New Roman" w:cs="Times New Roman"/>
          <w:sz w:val="24"/>
          <w:szCs w:val="24"/>
          <w:lang w:val="en-US"/>
        </w:rPr>
      </w:pPr>
      <w:r w:rsidRPr="001D3829">
        <w:rPr>
          <w:rFonts w:ascii="Times New Roman" w:eastAsia="Times New Roman" w:hAnsi="Times New Roman" w:cs="Times New Roman"/>
          <w:b/>
          <w:bCs/>
          <w:sz w:val="24"/>
          <w:szCs w:val="24"/>
          <w:lang w:val="en-US"/>
        </w:rPr>
        <w:t>Annotation of loci shared between AN and related psychiatric disorders and traits</w:t>
      </w:r>
    </w:p>
    <w:p w14:paraId="337AF3E5" w14:textId="07D45460" w:rsidR="00EC08A3" w:rsidRPr="001D3829" w:rsidRDefault="00EC08A3" w:rsidP="00D617D5">
      <w:pPr>
        <w:spacing w:before="240" w:after="240" w:line="360" w:lineRule="auto"/>
        <w:ind w:firstLine="720"/>
        <w:jc w:val="both"/>
        <w:rPr>
          <w:rFonts w:ascii="Times New Roman" w:eastAsia="Times New Roman" w:hAnsi="Times New Roman" w:cs="Times New Roman"/>
          <w:sz w:val="24"/>
          <w:szCs w:val="24"/>
          <w:lang w:val="en-US"/>
        </w:rPr>
      </w:pPr>
      <w:r w:rsidRPr="001D3829">
        <w:rPr>
          <w:rFonts w:ascii="Times New Roman" w:eastAsia="Times New Roman" w:hAnsi="Times New Roman" w:cs="Times New Roman"/>
          <w:sz w:val="24"/>
          <w:szCs w:val="24"/>
          <w:lang w:val="en-US"/>
        </w:rPr>
        <w:t>We functionally annotated all SNPs in LD (</w:t>
      </w:r>
      <w:r w:rsidRPr="001D3829">
        <w:rPr>
          <w:rFonts w:ascii="Times New Roman" w:eastAsia="Times New Roman" w:hAnsi="Times New Roman" w:cs="Times New Roman"/>
          <w:i/>
          <w:iCs/>
          <w:sz w:val="24"/>
          <w:szCs w:val="24"/>
          <w:lang w:val="en-US"/>
        </w:rPr>
        <w:t>r</w:t>
      </w:r>
      <w:r w:rsidRPr="001D3829">
        <w:rPr>
          <w:rFonts w:ascii="Times New Roman" w:eastAsia="Times New Roman" w:hAnsi="Times New Roman" w:cs="Times New Roman"/>
          <w:sz w:val="14"/>
          <w:szCs w:val="14"/>
          <w:vertAlign w:val="superscript"/>
          <w:lang w:val="en-US"/>
        </w:rPr>
        <w:t>2</w:t>
      </w:r>
      <w:r w:rsidRPr="001D3829">
        <w:rPr>
          <w:rFonts w:ascii="Times New Roman" w:eastAsia="Times New Roman" w:hAnsi="Times New Roman" w:cs="Times New Roman"/>
          <w:sz w:val="24"/>
          <w:szCs w:val="24"/>
          <w:lang w:val="en-US"/>
        </w:rPr>
        <w:t xml:space="preserve"> </w:t>
      </w:r>
      <w:r w:rsidRPr="001D3829">
        <w:rPr>
          <w:rFonts w:ascii="Times New Roman" w:eastAsia="Times New Roman" w:hAnsi="Times New Roman" w:cs="Times New Roman"/>
          <w:sz w:val="24"/>
          <w:szCs w:val="24"/>
          <w:u w:val="single"/>
          <w:lang w:val="en-US"/>
        </w:rPr>
        <w:t>&gt;</w:t>
      </w:r>
      <w:r w:rsidRPr="001D3829">
        <w:rPr>
          <w:rFonts w:ascii="Times New Roman" w:eastAsia="Times New Roman" w:hAnsi="Times New Roman" w:cs="Times New Roman"/>
          <w:sz w:val="24"/>
          <w:szCs w:val="24"/>
          <w:lang w:val="en-US"/>
        </w:rPr>
        <w:t xml:space="preserve"> 0.6) with a significant independent SNP and with </w:t>
      </w:r>
      <w:proofErr w:type="spellStart"/>
      <w:r w:rsidRPr="001D3829">
        <w:rPr>
          <w:rFonts w:ascii="Times New Roman" w:eastAsia="Times New Roman" w:hAnsi="Times New Roman" w:cs="Times New Roman"/>
          <w:sz w:val="24"/>
          <w:szCs w:val="24"/>
          <w:lang w:val="en-US"/>
        </w:rPr>
        <w:t>conjFDR</w:t>
      </w:r>
      <w:proofErr w:type="spellEnd"/>
      <w:r w:rsidRPr="001D3829">
        <w:rPr>
          <w:rFonts w:ascii="Times New Roman" w:eastAsia="Times New Roman" w:hAnsi="Times New Roman" w:cs="Times New Roman"/>
          <w:sz w:val="24"/>
          <w:szCs w:val="24"/>
          <w:lang w:val="en-US"/>
        </w:rPr>
        <w:t xml:space="preserve"> &lt; 0.1 within the shared loci associated with AN and related disorders and traits (see Supplementary Tables </w:t>
      </w:r>
      <w:r w:rsidR="009D6BF3">
        <w:rPr>
          <w:rFonts w:ascii="Times New Roman" w:eastAsia="Times New Roman" w:hAnsi="Times New Roman" w:cs="Times New Roman"/>
          <w:sz w:val="24"/>
          <w:szCs w:val="24"/>
          <w:lang w:val="en-US"/>
        </w:rPr>
        <w:t>7</w:t>
      </w:r>
      <w:r w:rsidRPr="001D3829">
        <w:rPr>
          <w:rFonts w:ascii="Times New Roman" w:eastAsia="Times New Roman" w:hAnsi="Times New Roman" w:cs="Times New Roman"/>
          <w:sz w:val="24"/>
          <w:szCs w:val="24"/>
          <w:lang w:val="en-US"/>
        </w:rPr>
        <w:t xml:space="preserve">-12). </w:t>
      </w:r>
      <w:r w:rsidR="00BB3DE8">
        <w:rPr>
          <w:rFonts w:ascii="Times New Roman" w:eastAsia="Times New Roman" w:hAnsi="Times New Roman" w:cs="Times New Roman"/>
          <w:sz w:val="24"/>
          <w:szCs w:val="24"/>
          <w:lang w:val="en-US"/>
        </w:rPr>
        <w:t>Of all</w:t>
      </w:r>
      <w:r w:rsidR="00BB3DE8" w:rsidRPr="001D3829">
        <w:rPr>
          <w:rFonts w:ascii="Times New Roman" w:eastAsia="Times New Roman" w:hAnsi="Times New Roman" w:cs="Times New Roman"/>
          <w:sz w:val="24"/>
          <w:szCs w:val="24"/>
          <w:lang w:val="en-US"/>
        </w:rPr>
        <w:t xml:space="preserve"> SNPs jointly associated with AN and SCZ; 38.4% were intronic, 33.2% were intergenic, and 1.1% were </w:t>
      </w:r>
      <w:proofErr w:type="spellStart"/>
      <w:r w:rsidR="00BB3DE8" w:rsidRPr="001D3829">
        <w:rPr>
          <w:rFonts w:ascii="Times New Roman" w:eastAsia="Times New Roman" w:hAnsi="Times New Roman" w:cs="Times New Roman"/>
          <w:sz w:val="24"/>
          <w:szCs w:val="24"/>
          <w:lang w:val="en-US"/>
        </w:rPr>
        <w:t>exonic</w:t>
      </w:r>
      <w:proofErr w:type="spellEnd"/>
      <w:r w:rsidR="00BB3DE8" w:rsidRPr="001D3829">
        <w:rPr>
          <w:rFonts w:ascii="Times New Roman" w:eastAsia="Times New Roman" w:hAnsi="Times New Roman" w:cs="Times New Roman"/>
          <w:sz w:val="24"/>
          <w:szCs w:val="24"/>
          <w:lang w:val="en-US"/>
        </w:rPr>
        <w:t xml:space="preserve"> (see Figure </w:t>
      </w:r>
      <w:r w:rsidR="00BB3DE8">
        <w:rPr>
          <w:rFonts w:ascii="Times New Roman" w:eastAsia="Times New Roman" w:hAnsi="Times New Roman" w:cs="Times New Roman"/>
          <w:sz w:val="24"/>
          <w:szCs w:val="24"/>
          <w:lang w:val="en-US"/>
        </w:rPr>
        <w:t>S1</w:t>
      </w:r>
      <w:r w:rsidR="00BB3DE8" w:rsidRPr="001D3829">
        <w:rPr>
          <w:rFonts w:ascii="Times New Roman" w:eastAsia="Times New Roman" w:hAnsi="Times New Roman" w:cs="Times New Roman"/>
          <w:sz w:val="24"/>
          <w:szCs w:val="24"/>
          <w:lang w:val="en-US"/>
        </w:rPr>
        <w:t>).</w:t>
      </w:r>
      <w:r w:rsidR="005D3CBD">
        <w:rPr>
          <w:rFonts w:ascii="Times New Roman" w:eastAsia="Times New Roman" w:hAnsi="Times New Roman" w:cs="Times New Roman"/>
          <w:sz w:val="24"/>
          <w:szCs w:val="24"/>
          <w:lang w:val="en-US"/>
        </w:rPr>
        <w:t xml:space="preserve"> For the</w:t>
      </w:r>
      <w:r w:rsidRPr="001D3829">
        <w:rPr>
          <w:rFonts w:ascii="Times New Roman" w:eastAsia="Times New Roman" w:hAnsi="Times New Roman" w:cs="Times New Roman"/>
          <w:sz w:val="24"/>
          <w:szCs w:val="24"/>
          <w:lang w:val="en-US"/>
        </w:rPr>
        <w:t xml:space="preserve"> SNPs jointly associated with AN and BIP; 62.9% were intronic, 19.1% were intergenic and 1.8% were </w:t>
      </w:r>
      <w:proofErr w:type="spellStart"/>
      <w:r w:rsidRPr="001D3829">
        <w:rPr>
          <w:rFonts w:ascii="Times New Roman" w:eastAsia="Times New Roman" w:hAnsi="Times New Roman" w:cs="Times New Roman"/>
          <w:sz w:val="24"/>
          <w:szCs w:val="24"/>
          <w:lang w:val="en-US"/>
        </w:rPr>
        <w:t>exonic</w:t>
      </w:r>
      <w:proofErr w:type="spellEnd"/>
      <w:r w:rsidRPr="001D3829">
        <w:rPr>
          <w:rFonts w:ascii="Times New Roman" w:eastAsia="Times New Roman" w:hAnsi="Times New Roman" w:cs="Times New Roman"/>
          <w:sz w:val="24"/>
          <w:szCs w:val="24"/>
          <w:lang w:val="en-US"/>
        </w:rPr>
        <w:t xml:space="preserve"> (see Figure </w:t>
      </w:r>
      <w:r w:rsidR="00CB571D">
        <w:rPr>
          <w:rFonts w:ascii="Times New Roman" w:eastAsia="Times New Roman" w:hAnsi="Times New Roman" w:cs="Times New Roman"/>
          <w:sz w:val="24"/>
          <w:szCs w:val="24"/>
          <w:lang w:val="en-US"/>
        </w:rPr>
        <w:t>S</w:t>
      </w:r>
      <w:r w:rsidR="00257131">
        <w:rPr>
          <w:rFonts w:ascii="Times New Roman" w:eastAsia="Times New Roman" w:hAnsi="Times New Roman" w:cs="Times New Roman"/>
          <w:sz w:val="24"/>
          <w:szCs w:val="24"/>
          <w:lang w:val="en-US"/>
        </w:rPr>
        <w:t>1</w:t>
      </w:r>
      <w:r w:rsidRPr="001D3829">
        <w:rPr>
          <w:rFonts w:ascii="Times New Roman" w:eastAsia="Times New Roman" w:hAnsi="Times New Roman" w:cs="Times New Roman"/>
          <w:sz w:val="24"/>
          <w:szCs w:val="24"/>
          <w:lang w:val="en-US"/>
        </w:rPr>
        <w:t xml:space="preserve">). For the SNPs jointly associated with AN and MD; 26.3% were intronic, 52.6% were intergenic, and 1.0% were </w:t>
      </w:r>
      <w:proofErr w:type="spellStart"/>
      <w:r w:rsidRPr="001D3829">
        <w:rPr>
          <w:rFonts w:ascii="Times New Roman" w:eastAsia="Times New Roman" w:hAnsi="Times New Roman" w:cs="Times New Roman"/>
          <w:sz w:val="24"/>
          <w:szCs w:val="24"/>
          <w:lang w:val="en-US"/>
        </w:rPr>
        <w:t>exonic</w:t>
      </w:r>
      <w:proofErr w:type="spellEnd"/>
      <w:r w:rsidRPr="001D3829">
        <w:rPr>
          <w:rFonts w:ascii="Times New Roman" w:eastAsia="Times New Roman" w:hAnsi="Times New Roman" w:cs="Times New Roman"/>
          <w:sz w:val="24"/>
          <w:szCs w:val="24"/>
          <w:lang w:val="en-US"/>
        </w:rPr>
        <w:t xml:space="preserve"> (see Figure </w:t>
      </w:r>
      <w:r w:rsidR="00CB571D">
        <w:rPr>
          <w:rFonts w:ascii="Times New Roman" w:eastAsia="Times New Roman" w:hAnsi="Times New Roman" w:cs="Times New Roman"/>
          <w:sz w:val="24"/>
          <w:szCs w:val="24"/>
          <w:lang w:val="en-US"/>
        </w:rPr>
        <w:t>S</w:t>
      </w:r>
      <w:r w:rsidR="00257131">
        <w:rPr>
          <w:rFonts w:ascii="Times New Roman" w:eastAsia="Times New Roman" w:hAnsi="Times New Roman" w:cs="Times New Roman"/>
          <w:sz w:val="24"/>
          <w:szCs w:val="24"/>
          <w:lang w:val="en-US"/>
        </w:rPr>
        <w:t>1</w:t>
      </w:r>
      <w:r w:rsidRPr="001D3829">
        <w:rPr>
          <w:rFonts w:ascii="Times New Roman" w:eastAsia="Times New Roman" w:hAnsi="Times New Roman" w:cs="Times New Roman"/>
          <w:sz w:val="24"/>
          <w:szCs w:val="24"/>
          <w:lang w:val="en-US"/>
        </w:rPr>
        <w:t xml:space="preserve">). For the SNPs jointly associated with AN and mood; 70.6% were intronic, 3.9% were intergenic, and 2.1% were </w:t>
      </w:r>
      <w:proofErr w:type="spellStart"/>
      <w:r w:rsidRPr="001D3829">
        <w:rPr>
          <w:rFonts w:ascii="Times New Roman" w:eastAsia="Times New Roman" w:hAnsi="Times New Roman" w:cs="Times New Roman"/>
          <w:sz w:val="24"/>
          <w:szCs w:val="24"/>
          <w:lang w:val="en-US"/>
        </w:rPr>
        <w:t>exonic</w:t>
      </w:r>
      <w:proofErr w:type="spellEnd"/>
      <w:r w:rsidRPr="001D3829">
        <w:rPr>
          <w:rFonts w:ascii="Times New Roman" w:eastAsia="Times New Roman" w:hAnsi="Times New Roman" w:cs="Times New Roman"/>
          <w:sz w:val="24"/>
          <w:szCs w:val="24"/>
          <w:lang w:val="en-US"/>
        </w:rPr>
        <w:t xml:space="preserve"> (see Figure </w:t>
      </w:r>
      <w:r w:rsidR="000B637C">
        <w:rPr>
          <w:rFonts w:ascii="Times New Roman" w:eastAsia="Times New Roman" w:hAnsi="Times New Roman" w:cs="Times New Roman"/>
          <w:sz w:val="24"/>
          <w:szCs w:val="24"/>
          <w:lang w:val="en-US"/>
        </w:rPr>
        <w:t>S1</w:t>
      </w:r>
      <w:r w:rsidRPr="001D3829">
        <w:rPr>
          <w:rFonts w:ascii="Times New Roman" w:eastAsia="Times New Roman" w:hAnsi="Times New Roman" w:cs="Times New Roman"/>
          <w:sz w:val="24"/>
          <w:szCs w:val="24"/>
          <w:lang w:val="en-US"/>
        </w:rPr>
        <w:t xml:space="preserve">). For the SNPs jointly associated with AN and neuroticism; 30.5% were intronic, 43.4% were intergenic, and 1.2% were </w:t>
      </w:r>
      <w:proofErr w:type="spellStart"/>
      <w:r w:rsidRPr="001D3829">
        <w:rPr>
          <w:rFonts w:ascii="Times New Roman" w:eastAsia="Times New Roman" w:hAnsi="Times New Roman" w:cs="Times New Roman"/>
          <w:sz w:val="24"/>
          <w:szCs w:val="24"/>
          <w:lang w:val="en-US"/>
        </w:rPr>
        <w:t>exonic</w:t>
      </w:r>
      <w:proofErr w:type="spellEnd"/>
      <w:r w:rsidRPr="001D3829">
        <w:rPr>
          <w:rFonts w:ascii="Times New Roman" w:eastAsia="Times New Roman" w:hAnsi="Times New Roman" w:cs="Times New Roman"/>
          <w:sz w:val="24"/>
          <w:szCs w:val="24"/>
          <w:lang w:val="en-US"/>
        </w:rPr>
        <w:t xml:space="preserve"> (see Figure </w:t>
      </w:r>
      <w:r w:rsidR="000B637C">
        <w:rPr>
          <w:rFonts w:ascii="Times New Roman" w:eastAsia="Times New Roman" w:hAnsi="Times New Roman" w:cs="Times New Roman"/>
          <w:sz w:val="24"/>
          <w:szCs w:val="24"/>
          <w:lang w:val="en-US"/>
        </w:rPr>
        <w:t>S1</w:t>
      </w:r>
      <w:r w:rsidRPr="001D3829">
        <w:rPr>
          <w:rFonts w:ascii="Times New Roman" w:eastAsia="Times New Roman" w:hAnsi="Times New Roman" w:cs="Times New Roman"/>
          <w:sz w:val="24"/>
          <w:szCs w:val="24"/>
          <w:lang w:val="en-US"/>
        </w:rPr>
        <w:t xml:space="preserve">). Finally, for the SNPs jointly associated with AN and intelligence; 49.0% were intronic, 35.5% were intergenic, and 1.5% were </w:t>
      </w:r>
      <w:proofErr w:type="spellStart"/>
      <w:r w:rsidRPr="001D3829">
        <w:rPr>
          <w:rFonts w:ascii="Times New Roman" w:eastAsia="Times New Roman" w:hAnsi="Times New Roman" w:cs="Times New Roman"/>
          <w:sz w:val="24"/>
          <w:szCs w:val="24"/>
          <w:lang w:val="en-US"/>
        </w:rPr>
        <w:t>exonic</w:t>
      </w:r>
      <w:proofErr w:type="spellEnd"/>
      <w:r w:rsidRPr="001D3829">
        <w:rPr>
          <w:rFonts w:ascii="Times New Roman" w:eastAsia="Times New Roman" w:hAnsi="Times New Roman" w:cs="Times New Roman"/>
          <w:sz w:val="24"/>
          <w:szCs w:val="24"/>
          <w:lang w:val="en-US"/>
        </w:rPr>
        <w:t xml:space="preserve"> (see panel </w:t>
      </w:r>
      <w:r w:rsidR="00E34B30">
        <w:rPr>
          <w:rFonts w:ascii="Times New Roman" w:eastAsia="Times New Roman" w:hAnsi="Times New Roman" w:cs="Times New Roman"/>
          <w:sz w:val="24"/>
          <w:szCs w:val="24"/>
          <w:lang w:val="en-US"/>
        </w:rPr>
        <w:t>F</w:t>
      </w:r>
      <w:r w:rsidRPr="001D3829">
        <w:rPr>
          <w:rFonts w:ascii="Times New Roman" w:eastAsia="Times New Roman" w:hAnsi="Times New Roman" w:cs="Times New Roman"/>
          <w:sz w:val="24"/>
          <w:szCs w:val="24"/>
          <w:lang w:val="en-US"/>
        </w:rPr>
        <w:t xml:space="preserve"> in Figure </w:t>
      </w:r>
      <w:r w:rsidR="00E34B30">
        <w:rPr>
          <w:rFonts w:ascii="Times New Roman" w:eastAsia="Times New Roman" w:hAnsi="Times New Roman" w:cs="Times New Roman"/>
          <w:sz w:val="24"/>
          <w:szCs w:val="24"/>
          <w:lang w:val="en-US"/>
        </w:rPr>
        <w:t>S1</w:t>
      </w:r>
      <w:r w:rsidRPr="001D3829">
        <w:rPr>
          <w:rFonts w:ascii="Times New Roman" w:eastAsia="Times New Roman" w:hAnsi="Times New Roman" w:cs="Times New Roman"/>
          <w:sz w:val="24"/>
          <w:szCs w:val="24"/>
          <w:lang w:val="en-US"/>
        </w:rPr>
        <w:t>).</w:t>
      </w:r>
    </w:p>
    <w:p w14:paraId="0EEB6B71" w14:textId="7213E271" w:rsidR="00EC08A3" w:rsidRDefault="00EC08A3" w:rsidP="00D617D5">
      <w:pPr>
        <w:spacing w:before="240" w:after="240" w:line="360" w:lineRule="auto"/>
        <w:ind w:firstLine="720"/>
        <w:jc w:val="both"/>
        <w:rPr>
          <w:rFonts w:ascii="Times New Roman" w:eastAsia="Times New Roman" w:hAnsi="Times New Roman" w:cs="Times New Roman"/>
          <w:sz w:val="24"/>
          <w:szCs w:val="24"/>
          <w:lang w:val="en-US"/>
        </w:rPr>
      </w:pPr>
      <w:r w:rsidRPr="001D3829">
        <w:rPr>
          <w:rFonts w:ascii="Times New Roman" w:eastAsia="Times New Roman" w:hAnsi="Times New Roman" w:cs="Times New Roman"/>
          <w:sz w:val="24"/>
          <w:szCs w:val="24"/>
          <w:lang w:val="en-US"/>
        </w:rPr>
        <w:t>Further results showed that 3.6% (</w:t>
      </w:r>
      <w:r w:rsidRPr="001D3829">
        <w:rPr>
          <w:rFonts w:ascii="Times New Roman" w:eastAsia="Times New Roman" w:hAnsi="Times New Roman" w:cs="Times New Roman"/>
          <w:i/>
          <w:iCs/>
          <w:sz w:val="24"/>
          <w:szCs w:val="24"/>
          <w:lang w:val="en-US"/>
        </w:rPr>
        <w:t xml:space="preserve">n </w:t>
      </w:r>
      <w:r w:rsidRPr="001D3829">
        <w:rPr>
          <w:rFonts w:ascii="Times New Roman" w:eastAsia="Times New Roman" w:hAnsi="Times New Roman" w:cs="Times New Roman"/>
          <w:sz w:val="24"/>
          <w:szCs w:val="24"/>
          <w:lang w:val="en-US"/>
        </w:rPr>
        <w:t xml:space="preserve">= 40) of the candidate SNPs jointly associated with AN and SCZ had CADD scores &gt; 12.37, suggesting high deleteriousness and two of them had </w:t>
      </w:r>
      <w:proofErr w:type="spellStart"/>
      <w:r w:rsidRPr="001D3829">
        <w:rPr>
          <w:rFonts w:ascii="Times New Roman" w:eastAsia="Times New Roman" w:hAnsi="Times New Roman" w:cs="Times New Roman"/>
          <w:sz w:val="24"/>
          <w:szCs w:val="24"/>
          <w:lang w:val="en-US"/>
        </w:rPr>
        <w:t>RegulomeDB</w:t>
      </w:r>
      <w:proofErr w:type="spellEnd"/>
      <w:r w:rsidRPr="001D3829">
        <w:rPr>
          <w:rFonts w:ascii="Times New Roman" w:eastAsia="Times New Roman" w:hAnsi="Times New Roman" w:cs="Times New Roman"/>
          <w:sz w:val="24"/>
          <w:szCs w:val="24"/>
          <w:lang w:val="en-US"/>
        </w:rPr>
        <w:t xml:space="preserve"> scores of 1a to 1f, which may affect transcription factor binding (Supplementary Table 1</w:t>
      </w:r>
      <w:r w:rsidR="009D6BF3">
        <w:rPr>
          <w:rFonts w:ascii="Times New Roman" w:eastAsia="Times New Roman" w:hAnsi="Times New Roman" w:cs="Times New Roman"/>
          <w:sz w:val="24"/>
          <w:szCs w:val="24"/>
          <w:lang w:val="en-US"/>
        </w:rPr>
        <w:t>3</w:t>
      </w:r>
      <w:r w:rsidRPr="001D3829">
        <w:rPr>
          <w:rFonts w:ascii="Times New Roman" w:eastAsia="Times New Roman" w:hAnsi="Times New Roman" w:cs="Times New Roman"/>
          <w:sz w:val="24"/>
          <w:szCs w:val="24"/>
          <w:lang w:val="en-US"/>
        </w:rPr>
        <w:t>). One of the lead SNP “rs7314161” had CADD = 13.43. For candidate SNPs jointly associated with AN and BIP, 5.5% (</w:t>
      </w:r>
      <w:r w:rsidRPr="001D3829">
        <w:rPr>
          <w:rFonts w:ascii="Times New Roman" w:eastAsia="Times New Roman" w:hAnsi="Times New Roman" w:cs="Times New Roman"/>
          <w:i/>
          <w:iCs/>
          <w:sz w:val="24"/>
          <w:szCs w:val="24"/>
          <w:lang w:val="en-US"/>
        </w:rPr>
        <w:t xml:space="preserve">n </w:t>
      </w:r>
      <w:r w:rsidRPr="001D3829">
        <w:rPr>
          <w:rFonts w:ascii="Times New Roman" w:eastAsia="Times New Roman" w:hAnsi="Times New Roman" w:cs="Times New Roman"/>
          <w:sz w:val="24"/>
          <w:szCs w:val="24"/>
          <w:lang w:val="en-US"/>
        </w:rPr>
        <w:t xml:space="preserve">= 42) showed high deleteriousness and three of them had low </w:t>
      </w:r>
      <w:proofErr w:type="spellStart"/>
      <w:r w:rsidRPr="001D3829">
        <w:rPr>
          <w:rFonts w:ascii="Times New Roman" w:eastAsia="Times New Roman" w:hAnsi="Times New Roman" w:cs="Times New Roman"/>
          <w:sz w:val="24"/>
          <w:szCs w:val="24"/>
          <w:lang w:val="en-US"/>
        </w:rPr>
        <w:t>RegulomeDB</w:t>
      </w:r>
      <w:proofErr w:type="spellEnd"/>
      <w:r w:rsidRPr="001D3829">
        <w:rPr>
          <w:rFonts w:ascii="Times New Roman" w:eastAsia="Times New Roman" w:hAnsi="Times New Roman" w:cs="Times New Roman"/>
          <w:sz w:val="24"/>
          <w:szCs w:val="24"/>
          <w:lang w:val="en-US"/>
        </w:rPr>
        <w:t xml:space="preserve"> (Supplementary Table 1</w:t>
      </w:r>
      <w:r w:rsidR="009D6BF3">
        <w:rPr>
          <w:rFonts w:ascii="Times New Roman" w:eastAsia="Times New Roman" w:hAnsi="Times New Roman" w:cs="Times New Roman"/>
          <w:sz w:val="24"/>
          <w:szCs w:val="24"/>
          <w:lang w:val="en-US"/>
        </w:rPr>
        <w:t>4</w:t>
      </w:r>
      <w:r w:rsidRPr="001D3829">
        <w:rPr>
          <w:rFonts w:ascii="Times New Roman" w:eastAsia="Times New Roman" w:hAnsi="Times New Roman" w:cs="Times New Roman"/>
          <w:sz w:val="24"/>
          <w:szCs w:val="24"/>
          <w:lang w:val="en-US"/>
        </w:rPr>
        <w:t>). For candidate SNPs jointly associated with AN and MD, 3.9% (</w:t>
      </w:r>
      <w:r w:rsidRPr="001D3829">
        <w:rPr>
          <w:rFonts w:ascii="Times New Roman" w:eastAsia="Times New Roman" w:hAnsi="Times New Roman" w:cs="Times New Roman"/>
          <w:i/>
          <w:iCs/>
          <w:sz w:val="24"/>
          <w:szCs w:val="24"/>
          <w:lang w:val="en-US"/>
        </w:rPr>
        <w:t xml:space="preserve">n </w:t>
      </w:r>
      <w:r w:rsidRPr="001D3829">
        <w:rPr>
          <w:rFonts w:ascii="Times New Roman" w:eastAsia="Times New Roman" w:hAnsi="Times New Roman" w:cs="Times New Roman"/>
          <w:sz w:val="24"/>
          <w:szCs w:val="24"/>
          <w:lang w:val="en-US"/>
        </w:rPr>
        <w:t>= 47) showed similar high deleteriousness</w:t>
      </w:r>
      <w:r w:rsidR="009D6BF3">
        <w:rPr>
          <w:rFonts w:ascii="Times New Roman" w:eastAsia="Times New Roman" w:hAnsi="Times New Roman" w:cs="Times New Roman"/>
          <w:sz w:val="24"/>
          <w:szCs w:val="24"/>
          <w:lang w:val="en-US"/>
        </w:rPr>
        <w:t xml:space="preserve"> (Supplementary Table 15)</w:t>
      </w:r>
      <w:r w:rsidRPr="001D3829">
        <w:rPr>
          <w:rFonts w:ascii="Times New Roman" w:eastAsia="Times New Roman" w:hAnsi="Times New Roman" w:cs="Times New Roman"/>
          <w:sz w:val="24"/>
          <w:szCs w:val="24"/>
          <w:lang w:val="en-US"/>
        </w:rPr>
        <w:t xml:space="preserve">. Two of these SNPs were also lead SNPs “rs12629759” (with CADD = 15.24 and </w:t>
      </w:r>
      <w:proofErr w:type="spellStart"/>
      <w:r w:rsidRPr="001D3829">
        <w:rPr>
          <w:rFonts w:ascii="Times New Roman" w:eastAsia="Times New Roman" w:hAnsi="Times New Roman" w:cs="Times New Roman"/>
          <w:sz w:val="24"/>
          <w:szCs w:val="24"/>
          <w:lang w:val="en-US"/>
        </w:rPr>
        <w:t>RegulomeDB</w:t>
      </w:r>
      <w:proofErr w:type="spellEnd"/>
      <w:r w:rsidRPr="001D3829">
        <w:rPr>
          <w:rFonts w:ascii="Times New Roman" w:eastAsia="Times New Roman" w:hAnsi="Times New Roman" w:cs="Times New Roman"/>
          <w:sz w:val="24"/>
          <w:szCs w:val="24"/>
          <w:lang w:val="en-US"/>
        </w:rPr>
        <w:t xml:space="preserve"> = 1f) and rs2507989 (with CADD = 13.26). Of the candidate SNPs jointly associated with AN and mood, 5.6% (</w:t>
      </w:r>
      <w:r w:rsidRPr="001D3829">
        <w:rPr>
          <w:rFonts w:ascii="Times New Roman" w:eastAsia="Times New Roman" w:hAnsi="Times New Roman" w:cs="Times New Roman"/>
          <w:i/>
          <w:iCs/>
          <w:sz w:val="24"/>
          <w:szCs w:val="24"/>
          <w:lang w:val="en-US"/>
        </w:rPr>
        <w:t xml:space="preserve">n </w:t>
      </w:r>
      <w:r w:rsidRPr="001D3829">
        <w:rPr>
          <w:rFonts w:ascii="Times New Roman" w:eastAsia="Times New Roman" w:hAnsi="Times New Roman" w:cs="Times New Roman"/>
          <w:sz w:val="24"/>
          <w:szCs w:val="24"/>
          <w:lang w:val="en-US"/>
        </w:rPr>
        <w:t xml:space="preserve">= 40) had CADD scores &gt; 12.37 and one of them was lead SNP “rs4430884” (Supplementary Table </w:t>
      </w:r>
      <w:r w:rsidR="009D6BF3">
        <w:rPr>
          <w:rFonts w:ascii="Times New Roman" w:eastAsia="Times New Roman" w:hAnsi="Times New Roman" w:cs="Times New Roman"/>
          <w:sz w:val="24"/>
          <w:szCs w:val="24"/>
          <w:lang w:val="en-US"/>
        </w:rPr>
        <w:t>16</w:t>
      </w:r>
      <w:r w:rsidRPr="001D3829">
        <w:rPr>
          <w:rFonts w:ascii="Times New Roman" w:eastAsia="Times New Roman" w:hAnsi="Times New Roman" w:cs="Times New Roman"/>
          <w:sz w:val="24"/>
          <w:szCs w:val="24"/>
          <w:lang w:val="en-US"/>
        </w:rPr>
        <w:t>). For SNPs jointly associated with AN and neuroticism, 5.1% (</w:t>
      </w:r>
      <w:r w:rsidRPr="001D3829">
        <w:rPr>
          <w:rFonts w:ascii="Times New Roman" w:eastAsia="Times New Roman" w:hAnsi="Times New Roman" w:cs="Times New Roman"/>
          <w:i/>
          <w:iCs/>
          <w:sz w:val="24"/>
          <w:szCs w:val="24"/>
          <w:lang w:val="en-US"/>
        </w:rPr>
        <w:t xml:space="preserve">n </w:t>
      </w:r>
      <w:r w:rsidRPr="001D3829">
        <w:rPr>
          <w:rFonts w:ascii="Times New Roman" w:eastAsia="Times New Roman" w:hAnsi="Times New Roman" w:cs="Times New Roman"/>
          <w:sz w:val="24"/>
          <w:szCs w:val="24"/>
          <w:lang w:val="en-US"/>
        </w:rPr>
        <w:t xml:space="preserve">= 80) showed high deleteriousness and two of them had low </w:t>
      </w:r>
      <w:proofErr w:type="spellStart"/>
      <w:r w:rsidRPr="001D3829">
        <w:rPr>
          <w:rFonts w:ascii="Times New Roman" w:eastAsia="Times New Roman" w:hAnsi="Times New Roman" w:cs="Times New Roman"/>
          <w:sz w:val="24"/>
          <w:szCs w:val="24"/>
          <w:lang w:val="en-US"/>
        </w:rPr>
        <w:t>RegulomeDB</w:t>
      </w:r>
      <w:proofErr w:type="spellEnd"/>
      <w:r w:rsidRPr="001D3829">
        <w:rPr>
          <w:rFonts w:ascii="Times New Roman" w:eastAsia="Times New Roman" w:hAnsi="Times New Roman" w:cs="Times New Roman"/>
          <w:sz w:val="24"/>
          <w:szCs w:val="24"/>
          <w:lang w:val="en-US"/>
        </w:rPr>
        <w:t xml:space="preserve"> (Supplementary Table </w:t>
      </w:r>
      <w:r w:rsidR="009D6BF3">
        <w:rPr>
          <w:rFonts w:ascii="Times New Roman" w:eastAsia="Times New Roman" w:hAnsi="Times New Roman" w:cs="Times New Roman"/>
          <w:sz w:val="24"/>
          <w:szCs w:val="24"/>
          <w:lang w:val="en-US"/>
        </w:rPr>
        <w:t>17</w:t>
      </w:r>
      <w:r w:rsidRPr="001D3829">
        <w:rPr>
          <w:rFonts w:ascii="Times New Roman" w:eastAsia="Times New Roman" w:hAnsi="Times New Roman" w:cs="Times New Roman"/>
          <w:sz w:val="24"/>
          <w:szCs w:val="24"/>
          <w:lang w:val="en-US"/>
        </w:rPr>
        <w:t>). Finally, 4.9% (</w:t>
      </w:r>
      <w:r w:rsidRPr="001D3829">
        <w:rPr>
          <w:rFonts w:ascii="Times New Roman" w:eastAsia="Times New Roman" w:hAnsi="Times New Roman" w:cs="Times New Roman"/>
          <w:i/>
          <w:iCs/>
          <w:sz w:val="24"/>
          <w:szCs w:val="24"/>
          <w:lang w:val="en-US"/>
        </w:rPr>
        <w:t>n</w:t>
      </w:r>
      <w:r w:rsidRPr="001D3829">
        <w:rPr>
          <w:rFonts w:ascii="Times New Roman" w:eastAsia="Times New Roman" w:hAnsi="Times New Roman" w:cs="Times New Roman"/>
          <w:sz w:val="24"/>
          <w:szCs w:val="24"/>
          <w:lang w:val="en-US"/>
        </w:rPr>
        <w:t xml:space="preserve"> = 120) of the candidate SNPs jointly associated with AN and intelligence showed high deleteriousness and nine of them showed affect transcription factor binding with </w:t>
      </w:r>
      <w:proofErr w:type="spellStart"/>
      <w:r w:rsidRPr="001D3829">
        <w:rPr>
          <w:rFonts w:ascii="Times New Roman" w:eastAsia="Times New Roman" w:hAnsi="Times New Roman" w:cs="Times New Roman"/>
          <w:sz w:val="24"/>
          <w:szCs w:val="24"/>
          <w:lang w:val="en-US"/>
        </w:rPr>
        <w:t>RegulomeDB</w:t>
      </w:r>
      <w:proofErr w:type="spellEnd"/>
      <w:r w:rsidRPr="001D3829">
        <w:rPr>
          <w:rFonts w:ascii="Times New Roman" w:eastAsia="Times New Roman" w:hAnsi="Times New Roman" w:cs="Times New Roman"/>
          <w:sz w:val="24"/>
          <w:szCs w:val="24"/>
          <w:lang w:val="en-US"/>
        </w:rPr>
        <w:t xml:space="preserve"> 1f (Supplementary Table </w:t>
      </w:r>
      <w:r w:rsidR="009D6BF3">
        <w:rPr>
          <w:rFonts w:ascii="Times New Roman" w:eastAsia="Times New Roman" w:hAnsi="Times New Roman" w:cs="Times New Roman"/>
          <w:sz w:val="24"/>
          <w:szCs w:val="24"/>
          <w:lang w:val="en-US"/>
        </w:rPr>
        <w:t>18</w:t>
      </w:r>
      <w:r w:rsidRPr="001D3829">
        <w:rPr>
          <w:rFonts w:ascii="Times New Roman" w:eastAsia="Times New Roman" w:hAnsi="Times New Roman" w:cs="Times New Roman"/>
          <w:sz w:val="24"/>
          <w:szCs w:val="24"/>
          <w:lang w:val="en-US"/>
        </w:rPr>
        <w:t>).</w:t>
      </w:r>
    </w:p>
    <w:p w14:paraId="012B951F" w14:textId="77777777" w:rsidR="00011504" w:rsidRPr="001D3829" w:rsidRDefault="00011504" w:rsidP="00D617D5">
      <w:pPr>
        <w:spacing w:before="240" w:after="240" w:line="360" w:lineRule="auto"/>
        <w:ind w:firstLine="720"/>
        <w:jc w:val="both"/>
        <w:rPr>
          <w:rFonts w:ascii="Times New Roman" w:eastAsia="Times New Roman" w:hAnsi="Times New Roman" w:cs="Times New Roman"/>
          <w:sz w:val="24"/>
          <w:szCs w:val="24"/>
          <w:lang w:val="en-US"/>
        </w:rPr>
      </w:pPr>
      <w:r w:rsidRPr="001D3829">
        <w:rPr>
          <w:rFonts w:ascii="Times New Roman" w:eastAsia="Times New Roman" w:hAnsi="Times New Roman" w:cs="Times New Roman"/>
          <w:sz w:val="24"/>
          <w:szCs w:val="24"/>
          <w:lang w:val="en-US"/>
        </w:rPr>
        <w:lastRenderedPageBreak/>
        <w:t xml:space="preserve">We next used three gene mapping strategies with FUMA to map protein-coding genes to annotated SNPs within the shared loci (see Supplementary Tables </w:t>
      </w:r>
      <w:r>
        <w:rPr>
          <w:rFonts w:ascii="Times New Roman" w:eastAsia="Times New Roman" w:hAnsi="Times New Roman" w:cs="Times New Roman"/>
          <w:sz w:val="24"/>
          <w:szCs w:val="24"/>
          <w:lang w:val="en-US"/>
        </w:rPr>
        <w:t>25-30</w:t>
      </w:r>
      <w:r w:rsidRPr="001D3829">
        <w:rPr>
          <w:rFonts w:ascii="Times New Roman" w:eastAsia="Times New Roman" w:hAnsi="Times New Roman" w:cs="Times New Roman"/>
          <w:sz w:val="24"/>
          <w:szCs w:val="24"/>
          <w:lang w:val="en-US"/>
        </w:rPr>
        <w:t xml:space="preserve">). Fourteen of the 20 loci jointly associated with AN and SCZ mapped to 29 genes (Supplementary Table </w:t>
      </w:r>
      <w:r>
        <w:rPr>
          <w:rFonts w:ascii="Times New Roman" w:eastAsia="Times New Roman" w:hAnsi="Times New Roman" w:cs="Times New Roman"/>
          <w:sz w:val="24"/>
          <w:szCs w:val="24"/>
          <w:lang w:val="en-US"/>
        </w:rPr>
        <w:t>25</w:t>
      </w:r>
      <w:r w:rsidRPr="001D3829">
        <w:rPr>
          <w:rFonts w:ascii="Times New Roman" w:eastAsia="Times New Roman" w:hAnsi="Times New Roman" w:cs="Times New Roman"/>
          <w:sz w:val="24"/>
          <w:szCs w:val="24"/>
          <w:lang w:val="en-US"/>
        </w:rPr>
        <w:t xml:space="preserve">). Seven of the 10 loci jointly associated with AN and BIP mapped to 38 genes (Supplementary Table </w:t>
      </w:r>
      <w:r>
        <w:rPr>
          <w:rFonts w:ascii="Times New Roman" w:eastAsia="Times New Roman" w:hAnsi="Times New Roman" w:cs="Times New Roman"/>
          <w:sz w:val="24"/>
          <w:szCs w:val="24"/>
          <w:lang w:val="en-US"/>
        </w:rPr>
        <w:t>26</w:t>
      </w:r>
      <w:r w:rsidRPr="001D3829">
        <w:rPr>
          <w:rFonts w:ascii="Times New Roman" w:eastAsia="Times New Roman" w:hAnsi="Times New Roman" w:cs="Times New Roman"/>
          <w:sz w:val="24"/>
          <w:szCs w:val="24"/>
          <w:lang w:val="en-US"/>
        </w:rPr>
        <w:t xml:space="preserve">). Twelve of the 20 jointly associated with AN and MD mapped to 36 genes (Supplementary Table </w:t>
      </w:r>
      <w:r>
        <w:rPr>
          <w:rFonts w:ascii="Times New Roman" w:eastAsia="Times New Roman" w:hAnsi="Times New Roman" w:cs="Times New Roman"/>
          <w:sz w:val="24"/>
          <w:szCs w:val="24"/>
          <w:lang w:val="en-US"/>
        </w:rPr>
        <w:t>27</w:t>
      </w:r>
      <w:r w:rsidRPr="001D3829">
        <w:rPr>
          <w:rFonts w:ascii="Times New Roman" w:eastAsia="Times New Roman" w:hAnsi="Times New Roman" w:cs="Times New Roman"/>
          <w:sz w:val="24"/>
          <w:szCs w:val="24"/>
          <w:lang w:val="en-US"/>
        </w:rPr>
        <w:t xml:space="preserve">). Eleven of the 13 loci jointly associated with AN and mood mapped to 25 genes (Supplementary Table </w:t>
      </w:r>
      <w:r>
        <w:rPr>
          <w:rFonts w:ascii="Times New Roman" w:eastAsia="Times New Roman" w:hAnsi="Times New Roman" w:cs="Times New Roman"/>
          <w:sz w:val="24"/>
          <w:szCs w:val="24"/>
          <w:lang w:val="en-US"/>
        </w:rPr>
        <w:t>28</w:t>
      </w:r>
      <w:r w:rsidRPr="001D3829">
        <w:rPr>
          <w:rFonts w:ascii="Times New Roman" w:eastAsia="Times New Roman" w:hAnsi="Times New Roman" w:cs="Times New Roman"/>
          <w:sz w:val="24"/>
          <w:szCs w:val="24"/>
          <w:lang w:val="en-US"/>
        </w:rPr>
        <w:t xml:space="preserve">). Twenty of the 29 loci jointly associated with AN and neuroticism mapped to 67 genes (Supplementary Table </w:t>
      </w:r>
      <w:r>
        <w:rPr>
          <w:rFonts w:ascii="Times New Roman" w:eastAsia="Times New Roman" w:hAnsi="Times New Roman" w:cs="Times New Roman"/>
          <w:sz w:val="24"/>
          <w:szCs w:val="24"/>
          <w:lang w:val="en-US"/>
        </w:rPr>
        <w:t>29</w:t>
      </w:r>
      <w:r w:rsidRPr="001D3829">
        <w:rPr>
          <w:rFonts w:ascii="Times New Roman" w:eastAsia="Times New Roman" w:hAnsi="Times New Roman" w:cs="Times New Roman"/>
          <w:sz w:val="24"/>
          <w:szCs w:val="24"/>
          <w:lang w:val="en-US"/>
        </w:rPr>
        <w:t xml:space="preserve">). Finally, 22 of the 36 loci jointly associated with AN and intelligence mapped to 76 genes (Supplementary Table </w:t>
      </w:r>
      <w:r>
        <w:rPr>
          <w:rFonts w:ascii="Times New Roman" w:eastAsia="Times New Roman" w:hAnsi="Times New Roman" w:cs="Times New Roman"/>
          <w:sz w:val="24"/>
          <w:szCs w:val="24"/>
          <w:lang w:val="en-US"/>
        </w:rPr>
        <w:t>30</w:t>
      </w:r>
      <w:r w:rsidRPr="001D3829">
        <w:rPr>
          <w:rFonts w:ascii="Times New Roman" w:eastAsia="Times New Roman" w:hAnsi="Times New Roman" w:cs="Times New Roman"/>
          <w:sz w:val="24"/>
          <w:szCs w:val="24"/>
          <w:lang w:val="en-US"/>
        </w:rPr>
        <w:t>).</w:t>
      </w:r>
    </w:p>
    <w:p w14:paraId="7FE30222" w14:textId="42D5C092" w:rsidR="000028EA" w:rsidRDefault="000028EA" w:rsidP="00EC08A3">
      <w:pPr>
        <w:spacing w:before="240" w:after="240" w:line="480" w:lineRule="auto"/>
        <w:ind w:firstLine="720"/>
        <w:jc w:val="both"/>
        <w:rPr>
          <w:rFonts w:ascii="Times New Roman" w:eastAsia="Times New Roman" w:hAnsi="Times New Roman" w:cs="Times New Roman"/>
          <w:sz w:val="24"/>
          <w:szCs w:val="24"/>
          <w:lang w:val="en-US"/>
        </w:rPr>
      </w:pPr>
    </w:p>
    <w:p w14:paraId="72EA0CF4" w14:textId="1A946202" w:rsidR="000028EA" w:rsidRPr="001D3829" w:rsidRDefault="009D7647" w:rsidP="00011504">
      <w:pPr>
        <w:spacing w:before="240" w:after="240"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lastRenderedPageBreak/>
        <w:drawing>
          <wp:inline distT="0" distB="0" distL="0" distR="0" wp14:anchorId="61B8909E" wp14:editId="5262278E">
            <wp:extent cx="5758815" cy="647700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8815" cy="6477000"/>
                    </a:xfrm>
                    <a:prstGeom prst="rect">
                      <a:avLst/>
                    </a:prstGeom>
                    <a:noFill/>
                    <a:ln>
                      <a:noFill/>
                    </a:ln>
                  </pic:spPr>
                </pic:pic>
              </a:graphicData>
            </a:graphic>
          </wp:inline>
        </w:drawing>
      </w:r>
    </w:p>
    <w:p w14:paraId="019500DD" w14:textId="5E0113CB" w:rsidR="009D7647" w:rsidRPr="00646002" w:rsidRDefault="009D7647" w:rsidP="00D617D5">
      <w:pPr>
        <w:spacing w:before="240" w:after="240" w:line="360" w:lineRule="auto"/>
        <w:jc w:val="both"/>
        <w:rPr>
          <w:rFonts w:ascii="Times New Roman" w:eastAsia="Times New Roman" w:hAnsi="Times New Roman" w:cs="Times New Roman"/>
          <w:color w:val="000000"/>
          <w:sz w:val="20"/>
          <w:szCs w:val="20"/>
        </w:rPr>
      </w:pPr>
      <w:r w:rsidRPr="00B66E86">
        <w:rPr>
          <w:rFonts w:ascii="Times New Roman" w:eastAsia="Times New Roman" w:hAnsi="Times New Roman" w:cs="Times New Roman"/>
          <w:b/>
          <w:bCs/>
          <w:color w:val="000000"/>
          <w:sz w:val="20"/>
          <w:szCs w:val="20"/>
          <w:lang w:val="en-GB"/>
        </w:rPr>
        <w:t xml:space="preserve">Figure </w:t>
      </w:r>
      <w:r w:rsidR="00011504" w:rsidRPr="00B66E86">
        <w:rPr>
          <w:rFonts w:ascii="Times New Roman" w:eastAsia="Times New Roman" w:hAnsi="Times New Roman" w:cs="Times New Roman"/>
          <w:b/>
          <w:bCs/>
          <w:color w:val="000000"/>
          <w:sz w:val="20"/>
          <w:szCs w:val="20"/>
          <w:lang w:val="en-GB"/>
        </w:rPr>
        <w:t>S</w:t>
      </w:r>
      <w:r w:rsidR="001B7A24" w:rsidRPr="00B66E86">
        <w:rPr>
          <w:rFonts w:ascii="Times New Roman" w:eastAsia="Times New Roman" w:hAnsi="Times New Roman" w:cs="Times New Roman"/>
          <w:b/>
          <w:bCs/>
          <w:color w:val="000000"/>
          <w:sz w:val="20"/>
          <w:szCs w:val="20"/>
          <w:lang w:val="en-GB"/>
        </w:rPr>
        <w:t>1</w:t>
      </w:r>
      <w:r w:rsidRPr="00B66E86">
        <w:rPr>
          <w:rFonts w:ascii="Times New Roman" w:eastAsia="Times New Roman" w:hAnsi="Times New Roman" w:cs="Times New Roman"/>
          <w:b/>
          <w:bCs/>
          <w:color w:val="000000"/>
          <w:sz w:val="20"/>
          <w:szCs w:val="20"/>
          <w:lang w:val="en-GB"/>
        </w:rPr>
        <w:t xml:space="preserve">. </w:t>
      </w:r>
      <w:r w:rsidRPr="00B66E86">
        <w:rPr>
          <w:rFonts w:ascii="Times New Roman" w:eastAsia="Times New Roman" w:hAnsi="Times New Roman" w:cs="Times New Roman"/>
          <w:color w:val="000000"/>
          <w:sz w:val="20"/>
          <w:szCs w:val="20"/>
          <w:lang w:val="en-GB"/>
        </w:rPr>
        <w:t xml:space="preserve">Panels A-F show conditional quantile-quantile plots of nominal vs. empirical schizophrenia (SCZ), bipolar disorder (BIP), major depression (MD), </w:t>
      </w:r>
      <w:r w:rsidR="00011504" w:rsidRPr="00B66E86">
        <w:rPr>
          <w:rFonts w:ascii="Times New Roman" w:eastAsia="Times New Roman" w:hAnsi="Times New Roman" w:cs="Times New Roman"/>
          <w:color w:val="000000"/>
          <w:sz w:val="20"/>
          <w:szCs w:val="20"/>
          <w:lang w:val="en-GB"/>
        </w:rPr>
        <w:t>M</w:t>
      </w:r>
      <w:r w:rsidRPr="00B66E86">
        <w:rPr>
          <w:rFonts w:ascii="Times New Roman" w:eastAsia="Times New Roman" w:hAnsi="Times New Roman" w:cs="Times New Roman"/>
          <w:color w:val="000000"/>
          <w:sz w:val="20"/>
          <w:szCs w:val="20"/>
          <w:lang w:val="en-GB"/>
        </w:rPr>
        <w:t>ood, neuroticism (NEUR), and intelligence (INT) -log</w:t>
      </w:r>
      <w:r w:rsidRPr="00B66E86">
        <w:rPr>
          <w:rFonts w:ascii="Times New Roman" w:eastAsia="Times New Roman" w:hAnsi="Times New Roman" w:cs="Times New Roman"/>
          <w:color w:val="000000"/>
          <w:sz w:val="20"/>
          <w:szCs w:val="20"/>
          <w:vertAlign w:val="subscript"/>
          <w:lang w:val="en-GB"/>
        </w:rPr>
        <w:t>10</w:t>
      </w:r>
      <w:r w:rsidRPr="00B66E86">
        <w:rPr>
          <w:rFonts w:ascii="Times New Roman" w:eastAsia="Times New Roman" w:hAnsi="Times New Roman" w:cs="Times New Roman"/>
          <w:color w:val="000000"/>
          <w:sz w:val="20"/>
          <w:szCs w:val="20"/>
          <w:lang w:val="en-GB"/>
        </w:rPr>
        <w:t xml:space="preserve"> </w:t>
      </w:r>
      <w:r w:rsidRPr="00B66E86">
        <w:rPr>
          <w:rFonts w:ascii="Times New Roman" w:eastAsia="Times New Roman" w:hAnsi="Times New Roman" w:cs="Times New Roman"/>
          <w:i/>
          <w:iCs/>
          <w:color w:val="000000"/>
          <w:sz w:val="20"/>
          <w:szCs w:val="20"/>
          <w:lang w:val="en-GB"/>
        </w:rPr>
        <w:t>p</w:t>
      </w:r>
      <w:r w:rsidRPr="00B66E86">
        <w:rPr>
          <w:rFonts w:ascii="Times New Roman" w:eastAsia="Times New Roman" w:hAnsi="Times New Roman" w:cs="Times New Roman"/>
          <w:color w:val="000000"/>
          <w:sz w:val="20"/>
          <w:szCs w:val="20"/>
          <w:lang w:val="en-GB"/>
        </w:rPr>
        <w:t xml:space="preserve">-values as a function of the significance of the association with anorexia nervosa (AN) at the level of </w:t>
      </w:r>
      <w:r w:rsidRPr="00B66E86">
        <w:rPr>
          <w:rFonts w:ascii="Times New Roman" w:eastAsia="Times New Roman" w:hAnsi="Times New Roman" w:cs="Times New Roman"/>
          <w:i/>
          <w:iCs/>
          <w:color w:val="000000"/>
          <w:sz w:val="20"/>
          <w:szCs w:val="20"/>
          <w:lang w:val="en-GB"/>
        </w:rPr>
        <w:t>p</w:t>
      </w:r>
      <w:r w:rsidRPr="00B66E86">
        <w:rPr>
          <w:rFonts w:ascii="Times New Roman" w:eastAsia="Times New Roman" w:hAnsi="Times New Roman" w:cs="Times New Roman"/>
          <w:color w:val="000000"/>
          <w:sz w:val="20"/>
          <w:szCs w:val="20"/>
          <w:lang w:val="en-GB"/>
        </w:rPr>
        <w:t xml:space="preserve"> &lt; .10, </w:t>
      </w:r>
      <w:r w:rsidRPr="00B66E86">
        <w:rPr>
          <w:rFonts w:ascii="Times New Roman" w:eastAsia="Times New Roman" w:hAnsi="Times New Roman" w:cs="Times New Roman"/>
          <w:i/>
          <w:iCs/>
          <w:color w:val="000000"/>
          <w:sz w:val="20"/>
          <w:szCs w:val="20"/>
          <w:lang w:val="en-GB"/>
        </w:rPr>
        <w:t>p</w:t>
      </w:r>
      <w:r w:rsidRPr="00B66E86">
        <w:rPr>
          <w:rFonts w:ascii="Times New Roman" w:eastAsia="Times New Roman" w:hAnsi="Times New Roman" w:cs="Times New Roman"/>
          <w:color w:val="000000"/>
          <w:sz w:val="20"/>
          <w:szCs w:val="20"/>
          <w:lang w:val="en-GB"/>
        </w:rPr>
        <w:t xml:space="preserve"> &lt; .01 and </w:t>
      </w:r>
      <w:r w:rsidRPr="00B66E86">
        <w:rPr>
          <w:rFonts w:ascii="Times New Roman" w:eastAsia="Times New Roman" w:hAnsi="Times New Roman" w:cs="Times New Roman"/>
          <w:i/>
          <w:iCs/>
          <w:color w:val="000000"/>
          <w:sz w:val="20"/>
          <w:szCs w:val="20"/>
          <w:lang w:val="en-GB"/>
        </w:rPr>
        <w:t>p</w:t>
      </w:r>
      <w:r w:rsidRPr="00B66E86">
        <w:rPr>
          <w:rFonts w:ascii="Times New Roman" w:eastAsia="Times New Roman" w:hAnsi="Times New Roman" w:cs="Times New Roman"/>
          <w:color w:val="000000"/>
          <w:sz w:val="20"/>
          <w:szCs w:val="20"/>
          <w:lang w:val="en-GB"/>
        </w:rPr>
        <w:t xml:space="preserve"> &lt; .001. These show the quantiles of the observed </w:t>
      </w:r>
      <w:r w:rsidRPr="00B66E86">
        <w:rPr>
          <w:rFonts w:ascii="Times New Roman" w:eastAsia="Times New Roman" w:hAnsi="Times New Roman" w:cs="Times New Roman"/>
          <w:i/>
          <w:iCs/>
          <w:color w:val="000000"/>
          <w:sz w:val="20"/>
          <w:szCs w:val="20"/>
          <w:lang w:val="en-GB"/>
        </w:rPr>
        <w:t>p</w:t>
      </w:r>
      <w:r w:rsidRPr="00B66E86">
        <w:rPr>
          <w:rFonts w:ascii="Times New Roman" w:eastAsia="Times New Roman" w:hAnsi="Times New Roman" w:cs="Times New Roman"/>
          <w:color w:val="000000"/>
          <w:sz w:val="20"/>
          <w:szCs w:val="20"/>
          <w:lang w:val="en-GB"/>
        </w:rPr>
        <w:t xml:space="preserve">-values on the y-axis against the theoretical quantiles under no association on the x-axis. </w:t>
      </w:r>
      <w:proofErr w:type="spellStart"/>
      <w:r w:rsidRPr="00646002">
        <w:rPr>
          <w:rFonts w:ascii="Times New Roman" w:eastAsia="Times New Roman" w:hAnsi="Times New Roman" w:cs="Times New Roman"/>
          <w:color w:val="000000"/>
          <w:sz w:val="20"/>
          <w:szCs w:val="20"/>
        </w:rPr>
        <w:t>Deflections</w:t>
      </w:r>
      <w:proofErr w:type="spellEnd"/>
      <w:r w:rsidRPr="00646002">
        <w:rPr>
          <w:rFonts w:ascii="Times New Roman" w:eastAsia="Times New Roman" w:hAnsi="Times New Roman" w:cs="Times New Roman"/>
          <w:color w:val="000000"/>
          <w:sz w:val="20"/>
          <w:szCs w:val="20"/>
        </w:rPr>
        <w:t xml:space="preserve"> from </w:t>
      </w:r>
      <w:proofErr w:type="spellStart"/>
      <w:r w:rsidRPr="00646002">
        <w:rPr>
          <w:rFonts w:ascii="Times New Roman" w:eastAsia="Times New Roman" w:hAnsi="Times New Roman" w:cs="Times New Roman"/>
          <w:color w:val="000000"/>
          <w:sz w:val="20"/>
          <w:szCs w:val="20"/>
        </w:rPr>
        <w:t>the</w:t>
      </w:r>
      <w:proofErr w:type="spellEnd"/>
      <w:r w:rsidRPr="00646002">
        <w:rPr>
          <w:rFonts w:ascii="Times New Roman" w:eastAsia="Times New Roman" w:hAnsi="Times New Roman" w:cs="Times New Roman"/>
          <w:color w:val="000000"/>
          <w:sz w:val="20"/>
          <w:szCs w:val="20"/>
        </w:rPr>
        <w:t xml:space="preserve"> null line </w:t>
      </w:r>
      <w:proofErr w:type="spellStart"/>
      <w:r w:rsidRPr="00646002">
        <w:rPr>
          <w:rFonts w:ascii="Times New Roman" w:eastAsia="Times New Roman" w:hAnsi="Times New Roman" w:cs="Times New Roman"/>
          <w:color w:val="000000"/>
          <w:sz w:val="20"/>
          <w:szCs w:val="20"/>
        </w:rPr>
        <w:t>indicate</w:t>
      </w:r>
      <w:proofErr w:type="spellEnd"/>
      <w:r w:rsidRPr="00646002">
        <w:rPr>
          <w:rFonts w:ascii="Times New Roman" w:eastAsia="Times New Roman" w:hAnsi="Times New Roman" w:cs="Times New Roman"/>
          <w:color w:val="000000"/>
          <w:sz w:val="20"/>
          <w:szCs w:val="20"/>
        </w:rPr>
        <w:t xml:space="preserve"> </w:t>
      </w:r>
      <w:proofErr w:type="spellStart"/>
      <w:r w:rsidRPr="00646002">
        <w:rPr>
          <w:rFonts w:ascii="Times New Roman" w:eastAsia="Times New Roman" w:hAnsi="Times New Roman" w:cs="Times New Roman"/>
          <w:color w:val="000000"/>
          <w:sz w:val="20"/>
          <w:szCs w:val="20"/>
        </w:rPr>
        <w:t>systematic</w:t>
      </w:r>
      <w:proofErr w:type="spellEnd"/>
      <w:r w:rsidRPr="00646002">
        <w:rPr>
          <w:rFonts w:ascii="Times New Roman" w:eastAsia="Times New Roman" w:hAnsi="Times New Roman" w:cs="Times New Roman"/>
          <w:color w:val="000000"/>
          <w:sz w:val="20"/>
          <w:szCs w:val="20"/>
        </w:rPr>
        <w:t xml:space="preserve"> </w:t>
      </w:r>
      <w:proofErr w:type="spellStart"/>
      <w:r w:rsidRPr="00646002">
        <w:rPr>
          <w:rFonts w:ascii="Times New Roman" w:eastAsia="Times New Roman" w:hAnsi="Times New Roman" w:cs="Times New Roman"/>
          <w:color w:val="000000"/>
          <w:sz w:val="20"/>
          <w:szCs w:val="20"/>
        </w:rPr>
        <w:t>association</w:t>
      </w:r>
      <w:proofErr w:type="spellEnd"/>
      <w:r w:rsidRPr="00646002">
        <w:rPr>
          <w:rFonts w:ascii="Times New Roman" w:eastAsia="Times New Roman" w:hAnsi="Times New Roman" w:cs="Times New Roman"/>
          <w:color w:val="000000"/>
          <w:sz w:val="20"/>
          <w:szCs w:val="20"/>
        </w:rPr>
        <w:t>.</w:t>
      </w:r>
    </w:p>
    <w:p w14:paraId="788579F5" w14:textId="77777777" w:rsidR="00EC08A3" w:rsidRPr="001D3829" w:rsidRDefault="00EC08A3" w:rsidP="00EC08A3">
      <w:pPr>
        <w:spacing w:after="0" w:line="240" w:lineRule="auto"/>
        <w:rPr>
          <w:rFonts w:ascii="Times New Roman" w:eastAsia="Times New Roman" w:hAnsi="Times New Roman" w:cs="Times New Roman"/>
          <w:sz w:val="24"/>
          <w:szCs w:val="24"/>
          <w:lang w:val="en-US"/>
        </w:rPr>
      </w:pPr>
    </w:p>
    <w:p w14:paraId="33A496C7" w14:textId="77777777" w:rsidR="00EC08A3" w:rsidRPr="001D3829" w:rsidRDefault="00EC08A3" w:rsidP="00EC08A3">
      <w:pPr>
        <w:spacing w:before="240" w:after="240" w:line="480" w:lineRule="auto"/>
        <w:jc w:val="center"/>
        <w:rPr>
          <w:rFonts w:ascii="Times New Roman" w:eastAsia="Times New Roman" w:hAnsi="Times New Roman" w:cs="Times New Roman"/>
          <w:b/>
          <w:bCs/>
          <w:sz w:val="24"/>
          <w:szCs w:val="24"/>
          <w:lang w:val="en-US"/>
        </w:rPr>
      </w:pPr>
      <w:r w:rsidRPr="001D3829">
        <w:rPr>
          <w:rFonts w:ascii="Times New Roman" w:eastAsia="Times New Roman" w:hAnsi="Times New Roman" w:cs="Times New Roman"/>
          <w:b/>
          <w:bCs/>
          <w:noProof/>
          <w:sz w:val="24"/>
          <w:szCs w:val="24"/>
          <w:lang w:val="en-US"/>
        </w:rPr>
        <w:lastRenderedPageBreak/>
        <w:drawing>
          <wp:inline distT="0" distB="0" distL="0" distR="0" wp14:anchorId="40AE6633" wp14:editId="31DBED75">
            <wp:extent cx="5437414" cy="8490809"/>
            <wp:effectExtent l="0" t="0" r="0" b="571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bined.png"/>
                    <pic:cNvPicPr/>
                  </pic:nvPicPr>
                  <pic:blipFill>
                    <a:blip r:embed="rId7"/>
                    <a:stretch>
                      <a:fillRect/>
                    </a:stretch>
                  </pic:blipFill>
                  <pic:spPr>
                    <a:xfrm>
                      <a:off x="0" y="0"/>
                      <a:ext cx="5447389" cy="8506385"/>
                    </a:xfrm>
                    <a:prstGeom prst="rect">
                      <a:avLst/>
                    </a:prstGeom>
                  </pic:spPr>
                </pic:pic>
              </a:graphicData>
            </a:graphic>
          </wp:inline>
        </w:drawing>
      </w:r>
    </w:p>
    <w:p w14:paraId="4C3923FD" w14:textId="66A7DE36" w:rsidR="00EC08A3" w:rsidRPr="009D6BF3" w:rsidRDefault="00EC08A3" w:rsidP="00D617D5">
      <w:pPr>
        <w:spacing w:before="240" w:after="240" w:line="360" w:lineRule="auto"/>
        <w:rPr>
          <w:rFonts w:ascii="Times New Roman" w:eastAsia="Times New Roman" w:hAnsi="Times New Roman" w:cs="Times New Roman"/>
          <w:sz w:val="20"/>
          <w:szCs w:val="20"/>
          <w:shd w:val="clear" w:color="auto" w:fill="FFFFFF"/>
          <w:lang w:val="en-US"/>
        </w:rPr>
      </w:pPr>
      <w:r w:rsidRPr="009D6BF3">
        <w:rPr>
          <w:rFonts w:ascii="Times New Roman" w:eastAsia="Times New Roman" w:hAnsi="Times New Roman" w:cs="Times New Roman"/>
          <w:b/>
          <w:bCs/>
          <w:sz w:val="20"/>
          <w:szCs w:val="20"/>
          <w:lang w:val="en-US"/>
        </w:rPr>
        <w:lastRenderedPageBreak/>
        <w:t xml:space="preserve">Figure </w:t>
      </w:r>
      <w:r w:rsidR="00026DFC" w:rsidRPr="009D6BF3">
        <w:rPr>
          <w:rFonts w:ascii="Times New Roman" w:eastAsia="Times New Roman" w:hAnsi="Times New Roman" w:cs="Times New Roman"/>
          <w:b/>
          <w:bCs/>
          <w:sz w:val="20"/>
          <w:szCs w:val="20"/>
          <w:lang w:val="en-US"/>
        </w:rPr>
        <w:t>S</w:t>
      </w:r>
      <w:r w:rsidR="001B7A24">
        <w:rPr>
          <w:rFonts w:ascii="Times New Roman" w:eastAsia="Times New Roman" w:hAnsi="Times New Roman" w:cs="Times New Roman"/>
          <w:b/>
          <w:bCs/>
          <w:sz w:val="20"/>
          <w:szCs w:val="20"/>
          <w:lang w:val="en-US"/>
        </w:rPr>
        <w:t>2</w:t>
      </w:r>
      <w:r w:rsidRPr="009D6BF3">
        <w:rPr>
          <w:rFonts w:ascii="Times New Roman" w:eastAsia="Times New Roman" w:hAnsi="Times New Roman" w:cs="Times New Roman"/>
          <w:b/>
          <w:bCs/>
          <w:sz w:val="20"/>
          <w:szCs w:val="20"/>
          <w:lang w:val="en-US"/>
        </w:rPr>
        <w:t xml:space="preserve">. </w:t>
      </w:r>
      <w:r w:rsidRPr="009D6BF3">
        <w:rPr>
          <w:rFonts w:ascii="Times New Roman" w:eastAsia="Times New Roman" w:hAnsi="Times New Roman" w:cs="Times New Roman"/>
          <w:sz w:val="20"/>
          <w:szCs w:val="20"/>
          <w:shd w:val="clear" w:color="auto" w:fill="FFFFFF"/>
          <w:lang w:val="en-US"/>
        </w:rPr>
        <w:t>The distribution of functional annotation of all single-nucleotide polymorphisms in the significant genomic risk loci shared between anorexia nervosa and schizophrenia (A), mood (B), bipolar disorder (C), neuroticism (D), major depression (E), and intelligence (F).</w:t>
      </w:r>
    </w:p>
    <w:p w14:paraId="10D72D0C" w14:textId="05E7A469" w:rsidR="00A97BE8" w:rsidRPr="001D3829" w:rsidRDefault="00291E65" w:rsidP="00A97BE8">
      <w:pPr>
        <w:jc w:val="center"/>
        <w:rPr>
          <w:noProof/>
          <w:lang w:val="en-US"/>
        </w:rPr>
      </w:pPr>
      <w:r>
        <w:rPr>
          <w:noProof/>
          <w:lang w:val="en-US"/>
        </w:rPr>
        <w:lastRenderedPageBreak/>
        <w:drawing>
          <wp:inline distT="0" distB="0" distL="0" distR="0" wp14:anchorId="229B1442" wp14:editId="6A4312B8">
            <wp:extent cx="5760720" cy="8084820"/>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8084820"/>
                    </a:xfrm>
                    <a:prstGeom prst="rect">
                      <a:avLst/>
                    </a:prstGeom>
                  </pic:spPr>
                </pic:pic>
              </a:graphicData>
            </a:graphic>
          </wp:inline>
        </w:drawing>
      </w:r>
    </w:p>
    <w:p w14:paraId="4216F485" w14:textId="3921CA71" w:rsidR="00A97BE8" w:rsidRPr="00D617D5" w:rsidRDefault="00A97BE8" w:rsidP="00011504">
      <w:pPr>
        <w:spacing w:line="360" w:lineRule="auto"/>
        <w:rPr>
          <w:rFonts w:asciiTheme="majorBidi" w:hAnsiTheme="majorBidi" w:cstheme="majorBidi"/>
          <w:sz w:val="20"/>
          <w:szCs w:val="20"/>
          <w:lang w:val="en-US"/>
        </w:rPr>
      </w:pPr>
      <w:r w:rsidRPr="00D617D5">
        <w:rPr>
          <w:rFonts w:asciiTheme="majorBidi" w:hAnsiTheme="majorBidi" w:cstheme="majorBidi"/>
          <w:b/>
          <w:bCs/>
          <w:sz w:val="20"/>
          <w:szCs w:val="20"/>
          <w:lang w:val="en-US"/>
        </w:rPr>
        <w:t xml:space="preserve">Figure </w:t>
      </w:r>
      <w:r w:rsidR="009B450E" w:rsidRPr="00D617D5">
        <w:rPr>
          <w:rFonts w:asciiTheme="majorBidi" w:hAnsiTheme="majorBidi" w:cstheme="majorBidi"/>
          <w:b/>
          <w:bCs/>
          <w:sz w:val="20"/>
          <w:szCs w:val="20"/>
          <w:lang w:val="en-US"/>
        </w:rPr>
        <w:t>S</w:t>
      </w:r>
      <w:r w:rsidR="001B7A24" w:rsidRPr="00D617D5">
        <w:rPr>
          <w:rFonts w:asciiTheme="majorBidi" w:hAnsiTheme="majorBidi" w:cstheme="majorBidi"/>
          <w:b/>
          <w:bCs/>
          <w:sz w:val="20"/>
          <w:szCs w:val="20"/>
          <w:lang w:val="en-US"/>
        </w:rPr>
        <w:t>3</w:t>
      </w:r>
      <w:r w:rsidRPr="00D617D5">
        <w:rPr>
          <w:rFonts w:asciiTheme="majorBidi" w:hAnsiTheme="majorBidi" w:cstheme="majorBidi"/>
          <w:b/>
          <w:bCs/>
          <w:sz w:val="20"/>
          <w:szCs w:val="20"/>
          <w:lang w:val="en-US"/>
        </w:rPr>
        <w:t>.</w:t>
      </w:r>
      <w:r w:rsidR="001B6C4D" w:rsidRPr="00D617D5">
        <w:rPr>
          <w:rFonts w:asciiTheme="majorBidi" w:hAnsiTheme="majorBidi" w:cstheme="majorBidi"/>
          <w:sz w:val="20"/>
          <w:szCs w:val="20"/>
          <w:lang w:val="en-US"/>
        </w:rPr>
        <w:t xml:space="preserve"> </w:t>
      </w:r>
      <w:r w:rsidR="00540FB9" w:rsidRPr="00D617D5">
        <w:rPr>
          <w:rFonts w:asciiTheme="majorBidi" w:hAnsiTheme="majorBidi" w:cstheme="majorBidi"/>
          <w:sz w:val="20"/>
          <w:szCs w:val="20"/>
          <w:lang w:val="en-US"/>
        </w:rPr>
        <w:t xml:space="preserve">Dendrogram and heat-map showing spatiotemporal gene expression of all mapped genes </w:t>
      </w:r>
      <w:r w:rsidR="009364B0" w:rsidRPr="00D617D5">
        <w:rPr>
          <w:rFonts w:asciiTheme="majorBidi" w:hAnsiTheme="majorBidi" w:cstheme="majorBidi"/>
          <w:sz w:val="20"/>
          <w:szCs w:val="20"/>
          <w:lang w:val="en-US"/>
        </w:rPr>
        <w:t>jointly associated with</w:t>
      </w:r>
      <w:r w:rsidR="00540FB9" w:rsidRPr="00D617D5">
        <w:rPr>
          <w:rFonts w:asciiTheme="majorBidi" w:hAnsiTheme="majorBidi" w:cstheme="majorBidi"/>
          <w:sz w:val="20"/>
          <w:szCs w:val="20"/>
          <w:lang w:val="en-US"/>
        </w:rPr>
        <w:t xml:space="preserve"> anorexia nervosa and</w:t>
      </w:r>
      <w:r w:rsidR="009364B0" w:rsidRPr="00D617D5">
        <w:rPr>
          <w:rFonts w:asciiTheme="majorBidi" w:hAnsiTheme="majorBidi" w:cstheme="majorBidi"/>
          <w:sz w:val="20"/>
          <w:szCs w:val="20"/>
          <w:lang w:val="en-US"/>
        </w:rPr>
        <w:t>:</w:t>
      </w:r>
      <w:r w:rsidR="004E780D" w:rsidRPr="00D617D5">
        <w:rPr>
          <w:rFonts w:asciiTheme="majorBidi" w:hAnsiTheme="majorBidi" w:cstheme="majorBidi"/>
          <w:sz w:val="20"/>
          <w:szCs w:val="20"/>
          <w:lang w:val="en-US"/>
        </w:rPr>
        <w:t xml:space="preserve"> schizophrenia (</w:t>
      </w:r>
      <w:r w:rsidR="00291E65" w:rsidRPr="00D617D5">
        <w:rPr>
          <w:rFonts w:asciiTheme="majorBidi" w:hAnsiTheme="majorBidi" w:cstheme="majorBidi"/>
          <w:sz w:val="20"/>
          <w:szCs w:val="20"/>
          <w:lang w:val="en-US"/>
        </w:rPr>
        <w:t>A)</w:t>
      </w:r>
      <w:r w:rsidR="004E780D" w:rsidRPr="00D617D5">
        <w:rPr>
          <w:rFonts w:asciiTheme="majorBidi" w:hAnsiTheme="majorBidi" w:cstheme="majorBidi"/>
          <w:sz w:val="20"/>
          <w:szCs w:val="20"/>
          <w:lang w:val="en-US"/>
        </w:rPr>
        <w:t>, bipolar disorder (</w:t>
      </w:r>
      <w:r w:rsidR="00291E65" w:rsidRPr="00D617D5">
        <w:rPr>
          <w:rFonts w:asciiTheme="majorBidi" w:hAnsiTheme="majorBidi" w:cstheme="majorBidi"/>
          <w:sz w:val="20"/>
          <w:szCs w:val="20"/>
          <w:lang w:val="en-US"/>
        </w:rPr>
        <w:t>B</w:t>
      </w:r>
      <w:r w:rsidR="004E780D" w:rsidRPr="00D617D5">
        <w:rPr>
          <w:rFonts w:asciiTheme="majorBidi" w:hAnsiTheme="majorBidi" w:cstheme="majorBidi"/>
          <w:sz w:val="20"/>
          <w:szCs w:val="20"/>
          <w:lang w:val="en-US"/>
        </w:rPr>
        <w:t>),</w:t>
      </w:r>
      <w:r w:rsidR="00291E65" w:rsidRPr="00D617D5">
        <w:rPr>
          <w:rFonts w:asciiTheme="majorBidi" w:hAnsiTheme="majorBidi" w:cstheme="majorBidi"/>
          <w:sz w:val="20"/>
          <w:szCs w:val="20"/>
          <w:lang w:val="en-US"/>
        </w:rPr>
        <w:t xml:space="preserve"> major depression (C), mood (D),</w:t>
      </w:r>
      <w:r w:rsidR="004E780D" w:rsidRPr="00D617D5">
        <w:rPr>
          <w:rFonts w:asciiTheme="majorBidi" w:hAnsiTheme="majorBidi" w:cstheme="majorBidi"/>
          <w:sz w:val="20"/>
          <w:szCs w:val="20"/>
          <w:lang w:val="en-US"/>
        </w:rPr>
        <w:t xml:space="preserve"> neuroticism (</w:t>
      </w:r>
      <w:r w:rsidR="00291E65" w:rsidRPr="00D617D5">
        <w:rPr>
          <w:rFonts w:asciiTheme="majorBidi" w:hAnsiTheme="majorBidi" w:cstheme="majorBidi"/>
          <w:sz w:val="20"/>
          <w:szCs w:val="20"/>
          <w:lang w:val="en-US"/>
        </w:rPr>
        <w:t>E</w:t>
      </w:r>
      <w:r w:rsidR="004E780D" w:rsidRPr="00D617D5">
        <w:rPr>
          <w:rFonts w:asciiTheme="majorBidi" w:hAnsiTheme="majorBidi" w:cstheme="majorBidi"/>
          <w:sz w:val="20"/>
          <w:szCs w:val="20"/>
          <w:lang w:val="en-US"/>
        </w:rPr>
        <w:t>),</w:t>
      </w:r>
      <w:r w:rsidR="00291E65" w:rsidRPr="00D617D5">
        <w:rPr>
          <w:rFonts w:asciiTheme="majorBidi" w:hAnsiTheme="majorBidi" w:cstheme="majorBidi"/>
          <w:sz w:val="20"/>
          <w:szCs w:val="20"/>
          <w:lang w:val="en-US"/>
        </w:rPr>
        <w:t xml:space="preserve"> and</w:t>
      </w:r>
      <w:r w:rsidR="00C8734E" w:rsidRPr="00D617D5">
        <w:rPr>
          <w:rFonts w:asciiTheme="majorBidi" w:hAnsiTheme="majorBidi" w:cstheme="majorBidi"/>
          <w:sz w:val="20"/>
          <w:szCs w:val="20"/>
          <w:lang w:val="en-US"/>
        </w:rPr>
        <w:t xml:space="preserve"> intelligence (F) </w:t>
      </w:r>
      <w:r w:rsidR="00540FB9" w:rsidRPr="00D617D5">
        <w:rPr>
          <w:rFonts w:asciiTheme="majorBidi" w:hAnsiTheme="majorBidi" w:cstheme="majorBidi"/>
          <w:sz w:val="20"/>
          <w:szCs w:val="20"/>
          <w:lang w:val="en-US"/>
        </w:rPr>
        <w:t xml:space="preserve">using RNA sequencing data from </w:t>
      </w:r>
      <w:proofErr w:type="spellStart"/>
      <w:r w:rsidR="00540FB9" w:rsidRPr="00D617D5">
        <w:rPr>
          <w:rFonts w:asciiTheme="majorBidi" w:hAnsiTheme="majorBidi" w:cstheme="majorBidi"/>
          <w:sz w:val="20"/>
          <w:szCs w:val="20"/>
          <w:lang w:val="en-US"/>
        </w:rPr>
        <w:t>BrainSpan</w:t>
      </w:r>
      <w:proofErr w:type="spellEnd"/>
      <w:r w:rsidR="00540FB9" w:rsidRPr="00D617D5">
        <w:rPr>
          <w:rFonts w:asciiTheme="majorBidi" w:hAnsiTheme="majorBidi" w:cstheme="majorBidi"/>
          <w:sz w:val="20"/>
          <w:szCs w:val="20"/>
          <w:lang w:val="en-US"/>
        </w:rPr>
        <w:t xml:space="preserve"> over 11 developmental periods </w:t>
      </w:r>
      <w:r w:rsidR="00540FB9" w:rsidRPr="00D617D5">
        <w:rPr>
          <w:rFonts w:asciiTheme="majorBidi" w:hAnsiTheme="majorBidi" w:cstheme="majorBidi"/>
          <w:sz w:val="20"/>
          <w:szCs w:val="20"/>
          <w:lang w:val="en-US"/>
        </w:rPr>
        <w:lastRenderedPageBreak/>
        <w:t xml:space="preserve">(columns) and 16 brain regions (rows). Gene expression is indicated from high (red) to low (blue). IPC = inferior parietal cortex, MFC = medial prefrontal cortex, STR = striatum, STC = superior temporal cortex, AMY = amygdala, CBC = cerebellum, HIP = hippocampus, DFC = dorsolateral prefrontal cortex, MD = medulla oblongata, OFC = orbital frontal cortex, V1C = primary visual </w:t>
      </w:r>
      <w:proofErr w:type="gramStart"/>
      <w:r w:rsidR="00540FB9" w:rsidRPr="00D617D5">
        <w:rPr>
          <w:rFonts w:asciiTheme="majorBidi" w:hAnsiTheme="majorBidi" w:cstheme="majorBidi"/>
          <w:sz w:val="20"/>
          <w:szCs w:val="20"/>
          <w:lang w:val="en-US"/>
        </w:rPr>
        <w:t>cortex,M</w:t>
      </w:r>
      <w:proofErr w:type="gramEnd"/>
      <w:r w:rsidR="00540FB9" w:rsidRPr="00D617D5">
        <w:rPr>
          <w:rFonts w:asciiTheme="majorBidi" w:hAnsiTheme="majorBidi" w:cstheme="majorBidi"/>
          <w:sz w:val="20"/>
          <w:szCs w:val="20"/>
          <w:lang w:val="en-US"/>
        </w:rPr>
        <w:t>1C = primary motor cortex, A1C = primary auditory cortex, VFC = ventrolateral prefrontal cortex, S1C = primary somatosensory cortex, ITC = inferior temporal cortex.</w:t>
      </w:r>
    </w:p>
    <w:p w14:paraId="2A23433E" w14:textId="63DB0954" w:rsidR="00F2697F" w:rsidRDefault="00F2697F" w:rsidP="00A97BE8">
      <w:pPr>
        <w:jc w:val="center"/>
        <w:rPr>
          <w:rFonts w:asciiTheme="majorBidi" w:hAnsiTheme="majorBidi" w:cstheme="majorBidi"/>
          <w:sz w:val="24"/>
          <w:szCs w:val="24"/>
          <w:lang w:val="en-US"/>
        </w:rPr>
      </w:pPr>
    </w:p>
    <w:p w14:paraId="019DA2D1" w14:textId="77777777" w:rsidR="00761D25" w:rsidRDefault="00761D25">
      <w:pPr>
        <w:rPr>
          <w:rFonts w:asciiTheme="majorBidi" w:hAnsiTheme="majorBidi" w:cstheme="majorBidi"/>
          <w:b/>
          <w:bCs/>
          <w:sz w:val="24"/>
          <w:szCs w:val="24"/>
          <w:lang w:val="en-US"/>
        </w:rPr>
      </w:pPr>
      <w:r>
        <w:rPr>
          <w:rFonts w:asciiTheme="majorBidi" w:hAnsiTheme="majorBidi" w:cstheme="majorBidi"/>
          <w:b/>
          <w:bCs/>
          <w:sz w:val="24"/>
          <w:szCs w:val="24"/>
          <w:lang w:val="en-US"/>
        </w:rPr>
        <w:br w:type="page"/>
      </w:r>
    </w:p>
    <w:p w14:paraId="6501BBCC" w14:textId="5F34A4A8" w:rsidR="00F2697F" w:rsidRPr="00F2697F" w:rsidRDefault="00F2697F" w:rsidP="00A97BE8">
      <w:pPr>
        <w:jc w:val="center"/>
        <w:rPr>
          <w:rFonts w:asciiTheme="majorBidi" w:hAnsiTheme="majorBidi" w:cstheme="majorBidi"/>
          <w:b/>
          <w:bCs/>
          <w:sz w:val="24"/>
          <w:szCs w:val="24"/>
          <w:lang w:val="en-US"/>
        </w:rPr>
      </w:pPr>
      <w:r w:rsidRPr="00F2697F">
        <w:rPr>
          <w:rFonts w:asciiTheme="majorBidi" w:hAnsiTheme="majorBidi" w:cstheme="majorBidi"/>
          <w:b/>
          <w:bCs/>
          <w:sz w:val="24"/>
          <w:szCs w:val="24"/>
          <w:lang w:val="en-US"/>
        </w:rPr>
        <w:lastRenderedPageBreak/>
        <w:t>REFERENCES</w:t>
      </w:r>
    </w:p>
    <w:p w14:paraId="4C5B4F49" w14:textId="77777777" w:rsidR="007549F2" w:rsidRPr="007549F2" w:rsidRDefault="00F2697F" w:rsidP="007549F2">
      <w:pPr>
        <w:pStyle w:val="Bibliography"/>
        <w:rPr>
          <w:rFonts w:ascii="Times New Roman" w:hAnsi="Times New Roman" w:cs="Times New Roman"/>
          <w:sz w:val="24"/>
        </w:rPr>
      </w:pPr>
      <w:r>
        <w:rPr>
          <w:rFonts w:asciiTheme="majorBidi" w:hAnsiTheme="majorBidi" w:cstheme="majorBidi"/>
          <w:lang w:val="en-US"/>
        </w:rPr>
        <w:fldChar w:fldCharType="begin"/>
      </w:r>
      <w:r w:rsidR="007549F2">
        <w:rPr>
          <w:rFonts w:asciiTheme="majorBidi" w:hAnsiTheme="majorBidi" w:cstheme="majorBidi"/>
          <w:lang w:val="en-US"/>
        </w:rPr>
        <w:instrText xml:space="preserve"> ADDIN ZOTERO_BIBL {"uncited":[],"omitted":[],"custom":[]} CSL_BIBLIOGRAPHY </w:instrText>
      </w:r>
      <w:r>
        <w:rPr>
          <w:rFonts w:asciiTheme="majorBidi" w:hAnsiTheme="majorBidi" w:cstheme="majorBidi"/>
          <w:lang w:val="en-US"/>
        </w:rPr>
        <w:fldChar w:fldCharType="separate"/>
      </w:r>
      <w:r w:rsidR="007549F2" w:rsidRPr="00B66E86">
        <w:rPr>
          <w:rFonts w:ascii="Times New Roman" w:hAnsi="Times New Roman" w:cs="Times New Roman"/>
          <w:sz w:val="24"/>
          <w:lang w:val="en-GB"/>
        </w:rPr>
        <w:t xml:space="preserve">1. </w:t>
      </w:r>
      <w:r w:rsidR="007549F2" w:rsidRPr="00B66E86">
        <w:rPr>
          <w:rFonts w:ascii="Times New Roman" w:hAnsi="Times New Roman" w:cs="Times New Roman"/>
          <w:sz w:val="24"/>
          <w:lang w:val="en-GB"/>
        </w:rPr>
        <w:tab/>
        <w:t xml:space="preserve">Ward J, Tunbridge EM, Sandor C, Lyall LM, Ferguson A, Strawbridge RJ, et al. The genomic basis of mood instability: identification of 46 loci in 363,705 UK Biobank participants, genetic correlation with psychiatric disorders, and association with gene expression and function. </w:t>
      </w:r>
      <w:r w:rsidR="007549F2" w:rsidRPr="007549F2">
        <w:rPr>
          <w:rFonts w:ascii="Times New Roman" w:hAnsi="Times New Roman" w:cs="Times New Roman"/>
          <w:sz w:val="24"/>
        </w:rPr>
        <w:t xml:space="preserve">Mol Psychiatry. 2020 Nov;25(11):3091–9. </w:t>
      </w:r>
    </w:p>
    <w:p w14:paraId="65FD74E4" w14:textId="77777777" w:rsidR="007549F2" w:rsidRPr="007549F2" w:rsidRDefault="007549F2" w:rsidP="007549F2">
      <w:pPr>
        <w:pStyle w:val="Bibliography"/>
        <w:rPr>
          <w:rFonts w:ascii="Times New Roman" w:hAnsi="Times New Roman" w:cs="Times New Roman"/>
          <w:sz w:val="24"/>
        </w:rPr>
      </w:pPr>
      <w:r w:rsidRPr="007549F2">
        <w:rPr>
          <w:rFonts w:ascii="Times New Roman" w:hAnsi="Times New Roman" w:cs="Times New Roman"/>
          <w:sz w:val="24"/>
        </w:rPr>
        <w:t xml:space="preserve">2. </w:t>
      </w:r>
      <w:r w:rsidRPr="007549F2">
        <w:rPr>
          <w:rFonts w:ascii="Times New Roman" w:hAnsi="Times New Roman" w:cs="Times New Roman"/>
          <w:sz w:val="24"/>
        </w:rPr>
        <w:tab/>
        <w:t xml:space="preserve">Nagel M, Jansen PR, Stringer S, Watanabe K, de Leeuw CA, Bryois J, et al. </w:t>
      </w:r>
      <w:r w:rsidRPr="00B66E86">
        <w:rPr>
          <w:rFonts w:ascii="Times New Roman" w:hAnsi="Times New Roman" w:cs="Times New Roman"/>
          <w:sz w:val="24"/>
          <w:lang w:val="en-GB"/>
        </w:rPr>
        <w:t xml:space="preserve">Meta-analysis of genome-wide association studies for neuroticism in 449,484 individuals identifies novel genetic loci and pathways. </w:t>
      </w:r>
      <w:r w:rsidRPr="007549F2">
        <w:rPr>
          <w:rFonts w:ascii="Times New Roman" w:hAnsi="Times New Roman" w:cs="Times New Roman"/>
          <w:sz w:val="24"/>
        </w:rPr>
        <w:t xml:space="preserve">Nat Genet. 2018 Jul;50(7):920–7. </w:t>
      </w:r>
    </w:p>
    <w:p w14:paraId="477A32B5" w14:textId="77777777" w:rsidR="007549F2" w:rsidRPr="00B66E86" w:rsidRDefault="007549F2" w:rsidP="007549F2">
      <w:pPr>
        <w:pStyle w:val="Bibliography"/>
        <w:rPr>
          <w:rFonts w:ascii="Times New Roman" w:hAnsi="Times New Roman" w:cs="Times New Roman"/>
          <w:sz w:val="24"/>
          <w:lang w:val="en-GB"/>
        </w:rPr>
      </w:pPr>
      <w:r w:rsidRPr="007549F2">
        <w:rPr>
          <w:rFonts w:ascii="Times New Roman" w:hAnsi="Times New Roman" w:cs="Times New Roman"/>
          <w:sz w:val="24"/>
        </w:rPr>
        <w:t xml:space="preserve">3. </w:t>
      </w:r>
      <w:r w:rsidRPr="007549F2">
        <w:rPr>
          <w:rFonts w:ascii="Times New Roman" w:hAnsi="Times New Roman" w:cs="Times New Roman"/>
          <w:sz w:val="24"/>
        </w:rPr>
        <w:tab/>
        <w:t xml:space="preserve">Savage JE, Jansen PR, Stringer S, Watanabe K, Bryois J, de Leeuw CA, et al. </w:t>
      </w:r>
      <w:r w:rsidRPr="00B66E86">
        <w:rPr>
          <w:rFonts w:ascii="Times New Roman" w:hAnsi="Times New Roman" w:cs="Times New Roman"/>
          <w:sz w:val="24"/>
          <w:lang w:val="en-GB"/>
        </w:rPr>
        <w:t xml:space="preserve">Genome-wide association meta-analysis in 269,867 individuals identifies new genetic and functional links to intelligence. Nat Genet. 2018 Jul;50(7):912–9. </w:t>
      </w:r>
    </w:p>
    <w:p w14:paraId="35F82877" w14:textId="77777777" w:rsidR="007549F2" w:rsidRPr="007549F2" w:rsidRDefault="007549F2" w:rsidP="007549F2">
      <w:pPr>
        <w:pStyle w:val="Bibliography"/>
        <w:rPr>
          <w:rFonts w:ascii="Times New Roman" w:hAnsi="Times New Roman" w:cs="Times New Roman"/>
          <w:sz w:val="24"/>
        </w:rPr>
      </w:pPr>
      <w:r w:rsidRPr="00B66E86">
        <w:rPr>
          <w:rFonts w:ascii="Times New Roman" w:hAnsi="Times New Roman" w:cs="Times New Roman"/>
          <w:sz w:val="24"/>
          <w:lang w:val="en-GB"/>
        </w:rPr>
        <w:t xml:space="preserve">4. </w:t>
      </w:r>
      <w:r w:rsidRPr="00B66E86">
        <w:rPr>
          <w:rFonts w:ascii="Times New Roman" w:hAnsi="Times New Roman" w:cs="Times New Roman"/>
          <w:sz w:val="24"/>
          <w:lang w:val="en-GB"/>
        </w:rPr>
        <w:tab/>
        <w:t xml:space="preserve">Sudlow C, Gallacher J, Allen N, Beral V, Burton P, Danesh J, et al. UK biobank: an open access resource for identifying the causes of a wide range of complex diseases of middle and old age. </w:t>
      </w:r>
      <w:r w:rsidRPr="007549F2">
        <w:rPr>
          <w:rFonts w:ascii="Times New Roman" w:hAnsi="Times New Roman" w:cs="Times New Roman"/>
          <w:sz w:val="24"/>
        </w:rPr>
        <w:t xml:space="preserve">PLoS Med. 2015 Mar;12(3):e1001779. </w:t>
      </w:r>
    </w:p>
    <w:p w14:paraId="0C35277D" w14:textId="77777777" w:rsidR="007549F2" w:rsidRPr="00B66E86" w:rsidRDefault="007549F2" w:rsidP="007549F2">
      <w:pPr>
        <w:pStyle w:val="Bibliography"/>
        <w:rPr>
          <w:rFonts w:ascii="Times New Roman" w:hAnsi="Times New Roman" w:cs="Times New Roman"/>
          <w:sz w:val="24"/>
          <w:lang w:val="en-GB"/>
        </w:rPr>
      </w:pPr>
      <w:r w:rsidRPr="007549F2">
        <w:rPr>
          <w:rFonts w:ascii="Times New Roman" w:hAnsi="Times New Roman" w:cs="Times New Roman"/>
          <w:sz w:val="24"/>
        </w:rPr>
        <w:t xml:space="preserve">5. </w:t>
      </w:r>
      <w:r w:rsidRPr="007549F2">
        <w:rPr>
          <w:rFonts w:ascii="Times New Roman" w:hAnsi="Times New Roman" w:cs="Times New Roman"/>
          <w:sz w:val="24"/>
        </w:rPr>
        <w:tab/>
        <w:t xml:space="preserve">Mullins N, Forstner AJ, O’Connell KS, Coombes B, Coleman JRI, Qiao Z, et al. </w:t>
      </w:r>
      <w:r w:rsidRPr="00B66E86">
        <w:rPr>
          <w:rFonts w:ascii="Times New Roman" w:hAnsi="Times New Roman" w:cs="Times New Roman"/>
          <w:sz w:val="24"/>
          <w:lang w:val="en-GB"/>
        </w:rPr>
        <w:t xml:space="preserve">Genome-wide association study of more than 40,000 bipolar disorder cases provides new insights into the underlying biology. Nat Genet. 2021 Jun;53(6):817–29. </w:t>
      </w:r>
    </w:p>
    <w:p w14:paraId="6E389A1C" w14:textId="77777777" w:rsidR="007549F2" w:rsidRPr="007549F2" w:rsidRDefault="007549F2" w:rsidP="007549F2">
      <w:pPr>
        <w:pStyle w:val="Bibliography"/>
        <w:rPr>
          <w:rFonts w:ascii="Times New Roman" w:hAnsi="Times New Roman" w:cs="Times New Roman"/>
          <w:sz w:val="24"/>
        </w:rPr>
      </w:pPr>
      <w:r w:rsidRPr="00B66E86">
        <w:rPr>
          <w:rFonts w:ascii="Times New Roman" w:hAnsi="Times New Roman" w:cs="Times New Roman"/>
          <w:sz w:val="24"/>
          <w:lang w:val="en-GB"/>
        </w:rPr>
        <w:t xml:space="preserve">6. </w:t>
      </w:r>
      <w:r w:rsidRPr="00B66E86">
        <w:rPr>
          <w:rFonts w:ascii="Times New Roman" w:hAnsi="Times New Roman" w:cs="Times New Roman"/>
          <w:sz w:val="24"/>
          <w:lang w:val="en-GB"/>
        </w:rPr>
        <w:tab/>
        <w:t xml:space="preserve">Pardiñas AF, Holmans P, Pocklington AJ, Escott-Price V, Ripke S, Carrera N, et al. Common schizophrenia alleles are enriched in mutation-intolerant genes and in regions under strong background selection. </w:t>
      </w:r>
      <w:r w:rsidRPr="007549F2">
        <w:rPr>
          <w:rFonts w:ascii="Times New Roman" w:hAnsi="Times New Roman" w:cs="Times New Roman"/>
          <w:sz w:val="24"/>
        </w:rPr>
        <w:t xml:space="preserve">Nat Genet. 2018 Mar;50(3):381–9. </w:t>
      </w:r>
    </w:p>
    <w:p w14:paraId="0C7D0AC1" w14:textId="77777777" w:rsidR="007549F2" w:rsidRPr="00B66E86" w:rsidRDefault="007549F2" w:rsidP="007549F2">
      <w:pPr>
        <w:pStyle w:val="Bibliography"/>
        <w:rPr>
          <w:rFonts w:ascii="Times New Roman" w:hAnsi="Times New Roman" w:cs="Times New Roman"/>
          <w:sz w:val="24"/>
          <w:lang w:val="en-GB"/>
        </w:rPr>
      </w:pPr>
      <w:r w:rsidRPr="007549F2">
        <w:rPr>
          <w:rFonts w:ascii="Times New Roman" w:hAnsi="Times New Roman" w:cs="Times New Roman"/>
          <w:sz w:val="24"/>
        </w:rPr>
        <w:t xml:space="preserve">7. </w:t>
      </w:r>
      <w:r w:rsidRPr="007549F2">
        <w:rPr>
          <w:rFonts w:ascii="Times New Roman" w:hAnsi="Times New Roman" w:cs="Times New Roman"/>
          <w:sz w:val="24"/>
        </w:rPr>
        <w:tab/>
        <w:t xml:space="preserve">Watson HJ, Yilmaz Z, Thornton LM, Hübel C, Coleman JRI, Gaspar HA, et al. </w:t>
      </w:r>
      <w:r w:rsidRPr="00B66E86">
        <w:rPr>
          <w:rFonts w:ascii="Times New Roman" w:hAnsi="Times New Roman" w:cs="Times New Roman"/>
          <w:sz w:val="24"/>
          <w:lang w:val="en-GB"/>
        </w:rPr>
        <w:t xml:space="preserve">Genome-wide association study identifies eight risk loci and implicates metabo-psychiatric origins for anorexia nervosa. Nat Genet. 2019 Aug;51(8):1207–14. </w:t>
      </w:r>
    </w:p>
    <w:p w14:paraId="341234DA" w14:textId="77777777" w:rsidR="007549F2" w:rsidRPr="00B66E86" w:rsidRDefault="007549F2" w:rsidP="007549F2">
      <w:pPr>
        <w:pStyle w:val="Bibliography"/>
        <w:rPr>
          <w:rFonts w:ascii="Times New Roman" w:hAnsi="Times New Roman" w:cs="Times New Roman"/>
          <w:sz w:val="24"/>
          <w:lang w:val="en-GB"/>
        </w:rPr>
      </w:pPr>
      <w:r w:rsidRPr="00B66E86">
        <w:rPr>
          <w:rFonts w:ascii="Times New Roman" w:hAnsi="Times New Roman" w:cs="Times New Roman"/>
          <w:sz w:val="24"/>
          <w:lang w:val="en-GB"/>
        </w:rPr>
        <w:t xml:space="preserve">8. </w:t>
      </w:r>
      <w:r w:rsidRPr="00B66E86">
        <w:rPr>
          <w:rFonts w:ascii="Times New Roman" w:hAnsi="Times New Roman" w:cs="Times New Roman"/>
          <w:sz w:val="24"/>
          <w:lang w:val="en-GB"/>
        </w:rPr>
        <w:tab/>
        <w:t xml:space="preserve">Wray NR, Ripke S, Mattheisen M, Trzaskowski M, Byrne EM, Abdellaoui A, et al. Genome-wide association analyses identify 44 risk variants and refine the genetic architecture of major depression. Nat Genet. 2018 May;50(5):668–81. </w:t>
      </w:r>
    </w:p>
    <w:p w14:paraId="39826583" w14:textId="77777777" w:rsidR="007549F2" w:rsidRPr="00B66E86" w:rsidRDefault="007549F2" w:rsidP="007549F2">
      <w:pPr>
        <w:pStyle w:val="Bibliography"/>
        <w:rPr>
          <w:rFonts w:ascii="Times New Roman" w:hAnsi="Times New Roman" w:cs="Times New Roman"/>
          <w:sz w:val="24"/>
          <w:lang w:val="en-GB"/>
        </w:rPr>
      </w:pPr>
      <w:r w:rsidRPr="00B66E86">
        <w:rPr>
          <w:rFonts w:ascii="Times New Roman" w:hAnsi="Times New Roman" w:cs="Times New Roman"/>
          <w:sz w:val="24"/>
          <w:lang w:val="en-GB"/>
        </w:rPr>
        <w:t xml:space="preserve">9. </w:t>
      </w:r>
      <w:r w:rsidRPr="00B66E86">
        <w:rPr>
          <w:rFonts w:ascii="Times New Roman" w:hAnsi="Times New Roman" w:cs="Times New Roman"/>
          <w:sz w:val="24"/>
          <w:lang w:val="en-GB"/>
        </w:rPr>
        <w:tab/>
        <w:t xml:space="preserve">Watanabe K, Taskesen E, van Bochoven A, Posthuma D. Functional mapping and annotation of genetic associations with FUMA. Nat Commun. 2017 Nov 28;8(1):1826. </w:t>
      </w:r>
    </w:p>
    <w:p w14:paraId="5A7D3605" w14:textId="77777777" w:rsidR="007549F2" w:rsidRPr="00B66E86" w:rsidRDefault="007549F2" w:rsidP="007549F2">
      <w:pPr>
        <w:pStyle w:val="Bibliography"/>
        <w:rPr>
          <w:rFonts w:ascii="Times New Roman" w:hAnsi="Times New Roman" w:cs="Times New Roman"/>
          <w:sz w:val="24"/>
          <w:lang w:val="en-GB"/>
        </w:rPr>
      </w:pPr>
      <w:r w:rsidRPr="00B66E86">
        <w:rPr>
          <w:rFonts w:ascii="Times New Roman" w:hAnsi="Times New Roman" w:cs="Times New Roman"/>
          <w:sz w:val="24"/>
          <w:lang w:val="en-GB"/>
        </w:rPr>
        <w:t xml:space="preserve">10. </w:t>
      </w:r>
      <w:r w:rsidRPr="00B66E86">
        <w:rPr>
          <w:rFonts w:ascii="Times New Roman" w:hAnsi="Times New Roman" w:cs="Times New Roman"/>
          <w:sz w:val="24"/>
          <w:lang w:val="en-GB"/>
        </w:rPr>
        <w:tab/>
        <w:t xml:space="preserve">Kircher M, Witten DM, Jain P, O’Roak BJ, Cooper GM, Shendure J. A general framework for estimating the relative pathogenicity of human genetic variants. Nat Genet. 2014 Mar;46(3):310–5. </w:t>
      </w:r>
    </w:p>
    <w:p w14:paraId="108E3915" w14:textId="77777777" w:rsidR="007549F2" w:rsidRPr="00B66E86" w:rsidRDefault="007549F2" w:rsidP="007549F2">
      <w:pPr>
        <w:pStyle w:val="Bibliography"/>
        <w:rPr>
          <w:rFonts w:ascii="Times New Roman" w:hAnsi="Times New Roman" w:cs="Times New Roman"/>
          <w:sz w:val="24"/>
          <w:lang w:val="en-GB"/>
        </w:rPr>
      </w:pPr>
      <w:r w:rsidRPr="00B66E86">
        <w:rPr>
          <w:rFonts w:ascii="Times New Roman" w:hAnsi="Times New Roman" w:cs="Times New Roman"/>
          <w:sz w:val="24"/>
          <w:lang w:val="en-GB"/>
        </w:rPr>
        <w:t xml:space="preserve">11. </w:t>
      </w:r>
      <w:r w:rsidRPr="00B66E86">
        <w:rPr>
          <w:rFonts w:ascii="Times New Roman" w:hAnsi="Times New Roman" w:cs="Times New Roman"/>
          <w:sz w:val="24"/>
          <w:lang w:val="en-GB"/>
        </w:rPr>
        <w:tab/>
        <w:t xml:space="preserve">Boyle AP, Hong EL, Hariharan M, Cheng Y, Schaub MA, Kasowski M, et al. Annotation of functional variation in personal genomes using RegulomeDB. Genome Res. 2012 Sep;22(9):1790–7. </w:t>
      </w:r>
    </w:p>
    <w:p w14:paraId="3B30973F" w14:textId="77777777" w:rsidR="007549F2" w:rsidRPr="00B66E86" w:rsidRDefault="007549F2" w:rsidP="007549F2">
      <w:pPr>
        <w:pStyle w:val="Bibliography"/>
        <w:rPr>
          <w:rFonts w:ascii="Times New Roman" w:hAnsi="Times New Roman" w:cs="Times New Roman"/>
          <w:sz w:val="24"/>
          <w:lang w:val="en-GB"/>
        </w:rPr>
      </w:pPr>
      <w:r w:rsidRPr="00B66E86">
        <w:rPr>
          <w:rFonts w:ascii="Times New Roman" w:hAnsi="Times New Roman" w:cs="Times New Roman"/>
          <w:sz w:val="24"/>
          <w:lang w:val="en-GB"/>
        </w:rPr>
        <w:t xml:space="preserve">12. </w:t>
      </w:r>
      <w:r w:rsidRPr="00B66E86">
        <w:rPr>
          <w:rFonts w:ascii="Times New Roman" w:hAnsi="Times New Roman" w:cs="Times New Roman"/>
          <w:sz w:val="24"/>
          <w:lang w:val="en-GB"/>
        </w:rPr>
        <w:tab/>
        <w:t xml:space="preserve">Roadmap Epigenomics Consortium, Kundaje A, Meuleman W, Ernst J, Bilenky M, Yen A, et al. Integrative analysis of 111 reference human epigenomes. Nature. 2015 Feb 19;518(7539):317–30. </w:t>
      </w:r>
    </w:p>
    <w:p w14:paraId="522723B4" w14:textId="77777777" w:rsidR="007549F2" w:rsidRPr="007549F2" w:rsidRDefault="007549F2" w:rsidP="007549F2">
      <w:pPr>
        <w:pStyle w:val="Bibliography"/>
        <w:rPr>
          <w:rFonts w:ascii="Times New Roman" w:hAnsi="Times New Roman" w:cs="Times New Roman"/>
          <w:sz w:val="24"/>
        </w:rPr>
      </w:pPr>
      <w:r w:rsidRPr="00B66E86">
        <w:rPr>
          <w:rFonts w:ascii="Times New Roman" w:hAnsi="Times New Roman" w:cs="Times New Roman"/>
          <w:sz w:val="24"/>
          <w:lang w:val="en-GB"/>
        </w:rPr>
        <w:lastRenderedPageBreak/>
        <w:t xml:space="preserve">13. </w:t>
      </w:r>
      <w:r w:rsidRPr="00B66E86">
        <w:rPr>
          <w:rFonts w:ascii="Times New Roman" w:hAnsi="Times New Roman" w:cs="Times New Roman"/>
          <w:sz w:val="24"/>
          <w:lang w:val="en-GB"/>
        </w:rPr>
        <w:tab/>
        <w:t xml:space="preserve">Zhu Z, Zhang F, Hu H, Bakshi A, Robinson MR, Powell JE, et al. Integration of summary data from GWAS and eQTL studies predicts complex trait gene targets. </w:t>
      </w:r>
      <w:r w:rsidRPr="007549F2">
        <w:rPr>
          <w:rFonts w:ascii="Times New Roman" w:hAnsi="Times New Roman" w:cs="Times New Roman"/>
          <w:sz w:val="24"/>
        </w:rPr>
        <w:t xml:space="preserve">Nat Genet. 2016 May;48(5):481–7. </w:t>
      </w:r>
    </w:p>
    <w:p w14:paraId="429185BC" w14:textId="77777777" w:rsidR="007549F2" w:rsidRPr="00B66E86" w:rsidRDefault="007549F2" w:rsidP="007549F2">
      <w:pPr>
        <w:pStyle w:val="Bibliography"/>
        <w:rPr>
          <w:rFonts w:ascii="Times New Roman" w:hAnsi="Times New Roman" w:cs="Times New Roman"/>
          <w:sz w:val="24"/>
          <w:lang w:val="en-GB"/>
        </w:rPr>
      </w:pPr>
      <w:r w:rsidRPr="007549F2">
        <w:rPr>
          <w:rFonts w:ascii="Times New Roman" w:hAnsi="Times New Roman" w:cs="Times New Roman"/>
          <w:sz w:val="24"/>
        </w:rPr>
        <w:t xml:space="preserve">14. </w:t>
      </w:r>
      <w:r w:rsidRPr="007549F2">
        <w:rPr>
          <w:rFonts w:ascii="Times New Roman" w:hAnsi="Times New Roman" w:cs="Times New Roman"/>
          <w:sz w:val="24"/>
        </w:rPr>
        <w:tab/>
        <w:t xml:space="preserve">Colantuoni C, Lipska BK, Ye T, Hyde TM, Tao R, Leek JT, et al. </w:t>
      </w:r>
      <w:r w:rsidRPr="00B66E86">
        <w:rPr>
          <w:rFonts w:ascii="Times New Roman" w:hAnsi="Times New Roman" w:cs="Times New Roman"/>
          <w:sz w:val="24"/>
          <w:lang w:val="en-GB"/>
        </w:rPr>
        <w:t xml:space="preserve">Temporal dynamics and genetic control of transcription in the human prefrontal cortex. Nature. 2011 Oct 26;478(7370):519–23. </w:t>
      </w:r>
    </w:p>
    <w:p w14:paraId="63C452DD" w14:textId="77777777" w:rsidR="007549F2" w:rsidRPr="00B66E86" w:rsidRDefault="007549F2" w:rsidP="007549F2">
      <w:pPr>
        <w:pStyle w:val="Bibliography"/>
        <w:rPr>
          <w:rFonts w:ascii="Times New Roman" w:hAnsi="Times New Roman" w:cs="Times New Roman"/>
          <w:sz w:val="24"/>
          <w:lang w:val="en-GB"/>
        </w:rPr>
      </w:pPr>
      <w:r w:rsidRPr="00B66E86">
        <w:rPr>
          <w:rFonts w:ascii="Times New Roman" w:hAnsi="Times New Roman" w:cs="Times New Roman"/>
          <w:sz w:val="24"/>
          <w:lang w:val="en-GB"/>
        </w:rPr>
        <w:t xml:space="preserve">15. </w:t>
      </w:r>
      <w:r w:rsidRPr="00B66E86">
        <w:rPr>
          <w:rFonts w:ascii="Times New Roman" w:hAnsi="Times New Roman" w:cs="Times New Roman"/>
          <w:sz w:val="24"/>
          <w:lang w:val="en-GB"/>
        </w:rPr>
        <w:tab/>
        <w:t xml:space="preserve">Johnson MB, Kawasawa YI, Mason CE, Krsnik Z, Coppola G, Bogdanović D, et al. Functional and evolutionary insights into human brain development through global transcriptome analysis. Neuron. 2009 May 28;62(4):494–509. </w:t>
      </w:r>
    </w:p>
    <w:p w14:paraId="7DABD2C1" w14:textId="77777777" w:rsidR="007549F2" w:rsidRPr="00B66E86" w:rsidRDefault="007549F2" w:rsidP="007549F2">
      <w:pPr>
        <w:pStyle w:val="Bibliography"/>
        <w:rPr>
          <w:rFonts w:ascii="Times New Roman" w:hAnsi="Times New Roman" w:cs="Times New Roman"/>
          <w:sz w:val="24"/>
          <w:lang w:val="en-GB"/>
        </w:rPr>
      </w:pPr>
      <w:r w:rsidRPr="00B66E86">
        <w:rPr>
          <w:rFonts w:ascii="Times New Roman" w:hAnsi="Times New Roman" w:cs="Times New Roman"/>
          <w:sz w:val="24"/>
          <w:lang w:val="en-GB"/>
        </w:rPr>
        <w:t xml:space="preserve">16. </w:t>
      </w:r>
      <w:r w:rsidRPr="00B66E86">
        <w:rPr>
          <w:rFonts w:ascii="Times New Roman" w:hAnsi="Times New Roman" w:cs="Times New Roman"/>
          <w:sz w:val="24"/>
          <w:lang w:val="en-GB"/>
        </w:rPr>
        <w:tab/>
        <w:t xml:space="preserve">Kang HJ, Kawasawa YI, Cheng F, Zhu Y, Xu X, Li M, et al. Spatio-temporal transcriptome of the human brain. Nature. 2011 Oct 26;478(7370):483–9. </w:t>
      </w:r>
    </w:p>
    <w:p w14:paraId="43C13A96" w14:textId="77777777" w:rsidR="007549F2" w:rsidRPr="007549F2" w:rsidRDefault="007549F2" w:rsidP="007549F2">
      <w:pPr>
        <w:pStyle w:val="Bibliography"/>
        <w:rPr>
          <w:rFonts w:ascii="Times New Roman" w:hAnsi="Times New Roman" w:cs="Times New Roman"/>
          <w:sz w:val="24"/>
        </w:rPr>
      </w:pPr>
      <w:r w:rsidRPr="00B66E86">
        <w:rPr>
          <w:rFonts w:ascii="Times New Roman" w:hAnsi="Times New Roman" w:cs="Times New Roman"/>
          <w:sz w:val="24"/>
          <w:lang w:val="en-GB"/>
        </w:rPr>
        <w:t xml:space="preserve">17. </w:t>
      </w:r>
      <w:r w:rsidRPr="00B66E86">
        <w:rPr>
          <w:rFonts w:ascii="Times New Roman" w:hAnsi="Times New Roman" w:cs="Times New Roman"/>
          <w:sz w:val="24"/>
          <w:lang w:val="en-GB"/>
        </w:rPr>
        <w:tab/>
        <w:t xml:space="preserve">Kamburov A, Stelzl U, Lehrach H, Herwig R. The ConsensusPathDB interaction database: 2013 update. </w:t>
      </w:r>
      <w:r w:rsidRPr="007549F2">
        <w:rPr>
          <w:rFonts w:ascii="Times New Roman" w:hAnsi="Times New Roman" w:cs="Times New Roman"/>
          <w:sz w:val="24"/>
        </w:rPr>
        <w:t xml:space="preserve">Nucleic Acids Res. 2013 Jan;41(Database issue):D793-800. </w:t>
      </w:r>
    </w:p>
    <w:p w14:paraId="544BAB7C" w14:textId="56BE933D" w:rsidR="00F2697F" w:rsidRPr="001D3829" w:rsidRDefault="00F2697F" w:rsidP="00F2697F">
      <w:pPr>
        <w:rPr>
          <w:rFonts w:asciiTheme="majorBidi" w:hAnsiTheme="majorBidi" w:cstheme="majorBidi"/>
          <w:sz w:val="24"/>
          <w:szCs w:val="24"/>
          <w:lang w:val="en-US"/>
        </w:rPr>
      </w:pPr>
      <w:r>
        <w:rPr>
          <w:rFonts w:asciiTheme="majorBidi" w:hAnsiTheme="majorBidi" w:cstheme="majorBidi"/>
          <w:sz w:val="24"/>
          <w:szCs w:val="24"/>
          <w:lang w:val="en-US"/>
        </w:rPr>
        <w:fldChar w:fldCharType="end"/>
      </w:r>
    </w:p>
    <w:sectPr w:rsidR="00F2697F" w:rsidRPr="001D3829">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3C246" w14:textId="77777777" w:rsidR="00E834C7" w:rsidRDefault="00E834C7" w:rsidP="006A5667">
      <w:pPr>
        <w:spacing w:after="0" w:line="240" w:lineRule="auto"/>
      </w:pPr>
      <w:r>
        <w:separator/>
      </w:r>
    </w:p>
  </w:endnote>
  <w:endnote w:type="continuationSeparator" w:id="0">
    <w:p w14:paraId="3664CB22" w14:textId="77777777" w:rsidR="00E834C7" w:rsidRDefault="00E834C7" w:rsidP="006A5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214249"/>
      <w:docPartObj>
        <w:docPartGallery w:val="Page Numbers (Bottom of Page)"/>
        <w:docPartUnique/>
      </w:docPartObj>
    </w:sdtPr>
    <w:sdtContent>
      <w:p w14:paraId="797C66A6" w14:textId="6B47E11B" w:rsidR="006A5667" w:rsidRDefault="006A5667">
        <w:pPr>
          <w:pStyle w:val="Footer"/>
          <w:jc w:val="right"/>
        </w:pPr>
        <w:r w:rsidRPr="00761D25">
          <w:rPr>
            <w:rFonts w:asciiTheme="majorBidi" w:hAnsiTheme="majorBidi" w:cstheme="majorBidi"/>
          </w:rPr>
          <w:fldChar w:fldCharType="begin"/>
        </w:r>
        <w:r w:rsidRPr="00761D25">
          <w:rPr>
            <w:rFonts w:asciiTheme="majorBidi" w:hAnsiTheme="majorBidi" w:cstheme="majorBidi"/>
          </w:rPr>
          <w:instrText>PAGE   \* MERGEFORMAT</w:instrText>
        </w:r>
        <w:r w:rsidRPr="00761D25">
          <w:rPr>
            <w:rFonts w:asciiTheme="majorBidi" w:hAnsiTheme="majorBidi" w:cstheme="majorBidi"/>
          </w:rPr>
          <w:fldChar w:fldCharType="separate"/>
        </w:r>
        <w:r w:rsidR="00ED6251" w:rsidRPr="00761D25">
          <w:rPr>
            <w:rFonts w:asciiTheme="majorBidi" w:hAnsiTheme="majorBidi" w:cstheme="majorBidi"/>
            <w:noProof/>
          </w:rPr>
          <w:t>1</w:t>
        </w:r>
        <w:r w:rsidRPr="00761D25">
          <w:rPr>
            <w:rFonts w:asciiTheme="majorBidi" w:hAnsiTheme="majorBidi" w:cstheme="majorBidi"/>
          </w:rPr>
          <w:fldChar w:fldCharType="end"/>
        </w:r>
      </w:p>
    </w:sdtContent>
  </w:sdt>
  <w:p w14:paraId="4A808BDA" w14:textId="77777777" w:rsidR="006A5667" w:rsidRDefault="006A5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95E94" w14:textId="77777777" w:rsidR="00E834C7" w:rsidRDefault="00E834C7" w:rsidP="006A5667">
      <w:pPr>
        <w:spacing w:after="0" w:line="240" w:lineRule="auto"/>
      </w:pPr>
      <w:r>
        <w:separator/>
      </w:r>
    </w:p>
  </w:footnote>
  <w:footnote w:type="continuationSeparator" w:id="0">
    <w:p w14:paraId="3BE03BAC" w14:textId="77777777" w:rsidR="00E834C7" w:rsidRDefault="00E834C7" w:rsidP="006A5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A08D1" w14:textId="58A420D0" w:rsidR="006A5667" w:rsidRPr="00DE057F" w:rsidRDefault="00DE057F" w:rsidP="00DE057F">
    <w:pPr>
      <w:pStyle w:val="Header"/>
      <w:jc w:val="right"/>
      <w:rPr>
        <w:rFonts w:asciiTheme="majorBidi" w:hAnsiTheme="majorBidi" w:cstheme="majorBidi"/>
        <w:sz w:val="24"/>
        <w:szCs w:val="24"/>
        <w:lang w:val="en-US"/>
      </w:rPr>
    </w:pPr>
    <w:r w:rsidRPr="00DE057F">
      <w:rPr>
        <w:rFonts w:asciiTheme="majorBidi" w:hAnsiTheme="majorBidi" w:cstheme="majorBidi"/>
        <w:sz w:val="24"/>
        <w:szCs w:val="24"/>
        <w:lang w:val="en-US"/>
      </w:rPr>
      <w:t xml:space="preserve">Supplementary </w:t>
    </w:r>
    <w:r w:rsidR="00990B05">
      <w:rPr>
        <w:rFonts w:asciiTheme="majorBidi" w:hAnsiTheme="majorBidi" w:cstheme="majorBidi"/>
        <w:sz w:val="24"/>
        <w:szCs w:val="24"/>
        <w:lang w:val="en-US"/>
      </w:rPr>
      <w:t>information</w:t>
    </w:r>
  </w:p>
  <w:p w14:paraId="1CBE237C" w14:textId="77777777" w:rsidR="006A5667" w:rsidRDefault="006A56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244"/>
    <w:rsid w:val="000028B9"/>
    <w:rsid w:val="000028EA"/>
    <w:rsid w:val="00011504"/>
    <w:rsid w:val="00026DFC"/>
    <w:rsid w:val="00052315"/>
    <w:rsid w:val="00056020"/>
    <w:rsid w:val="00057926"/>
    <w:rsid w:val="0008497A"/>
    <w:rsid w:val="00086FEA"/>
    <w:rsid w:val="000B37C6"/>
    <w:rsid w:val="000B3FA8"/>
    <w:rsid w:val="000B637C"/>
    <w:rsid w:val="000E11AE"/>
    <w:rsid w:val="000E3E2F"/>
    <w:rsid w:val="001007BB"/>
    <w:rsid w:val="00113371"/>
    <w:rsid w:val="00137EC2"/>
    <w:rsid w:val="00175464"/>
    <w:rsid w:val="00175D49"/>
    <w:rsid w:val="001864D7"/>
    <w:rsid w:val="001B6C4D"/>
    <w:rsid w:val="001B7A24"/>
    <w:rsid w:val="001D3829"/>
    <w:rsid w:val="001D5436"/>
    <w:rsid w:val="0021342E"/>
    <w:rsid w:val="002139D0"/>
    <w:rsid w:val="00226249"/>
    <w:rsid w:val="00246AFE"/>
    <w:rsid w:val="00257131"/>
    <w:rsid w:val="002649DC"/>
    <w:rsid w:val="00291E65"/>
    <w:rsid w:val="002B1BC6"/>
    <w:rsid w:val="002D1A85"/>
    <w:rsid w:val="00315496"/>
    <w:rsid w:val="00351FCE"/>
    <w:rsid w:val="00365A13"/>
    <w:rsid w:val="00397C18"/>
    <w:rsid w:val="003D653C"/>
    <w:rsid w:val="003F7455"/>
    <w:rsid w:val="00402113"/>
    <w:rsid w:val="00435E60"/>
    <w:rsid w:val="00437E9B"/>
    <w:rsid w:val="00454182"/>
    <w:rsid w:val="0045490A"/>
    <w:rsid w:val="00466434"/>
    <w:rsid w:val="004900FB"/>
    <w:rsid w:val="00490244"/>
    <w:rsid w:val="004B4589"/>
    <w:rsid w:val="004E780D"/>
    <w:rsid w:val="00517BAB"/>
    <w:rsid w:val="005266C4"/>
    <w:rsid w:val="005347E8"/>
    <w:rsid w:val="00540FB9"/>
    <w:rsid w:val="005A0134"/>
    <w:rsid w:val="005D3CBD"/>
    <w:rsid w:val="005D7A07"/>
    <w:rsid w:val="005F38F7"/>
    <w:rsid w:val="00620B87"/>
    <w:rsid w:val="006A5154"/>
    <w:rsid w:val="006A5667"/>
    <w:rsid w:val="006D108B"/>
    <w:rsid w:val="00746F93"/>
    <w:rsid w:val="007549F2"/>
    <w:rsid w:val="00761D25"/>
    <w:rsid w:val="007A2239"/>
    <w:rsid w:val="007A6C05"/>
    <w:rsid w:val="007C07D8"/>
    <w:rsid w:val="007D3308"/>
    <w:rsid w:val="007F037E"/>
    <w:rsid w:val="007F2013"/>
    <w:rsid w:val="007F428A"/>
    <w:rsid w:val="00803C9B"/>
    <w:rsid w:val="00816EC0"/>
    <w:rsid w:val="00836204"/>
    <w:rsid w:val="00891F61"/>
    <w:rsid w:val="008B1F0F"/>
    <w:rsid w:val="008E4122"/>
    <w:rsid w:val="009364B0"/>
    <w:rsid w:val="00961F86"/>
    <w:rsid w:val="00962247"/>
    <w:rsid w:val="009658CD"/>
    <w:rsid w:val="009673B9"/>
    <w:rsid w:val="009902EC"/>
    <w:rsid w:val="00990B05"/>
    <w:rsid w:val="009954AF"/>
    <w:rsid w:val="009965E0"/>
    <w:rsid w:val="00997865"/>
    <w:rsid w:val="009B1938"/>
    <w:rsid w:val="009B450E"/>
    <w:rsid w:val="009C3127"/>
    <w:rsid w:val="009D6BF3"/>
    <w:rsid w:val="009D7647"/>
    <w:rsid w:val="009F3C17"/>
    <w:rsid w:val="009F51A2"/>
    <w:rsid w:val="00A770AF"/>
    <w:rsid w:val="00A9512E"/>
    <w:rsid w:val="00A97BE8"/>
    <w:rsid w:val="00AB61EC"/>
    <w:rsid w:val="00AC54A9"/>
    <w:rsid w:val="00B0261D"/>
    <w:rsid w:val="00B66E86"/>
    <w:rsid w:val="00B810C3"/>
    <w:rsid w:val="00B90A3B"/>
    <w:rsid w:val="00BA1807"/>
    <w:rsid w:val="00BB3DE8"/>
    <w:rsid w:val="00BE3CC3"/>
    <w:rsid w:val="00C4677A"/>
    <w:rsid w:val="00C473A3"/>
    <w:rsid w:val="00C60CE1"/>
    <w:rsid w:val="00C80E40"/>
    <w:rsid w:val="00C84A32"/>
    <w:rsid w:val="00C8734E"/>
    <w:rsid w:val="00CB571D"/>
    <w:rsid w:val="00D16DBE"/>
    <w:rsid w:val="00D32B52"/>
    <w:rsid w:val="00D617D5"/>
    <w:rsid w:val="00D677BA"/>
    <w:rsid w:val="00DB462F"/>
    <w:rsid w:val="00DC5937"/>
    <w:rsid w:val="00DD293E"/>
    <w:rsid w:val="00DE057F"/>
    <w:rsid w:val="00E0179D"/>
    <w:rsid w:val="00E1682D"/>
    <w:rsid w:val="00E23610"/>
    <w:rsid w:val="00E34B30"/>
    <w:rsid w:val="00E43C4A"/>
    <w:rsid w:val="00E51C81"/>
    <w:rsid w:val="00E54398"/>
    <w:rsid w:val="00E711CE"/>
    <w:rsid w:val="00E834C7"/>
    <w:rsid w:val="00EA2B0A"/>
    <w:rsid w:val="00EB65B9"/>
    <w:rsid w:val="00EC08A3"/>
    <w:rsid w:val="00ED6251"/>
    <w:rsid w:val="00F05E80"/>
    <w:rsid w:val="00F24697"/>
    <w:rsid w:val="00F24AD4"/>
    <w:rsid w:val="00F2697F"/>
    <w:rsid w:val="00F43C75"/>
    <w:rsid w:val="00F454C0"/>
    <w:rsid w:val="00F62B81"/>
    <w:rsid w:val="00F74B47"/>
    <w:rsid w:val="00F81C4E"/>
    <w:rsid w:val="00FC2E5C"/>
    <w:rsid w:val="00FC4DA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36C08"/>
  <w15:docId w15:val="{81E42468-54B2-41A0-B861-7C10413B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0F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FB9"/>
    <w:rPr>
      <w:rFonts w:ascii="Segoe UI" w:hAnsi="Segoe UI" w:cs="Segoe UI"/>
      <w:sz w:val="18"/>
      <w:szCs w:val="18"/>
    </w:rPr>
  </w:style>
  <w:style w:type="paragraph" w:styleId="Header">
    <w:name w:val="header"/>
    <w:basedOn w:val="Normal"/>
    <w:link w:val="HeaderChar"/>
    <w:uiPriority w:val="99"/>
    <w:unhideWhenUsed/>
    <w:rsid w:val="006A56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6A5667"/>
  </w:style>
  <w:style w:type="paragraph" w:styleId="Footer">
    <w:name w:val="footer"/>
    <w:basedOn w:val="Normal"/>
    <w:link w:val="FooterChar"/>
    <w:uiPriority w:val="99"/>
    <w:unhideWhenUsed/>
    <w:rsid w:val="006A56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6A5667"/>
  </w:style>
  <w:style w:type="paragraph" w:styleId="Bibliography">
    <w:name w:val="Bibliography"/>
    <w:basedOn w:val="Normal"/>
    <w:next w:val="Normal"/>
    <w:uiPriority w:val="37"/>
    <w:unhideWhenUsed/>
    <w:rsid w:val="00F2697F"/>
    <w:pPr>
      <w:tabs>
        <w:tab w:val="left" w:pos="384"/>
      </w:tabs>
      <w:spacing w:after="240" w:line="240" w:lineRule="auto"/>
      <w:ind w:left="384" w:hanging="384"/>
    </w:pPr>
  </w:style>
  <w:style w:type="character" w:styleId="CommentReference">
    <w:name w:val="annotation reference"/>
    <w:basedOn w:val="DefaultParagraphFont"/>
    <w:uiPriority w:val="99"/>
    <w:semiHidden/>
    <w:unhideWhenUsed/>
    <w:rsid w:val="00EB65B9"/>
    <w:rPr>
      <w:sz w:val="16"/>
      <w:szCs w:val="16"/>
    </w:rPr>
  </w:style>
  <w:style w:type="paragraph" w:styleId="CommentText">
    <w:name w:val="annotation text"/>
    <w:basedOn w:val="Normal"/>
    <w:link w:val="CommentTextChar"/>
    <w:uiPriority w:val="99"/>
    <w:semiHidden/>
    <w:unhideWhenUsed/>
    <w:rsid w:val="00EB65B9"/>
    <w:pPr>
      <w:spacing w:line="240" w:lineRule="auto"/>
    </w:pPr>
    <w:rPr>
      <w:sz w:val="20"/>
      <w:szCs w:val="20"/>
    </w:rPr>
  </w:style>
  <w:style w:type="character" w:customStyle="1" w:styleId="CommentTextChar">
    <w:name w:val="Comment Text Char"/>
    <w:basedOn w:val="DefaultParagraphFont"/>
    <w:link w:val="CommentText"/>
    <w:uiPriority w:val="99"/>
    <w:semiHidden/>
    <w:rsid w:val="00EB65B9"/>
    <w:rPr>
      <w:sz w:val="20"/>
      <w:szCs w:val="20"/>
    </w:rPr>
  </w:style>
  <w:style w:type="paragraph" w:styleId="CommentSubject">
    <w:name w:val="annotation subject"/>
    <w:basedOn w:val="CommentText"/>
    <w:next w:val="CommentText"/>
    <w:link w:val="CommentSubjectChar"/>
    <w:uiPriority w:val="99"/>
    <w:semiHidden/>
    <w:unhideWhenUsed/>
    <w:rsid w:val="00EB65B9"/>
    <w:rPr>
      <w:b/>
      <w:bCs/>
    </w:rPr>
  </w:style>
  <w:style w:type="character" w:customStyle="1" w:styleId="CommentSubjectChar">
    <w:name w:val="Comment Subject Char"/>
    <w:basedOn w:val="CommentTextChar"/>
    <w:link w:val="CommentSubject"/>
    <w:uiPriority w:val="99"/>
    <w:semiHidden/>
    <w:rsid w:val="00EB65B9"/>
    <w:rPr>
      <w:b/>
      <w:bCs/>
      <w:sz w:val="20"/>
      <w:szCs w:val="20"/>
    </w:rPr>
  </w:style>
  <w:style w:type="paragraph" w:styleId="Revision">
    <w:name w:val="Revision"/>
    <w:hidden/>
    <w:uiPriority w:val="99"/>
    <w:semiHidden/>
    <w:rsid w:val="00011504"/>
    <w:pPr>
      <w:spacing w:after="0" w:line="240" w:lineRule="auto"/>
    </w:pPr>
  </w:style>
  <w:style w:type="paragraph" w:styleId="NoSpacing">
    <w:name w:val="No Spacing"/>
    <w:uiPriority w:val="1"/>
    <w:qFormat/>
    <w:rsid w:val="009B1938"/>
    <w:pPr>
      <w:spacing w:after="80" w:line="240" w:lineRule="auto"/>
      <w:jc w:val="both"/>
    </w:pPr>
    <w:rPr>
      <w:rFonts w:ascii="Times New Roman" w:eastAsia="Arial" w:hAnsi="Times New Roman" w:cs="Arial"/>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16399</Words>
  <Characters>93476</Characters>
  <Application>Microsoft Office Word</Application>
  <DocSecurity>0</DocSecurity>
  <Lines>778</Lines>
  <Paragraphs>219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Bang, Lasse</dc:creator>
  <cp:keywords/>
  <dc:description/>
  <cp:lastModifiedBy>Shahram Bahrami</cp:lastModifiedBy>
  <cp:revision>11</cp:revision>
  <dcterms:created xsi:type="dcterms:W3CDTF">2022-05-20T14:44:00Z</dcterms:created>
  <dcterms:modified xsi:type="dcterms:W3CDTF">2023-08-10T07:36:00Z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id="WudqW8IJ"/&gt;&lt;style id="http://www.zotero.org/styles/vancouver" locale="en-US" hasBibliography="1" bibliographyStyleHasBeenSet="1"/&gt;&lt;prefs&gt;&lt;pref name="fieldType" value="Field"/&gt;&lt;pref name="automa</vt:lpwstr>
  </property>
  <property fmtid="{D5CDD505-2E9C-101B-9397-08002B2CF9AE}" pid="3" name="ZOTERO_PREF_2">
    <vt:lpwstr>ticJournalAbbreviations" value="true"/&gt;&lt;/prefs&gt;&lt;/data&gt;</vt:lpwstr>
  </property>
</Properties>
</file>