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FAD22" w14:textId="77777777" w:rsidR="006A0E9C" w:rsidRPr="00A94227" w:rsidRDefault="006A0E9C" w:rsidP="006A0E9C">
      <w:pPr>
        <w:spacing w:line="240" w:lineRule="auto"/>
        <w:jc w:val="both"/>
        <w:rPr>
          <w:rFonts w:ascii="Calibri" w:eastAsia="Calibri" w:hAnsi="Calibri" w:cs="Calibri"/>
        </w:rPr>
      </w:pPr>
      <w:r w:rsidRPr="00A94227">
        <w:rPr>
          <w:rFonts w:ascii="Calibri" w:eastAsia="Calibri" w:hAnsi="Calibri" w:cs="Calibri"/>
          <w:b/>
        </w:rPr>
        <w:t>Supplementary material</w:t>
      </w:r>
    </w:p>
    <w:p w14:paraId="2451C786" w14:textId="77777777" w:rsidR="006A0E9C" w:rsidRPr="00A94227" w:rsidRDefault="006A0E9C" w:rsidP="006A0E9C">
      <w:pPr>
        <w:jc w:val="both"/>
        <w:rPr>
          <w:rFonts w:ascii="Calibri" w:eastAsia="Calibri" w:hAnsi="Calibri" w:cs="Calibri"/>
        </w:rPr>
      </w:pPr>
      <w:r w:rsidRPr="00A94227">
        <w:rPr>
          <w:rFonts w:ascii="Calibri" w:eastAsia="Calibri" w:hAnsi="Calibri" w:cs="Calibri"/>
        </w:rPr>
        <w:t>ECT: In the 20 ECT patients who exhibited theta oscillations both pre- and post-ECT, the regression to predict theta band power was overall significant (R</w:t>
      </w:r>
      <w:r w:rsidRPr="00A94227">
        <w:rPr>
          <w:rFonts w:ascii="Calibri" w:eastAsia="Calibri" w:hAnsi="Calibri" w:cs="Calibri"/>
          <w:vertAlign w:val="superscript"/>
        </w:rPr>
        <w:t>2</w:t>
      </w:r>
      <w:r w:rsidRPr="00A94227">
        <w:rPr>
          <w:rFonts w:ascii="Calibri" w:eastAsia="Calibri" w:hAnsi="Calibri" w:cs="Calibri"/>
          <w:vertAlign w:val="subscript"/>
        </w:rPr>
        <w:t>adj</w:t>
      </w:r>
      <w:r w:rsidRPr="00A94227">
        <w:rPr>
          <w:rFonts w:ascii="Calibri" w:eastAsia="Calibri" w:hAnsi="Calibri" w:cs="Calibri"/>
        </w:rPr>
        <w:t xml:space="preserve"> = 0.74, </w:t>
      </w:r>
      <w:proofErr w:type="gramStart"/>
      <w:r w:rsidRPr="00A94227">
        <w:rPr>
          <w:rFonts w:ascii="Calibri" w:eastAsia="Calibri" w:hAnsi="Calibri" w:cs="Calibri"/>
        </w:rPr>
        <w:t>F(</w:t>
      </w:r>
      <w:proofErr w:type="gramEnd"/>
      <w:r w:rsidRPr="00A94227">
        <w:rPr>
          <w:rFonts w:ascii="Calibri" w:eastAsia="Calibri" w:hAnsi="Calibri" w:cs="Calibri"/>
        </w:rPr>
        <w:t>3, 16) = 18.90, p = 1.64 x 10</w:t>
      </w:r>
      <w:r w:rsidRPr="00A94227">
        <w:rPr>
          <w:rFonts w:ascii="Calibri" w:eastAsia="Calibri" w:hAnsi="Calibri" w:cs="Calibri"/>
          <w:vertAlign w:val="superscript"/>
        </w:rPr>
        <w:t>-5</w:t>
      </w:r>
      <w:r w:rsidRPr="00A94227">
        <w:rPr>
          <w:rFonts w:ascii="Calibri" w:eastAsia="Calibri" w:hAnsi="Calibri" w:cs="Calibri"/>
        </w:rPr>
        <w:t xml:space="preserve">). An increase in aperiodic exponent does not predict theta band power </w:t>
      </w:r>
      <w:r w:rsidRPr="00A94227">
        <w:rPr>
          <w:rFonts w:ascii="Calibri" w:hAnsi="Calibri" w:cs="Calibri"/>
          <w:color w:val="000000"/>
        </w:rPr>
        <w:t>(</w:t>
      </w:r>
      <w:r w:rsidRPr="00A94227">
        <w:rPr>
          <w:rFonts w:ascii="Calibri" w:hAnsi="Calibri" w:cs="Calibri"/>
          <w:color w:val="000000"/>
          <w:shd w:val="clear" w:color="auto" w:fill="FFFFFF"/>
        </w:rPr>
        <w:t>β</w:t>
      </w:r>
      <w:r w:rsidRPr="00A94227">
        <w:rPr>
          <w:rFonts w:ascii="Calibri" w:hAnsi="Calibri" w:cs="Calibri"/>
          <w:color w:val="000000"/>
        </w:rPr>
        <w:t xml:space="preserve"> = 0.25,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</w:t>
      </w:r>
      <w:r>
        <w:rPr>
          <w:rFonts w:ascii="Calibri" w:eastAsia="Calibri" w:hAnsi="Calibri" w:cs="Calibri"/>
        </w:rPr>
        <w:t>2.50</w:t>
      </w:r>
      <w:r w:rsidRPr="00BA2CC4">
        <w:rPr>
          <w:rFonts w:ascii="Calibri" w:eastAsia="Calibri" w:hAnsi="Calibri" w:cs="Calibri"/>
        </w:rPr>
        <w:t xml:space="preserve"> x 10</w:t>
      </w:r>
      <w:r w:rsidRPr="00BA2CC4">
        <w:rPr>
          <w:rFonts w:ascii="Calibri" w:eastAsia="Calibri" w:hAnsi="Calibri" w:cs="Calibri"/>
          <w:vertAlign w:val="superscript"/>
        </w:rPr>
        <w:t>-2</w:t>
      </w:r>
      <w:r>
        <w:rPr>
          <w:rFonts w:ascii="Calibri" w:eastAsia="Calibri" w:hAnsi="Calibri" w:cs="Calibri"/>
        </w:rPr>
        <w:t>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hAnsi="Calibri" w:cs="Calibri"/>
          <w:color w:val="000000"/>
        </w:rPr>
        <w:t>p = 0.06, 95% CI[-0.01, 0.52])</w:t>
      </w:r>
      <w:r w:rsidRPr="00A94227">
        <w:rPr>
          <w:rFonts w:ascii="Calibri" w:eastAsia="Calibri" w:hAnsi="Calibri" w:cs="Calibri"/>
        </w:rPr>
        <w:t xml:space="preserve">, nor does theta abundance </w:t>
      </w:r>
      <w:r w:rsidRPr="00A94227">
        <w:rPr>
          <w:rFonts w:ascii="Calibri" w:hAnsi="Calibri" w:cs="Calibri"/>
          <w:color w:val="000000"/>
        </w:rPr>
        <w:t>(</w:t>
      </w:r>
      <w:r w:rsidRPr="00A94227">
        <w:rPr>
          <w:rFonts w:ascii="Calibri" w:hAnsi="Calibri" w:cs="Calibri"/>
          <w:color w:val="000000"/>
          <w:shd w:val="clear" w:color="auto" w:fill="FFFFFF"/>
        </w:rPr>
        <w:t>β</w:t>
      </w:r>
      <w:r w:rsidRPr="00A94227">
        <w:rPr>
          <w:rFonts w:ascii="Calibri" w:hAnsi="Calibri" w:cs="Calibri"/>
          <w:color w:val="000000"/>
        </w:rPr>
        <w:t xml:space="preserve"> = -0.01,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</w:t>
      </w:r>
      <w:r>
        <w:rPr>
          <w:rFonts w:ascii="Calibri" w:eastAsia="Calibri" w:hAnsi="Calibri" w:cs="Calibri"/>
        </w:rPr>
        <w:t>0.05,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hAnsi="Calibri" w:cs="Calibri"/>
          <w:color w:val="000000"/>
        </w:rPr>
        <w:t>p = 0.96, 95% CI[-0.27, 0.25])</w:t>
      </w:r>
      <w:r w:rsidRPr="00A94227">
        <w:rPr>
          <w:rFonts w:ascii="Calibri" w:eastAsia="Calibri" w:hAnsi="Calibri" w:cs="Calibri"/>
        </w:rPr>
        <w:t xml:space="preserve">, but theta oscillation power was significantly related to theta band power (β= 0.77,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1.67 x 10</w:t>
      </w:r>
      <w:r w:rsidRPr="00BA2CC4">
        <w:rPr>
          <w:rFonts w:ascii="Calibri" w:eastAsia="Calibri" w:hAnsi="Calibri" w:cs="Calibri"/>
          <w:vertAlign w:val="superscript"/>
        </w:rPr>
        <w:t>-2</w:t>
      </w:r>
      <w:r>
        <w:rPr>
          <w:rFonts w:ascii="Calibri" w:eastAsia="Calibri" w:hAnsi="Calibri" w:cs="Calibri"/>
        </w:rPr>
        <w:t>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eastAsia="Calibri" w:hAnsi="Calibri" w:cs="Calibri"/>
        </w:rPr>
        <w:t>p = 1.80 x 10</w:t>
      </w:r>
      <w:r w:rsidRPr="00A94227">
        <w:rPr>
          <w:rFonts w:ascii="Calibri" w:eastAsia="Calibri" w:hAnsi="Calibri" w:cs="Calibri"/>
          <w:vertAlign w:val="superscript"/>
        </w:rPr>
        <w:t>-5</w:t>
      </w:r>
      <w:r w:rsidRPr="00A94227">
        <w:rPr>
          <w:rFonts w:ascii="Calibri" w:eastAsia="Calibri" w:hAnsi="Calibri" w:cs="Calibri"/>
        </w:rPr>
        <w:t>, 95% CI[0.50, 1.05]). All 22 patients exhibited alpha oscillations both pre- and post-ECT, and the overall regression to predict alpha band power was significant (R</w:t>
      </w:r>
      <w:r w:rsidRPr="00A94227">
        <w:rPr>
          <w:rFonts w:ascii="Calibri" w:eastAsia="Calibri" w:hAnsi="Calibri" w:cs="Calibri"/>
          <w:vertAlign w:val="superscript"/>
        </w:rPr>
        <w:t>2</w:t>
      </w:r>
      <w:r w:rsidRPr="00A94227">
        <w:rPr>
          <w:rFonts w:ascii="Calibri" w:eastAsia="Calibri" w:hAnsi="Calibri" w:cs="Calibri"/>
          <w:vertAlign w:val="subscript"/>
        </w:rPr>
        <w:t>adj</w:t>
      </w:r>
      <w:r w:rsidRPr="00A94227">
        <w:rPr>
          <w:rFonts w:ascii="Calibri" w:eastAsia="Calibri" w:hAnsi="Calibri" w:cs="Calibri"/>
        </w:rPr>
        <w:t xml:space="preserve"> = 0.50, </w:t>
      </w:r>
      <w:proofErr w:type="gramStart"/>
      <w:r w:rsidRPr="00A94227">
        <w:rPr>
          <w:rFonts w:ascii="Calibri" w:eastAsia="Calibri" w:hAnsi="Calibri" w:cs="Calibri"/>
        </w:rPr>
        <w:t>F(</w:t>
      </w:r>
      <w:proofErr w:type="gramEnd"/>
      <w:r w:rsidRPr="00A94227">
        <w:rPr>
          <w:rFonts w:ascii="Calibri" w:eastAsia="Calibri" w:hAnsi="Calibri" w:cs="Calibri"/>
        </w:rPr>
        <w:t>3, 18) = 7.89, p = 1.44 x 10</w:t>
      </w:r>
      <w:r w:rsidRPr="00A94227">
        <w:rPr>
          <w:rFonts w:ascii="Calibri" w:eastAsia="Calibri" w:hAnsi="Calibri" w:cs="Calibri"/>
          <w:vertAlign w:val="superscript"/>
        </w:rPr>
        <w:t>-3</w:t>
      </w:r>
      <w:r w:rsidRPr="00A94227">
        <w:rPr>
          <w:rFonts w:ascii="Calibri" w:eastAsia="Calibri" w:hAnsi="Calibri" w:cs="Calibri"/>
        </w:rPr>
        <w:t xml:space="preserve">). Alpha band power is significantly related to alpha aperiodic adjusted power </w:t>
      </w:r>
      <w:r w:rsidRPr="00A94227">
        <w:rPr>
          <w:rFonts w:ascii="Calibri" w:hAnsi="Calibri" w:cs="Calibri"/>
          <w:color w:val="000000"/>
        </w:rPr>
        <w:t>(</w:t>
      </w:r>
      <w:r w:rsidRPr="00A94227">
        <w:rPr>
          <w:rFonts w:ascii="Calibri" w:hAnsi="Calibri" w:cs="Calibri"/>
          <w:color w:val="000000"/>
          <w:shd w:val="clear" w:color="auto" w:fill="FFFFFF"/>
        </w:rPr>
        <w:t>β</w:t>
      </w:r>
      <w:r w:rsidRPr="00A94227">
        <w:rPr>
          <w:rFonts w:ascii="Calibri" w:hAnsi="Calibri" w:cs="Calibri"/>
          <w:color w:val="000000"/>
        </w:rPr>
        <w:t xml:space="preserve"> = 0.65,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1.67 x 10</w:t>
      </w:r>
      <w:r w:rsidRPr="00BA2CC4">
        <w:rPr>
          <w:rFonts w:ascii="Calibri" w:eastAsia="Calibri" w:hAnsi="Calibri" w:cs="Calibri"/>
          <w:vertAlign w:val="superscript"/>
        </w:rPr>
        <w:t>-2</w:t>
      </w:r>
      <w:r>
        <w:rPr>
          <w:rFonts w:ascii="Calibri" w:eastAsia="Calibri" w:hAnsi="Calibri" w:cs="Calibri"/>
        </w:rPr>
        <w:t>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hAnsi="Calibri" w:cs="Calibri"/>
          <w:color w:val="000000"/>
        </w:rPr>
        <w:t>p = 1.2 x 10</w:t>
      </w:r>
      <w:r w:rsidRPr="00B4785D">
        <w:rPr>
          <w:rFonts w:ascii="Calibri" w:hAnsi="Calibri" w:cs="Calibri"/>
          <w:color w:val="000000"/>
          <w:vertAlign w:val="superscript"/>
        </w:rPr>
        <w:t>-3</w:t>
      </w:r>
      <w:r w:rsidRPr="00A94227">
        <w:rPr>
          <w:rFonts w:ascii="Calibri" w:hAnsi="Calibri" w:cs="Calibri"/>
          <w:color w:val="000000"/>
        </w:rPr>
        <w:t>, 95% CI[0.29, 1.00])</w:t>
      </w:r>
      <w:r w:rsidRPr="00A94227">
        <w:rPr>
          <w:rFonts w:ascii="Calibri" w:eastAsia="Calibri" w:hAnsi="Calibri" w:cs="Calibri"/>
        </w:rPr>
        <w:t xml:space="preserve">, but not by alpha abundance </w:t>
      </w:r>
      <w:r w:rsidRPr="00A94227">
        <w:rPr>
          <w:rFonts w:ascii="Calibri" w:hAnsi="Calibri" w:cs="Calibri"/>
          <w:color w:val="000000"/>
        </w:rPr>
        <w:t>(</w:t>
      </w:r>
      <w:r w:rsidRPr="00A94227">
        <w:rPr>
          <w:rFonts w:ascii="Calibri" w:hAnsi="Calibri" w:cs="Calibri"/>
          <w:color w:val="000000"/>
          <w:shd w:val="clear" w:color="auto" w:fill="FFFFFF"/>
        </w:rPr>
        <w:t>β</w:t>
      </w:r>
      <w:r w:rsidRPr="00A94227">
        <w:rPr>
          <w:rFonts w:ascii="Calibri" w:hAnsi="Calibri" w:cs="Calibri"/>
          <w:color w:val="000000"/>
        </w:rPr>
        <w:t xml:space="preserve"> = -0.31,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</w:t>
      </w:r>
      <w:r>
        <w:rPr>
          <w:rFonts w:ascii="Calibri" w:eastAsia="Calibri" w:hAnsi="Calibri" w:cs="Calibri"/>
        </w:rPr>
        <w:t>2.50</w:t>
      </w:r>
      <w:r w:rsidRPr="00BA2CC4">
        <w:rPr>
          <w:rFonts w:ascii="Calibri" w:eastAsia="Calibri" w:hAnsi="Calibri" w:cs="Calibri"/>
        </w:rPr>
        <w:t xml:space="preserve"> x 10</w:t>
      </w:r>
      <w:r w:rsidRPr="00BA2CC4">
        <w:rPr>
          <w:rFonts w:ascii="Calibri" w:eastAsia="Calibri" w:hAnsi="Calibri" w:cs="Calibri"/>
          <w:vertAlign w:val="superscript"/>
        </w:rPr>
        <w:t>-2</w:t>
      </w:r>
      <w:r>
        <w:rPr>
          <w:rFonts w:ascii="Calibri" w:eastAsia="Calibri" w:hAnsi="Calibri" w:cs="Calibri"/>
        </w:rPr>
        <w:t>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hAnsi="Calibri" w:cs="Calibri"/>
          <w:color w:val="000000"/>
        </w:rPr>
        <w:t>p = 0.08, 95% CI[-0.66,0.04])</w:t>
      </w:r>
      <w:r w:rsidRPr="00A94227">
        <w:rPr>
          <w:rFonts w:ascii="Calibri" w:eastAsia="Calibri" w:hAnsi="Calibri" w:cs="Calibri"/>
        </w:rPr>
        <w:t xml:space="preserve">, nor a change in exponent (β = 0.16,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</w:t>
      </w:r>
      <w:r>
        <w:rPr>
          <w:rFonts w:ascii="Calibri" w:eastAsia="Calibri" w:hAnsi="Calibri" w:cs="Calibri"/>
        </w:rPr>
        <w:t>0.05,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eastAsia="Calibri" w:hAnsi="Calibri" w:cs="Calibri"/>
        </w:rPr>
        <w:t xml:space="preserve">p = 0.37, 95% CI[-0.20, 0.52]). </w:t>
      </w:r>
    </w:p>
    <w:p w14:paraId="70601A4F" w14:textId="77777777" w:rsidR="006A0E9C" w:rsidRPr="00A94227" w:rsidRDefault="006A0E9C" w:rsidP="006A0E9C">
      <w:pPr>
        <w:jc w:val="both"/>
        <w:rPr>
          <w:rFonts w:ascii="Calibri" w:eastAsia="Calibri" w:hAnsi="Calibri" w:cs="Calibri"/>
        </w:rPr>
      </w:pPr>
    </w:p>
    <w:p w14:paraId="31DE3ADB" w14:textId="77777777" w:rsidR="006A0E9C" w:rsidRPr="00A94227" w:rsidRDefault="006A0E9C" w:rsidP="006A0E9C">
      <w:pPr>
        <w:jc w:val="both"/>
        <w:rPr>
          <w:rFonts w:ascii="Calibri" w:eastAsia="Calibri" w:hAnsi="Calibri" w:cs="Calibri"/>
        </w:rPr>
      </w:pPr>
      <w:r w:rsidRPr="00A94227">
        <w:rPr>
          <w:rFonts w:ascii="Calibri" w:eastAsia="Calibri" w:hAnsi="Calibri" w:cs="Calibri"/>
        </w:rPr>
        <w:t>MST: In the 1</w:t>
      </w:r>
      <w:r>
        <w:rPr>
          <w:rFonts w:ascii="Calibri" w:eastAsia="Calibri" w:hAnsi="Calibri" w:cs="Calibri"/>
        </w:rPr>
        <w:t>8</w:t>
      </w:r>
      <w:r w:rsidRPr="00A94227">
        <w:rPr>
          <w:rFonts w:ascii="Calibri" w:eastAsia="Calibri" w:hAnsi="Calibri" w:cs="Calibri"/>
        </w:rPr>
        <w:t xml:space="preserve"> patients who exhibited theta oscillations both pre- and post-MST, the regression to predict theta band power was overall significant (R</w:t>
      </w:r>
      <w:r w:rsidRPr="00A94227">
        <w:rPr>
          <w:rFonts w:ascii="Calibri" w:eastAsia="Calibri" w:hAnsi="Calibri" w:cs="Calibri"/>
          <w:vertAlign w:val="superscript"/>
        </w:rPr>
        <w:t>2</w:t>
      </w:r>
      <w:r w:rsidRPr="00A94227">
        <w:rPr>
          <w:rFonts w:ascii="Calibri" w:eastAsia="Calibri" w:hAnsi="Calibri" w:cs="Calibri"/>
          <w:vertAlign w:val="subscript"/>
        </w:rPr>
        <w:t>adj</w:t>
      </w:r>
      <w:r w:rsidRPr="00A94227">
        <w:rPr>
          <w:rFonts w:ascii="Calibri" w:eastAsia="Calibri" w:hAnsi="Calibri" w:cs="Calibri"/>
        </w:rPr>
        <w:t xml:space="preserve"> = 0.89, </w:t>
      </w:r>
      <w:proofErr w:type="gramStart"/>
      <w:r w:rsidRPr="00A94227">
        <w:rPr>
          <w:rFonts w:ascii="Calibri" w:eastAsia="Calibri" w:hAnsi="Calibri" w:cs="Calibri"/>
        </w:rPr>
        <w:t>F(</w:t>
      </w:r>
      <w:proofErr w:type="gramEnd"/>
      <w:r w:rsidRPr="00A94227">
        <w:rPr>
          <w:rFonts w:ascii="Calibri" w:eastAsia="Calibri" w:hAnsi="Calibri" w:cs="Calibri"/>
        </w:rPr>
        <w:t>3, 14) = 47.33, p = 1.42 x 10</w:t>
      </w:r>
      <w:r w:rsidRPr="00A94227">
        <w:rPr>
          <w:rFonts w:ascii="Calibri" w:eastAsia="Calibri" w:hAnsi="Calibri" w:cs="Calibri"/>
          <w:vertAlign w:val="superscript"/>
        </w:rPr>
        <w:t>-7</w:t>
      </w:r>
      <w:r w:rsidRPr="00A94227">
        <w:rPr>
          <w:rFonts w:ascii="Calibri" w:eastAsia="Calibri" w:hAnsi="Calibri" w:cs="Calibri"/>
        </w:rPr>
        <w:t xml:space="preserve">). Theta band power was significantly related to both a change in exponent </w:t>
      </w:r>
      <w:r w:rsidRPr="00A94227">
        <w:rPr>
          <w:rFonts w:ascii="Calibri" w:hAnsi="Calibri" w:cs="Calibri"/>
          <w:color w:val="000000"/>
        </w:rPr>
        <w:t>(</w:t>
      </w:r>
      <w:r w:rsidRPr="00A94227">
        <w:rPr>
          <w:rFonts w:ascii="Calibri" w:hAnsi="Calibri" w:cs="Calibri"/>
          <w:color w:val="000000"/>
          <w:shd w:val="clear" w:color="auto" w:fill="FFFFFF"/>
        </w:rPr>
        <w:t>β</w:t>
      </w:r>
      <w:r w:rsidRPr="00A94227">
        <w:rPr>
          <w:rFonts w:ascii="Calibri" w:hAnsi="Calibri" w:cs="Calibri"/>
          <w:color w:val="000000"/>
        </w:rPr>
        <w:t xml:space="preserve"> = 0.42,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</w:t>
      </w:r>
      <w:r>
        <w:rPr>
          <w:rFonts w:ascii="Calibri" w:eastAsia="Calibri" w:hAnsi="Calibri" w:cs="Calibri"/>
        </w:rPr>
        <w:t>2.50</w:t>
      </w:r>
      <w:r w:rsidRPr="00BA2CC4">
        <w:rPr>
          <w:rFonts w:ascii="Calibri" w:eastAsia="Calibri" w:hAnsi="Calibri" w:cs="Calibri"/>
        </w:rPr>
        <w:t xml:space="preserve"> x 10</w:t>
      </w:r>
      <w:r w:rsidRPr="00BA2CC4">
        <w:rPr>
          <w:rFonts w:ascii="Calibri" w:eastAsia="Calibri" w:hAnsi="Calibri" w:cs="Calibri"/>
          <w:vertAlign w:val="superscript"/>
        </w:rPr>
        <w:t>-2</w:t>
      </w:r>
      <w:r>
        <w:rPr>
          <w:rFonts w:ascii="Calibri" w:eastAsia="Calibri" w:hAnsi="Calibri" w:cs="Calibri"/>
        </w:rPr>
        <w:t>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hAnsi="Calibri" w:cs="Calibri"/>
          <w:color w:val="000000"/>
        </w:rPr>
        <w:t>p = 1.73 x 10</w:t>
      </w:r>
      <w:r w:rsidRPr="00B4785D">
        <w:rPr>
          <w:rFonts w:ascii="Calibri" w:hAnsi="Calibri" w:cs="Calibri"/>
          <w:color w:val="000000"/>
          <w:vertAlign w:val="superscript"/>
        </w:rPr>
        <w:t>-3</w:t>
      </w:r>
      <w:r w:rsidRPr="00A94227">
        <w:rPr>
          <w:rFonts w:ascii="Calibri" w:hAnsi="Calibri" w:cs="Calibri"/>
          <w:color w:val="000000"/>
        </w:rPr>
        <w:t xml:space="preserve">, 95% </w:t>
      </w:r>
      <w:proofErr w:type="gramStart"/>
      <w:r w:rsidRPr="00A94227">
        <w:rPr>
          <w:rFonts w:ascii="Calibri" w:hAnsi="Calibri" w:cs="Calibri"/>
          <w:color w:val="000000"/>
        </w:rPr>
        <w:t>CI[</w:t>
      </w:r>
      <w:proofErr w:type="gramEnd"/>
      <w:r w:rsidRPr="00A94227">
        <w:rPr>
          <w:rFonts w:ascii="Calibri" w:hAnsi="Calibri" w:cs="Calibri"/>
          <w:color w:val="000000"/>
        </w:rPr>
        <w:t>0.19, 0.67]) and theta oscillation power (</w:t>
      </w:r>
      <w:r w:rsidRPr="00A94227">
        <w:rPr>
          <w:rFonts w:ascii="Calibri" w:hAnsi="Calibri" w:cs="Calibri"/>
          <w:color w:val="000000"/>
          <w:shd w:val="clear" w:color="auto" w:fill="FFFFFF"/>
        </w:rPr>
        <w:t xml:space="preserve">β = 0.65,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1.67 x 10</w:t>
      </w:r>
      <w:r w:rsidRPr="00BA2CC4">
        <w:rPr>
          <w:rFonts w:ascii="Calibri" w:eastAsia="Calibri" w:hAnsi="Calibri" w:cs="Calibri"/>
          <w:vertAlign w:val="superscript"/>
        </w:rPr>
        <w:t>-2</w:t>
      </w:r>
      <w:r>
        <w:rPr>
          <w:rFonts w:ascii="Calibri" w:eastAsia="Calibri" w:hAnsi="Calibri" w:cs="Calibri"/>
        </w:rPr>
        <w:t>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hAnsi="Calibri" w:cs="Calibri"/>
          <w:color w:val="000000"/>
          <w:shd w:val="clear" w:color="auto" w:fill="FFFFFF"/>
        </w:rPr>
        <w:t>p = 1.01 x 10</w:t>
      </w:r>
      <w:r w:rsidRPr="00B4785D">
        <w:rPr>
          <w:rFonts w:ascii="Calibri" w:hAnsi="Calibri" w:cs="Calibri"/>
          <w:color w:val="000000"/>
          <w:shd w:val="clear" w:color="auto" w:fill="FFFFFF"/>
          <w:vertAlign w:val="superscript"/>
        </w:rPr>
        <w:t>-4</w:t>
      </w:r>
      <w:r w:rsidRPr="00A94227">
        <w:rPr>
          <w:rFonts w:ascii="Calibri" w:hAnsi="Calibri" w:cs="Calibri"/>
          <w:color w:val="000000"/>
          <w:shd w:val="clear" w:color="auto" w:fill="FFFFFF"/>
        </w:rPr>
        <w:t>, 95% CI[0.39, 0.91])</w:t>
      </w:r>
      <w:r w:rsidRPr="00A94227">
        <w:rPr>
          <w:rFonts w:ascii="Calibri" w:eastAsia="Calibri" w:hAnsi="Calibri" w:cs="Calibri"/>
        </w:rPr>
        <w:t xml:space="preserve">. Theta abundance was not related to theta band power </w:t>
      </w:r>
      <w:r w:rsidRPr="00A94227">
        <w:rPr>
          <w:rFonts w:ascii="Calibri" w:hAnsi="Calibri" w:cs="Calibri"/>
          <w:color w:val="000000"/>
        </w:rPr>
        <w:t>(</w:t>
      </w:r>
      <w:r w:rsidRPr="00A94227">
        <w:rPr>
          <w:rFonts w:ascii="Calibri" w:hAnsi="Calibri" w:cs="Calibri"/>
          <w:color w:val="000000"/>
          <w:shd w:val="clear" w:color="auto" w:fill="FFFFFF"/>
        </w:rPr>
        <w:t>β</w:t>
      </w:r>
      <w:r w:rsidRPr="00A94227">
        <w:rPr>
          <w:rFonts w:ascii="Calibri" w:hAnsi="Calibri" w:cs="Calibri"/>
          <w:color w:val="000000"/>
        </w:rPr>
        <w:t xml:space="preserve"> = -0.11,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</w:t>
      </w:r>
      <w:r>
        <w:rPr>
          <w:rFonts w:ascii="Calibri" w:eastAsia="Calibri" w:hAnsi="Calibri" w:cs="Calibri"/>
        </w:rPr>
        <w:t>0.05,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hAnsi="Calibri" w:cs="Calibri"/>
          <w:color w:val="000000"/>
        </w:rPr>
        <w:t xml:space="preserve">p = 0.25, 95% </w:t>
      </w:r>
      <w:proofErr w:type="gramStart"/>
      <w:r w:rsidRPr="00A94227">
        <w:rPr>
          <w:rFonts w:ascii="Calibri" w:hAnsi="Calibri" w:cs="Calibri"/>
          <w:color w:val="000000"/>
        </w:rPr>
        <w:t>CI[</w:t>
      </w:r>
      <w:proofErr w:type="gramEnd"/>
      <w:r w:rsidRPr="00A94227">
        <w:rPr>
          <w:rFonts w:ascii="Calibri" w:hAnsi="Calibri" w:cs="Calibri"/>
          <w:color w:val="000000"/>
        </w:rPr>
        <w:t>-0.30, 0.09])</w:t>
      </w:r>
      <w:r w:rsidRPr="00A94227">
        <w:rPr>
          <w:rFonts w:ascii="Calibri" w:eastAsia="Calibri" w:hAnsi="Calibri" w:cs="Calibri"/>
        </w:rPr>
        <w:t>. All 22 patients exhibited alpha oscillations both pre- and post-MST, and the regression for alpha band power was overall significant (R</w:t>
      </w:r>
      <w:r w:rsidRPr="00A94227">
        <w:rPr>
          <w:rFonts w:ascii="Calibri" w:eastAsia="Calibri" w:hAnsi="Calibri" w:cs="Calibri"/>
          <w:vertAlign w:val="superscript"/>
        </w:rPr>
        <w:t>2</w:t>
      </w:r>
      <w:r w:rsidRPr="00A94227">
        <w:rPr>
          <w:rFonts w:ascii="Calibri" w:eastAsia="Calibri" w:hAnsi="Calibri" w:cs="Calibri"/>
          <w:vertAlign w:val="subscript"/>
        </w:rPr>
        <w:t>adj</w:t>
      </w:r>
      <w:r w:rsidRPr="00A94227">
        <w:rPr>
          <w:rFonts w:ascii="Calibri" w:eastAsia="Calibri" w:hAnsi="Calibri" w:cs="Calibri"/>
        </w:rPr>
        <w:t xml:space="preserve"> = 0.45, </w:t>
      </w:r>
      <w:proofErr w:type="gramStart"/>
      <w:r w:rsidRPr="00A94227">
        <w:rPr>
          <w:rFonts w:ascii="Calibri" w:eastAsia="Calibri" w:hAnsi="Calibri" w:cs="Calibri"/>
        </w:rPr>
        <w:t>F(</w:t>
      </w:r>
      <w:proofErr w:type="gramEnd"/>
      <w:r w:rsidRPr="00A94227">
        <w:rPr>
          <w:rFonts w:ascii="Calibri" w:eastAsia="Calibri" w:hAnsi="Calibri" w:cs="Calibri"/>
        </w:rPr>
        <w:t>3, 18) = 6.63, p = 3.29 x 10</w:t>
      </w:r>
      <w:r w:rsidRPr="00A94227">
        <w:rPr>
          <w:rFonts w:ascii="Calibri" w:eastAsia="Calibri" w:hAnsi="Calibri" w:cs="Calibri"/>
          <w:vertAlign w:val="superscript"/>
        </w:rPr>
        <w:t>-3</w:t>
      </w:r>
      <w:r w:rsidRPr="00A94227">
        <w:rPr>
          <w:rFonts w:ascii="Calibri" w:eastAsia="Calibri" w:hAnsi="Calibri" w:cs="Calibri"/>
        </w:rPr>
        <w:t xml:space="preserve">). Both aperiodic exponent </w:t>
      </w:r>
      <w:r w:rsidRPr="00A94227">
        <w:rPr>
          <w:rFonts w:ascii="Calibri" w:hAnsi="Calibri" w:cs="Calibri"/>
          <w:color w:val="000000"/>
        </w:rPr>
        <w:t>(</w:t>
      </w:r>
      <w:r w:rsidRPr="00A94227">
        <w:rPr>
          <w:rFonts w:ascii="Calibri" w:hAnsi="Calibri" w:cs="Calibri"/>
          <w:color w:val="000000"/>
          <w:shd w:val="clear" w:color="auto" w:fill="FFFFFF"/>
        </w:rPr>
        <w:t>β</w:t>
      </w:r>
      <w:r w:rsidRPr="00A94227">
        <w:rPr>
          <w:rFonts w:ascii="Calibri" w:hAnsi="Calibri" w:cs="Calibri"/>
          <w:color w:val="000000"/>
        </w:rPr>
        <w:t xml:space="preserve"> = 0.64,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</w:t>
      </w:r>
      <w:r>
        <w:rPr>
          <w:rFonts w:ascii="Calibri" w:eastAsia="Calibri" w:hAnsi="Calibri" w:cs="Calibri"/>
        </w:rPr>
        <w:t>2.50</w:t>
      </w:r>
      <w:r w:rsidRPr="00BA2CC4">
        <w:rPr>
          <w:rFonts w:ascii="Calibri" w:eastAsia="Calibri" w:hAnsi="Calibri" w:cs="Calibri"/>
        </w:rPr>
        <w:t xml:space="preserve"> x 10</w:t>
      </w:r>
      <w:r w:rsidRPr="00BA2CC4">
        <w:rPr>
          <w:rFonts w:ascii="Calibri" w:eastAsia="Calibri" w:hAnsi="Calibri" w:cs="Calibri"/>
          <w:vertAlign w:val="superscript"/>
        </w:rPr>
        <w:t>-2</w:t>
      </w:r>
      <w:r>
        <w:rPr>
          <w:rFonts w:ascii="Calibri" w:eastAsia="Calibri" w:hAnsi="Calibri" w:cs="Calibri"/>
        </w:rPr>
        <w:t>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hAnsi="Calibri" w:cs="Calibri"/>
          <w:color w:val="000000"/>
        </w:rPr>
        <w:t>p = 4.57 x 10</w:t>
      </w:r>
      <w:r w:rsidRPr="00B4785D">
        <w:rPr>
          <w:rFonts w:ascii="Calibri" w:hAnsi="Calibri" w:cs="Calibri"/>
          <w:color w:val="000000"/>
          <w:vertAlign w:val="superscript"/>
        </w:rPr>
        <w:t>-3</w:t>
      </w:r>
      <w:r w:rsidRPr="00A94227">
        <w:rPr>
          <w:rFonts w:ascii="Calibri" w:hAnsi="Calibri" w:cs="Calibri"/>
          <w:color w:val="000000"/>
        </w:rPr>
        <w:t>, 95% CI[0.23, 1.06])</w:t>
      </w:r>
      <w:r w:rsidRPr="00A94227">
        <w:rPr>
          <w:rFonts w:ascii="Calibri" w:eastAsia="Calibri" w:hAnsi="Calibri" w:cs="Calibri"/>
        </w:rPr>
        <w:t xml:space="preserve"> and aperiodic adjusted alpha power (β = 0.85,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1.67 x 10</w:t>
      </w:r>
      <w:r w:rsidRPr="00BA2CC4">
        <w:rPr>
          <w:rFonts w:ascii="Calibri" w:eastAsia="Calibri" w:hAnsi="Calibri" w:cs="Calibri"/>
          <w:vertAlign w:val="superscript"/>
        </w:rPr>
        <w:t>-2</w:t>
      </w:r>
      <w:r>
        <w:rPr>
          <w:rFonts w:ascii="Calibri" w:eastAsia="Calibri" w:hAnsi="Calibri" w:cs="Calibri"/>
        </w:rPr>
        <w:t>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eastAsia="Calibri" w:hAnsi="Calibri" w:cs="Calibri"/>
        </w:rPr>
        <w:t>p = 4.22 x 10</w:t>
      </w:r>
      <w:r w:rsidRPr="00A94227">
        <w:rPr>
          <w:rFonts w:ascii="Calibri" w:eastAsia="Calibri" w:hAnsi="Calibri" w:cs="Calibri"/>
          <w:vertAlign w:val="superscript"/>
        </w:rPr>
        <w:t>-4</w:t>
      </w:r>
      <w:r w:rsidRPr="00A94227">
        <w:rPr>
          <w:rFonts w:ascii="Calibri" w:eastAsia="Calibri" w:hAnsi="Calibri" w:cs="Calibri"/>
        </w:rPr>
        <w:t xml:space="preserve">, 95% CI[0.44, 1.27]) were significantly related to  alpha band power, but not alpha abundance (β = 0.06, </w:t>
      </w:r>
      <w:proofErr w:type="spellStart"/>
      <w:r w:rsidRPr="00BA2CC4">
        <w:rPr>
          <w:rFonts w:ascii="Calibri" w:eastAsia="Calibri" w:hAnsi="Calibri" w:cs="Calibri"/>
        </w:rPr>
        <w:t>ɑ</w:t>
      </w:r>
      <w:r w:rsidRPr="00BA2CC4">
        <w:rPr>
          <w:rFonts w:ascii="Calibri" w:eastAsia="Calibri" w:hAnsi="Calibri" w:cs="Calibri"/>
          <w:vertAlign w:val="subscript"/>
        </w:rPr>
        <w:t>adj</w:t>
      </w:r>
      <w:proofErr w:type="spellEnd"/>
      <w:r w:rsidRPr="00BA2CC4">
        <w:rPr>
          <w:rFonts w:ascii="Calibri" w:eastAsia="Calibri" w:hAnsi="Calibri" w:cs="Calibri"/>
        </w:rPr>
        <w:t xml:space="preserve"> = </w:t>
      </w:r>
      <w:r>
        <w:rPr>
          <w:rFonts w:ascii="Calibri" w:eastAsia="Calibri" w:hAnsi="Calibri" w:cs="Calibri"/>
        </w:rPr>
        <w:t>0.05,</w:t>
      </w:r>
      <w:r w:rsidRPr="00BA2CC4">
        <w:rPr>
          <w:rFonts w:ascii="Calibri" w:eastAsia="Calibri" w:hAnsi="Calibri" w:cs="Calibri"/>
        </w:rPr>
        <w:t xml:space="preserve"> </w:t>
      </w:r>
      <w:r w:rsidRPr="00A94227">
        <w:rPr>
          <w:rFonts w:ascii="Calibri" w:eastAsia="Calibri" w:hAnsi="Calibri" w:cs="Calibri"/>
        </w:rPr>
        <w:t>p = 0.73, 95% CI[-0.29, 0.41]).</w:t>
      </w:r>
    </w:p>
    <w:p w14:paraId="35849FE0" w14:textId="77777777" w:rsidR="006A0E9C" w:rsidRDefault="006A0E9C" w:rsidP="006A0E9C">
      <w:pPr>
        <w:jc w:val="both"/>
        <w:rPr>
          <w:rFonts w:ascii="Calibri" w:eastAsia="Calibri" w:hAnsi="Calibri" w:cs="Calibri"/>
        </w:rPr>
      </w:pPr>
    </w:p>
    <w:p w14:paraId="3BF636AE" w14:textId="77777777" w:rsidR="006A0E9C" w:rsidRDefault="006A0E9C" w:rsidP="006A0E9C">
      <w:pPr>
        <w:jc w:val="both"/>
        <w:rPr>
          <w:rFonts w:ascii="Calibri" w:eastAsia="Calibri" w:hAnsi="Calibri" w:cs="Calibri"/>
        </w:rPr>
      </w:pPr>
    </w:p>
    <w:p w14:paraId="6F9C9709" w14:textId="77777777" w:rsidR="006A0E9C" w:rsidRDefault="006A0E9C" w:rsidP="006A0E9C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noProof/>
        </w:rPr>
        <w:lastRenderedPageBreak/>
        <w:drawing>
          <wp:inline distT="114300" distB="114300" distL="114300" distR="114300" wp14:anchorId="3EE57832" wp14:editId="0440E837">
            <wp:extent cx="5943600" cy="3670300"/>
            <wp:effectExtent l="0" t="0" r="0" b="0"/>
            <wp:docPr id="5" name="image3.png" descr="A screenshot of a flow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 descr="A screenshot of a flowchart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0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5B2EB3" w14:textId="77777777" w:rsidR="006A0E9C" w:rsidRDefault="006A0E9C" w:rsidP="006A0E9C">
      <w:pPr>
        <w:jc w:val="both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Supplementary Fig. 1: CONSORT flowchart</w:t>
      </w:r>
    </w:p>
    <w:p w14:paraId="761B81BC" w14:textId="77777777" w:rsidR="006A0E9C" w:rsidRPr="003B3A02" w:rsidRDefault="006A0E9C" w:rsidP="006A0E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84CFB0A" w14:textId="77777777" w:rsidR="006A0E9C" w:rsidRPr="003B3A02" w:rsidRDefault="006A0E9C" w:rsidP="006A0E9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919357C" wp14:editId="6EBFE1F8">
            <wp:extent cx="4345497" cy="3101738"/>
            <wp:effectExtent l="0" t="0" r="0" b="0"/>
            <wp:docPr id="604440200" name="Picture 8" descr="A graph of a patient's performanc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440200" name="Picture 8" descr="A graph of a patient's performanc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3709" cy="310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77E48" w14:textId="77777777" w:rsidR="006A0E9C" w:rsidRPr="003B3A02" w:rsidRDefault="006A0E9C" w:rsidP="006A0E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DC46D38" w14:textId="77777777" w:rsidR="006A0E9C" w:rsidRPr="003B3A02" w:rsidRDefault="006A0E9C" w:rsidP="006A0E9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3A02">
        <w:rPr>
          <w:rFonts w:ascii="Calibri" w:eastAsia="Times New Roman" w:hAnsi="Calibri" w:cs="Calibri"/>
          <w:b/>
          <w:bCs/>
          <w:color w:val="000000"/>
          <w:lang w:val="en-US"/>
        </w:rPr>
        <w:t xml:space="preserve">Supplementary Fig. 2: Baseline differences in EEG aperiodic exponent of patients receiving ECT and MST. </w:t>
      </w:r>
      <w:r w:rsidRPr="003B3A02">
        <w:rPr>
          <w:rFonts w:ascii="Calibri" w:eastAsia="Times New Roman" w:hAnsi="Calibri" w:cs="Calibri"/>
          <w:color w:val="000000"/>
          <w:lang w:val="en-US"/>
        </w:rPr>
        <w:t xml:space="preserve">There is no significant difference in baseline aperiodic exponent between patients receiving either ECT or MST (ECT = 0.88 ± 0.21, MST = 0.98 ± 0.18, </w:t>
      </w:r>
      <w:proofErr w:type="gramStart"/>
      <w:r w:rsidRPr="003B3A02">
        <w:rPr>
          <w:rFonts w:ascii="Calibri" w:eastAsia="Times New Roman" w:hAnsi="Calibri" w:cs="Calibri"/>
          <w:color w:val="000000"/>
          <w:lang w:val="en-US"/>
        </w:rPr>
        <w:t>t(</w:t>
      </w:r>
      <w:proofErr w:type="gramEnd"/>
      <w:r w:rsidRPr="003B3A02">
        <w:rPr>
          <w:rFonts w:ascii="Calibri" w:eastAsia="Times New Roman" w:hAnsi="Calibri" w:cs="Calibri"/>
          <w:color w:val="000000"/>
          <w:lang w:val="en-US"/>
        </w:rPr>
        <w:t>42) = 1.71, p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=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0.094).</w:t>
      </w:r>
    </w:p>
    <w:p w14:paraId="339EC7C0" w14:textId="77777777" w:rsidR="006A0E9C" w:rsidRPr="003B3A02" w:rsidRDefault="006A0E9C" w:rsidP="006A0E9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D61D262" w14:textId="77777777" w:rsidR="006A0E9C" w:rsidRDefault="006A0E9C" w:rsidP="006A0E9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2CC51E89" wp14:editId="09C1E6CC">
            <wp:extent cx="5943600" cy="5086985"/>
            <wp:effectExtent l="0" t="0" r="0" b="5715"/>
            <wp:docPr id="868197453" name="Picture 9" descr="A graph of different types of graph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197453" name="Picture 9" descr="A graph of different types of graphs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6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0FE4C" w14:textId="77777777" w:rsidR="006A0E9C" w:rsidRPr="003B3A02" w:rsidRDefault="006A0E9C" w:rsidP="006A0E9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8B89DD2" w14:textId="77777777" w:rsidR="006A0E9C" w:rsidRPr="003B3A02" w:rsidRDefault="006A0E9C" w:rsidP="006A0E9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3A02">
        <w:rPr>
          <w:rFonts w:ascii="Calibri" w:eastAsia="Times New Roman" w:hAnsi="Calibri" w:cs="Calibri"/>
          <w:b/>
          <w:bCs/>
          <w:color w:val="000000"/>
          <w:lang w:val="en-US"/>
        </w:rPr>
        <w:t xml:space="preserve">Supplementary Fig.3: Correlations between the difference in exponent due to ECT or MST and the number of treatments received or the baseline exponent. </w:t>
      </w:r>
      <w:r w:rsidRPr="003B3A02">
        <w:rPr>
          <w:rFonts w:ascii="Calibri" w:eastAsia="Times New Roman" w:hAnsi="Calibri" w:cs="Calibri"/>
          <w:color w:val="000000"/>
          <w:lang w:val="en-US"/>
        </w:rPr>
        <w:t>In ECT, the number of treatments received is significantly negatively correlated to the difference in exponent (r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=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-0.54, p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=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0.018). Thus, the more ECT treatments received, the "steeper" the spectrum becomes. Whereas the baseline exponent is not correlated to the difference in exponent (r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=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0.11, p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=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0.63). In MST, the number of treatments received is not correlated to the difference in exponent (r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=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0.034, p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=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0.87). Whereas the baseline exponent is significantly positively correlated to the difference in exponent (r</w:t>
      </w:r>
      <w:r>
        <w:rPr>
          <w:rFonts w:ascii="Calibri" w:eastAsia="Times New Roman" w:hAnsi="Calibri" w:cs="Calibri"/>
          <w:color w:val="000000"/>
          <w:lang w:val="en-US"/>
        </w:rPr>
        <w:t xml:space="preserve"> </w:t>
      </w:r>
      <w:r w:rsidRPr="003B3A02">
        <w:rPr>
          <w:rFonts w:ascii="Calibri" w:eastAsia="Times New Roman" w:hAnsi="Calibri" w:cs="Calibri"/>
          <w:color w:val="000000"/>
          <w:lang w:val="en-US"/>
        </w:rPr>
        <w:t>= 0.51, p = 0.014). Thus, the "flatter" the spectrum at baseline, the more "steepening" we see due to MST.</w:t>
      </w:r>
    </w:p>
    <w:p w14:paraId="3D8B76ED" w14:textId="77777777" w:rsidR="006A0E9C" w:rsidRPr="003B3A02" w:rsidRDefault="006A0E9C" w:rsidP="006A0E9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A5E42AF" w14:textId="77777777" w:rsidR="006A0E9C" w:rsidRPr="003B3A02" w:rsidRDefault="006A0E9C" w:rsidP="006A0E9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3A02">
        <w:rPr>
          <w:rFonts w:ascii="Calibri" w:eastAsia="Times New Roman" w:hAnsi="Calibri" w:cs="Calibri"/>
          <w:b/>
          <w:bCs/>
          <w:color w:val="000000"/>
          <w:lang w:val="en-US"/>
        </w:rPr>
        <w:t xml:space="preserve">Supplementary Table 1: Holm-Bonferroni correction values. </w:t>
      </w:r>
      <w:r w:rsidRPr="003B3A02">
        <w:rPr>
          <w:rFonts w:ascii="Calibri" w:eastAsia="Times New Roman" w:hAnsi="Calibri" w:cs="Calibri"/>
          <w:color w:val="000000"/>
          <w:lang w:val="en-US"/>
        </w:rPr>
        <w:t>Overview of multiplicity-correction for ECT and MST datasets. Each dataset had 8 hypothesis tests performed on EEG features. Holm’s Sequential Bonferroni procedure was applied to adjust alpha threshold for significance testing.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9"/>
        <w:gridCol w:w="2104"/>
        <w:gridCol w:w="1292"/>
        <w:gridCol w:w="503"/>
        <w:gridCol w:w="1614"/>
        <w:gridCol w:w="1203"/>
      </w:tblGrid>
      <w:tr w:rsidR="006A0E9C" w:rsidRPr="003B3A02" w14:paraId="43A66CF7" w14:textId="77777777" w:rsidTr="00E21FBD">
        <w:trPr>
          <w:trHeight w:val="600"/>
        </w:trPr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7D30EC37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treatment type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8E30678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Feature for</w:t>
            </w:r>
          </w:p>
          <w:p w14:paraId="187C199D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 hypothesis test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BEF64B7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9F7A1A9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rank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C01C0DE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alpha (adjusted)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3A50AA6A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significant?</w:t>
            </w:r>
          </w:p>
        </w:tc>
      </w:tr>
      <w:tr w:rsidR="006A0E9C" w:rsidRPr="003B3A02" w14:paraId="2EE14B8C" w14:textId="77777777" w:rsidTr="00E21FBD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62AF0C01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ECT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6C7F1E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exponent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D558C4D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1.05E-08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F416C1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19A71B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6.25E-03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2C8B1B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A0E9C" w:rsidRPr="003B3A02" w14:paraId="6FF95FC8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41C114E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D08FD7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delta band power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2AEEEA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4.83E-08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11C6F9B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AF27D07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7.14E-03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B348B6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A0E9C" w:rsidRPr="003B3A02" w14:paraId="6B907D0C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CDC6A8D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F07678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delta oscillation power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9FDABDE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2.44E-02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3B72810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889B12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5.00E-02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7B1D04A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A0E9C" w:rsidRPr="003B3A02" w14:paraId="1AB06726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211A3138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DEEE90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delta abundance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72CD25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1.77E-04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A35058C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F227E23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1.00E-02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94DD9FB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A0E9C" w:rsidRPr="003B3A02" w14:paraId="15A7A16F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7C71E508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6C6801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theta oscillation power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DED132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1.90E-05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0C350B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B5BC496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8.33E-03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A915CF2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A0E9C" w:rsidRPr="003B3A02" w14:paraId="450A7D03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5AE8D9EB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FCE7DC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theta abundance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E57B471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5.40E-03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5B244DF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308CF1D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1.67E-02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FE7CE7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A0E9C" w:rsidRPr="003B3A02" w14:paraId="403C5901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E6AC6CA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1590009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alpha oscillation power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E632C23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3.20E-03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A136DE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C2E21A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1.25E-02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B68D83C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A0E9C" w:rsidRPr="003B3A02" w14:paraId="4E9D7250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662F41B8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DF91F30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alpha abundance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92E4B22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1.90E-02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0510E6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660E35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2.50E-02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3C1278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A0E9C" w:rsidRPr="003B3A02" w14:paraId="2D80E507" w14:textId="77777777" w:rsidTr="00E21FBD">
        <w:trPr>
          <w:trHeight w:val="315"/>
        </w:trPr>
        <w:tc>
          <w:tcPr>
            <w:tcW w:w="0" w:type="auto"/>
            <w:vMerge w:val="restart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09375669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MST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FAAA7A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exponent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D6AC3DD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6.00E-03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E8E24F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83EAF45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7.14E-03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D690E1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A0E9C" w:rsidRPr="003B3A02" w14:paraId="55F06D02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4DEF67D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8A2F50C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delta band power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9FACD1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3.65E-02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EB5B780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4D80B8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1.25E-02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44FD6CF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</w:tr>
      <w:tr w:rsidR="006A0E9C" w:rsidRPr="003B3A02" w14:paraId="53E32984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392CD35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1D717D0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delta oscillation power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3B94AD3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9.80E-03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784657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2F283C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8.33E-03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F275B36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</w:tr>
      <w:tr w:rsidR="006A0E9C" w:rsidRPr="003B3A02" w14:paraId="6C228C38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CBC9361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6ED5B0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delta abundance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C08BEE5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7.96E-01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69017B4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EA3D4A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5.00E-02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53E251C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</w:tr>
      <w:tr w:rsidR="006A0E9C" w:rsidRPr="003B3A02" w14:paraId="246EDEAB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046A33AA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94CA2D9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theta oscillation power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10517A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3.80E-05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912657F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CCB17A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6.25E-03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C13DDC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yes</w:t>
            </w:r>
          </w:p>
        </w:tc>
      </w:tr>
      <w:tr w:rsidR="006A0E9C" w:rsidRPr="003B3A02" w14:paraId="471F77B2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4C610403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E3C247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theta abundance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A0F9CD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1.81E-02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9C2FC6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0E193F8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1.00E-02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F69785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</w:tr>
      <w:tr w:rsidR="006A0E9C" w:rsidRPr="003B3A02" w14:paraId="5F5E205C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1D3FD237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7046B2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alpha oscillation power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254F5C7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3.91E-01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065A857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6F7CB4C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2.50E-02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B3F1D92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</w:tr>
      <w:tr w:rsidR="006A0E9C" w:rsidRPr="003B3A02" w14:paraId="42180050" w14:textId="77777777" w:rsidTr="00E21FBD">
        <w:trPr>
          <w:trHeight w:val="315"/>
        </w:trPr>
        <w:tc>
          <w:tcPr>
            <w:tcW w:w="0" w:type="auto"/>
            <w:vMerge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  <w:hideMark/>
          </w:tcPr>
          <w:p w14:paraId="390C5DB6" w14:textId="77777777" w:rsidR="006A0E9C" w:rsidRPr="003B3A02" w:rsidRDefault="006A0E9C" w:rsidP="00E21FB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A73E55C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alpha abundance</w:t>
            </w:r>
          </w:p>
        </w:tc>
        <w:tc>
          <w:tcPr>
            <w:tcW w:w="129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B32D6E2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1.78E-01</w:t>
            </w:r>
          </w:p>
        </w:tc>
        <w:tc>
          <w:tcPr>
            <w:tcW w:w="103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86A7B7D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81026A8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1.67E-02</w:t>
            </w:r>
          </w:p>
        </w:tc>
        <w:tc>
          <w:tcPr>
            <w:tcW w:w="0" w:type="auto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A7B002" w14:textId="77777777" w:rsidR="006A0E9C" w:rsidRPr="003B3A02" w:rsidRDefault="006A0E9C" w:rsidP="00E21FBD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B3A02">
              <w:rPr>
                <w:rFonts w:eastAsia="Times New Roman"/>
                <w:color w:val="000000"/>
                <w:sz w:val="20"/>
                <w:szCs w:val="20"/>
                <w:lang w:val="en-US"/>
              </w:rPr>
              <w:t>no</w:t>
            </w:r>
          </w:p>
        </w:tc>
      </w:tr>
    </w:tbl>
    <w:p w14:paraId="2DD0D0C2" w14:textId="77777777" w:rsidR="006A0E9C" w:rsidRDefault="006A0E9C" w:rsidP="006A0E9C">
      <w:pPr>
        <w:jc w:val="both"/>
        <w:rPr>
          <w:rFonts w:ascii="Calibri" w:eastAsia="Calibri" w:hAnsi="Calibri" w:cs="Calibri"/>
          <w:b/>
        </w:rPr>
      </w:pPr>
    </w:p>
    <w:p w14:paraId="033718B5" w14:textId="77777777" w:rsidR="00000000" w:rsidRDefault="00000000"/>
    <w:sectPr w:rsidR="00736B35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DB3A8" w14:textId="77777777" w:rsidR="00000000" w:rsidRDefault="00000000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E9C"/>
    <w:rsid w:val="006A0E9C"/>
    <w:rsid w:val="00716C73"/>
    <w:rsid w:val="00F1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622E0"/>
  <w15:chartTrackingRefBased/>
  <w15:docId w15:val="{D03A4378-4AB5-5D48-A50C-9E3D7F4B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E9C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647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Sydney</dc:creator>
  <cp:keywords/>
  <dc:description/>
  <cp:lastModifiedBy>Smith, Sydney</cp:lastModifiedBy>
  <cp:revision>1</cp:revision>
  <dcterms:created xsi:type="dcterms:W3CDTF">2023-10-09T21:51:00Z</dcterms:created>
  <dcterms:modified xsi:type="dcterms:W3CDTF">2023-10-09T21:52:00Z</dcterms:modified>
</cp:coreProperties>
</file>