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1BBA0" w14:textId="38EF251F" w:rsidR="00A94343" w:rsidRDefault="00A94343" w:rsidP="008F0C51">
      <w:pPr>
        <w:pStyle w:val="Heading1"/>
      </w:pPr>
      <w:r>
        <w:t>Supplementary materials</w:t>
      </w:r>
    </w:p>
    <w:p w14:paraId="02A1BF34" w14:textId="4BD65B5C" w:rsidR="00A94343" w:rsidRDefault="00A94343" w:rsidP="00A94343">
      <w:pPr>
        <w:pStyle w:val="Heading2"/>
      </w:pPr>
      <w:r>
        <w:t>Supplementary methods</w:t>
      </w:r>
    </w:p>
    <w:p w14:paraId="18C8BFDE" w14:textId="3B4FAA32" w:rsidR="00A94343" w:rsidRDefault="00A94343" w:rsidP="00552B1C">
      <w:pPr>
        <w:pStyle w:val="Heading3"/>
      </w:pPr>
      <w:r>
        <w:t>Participant Information</w:t>
      </w:r>
    </w:p>
    <w:p w14:paraId="6FF533C3" w14:textId="2EA9F4F4" w:rsidR="00552B1C" w:rsidRDefault="00552B1C" w:rsidP="00A94343">
      <w:r>
        <w:t>Participants</w:t>
      </w:r>
      <w:r w:rsidR="00A94343" w:rsidRPr="00A94343">
        <w:t xml:space="preserve"> were evaluated using the Structured Clinical Interview for Axis 1 DSM-IV Disorders (SCID)-patient</w:t>
      </w:r>
      <w:r w:rsidRPr="00A94343">
        <w:t xml:space="preserve"> </w:t>
      </w:r>
      <w:r>
        <w:fldChar w:fldCharType="begin"/>
      </w:r>
      <w:r>
        <w:instrText xml:space="preserve"> ADDIN ZOTERO_ITEM CSL_CITATION {"citationID":"pYSqibZN","properties":{"formattedCitation":"(First et al., 2002a)","plainCitation":"(First et al., 2002a)","noteIndex":0},"citationItems":[{"id":18782,"uris":["http://zotero.org/users/2812842/items/VVD7CMAZ"],"itemData":{"id":18782,"type":"chapter","container-title":"Biometrics Research","event-place":"New York","publisher":"New York State Psychiatric Institute","publisher-place":"New York","title":"Structured Clinical Interview for DSM-IV-TR Axis I Disorders, Research Version, Non-Patient Edition (SCID-I/NP).","author":[{"family":"First","given":"MB"},{"family":"Spitzer","given":"RL"},{"family":"Gibbon","given":"M"},{"family":"Williams","given":"JB"}],"issued":{"date-parts":[["2002"]]}}}],"schema":"https://github.com/citation-style-language/schema/raw/master/csl-citation.json"} </w:instrText>
      </w:r>
      <w:r>
        <w:fldChar w:fldCharType="separate"/>
      </w:r>
      <w:r w:rsidRPr="00552B1C">
        <w:rPr>
          <w:rFonts w:ascii="Calibri" w:hAnsi="Calibri" w:cs="Calibri"/>
        </w:rPr>
        <w:t>(First et al., 2002a)</w:t>
      </w:r>
      <w:r>
        <w:fldChar w:fldCharType="end"/>
      </w:r>
      <w:r w:rsidR="00A94343" w:rsidRPr="00A94343">
        <w:t xml:space="preserve"> and nonpatient (NP</w:t>
      </w:r>
      <w:r>
        <w:t xml:space="preserve">) </w:t>
      </w:r>
      <w:r>
        <w:fldChar w:fldCharType="begin"/>
      </w:r>
      <w:r>
        <w:instrText xml:space="preserve"> ADDIN ZOTERO_ITEM CSL_CITATION {"citationID":"JIDdpPTW","properties":{"formattedCitation":"(First et al., 2002b)","plainCitation":"(First et al., 2002b)","noteIndex":0},"citationItems":[{"id":18781,"uris":["http://zotero.org/users/2812842/items/JWCUVIHV"],"itemData":{"id":18781,"type":"chapter","container-title":"Biometrics Research","event-place":"New York","publisher":"New York State Psychiatric Institute","publisher-place":"New York","title":"Structured Clinical Interview for DSM-IV-TR Axis I Disorders, Research Version, Patient Edition (SCID-I/P).","author":[{"family":"First","given":"MB"},{"family":"Spitzer","given":"RL"},{"family":"Gibbon","given":"M"},{"family":"Williams","given":"JB"}],"issued":{"date-parts":[["2002"]]}}}],"schema":"https://github.com/citation-style-language/schema/raw/master/csl-citation.json"} </w:instrText>
      </w:r>
      <w:r>
        <w:fldChar w:fldCharType="separate"/>
      </w:r>
      <w:r w:rsidRPr="00552B1C">
        <w:rPr>
          <w:rFonts w:ascii="Calibri" w:hAnsi="Calibri" w:cs="Calibri"/>
        </w:rPr>
        <w:t>(First et al., 2002b)</w:t>
      </w:r>
      <w:r>
        <w:fldChar w:fldCharType="end"/>
      </w:r>
      <w:r w:rsidR="00F7388F" w:rsidRPr="00F7388F">
        <w:t xml:space="preserve"> </w:t>
      </w:r>
      <w:r w:rsidR="00F7388F" w:rsidRPr="00A94343">
        <w:t>versions</w:t>
      </w:r>
      <w:r w:rsidR="00A94343" w:rsidRPr="00A94343">
        <w:t>. HVs had no family history of Axis I disorders in first-degree relatives as determined by the SCID-NP. All participants were deemed to be in good physical health, as determined by medical history, physical examination, blood</w:t>
      </w:r>
      <w:r>
        <w:t xml:space="preserve"> tests</w:t>
      </w:r>
      <w:r w:rsidR="00A94343" w:rsidRPr="00A94343">
        <w:t xml:space="preserve">, chest x-ray, electrocardiogram, toxicology, and urinalysis. </w:t>
      </w:r>
    </w:p>
    <w:p w14:paraId="03D3FB8D" w14:textId="33508493" w:rsidR="00552B1C" w:rsidRDefault="00552B1C" w:rsidP="00552B1C">
      <w:pPr>
        <w:pStyle w:val="Heading3"/>
      </w:pPr>
      <w:r>
        <w:t>Resting-state functional magnetic resonance imaging (rsfMRI) acquisition and pre-processing</w:t>
      </w:r>
    </w:p>
    <w:p w14:paraId="61E6BBFB" w14:textId="2DC9871E" w:rsidR="00FF00AF" w:rsidRDefault="00FF00AF" w:rsidP="00FF00AF">
      <w:r>
        <w:t>rsfMRI scans were obtained two days following each infusion. Ketamine had been fully metabolized by this time point, so neural effects identified at imaging are not attributable to ketamine’s immediate pharmacological effects.</w:t>
      </w:r>
    </w:p>
    <w:p w14:paraId="6BC67DC6" w14:textId="2646CE29" w:rsidR="00FF00AF" w:rsidRDefault="00FF00AF" w:rsidP="00FF00AF">
      <w:r>
        <w:t xml:space="preserve">Data acquisition and preprocessing were identical to </w:t>
      </w:r>
      <w:r>
        <w:fldChar w:fldCharType="begin"/>
      </w:r>
      <w:r w:rsidR="007600CD">
        <w:instrText xml:space="preserve"> ADDIN ZOTERO_ITEM CSL_CITATION {"citationID":"23Dbrds8","properties":{"formattedCitation":"(Evans et al., 2018; Mkrtchian et al., 2019)","plainCitation":"(Evans et al., 2018; Mkrtchian et al., 2019)","noteIndex":0},"citationItems":[{"id":2429,"uris":["http://zotero.org/users/2812842/items/LBX4Q477"],"itemData":{"id":2429,"type":"article-journal","abstract":"Background\nThe symptoms of major depressive disorder (MDD) are rapidly alleviated by administration of a single dose of the glutamatergic modulator ketamine. However, few studies have investigated the potential sustained neural effects of this agent beyond immediate infusion. This study used functional magnetic resonance imaging to examine the effect of a single ketamine infusion on the resting state default mode network (DMN) at 2 and 10 days after a single ketamine infusion in unmedicated subjects with MDD as well as healthy control subjects (HCs).\nMethods\nData were drawn from a double-blind, placebo-controlled crossover study of 58 participants (33 with MDD and 25 HCs) who received an intravenous infusion of either ketamine hydrochloride (0.5 mg/kg) or placebo on 2 separate test days spaced 2 weeks apart. Eight minutes of functional magnetic resonance imaging resting state data was acquired at baseline and at about 2 and 10 days after both infusions. The DMN was defined using seed-based correlation and was compared across groups and scans.\nResults\nIn subjects with MDD, connectivity between the insula and the DMN was normalized compared with HCs 2 days postketamine infusion. This change was reversed after 10 days and did not appear in either of the placebo scans. Group-specific connectivity differences in drug response were observed, most notably in the insula in subjects with MDD and in the thalamus in HCs.\nConclusions\nConnectivity changes in the insula in subjects with MDD suggest that ketamine may normalize the interaction between the DMN and salience networks, supporting the triple network dysfunction model of MDD.","collection-title":"Cannabinoids, Ketamine, Connectivity, and Depression","container-title":"Biological Psychiatry","DOI":"10.1016/j.biopsych.2018.01.027","ISSN":"0006-3223","issue":"8","journalAbbreviation":"Biological Psychiatry","language":"en","page":"582-590","source":"ScienceDirect","title":"Default Mode Connectivity in Major Depressive Disorder Measured Up to 10 Days After Ketamine Administration","volume":"84","author":[{"family":"Evans","given":"Jennifer W."},{"family":"Szczepanik","given":"Joanna"},{"family":"Brutsché","given":"Nancy"},{"family":"Park","given":"Lawrence T."},{"family":"Nugent","given":"Allison C."},{"family":"Zarate","given":"Carlos A."}],"issued":{"date-parts":[["2018",10,15]]}}},{"id":18009,"uris":["http://zotero.org/users/2812842/items/7PH2FV2L"],"itemData":{"id":18009,"type":"article-journal","abstract":"Background: Unlike any existing antidepressant treatments, ketamine has been shown to have anti‐anhedonic properties in treatment‐resistant depressed (TRD) patients, yet very little is known about the underlying cognitive mechanisms that drive this. An important cognitive facet of anhedonia may be altered reward and punishment learning. This type of learning relies in part on interactions between the striatum, which encodes prediction errors (PEs: the difference between expected and obtained outcomes), and orbitofrontal cortex, which encodes the expected values of outcomes. We hypothesized that a core mechanism driving symptoms in TRD is an imbalance between these systems, and that alterations in this balance may constitute an important mechanism of ketamine's beneficial effects. We therefore predicted that TRD patients would be characterized by a lower reliance on representing the expected values of outcomes as compared to healthy subjects, which has previously been observed with negative symptoms in schizophrenia, and that ketamine would ameliorate this process. Methods: Twenty‐four TRD patients (recruited 32: 16 women) and thirty‐five healthy controls (HC; recruited 37: 16 women) completed a probabilistic reinforcement learning paradigm assessing reward and punishment learning, followed by a transfer test phase. A subgroup (n = 15) of the TRD patients performed the same task 24 hours following ketamine (0.5mg/kg) and placebo infusions in a randomized, double‐blind, crossover trial. To offer mechanistic insight into behavior, a computational framework was used to examine task performance. Three reinforcement learning models were used to compare different hypotheses of the cognitive strategy participants may use to solve the task: 1) an actor‐critic model that learns through PEs; 2) a Q‐learning model that learns by representing the expected values of options; and 3) a hybrid model where the actor‐critic model is modulated by the Q‐model, as represented by a mixing parameter. Parameters for all models were estimated using maximum likelihood, and the best fitting model was assessed with the Akaike information criterion (AIC). To examine differences in reinforcement learning, the parameter values from the winning model were compared between the groups using two‐sample t‐tests. Paired t‐tests were used to examine the effects of ketamine. Bonferroni correction was used to control for multiple comparisons. Results: Trial‐by‐trial performance on the task was best modelled using the hybrid model for patients and healthy controls, as well as for patients post ketamine and placebo infusion. HCs had a numerically higher mixing parameter (M: 0.53, SEM: 0.05), compared with TRD patients (M: 0.42, SEM: 0.05), where higher values indicate greater reliance on Q‐values. However, this difference did not achieve significance (t(57)=1.52, p = 0.13, Hedge's g=0.41). Similarly, ketamine did not significantly affect the mixing parameter in TRD patients relative to placebo (t(14) =0.81, p = 0.43, d=0.20). None of the other parameters of the winning model were significantly different between groups (all t&lt;1.94, all p&gt;0.061), nor did ketamine affect these parameters (all t&lt;1.67, all p&gt;0.12). Conclusions: Consistent with previous research, we found that healthy individuals used a mixture of stimulus‐response (actorcritic model) and action‐value (Q‐learning model) associations in a simple reinforcement learning task. This was also true for TRD patients. However, patients were not characterized by significantly different parameters relative to healthy individuals, suggesting intact reinforcement learning processes. Crucially, and contrary to our predictions, there were no significant differences between groups in the mixing parameter. As such, the data provide no evidence that TRD patients significantly differed from healthy individuals in their use of reinforcement learning strategies (PEs vs incorporation of expected values) to guide their decisions. Importantly, ketamine treatment also did not influence performance on this task, indicating that ketamine may exert its beneficial effects through modulation of other computational mechanisms than those that rely on basic reinforcement learning signals. Future efforts in identifying a mechanistic explanation of ketamine's beneficial effects will likely provide insight into who may benefit from this treatment.","archive_location":"CN-02119882","container-title":"Neuropsychopharmacology","DOI":"10.1038/s41386-019-0547-9","journalAbbreviation":"Neuropsychopharmacology","page":"456-457","title":"The effect of ketamine on reinforcement learning in treatment-resistant depression","volume":"44","author":[{"family":"Mkrtchian","given":"A"},{"family":"Lally","given":"N"},{"family":"Nugent","given":"AC"},{"family":"Evans","given":"JW"},{"family":"Roiser","given":"JP"},{"family":"Zarate","given":"CA"}],"issued":{"date-parts":[["2019"]]}}}],"schema":"https://github.com/citation-style-language/schema/raw/master/csl-citation.json"} </w:instrText>
      </w:r>
      <w:r>
        <w:fldChar w:fldCharType="separate"/>
      </w:r>
      <w:r w:rsidR="007600CD" w:rsidRPr="007600CD">
        <w:rPr>
          <w:rFonts w:ascii="Calibri" w:hAnsi="Calibri" w:cs="Calibri"/>
        </w:rPr>
        <w:t>(Evans et al., 2018; Mkrtchian et al., 2019)</w:t>
      </w:r>
      <w:r>
        <w:fldChar w:fldCharType="end"/>
      </w:r>
      <w:r>
        <w:t>. High-resolution structural images were obtained using a T1-weighted 3D fast spoiled gradient recalled echo (FSPGR) sequence with an 8.8s repetition time (TR), 3.4ms echo time (TE), 450ms inversion recovery time (IR), 13 degrees flip angle (FA), and with a 1mm isotropic resolution. Whole-brain rsfMRI images were obtained using a gradient recalled echo planar image (EPI) sequence with a 90</w:t>
      </w:r>
      <w:proofErr w:type="gramStart"/>
      <w:r>
        <w:t xml:space="preserve">˚ </w:t>
      </w:r>
      <w:r w:rsidR="00BD6B6B">
        <w:t xml:space="preserve"> </w:t>
      </w:r>
      <w:r>
        <w:t>flip</w:t>
      </w:r>
      <w:proofErr w:type="gramEnd"/>
      <w:r>
        <w:t xml:space="preserve"> angle, 192 volumes, 45 slices per volume, </w:t>
      </w:r>
      <w:r w:rsidR="00E62898" w:rsidRPr="00C60EDA">
        <w:t xml:space="preserve">3.5 x 3.5 x 3.5 mm </w:t>
      </w:r>
      <w:r>
        <w:t>resolution, 64</w:t>
      </w:r>
      <w:r w:rsidR="00BD6B6B">
        <w:t xml:space="preserve"> </w:t>
      </w:r>
      <w:r>
        <w:t>x</w:t>
      </w:r>
      <w:r w:rsidR="00BD6B6B">
        <w:t xml:space="preserve"> </w:t>
      </w:r>
      <w:r>
        <w:t>64 matrix, TR of 2.5</w:t>
      </w:r>
      <w:r w:rsidR="00BD6B6B">
        <w:t xml:space="preserve"> </w:t>
      </w:r>
      <w:r>
        <w:t>s, TE of 25</w:t>
      </w:r>
      <w:r w:rsidR="00BD6B6B">
        <w:t xml:space="preserve"> </w:t>
      </w:r>
      <w:proofErr w:type="spellStart"/>
      <w:r>
        <w:t>ms</w:t>
      </w:r>
      <w:proofErr w:type="spellEnd"/>
      <w:r>
        <w:t xml:space="preserve">, anterior-posterior phase encoding direction and interleaved acquisition. In addition, cardiac and respiration traces were recorded during each scan using the GE </w:t>
      </w:r>
      <w:proofErr w:type="spellStart"/>
      <w:r>
        <w:t>photoplethysmograph</w:t>
      </w:r>
      <w:proofErr w:type="spellEnd"/>
      <w:r>
        <w:t xml:space="preserve"> and respiratory belt.</w:t>
      </w:r>
    </w:p>
    <w:p w14:paraId="5AC6B949" w14:textId="6C9DFE3E" w:rsidR="00552B1C" w:rsidRDefault="00FF00AF" w:rsidP="00FF00AF">
      <w:r>
        <w:t xml:space="preserve">Preprocessing was accomplished in AFNI with the </w:t>
      </w:r>
      <w:proofErr w:type="spellStart"/>
      <w:r>
        <w:t>afni_proc</w:t>
      </w:r>
      <w:proofErr w:type="spellEnd"/>
      <w:r>
        <w:t xml:space="preserve"> script, including </w:t>
      </w:r>
      <w:proofErr w:type="spellStart"/>
      <w:r>
        <w:t>despiking</w:t>
      </w:r>
      <w:proofErr w:type="spellEnd"/>
      <w:r>
        <w:t xml:space="preserve">, slice-time correction, nuisance signal regression (motion: 12-parameter affine, registered to the third volume; physiological: slice-based, generated with </w:t>
      </w:r>
      <w:proofErr w:type="spellStart"/>
      <w:r>
        <w:t>McRetroTS</w:t>
      </w:r>
      <w:proofErr w:type="spellEnd"/>
      <w:r>
        <w:t>), 6mm full-width-at-half-maximum (FHWM) spatial smoothing, band-pass filtering (0.01-0.1Hz), alignment to the Montreal Neurological Institute (MNI) 152 standard space, and motion censoring. Alignment to standard space was achieved by first aligning the structural image to the EPI with an affine transform using the LPC cost-function (align_epi_anat.py in AFNI). The anatomical image was non-linearly warped to the MNI 152 standard template and the EPI was transformed to standard space using the concatenated transformation matrices produced from the anatomical alignment steps. Image sequences were censored if there was movement greater than 0.2</w:t>
      </w:r>
      <w:r w:rsidR="00E30C80">
        <w:t xml:space="preserve"> </w:t>
      </w:r>
      <w:r>
        <w:t>mm (Euclidean norm) per TR. If there were more than 15 censored time points per dataset, the dataset was excluded from further analysis. Motion (de-</w:t>
      </w:r>
      <w:proofErr w:type="spellStart"/>
      <w:r>
        <w:t>meaned</w:t>
      </w:r>
      <w:proofErr w:type="spellEnd"/>
      <w:r>
        <w:t xml:space="preserve"> and derivative) regressors were removed from the original time series simultaneously with band-pass filtering.</w:t>
      </w:r>
    </w:p>
    <w:p w14:paraId="749CFB25" w14:textId="184096B9" w:rsidR="00FF00AF" w:rsidRDefault="00FF00AF" w:rsidP="00FF00AF">
      <w:pPr>
        <w:pStyle w:val="Heading3"/>
      </w:pPr>
      <w:r>
        <w:t>fMRI data information</w:t>
      </w:r>
    </w:p>
    <w:p w14:paraId="4A90C282" w14:textId="63F4DCF5" w:rsidR="00E77F1B" w:rsidRPr="009A23C9" w:rsidRDefault="00FF00AF" w:rsidP="00FF00AF">
      <w:r w:rsidRPr="00FF00AF">
        <w:t xml:space="preserve">As reported previously </w:t>
      </w:r>
      <w:r>
        <w:fldChar w:fldCharType="begin"/>
      </w:r>
      <w:r w:rsidR="00EA3291">
        <w:instrText xml:space="preserve"> ADDIN ZOTERO_ITEM CSL_CITATION {"citationID":"wcJ5Evdm","properties":{"formattedCitation":"(Evans et al., 2018; Mkrtchian et al., 2019)","plainCitation":"(Evans et al., 2018; Mkrtchian et al., 2019)","noteIndex":0},"citationItems":[{"id":2429,"uris":["http://zotero.org/users/2812842/items/LBX4Q477"],"itemData":{"id":2429,"type":"article-journal","abstract":"Background\nThe symptoms of major depressive disorder (MDD) are rapidly alleviated by administration of a single dose of the glutamatergic modulator ketamine. However, few studies have investigated the potential sustained neural effects of this agent beyond immediate infusion. This study used functional magnetic resonance imaging to examine the effect of a single ketamine infusion on the resting state default mode network (DMN) at 2 and 10 days after a single ketamine infusion in unmedicated subjects with MDD as well as healthy control subjects (HCs).\nMethods\nData were drawn from a double-blind, placebo-controlled crossover study of 58 participants (33 with MDD and 25 HCs) who received an intravenous infusion of either ketamine hydrochloride (0.5 mg/kg) or placebo on 2 separate test days spaced 2 weeks apart. Eight minutes of functional magnetic resonance imaging resting state data was acquired at baseline and at about 2 and 10 days after both infusions. The DMN was defined using seed-based correlation and was compared across groups and scans.\nResults\nIn subjects with MDD, connectivity between the insula and the DMN was normalized compared with HCs 2 days postketamine infusion. This change was reversed after 10 days and did not appear in either of the placebo scans. Group-specific connectivity differences in drug response were observed, most notably in the insula in subjects with MDD and in the thalamus in HCs.\nConclusions\nConnectivity changes in the insula in subjects with MDD suggest that ketamine may normalize the interaction between the DMN and salience networks, supporting the triple network dysfunction model of MDD.","collection-title":"Cannabinoids, Ketamine, Connectivity, and Depression","container-title":"Biological Psychiatry","DOI":"10.1016/j.biopsych.2018.01.027","ISSN":"0006-3223","issue":"8","journalAbbreviation":"Biological Psychiatry","language":"en","page":"582-590","source":"ScienceDirect","title":"Default Mode Connectivity in Major Depressive Disorder Measured Up to 10 Days After Ketamine Administration","volume":"84","author":[{"family":"Evans","given":"Jennifer W."},{"family":"Szczepanik","given":"Joanna"},{"family":"Brutsché","given":"Nancy"},{"family":"Park","given":"Lawrence T."},{"family":"Nugent","given":"Allison C."},{"family":"Zarate","given":"Carlos A."}],"issued":{"date-parts":[["2018",10,15]]}}},{"id":18009,"uris":["http://zotero.org/users/2812842/items/7PH2FV2L"],"itemData":{"id":18009,"type":"article-journal","abstract":"Background: Unlike any existing antidepressant treatments, ketamine has been shown to have anti‐anhedonic properties in treatment‐resistant depressed (TRD) patients, yet very little is known about the underlying cognitive mechanisms that drive this. An important cognitive facet of anhedonia may be altered reward and punishment learning. This type of learning relies in part on interactions between the striatum, which encodes prediction errors (PEs: the difference between expected and obtained outcomes), and orbitofrontal cortex, which encodes the expected values of outcomes. We hypothesized that a core mechanism driving symptoms in TRD is an imbalance between these systems, and that alterations in this balance may constitute an important mechanism of ketamine's beneficial effects. We therefore predicted that TRD patients would be characterized by a lower reliance on representing the expected values of outcomes as compared to healthy subjects, which has previously been observed with negative symptoms in schizophrenia, and that ketamine would ameliorate this process. Methods: Twenty‐four TRD patients (recruited 32: 16 women) and thirty‐five healthy controls (HC; recruited 37: 16 women) completed a probabilistic reinforcement learning paradigm assessing reward and punishment learning, followed by a transfer test phase. A subgroup (n = 15) of the TRD patients performed the same task 24 hours following ketamine (0.5mg/kg) and placebo infusions in a randomized, double‐blind, crossover trial. To offer mechanistic insight into behavior, a computational framework was used to examine task performance. Three reinforcement learning models were used to compare different hypotheses of the cognitive strategy participants may use to solve the task: 1) an actor‐critic model that learns through PEs; 2) a Q‐learning model that learns by representing the expected values of options; and 3) a hybrid model where the actor‐critic model is modulated by the Q‐model, as represented by a mixing parameter. Parameters for all models were estimated using maximum likelihood, and the best fitting model was assessed with the Akaike information criterion (AIC). To examine differences in reinforcement learning, the parameter values from the winning model were compared between the groups using two‐sample t‐tests. Paired t‐tests were used to examine the effects of ketamine. Bonferroni correction was used to control for multiple comparisons. Results: Trial‐by‐trial performance on the task was best modelled using the hybrid model for patients and healthy controls, as well as for patients post ketamine and placebo infusion. HCs had a numerically higher mixing parameter (M: 0.53, SEM: 0.05), compared with TRD patients (M: 0.42, SEM: 0.05), where higher values indicate greater reliance on Q‐values. However, this difference did not achieve significance (t(57)=1.52, p = 0.13, Hedge's g=0.41). Similarly, ketamine did not significantly affect the mixing parameter in TRD patients relative to placebo (t(14) =0.81, p = 0.43, d=0.20). None of the other parameters of the winning model were significantly different between groups (all t&lt;1.94, all p&gt;0.061), nor did ketamine affect these parameters (all t&lt;1.67, all p&gt;0.12). Conclusions: Consistent with previous research, we found that healthy individuals used a mixture of stimulus‐response (actorcritic model) and action‐value (Q‐learning model) associations in a simple reinforcement learning task. This was also true for TRD patients. However, patients were not characterized by significantly different parameters relative to healthy individuals, suggesting intact reinforcement learning processes. Crucially, and contrary to our predictions, there were no significant differences between groups in the mixing parameter. As such, the data provide no evidence that TRD patients significantly differed from healthy individuals in their use of reinforcement learning strategies (PEs vs incorporation of expected values) to guide their decisions. Importantly, ketamine treatment also did not influence performance on this task, indicating that ketamine may exert its beneficial effects through modulation of other computational mechanisms than those that rely on basic reinforcement learning signals. Future efforts in identifying a mechanistic explanation of ketamine's beneficial effects will likely provide insight into who may benefit from this treatment.","archive_location":"CN-02119882","container-title":"Neuropsychopharmacology","DOI":"10.1038/s41386-019-0547-9","journalAbbreviation":"Neuropsychopharmacology","page":"456-457","title":"The effect of ketamine on reinforcement learning in treatment-resistant depression","volume":"44","author":[{"family":"Mkrtchian","given":"A"},{"family":"Lally","given":"N"},{"family":"Nugent","given":"AC"},{"family":"Evans","given":"JW"},{"family":"Roiser","given":"JP"},{"family":"Zarate","given":"CA"}],"issued":{"date-parts":[["2019"]]}}}],"schema":"https://github.com/citation-style-language/schema/raw/master/csl-citation.json"} </w:instrText>
      </w:r>
      <w:r>
        <w:fldChar w:fldCharType="separate"/>
      </w:r>
      <w:r w:rsidR="00EA3291" w:rsidRPr="00EA3291">
        <w:rPr>
          <w:rFonts w:ascii="Calibri" w:hAnsi="Calibri" w:cs="Calibri"/>
        </w:rPr>
        <w:t>(Evans et al., 2018; Mkrtchian et al., 2019)</w:t>
      </w:r>
      <w:r>
        <w:fldChar w:fldCharType="end"/>
      </w:r>
      <w:r w:rsidRPr="00FF00AF">
        <w:t xml:space="preserve">, data </w:t>
      </w:r>
      <w:r w:rsidR="00E77F1B">
        <w:t xml:space="preserve">from specific scans </w:t>
      </w:r>
      <w:r w:rsidRPr="00FF00AF">
        <w:t xml:space="preserve">were excluded for the following reasons: incomplete physiological data; excessive motion (&gt;0.2mm/TR); </w:t>
      </w:r>
      <w:r>
        <w:t xml:space="preserve">and </w:t>
      </w:r>
      <w:r w:rsidRPr="00FF00AF">
        <w:t xml:space="preserve">high correlation between the respiration volume trace and the average global signal, which increased correlations across the brain. Functional connectivity analyses were conducted on </w:t>
      </w:r>
      <w:r>
        <w:t>20</w:t>
      </w:r>
      <w:r w:rsidRPr="00FF00AF">
        <w:t xml:space="preserve"> post-ketamine and 1</w:t>
      </w:r>
      <w:r>
        <w:t>7</w:t>
      </w:r>
      <w:r w:rsidRPr="00FF00AF">
        <w:t xml:space="preserve"> post-placebo HV scans and on 2</w:t>
      </w:r>
      <w:r>
        <w:t>6</w:t>
      </w:r>
      <w:r w:rsidRPr="00FF00AF">
        <w:t xml:space="preserve"> post-ketamine and 25 post-placebo TRD scans. </w:t>
      </w:r>
      <w:r w:rsidR="009A23C9">
        <w:t xml:space="preserve">Regions of interest (ROIs) were in areas of adequate signal, as shown in the signal map overlay in </w:t>
      </w:r>
      <w:r w:rsidR="009A23C9">
        <w:rPr>
          <w:b/>
          <w:bCs/>
        </w:rPr>
        <w:t>Supplementary Figure S1</w:t>
      </w:r>
      <w:r w:rsidR="009A23C9">
        <w:t>.</w:t>
      </w:r>
    </w:p>
    <w:p w14:paraId="4DFA0443" w14:textId="592956BB" w:rsidR="00E77F1B" w:rsidRDefault="00FF00AF" w:rsidP="00FF00AF">
      <w:r w:rsidRPr="00FF00AF">
        <w:lastRenderedPageBreak/>
        <w:t>Linear mixed-effects models were conducted on the rsfMRI scans obtained two days post-infusion. This analysis was chosen due to its advantages in analyzing mixed design data (between- and within-subjects) and because it allowed us to retain participants with only one post-infusion scan, thus increasing statistica</w:t>
      </w:r>
      <w:r w:rsidR="00E77F1B">
        <w:t>l</w:t>
      </w:r>
      <w:r w:rsidR="00CC3AB3">
        <w:t xml:space="preserve"> power </w:t>
      </w:r>
      <w:r w:rsidR="00CC3AB3">
        <w:fldChar w:fldCharType="begin"/>
      </w:r>
      <w:r w:rsidR="00CC3AB3">
        <w:instrText xml:space="preserve"> ADDIN ZOTERO_ITEM CSL_CITATION {"citationID":"XjvHqfdE","properties":{"formattedCitation":"(Chen et al., 2013)","plainCitation":"(Chen et al., 2013)","noteIndex":0},"citationItems":[{"id":18360,"uris":["http://zotero.org/users/2812842/items/NXJLF47N"],"itemData":{"id":18360,"type":"article-journal","abstract":"Conventional group analysis is usually performed with Student-type t-test, regression, or standard AN(C)OVA in which the variance-covariance matrix is presumed to have a simple structure. Some correction approaches are adopted when assumptions about the covariance structure is violated. However, as experiments are designed with different degrees of sophistication, these traditional methods can become cumbersome, or even be unable to handle the situation at hand. For example, most current FMRI software packages have difficulty analyzing the following scenarios at group level: (1) taking within-subject variability into account when there are effect estimates from multiple runs or sessions; (2) continuous explanatory variables (covariates) modeling in the presence of a within-subject (repeated measures) factor, multiple subject-grouping (between-subjects) factors, or the mixture of both; (3) subject-specific adjustments in covariate modeling; (4) group analysis with estimation of hemodynamic response (HDR) function by multiple basis functions; (5) various cases of missing data in longitudinal studies; and (6) group studies involving family members or twins. Here we present a linear mixed-effects modeling (LME) methodology that extends the conventional group analysis approach to analyze many complicated cases, including the six prototypes delineated above, whose analyses would be otherwise either difficult or unfeasible under traditional frameworks such as AN(C)OVA and general linear model (GLM). In addition, the strength of the LME framework lies in its flexibility to model and estimate the variance-covariance structures for both random effects and residuals. The intraclass correlation (ICC) values can be easily obtained with an LME model with crossed random effects, even at the presence of confounding fixed effects. The simulations of one prototypical scenario indicate that the LME modeling keeps a balance between the control for false positives and the sensitivity for activation detection. The importance of hypothesis formulation is also illustrated in the simulations. Comparisons with alternative group analysis approaches and the limitations of LME are discussed in details.","container-title":"NeuroImage","DOI":"10.1016/j.neuroimage.2013.01.047","ISSN":"1095-9572","journalAbbreviation":"Neuroimage","language":"eng","note":"PMID: 23376789\nPMCID: PMC3638840","page":"176-190","source":"PubMed","title":"Linear mixed-effects modeling approach to FMRI group analysis","volume":"73","author":[{"family":"Chen","given":"Gang"},{"family":"Saad","given":"Ziad S."},{"family":"Britton","given":"Jennifer C."},{"family":"Pine","given":"Daniel S."},{"family":"Cox","given":"Robert W."}],"issued":{"date-parts":[["2013",6]]}}}],"schema":"https://github.com/citation-style-language/schema/raw/master/csl-citation.json"} </w:instrText>
      </w:r>
      <w:r w:rsidR="00CC3AB3">
        <w:fldChar w:fldCharType="separate"/>
      </w:r>
      <w:r w:rsidR="00CC3AB3" w:rsidRPr="00CC3AB3">
        <w:rPr>
          <w:rFonts w:ascii="Calibri" w:hAnsi="Calibri" w:cs="Calibri"/>
        </w:rPr>
        <w:t>(Chen et al., 2013)</w:t>
      </w:r>
      <w:r w:rsidR="00CC3AB3">
        <w:fldChar w:fldCharType="end"/>
      </w:r>
      <w:r w:rsidR="00E77F1B">
        <w:t>.</w:t>
      </w:r>
      <w:r w:rsidR="00CC3AB3">
        <w:t xml:space="preserve"> See main methods (</w:t>
      </w:r>
      <w:r w:rsidR="00CC3AB3">
        <w:rPr>
          <w:b/>
          <w:bCs/>
        </w:rPr>
        <w:t>Data analysis</w:t>
      </w:r>
      <w:r w:rsidR="00CC3AB3">
        <w:t>) for a description of the statistical analyses.</w:t>
      </w:r>
    </w:p>
    <w:p w14:paraId="6CF3800B" w14:textId="77777777" w:rsidR="009A23C9" w:rsidRDefault="009A23C9" w:rsidP="009A23C9">
      <w:pPr>
        <w:pStyle w:val="Heading3"/>
      </w:pPr>
      <w:r>
        <w:t>Clinical effects of ketamine</w:t>
      </w:r>
    </w:p>
    <w:p w14:paraId="54840A06" w14:textId="0C48DE74" w:rsidR="009A23C9" w:rsidRDefault="009A23C9" w:rsidP="009A23C9">
      <w:r>
        <w:t>Treatment</w:t>
      </w:r>
      <w:r w:rsidRPr="00A94343">
        <w:t xml:space="preserve"> effects </w:t>
      </w:r>
      <w:r>
        <w:t xml:space="preserve">of ketamine </w:t>
      </w:r>
      <w:r>
        <w:rPr>
          <w:i/>
          <w:iCs/>
        </w:rPr>
        <w:t>vs.</w:t>
      </w:r>
      <w:r>
        <w:t xml:space="preserve"> placebo </w:t>
      </w:r>
      <w:r w:rsidRPr="00A94343">
        <w:t>on Montgomery-</w:t>
      </w:r>
      <w:proofErr w:type="spellStart"/>
      <w:r w:rsidR="00305A8C" w:rsidRPr="00C60EDA">
        <w:t>Å</w:t>
      </w:r>
      <w:r w:rsidRPr="00A94343">
        <w:t>sberg</w:t>
      </w:r>
      <w:proofErr w:type="spellEnd"/>
      <w:r w:rsidRPr="00A94343">
        <w:t xml:space="preserve"> Depression Rating Scale (MADRS)</w:t>
      </w:r>
      <w:r w:rsidR="00585125">
        <w:t xml:space="preserve">, </w:t>
      </w:r>
      <w:r w:rsidRPr="00A94343">
        <w:t>Snaith-Hamilton Pleasure Scale (SHAPS)</w:t>
      </w:r>
      <w:r w:rsidR="00341590">
        <w:t>, and Temporal Experience of Pleasure Scale (TEPS)-anticipatory/consummatory</w:t>
      </w:r>
      <w:r w:rsidRPr="00A94343">
        <w:t xml:space="preserve"> scores</w:t>
      </w:r>
      <w:r>
        <w:t xml:space="preserve"> taken at two days after infusion (the same timepoint as fMRI imaging)</w:t>
      </w:r>
      <w:r w:rsidRPr="00A94343">
        <w:t xml:space="preserve"> can be found in </w:t>
      </w:r>
      <w:r>
        <w:rPr>
          <w:b/>
          <w:bCs/>
        </w:rPr>
        <w:t>Supplementary Figure S2</w:t>
      </w:r>
      <w:r w:rsidRPr="00A94343">
        <w:t>.</w:t>
      </w:r>
    </w:p>
    <w:p w14:paraId="1997F4DD" w14:textId="77777777" w:rsidR="00E77F1B" w:rsidRPr="00FF00AF" w:rsidRDefault="00E77F1B" w:rsidP="00FF00AF"/>
    <w:p w14:paraId="4BB630DD" w14:textId="77777777" w:rsidR="00A94343" w:rsidRDefault="00A94343">
      <w:r>
        <w:br w:type="page"/>
      </w:r>
    </w:p>
    <w:p w14:paraId="725B3E5D" w14:textId="1406A020" w:rsidR="009A23C9" w:rsidRPr="009A23C9" w:rsidRDefault="00A94343" w:rsidP="00FA70F0">
      <w:pPr>
        <w:pStyle w:val="Heading2"/>
      </w:pPr>
      <w:r>
        <w:lastRenderedPageBreak/>
        <w:t>Supplementary references</w:t>
      </w:r>
    </w:p>
    <w:p w14:paraId="0F3F5F22" w14:textId="77777777" w:rsidR="007600CD" w:rsidRPr="007600CD" w:rsidRDefault="00552B1C" w:rsidP="007600CD">
      <w:pPr>
        <w:pStyle w:val="Bibliography"/>
        <w:spacing w:line="240" w:lineRule="auto"/>
        <w:rPr>
          <w:rFonts w:ascii="Calibri" w:hAnsi="Calibri" w:cs="Calibri"/>
        </w:rPr>
      </w:pPr>
      <w:r>
        <w:fldChar w:fldCharType="begin"/>
      </w:r>
      <w:r w:rsidR="00FA70F0">
        <w:instrText xml:space="preserve"> ADDIN ZOTERO_BIBL {"uncited":[],"omitted":[],"custom":[]} CSL_BIBLIOGRAPHY </w:instrText>
      </w:r>
      <w:r>
        <w:fldChar w:fldCharType="separate"/>
      </w:r>
      <w:r w:rsidR="007600CD" w:rsidRPr="007600CD">
        <w:rPr>
          <w:rFonts w:ascii="Calibri" w:hAnsi="Calibri" w:cs="Calibri"/>
        </w:rPr>
        <w:t xml:space="preserve">Chen, G., Saad, Z. S., Britton, J. C., Pine, D. S., &amp; Cox, R. W. (2013). Linear mixed-effects modeling approach to FMRI group analysis. </w:t>
      </w:r>
      <w:proofErr w:type="spellStart"/>
      <w:r w:rsidR="007600CD" w:rsidRPr="007600CD">
        <w:rPr>
          <w:rFonts w:ascii="Calibri" w:hAnsi="Calibri" w:cs="Calibri"/>
          <w:i/>
          <w:iCs/>
        </w:rPr>
        <w:t>NeuroImage</w:t>
      </w:r>
      <w:proofErr w:type="spellEnd"/>
      <w:r w:rsidR="007600CD" w:rsidRPr="007600CD">
        <w:rPr>
          <w:rFonts w:ascii="Calibri" w:hAnsi="Calibri" w:cs="Calibri"/>
        </w:rPr>
        <w:t xml:space="preserve">, </w:t>
      </w:r>
      <w:r w:rsidR="007600CD" w:rsidRPr="007600CD">
        <w:rPr>
          <w:rFonts w:ascii="Calibri" w:hAnsi="Calibri" w:cs="Calibri"/>
          <w:i/>
          <w:iCs/>
        </w:rPr>
        <w:t>73</w:t>
      </w:r>
      <w:r w:rsidR="007600CD" w:rsidRPr="007600CD">
        <w:rPr>
          <w:rFonts w:ascii="Calibri" w:hAnsi="Calibri" w:cs="Calibri"/>
        </w:rPr>
        <w:t>, 176–190. https://doi.org/10.1016/j.neuroimage.2013.01.047</w:t>
      </w:r>
    </w:p>
    <w:p w14:paraId="0D315F04" w14:textId="77777777" w:rsidR="007600CD" w:rsidRPr="007600CD" w:rsidRDefault="007600CD" w:rsidP="007600CD">
      <w:pPr>
        <w:pStyle w:val="Bibliography"/>
        <w:spacing w:line="240" w:lineRule="auto"/>
        <w:rPr>
          <w:rFonts w:ascii="Calibri" w:hAnsi="Calibri" w:cs="Calibri"/>
        </w:rPr>
      </w:pPr>
      <w:r w:rsidRPr="007600CD">
        <w:rPr>
          <w:rFonts w:ascii="Calibri" w:hAnsi="Calibri" w:cs="Calibri"/>
        </w:rPr>
        <w:t xml:space="preserve">Evans, J. W., Szczepanik, J., </w:t>
      </w:r>
      <w:proofErr w:type="spellStart"/>
      <w:r w:rsidRPr="007600CD">
        <w:rPr>
          <w:rFonts w:ascii="Calibri" w:hAnsi="Calibri" w:cs="Calibri"/>
        </w:rPr>
        <w:t>Brutsché</w:t>
      </w:r>
      <w:proofErr w:type="spellEnd"/>
      <w:r w:rsidRPr="007600CD">
        <w:rPr>
          <w:rFonts w:ascii="Calibri" w:hAnsi="Calibri" w:cs="Calibri"/>
        </w:rPr>
        <w:t xml:space="preserve">, N., Park, L. T., Nugent, A. C., &amp; Zarate, C. A. (2018). Default Mode Connectivity in Major Depressive Disorder Measured Up to 10 Days After Ketamine Administration. </w:t>
      </w:r>
      <w:r w:rsidRPr="007600CD">
        <w:rPr>
          <w:rFonts w:ascii="Calibri" w:hAnsi="Calibri" w:cs="Calibri"/>
          <w:i/>
          <w:iCs/>
        </w:rPr>
        <w:t>Biological Psychiatry</w:t>
      </w:r>
      <w:r w:rsidRPr="007600CD">
        <w:rPr>
          <w:rFonts w:ascii="Calibri" w:hAnsi="Calibri" w:cs="Calibri"/>
        </w:rPr>
        <w:t xml:space="preserve">, </w:t>
      </w:r>
      <w:r w:rsidRPr="007600CD">
        <w:rPr>
          <w:rFonts w:ascii="Calibri" w:hAnsi="Calibri" w:cs="Calibri"/>
          <w:i/>
          <w:iCs/>
        </w:rPr>
        <w:t>84</w:t>
      </w:r>
      <w:r w:rsidRPr="007600CD">
        <w:rPr>
          <w:rFonts w:ascii="Calibri" w:hAnsi="Calibri" w:cs="Calibri"/>
        </w:rPr>
        <w:t>(8), 582–590. https://doi.org/10.1016/j.biopsych.2018.01.027</w:t>
      </w:r>
    </w:p>
    <w:p w14:paraId="3A16D0C1" w14:textId="77777777" w:rsidR="007600CD" w:rsidRPr="007600CD" w:rsidRDefault="007600CD" w:rsidP="007600CD">
      <w:pPr>
        <w:pStyle w:val="Bibliography"/>
        <w:spacing w:line="240" w:lineRule="auto"/>
        <w:rPr>
          <w:rFonts w:ascii="Calibri" w:hAnsi="Calibri" w:cs="Calibri"/>
        </w:rPr>
      </w:pPr>
      <w:r w:rsidRPr="007600CD">
        <w:rPr>
          <w:rFonts w:ascii="Calibri" w:hAnsi="Calibri" w:cs="Calibri"/>
        </w:rPr>
        <w:t xml:space="preserve">First, M., Spitzer, R., Gibbon, M., &amp; Williams, J. (2002a). Structured Clinical Interview for DSM-IV-TR Axis I Disorders, Research Version, Non-Patient Edition (SCID-I/NP). In </w:t>
      </w:r>
      <w:r w:rsidRPr="007600CD">
        <w:rPr>
          <w:rFonts w:ascii="Calibri" w:hAnsi="Calibri" w:cs="Calibri"/>
          <w:i/>
          <w:iCs/>
        </w:rPr>
        <w:t>Biometrics Research</w:t>
      </w:r>
      <w:r w:rsidRPr="007600CD">
        <w:rPr>
          <w:rFonts w:ascii="Calibri" w:hAnsi="Calibri" w:cs="Calibri"/>
        </w:rPr>
        <w:t>. New York State Psychiatric Institute.</w:t>
      </w:r>
    </w:p>
    <w:p w14:paraId="18534DB7" w14:textId="77777777" w:rsidR="007600CD" w:rsidRPr="007600CD" w:rsidRDefault="007600CD" w:rsidP="007600CD">
      <w:pPr>
        <w:pStyle w:val="Bibliography"/>
        <w:spacing w:line="240" w:lineRule="auto"/>
        <w:rPr>
          <w:rFonts w:ascii="Calibri" w:hAnsi="Calibri" w:cs="Calibri"/>
        </w:rPr>
      </w:pPr>
      <w:r w:rsidRPr="007600CD">
        <w:rPr>
          <w:rFonts w:ascii="Calibri" w:hAnsi="Calibri" w:cs="Calibri"/>
        </w:rPr>
        <w:t xml:space="preserve">First, M., Spitzer, R., Gibbon, M., &amp; Williams, J. (2002b). Structured Clinical Interview for DSM-IV-TR Axis I Disorders, Research Version, Patient Edition (SCID-I/P). In </w:t>
      </w:r>
      <w:r w:rsidRPr="007600CD">
        <w:rPr>
          <w:rFonts w:ascii="Calibri" w:hAnsi="Calibri" w:cs="Calibri"/>
          <w:i/>
          <w:iCs/>
        </w:rPr>
        <w:t>Biometrics Research</w:t>
      </w:r>
      <w:r w:rsidRPr="007600CD">
        <w:rPr>
          <w:rFonts w:ascii="Calibri" w:hAnsi="Calibri" w:cs="Calibri"/>
        </w:rPr>
        <w:t>. New York State Psychiatric Institute.</w:t>
      </w:r>
    </w:p>
    <w:p w14:paraId="4ED9118A" w14:textId="77777777" w:rsidR="007600CD" w:rsidRPr="007600CD" w:rsidRDefault="007600CD" w:rsidP="007600CD">
      <w:pPr>
        <w:pStyle w:val="Bibliography"/>
        <w:spacing w:line="240" w:lineRule="auto"/>
        <w:rPr>
          <w:rFonts w:ascii="Calibri" w:hAnsi="Calibri" w:cs="Calibri"/>
        </w:rPr>
      </w:pPr>
      <w:r w:rsidRPr="007600CD">
        <w:rPr>
          <w:rFonts w:ascii="Calibri" w:hAnsi="Calibri" w:cs="Calibri"/>
        </w:rPr>
        <w:t xml:space="preserve">Mkrtchian, A., Lally, N., Nugent, A., Evans, J., Roiser, J., &amp; Zarate, C. (2019). The effect of ketamine on reinforcement learning in treatment-resistant depression. </w:t>
      </w:r>
      <w:r w:rsidRPr="007600CD">
        <w:rPr>
          <w:rFonts w:ascii="Calibri" w:hAnsi="Calibri" w:cs="Calibri"/>
          <w:i/>
          <w:iCs/>
        </w:rPr>
        <w:t>Neuropsychopharmacology</w:t>
      </w:r>
      <w:r w:rsidRPr="007600CD">
        <w:rPr>
          <w:rFonts w:ascii="Calibri" w:hAnsi="Calibri" w:cs="Calibri"/>
        </w:rPr>
        <w:t xml:space="preserve">, </w:t>
      </w:r>
      <w:r w:rsidRPr="007600CD">
        <w:rPr>
          <w:rFonts w:ascii="Calibri" w:hAnsi="Calibri" w:cs="Calibri"/>
          <w:i/>
          <w:iCs/>
        </w:rPr>
        <w:t>44</w:t>
      </w:r>
      <w:r w:rsidRPr="007600CD">
        <w:rPr>
          <w:rFonts w:ascii="Calibri" w:hAnsi="Calibri" w:cs="Calibri"/>
        </w:rPr>
        <w:t>, 456–457. https://doi.org/10.1038/s41386-019-0547-9</w:t>
      </w:r>
    </w:p>
    <w:p w14:paraId="7DB85F52" w14:textId="48461310" w:rsidR="00A94343" w:rsidRDefault="00552B1C" w:rsidP="007600CD">
      <w:pPr>
        <w:pStyle w:val="ListParagraph"/>
        <w:spacing w:line="240" w:lineRule="auto"/>
        <w:ind w:left="360"/>
      </w:pPr>
      <w:r>
        <w:fldChar w:fldCharType="end"/>
      </w:r>
      <w:r w:rsidR="00A94343">
        <w:br w:type="page"/>
      </w:r>
    </w:p>
    <w:p w14:paraId="0B1C87BD" w14:textId="175267DE" w:rsidR="00FF2511" w:rsidRDefault="00A94343" w:rsidP="008F0C51">
      <w:pPr>
        <w:pStyle w:val="Heading2"/>
      </w:pPr>
      <w:r w:rsidRPr="00C803F9">
        <w:lastRenderedPageBreak/>
        <w:t xml:space="preserve">Supplementary </w:t>
      </w:r>
      <w:r>
        <w:t>figures</w:t>
      </w:r>
      <w:r w:rsidR="003B1612">
        <w:t xml:space="preserve"> and legends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F2511" w14:paraId="42904252" w14:textId="77777777" w:rsidTr="003E281F">
        <w:tc>
          <w:tcPr>
            <w:tcW w:w="9016" w:type="dxa"/>
          </w:tcPr>
          <w:p w14:paraId="64CDB471" w14:textId="4FE9F2ED" w:rsidR="00E2042E" w:rsidRDefault="002F7AB3" w:rsidP="00FF21C8">
            <w:pPr>
              <w:jc w:val="center"/>
            </w:pPr>
            <w:r>
              <w:rPr>
                <w:noProof/>
              </w:rPr>
              <w:drawing>
                <wp:inline distT="0" distB="0" distL="0" distR="0" wp14:anchorId="5D1943E4" wp14:editId="23A30171">
                  <wp:extent cx="2741696" cy="4275343"/>
                  <wp:effectExtent l="0" t="0" r="1905" b="0"/>
                  <wp:docPr id="1257057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57393" name=""/>
                          <pic:cNvPicPr/>
                        </pic:nvPicPr>
                        <pic:blipFill>
                          <a:blip r:embed="rId5"/>
                          <a:stretch>
                            <a:fillRect/>
                          </a:stretch>
                        </pic:blipFill>
                        <pic:spPr>
                          <a:xfrm>
                            <a:off x="0" y="0"/>
                            <a:ext cx="2753303" cy="4293442"/>
                          </a:xfrm>
                          <a:prstGeom prst="rect">
                            <a:avLst/>
                          </a:prstGeom>
                        </pic:spPr>
                      </pic:pic>
                    </a:graphicData>
                  </a:graphic>
                </wp:inline>
              </w:drawing>
            </w:r>
          </w:p>
        </w:tc>
      </w:tr>
      <w:tr w:rsidR="00FF2511" w14:paraId="2EF26C9F" w14:textId="77777777" w:rsidTr="003E281F">
        <w:tc>
          <w:tcPr>
            <w:tcW w:w="9016" w:type="dxa"/>
          </w:tcPr>
          <w:p w14:paraId="334D1384" w14:textId="61341D0E" w:rsidR="00FF2511" w:rsidRPr="00FF2511" w:rsidRDefault="00FF2511">
            <w:r>
              <w:rPr>
                <w:b/>
                <w:bCs/>
              </w:rPr>
              <w:t xml:space="preserve">Figure S1. </w:t>
            </w:r>
            <w:r>
              <w:t xml:space="preserve">Signal maps showing </w:t>
            </w:r>
            <w:r w:rsidR="00E2042E">
              <w:t>regions of interest (ROIs)</w:t>
            </w:r>
            <w:r>
              <w:t xml:space="preserve"> overlayed onto </w:t>
            </w:r>
            <w:r w:rsidR="00E2042E">
              <w:t>an exemplar echoplanar image, indicating ROIs are in areas of adequate signal</w:t>
            </w:r>
            <w:r>
              <w:t xml:space="preserve">. </w:t>
            </w:r>
            <w:r w:rsidR="009A1490">
              <w:t xml:space="preserve">The sgACC and pgACC ROIs are close together but </w:t>
            </w:r>
            <w:r w:rsidR="003F2FD3">
              <w:t xml:space="preserve">occupy non-overlapping voxels. </w:t>
            </w:r>
          </w:p>
        </w:tc>
      </w:tr>
    </w:tbl>
    <w:p w14:paraId="2405F0C1" w14:textId="35B56626" w:rsidR="00FF2511" w:rsidRDefault="00FF2511">
      <w:r>
        <w:br w:type="page"/>
      </w:r>
    </w:p>
    <w:p w14:paraId="17912141" w14:textId="77777777" w:rsidR="00A94343" w:rsidRPr="00C803F9" w:rsidRDefault="00A94343" w:rsidP="00A94343"/>
    <w:tbl>
      <w:tblPr>
        <w:tblStyle w:val="TableGrid"/>
        <w:tblW w:w="0" w:type="auto"/>
        <w:tblLook w:val="04A0" w:firstRow="1" w:lastRow="0" w:firstColumn="1" w:lastColumn="0" w:noHBand="0" w:noVBand="1"/>
      </w:tblPr>
      <w:tblGrid>
        <w:gridCol w:w="9016"/>
      </w:tblGrid>
      <w:tr w:rsidR="00A94343" w:rsidRPr="00C803F9" w14:paraId="62D52F99" w14:textId="77777777" w:rsidTr="006A1577">
        <w:tc>
          <w:tcPr>
            <w:tcW w:w="9016" w:type="dxa"/>
            <w:tcBorders>
              <w:top w:val="nil"/>
              <w:left w:val="nil"/>
              <w:bottom w:val="nil"/>
              <w:right w:val="nil"/>
            </w:tcBorders>
          </w:tcPr>
          <w:p w14:paraId="12F1D716" w14:textId="1DB4A64B" w:rsidR="00A94343" w:rsidRPr="00C803F9" w:rsidRDefault="00FF21C8" w:rsidP="006A1577">
            <w:pPr>
              <w:jc w:val="center"/>
            </w:pPr>
            <w:r>
              <w:rPr>
                <w:noProof/>
              </w:rPr>
              <w:drawing>
                <wp:inline distT="0" distB="0" distL="0" distR="0" wp14:anchorId="365C5AF9" wp14:editId="33BFCDAC">
                  <wp:extent cx="4139094" cy="4303264"/>
                  <wp:effectExtent l="0" t="0" r="0" b="2540"/>
                  <wp:docPr id="1017755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55137" name=""/>
                          <pic:cNvPicPr/>
                        </pic:nvPicPr>
                        <pic:blipFill>
                          <a:blip r:embed="rId6"/>
                          <a:stretch>
                            <a:fillRect/>
                          </a:stretch>
                        </pic:blipFill>
                        <pic:spPr>
                          <a:xfrm>
                            <a:off x="0" y="0"/>
                            <a:ext cx="4142891" cy="4307211"/>
                          </a:xfrm>
                          <a:prstGeom prst="rect">
                            <a:avLst/>
                          </a:prstGeom>
                        </pic:spPr>
                      </pic:pic>
                    </a:graphicData>
                  </a:graphic>
                </wp:inline>
              </w:drawing>
            </w:r>
          </w:p>
        </w:tc>
      </w:tr>
      <w:tr w:rsidR="00A94343" w:rsidRPr="00C803F9" w14:paraId="54C99242" w14:textId="77777777" w:rsidTr="006A1577">
        <w:tc>
          <w:tcPr>
            <w:tcW w:w="9016" w:type="dxa"/>
            <w:tcBorders>
              <w:top w:val="nil"/>
              <w:left w:val="nil"/>
              <w:bottom w:val="nil"/>
              <w:right w:val="nil"/>
            </w:tcBorders>
          </w:tcPr>
          <w:p w14:paraId="278FDACC" w14:textId="17F1FA29" w:rsidR="00A94343" w:rsidRPr="008B4BAB" w:rsidRDefault="00A94343" w:rsidP="006A1577">
            <w:r w:rsidRPr="00C803F9">
              <w:rPr>
                <w:b/>
                <w:bCs/>
              </w:rPr>
              <w:t>Figure S</w:t>
            </w:r>
            <w:r w:rsidR="008D2852">
              <w:rPr>
                <w:b/>
                <w:bCs/>
              </w:rPr>
              <w:t>2</w:t>
            </w:r>
            <w:r w:rsidRPr="00C803F9">
              <w:t xml:space="preserve">. </w:t>
            </w:r>
            <w:r w:rsidRPr="00C803F9">
              <w:rPr>
                <w:b/>
                <w:bCs/>
              </w:rPr>
              <w:t xml:space="preserve">Clinical scores measured two days after placebo or ketamine. </w:t>
            </w:r>
            <w:r w:rsidRPr="00C803F9">
              <w:t xml:space="preserve">PLA = placebo, KET = ketamine. </w:t>
            </w:r>
            <w:r w:rsidR="002F1773">
              <w:t xml:space="preserve">MADRS, n = 24; other scores, n = 13. </w:t>
            </w:r>
            <w:proofErr w:type="gramStart"/>
            <w:r w:rsidRPr="00C803F9">
              <w:rPr>
                <w:b/>
                <w:bCs/>
              </w:rPr>
              <w:t xml:space="preserve">A </w:t>
            </w:r>
            <w:r w:rsidRPr="00C803F9">
              <w:t>Ketamine</w:t>
            </w:r>
            <w:proofErr w:type="gramEnd"/>
            <w:r w:rsidRPr="00C803F9">
              <w:t xml:space="preserve"> significantly improved </w:t>
            </w:r>
            <w:r w:rsidR="0075774C" w:rsidRPr="00C60EDA">
              <w:rPr>
                <w:rFonts w:cstheme="minorHAnsi"/>
              </w:rPr>
              <w:t>Montogomery-</w:t>
            </w:r>
            <w:proofErr w:type="spellStart"/>
            <w:r w:rsidR="0075774C" w:rsidRPr="00C60EDA">
              <w:t>Å</w:t>
            </w:r>
            <w:r w:rsidR="0075774C" w:rsidRPr="00C60EDA">
              <w:rPr>
                <w:rFonts w:cstheme="minorHAnsi"/>
              </w:rPr>
              <w:t>sberg</w:t>
            </w:r>
            <w:proofErr w:type="spellEnd"/>
            <w:r w:rsidR="0075774C" w:rsidRPr="00C60EDA">
              <w:rPr>
                <w:rFonts w:cstheme="minorHAnsi"/>
              </w:rPr>
              <w:t xml:space="preserve"> Depression Rating Scale (MADRS)</w:t>
            </w:r>
            <w:r w:rsidR="0075774C">
              <w:rPr>
                <w:rFonts w:cstheme="minorHAnsi"/>
              </w:rPr>
              <w:t xml:space="preserve"> </w:t>
            </w:r>
            <w:r w:rsidRPr="00C803F9">
              <w:t xml:space="preserve">scores compared to placebo (paired </w:t>
            </w:r>
            <w:r w:rsidRPr="00C803F9">
              <w:rPr>
                <w:i/>
                <w:iCs/>
              </w:rPr>
              <w:t>t</w:t>
            </w:r>
            <w:r w:rsidRPr="00C803F9">
              <w:t xml:space="preserve">-test, p = 0.002). </w:t>
            </w:r>
            <w:r w:rsidRPr="00C803F9">
              <w:rPr>
                <w:b/>
                <w:bCs/>
              </w:rPr>
              <w:t>B</w:t>
            </w:r>
            <w:r w:rsidRPr="00C803F9">
              <w:t xml:space="preserve"> Ketamine showed a trend effect to improve </w:t>
            </w:r>
            <w:r w:rsidR="0075774C">
              <w:t>Snaith Hamilton P</w:t>
            </w:r>
            <w:r w:rsidR="00936852">
              <w:t>leasure Scale (</w:t>
            </w:r>
            <w:r w:rsidRPr="00C803F9">
              <w:t>SHAPS</w:t>
            </w:r>
            <w:r w:rsidR="00936852">
              <w:t>)</w:t>
            </w:r>
            <w:r w:rsidRPr="00C803F9">
              <w:t xml:space="preserve"> scores compared to placebo (paired </w:t>
            </w:r>
            <w:r w:rsidRPr="00C803F9">
              <w:rPr>
                <w:i/>
                <w:iCs/>
              </w:rPr>
              <w:t>t</w:t>
            </w:r>
            <w:r w:rsidRPr="00C803F9">
              <w:t>-test, p = 0.057).</w:t>
            </w:r>
            <w:r w:rsidR="008B4BAB">
              <w:t xml:space="preserve"> </w:t>
            </w:r>
            <w:r w:rsidR="008B4BAB">
              <w:rPr>
                <w:b/>
                <w:bCs/>
              </w:rPr>
              <w:t>C</w:t>
            </w:r>
            <w:r w:rsidR="008B4BAB">
              <w:t xml:space="preserve"> </w:t>
            </w:r>
            <w:r w:rsidR="008B4BAB" w:rsidRPr="00C803F9">
              <w:t>Ketamine significantly improved</w:t>
            </w:r>
            <w:r w:rsidR="001A3B97">
              <w:t xml:space="preserve"> Temporal Experience of Pleasure Scale</w:t>
            </w:r>
            <w:r w:rsidR="008B4BAB" w:rsidRPr="00C803F9">
              <w:t xml:space="preserve"> </w:t>
            </w:r>
            <w:r w:rsidR="001A3B97">
              <w:t>(</w:t>
            </w:r>
            <w:r w:rsidR="008B4BAB">
              <w:t>TEPS</w:t>
            </w:r>
            <w:r w:rsidR="001A3B97">
              <w:t>)</w:t>
            </w:r>
            <w:r w:rsidR="008B4BAB">
              <w:t>-anticipatory</w:t>
            </w:r>
            <w:r w:rsidR="008B4BAB" w:rsidRPr="00C803F9">
              <w:t xml:space="preserve"> scores compared to placebo (paired </w:t>
            </w:r>
            <w:r w:rsidR="008B4BAB" w:rsidRPr="00C803F9">
              <w:rPr>
                <w:i/>
                <w:iCs/>
              </w:rPr>
              <w:t>t</w:t>
            </w:r>
            <w:r w:rsidR="008B4BAB" w:rsidRPr="00C803F9">
              <w:t>-test, p = 0.</w:t>
            </w:r>
            <w:r w:rsidR="001D2DE9">
              <w:t>038</w:t>
            </w:r>
            <w:r w:rsidR="008B4BAB" w:rsidRPr="00C803F9">
              <w:t xml:space="preserve">). </w:t>
            </w:r>
            <w:r w:rsidR="008B4BAB" w:rsidRPr="008B4BAB">
              <w:rPr>
                <w:b/>
                <w:bCs/>
              </w:rPr>
              <w:t>D</w:t>
            </w:r>
            <w:r w:rsidR="008B4BAB">
              <w:t xml:space="preserve"> </w:t>
            </w:r>
            <w:r w:rsidR="008B4BAB" w:rsidRPr="008B4BAB">
              <w:t>Ketamine</w:t>
            </w:r>
            <w:r w:rsidR="008B4BAB" w:rsidRPr="00C803F9">
              <w:t xml:space="preserve"> significantly improved </w:t>
            </w:r>
            <w:r w:rsidR="007F7CB6">
              <w:t>TEPS-consummatory</w:t>
            </w:r>
            <w:r w:rsidR="008B4BAB" w:rsidRPr="00C803F9">
              <w:t xml:space="preserve"> scores compared to placebo (paired </w:t>
            </w:r>
            <w:r w:rsidR="008B4BAB" w:rsidRPr="00C803F9">
              <w:rPr>
                <w:i/>
                <w:iCs/>
              </w:rPr>
              <w:t>t</w:t>
            </w:r>
            <w:r w:rsidR="008B4BAB" w:rsidRPr="00C803F9">
              <w:t>-test, p = 0.</w:t>
            </w:r>
            <w:r w:rsidR="001D2DE9">
              <w:t>018</w:t>
            </w:r>
            <w:r w:rsidR="008B4BAB" w:rsidRPr="00C803F9">
              <w:t>).</w:t>
            </w:r>
          </w:p>
        </w:tc>
      </w:tr>
    </w:tbl>
    <w:p w14:paraId="53FCD920" w14:textId="77777777" w:rsidR="00A94343" w:rsidRPr="00C803F9" w:rsidRDefault="00A94343" w:rsidP="00A94343">
      <w:r w:rsidRPr="00C803F9">
        <w:t xml:space="preserve"> </w:t>
      </w:r>
    </w:p>
    <w:p w14:paraId="3887EDB8" w14:textId="659039AC" w:rsidR="00A94343" w:rsidRPr="00C803F9" w:rsidRDefault="00A94343" w:rsidP="00A94343"/>
    <w:p w14:paraId="082FC032" w14:textId="2443B173" w:rsidR="00A94343" w:rsidRPr="00A94343" w:rsidRDefault="00A94343" w:rsidP="00A94343"/>
    <w:sectPr w:rsidR="00A94343" w:rsidRPr="00A943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A0BD3"/>
    <w:multiLevelType w:val="hybridMultilevel"/>
    <w:tmpl w:val="AD204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648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343"/>
    <w:rsid w:val="000D7839"/>
    <w:rsid w:val="00191138"/>
    <w:rsid w:val="001A3B97"/>
    <w:rsid w:val="001D2DE9"/>
    <w:rsid w:val="00244F2F"/>
    <w:rsid w:val="00277E40"/>
    <w:rsid w:val="002F1773"/>
    <w:rsid w:val="002F4228"/>
    <w:rsid w:val="002F7AB3"/>
    <w:rsid w:val="00305A8C"/>
    <w:rsid w:val="00341590"/>
    <w:rsid w:val="00357733"/>
    <w:rsid w:val="003B1612"/>
    <w:rsid w:val="003D3F2B"/>
    <w:rsid w:val="003E281F"/>
    <w:rsid w:val="003F2FD3"/>
    <w:rsid w:val="00552B1C"/>
    <w:rsid w:val="00585125"/>
    <w:rsid w:val="00631875"/>
    <w:rsid w:val="006C2A90"/>
    <w:rsid w:val="007036D2"/>
    <w:rsid w:val="0075774C"/>
    <w:rsid w:val="007600CD"/>
    <w:rsid w:val="007F7CB6"/>
    <w:rsid w:val="00831B0F"/>
    <w:rsid w:val="008B4BAB"/>
    <w:rsid w:val="008B51CB"/>
    <w:rsid w:val="008D2852"/>
    <w:rsid w:val="008F0C51"/>
    <w:rsid w:val="00936852"/>
    <w:rsid w:val="00992BDA"/>
    <w:rsid w:val="009A1490"/>
    <w:rsid w:val="009A23C9"/>
    <w:rsid w:val="00A94343"/>
    <w:rsid w:val="00AA750F"/>
    <w:rsid w:val="00B20C4F"/>
    <w:rsid w:val="00B47DB0"/>
    <w:rsid w:val="00BD6B6B"/>
    <w:rsid w:val="00CC3AB3"/>
    <w:rsid w:val="00D86C4A"/>
    <w:rsid w:val="00DD7D23"/>
    <w:rsid w:val="00DE40F1"/>
    <w:rsid w:val="00E2042E"/>
    <w:rsid w:val="00E30C80"/>
    <w:rsid w:val="00E62898"/>
    <w:rsid w:val="00E77F1B"/>
    <w:rsid w:val="00EA3291"/>
    <w:rsid w:val="00F7388F"/>
    <w:rsid w:val="00FA70F0"/>
    <w:rsid w:val="00FF00AF"/>
    <w:rsid w:val="00FF21C8"/>
    <w:rsid w:val="00FF2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D4ECD"/>
  <w15:chartTrackingRefBased/>
  <w15:docId w15:val="{E1DA912F-D559-4E32-BFB9-C6F3A16C9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943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43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434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343"/>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A94343"/>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A94343"/>
    <w:rPr>
      <w:rFonts w:asciiTheme="majorHAnsi" w:eastAsiaTheme="majorEastAsia" w:hAnsiTheme="majorHAnsi" w:cstheme="majorBidi"/>
      <w:color w:val="1F3763" w:themeColor="accent1" w:themeShade="7F"/>
      <w:sz w:val="24"/>
      <w:szCs w:val="24"/>
      <w:lang w:val="en-US"/>
    </w:rPr>
  </w:style>
  <w:style w:type="table" w:styleId="TableGrid">
    <w:name w:val="Table Grid"/>
    <w:basedOn w:val="TableNormal"/>
    <w:uiPriority w:val="39"/>
    <w:rsid w:val="00A94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52B1C"/>
    <w:pPr>
      <w:spacing w:after="0" w:line="480" w:lineRule="auto"/>
      <w:ind w:left="720" w:hanging="720"/>
    </w:pPr>
  </w:style>
  <w:style w:type="paragraph" w:styleId="ListParagraph">
    <w:name w:val="List Paragraph"/>
    <w:basedOn w:val="Normal"/>
    <w:uiPriority w:val="34"/>
    <w:qFormat/>
    <w:rsid w:val="009A23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74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4056</Words>
  <Characters>23124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Laith Alexander</dc:creator>
  <cp:keywords/>
  <dc:description/>
  <cp:lastModifiedBy>Laith Alexander</cp:lastModifiedBy>
  <cp:revision>25</cp:revision>
  <dcterms:created xsi:type="dcterms:W3CDTF">2023-11-14T20:14:00Z</dcterms:created>
  <dcterms:modified xsi:type="dcterms:W3CDTF">2023-11-14T21:57:00Z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id="wr3rrUJt"/&gt;&lt;style id="http://www.zotero.org/styles/apa" locale="en-US" hasBibliography="1" bibliographyStyleHasBeenSet="1"/&gt;&lt;prefs&gt;&lt;pref name="fieldType" value="Field"/&gt;&lt;/prefs&gt;&lt;/data&gt;</vt:lpwstr>
  </property>
</Properties>
</file>