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B2365" w14:textId="64E29637" w:rsidR="000701A8" w:rsidRDefault="000701A8" w:rsidP="000701A8">
      <w:pPr>
        <w:pStyle w:val="Title"/>
      </w:pPr>
      <w:r>
        <w:t xml:space="preserve">Reliability of sucrose preference testing following </w:t>
      </w:r>
      <w:r w:rsidRPr="000868E0">
        <w:t xml:space="preserve">short or no </w:t>
      </w:r>
      <w:r>
        <w:t xml:space="preserve">food and water </w:t>
      </w:r>
      <w:r w:rsidR="00094625">
        <w:t>deprivation</w:t>
      </w:r>
      <w:r w:rsidRPr="000868E0">
        <w:t xml:space="preserve"> </w:t>
      </w:r>
      <w:r>
        <w:t>- a Systematic Review and Meta–Analysis of rat models of chronic unpredictable stress</w:t>
      </w:r>
    </w:p>
    <w:p w14:paraId="473FE534" w14:textId="6920B20A" w:rsidR="007B3C5B" w:rsidRDefault="00370743">
      <w:pPr>
        <w:pStyle w:val="Title"/>
      </w:pPr>
      <w:r>
        <w:t>Supplementary material</w:t>
      </w:r>
    </w:p>
    <w:p w14:paraId="7948CFF5" w14:textId="77777777" w:rsidR="007B3C5B" w:rsidRPr="004E5AC3" w:rsidRDefault="00370743">
      <w:pPr>
        <w:pStyle w:val="Author"/>
      </w:pPr>
      <w:r w:rsidRPr="004E5AC3">
        <w:t>Jenny P. Berrio</w:t>
      </w:r>
      <w:r w:rsidRPr="004E5AC3">
        <w:rPr>
          <w:vertAlign w:val="superscript"/>
        </w:rPr>
        <w:t>1</w:t>
      </w:r>
      <w:r w:rsidRPr="004E5AC3">
        <w:t>, Sara Hestehave</w:t>
      </w:r>
      <w:r w:rsidRPr="004E5AC3">
        <w:rPr>
          <w:vertAlign w:val="superscript"/>
        </w:rPr>
        <w:t>2</w:t>
      </w:r>
      <w:r w:rsidRPr="004E5AC3">
        <w:t>, Otto Kalliokoski</w:t>
      </w:r>
      <w:r w:rsidRPr="004E5AC3">
        <w:rPr>
          <w:vertAlign w:val="superscript"/>
        </w:rPr>
        <w:t>1</w:t>
      </w:r>
    </w:p>
    <w:p w14:paraId="7622C8A1" w14:textId="77777777" w:rsidR="00847C9A" w:rsidRDefault="00847C9A" w:rsidP="00847C9A">
      <w:pPr>
        <w:pStyle w:val="Heading1"/>
      </w:pPr>
      <w:r>
        <w:t>Methods</w:t>
      </w:r>
    </w:p>
    <w:p w14:paraId="48269231" w14:textId="77777777" w:rsidR="007B3C5B" w:rsidRDefault="00370743">
      <w:pPr>
        <w:pStyle w:val="Heading2"/>
      </w:pPr>
      <w:bookmarkStart w:id="0" w:name="registration-and-open-access-data"/>
      <w:r>
        <w:t>Registration and open access data</w:t>
      </w:r>
    </w:p>
    <w:p w14:paraId="0AC34097" w14:textId="77777777" w:rsidR="007B3C5B" w:rsidRDefault="00370743">
      <w:pPr>
        <w:pStyle w:val="FirstParagraph"/>
      </w:pPr>
      <w:r>
        <w:t xml:space="preserve">Access to the pre-registered protocol can be found here: </w:t>
      </w:r>
      <w:hyperlink r:id="rId8">
        <w:r>
          <w:rPr>
            <w:rStyle w:val="Hyperlink"/>
          </w:rPr>
          <w:t>https://www.crd.york.ac.uk/prospero/display_record.php?RecordID=259015</w:t>
        </w:r>
      </w:hyperlink>
    </w:p>
    <w:p w14:paraId="7F918BB6" w14:textId="2ADE9483" w:rsidR="007B3C5B" w:rsidRDefault="00770C97">
      <w:pPr>
        <w:pStyle w:val="BodyText"/>
      </w:pPr>
      <w:r>
        <w:t>Access to</w:t>
      </w:r>
      <w:r w:rsidR="00AA7E00" w:rsidRPr="0018006E">
        <w:rPr>
          <w:color w:val="00B050"/>
        </w:rPr>
        <w:t xml:space="preserve"> </w:t>
      </w:r>
      <w:r w:rsidR="00AA7E00" w:rsidRPr="00AA7E00">
        <w:t>the code,</w:t>
      </w:r>
      <w:r w:rsidRPr="00AA7E00">
        <w:t xml:space="preserve"> </w:t>
      </w:r>
      <w:r>
        <w:t xml:space="preserve">additional files </w:t>
      </w:r>
      <w:r w:rsidR="00370743">
        <w:t xml:space="preserve">and data sets can be found here: </w:t>
      </w:r>
      <w:hyperlink r:id="rId9">
        <w:r w:rsidR="00370743">
          <w:rPr>
            <w:rStyle w:val="Hyperlink"/>
          </w:rPr>
          <w:t>https://osf.io/wdba5/</w:t>
        </w:r>
      </w:hyperlink>
      <w:r w:rsidR="00370743">
        <w:t xml:space="preserve"> </w:t>
      </w:r>
      <w:proofErr w:type="gramStart"/>
      <w:r w:rsidR="00370743">
        <w:t>Throughout</w:t>
      </w:r>
      <w:proofErr w:type="gramEnd"/>
      <w:r w:rsidR="00370743">
        <w:t xml:space="preserve"> the text you will find references to specific files found in this </w:t>
      </w:r>
      <w:r w:rsidR="00A015E3">
        <w:t>repository</w:t>
      </w:r>
      <w:r w:rsidR="00370743">
        <w:t>.</w:t>
      </w:r>
    </w:p>
    <w:p w14:paraId="5703416B" w14:textId="77777777" w:rsidR="00A36ADA" w:rsidRPr="00C15297" w:rsidRDefault="00A36ADA" w:rsidP="00A36ADA">
      <w:pPr>
        <w:pStyle w:val="Heading3"/>
      </w:pPr>
      <w:r>
        <w:rPr>
          <w:i/>
          <w:iCs/>
        </w:rPr>
        <w:t>Deviations from the pre-registered protocol</w:t>
      </w:r>
    </w:p>
    <w:p w14:paraId="32F195E4" w14:textId="34491E2D" w:rsidR="00A36ADA" w:rsidRDefault="00A36ADA" w:rsidP="00A36ADA">
      <w:pPr>
        <w:pStyle w:val="FirstParagraph"/>
        <w:jc w:val="both"/>
      </w:pPr>
      <w:r w:rsidRPr="0028634F">
        <w:t xml:space="preserve">Pairwise </w:t>
      </w:r>
      <w:r w:rsidRPr="0028634F">
        <w:rPr>
          <w:i/>
        </w:rPr>
        <w:t>post hoc</w:t>
      </w:r>
      <w:r w:rsidRPr="0028634F">
        <w:t xml:space="preserve"> analyses of experiments that reported more than one SPT outcome measure in the same cohorts of animals were added to the original protocol for this study. These analyses were performed after confirming that more than 4 studies could be included. An additional sensitivity analysis was performed to check for the robustness of the meta-analyses where the restricted maximum likelihood (REML) estimator of heterogeneity was used instead.</w:t>
      </w:r>
      <w:r>
        <w:t xml:space="preserve"> </w:t>
      </w:r>
      <w:r w:rsidRPr="0028634F">
        <w:t xml:space="preserve">We performed these extra analyses to further explore our data and to understand the </w:t>
      </w:r>
      <w:r w:rsidRPr="00B160E2">
        <w:t xml:space="preserve">possible effect of outcome measure on the observed pooled effect. As a </w:t>
      </w:r>
      <w:r w:rsidRPr="00B160E2">
        <w:rPr>
          <w:i/>
        </w:rPr>
        <w:t>post hoc</w:t>
      </w:r>
      <w:r w:rsidRPr="00B160E2">
        <w:t xml:space="preserve"> analysis, ten percent of the studies that were excluded because of long periods of food and/or water deprivation prior to the sucrose preference test were randomly selected to further explore the influence of fasting through a meta-regression analysis. </w:t>
      </w:r>
      <w:r w:rsidRPr="0028634F">
        <w:t xml:space="preserve">To facilitate interpretation, a simple funnel plot, instead of a contour-enhanced funnel plot is presented. The funnel plot and Egger’s regression of the experiments reporting preference as the outcome were conducted as a </w:t>
      </w:r>
      <w:r w:rsidRPr="0028634F">
        <w:rPr>
          <w:i/>
        </w:rPr>
        <w:t>post hoc</w:t>
      </w:r>
      <w:r w:rsidRPr="0028634F">
        <w:t xml:space="preserve"> analysis. A funnel plot using the (raw) mean difference against its SE is recommended when assessing for small study effects in meta-analysis of preclinical studies because it is not associated with any artifactual asymmetry</w:t>
      </w:r>
      <w:r w:rsidRPr="0028634F">
        <w:fldChar w:fldCharType="begin" w:fldLock="1"/>
      </w:r>
      <w:r w:rsidR="00F24A26">
        <w:instrText>ADDIN CSL_CITATION {"citationItems":[{"id":"ITEM-1","itemData":{"DOI":"10.7554/ELIFE.24260","ISSN":"2050084X","PMID":"28884685","abstract":"Meta-analyses are increasingly used for synthesis of evidence from biomedical research, and often include an assessment of publication bias based on visual or analytical detection of asymmetry in funnel plots. We studied the influence of different normalisation approaches, sample size and intervention effects on funnel plot asymmetry, using empirical datasets and illustrative simulations. We found that funnel plots of the Standardized Mean Difference (SMD) plotted against the standard error (SE) are susceptible to distortion, leading to overestimation of the existence and extent of publication bias. Distortion was more severe when the primary studies had a small sample size and when an intervention effect was present. We show that using the Normalised Mean Difference measure as effect size (when possible), or plotting the SMD against a sample size-based precision estimate, are more reliable alternatives. We conclude that funnel plots using the SMD in combination with the SE are unsuitable for publication bias assessments and can lead to false-positive results.","author":[{"dropping-particle":"","family":"Zwetsloot","given":"Peter Paul","non-dropping-particle":"","parse-names":false,"suffix":""},{"dropping-particle":"","family":"Naald","given":"Mira","non-dropping-particle":"Van Der","parse-names":false,"suffix":""},{"dropping-particle":"","family":"Sena","given":"Emily S.","non-dropping-particle":"","parse-names":false,"suffix":""},{"dropping-particle":"","family":"Howells","given":"David W.","non-dropping-particle":"","parse-names":false,"suffix":""},{"dropping-particle":"","family":"IntHout","given":"Joanna","non-dropping-particle":"","parse-names":false,"suffix":""},{"dropping-particle":"","family":"Groot","given":"Joris A.H.","non-dropping-particle":"De","parse-names":false,"suffix":""},{"dropping-particle":"","family":"Chamuleau","given":"Steven A.J.","non-dropping-particle":"","parse-names":false,"suffix":""},{"dropping-particle":"","family":"MacLeod","given":"Malcolm R.","non-dropping-particle":"","parse-names":false,"suffix":""},{"dropping-particle":"","family":"Wever","given":"Kimberley E.","non-dropping-particle":"","parse-names":false,"suffix":""}],"container-title":"eLife","id":"ITEM-1","issued":{"date-parts":[["2017","9","8"]]},"page":"e24260","publisher":"eLife Sciences Publications Ltd","title":"Standardized mean differences cause funnel plot distortion in publication bias assessments","type":"article-journal","volume":"6"},"uris":["http://www.mendeley.com/documents/?uuid=93415bc5-f74c-3c39-bda8-55143f32577a"]}],"mendeley":{"formattedCitation":"&lt;sup&gt;1&lt;/sup&gt;","plainTextFormattedCitation":"1","previouslyFormattedCitation":"&lt;sup&gt;1&lt;/sup&gt;"},"properties":{"noteIndex":0},"schema":"https://github.com/citation-style-language/schema/raw/master/csl-citation.json"}</w:instrText>
      </w:r>
      <w:r w:rsidRPr="0028634F">
        <w:fldChar w:fldCharType="separate"/>
      </w:r>
      <w:r w:rsidRPr="00A36ADA">
        <w:rPr>
          <w:noProof/>
          <w:vertAlign w:val="superscript"/>
        </w:rPr>
        <w:t>1</w:t>
      </w:r>
      <w:r w:rsidRPr="0028634F">
        <w:fldChar w:fldCharType="end"/>
      </w:r>
      <w:r w:rsidRPr="0028634F">
        <w:t xml:space="preserve">. </w:t>
      </w:r>
    </w:p>
    <w:p w14:paraId="03527378" w14:textId="77777777" w:rsidR="00A36ADA" w:rsidRDefault="00A36ADA">
      <w:pPr>
        <w:pStyle w:val="BodyText"/>
      </w:pPr>
    </w:p>
    <w:p w14:paraId="5D04A5F3" w14:textId="77777777" w:rsidR="00A36ADA" w:rsidRDefault="00A36ADA">
      <w:pPr>
        <w:pStyle w:val="BodyText"/>
      </w:pPr>
    </w:p>
    <w:p w14:paraId="0DA9C16D" w14:textId="77777777" w:rsidR="007B3C5B" w:rsidRDefault="00370743">
      <w:pPr>
        <w:pStyle w:val="Heading2"/>
      </w:pPr>
      <w:bookmarkStart w:id="1" w:name="search-strategy"/>
      <w:bookmarkEnd w:id="0"/>
      <w:r>
        <w:lastRenderedPageBreak/>
        <w:t>Search strategy</w:t>
      </w:r>
    </w:p>
    <w:p w14:paraId="446E3343" w14:textId="6DDA4A5C" w:rsidR="007B3C5B" w:rsidRDefault="00370743" w:rsidP="00847C9A">
      <w:pPr>
        <w:pStyle w:val="FirstParagraph"/>
        <w:jc w:val="both"/>
      </w:pPr>
      <w:r>
        <w:t xml:space="preserve">In all databases, the search </w:t>
      </w:r>
      <w:r w:rsidR="00A015E3">
        <w:t xml:space="preserve">covered a period </w:t>
      </w:r>
      <w:r>
        <w:t>from 1987 (first CUS protocol) to June</w:t>
      </w:r>
      <w:r w:rsidR="00A015E3">
        <w:t xml:space="preserve"> </w:t>
      </w:r>
      <w:r>
        <w:t>2021. No other pre-defined limits were used. Each search string</w:t>
      </w:r>
      <w:r w:rsidR="003438A9">
        <w:t xml:space="preserve"> containing keywords and indexed terms</w:t>
      </w:r>
      <w:r>
        <w:t xml:space="preserve"> was piloted and adapted to exclude terms that yield</w:t>
      </w:r>
      <w:r w:rsidR="00A015E3">
        <w:t>ed</w:t>
      </w:r>
      <w:r>
        <w:t xml:space="preserve"> zero results or significantly decreased the specificity of the search. The final three strings were combined to retrieve the list of potential studies in each database.</w:t>
      </w:r>
    </w:p>
    <w:p w14:paraId="52B161D0" w14:textId="20D5212D" w:rsidR="007B3C5B" w:rsidRDefault="00370743">
      <w:pPr>
        <w:pStyle w:val="BodyText"/>
      </w:pPr>
      <w:r>
        <w:t xml:space="preserve">The complete </w:t>
      </w:r>
      <w:r w:rsidR="00A015E3">
        <w:t xml:space="preserve">search strings were </w:t>
      </w:r>
      <w:r>
        <w:t>as follows:</w:t>
      </w:r>
    </w:p>
    <w:p w14:paraId="7A02458C" w14:textId="77777777" w:rsidR="007B3C5B" w:rsidRDefault="00370743">
      <w:pPr>
        <w:pStyle w:val="Heading3"/>
      </w:pPr>
      <w:bookmarkStart w:id="2" w:name="pubmed"/>
      <w:proofErr w:type="spellStart"/>
      <w:r>
        <w:rPr>
          <w:i/>
          <w:iCs/>
        </w:rPr>
        <w:t>Pubmed</w:t>
      </w:r>
      <w:proofErr w:type="spellEnd"/>
    </w:p>
    <w:p w14:paraId="4432F5A8" w14:textId="77777777" w:rsidR="007B3C5B" w:rsidRDefault="00370743">
      <w:pPr>
        <w:numPr>
          <w:ilvl w:val="0"/>
          <w:numId w:val="2"/>
        </w:numPr>
      </w:pPr>
      <w:r>
        <w:t>“Rats”[Mesh] OR “Rat”[</w:t>
      </w:r>
      <w:proofErr w:type="spellStart"/>
      <w:r>
        <w:t>tiab</w:t>
      </w:r>
      <w:proofErr w:type="spellEnd"/>
      <w:r>
        <w:t>] OR “Rats”[</w:t>
      </w:r>
      <w:proofErr w:type="spellStart"/>
      <w:r>
        <w:t>tiab</w:t>
      </w:r>
      <w:proofErr w:type="spellEnd"/>
      <w:r>
        <w:t>] OR “</w:t>
      </w:r>
      <w:proofErr w:type="spellStart"/>
      <w:r>
        <w:t>Rattus</w:t>
      </w:r>
      <w:proofErr w:type="spellEnd"/>
      <w:r>
        <w:t xml:space="preserve"> </w:t>
      </w:r>
      <w:proofErr w:type="spellStart"/>
      <w:r>
        <w:t>norvegicus</w:t>
      </w:r>
      <w:proofErr w:type="spellEnd"/>
      <w:r>
        <w:t>”[</w:t>
      </w:r>
      <w:proofErr w:type="spellStart"/>
      <w:r>
        <w:t>tiab</w:t>
      </w:r>
      <w:proofErr w:type="spellEnd"/>
      <w:r>
        <w:t>]</w:t>
      </w:r>
    </w:p>
    <w:p w14:paraId="72071A26" w14:textId="77777777" w:rsidR="007B3C5B" w:rsidRDefault="00370743">
      <w:pPr>
        <w:numPr>
          <w:ilvl w:val="0"/>
          <w:numId w:val="2"/>
        </w:numPr>
      </w:pPr>
      <w:r>
        <w:t>“chronic unpredictable mild stress”[</w:t>
      </w:r>
      <w:proofErr w:type="spellStart"/>
      <w:r>
        <w:t>tiab</w:t>
      </w:r>
      <w:proofErr w:type="spellEnd"/>
      <w:r>
        <w:t>] OR “chronic unpredictable stress”[</w:t>
      </w:r>
      <w:proofErr w:type="spellStart"/>
      <w:r>
        <w:t>tiab</w:t>
      </w:r>
      <w:proofErr w:type="spellEnd"/>
      <w:r>
        <w:t>] OR “chronic mild stress”[</w:t>
      </w:r>
      <w:proofErr w:type="spellStart"/>
      <w:r>
        <w:t>tiab</w:t>
      </w:r>
      <w:proofErr w:type="spellEnd"/>
      <w:r>
        <w:t>] OR “mild stress”[</w:t>
      </w:r>
      <w:proofErr w:type="spellStart"/>
      <w:r>
        <w:t>tiab</w:t>
      </w:r>
      <w:proofErr w:type="spellEnd"/>
      <w:r>
        <w:t>] OR “Chronic Unavoidable stress”[</w:t>
      </w:r>
      <w:proofErr w:type="spellStart"/>
      <w:r>
        <w:t>tiab</w:t>
      </w:r>
      <w:proofErr w:type="spellEnd"/>
      <w:r>
        <w:t>] OR “Unpredictable Chronic stress” [</w:t>
      </w:r>
      <w:proofErr w:type="spellStart"/>
      <w:r>
        <w:t>tiab</w:t>
      </w:r>
      <w:proofErr w:type="spellEnd"/>
      <w:r>
        <w:t>] OR “chronic variable stress”[</w:t>
      </w:r>
      <w:proofErr w:type="spellStart"/>
      <w:r>
        <w:t>tiab</w:t>
      </w:r>
      <w:proofErr w:type="spellEnd"/>
      <w:r>
        <w:t>] OR “chronic varied stress”[</w:t>
      </w:r>
      <w:proofErr w:type="spellStart"/>
      <w:r>
        <w:t>tiab</w:t>
      </w:r>
      <w:proofErr w:type="spellEnd"/>
      <w:r>
        <w:t>] OR “chronic variate stress” [</w:t>
      </w:r>
      <w:proofErr w:type="spellStart"/>
      <w:r>
        <w:t>tiab</w:t>
      </w:r>
      <w:proofErr w:type="spellEnd"/>
      <w:r>
        <w:t>] OR “chronic stress depression model”[</w:t>
      </w:r>
      <w:proofErr w:type="spellStart"/>
      <w:r>
        <w:t>tiab</w:t>
      </w:r>
      <w:proofErr w:type="spellEnd"/>
      <w:r>
        <w:t>] OR “ Chronic stress model”[</w:t>
      </w:r>
      <w:proofErr w:type="spellStart"/>
      <w:r>
        <w:t>tiab</w:t>
      </w:r>
      <w:proofErr w:type="spellEnd"/>
      <w:r>
        <w:t>]</w:t>
      </w:r>
    </w:p>
    <w:p w14:paraId="15832822" w14:textId="77777777" w:rsidR="007B3C5B" w:rsidRDefault="00370743">
      <w:pPr>
        <w:numPr>
          <w:ilvl w:val="0"/>
          <w:numId w:val="2"/>
        </w:numPr>
      </w:pPr>
      <w:r>
        <w:t>“sucrose preference test”[</w:t>
      </w:r>
      <w:proofErr w:type="spellStart"/>
      <w:r>
        <w:t>tiab</w:t>
      </w:r>
      <w:proofErr w:type="spellEnd"/>
      <w:r>
        <w:t>] OR “sucrose consumption test”[</w:t>
      </w:r>
      <w:proofErr w:type="spellStart"/>
      <w:r>
        <w:t>tiab</w:t>
      </w:r>
      <w:proofErr w:type="spellEnd"/>
      <w:r>
        <w:t>] OR “sucrose intake test” OR “saccharine preference test”[</w:t>
      </w:r>
      <w:proofErr w:type="spellStart"/>
      <w:r>
        <w:t>tiab</w:t>
      </w:r>
      <w:proofErr w:type="spellEnd"/>
      <w:r>
        <w:t>] OR “saccharin preference test”[</w:t>
      </w:r>
      <w:proofErr w:type="spellStart"/>
      <w:r>
        <w:t>tiab</w:t>
      </w:r>
      <w:proofErr w:type="spellEnd"/>
      <w:r>
        <w:t>] OR “sucrose preference”[</w:t>
      </w:r>
      <w:proofErr w:type="spellStart"/>
      <w:r>
        <w:t>tiab</w:t>
      </w:r>
      <w:proofErr w:type="spellEnd"/>
      <w:r>
        <w:t>] OR “saccharine preference”[</w:t>
      </w:r>
      <w:proofErr w:type="spellStart"/>
      <w:r>
        <w:t>tiab</w:t>
      </w:r>
      <w:proofErr w:type="spellEnd"/>
      <w:r>
        <w:t>] OR “saccharin preference”[</w:t>
      </w:r>
      <w:proofErr w:type="spellStart"/>
      <w:r>
        <w:t>tiab</w:t>
      </w:r>
      <w:proofErr w:type="spellEnd"/>
      <w:r>
        <w:t>] OR “sucrose consumption”[</w:t>
      </w:r>
      <w:proofErr w:type="spellStart"/>
      <w:r>
        <w:t>tiab</w:t>
      </w:r>
      <w:proofErr w:type="spellEnd"/>
      <w:r>
        <w:t>] OR “sucrose intake”[</w:t>
      </w:r>
      <w:proofErr w:type="spellStart"/>
      <w:r>
        <w:t>tiab</w:t>
      </w:r>
      <w:proofErr w:type="spellEnd"/>
      <w:r>
        <w:t>] OR “anhedonia”[</w:t>
      </w:r>
      <w:proofErr w:type="spellStart"/>
      <w:r>
        <w:t>tiab</w:t>
      </w:r>
      <w:proofErr w:type="spellEnd"/>
      <w:r>
        <w:t>]</w:t>
      </w:r>
    </w:p>
    <w:p w14:paraId="63A74B6F" w14:textId="77777777" w:rsidR="007B3C5B" w:rsidRDefault="00370743">
      <w:pPr>
        <w:pStyle w:val="Heading3"/>
      </w:pPr>
      <w:bookmarkStart w:id="3" w:name="embase"/>
      <w:bookmarkEnd w:id="2"/>
      <w:proofErr w:type="spellStart"/>
      <w:r>
        <w:rPr>
          <w:i/>
          <w:iCs/>
        </w:rPr>
        <w:t>Embase</w:t>
      </w:r>
      <w:proofErr w:type="spellEnd"/>
    </w:p>
    <w:p w14:paraId="2405CC2D" w14:textId="77777777" w:rsidR="007B3C5B" w:rsidRDefault="00370743">
      <w:pPr>
        <w:numPr>
          <w:ilvl w:val="0"/>
          <w:numId w:val="3"/>
        </w:numPr>
      </w:pPr>
      <w:proofErr w:type="spellStart"/>
      <w:proofErr w:type="gramStart"/>
      <w:r>
        <w:t>exp</w:t>
      </w:r>
      <w:proofErr w:type="spellEnd"/>
      <w:proofErr w:type="gramEnd"/>
      <w:r>
        <w:t xml:space="preserve"> rat/ or “rats”.</w:t>
      </w:r>
      <w:proofErr w:type="spellStart"/>
      <w:r>
        <w:t>mp</w:t>
      </w:r>
      <w:proofErr w:type="spellEnd"/>
      <w:r>
        <w:t xml:space="preserve">. </w:t>
      </w:r>
      <w:proofErr w:type="gramStart"/>
      <w:r>
        <w:t>or</w:t>
      </w:r>
      <w:proofErr w:type="gramEnd"/>
      <w:r>
        <w:t xml:space="preserve"> “rat”.</w:t>
      </w:r>
      <w:proofErr w:type="spellStart"/>
      <w:r>
        <w:t>mp</w:t>
      </w:r>
      <w:proofErr w:type="spellEnd"/>
      <w:r>
        <w:t xml:space="preserve">. </w:t>
      </w:r>
      <w:proofErr w:type="gramStart"/>
      <w:r>
        <w:t>or</w:t>
      </w:r>
      <w:proofErr w:type="gramEnd"/>
      <w:r>
        <w:t xml:space="preserve"> “</w:t>
      </w:r>
      <w:proofErr w:type="spellStart"/>
      <w:r>
        <w:t>Rattus</w:t>
      </w:r>
      <w:proofErr w:type="spellEnd"/>
      <w:r>
        <w:t xml:space="preserve"> </w:t>
      </w:r>
      <w:proofErr w:type="spellStart"/>
      <w:r>
        <w:t>norvegicus</w:t>
      </w:r>
      <w:proofErr w:type="spellEnd"/>
      <w:r>
        <w:t>”.</w:t>
      </w:r>
      <w:proofErr w:type="spellStart"/>
      <w:r>
        <w:t>mp</w:t>
      </w:r>
      <w:proofErr w:type="spellEnd"/>
      <w:r>
        <w:t xml:space="preserve">. </w:t>
      </w:r>
      <w:proofErr w:type="gramStart"/>
      <w:r>
        <w:t>or</w:t>
      </w:r>
      <w:proofErr w:type="gramEnd"/>
      <w:r>
        <w:t xml:space="preserve"> “R. </w:t>
      </w:r>
      <w:proofErr w:type="spellStart"/>
      <w:r>
        <w:t>norvegicus</w:t>
      </w:r>
      <w:proofErr w:type="spellEnd"/>
      <w:r>
        <w:t>”.</w:t>
      </w:r>
      <w:proofErr w:type="spellStart"/>
      <w:r>
        <w:t>mp</w:t>
      </w:r>
      <w:proofErr w:type="spellEnd"/>
      <w:r>
        <w:t>.</w:t>
      </w:r>
    </w:p>
    <w:p w14:paraId="0D768E93" w14:textId="77777777" w:rsidR="007B3C5B" w:rsidRDefault="00370743">
      <w:pPr>
        <w:numPr>
          <w:ilvl w:val="0"/>
          <w:numId w:val="3"/>
        </w:numPr>
      </w:pPr>
      <w:proofErr w:type="spellStart"/>
      <w:proofErr w:type="gramStart"/>
      <w:r>
        <w:t>exp</w:t>
      </w:r>
      <w:proofErr w:type="spellEnd"/>
      <w:proofErr w:type="gramEnd"/>
      <w:r>
        <w:t xml:space="preserve"> chronic unpredictable stress/ or “CUMS”.</w:t>
      </w:r>
      <w:proofErr w:type="spellStart"/>
      <w:r>
        <w:t>mp</w:t>
      </w:r>
      <w:proofErr w:type="spellEnd"/>
      <w:r>
        <w:t xml:space="preserve">. </w:t>
      </w:r>
      <w:proofErr w:type="gramStart"/>
      <w:r>
        <w:t>or</w:t>
      </w:r>
      <w:proofErr w:type="gramEnd"/>
      <w:r>
        <w:t xml:space="preserve"> “chronic unpredictable mild stress”.</w:t>
      </w:r>
      <w:proofErr w:type="spellStart"/>
      <w:r>
        <w:t>mp</w:t>
      </w:r>
      <w:proofErr w:type="spellEnd"/>
      <w:r>
        <w:t xml:space="preserve">. </w:t>
      </w:r>
      <w:proofErr w:type="gramStart"/>
      <w:r>
        <w:t>or</w:t>
      </w:r>
      <w:proofErr w:type="gramEnd"/>
      <w:r>
        <w:t xml:space="preserve"> “chronic mild stress”.</w:t>
      </w:r>
      <w:proofErr w:type="spellStart"/>
      <w:r>
        <w:t>mp</w:t>
      </w:r>
      <w:proofErr w:type="spellEnd"/>
      <w:r>
        <w:t xml:space="preserve">. </w:t>
      </w:r>
      <w:proofErr w:type="gramStart"/>
      <w:r>
        <w:t>or</w:t>
      </w:r>
      <w:proofErr w:type="gramEnd"/>
      <w:r>
        <w:t xml:space="preserve"> “mild stress”.</w:t>
      </w:r>
      <w:proofErr w:type="spellStart"/>
      <w:r>
        <w:t>mp</w:t>
      </w:r>
      <w:proofErr w:type="spellEnd"/>
      <w:r>
        <w:t xml:space="preserve">. </w:t>
      </w:r>
      <w:proofErr w:type="gramStart"/>
      <w:r>
        <w:t>or</w:t>
      </w:r>
      <w:proofErr w:type="gramEnd"/>
      <w:r>
        <w:t xml:space="preserve"> “Chronic Unavoidable stress”.</w:t>
      </w:r>
      <w:proofErr w:type="spellStart"/>
      <w:r>
        <w:t>mp</w:t>
      </w:r>
      <w:proofErr w:type="spellEnd"/>
      <w:r>
        <w:t xml:space="preserve">. </w:t>
      </w:r>
      <w:proofErr w:type="gramStart"/>
      <w:r>
        <w:t>or</w:t>
      </w:r>
      <w:proofErr w:type="gramEnd"/>
      <w:r>
        <w:t xml:space="preserve"> “chronic unpredictable stress”.</w:t>
      </w:r>
      <w:proofErr w:type="spellStart"/>
      <w:r>
        <w:t>mp</w:t>
      </w:r>
      <w:proofErr w:type="spellEnd"/>
      <w:r>
        <w:t xml:space="preserve">. </w:t>
      </w:r>
      <w:proofErr w:type="gramStart"/>
      <w:r>
        <w:t>or</w:t>
      </w:r>
      <w:proofErr w:type="gramEnd"/>
      <w:r>
        <w:t xml:space="preserve"> “Unpredictable Chronic stress”.</w:t>
      </w:r>
      <w:proofErr w:type="spellStart"/>
      <w:r>
        <w:t>mp</w:t>
      </w:r>
      <w:proofErr w:type="spellEnd"/>
      <w:r>
        <w:t xml:space="preserve">. </w:t>
      </w:r>
      <w:proofErr w:type="gramStart"/>
      <w:r>
        <w:t>or</w:t>
      </w:r>
      <w:proofErr w:type="gramEnd"/>
      <w:r>
        <w:t xml:space="preserve"> “chronic variable stress”.</w:t>
      </w:r>
      <w:proofErr w:type="spellStart"/>
      <w:r>
        <w:t>mp</w:t>
      </w:r>
      <w:proofErr w:type="spellEnd"/>
      <w:r>
        <w:t xml:space="preserve">. </w:t>
      </w:r>
      <w:proofErr w:type="gramStart"/>
      <w:r>
        <w:t>or</w:t>
      </w:r>
      <w:proofErr w:type="gramEnd"/>
      <w:r>
        <w:t xml:space="preserve"> “chronic varied stress”.</w:t>
      </w:r>
      <w:proofErr w:type="spellStart"/>
      <w:r>
        <w:t>mp</w:t>
      </w:r>
      <w:proofErr w:type="spellEnd"/>
      <w:r>
        <w:t xml:space="preserve">. </w:t>
      </w:r>
      <w:proofErr w:type="gramStart"/>
      <w:r>
        <w:t>or</w:t>
      </w:r>
      <w:proofErr w:type="gramEnd"/>
      <w:r>
        <w:t xml:space="preserve"> “chronic variate stress”.</w:t>
      </w:r>
      <w:proofErr w:type="spellStart"/>
      <w:r>
        <w:t>mp</w:t>
      </w:r>
      <w:proofErr w:type="spellEnd"/>
      <w:r>
        <w:t xml:space="preserve">. </w:t>
      </w:r>
      <w:proofErr w:type="gramStart"/>
      <w:r>
        <w:t>or</w:t>
      </w:r>
      <w:proofErr w:type="gramEnd"/>
      <w:r>
        <w:t xml:space="preserve"> “chronic stress depression model”.</w:t>
      </w:r>
      <w:proofErr w:type="spellStart"/>
      <w:r>
        <w:t>mp</w:t>
      </w:r>
      <w:proofErr w:type="spellEnd"/>
      <w:r>
        <w:t xml:space="preserve">. </w:t>
      </w:r>
      <w:proofErr w:type="gramStart"/>
      <w:r>
        <w:t>or</w:t>
      </w:r>
      <w:proofErr w:type="gramEnd"/>
      <w:r>
        <w:t xml:space="preserve"> “Chronic stress model”.</w:t>
      </w:r>
      <w:proofErr w:type="spellStart"/>
      <w:r>
        <w:t>mp</w:t>
      </w:r>
      <w:proofErr w:type="spellEnd"/>
      <w:r>
        <w:t>.</w:t>
      </w:r>
    </w:p>
    <w:p w14:paraId="18486809" w14:textId="77777777" w:rsidR="007B3C5B" w:rsidRDefault="00370743">
      <w:pPr>
        <w:numPr>
          <w:ilvl w:val="0"/>
          <w:numId w:val="3"/>
        </w:numPr>
      </w:pPr>
      <w:proofErr w:type="spellStart"/>
      <w:proofErr w:type="gramStart"/>
      <w:r>
        <w:t>exp</w:t>
      </w:r>
      <w:proofErr w:type="spellEnd"/>
      <w:proofErr w:type="gramEnd"/>
      <w:r>
        <w:t xml:space="preserve"> sucrose preference test/ or “sucrose preference test”.</w:t>
      </w:r>
      <w:proofErr w:type="spellStart"/>
      <w:r>
        <w:t>mp</w:t>
      </w:r>
      <w:proofErr w:type="spellEnd"/>
      <w:r>
        <w:t xml:space="preserve">. </w:t>
      </w:r>
      <w:proofErr w:type="gramStart"/>
      <w:r>
        <w:t>or</w:t>
      </w:r>
      <w:proofErr w:type="gramEnd"/>
      <w:r>
        <w:t xml:space="preserve"> “sucrose consumption test”.</w:t>
      </w:r>
      <w:proofErr w:type="spellStart"/>
      <w:r>
        <w:t>mp</w:t>
      </w:r>
      <w:proofErr w:type="spellEnd"/>
      <w:r>
        <w:t xml:space="preserve">. </w:t>
      </w:r>
      <w:proofErr w:type="gramStart"/>
      <w:r>
        <w:t>or</w:t>
      </w:r>
      <w:proofErr w:type="gramEnd"/>
      <w:r>
        <w:t xml:space="preserve"> “sucrose intake test”.</w:t>
      </w:r>
      <w:proofErr w:type="spellStart"/>
      <w:r>
        <w:t>mp</w:t>
      </w:r>
      <w:proofErr w:type="spellEnd"/>
      <w:r>
        <w:t xml:space="preserve">. </w:t>
      </w:r>
      <w:proofErr w:type="gramStart"/>
      <w:r>
        <w:t>or</w:t>
      </w:r>
      <w:proofErr w:type="gramEnd"/>
      <w:r>
        <w:t xml:space="preserve"> “saccharine preference test”.</w:t>
      </w:r>
      <w:proofErr w:type="spellStart"/>
      <w:r>
        <w:t>mp</w:t>
      </w:r>
      <w:proofErr w:type="spellEnd"/>
      <w:r>
        <w:t xml:space="preserve">. </w:t>
      </w:r>
      <w:proofErr w:type="gramStart"/>
      <w:r>
        <w:t>or</w:t>
      </w:r>
      <w:proofErr w:type="gramEnd"/>
      <w:r>
        <w:t xml:space="preserve"> “saccharin preference test”.</w:t>
      </w:r>
      <w:proofErr w:type="spellStart"/>
      <w:r>
        <w:t>mp</w:t>
      </w:r>
      <w:proofErr w:type="spellEnd"/>
      <w:r>
        <w:t xml:space="preserve">. </w:t>
      </w:r>
      <w:proofErr w:type="gramStart"/>
      <w:r>
        <w:t>or</w:t>
      </w:r>
      <w:proofErr w:type="gramEnd"/>
      <w:r>
        <w:t xml:space="preserve"> “sucrose preference”.</w:t>
      </w:r>
      <w:proofErr w:type="spellStart"/>
      <w:r>
        <w:t>mp</w:t>
      </w:r>
      <w:proofErr w:type="spellEnd"/>
      <w:r>
        <w:t xml:space="preserve">. </w:t>
      </w:r>
      <w:proofErr w:type="gramStart"/>
      <w:r>
        <w:t>or</w:t>
      </w:r>
      <w:proofErr w:type="gramEnd"/>
      <w:r>
        <w:t xml:space="preserve"> “saccharine preference”.</w:t>
      </w:r>
      <w:proofErr w:type="spellStart"/>
      <w:r>
        <w:t>mp</w:t>
      </w:r>
      <w:proofErr w:type="spellEnd"/>
      <w:r>
        <w:t xml:space="preserve">. </w:t>
      </w:r>
      <w:proofErr w:type="gramStart"/>
      <w:r>
        <w:t>or</w:t>
      </w:r>
      <w:proofErr w:type="gramEnd"/>
      <w:r>
        <w:t xml:space="preserve"> “saccharin preference”.</w:t>
      </w:r>
      <w:proofErr w:type="spellStart"/>
      <w:r>
        <w:t>mp</w:t>
      </w:r>
      <w:proofErr w:type="spellEnd"/>
      <w:r>
        <w:t xml:space="preserve">. </w:t>
      </w:r>
      <w:proofErr w:type="gramStart"/>
      <w:r>
        <w:t>or</w:t>
      </w:r>
      <w:proofErr w:type="gramEnd"/>
      <w:r>
        <w:t xml:space="preserve"> “sucrose consumption”.</w:t>
      </w:r>
      <w:proofErr w:type="spellStart"/>
      <w:r>
        <w:t>mp</w:t>
      </w:r>
      <w:proofErr w:type="spellEnd"/>
      <w:r>
        <w:t xml:space="preserve">. </w:t>
      </w:r>
      <w:proofErr w:type="gramStart"/>
      <w:r>
        <w:t>or</w:t>
      </w:r>
      <w:proofErr w:type="gramEnd"/>
      <w:r>
        <w:t xml:space="preserve"> “saccharine consumption”.</w:t>
      </w:r>
      <w:proofErr w:type="spellStart"/>
      <w:r>
        <w:t>mp</w:t>
      </w:r>
      <w:proofErr w:type="spellEnd"/>
      <w:r>
        <w:t xml:space="preserve">. </w:t>
      </w:r>
      <w:proofErr w:type="gramStart"/>
      <w:r>
        <w:t>or</w:t>
      </w:r>
      <w:proofErr w:type="gramEnd"/>
      <w:r>
        <w:t xml:space="preserve"> “saccharin consumption”.</w:t>
      </w:r>
      <w:proofErr w:type="spellStart"/>
      <w:r>
        <w:t>mp</w:t>
      </w:r>
      <w:proofErr w:type="spellEnd"/>
      <w:r>
        <w:t xml:space="preserve">. </w:t>
      </w:r>
      <w:proofErr w:type="gramStart"/>
      <w:r>
        <w:t>or</w:t>
      </w:r>
      <w:proofErr w:type="gramEnd"/>
      <w:r>
        <w:t xml:space="preserve"> “sucrose intake”.</w:t>
      </w:r>
      <w:proofErr w:type="spellStart"/>
      <w:r>
        <w:t>mp</w:t>
      </w:r>
      <w:proofErr w:type="spellEnd"/>
      <w:r>
        <w:t xml:space="preserve">. or </w:t>
      </w:r>
      <w:proofErr w:type="spellStart"/>
      <w:r>
        <w:t>exp</w:t>
      </w:r>
      <w:proofErr w:type="spellEnd"/>
      <w:r>
        <w:t xml:space="preserve"> anhedonia/ or “saccharin intake test”.mp or “saccharin intake”.mp or “saccharine intake”.mp</w:t>
      </w:r>
    </w:p>
    <w:p w14:paraId="2CCBD173" w14:textId="77777777" w:rsidR="007B3C5B" w:rsidRDefault="00370743">
      <w:pPr>
        <w:pStyle w:val="Heading3"/>
      </w:pPr>
      <w:bookmarkStart w:id="4" w:name="web-of-science"/>
      <w:bookmarkEnd w:id="3"/>
      <w:r>
        <w:rPr>
          <w:i/>
          <w:iCs/>
        </w:rPr>
        <w:t>Web of science</w:t>
      </w:r>
    </w:p>
    <w:p w14:paraId="222EFAC0" w14:textId="77777777" w:rsidR="007B3C5B" w:rsidRDefault="00370743">
      <w:pPr>
        <w:numPr>
          <w:ilvl w:val="0"/>
          <w:numId w:val="4"/>
        </w:numPr>
      </w:pPr>
      <w:r>
        <w:t>TS=(rat$ OR “</w:t>
      </w:r>
      <w:proofErr w:type="spellStart"/>
      <w:r>
        <w:t>Rattus</w:t>
      </w:r>
      <w:proofErr w:type="spellEnd"/>
      <w:r>
        <w:t xml:space="preserve"> </w:t>
      </w:r>
      <w:proofErr w:type="spellStart"/>
      <w:r>
        <w:t>norvegicus</w:t>
      </w:r>
      <w:proofErr w:type="spellEnd"/>
      <w:r>
        <w:t xml:space="preserve">” OR “R. </w:t>
      </w:r>
      <w:proofErr w:type="spellStart"/>
      <w:r>
        <w:t>norvegicus</w:t>
      </w:r>
      <w:proofErr w:type="spellEnd"/>
      <w:r>
        <w:t>”)</w:t>
      </w:r>
    </w:p>
    <w:p w14:paraId="7F5666A5" w14:textId="77777777" w:rsidR="007B3C5B" w:rsidRDefault="00370743">
      <w:pPr>
        <w:numPr>
          <w:ilvl w:val="0"/>
          <w:numId w:val="4"/>
        </w:numPr>
      </w:pPr>
      <w:r>
        <w:t xml:space="preserve">TS=(“chronic unpredictable mild stress”) OR TS=(“chronic unpredictable stress”) OR TS=(“chronic mild stress”) OR TS=(“mild stress”) OR TS=(“chronic exposure to </w:t>
      </w:r>
      <w:r>
        <w:lastRenderedPageBreak/>
        <w:t>stress”) OR TS=(“Unpredictable Chronic stress”) OR TS=(“chronic variable stress”)OR TS=(“chronic varied stress”)OR TS=(“chronic variate stress”) OR TS=(“chronic stress depression model” ) OR TS=(“Chronic stress model”)</w:t>
      </w:r>
    </w:p>
    <w:p w14:paraId="30ACD269" w14:textId="64288D05" w:rsidR="007B3C5B" w:rsidRDefault="00370743">
      <w:pPr>
        <w:numPr>
          <w:ilvl w:val="0"/>
          <w:numId w:val="4"/>
        </w:numPr>
      </w:pPr>
      <w:r>
        <w:t>TS=(“sucrose preference test”) OR TS=(“sucrose consumption test”) OR TS=(“sucrose intake test”) OR TS=(“Saccharin preference test”) OR TS=(“saccharin consumption test”) OR TS=(“Saccharin intake test”) OR TS=(“sucrose preference”) OR TS=(“Saccharin preference”) OR TS=(“Saccharine preference”) OR TS=(“Sweet preference”) OR TS=(“sucrose consumption”) OR TS=(” Saccharin consumption”) OR TS=(“Sucrose intake”) OR TS=(“Saccharin intake”) OR TS=(“anhedonia”)</w:t>
      </w:r>
    </w:p>
    <w:p w14:paraId="02B6DFEC" w14:textId="77777777" w:rsidR="00B30F7A" w:rsidRDefault="00B30F7A" w:rsidP="00B30F7A">
      <w:pPr>
        <w:ind w:left="720"/>
      </w:pPr>
    </w:p>
    <w:p w14:paraId="7110D365" w14:textId="77777777" w:rsidR="007B3C5B" w:rsidRDefault="00370743">
      <w:pPr>
        <w:pStyle w:val="Heading2"/>
      </w:pPr>
      <w:bookmarkStart w:id="5" w:name="eligibility-criteria"/>
      <w:bookmarkEnd w:id="1"/>
      <w:bookmarkEnd w:id="4"/>
      <w:r>
        <w:t>Eligibility criteria</w:t>
      </w:r>
    </w:p>
    <w:p w14:paraId="2D8AADF2" w14:textId="26DC4C7F" w:rsidR="007B3C5B" w:rsidRDefault="00FE6A1B">
      <w:pPr>
        <w:pStyle w:val="FirstParagraph"/>
      </w:pPr>
      <w:r>
        <w:rPr>
          <w:b/>
          <w:bCs/>
        </w:rPr>
        <w:t>Supplementary t</w:t>
      </w:r>
      <w:r w:rsidR="00370743">
        <w:rPr>
          <w:b/>
          <w:bCs/>
        </w:rPr>
        <w:t>able 1</w:t>
      </w:r>
      <w:r w:rsidR="00370743">
        <w:t xml:space="preserve">. </w:t>
      </w:r>
      <w:r w:rsidR="00370743" w:rsidRPr="00C16263">
        <w:rPr>
          <w:i/>
          <w:iCs/>
        </w:rPr>
        <w:t>Reasons for exclusion at each stage of screening.</w:t>
      </w:r>
    </w:p>
    <w:tbl>
      <w:tblPr>
        <w:tblStyle w:val="TableGrid"/>
        <w:tblW w:w="0" w:type="auto"/>
        <w:tblInd w:w="0" w:type="dxa"/>
        <w:tblLook w:val="04A0" w:firstRow="1" w:lastRow="0" w:firstColumn="1" w:lastColumn="0" w:noHBand="0" w:noVBand="1"/>
      </w:tblPr>
      <w:tblGrid>
        <w:gridCol w:w="3955"/>
        <w:gridCol w:w="270"/>
        <w:gridCol w:w="5125"/>
      </w:tblGrid>
      <w:tr w:rsidR="00364859" w14:paraId="2B3D1980" w14:textId="77777777" w:rsidTr="00364859">
        <w:tc>
          <w:tcPr>
            <w:tcW w:w="3955" w:type="dxa"/>
            <w:tcBorders>
              <w:top w:val="single" w:sz="4" w:space="0" w:color="auto"/>
              <w:left w:val="single" w:sz="4" w:space="0" w:color="auto"/>
              <w:bottom w:val="single" w:sz="4" w:space="0" w:color="auto"/>
              <w:right w:val="single" w:sz="4" w:space="0" w:color="auto"/>
            </w:tcBorders>
            <w:hideMark/>
          </w:tcPr>
          <w:p w14:paraId="3C3FF841" w14:textId="77777777" w:rsidR="00364859" w:rsidRDefault="00364859">
            <w:pPr>
              <w:jc w:val="center"/>
              <w:rPr>
                <w:b/>
              </w:rPr>
            </w:pPr>
            <w:r>
              <w:rPr>
                <w:b/>
              </w:rPr>
              <w:t>Title and abstract</w:t>
            </w:r>
          </w:p>
        </w:tc>
        <w:tc>
          <w:tcPr>
            <w:tcW w:w="270" w:type="dxa"/>
            <w:tcBorders>
              <w:top w:val="single" w:sz="4" w:space="0" w:color="auto"/>
              <w:left w:val="single" w:sz="4" w:space="0" w:color="auto"/>
              <w:bottom w:val="single" w:sz="4" w:space="0" w:color="auto"/>
              <w:right w:val="single" w:sz="4" w:space="0" w:color="auto"/>
            </w:tcBorders>
          </w:tcPr>
          <w:p w14:paraId="7D239932" w14:textId="77777777" w:rsidR="00364859" w:rsidRDefault="00364859">
            <w:pPr>
              <w:jc w:val="center"/>
              <w:rPr>
                <w:b/>
              </w:rPr>
            </w:pPr>
          </w:p>
        </w:tc>
        <w:tc>
          <w:tcPr>
            <w:tcW w:w="5125" w:type="dxa"/>
            <w:tcBorders>
              <w:top w:val="single" w:sz="4" w:space="0" w:color="auto"/>
              <w:left w:val="single" w:sz="4" w:space="0" w:color="auto"/>
              <w:bottom w:val="single" w:sz="4" w:space="0" w:color="auto"/>
              <w:right w:val="single" w:sz="4" w:space="0" w:color="auto"/>
            </w:tcBorders>
            <w:hideMark/>
          </w:tcPr>
          <w:p w14:paraId="59B90D39" w14:textId="77777777" w:rsidR="00364859" w:rsidRDefault="00364859">
            <w:pPr>
              <w:jc w:val="center"/>
              <w:rPr>
                <w:b/>
              </w:rPr>
            </w:pPr>
            <w:r>
              <w:rPr>
                <w:b/>
              </w:rPr>
              <w:t>Full-text screening</w:t>
            </w:r>
          </w:p>
        </w:tc>
      </w:tr>
      <w:tr w:rsidR="00364859" w14:paraId="5CB4F65B" w14:textId="77777777" w:rsidTr="00364859">
        <w:trPr>
          <w:trHeight w:val="467"/>
        </w:trPr>
        <w:tc>
          <w:tcPr>
            <w:tcW w:w="3955" w:type="dxa"/>
            <w:vMerge w:val="restart"/>
            <w:tcBorders>
              <w:top w:val="single" w:sz="4" w:space="0" w:color="auto"/>
              <w:left w:val="single" w:sz="4" w:space="0" w:color="auto"/>
              <w:bottom w:val="single" w:sz="4" w:space="0" w:color="auto"/>
              <w:right w:val="single" w:sz="4" w:space="0" w:color="auto"/>
            </w:tcBorders>
            <w:hideMark/>
          </w:tcPr>
          <w:p w14:paraId="62081C83" w14:textId="77777777" w:rsidR="00364859" w:rsidRDefault="00364859">
            <w:pPr>
              <w:rPr>
                <w:b/>
              </w:rPr>
            </w:pPr>
            <w:r>
              <w:rPr>
                <w:b/>
              </w:rPr>
              <w:t xml:space="preserve">Wrong publication type: </w:t>
            </w:r>
          </w:p>
          <w:p w14:paraId="6C3AC5B3" w14:textId="77777777" w:rsidR="00364859" w:rsidRDefault="00364859" w:rsidP="00364859">
            <w:pPr>
              <w:pStyle w:val="ListParagraph"/>
              <w:numPr>
                <w:ilvl w:val="0"/>
                <w:numId w:val="9"/>
              </w:numPr>
              <w:spacing w:after="0" w:line="240" w:lineRule="auto"/>
            </w:pPr>
            <w:r>
              <w:t>Not an original study</w:t>
            </w:r>
          </w:p>
          <w:p w14:paraId="25BF4463" w14:textId="75A90160" w:rsidR="00364859" w:rsidRDefault="00364859" w:rsidP="00364859">
            <w:pPr>
              <w:pStyle w:val="ListParagraph"/>
              <w:numPr>
                <w:ilvl w:val="0"/>
                <w:numId w:val="9"/>
              </w:numPr>
              <w:spacing w:after="0" w:line="240" w:lineRule="auto"/>
            </w:pPr>
            <w:r>
              <w:t>Systematic review/Met</w:t>
            </w:r>
            <w:r w:rsidR="00A015E3">
              <w:t>a</w:t>
            </w:r>
            <w:r>
              <w:t>-analysis</w:t>
            </w:r>
          </w:p>
        </w:tc>
        <w:tc>
          <w:tcPr>
            <w:tcW w:w="270" w:type="dxa"/>
            <w:tcBorders>
              <w:top w:val="single" w:sz="4" w:space="0" w:color="auto"/>
              <w:left w:val="single" w:sz="4" w:space="0" w:color="auto"/>
              <w:bottom w:val="single" w:sz="4" w:space="0" w:color="auto"/>
              <w:right w:val="single" w:sz="4" w:space="0" w:color="auto"/>
            </w:tcBorders>
          </w:tcPr>
          <w:p w14:paraId="35AF5438"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hideMark/>
          </w:tcPr>
          <w:p w14:paraId="223EC269" w14:textId="77777777" w:rsidR="00364859" w:rsidRDefault="00364859">
            <w:pPr>
              <w:rPr>
                <w:b/>
              </w:rPr>
            </w:pPr>
            <w:r>
              <w:rPr>
                <w:b/>
              </w:rPr>
              <w:t>Wrong publication type</w:t>
            </w:r>
          </w:p>
        </w:tc>
      </w:tr>
      <w:tr w:rsidR="00364859" w14:paraId="49636F4C" w14:textId="77777777" w:rsidTr="00364859">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5BF473" w14:textId="77777777" w:rsidR="00364859" w:rsidRDefault="00364859"/>
        </w:tc>
        <w:tc>
          <w:tcPr>
            <w:tcW w:w="270" w:type="dxa"/>
            <w:tcBorders>
              <w:top w:val="single" w:sz="4" w:space="0" w:color="auto"/>
              <w:left w:val="single" w:sz="4" w:space="0" w:color="auto"/>
              <w:bottom w:val="single" w:sz="4" w:space="0" w:color="auto"/>
              <w:right w:val="single" w:sz="4" w:space="0" w:color="auto"/>
            </w:tcBorders>
          </w:tcPr>
          <w:p w14:paraId="53BDAF20"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tcPr>
          <w:p w14:paraId="2EF4462D" w14:textId="77777777" w:rsidR="00364859" w:rsidRDefault="00364859">
            <w:pPr>
              <w:rPr>
                <w:b/>
              </w:rPr>
            </w:pPr>
            <w:r>
              <w:rPr>
                <w:b/>
              </w:rPr>
              <w:t xml:space="preserve">Not easily readable </w:t>
            </w:r>
            <w:r>
              <w:t>(even with the use of translation tools)</w:t>
            </w:r>
          </w:p>
          <w:p w14:paraId="6C35073C" w14:textId="77777777" w:rsidR="00364859" w:rsidRDefault="00364859">
            <w:pPr>
              <w:rPr>
                <w:b/>
              </w:rPr>
            </w:pPr>
          </w:p>
        </w:tc>
      </w:tr>
      <w:tr w:rsidR="00364859" w14:paraId="041A2519" w14:textId="77777777" w:rsidTr="00364859">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1A309" w14:textId="77777777" w:rsidR="00364859" w:rsidRDefault="00364859"/>
        </w:tc>
        <w:tc>
          <w:tcPr>
            <w:tcW w:w="270" w:type="dxa"/>
            <w:tcBorders>
              <w:top w:val="single" w:sz="4" w:space="0" w:color="auto"/>
              <w:left w:val="single" w:sz="4" w:space="0" w:color="auto"/>
              <w:bottom w:val="single" w:sz="4" w:space="0" w:color="auto"/>
              <w:right w:val="single" w:sz="4" w:space="0" w:color="auto"/>
            </w:tcBorders>
          </w:tcPr>
          <w:p w14:paraId="67C83D60"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hideMark/>
          </w:tcPr>
          <w:p w14:paraId="07E7730E" w14:textId="77777777" w:rsidR="00364859" w:rsidRDefault="00364859">
            <w:pPr>
              <w:rPr>
                <w:b/>
              </w:rPr>
            </w:pPr>
            <w:r>
              <w:rPr>
                <w:b/>
              </w:rPr>
              <w:t>Insufficient info:</w:t>
            </w:r>
          </w:p>
          <w:p w14:paraId="55359822" w14:textId="77777777" w:rsidR="00364859" w:rsidRDefault="00364859">
            <w:r>
              <w:t>Report of study did not present sufficient information to assess the fulfillment of all the criteria for inclusion</w:t>
            </w:r>
          </w:p>
        </w:tc>
      </w:tr>
      <w:tr w:rsidR="00364859" w14:paraId="2F58AB87" w14:textId="77777777" w:rsidTr="00364859">
        <w:tc>
          <w:tcPr>
            <w:tcW w:w="3955" w:type="dxa"/>
            <w:tcBorders>
              <w:top w:val="single" w:sz="4" w:space="0" w:color="auto"/>
              <w:left w:val="single" w:sz="4" w:space="0" w:color="auto"/>
              <w:bottom w:val="single" w:sz="4" w:space="0" w:color="auto"/>
              <w:right w:val="single" w:sz="4" w:space="0" w:color="auto"/>
            </w:tcBorders>
            <w:hideMark/>
          </w:tcPr>
          <w:p w14:paraId="7A0DF443" w14:textId="77777777" w:rsidR="00364859" w:rsidRDefault="00364859">
            <w:pPr>
              <w:rPr>
                <w:b/>
              </w:rPr>
            </w:pPr>
            <w:r>
              <w:rPr>
                <w:b/>
              </w:rPr>
              <w:t>Wrong study design:</w:t>
            </w:r>
          </w:p>
          <w:p w14:paraId="0460B9C9" w14:textId="77777777" w:rsidR="00364859" w:rsidRDefault="00364859" w:rsidP="00364859">
            <w:pPr>
              <w:pStyle w:val="ListParagraph"/>
              <w:numPr>
                <w:ilvl w:val="0"/>
                <w:numId w:val="10"/>
              </w:numPr>
              <w:spacing w:after="0" w:line="240" w:lineRule="auto"/>
            </w:pPr>
            <w:r>
              <w:t>Not an animal study</w:t>
            </w:r>
          </w:p>
        </w:tc>
        <w:tc>
          <w:tcPr>
            <w:tcW w:w="270" w:type="dxa"/>
            <w:tcBorders>
              <w:top w:val="single" w:sz="4" w:space="0" w:color="auto"/>
              <w:left w:val="single" w:sz="4" w:space="0" w:color="auto"/>
              <w:bottom w:val="single" w:sz="4" w:space="0" w:color="auto"/>
              <w:right w:val="single" w:sz="4" w:space="0" w:color="auto"/>
            </w:tcBorders>
          </w:tcPr>
          <w:p w14:paraId="0DC408D9"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tcPr>
          <w:p w14:paraId="3494227B" w14:textId="77777777" w:rsidR="00364859" w:rsidRDefault="00364859">
            <w:pPr>
              <w:rPr>
                <w:b/>
              </w:rPr>
            </w:pPr>
            <w:r>
              <w:rPr>
                <w:b/>
              </w:rPr>
              <w:t>Wrong design:</w:t>
            </w:r>
          </w:p>
          <w:p w14:paraId="31FBA49F" w14:textId="2B667365" w:rsidR="00364859" w:rsidRDefault="00364859" w:rsidP="00364859">
            <w:pPr>
              <w:pStyle w:val="ListParagraph"/>
              <w:numPr>
                <w:ilvl w:val="0"/>
                <w:numId w:val="11"/>
              </w:numPr>
              <w:spacing w:after="0" w:line="240" w:lineRule="auto"/>
            </w:pPr>
            <w:r>
              <w:t xml:space="preserve">Study </w:t>
            </w:r>
            <w:r w:rsidR="00A015E3">
              <w:t xml:space="preserve">did </w:t>
            </w:r>
            <w:r>
              <w:t xml:space="preserve">not use a </w:t>
            </w:r>
            <w:r>
              <w:rPr>
                <w:b/>
              </w:rPr>
              <w:t>“control vs exposed”</w:t>
            </w:r>
            <w:r>
              <w:t xml:space="preserve"> design</w:t>
            </w:r>
          </w:p>
          <w:p w14:paraId="1DE73CBC" w14:textId="77777777" w:rsidR="00364859" w:rsidRDefault="00364859" w:rsidP="00364859">
            <w:pPr>
              <w:pStyle w:val="ListParagraph"/>
              <w:numPr>
                <w:ilvl w:val="0"/>
                <w:numId w:val="11"/>
              </w:numPr>
              <w:spacing w:after="0" w:line="240" w:lineRule="auto"/>
            </w:pPr>
            <w:r>
              <w:t>Study uses the exposed group as their own control</w:t>
            </w:r>
          </w:p>
          <w:p w14:paraId="4B11AB06" w14:textId="77777777" w:rsidR="00364859" w:rsidRDefault="00364859"/>
          <w:p w14:paraId="7FDADDE4" w14:textId="77777777" w:rsidR="00364859" w:rsidRDefault="00364859">
            <w:pPr>
              <w:rPr>
                <w:b/>
              </w:rPr>
            </w:pPr>
            <w:r>
              <w:rPr>
                <w:b/>
              </w:rPr>
              <w:t>Not appropriate controls:</w:t>
            </w:r>
          </w:p>
          <w:p w14:paraId="0A7F766F" w14:textId="77777777" w:rsidR="00364859" w:rsidRDefault="00364859" w:rsidP="00364859">
            <w:pPr>
              <w:pStyle w:val="ListParagraph"/>
              <w:numPr>
                <w:ilvl w:val="0"/>
                <w:numId w:val="12"/>
              </w:numPr>
              <w:spacing w:after="0" w:line="240" w:lineRule="auto"/>
            </w:pPr>
            <w:r>
              <w:t>Control differs from the exposed group in more than the exposure variable</w:t>
            </w:r>
          </w:p>
          <w:p w14:paraId="56EF2483" w14:textId="77777777" w:rsidR="00364859" w:rsidRDefault="00364859">
            <w:pPr>
              <w:rPr>
                <w:b/>
              </w:rPr>
            </w:pPr>
          </w:p>
        </w:tc>
      </w:tr>
      <w:tr w:rsidR="00364859" w14:paraId="688B831D" w14:textId="77777777" w:rsidTr="00364859">
        <w:tc>
          <w:tcPr>
            <w:tcW w:w="3955" w:type="dxa"/>
            <w:tcBorders>
              <w:top w:val="single" w:sz="4" w:space="0" w:color="auto"/>
              <w:left w:val="single" w:sz="4" w:space="0" w:color="auto"/>
              <w:bottom w:val="single" w:sz="4" w:space="0" w:color="auto"/>
              <w:right w:val="single" w:sz="4" w:space="0" w:color="auto"/>
            </w:tcBorders>
          </w:tcPr>
          <w:p w14:paraId="77B93022" w14:textId="77777777" w:rsidR="00364859" w:rsidRDefault="00364859">
            <w:pPr>
              <w:rPr>
                <w:b/>
              </w:rPr>
            </w:pPr>
            <w:r>
              <w:rPr>
                <w:b/>
              </w:rPr>
              <w:t>Wrong population:</w:t>
            </w:r>
          </w:p>
          <w:p w14:paraId="16787D3E" w14:textId="77777777" w:rsidR="00364859" w:rsidRDefault="00364859" w:rsidP="00364859">
            <w:pPr>
              <w:pStyle w:val="ListBullet"/>
              <w:numPr>
                <w:ilvl w:val="0"/>
                <w:numId w:val="13"/>
              </w:numPr>
              <w:tabs>
                <w:tab w:val="left" w:pos="720"/>
              </w:tabs>
              <w:spacing w:after="0" w:line="240" w:lineRule="auto"/>
            </w:pPr>
            <w:r>
              <w:t>Not a study on live laboratory rats</w:t>
            </w:r>
          </w:p>
          <w:p w14:paraId="276974CA" w14:textId="77777777" w:rsidR="00364859" w:rsidRDefault="00364859" w:rsidP="00364859">
            <w:pPr>
              <w:pStyle w:val="ListBullet"/>
              <w:numPr>
                <w:ilvl w:val="0"/>
                <w:numId w:val="13"/>
              </w:numPr>
              <w:tabs>
                <w:tab w:val="left" w:pos="720"/>
              </w:tabs>
              <w:spacing w:after="0" w:line="240" w:lineRule="auto"/>
            </w:pPr>
            <w:r>
              <w:t>The study does not employ a stress paradigm</w:t>
            </w:r>
          </w:p>
          <w:p w14:paraId="13B224E1" w14:textId="77777777" w:rsidR="00364859" w:rsidRDefault="00364859" w:rsidP="00364859">
            <w:pPr>
              <w:pStyle w:val="ListBullet"/>
              <w:numPr>
                <w:ilvl w:val="0"/>
                <w:numId w:val="13"/>
              </w:numPr>
              <w:tabs>
                <w:tab w:val="left" w:pos="720"/>
              </w:tabs>
              <w:spacing w:after="0" w:line="240" w:lineRule="auto"/>
            </w:pPr>
            <w:r>
              <w:t>The study employs other forms of chronic stress different from CUS</w:t>
            </w:r>
          </w:p>
          <w:p w14:paraId="343D87C2" w14:textId="77777777" w:rsidR="00364859" w:rsidRDefault="00364859"/>
        </w:tc>
        <w:tc>
          <w:tcPr>
            <w:tcW w:w="270" w:type="dxa"/>
            <w:tcBorders>
              <w:top w:val="single" w:sz="4" w:space="0" w:color="auto"/>
              <w:left w:val="single" w:sz="4" w:space="0" w:color="auto"/>
              <w:bottom w:val="single" w:sz="4" w:space="0" w:color="auto"/>
              <w:right w:val="single" w:sz="4" w:space="0" w:color="auto"/>
            </w:tcBorders>
          </w:tcPr>
          <w:p w14:paraId="378DE3E9"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tcPr>
          <w:p w14:paraId="596D3197" w14:textId="77777777" w:rsidR="00364859" w:rsidRDefault="00364859">
            <w:pPr>
              <w:rPr>
                <w:b/>
              </w:rPr>
            </w:pPr>
            <w:r>
              <w:rPr>
                <w:b/>
              </w:rPr>
              <w:t>Not adequate rat model:</w:t>
            </w:r>
          </w:p>
          <w:p w14:paraId="4D1466CA" w14:textId="3ADA5A17" w:rsidR="00364859" w:rsidRDefault="00364859" w:rsidP="00364859">
            <w:pPr>
              <w:pStyle w:val="ListParagraph"/>
              <w:numPr>
                <w:ilvl w:val="0"/>
                <w:numId w:val="14"/>
              </w:numPr>
              <w:spacing w:after="0" w:line="240" w:lineRule="auto"/>
            </w:pPr>
            <w:r>
              <w:rPr>
                <w:i/>
              </w:rPr>
              <w:t>Wrong population</w:t>
            </w:r>
            <w:r>
              <w:rPr>
                <w:b/>
              </w:rPr>
              <w:t xml:space="preserve"> </w:t>
            </w:r>
            <w:r>
              <w:t xml:space="preserve">(mice, pre-weaned rats, </w:t>
            </w:r>
            <w:proofErr w:type="spellStart"/>
            <w:r>
              <w:t>ovariectomized</w:t>
            </w:r>
            <w:proofErr w:type="spellEnd"/>
            <w:r>
              <w:t xml:space="preserve"> females, </w:t>
            </w:r>
            <w:proofErr w:type="spellStart"/>
            <w:r>
              <w:t>gonadectomized</w:t>
            </w:r>
            <w:proofErr w:type="spellEnd"/>
            <w:r>
              <w:t xml:space="preserve"> males, pregnant or post-partum</w:t>
            </w:r>
            <w:r w:rsidR="00FB74D9">
              <w:t xml:space="preserve"> rats</w:t>
            </w:r>
            <w:r>
              <w:t xml:space="preserve">, </w:t>
            </w:r>
            <w:r w:rsidR="00FB74D9">
              <w:t>mutant/</w:t>
            </w:r>
            <w:r>
              <w:t>genetically modified strains)</w:t>
            </w:r>
          </w:p>
          <w:p w14:paraId="22B833AB" w14:textId="77777777" w:rsidR="00364859" w:rsidRDefault="00364859" w:rsidP="00364859">
            <w:pPr>
              <w:pStyle w:val="ListParagraph"/>
              <w:numPr>
                <w:ilvl w:val="0"/>
                <w:numId w:val="14"/>
              </w:numPr>
              <w:spacing w:after="0" w:line="240" w:lineRule="auto"/>
            </w:pPr>
            <w:r>
              <w:t>CUS was not administered exclusively for at least two weeks.</w:t>
            </w:r>
          </w:p>
          <w:p w14:paraId="0FA2EA43" w14:textId="77777777" w:rsidR="00364859" w:rsidRDefault="00364859" w:rsidP="00364859">
            <w:pPr>
              <w:pStyle w:val="ListParagraph"/>
              <w:numPr>
                <w:ilvl w:val="0"/>
                <w:numId w:val="14"/>
              </w:numPr>
              <w:spacing w:after="0" w:line="240" w:lineRule="auto"/>
            </w:pPr>
            <w:r>
              <w:t>Study at the start of the CUS, co-administers addictive substances or any other drug, compound or special diet</w:t>
            </w:r>
          </w:p>
          <w:p w14:paraId="7801B639" w14:textId="77777777" w:rsidR="00364859" w:rsidRDefault="00364859" w:rsidP="00364859">
            <w:pPr>
              <w:pStyle w:val="ListParagraph"/>
              <w:numPr>
                <w:ilvl w:val="0"/>
                <w:numId w:val="14"/>
              </w:numPr>
              <w:spacing w:after="0" w:line="240" w:lineRule="auto"/>
            </w:pPr>
            <w:r>
              <w:t xml:space="preserve">Study administers CUS following another stress protocol or model-inducing intervention AND does not include control- </w:t>
            </w:r>
            <w:r>
              <w:lastRenderedPageBreak/>
              <w:t>exposed groups in which CUS is exclusively applied</w:t>
            </w:r>
          </w:p>
          <w:p w14:paraId="74B89726" w14:textId="77777777" w:rsidR="00364859" w:rsidRDefault="00364859">
            <w:pPr>
              <w:rPr>
                <w:b/>
              </w:rPr>
            </w:pPr>
          </w:p>
        </w:tc>
      </w:tr>
      <w:tr w:rsidR="00364859" w14:paraId="37915837" w14:textId="77777777" w:rsidTr="00364859">
        <w:tc>
          <w:tcPr>
            <w:tcW w:w="3955" w:type="dxa"/>
            <w:vMerge w:val="restart"/>
            <w:tcBorders>
              <w:top w:val="single" w:sz="4" w:space="0" w:color="auto"/>
              <w:left w:val="single" w:sz="4" w:space="0" w:color="auto"/>
              <w:bottom w:val="single" w:sz="4" w:space="0" w:color="auto"/>
              <w:right w:val="single" w:sz="4" w:space="0" w:color="auto"/>
            </w:tcBorders>
          </w:tcPr>
          <w:p w14:paraId="4B31E88B" w14:textId="77777777" w:rsidR="00364859" w:rsidRDefault="00364859">
            <w:pPr>
              <w:rPr>
                <w:b/>
              </w:rPr>
            </w:pPr>
            <w:r>
              <w:rPr>
                <w:b/>
              </w:rPr>
              <w:lastRenderedPageBreak/>
              <w:t>Wrong outcome:</w:t>
            </w:r>
          </w:p>
          <w:p w14:paraId="54B303BF" w14:textId="044DD4EB" w:rsidR="00364859" w:rsidRDefault="00364859" w:rsidP="00364859">
            <w:pPr>
              <w:pStyle w:val="ListParagraph"/>
              <w:numPr>
                <w:ilvl w:val="0"/>
                <w:numId w:val="15"/>
              </w:numPr>
              <w:spacing w:after="0" w:line="240" w:lineRule="auto"/>
            </w:pPr>
            <w:r>
              <w:t>Study do</w:t>
            </w:r>
            <w:r w:rsidR="00AA5277">
              <w:t>es</w:t>
            </w:r>
            <w:r>
              <w:t xml:space="preserve"> not assess behavioral endpoints </w:t>
            </w:r>
          </w:p>
          <w:p w14:paraId="72A39BC3" w14:textId="1BEDC120" w:rsidR="00364859" w:rsidRDefault="00364859" w:rsidP="00364859">
            <w:pPr>
              <w:pStyle w:val="ListParagraph"/>
              <w:numPr>
                <w:ilvl w:val="0"/>
                <w:numId w:val="15"/>
              </w:numPr>
              <w:spacing w:after="0" w:line="240" w:lineRule="auto"/>
            </w:pPr>
            <w:r>
              <w:t>Study do</w:t>
            </w:r>
            <w:r w:rsidR="00AA5277">
              <w:t>es</w:t>
            </w:r>
            <w:r>
              <w:t xml:space="preserve"> not assess anhedonia-like behaviors</w:t>
            </w:r>
          </w:p>
          <w:p w14:paraId="099B7ED4" w14:textId="77777777" w:rsidR="00364859" w:rsidRDefault="00364859"/>
        </w:tc>
        <w:tc>
          <w:tcPr>
            <w:tcW w:w="270" w:type="dxa"/>
            <w:tcBorders>
              <w:top w:val="single" w:sz="4" w:space="0" w:color="auto"/>
              <w:left w:val="single" w:sz="4" w:space="0" w:color="auto"/>
              <w:bottom w:val="single" w:sz="4" w:space="0" w:color="auto"/>
              <w:right w:val="single" w:sz="4" w:space="0" w:color="auto"/>
            </w:tcBorders>
          </w:tcPr>
          <w:p w14:paraId="2D5D4F94"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tcPr>
          <w:p w14:paraId="6FC29BF5" w14:textId="77777777" w:rsidR="00364859" w:rsidRDefault="00364859">
            <w:pPr>
              <w:rPr>
                <w:b/>
              </w:rPr>
            </w:pPr>
            <w:r>
              <w:rPr>
                <w:b/>
              </w:rPr>
              <w:t xml:space="preserve">Not appropriate intervention: </w:t>
            </w:r>
          </w:p>
          <w:p w14:paraId="17E5F2E1" w14:textId="77777777" w:rsidR="00364859" w:rsidRDefault="00364859" w:rsidP="00364859">
            <w:pPr>
              <w:pStyle w:val="ListParagraph"/>
              <w:numPr>
                <w:ilvl w:val="0"/>
                <w:numId w:val="16"/>
              </w:numPr>
              <w:spacing w:after="0" w:line="240" w:lineRule="auto"/>
            </w:pPr>
            <w:r>
              <w:t>Study does not perform a SPT</w:t>
            </w:r>
          </w:p>
          <w:p w14:paraId="6BA3525D" w14:textId="2E701446" w:rsidR="00364859" w:rsidRDefault="00364859" w:rsidP="00364859">
            <w:pPr>
              <w:pStyle w:val="ListParagraph"/>
              <w:numPr>
                <w:ilvl w:val="0"/>
                <w:numId w:val="16"/>
              </w:numPr>
              <w:spacing w:after="0" w:line="240" w:lineRule="auto"/>
            </w:pPr>
            <w:r>
              <w:t xml:space="preserve">Study did not </w:t>
            </w:r>
            <w:r w:rsidR="00FB74D9">
              <w:t xml:space="preserve">have </w:t>
            </w:r>
            <w:r>
              <w:t xml:space="preserve">a familiarization phase to the sweet </w:t>
            </w:r>
            <w:r w:rsidR="00FB74D9">
              <w:t xml:space="preserve">solution </w:t>
            </w:r>
            <w:r>
              <w:t>(sucrose, saccharin)</w:t>
            </w:r>
          </w:p>
          <w:p w14:paraId="739BB590" w14:textId="77777777" w:rsidR="00364859" w:rsidRDefault="00364859">
            <w:pPr>
              <w:rPr>
                <w:b/>
              </w:rPr>
            </w:pPr>
          </w:p>
        </w:tc>
      </w:tr>
      <w:tr w:rsidR="00364859" w14:paraId="6364EA9A" w14:textId="77777777" w:rsidTr="00364859">
        <w:tc>
          <w:tcPr>
            <w:tcW w:w="0" w:type="auto"/>
            <w:vMerge/>
            <w:tcBorders>
              <w:top w:val="single" w:sz="4" w:space="0" w:color="auto"/>
              <w:left w:val="single" w:sz="4" w:space="0" w:color="auto"/>
              <w:bottom w:val="single" w:sz="4" w:space="0" w:color="auto"/>
              <w:right w:val="single" w:sz="4" w:space="0" w:color="auto"/>
            </w:tcBorders>
            <w:vAlign w:val="center"/>
            <w:hideMark/>
          </w:tcPr>
          <w:p w14:paraId="5DF1F60B" w14:textId="77777777" w:rsidR="00364859" w:rsidRDefault="00364859"/>
        </w:tc>
        <w:tc>
          <w:tcPr>
            <w:tcW w:w="270" w:type="dxa"/>
            <w:tcBorders>
              <w:top w:val="single" w:sz="4" w:space="0" w:color="auto"/>
              <w:left w:val="single" w:sz="4" w:space="0" w:color="auto"/>
              <w:bottom w:val="single" w:sz="4" w:space="0" w:color="auto"/>
              <w:right w:val="single" w:sz="4" w:space="0" w:color="auto"/>
            </w:tcBorders>
          </w:tcPr>
          <w:p w14:paraId="2678E973"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tcPr>
          <w:p w14:paraId="07A0B85F" w14:textId="77777777" w:rsidR="00364859" w:rsidRDefault="00364859">
            <w:pPr>
              <w:rPr>
                <w:b/>
              </w:rPr>
            </w:pPr>
            <w:r>
              <w:rPr>
                <w:b/>
              </w:rPr>
              <w:t>Long food and water deprivation:</w:t>
            </w:r>
          </w:p>
          <w:p w14:paraId="3BCDD4F3" w14:textId="77777777" w:rsidR="00364859" w:rsidRDefault="00364859">
            <w:r>
              <w:t>Study implemented periods of food and/or water deprivation longer than 6 hours before testing</w:t>
            </w:r>
          </w:p>
          <w:p w14:paraId="626F5035" w14:textId="77777777" w:rsidR="00364859" w:rsidRDefault="00364859"/>
        </w:tc>
      </w:tr>
      <w:tr w:rsidR="00364859" w14:paraId="64DFFABF" w14:textId="77777777" w:rsidTr="00364859">
        <w:tc>
          <w:tcPr>
            <w:tcW w:w="0" w:type="auto"/>
            <w:vMerge/>
            <w:tcBorders>
              <w:top w:val="single" w:sz="4" w:space="0" w:color="auto"/>
              <w:left w:val="single" w:sz="4" w:space="0" w:color="auto"/>
              <w:bottom w:val="single" w:sz="4" w:space="0" w:color="auto"/>
              <w:right w:val="single" w:sz="4" w:space="0" w:color="auto"/>
            </w:tcBorders>
            <w:vAlign w:val="center"/>
            <w:hideMark/>
          </w:tcPr>
          <w:p w14:paraId="3188FE9F" w14:textId="77777777" w:rsidR="00364859" w:rsidRDefault="00364859"/>
        </w:tc>
        <w:tc>
          <w:tcPr>
            <w:tcW w:w="270" w:type="dxa"/>
            <w:tcBorders>
              <w:top w:val="single" w:sz="4" w:space="0" w:color="auto"/>
              <w:left w:val="single" w:sz="4" w:space="0" w:color="auto"/>
              <w:bottom w:val="single" w:sz="4" w:space="0" w:color="auto"/>
              <w:right w:val="single" w:sz="4" w:space="0" w:color="auto"/>
            </w:tcBorders>
          </w:tcPr>
          <w:p w14:paraId="6F9CEA15" w14:textId="77777777" w:rsidR="00364859" w:rsidRDefault="00364859">
            <w:pPr>
              <w:rPr>
                <w:b/>
              </w:rPr>
            </w:pPr>
          </w:p>
        </w:tc>
        <w:tc>
          <w:tcPr>
            <w:tcW w:w="5125" w:type="dxa"/>
            <w:tcBorders>
              <w:top w:val="single" w:sz="4" w:space="0" w:color="auto"/>
              <w:left w:val="single" w:sz="4" w:space="0" w:color="auto"/>
              <w:bottom w:val="single" w:sz="4" w:space="0" w:color="auto"/>
              <w:right w:val="single" w:sz="4" w:space="0" w:color="auto"/>
            </w:tcBorders>
            <w:hideMark/>
          </w:tcPr>
          <w:p w14:paraId="71CD1D0A" w14:textId="20AE6FAB" w:rsidR="00364859" w:rsidRDefault="00364859">
            <w:pPr>
              <w:rPr>
                <w:b/>
              </w:rPr>
            </w:pPr>
            <w:r>
              <w:rPr>
                <w:b/>
              </w:rPr>
              <w:t xml:space="preserve">Wrong SPT timing: </w:t>
            </w:r>
            <w:r>
              <w:t xml:space="preserve">SPT was not performed at the end of CUS or at the end of </w:t>
            </w:r>
            <w:r w:rsidR="00AA5277">
              <w:t xml:space="preserve">the </w:t>
            </w:r>
            <w:r>
              <w:t>antidepressant treatment.</w:t>
            </w:r>
          </w:p>
        </w:tc>
      </w:tr>
    </w:tbl>
    <w:p w14:paraId="7FA363CC" w14:textId="1461EF13" w:rsidR="007B3C5B" w:rsidRDefault="00370743">
      <w:pPr>
        <w:pStyle w:val="Heading2"/>
      </w:pPr>
      <w:bookmarkStart w:id="6" w:name="selection-process"/>
      <w:bookmarkEnd w:id="5"/>
      <w:r>
        <w:t>Selection process</w:t>
      </w:r>
      <w:r w:rsidR="00B30F7A">
        <w:t xml:space="preserve">: </w:t>
      </w:r>
    </w:p>
    <w:p w14:paraId="3A389753" w14:textId="1461EF13" w:rsidR="007B3C5B" w:rsidRDefault="00370743">
      <w:pPr>
        <w:pStyle w:val="FirstParagraph"/>
      </w:pPr>
      <w:r>
        <w:t xml:space="preserve">For the numeric account of the selection process, see </w:t>
      </w:r>
      <w:r>
        <w:rPr>
          <w:i/>
          <w:iCs/>
        </w:rPr>
        <w:t>(OSF:</w:t>
      </w:r>
      <w:r w:rsidR="004C2EBF">
        <w:rPr>
          <w:i/>
          <w:iCs/>
        </w:rPr>
        <w:t xml:space="preserve"> </w:t>
      </w:r>
      <w:r>
        <w:rPr>
          <w:i/>
          <w:iCs/>
        </w:rPr>
        <w:t>“Batch summary.xlsx”)</w:t>
      </w:r>
    </w:p>
    <w:p w14:paraId="28121BB4" w14:textId="4E2E4728" w:rsidR="007B3C5B" w:rsidRDefault="00370743">
      <w:pPr>
        <w:pStyle w:val="Heading2"/>
      </w:pPr>
      <w:bookmarkStart w:id="7" w:name="Xbd52a8e5aaa2a4f63c2c4e418526f9abc6f28c0"/>
      <w:bookmarkEnd w:id="6"/>
      <w:r>
        <w:t>Study details and outcome data extraction:</w:t>
      </w:r>
    </w:p>
    <w:p w14:paraId="606C9B5A" w14:textId="47EFF350" w:rsidR="00DC61EF" w:rsidRDefault="00DC61EF" w:rsidP="00DC61EF">
      <w:pPr>
        <w:pStyle w:val="BodyText"/>
        <w:jc w:val="both"/>
        <w:rPr>
          <w:color w:val="FF0000"/>
        </w:rPr>
      </w:pPr>
      <w:r>
        <w:t>Supplementary table 2 presents the list of the methodological details and outcomes extracted from each study. A random sample of 25% of the studies was reviewed for extraction accuracy by a second reviewer</w:t>
      </w:r>
      <w:r w:rsidRPr="00480AB1">
        <w:t>.  Errors were found in only 1.3% of the reviewed data, all in three variables: length of stress, type of test and timing of the test. These three variables were checked again for accuracy for all included studies by one reviewer.</w:t>
      </w:r>
    </w:p>
    <w:p w14:paraId="5B562EFC" w14:textId="14555B1B" w:rsidR="00FE6A1B" w:rsidRDefault="00FE6A1B" w:rsidP="00DC61EF">
      <w:pPr>
        <w:pStyle w:val="BodyText"/>
        <w:jc w:val="both"/>
        <w:rPr>
          <w:color w:val="FF0000"/>
        </w:rPr>
      </w:pPr>
    </w:p>
    <w:p w14:paraId="4F94B758" w14:textId="6404B405" w:rsidR="00FE6A1B" w:rsidRPr="00B160E2" w:rsidRDefault="00FE6A1B" w:rsidP="004E5AC3">
      <w:pPr>
        <w:pStyle w:val="BodyText"/>
        <w:jc w:val="both"/>
      </w:pPr>
      <w:r w:rsidRPr="00B160E2">
        <w:rPr>
          <w:b/>
          <w:bCs/>
        </w:rPr>
        <w:t>Supplementary table 2.</w:t>
      </w:r>
      <w:r w:rsidRPr="00B160E2">
        <w:t xml:space="preserve"> </w:t>
      </w:r>
      <w:r w:rsidRPr="00B160E2">
        <w:rPr>
          <w:i/>
          <w:iCs/>
        </w:rPr>
        <w:t>Methodological details and outcomes extracted from included experiments</w:t>
      </w:r>
      <w:r w:rsidR="0036323D" w:rsidRPr="00B160E2">
        <w:rPr>
          <w:i/>
          <w:iCs/>
        </w:rPr>
        <w:t xml:space="preserve">. A shorter list of items, highlighted in blue, were extracted for a subset of studies using longer periods of food and water deprivation. </w:t>
      </w:r>
    </w:p>
    <w:tbl>
      <w:tblPr>
        <w:tblStyle w:val="TableGrid"/>
        <w:tblW w:w="0" w:type="auto"/>
        <w:tblInd w:w="0" w:type="dxa"/>
        <w:tblLook w:val="04A0" w:firstRow="1" w:lastRow="0" w:firstColumn="1" w:lastColumn="0" w:noHBand="0" w:noVBand="1"/>
      </w:tblPr>
      <w:tblGrid>
        <w:gridCol w:w="2689"/>
        <w:gridCol w:w="6139"/>
      </w:tblGrid>
      <w:tr w:rsidR="00FE6A1B" w14:paraId="1F20DE88" w14:textId="77777777" w:rsidTr="003438A9">
        <w:tc>
          <w:tcPr>
            <w:tcW w:w="8828" w:type="dxa"/>
            <w:gridSpan w:val="2"/>
          </w:tcPr>
          <w:p w14:paraId="174A796C" w14:textId="77777777" w:rsidR="00FE6A1B" w:rsidRDefault="00FE6A1B" w:rsidP="00FE6A1B">
            <w:pPr>
              <w:pStyle w:val="ListParagraph"/>
              <w:numPr>
                <w:ilvl w:val="0"/>
                <w:numId w:val="21"/>
              </w:numPr>
              <w:spacing w:after="0" w:line="240" w:lineRule="auto"/>
            </w:pPr>
            <w:r w:rsidRPr="008D77BF">
              <w:rPr>
                <w:b/>
              </w:rPr>
              <w:t xml:space="preserve">Methodological details </w:t>
            </w:r>
          </w:p>
        </w:tc>
      </w:tr>
      <w:tr w:rsidR="00FE6A1B" w14:paraId="3F3A4726" w14:textId="77777777" w:rsidTr="003438A9">
        <w:tc>
          <w:tcPr>
            <w:tcW w:w="2689" w:type="dxa"/>
          </w:tcPr>
          <w:p w14:paraId="4B05C705" w14:textId="77777777" w:rsidR="00FE6A1B" w:rsidRPr="008D77BF" w:rsidRDefault="00FE6A1B" w:rsidP="003438A9">
            <w:pPr>
              <w:rPr>
                <w:b/>
                <w:sz w:val="20"/>
              </w:rPr>
            </w:pPr>
            <w:r w:rsidRPr="008D77BF">
              <w:rPr>
                <w:b/>
                <w:sz w:val="20"/>
              </w:rPr>
              <w:t xml:space="preserve">Study ID </w:t>
            </w:r>
          </w:p>
        </w:tc>
        <w:tc>
          <w:tcPr>
            <w:tcW w:w="6139" w:type="dxa"/>
          </w:tcPr>
          <w:p w14:paraId="37B0ECD3" w14:textId="77777777" w:rsidR="00FE6A1B" w:rsidRPr="004E5AC3" w:rsidRDefault="00FE6A1B" w:rsidP="003438A9">
            <w:pPr>
              <w:rPr>
                <w:color w:val="0070C0"/>
                <w:sz w:val="20"/>
              </w:rPr>
            </w:pPr>
            <w:r w:rsidRPr="004E5AC3">
              <w:rPr>
                <w:color w:val="0070C0"/>
                <w:sz w:val="20"/>
              </w:rPr>
              <w:t xml:space="preserve">*Title </w:t>
            </w:r>
          </w:p>
          <w:p w14:paraId="197A249C" w14:textId="77777777" w:rsidR="00FE6A1B" w:rsidRPr="004E5AC3" w:rsidRDefault="00FE6A1B" w:rsidP="003438A9">
            <w:pPr>
              <w:rPr>
                <w:color w:val="0070C0"/>
                <w:sz w:val="20"/>
              </w:rPr>
            </w:pPr>
            <w:r w:rsidRPr="004E5AC3">
              <w:rPr>
                <w:color w:val="0070C0"/>
                <w:sz w:val="20"/>
              </w:rPr>
              <w:t>*Corresponding author and e-mail address</w:t>
            </w:r>
          </w:p>
          <w:p w14:paraId="7DDB32DC" w14:textId="77777777" w:rsidR="00FE6A1B" w:rsidRPr="004E5AC3" w:rsidRDefault="00FE6A1B" w:rsidP="003438A9">
            <w:pPr>
              <w:rPr>
                <w:color w:val="0070C0"/>
                <w:sz w:val="20"/>
              </w:rPr>
            </w:pPr>
            <w:r w:rsidRPr="004E5AC3">
              <w:rPr>
                <w:color w:val="0070C0"/>
                <w:sz w:val="20"/>
              </w:rPr>
              <w:t>*Journal</w:t>
            </w:r>
          </w:p>
          <w:p w14:paraId="5D3B18FB" w14:textId="77777777" w:rsidR="00FE6A1B" w:rsidRPr="008D77BF" w:rsidRDefault="00FE6A1B" w:rsidP="003438A9">
            <w:pPr>
              <w:rPr>
                <w:sz w:val="20"/>
              </w:rPr>
            </w:pPr>
            <w:r w:rsidRPr="004E5AC3">
              <w:rPr>
                <w:color w:val="0070C0"/>
                <w:sz w:val="20"/>
              </w:rPr>
              <w:t>*Year</w:t>
            </w:r>
          </w:p>
        </w:tc>
      </w:tr>
      <w:tr w:rsidR="00FE6A1B" w:rsidRPr="0014598E" w14:paraId="24EE3192" w14:textId="77777777" w:rsidTr="003438A9">
        <w:tc>
          <w:tcPr>
            <w:tcW w:w="2689" w:type="dxa"/>
          </w:tcPr>
          <w:p w14:paraId="39C86136" w14:textId="77777777" w:rsidR="00FE6A1B" w:rsidRPr="008D77BF" w:rsidRDefault="00FE6A1B" w:rsidP="003438A9">
            <w:pPr>
              <w:rPr>
                <w:b/>
                <w:sz w:val="20"/>
              </w:rPr>
            </w:pPr>
            <w:r w:rsidRPr="008D77BF">
              <w:rPr>
                <w:b/>
                <w:sz w:val="20"/>
              </w:rPr>
              <w:t xml:space="preserve">Subject characteristics </w:t>
            </w:r>
          </w:p>
        </w:tc>
        <w:tc>
          <w:tcPr>
            <w:tcW w:w="6139" w:type="dxa"/>
          </w:tcPr>
          <w:p w14:paraId="57461761" w14:textId="77777777" w:rsidR="00FE6A1B" w:rsidRPr="004E5AC3" w:rsidRDefault="00FE6A1B" w:rsidP="003438A9">
            <w:pPr>
              <w:rPr>
                <w:color w:val="0070C0"/>
                <w:sz w:val="20"/>
              </w:rPr>
            </w:pPr>
            <w:r w:rsidRPr="004E5AC3">
              <w:rPr>
                <w:color w:val="0070C0"/>
                <w:sz w:val="20"/>
              </w:rPr>
              <w:t>*Strain</w:t>
            </w:r>
          </w:p>
          <w:p w14:paraId="36FBB802" w14:textId="77777777" w:rsidR="00FE6A1B" w:rsidRPr="008D77BF" w:rsidRDefault="00FE6A1B" w:rsidP="003438A9">
            <w:pPr>
              <w:rPr>
                <w:sz w:val="20"/>
              </w:rPr>
            </w:pPr>
            <w:r w:rsidRPr="004E5AC3">
              <w:rPr>
                <w:color w:val="0070C0"/>
                <w:sz w:val="20"/>
              </w:rPr>
              <w:t>*Sex</w:t>
            </w:r>
          </w:p>
          <w:p w14:paraId="71CF0169" w14:textId="77777777" w:rsidR="00FE6A1B" w:rsidRPr="008D77BF" w:rsidRDefault="00FE6A1B" w:rsidP="003438A9">
            <w:pPr>
              <w:rPr>
                <w:sz w:val="20"/>
              </w:rPr>
            </w:pPr>
            <w:r w:rsidRPr="008D77BF">
              <w:rPr>
                <w:sz w:val="20"/>
              </w:rPr>
              <w:t>*</w:t>
            </w:r>
            <w:r w:rsidRPr="00480AB1">
              <w:rPr>
                <w:sz w:val="20"/>
              </w:rPr>
              <w:t>Age at the start of the study*(</w:t>
            </w:r>
            <w:r w:rsidRPr="00480AB1">
              <w:rPr>
                <w:rFonts w:cstheme="minorHAnsi"/>
                <w:sz w:val="20"/>
              </w:rPr>
              <w:t xml:space="preserve">≤ </w:t>
            </w:r>
            <w:r w:rsidRPr="008D77BF">
              <w:rPr>
                <w:sz w:val="20"/>
              </w:rPr>
              <w:t xml:space="preserve">9 weeks, </w:t>
            </w:r>
            <w:r w:rsidRPr="008D77BF">
              <w:rPr>
                <w:rFonts w:cstheme="minorHAnsi"/>
                <w:sz w:val="20"/>
              </w:rPr>
              <w:t>≤</w:t>
            </w:r>
            <w:r>
              <w:rPr>
                <w:rFonts w:cstheme="minorHAnsi"/>
                <w:sz w:val="20"/>
              </w:rPr>
              <w:t xml:space="preserve"> </w:t>
            </w:r>
            <w:r w:rsidRPr="008D77BF">
              <w:rPr>
                <w:sz w:val="20"/>
              </w:rPr>
              <w:t>12 months, &gt;</w:t>
            </w:r>
            <w:r>
              <w:rPr>
                <w:sz w:val="20"/>
              </w:rPr>
              <w:t xml:space="preserve"> </w:t>
            </w:r>
            <w:r w:rsidRPr="008D77BF">
              <w:rPr>
                <w:sz w:val="20"/>
              </w:rPr>
              <w:t>12 months)</w:t>
            </w:r>
          </w:p>
          <w:p w14:paraId="2D760D6F" w14:textId="77777777" w:rsidR="00FE6A1B" w:rsidRPr="008D77BF" w:rsidRDefault="00FE6A1B" w:rsidP="003438A9">
            <w:pPr>
              <w:rPr>
                <w:sz w:val="20"/>
              </w:rPr>
            </w:pPr>
            <w:r w:rsidRPr="008D77BF">
              <w:rPr>
                <w:sz w:val="20"/>
              </w:rPr>
              <w:t>*Weight</w:t>
            </w:r>
          </w:p>
        </w:tc>
      </w:tr>
      <w:tr w:rsidR="00FE6A1B" w14:paraId="53AC0BB0" w14:textId="77777777" w:rsidTr="003438A9">
        <w:tc>
          <w:tcPr>
            <w:tcW w:w="2689" w:type="dxa"/>
          </w:tcPr>
          <w:p w14:paraId="60F06423" w14:textId="77777777" w:rsidR="00FE6A1B" w:rsidRPr="008D77BF" w:rsidRDefault="00FE6A1B" w:rsidP="003438A9">
            <w:pPr>
              <w:rPr>
                <w:sz w:val="20"/>
              </w:rPr>
            </w:pPr>
            <w:r w:rsidRPr="008D77BF">
              <w:rPr>
                <w:b/>
                <w:sz w:val="20"/>
              </w:rPr>
              <w:t xml:space="preserve">CUS Model characteristics </w:t>
            </w:r>
          </w:p>
        </w:tc>
        <w:tc>
          <w:tcPr>
            <w:tcW w:w="6139" w:type="dxa"/>
          </w:tcPr>
          <w:p w14:paraId="013E721A" w14:textId="77777777" w:rsidR="00FE6A1B" w:rsidRPr="008D77BF" w:rsidRDefault="00FE6A1B" w:rsidP="003438A9">
            <w:pPr>
              <w:rPr>
                <w:sz w:val="20"/>
              </w:rPr>
            </w:pPr>
            <w:r w:rsidRPr="004E5AC3">
              <w:rPr>
                <w:color w:val="0070C0"/>
                <w:sz w:val="20"/>
              </w:rPr>
              <w:t xml:space="preserve">*Length (in weeks) </w:t>
            </w:r>
          </w:p>
        </w:tc>
      </w:tr>
      <w:tr w:rsidR="00FE6A1B" w14:paraId="799798D2" w14:textId="77777777" w:rsidTr="003438A9">
        <w:tc>
          <w:tcPr>
            <w:tcW w:w="2689" w:type="dxa"/>
          </w:tcPr>
          <w:p w14:paraId="0A493A48" w14:textId="77777777" w:rsidR="00FE6A1B" w:rsidRPr="008D77BF" w:rsidRDefault="00FE6A1B" w:rsidP="003438A9">
            <w:pPr>
              <w:rPr>
                <w:b/>
                <w:sz w:val="20"/>
              </w:rPr>
            </w:pPr>
            <w:r w:rsidRPr="008D77BF">
              <w:rPr>
                <w:b/>
                <w:sz w:val="20"/>
              </w:rPr>
              <w:t>SPT characteristics</w:t>
            </w:r>
          </w:p>
        </w:tc>
        <w:tc>
          <w:tcPr>
            <w:tcW w:w="6139" w:type="dxa"/>
          </w:tcPr>
          <w:p w14:paraId="364D84D8" w14:textId="77777777" w:rsidR="00FE6A1B" w:rsidRPr="008D77BF" w:rsidRDefault="00FE6A1B" w:rsidP="003438A9">
            <w:pPr>
              <w:rPr>
                <w:sz w:val="20"/>
              </w:rPr>
            </w:pPr>
            <w:r w:rsidRPr="004E5AC3">
              <w:rPr>
                <w:color w:val="0070C0"/>
                <w:sz w:val="20"/>
              </w:rPr>
              <w:t xml:space="preserve">* Type of sweet: Sucrose or Saccharine </w:t>
            </w:r>
          </w:p>
          <w:p w14:paraId="56EE1E25" w14:textId="77777777" w:rsidR="00FE6A1B" w:rsidRPr="008D77BF" w:rsidRDefault="00FE6A1B" w:rsidP="003438A9">
            <w:pPr>
              <w:rPr>
                <w:sz w:val="20"/>
              </w:rPr>
            </w:pPr>
            <w:r w:rsidRPr="008D77BF">
              <w:rPr>
                <w:sz w:val="20"/>
              </w:rPr>
              <w:t>* Type of test: One-botte, Two bottle</w:t>
            </w:r>
          </w:p>
          <w:p w14:paraId="08075CD1" w14:textId="77777777" w:rsidR="00FE6A1B" w:rsidRPr="008D77BF" w:rsidRDefault="00FE6A1B" w:rsidP="003438A9">
            <w:pPr>
              <w:rPr>
                <w:sz w:val="20"/>
              </w:rPr>
            </w:pPr>
            <w:r w:rsidRPr="004E5AC3">
              <w:rPr>
                <w:color w:val="0070C0"/>
                <w:sz w:val="20"/>
              </w:rPr>
              <w:t>* Length (h) of food and water deprivation</w:t>
            </w:r>
            <w:r>
              <w:rPr>
                <w:sz w:val="20"/>
              </w:rPr>
              <w:t>, if any.</w:t>
            </w:r>
          </w:p>
          <w:p w14:paraId="1D807C91" w14:textId="77777777" w:rsidR="00FE6A1B" w:rsidRPr="008D77BF" w:rsidRDefault="00FE6A1B" w:rsidP="003438A9">
            <w:pPr>
              <w:rPr>
                <w:sz w:val="20"/>
              </w:rPr>
            </w:pPr>
            <w:r w:rsidRPr="008D77BF">
              <w:rPr>
                <w:sz w:val="20"/>
              </w:rPr>
              <w:t xml:space="preserve">* Timing: light, dark cycle </w:t>
            </w:r>
          </w:p>
          <w:p w14:paraId="65379AD1" w14:textId="77777777" w:rsidR="00FE6A1B" w:rsidRPr="008D77BF" w:rsidRDefault="00FE6A1B" w:rsidP="003438A9">
            <w:pPr>
              <w:rPr>
                <w:sz w:val="20"/>
              </w:rPr>
            </w:pPr>
            <w:r w:rsidRPr="004E5AC3">
              <w:rPr>
                <w:color w:val="0070C0"/>
                <w:sz w:val="20"/>
              </w:rPr>
              <w:t>* Length of test (h)</w:t>
            </w:r>
          </w:p>
          <w:p w14:paraId="213B4375" w14:textId="77777777" w:rsidR="00FE6A1B" w:rsidRPr="008D77BF" w:rsidRDefault="00FE6A1B" w:rsidP="003438A9">
            <w:pPr>
              <w:rPr>
                <w:sz w:val="20"/>
              </w:rPr>
            </w:pPr>
            <w:r w:rsidRPr="008D77BF">
              <w:rPr>
                <w:sz w:val="20"/>
              </w:rPr>
              <w:t>* Concentration of sucrose/saccharine (w/v)</w:t>
            </w:r>
          </w:p>
        </w:tc>
      </w:tr>
      <w:tr w:rsidR="00FE6A1B" w14:paraId="29016113" w14:textId="77777777" w:rsidTr="003438A9">
        <w:tc>
          <w:tcPr>
            <w:tcW w:w="2689" w:type="dxa"/>
          </w:tcPr>
          <w:p w14:paraId="47CEAEC5" w14:textId="77777777" w:rsidR="00FE6A1B" w:rsidRPr="008D77BF" w:rsidRDefault="00FE6A1B" w:rsidP="003438A9">
            <w:pPr>
              <w:rPr>
                <w:b/>
                <w:sz w:val="20"/>
              </w:rPr>
            </w:pPr>
            <w:r w:rsidRPr="008D77BF">
              <w:rPr>
                <w:b/>
                <w:sz w:val="20"/>
              </w:rPr>
              <w:lastRenderedPageBreak/>
              <w:t>Antidepressant treatment (if appropriate)</w:t>
            </w:r>
          </w:p>
        </w:tc>
        <w:tc>
          <w:tcPr>
            <w:tcW w:w="6139" w:type="dxa"/>
          </w:tcPr>
          <w:p w14:paraId="5F13866B" w14:textId="77777777" w:rsidR="00FE6A1B" w:rsidRPr="008D77BF" w:rsidRDefault="00FE6A1B" w:rsidP="003438A9">
            <w:pPr>
              <w:rPr>
                <w:sz w:val="20"/>
              </w:rPr>
            </w:pPr>
            <w:r w:rsidRPr="008D77BF">
              <w:rPr>
                <w:sz w:val="20"/>
              </w:rPr>
              <w:t>*Antidepressant</w:t>
            </w:r>
          </w:p>
          <w:p w14:paraId="0B18A252" w14:textId="77777777" w:rsidR="00FE6A1B" w:rsidRPr="008D77BF" w:rsidRDefault="00FE6A1B" w:rsidP="003438A9">
            <w:pPr>
              <w:rPr>
                <w:sz w:val="20"/>
              </w:rPr>
            </w:pPr>
            <w:r w:rsidRPr="008D77BF">
              <w:rPr>
                <w:sz w:val="20"/>
              </w:rPr>
              <w:t>*Dose (mg/kg)</w:t>
            </w:r>
          </w:p>
          <w:p w14:paraId="4B17E966" w14:textId="77777777" w:rsidR="00FE6A1B" w:rsidRPr="008D77BF" w:rsidRDefault="00FE6A1B" w:rsidP="003438A9">
            <w:pPr>
              <w:rPr>
                <w:sz w:val="20"/>
              </w:rPr>
            </w:pPr>
            <w:r w:rsidRPr="008D77BF">
              <w:rPr>
                <w:sz w:val="20"/>
              </w:rPr>
              <w:t>*Class</w:t>
            </w:r>
          </w:p>
          <w:p w14:paraId="6F61BE13" w14:textId="77777777" w:rsidR="00FE6A1B" w:rsidRPr="008D77BF" w:rsidRDefault="00FE6A1B" w:rsidP="003438A9">
            <w:pPr>
              <w:rPr>
                <w:sz w:val="20"/>
              </w:rPr>
            </w:pPr>
            <w:r w:rsidRPr="008D77BF">
              <w:rPr>
                <w:sz w:val="20"/>
              </w:rPr>
              <w:t>*Length of CUS before treatment (</w:t>
            </w:r>
            <w:r>
              <w:rPr>
                <w:sz w:val="20"/>
              </w:rPr>
              <w:t>in</w:t>
            </w:r>
            <w:r w:rsidRPr="008D77BF">
              <w:rPr>
                <w:sz w:val="20"/>
              </w:rPr>
              <w:t xml:space="preserve"> weeks)</w:t>
            </w:r>
          </w:p>
          <w:p w14:paraId="13C5DECF" w14:textId="77777777" w:rsidR="00FE6A1B" w:rsidRPr="008D77BF" w:rsidRDefault="00FE6A1B" w:rsidP="003438A9">
            <w:pPr>
              <w:rPr>
                <w:sz w:val="20"/>
              </w:rPr>
            </w:pPr>
            <w:r w:rsidRPr="008D77BF">
              <w:rPr>
                <w:sz w:val="20"/>
              </w:rPr>
              <w:t>*Length of antidepressant treatment (</w:t>
            </w:r>
            <w:r>
              <w:rPr>
                <w:sz w:val="20"/>
              </w:rPr>
              <w:t>in</w:t>
            </w:r>
            <w:r w:rsidRPr="008D77BF">
              <w:rPr>
                <w:sz w:val="20"/>
              </w:rPr>
              <w:t xml:space="preserve"> weeks)</w:t>
            </w:r>
          </w:p>
        </w:tc>
      </w:tr>
      <w:tr w:rsidR="00FE6A1B" w14:paraId="57ADD835" w14:textId="77777777" w:rsidTr="003438A9">
        <w:tc>
          <w:tcPr>
            <w:tcW w:w="8828" w:type="dxa"/>
            <w:gridSpan w:val="2"/>
          </w:tcPr>
          <w:p w14:paraId="34F5E062" w14:textId="77777777" w:rsidR="00FE6A1B" w:rsidRDefault="00FE6A1B" w:rsidP="00FE6A1B">
            <w:pPr>
              <w:pStyle w:val="ListParagraph"/>
              <w:numPr>
                <w:ilvl w:val="0"/>
                <w:numId w:val="21"/>
              </w:numPr>
              <w:spacing w:after="0" w:line="240" w:lineRule="auto"/>
            </w:pPr>
            <w:r w:rsidRPr="008D77BF">
              <w:rPr>
                <w:b/>
              </w:rPr>
              <w:t>Outcome</w:t>
            </w:r>
          </w:p>
        </w:tc>
      </w:tr>
      <w:tr w:rsidR="00FE6A1B" w14:paraId="254DA468" w14:textId="77777777" w:rsidTr="003438A9">
        <w:tc>
          <w:tcPr>
            <w:tcW w:w="2689" w:type="dxa"/>
          </w:tcPr>
          <w:p w14:paraId="434C4378" w14:textId="60A2CEDD" w:rsidR="00FE6A1B" w:rsidRPr="00D06BAA" w:rsidRDefault="00FE6A1B" w:rsidP="003438A9">
            <w:pPr>
              <w:rPr>
                <w:b/>
                <w:bCs/>
                <w:sz w:val="20"/>
              </w:rPr>
            </w:pPr>
            <w:r w:rsidRPr="00D06BAA">
              <w:rPr>
                <w:b/>
                <w:bCs/>
                <w:sz w:val="20"/>
              </w:rPr>
              <w:t>Sweet preference/</w:t>
            </w:r>
            <w:r>
              <w:rPr>
                <w:b/>
                <w:bCs/>
                <w:sz w:val="20"/>
              </w:rPr>
              <w:br/>
            </w:r>
            <w:r w:rsidRPr="00D06BAA">
              <w:rPr>
                <w:b/>
                <w:bCs/>
                <w:sz w:val="20"/>
              </w:rPr>
              <w:t xml:space="preserve">consumption at the end of </w:t>
            </w:r>
            <w:r w:rsidR="005B5DA1">
              <w:rPr>
                <w:b/>
                <w:bCs/>
                <w:sz w:val="20"/>
              </w:rPr>
              <w:t xml:space="preserve">the </w:t>
            </w:r>
            <w:r w:rsidRPr="00D06BAA">
              <w:rPr>
                <w:b/>
                <w:bCs/>
                <w:sz w:val="20"/>
              </w:rPr>
              <w:t>CUS</w:t>
            </w:r>
            <w:r w:rsidR="005B5DA1">
              <w:rPr>
                <w:b/>
                <w:bCs/>
                <w:sz w:val="20"/>
              </w:rPr>
              <w:t xml:space="preserve"> protocol</w:t>
            </w:r>
          </w:p>
          <w:p w14:paraId="5FC520BE" w14:textId="77777777" w:rsidR="00FE6A1B" w:rsidRPr="008D77BF" w:rsidRDefault="00FE6A1B" w:rsidP="003438A9">
            <w:pPr>
              <w:rPr>
                <w:b/>
              </w:rPr>
            </w:pPr>
            <w:r>
              <w:rPr>
                <w:b/>
                <w:bCs/>
              </w:rPr>
              <w:t xml:space="preserve"> </w:t>
            </w:r>
          </w:p>
        </w:tc>
        <w:tc>
          <w:tcPr>
            <w:tcW w:w="6139" w:type="dxa"/>
          </w:tcPr>
          <w:p w14:paraId="2886042C" w14:textId="77777777" w:rsidR="00FE6A1B" w:rsidRPr="004E5AC3" w:rsidRDefault="00FE6A1B" w:rsidP="003438A9">
            <w:pPr>
              <w:rPr>
                <w:bCs/>
                <w:color w:val="0070C0"/>
                <w:sz w:val="20"/>
                <w:szCs w:val="20"/>
              </w:rPr>
            </w:pPr>
            <w:r w:rsidRPr="004E5AC3">
              <w:rPr>
                <w:bCs/>
                <w:color w:val="0070C0"/>
                <w:sz w:val="20"/>
                <w:szCs w:val="20"/>
              </w:rPr>
              <w:t>*Stressed vs unstressed control</w:t>
            </w:r>
          </w:p>
          <w:p w14:paraId="385ADC15" w14:textId="77777777" w:rsidR="00FE6A1B" w:rsidRPr="00D06BAA" w:rsidRDefault="00FE6A1B" w:rsidP="003438A9">
            <w:pPr>
              <w:rPr>
                <w:sz w:val="20"/>
                <w:szCs w:val="20"/>
              </w:rPr>
            </w:pPr>
            <w:r w:rsidRPr="00D06BAA">
              <w:rPr>
                <w:bCs/>
                <w:sz w:val="20"/>
                <w:szCs w:val="20"/>
              </w:rPr>
              <w:t>*Treated vs untreated stressed control</w:t>
            </w:r>
          </w:p>
          <w:p w14:paraId="10B9F224" w14:textId="77777777" w:rsidR="00FE6A1B" w:rsidRPr="00D06BAA" w:rsidRDefault="00FE6A1B" w:rsidP="003438A9">
            <w:pPr>
              <w:rPr>
                <w:sz w:val="20"/>
                <w:szCs w:val="20"/>
              </w:rPr>
            </w:pPr>
          </w:p>
          <w:p w14:paraId="488B00C1" w14:textId="77777777" w:rsidR="00FE6A1B" w:rsidRPr="00D06BAA" w:rsidRDefault="00FE6A1B" w:rsidP="003438A9">
            <w:pPr>
              <w:rPr>
                <w:sz w:val="20"/>
                <w:szCs w:val="20"/>
              </w:rPr>
            </w:pPr>
            <w:r w:rsidRPr="00D06BAA">
              <w:rPr>
                <w:sz w:val="20"/>
                <w:szCs w:val="20"/>
              </w:rPr>
              <w:t xml:space="preserve">Measuring units:  </w:t>
            </w:r>
          </w:p>
          <w:p w14:paraId="17A8D65D" w14:textId="77777777" w:rsidR="00FE6A1B" w:rsidRPr="00D06BAA" w:rsidRDefault="00FE6A1B" w:rsidP="00FE6A1B">
            <w:pPr>
              <w:pStyle w:val="ListNumber"/>
              <w:spacing w:after="0" w:line="240" w:lineRule="auto"/>
              <w:rPr>
                <w:sz w:val="20"/>
                <w:szCs w:val="20"/>
              </w:rPr>
            </w:pPr>
            <w:r w:rsidRPr="00D06BAA">
              <w:rPr>
                <w:sz w:val="20"/>
                <w:szCs w:val="20"/>
              </w:rPr>
              <w:t>Sucrose/saccharine preference (in percent), or</w:t>
            </w:r>
          </w:p>
          <w:p w14:paraId="433476FD" w14:textId="77777777" w:rsidR="00FE6A1B" w:rsidRPr="00D06BAA" w:rsidRDefault="00FE6A1B" w:rsidP="00FE6A1B">
            <w:pPr>
              <w:pStyle w:val="ListNumber"/>
              <w:spacing w:after="0" w:line="240" w:lineRule="auto"/>
              <w:rPr>
                <w:sz w:val="20"/>
                <w:szCs w:val="20"/>
              </w:rPr>
            </w:pPr>
            <w:r w:rsidRPr="00D06BAA">
              <w:rPr>
                <w:sz w:val="20"/>
                <w:szCs w:val="20"/>
              </w:rPr>
              <w:t>Sucrose/Saccharine intake calculated as weight or volume of sucrose solution (g or mL), or</w:t>
            </w:r>
          </w:p>
          <w:p w14:paraId="4EC5B382" w14:textId="77777777" w:rsidR="00FE6A1B" w:rsidRPr="00D06BAA" w:rsidRDefault="00FE6A1B" w:rsidP="00FE6A1B">
            <w:pPr>
              <w:pStyle w:val="ListNumber"/>
              <w:spacing w:after="0" w:line="240" w:lineRule="auto"/>
              <w:rPr>
                <w:sz w:val="20"/>
                <w:szCs w:val="20"/>
              </w:rPr>
            </w:pPr>
            <w:r w:rsidRPr="00D06BAA">
              <w:rPr>
                <w:sz w:val="20"/>
                <w:szCs w:val="20"/>
              </w:rPr>
              <w:t>Ratio of sucrose/saccharine intake to total water intake, or</w:t>
            </w:r>
          </w:p>
          <w:p w14:paraId="118455C6" w14:textId="77777777" w:rsidR="00FE6A1B" w:rsidRPr="00D06BAA" w:rsidRDefault="00FE6A1B" w:rsidP="00FE6A1B">
            <w:pPr>
              <w:pStyle w:val="ListNumber"/>
              <w:spacing w:after="0" w:line="240" w:lineRule="auto"/>
              <w:rPr>
                <w:sz w:val="20"/>
                <w:szCs w:val="20"/>
              </w:rPr>
            </w:pPr>
            <w:r w:rsidRPr="00D06BAA">
              <w:rPr>
                <w:sz w:val="20"/>
                <w:szCs w:val="20"/>
              </w:rPr>
              <w:t>Sucrose/Saccharine intake in relation to the animal’s body weight (g/kg), or</w:t>
            </w:r>
          </w:p>
          <w:p w14:paraId="1CDB54B7" w14:textId="77777777" w:rsidR="00FE6A1B" w:rsidRPr="00D06BAA" w:rsidRDefault="00FE6A1B" w:rsidP="00FE6A1B">
            <w:pPr>
              <w:pStyle w:val="ListNumber"/>
              <w:spacing w:after="0" w:line="240" w:lineRule="auto"/>
              <w:rPr>
                <w:sz w:val="20"/>
                <w:szCs w:val="20"/>
              </w:rPr>
            </w:pPr>
            <w:r w:rsidRPr="00D06BAA">
              <w:rPr>
                <w:sz w:val="20"/>
                <w:szCs w:val="20"/>
              </w:rPr>
              <w:t>Other</w:t>
            </w:r>
          </w:p>
        </w:tc>
      </w:tr>
    </w:tbl>
    <w:p w14:paraId="2EA8FEE7" w14:textId="61279E0F" w:rsidR="00FE6A1B" w:rsidRDefault="00FE6A1B" w:rsidP="00FE6A1B">
      <w:pPr>
        <w:pStyle w:val="BodyText"/>
      </w:pPr>
      <w:r>
        <w:t xml:space="preserve"> (*) When the age was not reported, body weight was used to estimate it based on predefined ranges obtained from growth curves.</w:t>
      </w:r>
    </w:p>
    <w:p w14:paraId="75483783" w14:textId="663DF79C" w:rsidR="00665CDE" w:rsidRPr="00B160E2" w:rsidRDefault="00964CD5" w:rsidP="00665CDE">
      <w:pPr>
        <w:pStyle w:val="BodyText"/>
        <w:jc w:val="both"/>
      </w:pPr>
      <w:r w:rsidRPr="00B160E2">
        <w:t xml:space="preserve">Ten percent of the studies that were excluded because they employed periods of fasting longer than 6 hours were randomly selected, and checked against our inclusion and exclusion criteria. A total of 73 studies did not fulfill our criteria and were replaced by randomly selecting another study belonging to the same batch. A total of 73 studies were included in the present investigation and the </w:t>
      </w:r>
      <w:r w:rsidR="007001E6" w:rsidRPr="00B160E2">
        <w:t xml:space="preserve">details colored in blue were extracted </w:t>
      </w:r>
      <w:r w:rsidRPr="00B160E2">
        <w:t>by one reviewer</w:t>
      </w:r>
      <w:r w:rsidR="007001E6" w:rsidRPr="00B160E2">
        <w:t xml:space="preserve">. </w:t>
      </w:r>
      <w:r w:rsidR="00B4790B" w:rsidRPr="00B160E2">
        <w:t>The extracted data was</w:t>
      </w:r>
      <w:r w:rsidR="00665CDE" w:rsidRPr="00B160E2">
        <w:t xml:space="preserve"> </w:t>
      </w:r>
      <w:r w:rsidR="00B4790B" w:rsidRPr="00B160E2">
        <w:t>double-checked</w:t>
      </w:r>
      <w:r w:rsidR="00665CDE" w:rsidRPr="00B160E2">
        <w:t xml:space="preserve"> for extraction accuracy by a second reviewer.</w:t>
      </w:r>
    </w:p>
    <w:p w14:paraId="47E78AFA" w14:textId="2440F73B" w:rsidR="007001E6" w:rsidRDefault="007001E6" w:rsidP="00FE6A1B">
      <w:pPr>
        <w:pStyle w:val="BodyText"/>
      </w:pPr>
    </w:p>
    <w:p w14:paraId="59BD85FB" w14:textId="2176F4BC" w:rsidR="007B3C5B" w:rsidRDefault="00370743">
      <w:pPr>
        <w:pStyle w:val="FirstParagraph"/>
      </w:pPr>
      <w:r>
        <w:t>Age was defined as follows:</w:t>
      </w:r>
    </w:p>
    <w:p w14:paraId="56C9D3DC" w14:textId="5EFEC47E" w:rsidR="007B3C5B" w:rsidRDefault="00370743">
      <w:pPr>
        <w:pStyle w:val="Compact"/>
        <w:numPr>
          <w:ilvl w:val="0"/>
          <w:numId w:val="5"/>
        </w:numPr>
      </w:pPr>
      <w:r>
        <w:rPr>
          <w:b/>
          <w:bCs/>
        </w:rPr>
        <w:t>≤</w:t>
      </w:r>
      <w:r w:rsidR="00AA5277">
        <w:rPr>
          <w:b/>
          <w:bCs/>
        </w:rPr>
        <w:t xml:space="preserve"> </w:t>
      </w:r>
      <w:r>
        <w:rPr>
          <w:b/>
          <w:bCs/>
        </w:rPr>
        <w:t>9 weeks:</w:t>
      </w:r>
      <w:r>
        <w:t xml:space="preserve"> P21-P63</w:t>
      </w:r>
    </w:p>
    <w:p w14:paraId="17D18B6C" w14:textId="097C0089" w:rsidR="007B3C5B" w:rsidRDefault="00370743">
      <w:pPr>
        <w:pStyle w:val="Compact"/>
        <w:numPr>
          <w:ilvl w:val="0"/>
          <w:numId w:val="5"/>
        </w:numPr>
      </w:pPr>
      <w:r>
        <w:rPr>
          <w:b/>
          <w:bCs/>
        </w:rPr>
        <w:t>Adult ≤ 12 months:</w:t>
      </w:r>
      <w:r>
        <w:t xml:space="preserve"> P64-P336 (10 weeks to 48 weeks)</w:t>
      </w:r>
    </w:p>
    <w:p w14:paraId="5CDE624F" w14:textId="3DD4D452" w:rsidR="007B3C5B" w:rsidRDefault="00370743">
      <w:pPr>
        <w:pStyle w:val="Compact"/>
        <w:numPr>
          <w:ilvl w:val="0"/>
          <w:numId w:val="5"/>
        </w:numPr>
      </w:pPr>
      <w:r>
        <w:rPr>
          <w:b/>
          <w:bCs/>
        </w:rPr>
        <w:t>Adult</w:t>
      </w:r>
      <w:r w:rsidR="00AA5277">
        <w:rPr>
          <w:b/>
          <w:bCs/>
        </w:rPr>
        <w:t xml:space="preserve"> </w:t>
      </w:r>
      <w:r>
        <w:rPr>
          <w:b/>
          <w:bCs/>
        </w:rPr>
        <w:t>&gt;</w:t>
      </w:r>
      <w:r w:rsidR="00AA5277">
        <w:rPr>
          <w:b/>
          <w:bCs/>
        </w:rPr>
        <w:t xml:space="preserve"> </w:t>
      </w:r>
      <w:r>
        <w:rPr>
          <w:b/>
          <w:bCs/>
        </w:rPr>
        <w:t>12 months:</w:t>
      </w:r>
      <w:r>
        <w:t xml:space="preserve"> &gt;</w:t>
      </w:r>
      <w:r w:rsidR="00AA5277">
        <w:t xml:space="preserve"> </w:t>
      </w:r>
      <w:r>
        <w:t>48 weeks</w:t>
      </w:r>
    </w:p>
    <w:p w14:paraId="5A6E53C1" w14:textId="752D467B" w:rsidR="007B3C5B" w:rsidRDefault="00370743">
      <w:pPr>
        <w:pStyle w:val="FirstParagraph"/>
      </w:pPr>
      <w:r>
        <w:t xml:space="preserve">When the age was not reported, body weight was used to estimate it based on predefined ranges obtained from growth curves from </w:t>
      </w:r>
      <w:r w:rsidR="00641DFD">
        <w:t>breeders</w:t>
      </w:r>
      <w:r>
        <w:t xml:space="preserve"> </w:t>
      </w:r>
      <w:r>
        <w:rPr>
          <w:i/>
          <w:iCs/>
        </w:rPr>
        <w:t>(OSF:</w:t>
      </w:r>
      <w:r w:rsidR="004C2EBF">
        <w:rPr>
          <w:i/>
          <w:iCs/>
        </w:rPr>
        <w:t xml:space="preserve"> </w:t>
      </w:r>
      <w:r>
        <w:rPr>
          <w:i/>
          <w:iCs/>
        </w:rPr>
        <w:t>“Weight2Age.xlsx”)</w:t>
      </w:r>
      <w:r>
        <w:t>.</w:t>
      </w:r>
      <w:r>
        <w:br/>
      </w:r>
    </w:p>
    <w:p w14:paraId="558FF1E6" w14:textId="6470BCA3" w:rsidR="007B3C5B" w:rsidRDefault="00370743">
      <w:pPr>
        <w:pStyle w:val="BodyText"/>
      </w:pPr>
      <w:r>
        <w:t xml:space="preserve">The following limits were </w:t>
      </w:r>
      <w:r w:rsidR="00641DFD">
        <w:t>used for defining adults</w:t>
      </w:r>
      <w:r>
        <w:t>:</w:t>
      </w:r>
    </w:p>
    <w:tbl>
      <w:tblPr>
        <w:tblStyle w:val="Table"/>
        <w:tblW w:w="0" w:type="auto"/>
        <w:tblLook w:val="0020" w:firstRow="1" w:lastRow="0" w:firstColumn="0" w:lastColumn="0" w:noHBand="0" w:noVBand="0"/>
      </w:tblPr>
      <w:tblGrid>
        <w:gridCol w:w="1898"/>
        <w:gridCol w:w="961"/>
        <w:gridCol w:w="920"/>
      </w:tblGrid>
      <w:tr w:rsidR="00EE13B9" w14:paraId="6F434AC6" w14:textId="77777777" w:rsidTr="007B3C5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E3FD5C8" w14:textId="6B26B4CA" w:rsidR="007B3C5B" w:rsidRDefault="00370743">
            <w:pPr>
              <w:pStyle w:val="Compact"/>
            </w:pPr>
            <w:r>
              <w:t>Strain</w:t>
            </w:r>
            <w:r w:rsidR="00313665">
              <w:t>/stock</w:t>
            </w:r>
          </w:p>
        </w:tc>
        <w:tc>
          <w:tcPr>
            <w:tcW w:w="0" w:type="auto"/>
            <w:tcBorders>
              <w:bottom w:val="none" w:sz="0" w:space="0" w:color="auto"/>
            </w:tcBorders>
          </w:tcPr>
          <w:p w14:paraId="41F9093C" w14:textId="77777777" w:rsidR="007B3C5B" w:rsidRDefault="00370743">
            <w:pPr>
              <w:pStyle w:val="Compact"/>
            </w:pPr>
            <w:r>
              <w:t>Female</w:t>
            </w:r>
          </w:p>
        </w:tc>
        <w:tc>
          <w:tcPr>
            <w:tcW w:w="0" w:type="auto"/>
            <w:tcBorders>
              <w:bottom w:val="none" w:sz="0" w:space="0" w:color="auto"/>
            </w:tcBorders>
          </w:tcPr>
          <w:p w14:paraId="09E429C1" w14:textId="77777777" w:rsidR="007B3C5B" w:rsidRDefault="00370743">
            <w:pPr>
              <w:pStyle w:val="Compact"/>
            </w:pPr>
            <w:r>
              <w:t>Male</w:t>
            </w:r>
          </w:p>
        </w:tc>
      </w:tr>
      <w:tr w:rsidR="007B3C5B" w14:paraId="6246C867" w14:textId="77777777">
        <w:tc>
          <w:tcPr>
            <w:tcW w:w="0" w:type="auto"/>
          </w:tcPr>
          <w:p w14:paraId="71D2C2B8" w14:textId="77777777" w:rsidR="007B3C5B" w:rsidRDefault="00370743">
            <w:pPr>
              <w:pStyle w:val="Compact"/>
            </w:pPr>
            <w:proofErr w:type="spellStart"/>
            <w:r>
              <w:t>Wistar</w:t>
            </w:r>
            <w:proofErr w:type="spellEnd"/>
          </w:p>
        </w:tc>
        <w:tc>
          <w:tcPr>
            <w:tcW w:w="0" w:type="auto"/>
          </w:tcPr>
          <w:p w14:paraId="3D84F645" w14:textId="77777777" w:rsidR="007B3C5B" w:rsidRDefault="00370743">
            <w:pPr>
              <w:pStyle w:val="Compact"/>
            </w:pPr>
            <w:r>
              <w:t>≤ 300g</w:t>
            </w:r>
          </w:p>
        </w:tc>
        <w:tc>
          <w:tcPr>
            <w:tcW w:w="0" w:type="auto"/>
          </w:tcPr>
          <w:p w14:paraId="30E87E6C" w14:textId="77777777" w:rsidR="007B3C5B" w:rsidRDefault="00370743">
            <w:pPr>
              <w:pStyle w:val="Compact"/>
            </w:pPr>
            <w:r>
              <w:t>≤ 400g</w:t>
            </w:r>
          </w:p>
        </w:tc>
      </w:tr>
      <w:tr w:rsidR="007B3C5B" w14:paraId="3F69225F" w14:textId="77777777">
        <w:tc>
          <w:tcPr>
            <w:tcW w:w="0" w:type="auto"/>
          </w:tcPr>
          <w:p w14:paraId="50830915" w14:textId="77777777" w:rsidR="007B3C5B" w:rsidRDefault="00370743">
            <w:pPr>
              <w:pStyle w:val="Compact"/>
            </w:pPr>
            <w:r>
              <w:t>Sprague-Dawley</w:t>
            </w:r>
          </w:p>
        </w:tc>
        <w:tc>
          <w:tcPr>
            <w:tcW w:w="0" w:type="auto"/>
          </w:tcPr>
          <w:p w14:paraId="4E005986" w14:textId="77777777" w:rsidR="007B3C5B" w:rsidRDefault="00370743">
            <w:pPr>
              <w:pStyle w:val="Compact"/>
            </w:pPr>
            <w:r>
              <w:t>≤ 250g</w:t>
            </w:r>
          </w:p>
        </w:tc>
        <w:tc>
          <w:tcPr>
            <w:tcW w:w="0" w:type="auto"/>
          </w:tcPr>
          <w:p w14:paraId="7E773CEC" w14:textId="77777777" w:rsidR="007B3C5B" w:rsidRDefault="00370743">
            <w:pPr>
              <w:pStyle w:val="Compact"/>
            </w:pPr>
            <w:r>
              <w:t>≤ 350g</w:t>
            </w:r>
          </w:p>
        </w:tc>
      </w:tr>
      <w:tr w:rsidR="007B3C5B" w14:paraId="5432C3C5" w14:textId="77777777">
        <w:tc>
          <w:tcPr>
            <w:tcW w:w="0" w:type="auto"/>
          </w:tcPr>
          <w:p w14:paraId="3F585B12" w14:textId="77777777" w:rsidR="007B3C5B" w:rsidRDefault="00370743">
            <w:pPr>
              <w:pStyle w:val="Compact"/>
            </w:pPr>
            <w:r>
              <w:t>Long-Evans</w:t>
            </w:r>
          </w:p>
        </w:tc>
        <w:tc>
          <w:tcPr>
            <w:tcW w:w="0" w:type="auto"/>
          </w:tcPr>
          <w:p w14:paraId="3BAAA319" w14:textId="77777777" w:rsidR="007B3C5B" w:rsidRDefault="00370743">
            <w:pPr>
              <w:pStyle w:val="Compact"/>
            </w:pPr>
            <w:r>
              <w:t>≤ 250g</w:t>
            </w:r>
          </w:p>
        </w:tc>
        <w:tc>
          <w:tcPr>
            <w:tcW w:w="0" w:type="auto"/>
          </w:tcPr>
          <w:p w14:paraId="1C3FBC98" w14:textId="77777777" w:rsidR="007B3C5B" w:rsidRDefault="00370743">
            <w:pPr>
              <w:pStyle w:val="Compact"/>
            </w:pPr>
            <w:r>
              <w:t>≤ 350g</w:t>
            </w:r>
          </w:p>
        </w:tc>
      </w:tr>
      <w:tr w:rsidR="007B3C5B" w14:paraId="287954A1" w14:textId="77777777">
        <w:tc>
          <w:tcPr>
            <w:tcW w:w="0" w:type="auto"/>
          </w:tcPr>
          <w:p w14:paraId="3A8D5161" w14:textId="77777777" w:rsidR="007B3C5B" w:rsidRDefault="00370743">
            <w:pPr>
              <w:pStyle w:val="Compact"/>
            </w:pPr>
            <w:r>
              <w:t>Lister-Hooded</w:t>
            </w:r>
          </w:p>
        </w:tc>
        <w:tc>
          <w:tcPr>
            <w:tcW w:w="0" w:type="auto"/>
          </w:tcPr>
          <w:p w14:paraId="5A77D6E5" w14:textId="77777777" w:rsidR="007B3C5B" w:rsidRDefault="00370743">
            <w:pPr>
              <w:pStyle w:val="Compact"/>
            </w:pPr>
            <w:r>
              <w:t>≤ 200g</w:t>
            </w:r>
          </w:p>
        </w:tc>
        <w:tc>
          <w:tcPr>
            <w:tcW w:w="0" w:type="auto"/>
          </w:tcPr>
          <w:p w14:paraId="427BF52B" w14:textId="77777777" w:rsidR="007B3C5B" w:rsidRDefault="00370743">
            <w:pPr>
              <w:pStyle w:val="Compact"/>
            </w:pPr>
            <w:r>
              <w:t>≤ 300g</w:t>
            </w:r>
          </w:p>
        </w:tc>
      </w:tr>
    </w:tbl>
    <w:p w14:paraId="51B06E71" w14:textId="389F4FE8" w:rsidR="007B3C5B" w:rsidRDefault="00370743">
      <w:pPr>
        <w:pStyle w:val="BodyText"/>
      </w:pPr>
      <w:r>
        <w:lastRenderedPageBreak/>
        <w:t>In cases w</w:t>
      </w:r>
      <w:r w:rsidR="00641DFD">
        <w:t>h</w:t>
      </w:r>
      <w:r>
        <w:t xml:space="preserve">ere the age or weight was reported </w:t>
      </w:r>
      <w:r w:rsidR="00641DFD">
        <w:t xml:space="preserve">as </w:t>
      </w:r>
      <w:r>
        <w:t>a range, the upper limit was used to select the developmental stage.</w:t>
      </w:r>
    </w:p>
    <w:p w14:paraId="7889C99A" w14:textId="45FBBE50" w:rsidR="007B3C5B" w:rsidRDefault="00FE6A1B" w:rsidP="00FE6A1B">
      <w:pPr>
        <w:pStyle w:val="BodyText"/>
        <w:jc w:val="both"/>
      </w:pPr>
      <w:r>
        <w:t>Supplementary table 3</w:t>
      </w:r>
      <w:r w:rsidR="00370743">
        <w:t xml:space="preserve"> presents the considerations agreed upon and followed when performing </w:t>
      </w:r>
      <w:r w:rsidR="00370743" w:rsidRPr="00480AB1">
        <w:t xml:space="preserve">the </w:t>
      </w:r>
      <w:r w:rsidR="00387E67" w:rsidRPr="00480AB1">
        <w:t>outcome</w:t>
      </w:r>
      <w:r w:rsidR="00057A26" w:rsidRPr="00480AB1">
        <w:t xml:space="preserve"> </w:t>
      </w:r>
      <w:r w:rsidR="00B37B40" w:rsidRPr="00480AB1">
        <w:t>data</w:t>
      </w:r>
      <w:r w:rsidR="00387E67" w:rsidRPr="00480AB1">
        <w:t xml:space="preserve"> </w:t>
      </w:r>
      <w:r w:rsidR="00370743" w:rsidRPr="00480AB1">
        <w:t xml:space="preserve">extraction </w:t>
      </w:r>
      <w:r w:rsidR="005B5DA1" w:rsidRPr="00480AB1">
        <w:t xml:space="preserve">in relation </w:t>
      </w:r>
      <w:r w:rsidR="00370743" w:rsidRPr="00480AB1">
        <w:t>to different study desi</w:t>
      </w:r>
      <w:r w:rsidR="00387E67" w:rsidRPr="00480AB1">
        <w:t>gns and data reporting. When outcome</w:t>
      </w:r>
      <w:r w:rsidR="00370743" w:rsidRPr="00480AB1">
        <w:t xml:space="preserve"> data was extracted from figures, the average of the two values obtained by the reviewers was used </w:t>
      </w:r>
      <w:r w:rsidR="00370743">
        <w:t xml:space="preserve">in the final data set. After contacting the authors in cases of missing data, a waiting period of three weeks was established before deciding to exclude the study. </w:t>
      </w:r>
      <w:r w:rsidR="005B5DA1">
        <w:t xml:space="preserve">In no instances did we receive </w:t>
      </w:r>
      <w:r w:rsidR="00370743">
        <w:t xml:space="preserve">replies </w:t>
      </w:r>
      <w:r w:rsidR="005B5DA1">
        <w:t>past</w:t>
      </w:r>
      <w:r w:rsidR="00370743">
        <w:t xml:space="preserve"> </w:t>
      </w:r>
      <w:r w:rsidR="00057A26">
        <w:t xml:space="preserve">this </w:t>
      </w:r>
      <w:r w:rsidR="005B5DA1">
        <w:t>point</w:t>
      </w:r>
      <w:r w:rsidR="00370743">
        <w:t>.</w:t>
      </w:r>
    </w:p>
    <w:p w14:paraId="1AAF6AD7" w14:textId="77777777" w:rsidR="00B30F7A" w:rsidRDefault="00B30F7A" w:rsidP="00FE6A1B">
      <w:pPr>
        <w:pStyle w:val="BodyText"/>
        <w:jc w:val="both"/>
      </w:pPr>
    </w:p>
    <w:p w14:paraId="59081001" w14:textId="2E53280C" w:rsidR="007B3C5B" w:rsidRDefault="00FE6A1B" w:rsidP="00C16263">
      <w:pPr>
        <w:pStyle w:val="BodyText"/>
        <w:jc w:val="both"/>
      </w:pPr>
      <w:r>
        <w:rPr>
          <w:b/>
          <w:bCs/>
        </w:rPr>
        <w:t>Supplementary table 3</w:t>
      </w:r>
      <w:r w:rsidR="00370743">
        <w:t xml:space="preserve">. </w:t>
      </w:r>
      <w:r w:rsidR="00370743" w:rsidRPr="00C16263">
        <w:rPr>
          <w:i/>
          <w:iCs/>
        </w:rPr>
        <w:t>Outcome extraction considerations regarding specific data reporting cases and study designs.</w:t>
      </w:r>
      <w:r w:rsidR="00C16263">
        <w:t> </w:t>
      </w:r>
      <w:r w:rsidR="00370743">
        <w:t>These considerations and actions w</w:t>
      </w:r>
      <w:r w:rsidR="00364859">
        <w:t>ere ag</w:t>
      </w:r>
      <w:r w:rsidR="00370743">
        <w:t>reed upon by the researchers prior to starting the dual extraction.</w:t>
      </w:r>
    </w:p>
    <w:p w14:paraId="255AE855" w14:textId="77777777" w:rsidR="00364859" w:rsidRDefault="00364859">
      <w:pPr>
        <w:pStyle w:val="BodyText"/>
      </w:pPr>
    </w:p>
    <w:tbl>
      <w:tblPr>
        <w:tblStyle w:val="TableGrid"/>
        <w:tblW w:w="9418" w:type="dxa"/>
        <w:tblInd w:w="0" w:type="dxa"/>
        <w:tblLook w:val="04A0" w:firstRow="1" w:lastRow="0" w:firstColumn="1" w:lastColumn="0" w:noHBand="0" w:noVBand="1"/>
      </w:tblPr>
      <w:tblGrid>
        <w:gridCol w:w="1615"/>
        <w:gridCol w:w="2700"/>
        <w:gridCol w:w="2435"/>
        <w:gridCol w:w="2668"/>
      </w:tblGrid>
      <w:tr w:rsidR="00364859" w14:paraId="3474CDE8" w14:textId="77777777" w:rsidTr="00364859">
        <w:trPr>
          <w:trHeight w:val="97"/>
        </w:trPr>
        <w:tc>
          <w:tcPr>
            <w:tcW w:w="4315" w:type="dxa"/>
            <w:gridSpan w:val="2"/>
            <w:tcBorders>
              <w:top w:val="nil"/>
              <w:left w:val="nil"/>
              <w:bottom w:val="single" w:sz="8" w:space="0" w:color="auto"/>
              <w:right w:val="single" w:sz="12" w:space="0" w:color="auto"/>
            </w:tcBorders>
            <w:hideMark/>
          </w:tcPr>
          <w:p w14:paraId="2B8FC2EC" w14:textId="77777777" w:rsidR="00364859" w:rsidRDefault="00364859">
            <w:pPr>
              <w:jc w:val="center"/>
              <w:rPr>
                <w:b/>
                <w:sz w:val="20"/>
                <w:szCs w:val="20"/>
              </w:rPr>
            </w:pPr>
            <w:r>
              <w:rPr>
                <w:b/>
                <w:sz w:val="20"/>
                <w:szCs w:val="20"/>
              </w:rPr>
              <w:t>Data reporting</w:t>
            </w:r>
          </w:p>
        </w:tc>
        <w:tc>
          <w:tcPr>
            <w:tcW w:w="5103" w:type="dxa"/>
            <w:gridSpan w:val="2"/>
            <w:tcBorders>
              <w:top w:val="nil"/>
              <w:left w:val="single" w:sz="12" w:space="0" w:color="auto"/>
              <w:bottom w:val="single" w:sz="8" w:space="0" w:color="auto"/>
              <w:right w:val="nil"/>
            </w:tcBorders>
            <w:hideMark/>
          </w:tcPr>
          <w:p w14:paraId="45359A7F" w14:textId="77777777" w:rsidR="00364859" w:rsidRDefault="00364859">
            <w:pPr>
              <w:jc w:val="center"/>
              <w:rPr>
                <w:b/>
                <w:sz w:val="20"/>
                <w:szCs w:val="20"/>
              </w:rPr>
            </w:pPr>
            <w:r>
              <w:rPr>
                <w:b/>
                <w:sz w:val="20"/>
                <w:szCs w:val="20"/>
              </w:rPr>
              <w:t>Study design</w:t>
            </w:r>
          </w:p>
        </w:tc>
      </w:tr>
      <w:tr w:rsidR="00364859" w14:paraId="60CEA85C" w14:textId="77777777" w:rsidTr="00364859">
        <w:trPr>
          <w:trHeight w:val="97"/>
        </w:trPr>
        <w:tc>
          <w:tcPr>
            <w:tcW w:w="1615" w:type="dxa"/>
            <w:tcBorders>
              <w:top w:val="single" w:sz="8" w:space="0" w:color="auto"/>
              <w:left w:val="nil"/>
              <w:bottom w:val="single" w:sz="12" w:space="0" w:color="auto"/>
              <w:right w:val="nil"/>
            </w:tcBorders>
            <w:hideMark/>
          </w:tcPr>
          <w:p w14:paraId="000C19F9" w14:textId="77777777" w:rsidR="00364859" w:rsidRDefault="00364859">
            <w:pPr>
              <w:jc w:val="center"/>
              <w:rPr>
                <w:b/>
              </w:rPr>
            </w:pPr>
            <w:r>
              <w:rPr>
                <w:b/>
                <w:sz w:val="20"/>
              </w:rPr>
              <w:t>Consideration</w:t>
            </w:r>
          </w:p>
        </w:tc>
        <w:tc>
          <w:tcPr>
            <w:tcW w:w="2700" w:type="dxa"/>
            <w:tcBorders>
              <w:top w:val="single" w:sz="8" w:space="0" w:color="auto"/>
              <w:left w:val="nil"/>
              <w:bottom w:val="single" w:sz="12" w:space="0" w:color="auto"/>
              <w:right w:val="single" w:sz="12" w:space="0" w:color="auto"/>
            </w:tcBorders>
            <w:hideMark/>
          </w:tcPr>
          <w:p w14:paraId="6B4D0D04" w14:textId="77777777" w:rsidR="00364859" w:rsidRDefault="00364859">
            <w:pPr>
              <w:jc w:val="center"/>
              <w:rPr>
                <w:b/>
                <w:sz w:val="20"/>
                <w:szCs w:val="20"/>
              </w:rPr>
            </w:pPr>
            <w:r>
              <w:rPr>
                <w:b/>
                <w:sz w:val="20"/>
                <w:szCs w:val="20"/>
              </w:rPr>
              <w:t>Action</w:t>
            </w:r>
          </w:p>
        </w:tc>
        <w:tc>
          <w:tcPr>
            <w:tcW w:w="2435" w:type="dxa"/>
            <w:tcBorders>
              <w:top w:val="single" w:sz="8" w:space="0" w:color="auto"/>
              <w:left w:val="single" w:sz="12" w:space="0" w:color="auto"/>
              <w:bottom w:val="single" w:sz="12" w:space="0" w:color="auto"/>
              <w:right w:val="nil"/>
            </w:tcBorders>
            <w:hideMark/>
          </w:tcPr>
          <w:p w14:paraId="05F94F10" w14:textId="77777777" w:rsidR="00364859" w:rsidRDefault="00364859">
            <w:pPr>
              <w:jc w:val="center"/>
              <w:rPr>
                <w:b/>
                <w:sz w:val="20"/>
                <w:szCs w:val="20"/>
              </w:rPr>
            </w:pPr>
            <w:r>
              <w:rPr>
                <w:b/>
                <w:sz w:val="20"/>
                <w:szCs w:val="20"/>
              </w:rPr>
              <w:t>Consideration</w:t>
            </w:r>
          </w:p>
        </w:tc>
        <w:tc>
          <w:tcPr>
            <w:tcW w:w="2668" w:type="dxa"/>
            <w:tcBorders>
              <w:top w:val="single" w:sz="8" w:space="0" w:color="auto"/>
              <w:left w:val="nil"/>
              <w:bottom w:val="single" w:sz="12" w:space="0" w:color="auto"/>
              <w:right w:val="nil"/>
            </w:tcBorders>
            <w:hideMark/>
          </w:tcPr>
          <w:p w14:paraId="485ADC9F" w14:textId="77777777" w:rsidR="00364859" w:rsidRDefault="00364859">
            <w:pPr>
              <w:jc w:val="center"/>
              <w:rPr>
                <w:b/>
                <w:sz w:val="20"/>
                <w:szCs w:val="20"/>
              </w:rPr>
            </w:pPr>
            <w:r>
              <w:rPr>
                <w:b/>
                <w:sz w:val="20"/>
                <w:szCs w:val="20"/>
              </w:rPr>
              <w:t>Action</w:t>
            </w:r>
          </w:p>
        </w:tc>
      </w:tr>
      <w:tr w:rsidR="00364859" w14:paraId="3F6566DC" w14:textId="77777777" w:rsidTr="00364859">
        <w:trPr>
          <w:trHeight w:val="158"/>
        </w:trPr>
        <w:tc>
          <w:tcPr>
            <w:tcW w:w="1615" w:type="dxa"/>
            <w:tcBorders>
              <w:top w:val="single" w:sz="12" w:space="0" w:color="auto"/>
              <w:left w:val="nil"/>
              <w:bottom w:val="dashed" w:sz="4" w:space="0" w:color="auto"/>
              <w:right w:val="single" w:sz="8" w:space="0" w:color="auto"/>
            </w:tcBorders>
            <w:hideMark/>
          </w:tcPr>
          <w:p w14:paraId="731DC123" w14:textId="07FB18CB" w:rsidR="00364859" w:rsidRDefault="009903E2" w:rsidP="00364859">
            <w:pPr>
              <w:pStyle w:val="ListParagraph"/>
              <w:numPr>
                <w:ilvl w:val="0"/>
                <w:numId w:val="17"/>
              </w:numPr>
              <w:spacing w:after="0" w:line="240" w:lineRule="auto"/>
              <w:ind w:left="342"/>
              <w:jc w:val="both"/>
              <w:rPr>
                <w:sz w:val="16"/>
                <w:szCs w:val="16"/>
              </w:rPr>
            </w:pPr>
            <w:r>
              <w:rPr>
                <w:sz w:val="16"/>
                <w:szCs w:val="16"/>
              </w:rPr>
              <w:t xml:space="preserve">n </w:t>
            </w:r>
            <w:r w:rsidR="00364859">
              <w:rPr>
                <w:sz w:val="16"/>
                <w:szCs w:val="16"/>
              </w:rPr>
              <w:t>reported in ranges</w:t>
            </w:r>
          </w:p>
        </w:tc>
        <w:tc>
          <w:tcPr>
            <w:tcW w:w="2700" w:type="dxa"/>
            <w:tcBorders>
              <w:top w:val="single" w:sz="12" w:space="0" w:color="auto"/>
              <w:left w:val="single" w:sz="8" w:space="0" w:color="auto"/>
              <w:bottom w:val="dashed" w:sz="4" w:space="0" w:color="auto"/>
              <w:right w:val="single" w:sz="12" w:space="0" w:color="auto"/>
            </w:tcBorders>
            <w:hideMark/>
          </w:tcPr>
          <w:p w14:paraId="5787553F" w14:textId="77777777" w:rsidR="00364859" w:rsidRDefault="00364859">
            <w:pPr>
              <w:rPr>
                <w:sz w:val="16"/>
                <w:szCs w:val="16"/>
              </w:rPr>
            </w:pPr>
            <w:r>
              <w:rPr>
                <w:sz w:val="16"/>
                <w:szCs w:val="16"/>
              </w:rPr>
              <w:t xml:space="preserve">Lowest value was extracted </w:t>
            </w:r>
          </w:p>
        </w:tc>
        <w:tc>
          <w:tcPr>
            <w:tcW w:w="2435" w:type="dxa"/>
            <w:tcBorders>
              <w:top w:val="single" w:sz="12" w:space="0" w:color="auto"/>
              <w:left w:val="single" w:sz="12" w:space="0" w:color="auto"/>
              <w:bottom w:val="dashed" w:sz="4" w:space="0" w:color="auto"/>
              <w:right w:val="single" w:sz="8" w:space="0" w:color="auto"/>
            </w:tcBorders>
          </w:tcPr>
          <w:p w14:paraId="7DDE43B3" w14:textId="77777777" w:rsidR="00364859" w:rsidRDefault="00364859" w:rsidP="00364859">
            <w:pPr>
              <w:pStyle w:val="ListParagraph"/>
              <w:numPr>
                <w:ilvl w:val="0"/>
                <w:numId w:val="18"/>
              </w:numPr>
              <w:spacing w:after="0" w:line="240" w:lineRule="auto"/>
              <w:ind w:left="318"/>
              <w:jc w:val="both"/>
              <w:rPr>
                <w:sz w:val="16"/>
                <w:szCs w:val="16"/>
              </w:rPr>
            </w:pPr>
            <w:r>
              <w:rPr>
                <w:sz w:val="16"/>
                <w:szCs w:val="16"/>
              </w:rPr>
              <w:t>Studies with re-exposure to CUS</w:t>
            </w:r>
          </w:p>
          <w:p w14:paraId="52D826DB" w14:textId="77777777" w:rsidR="00364859" w:rsidRDefault="00364859">
            <w:pPr>
              <w:ind w:left="318"/>
              <w:jc w:val="both"/>
            </w:pPr>
          </w:p>
        </w:tc>
        <w:tc>
          <w:tcPr>
            <w:tcW w:w="2668" w:type="dxa"/>
            <w:tcBorders>
              <w:top w:val="single" w:sz="12" w:space="0" w:color="auto"/>
              <w:left w:val="single" w:sz="8" w:space="0" w:color="auto"/>
              <w:bottom w:val="dashed" w:sz="4" w:space="0" w:color="auto"/>
              <w:right w:val="nil"/>
            </w:tcBorders>
            <w:hideMark/>
          </w:tcPr>
          <w:p w14:paraId="49579113" w14:textId="7C51C240" w:rsidR="00364859" w:rsidRDefault="00364859">
            <w:pPr>
              <w:jc w:val="both"/>
            </w:pPr>
            <w:r>
              <w:rPr>
                <w:sz w:val="16"/>
                <w:szCs w:val="16"/>
              </w:rPr>
              <w:t xml:space="preserve">Data </w:t>
            </w:r>
            <w:r w:rsidR="009903E2">
              <w:rPr>
                <w:sz w:val="16"/>
                <w:szCs w:val="16"/>
              </w:rPr>
              <w:t>was</w:t>
            </w:r>
            <w:r>
              <w:rPr>
                <w:sz w:val="16"/>
                <w:szCs w:val="16"/>
              </w:rPr>
              <w:t xml:space="preserve"> extracted from the first test performed after the end of the first CUS </w:t>
            </w:r>
          </w:p>
        </w:tc>
      </w:tr>
      <w:tr w:rsidR="00364859" w14:paraId="0CED107A" w14:textId="77777777" w:rsidTr="00364859">
        <w:trPr>
          <w:trHeight w:val="311"/>
        </w:trPr>
        <w:tc>
          <w:tcPr>
            <w:tcW w:w="1615" w:type="dxa"/>
            <w:tcBorders>
              <w:top w:val="dashed" w:sz="4" w:space="0" w:color="auto"/>
              <w:left w:val="nil"/>
              <w:bottom w:val="dashed" w:sz="4" w:space="0" w:color="auto"/>
              <w:right w:val="single" w:sz="8" w:space="0" w:color="auto"/>
            </w:tcBorders>
            <w:hideMark/>
          </w:tcPr>
          <w:p w14:paraId="3027E169" w14:textId="77777777" w:rsidR="00364859" w:rsidRDefault="00364859" w:rsidP="00364859">
            <w:pPr>
              <w:pStyle w:val="ListParagraph"/>
              <w:numPr>
                <w:ilvl w:val="0"/>
                <w:numId w:val="17"/>
              </w:numPr>
              <w:spacing w:after="0" w:line="240" w:lineRule="auto"/>
              <w:ind w:left="342"/>
              <w:jc w:val="both"/>
              <w:rPr>
                <w:sz w:val="16"/>
                <w:szCs w:val="16"/>
              </w:rPr>
            </w:pPr>
            <w:r>
              <w:rPr>
                <w:bCs/>
                <w:sz w:val="16"/>
                <w:szCs w:val="16"/>
              </w:rPr>
              <w:t>SD is not reported</w:t>
            </w:r>
          </w:p>
        </w:tc>
        <w:tc>
          <w:tcPr>
            <w:tcW w:w="2700" w:type="dxa"/>
            <w:tcBorders>
              <w:top w:val="dashed" w:sz="4" w:space="0" w:color="auto"/>
              <w:left w:val="single" w:sz="8" w:space="0" w:color="auto"/>
              <w:bottom w:val="dashed" w:sz="4" w:space="0" w:color="auto"/>
              <w:right w:val="single" w:sz="12" w:space="0" w:color="auto"/>
            </w:tcBorders>
            <w:hideMark/>
          </w:tcPr>
          <w:p w14:paraId="04FF4AAC" w14:textId="46F2D75F" w:rsidR="00364859" w:rsidRDefault="00364859" w:rsidP="009903E2">
            <w:pPr>
              <w:jc w:val="both"/>
              <w:rPr>
                <w:sz w:val="16"/>
                <w:szCs w:val="16"/>
              </w:rPr>
            </w:pPr>
            <w:r>
              <w:rPr>
                <w:sz w:val="16"/>
                <w:szCs w:val="16"/>
              </w:rPr>
              <w:t xml:space="preserve">Standard error of the mean (SEM) </w:t>
            </w:r>
            <w:r>
              <w:rPr>
                <w:bCs/>
                <w:sz w:val="16"/>
                <w:szCs w:val="16"/>
              </w:rPr>
              <w:t xml:space="preserve">or confidence intervals </w:t>
            </w:r>
            <w:r w:rsidR="009903E2">
              <w:rPr>
                <w:bCs/>
                <w:sz w:val="16"/>
                <w:szCs w:val="16"/>
              </w:rPr>
              <w:t xml:space="preserve">were </w:t>
            </w:r>
            <w:r>
              <w:rPr>
                <w:bCs/>
                <w:sz w:val="16"/>
                <w:szCs w:val="16"/>
              </w:rPr>
              <w:t>used to calculate it</w:t>
            </w:r>
          </w:p>
        </w:tc>
        <w:tc>
          <w:tcPr>
            <w:tcW w:w="2435" w:type="dxa"/>
            <w:tcBorders>
              <w:top w:val="dashed" w:sz="4" w:space="0" w:color="auto"/>
              <w:left w:val="single" w:sz="12" w:space="0" w:color="auto"/>
              <w:bottom w:val="dashed" w:sz="4" w:space="0" w:color="auto"/>
              <w:right w:val="single" w:sz="8" w:space="0" w:color="auto"/>
            </w:tcBorders>
          </w:tcPr>
          <w:p w14:paraId="50E04D93" w14:textId="2A1281D8" w:rsidR="00364859" w:rsidRDefault="00364859" w:rsidP="00364859">
            <w:pPr>
              <w:pStyle w:val="ListParagraph"/>
              <w:numPr>
                <w:ilvl w:val="0"/>
                <w:numId w:val="18"/>
              </w:numPr>
              <w:spacing w:after="0" w:line="240" w:lineRule="auto"/>
              <w:ind w:left="318"/>
              <w:jc w:val="both"/>
              <w:rPr>
                <w:sz w:val="16"/>
                <w:szCs w:val="16"/>
              </w:rPr>
            </w:pPr>
            <w:r>
              <w:rPr>
                <w:sz w:val="16"/>
                <w:szCs w:val="16"/>
              </w:rPr>
              <w:t xml:space="preserve">Studies where a secondary intervention </w:t>
            </w:r>
            <w:r w:rsidR="009903E2">
              <w:rPr>
                <w:sz w:val="16"/>
                <w:szCs w:val="16"/>
              </w:rPr>
              <w:t xml:space="preserve">was </w:t>
            </w:r>
            <w:r>
              <w:rPr>
                <w:sz w:val="16"/>
                <w:szCs w:val="16"/>
              </w:rPr>
              <w:t xml:space="preserve">started </w:t>
            </w:r>
            <w:r w:rsidR="009903E2">
              <w:rPr>
                <w:sz w:val="16"/>
                <w:szCs w:val="16"/>
              </w:rPr>
              <w:t>during the</w:t>
            </w:r>
            <w:r>
              <w:rPr>
                <w:sz w:val="16"/>
                <w:szCs w:val="16"/>
              </w:rPr>
              <w:t xml:space="preserve"> CUS </w:t>
            </w:r>
            <w:r w:rsidR="009903E2">
              <w:rPr>
                <w:sz w:val="16"/>
                <w:szCs w:val="16"/>
              </w:rPr>
              <w:t>and</w:t>
            </w:r>
            <w:r>
              <w:rPr>
                <w:sz w:val="16"/>
                <w:szCs w:val="16"/>
              </w:rPr>
              <w:t xml:space="preserve"> no placebo/sham group</w:t>
            </w:r>
            <w:r w:rsidR="009903E2">
              <w:rPr>
                <w:sz w:val="16"/>
                <w:szCs w:val="16"/>
              </w:rPr>
              <w:t xml:space="preserve"> was used</w:t>
            </w:r>
            <w:r>
              <w:rPr>
                <w:sz w:val="16"/>
                <w:szCs w:val="16"/>
              </w:rPr>
              <w:t xml:space="preserve"> </w:t>
            </w:r>
          </w:p>
          <w:p w14:paraId="480CD6DF" w14:textId="77777777" w:rsidR="00364859" w:rsidRDefault="00364859">
            <w:pPr>
              <w:ind w:left="318"/>
              <w:jc w:val="both"/>
            </w:pPr>
          </w:p>
        </w:tc>
        <w:tc>
          <w:tcPr>
            <w:tcW w:w="2668" w:type="dxa"/>
            <w:tcBorders>
              <w:top w:val="dashed" w:sz="4" w:space="0" w:color="auto"/>
              <w:left w:val="single" w:sz="8" w:space="0" w:color="auto"/>
              <w:bottom w:val="dashed" w:sz="4" w:space="0" w:color="auto"/>
              <w:right w:val="nil"/>
            </w:tcBorders>
            <w:hideMark/>
          </w:tcPr>
          <w:p w14:paraId="2F9BF404" w14:textId="230C007B" w:rsidR="00364859" w:rsidRDefault="00364859" w:rsidP="009903E2">
            <w:pPr>
              <w:jc w:val="both"/>
            </w:pPr>
            <w:r>
              <w:rPr>
                <w:sz w:val="16"/>
                <w:szCs w:val="16"/>
              </w:rPr>
              <w:t xml:space="preserve">Data </w:t>
            </w:r>
            <w:r w:rsidR="009903E2">
              <w:rPr>
                <w:sz w:val="16"/>
                <w:szCs w:val="16"/>
              </w:rPr>
              <w:t xml:space="preserve">was </w:t>
            </w:r>
            <w:r>
              <w:rPr>
                <w:sz w:val="16"/>
                <w:szCs w:val="16"/>
              </w:rPr>
              <w:t xml:space="preserve">extracted from the </w:t>
            </w:r>
            <w:r w:rsidR="009903E2">
              <w:rPr>
                <w:sz w:val="16"/>
                <w:szCs w:val="16"/>
              </w:rPr>
              <w:t xml:space="preserve">last </w:t>
            </w:r>
            <w:r>
              <w:rPr>
                <w:sz w:val="16"/>
                <w:szCs w:val="16"/>
              </w:rPr>
              <w:t>test performed before the start of the new intervention</w:t>
            </w:r>
          </w:p>
        </w:tc>
      </w:tr>
      <w:tr w:rsidR="00364859" w14:paraId="30A788CE" w14:textId="77777777" w:rsidTr="00364859">
        <w:trPr>
          <w:trHeight w:val="317"/>
        </w:trPr>
        <w:tc>
          <w:tcPr>
            <w:tcW w:w="1615" w:type="dxa"/>
            <w:tcBorders>
              <w:top w:val="dashed" w:sz="4" w:space="0" w:color="auto"/>
              <w:left w:val="nil"/>
              <w:bottom w:val="dashed" w:sz="4" w:space="0" w:color="auto"/>
              <w:right w:val="single" w:sz="8" w:space="0" w:color="auto"/>
            </w:tcBorders>
            <w:hideMark/>
          </w:tcPr>
          <w:p w14:paraId="7D9DD5AF" w14:textId="77777777" w:rsidR="00364859" w:rsidRDefault="00364859" w:rsidP="00364859">
            <w:pPr>
              <w:pStyle w:val="ListParagraph"/>
              <w:numPr>
                <w:ilvl w:val="0"/>
                <w:numId w:val="17"/>
              </w:numPr>
              <w:spacing w:after="0" w:line="240" w:lineRule="auto"/>
              <w:ind w:left="342"/>
              <w:jc w:val="both"/>
              <w:rPr>
                <w:sz w:val="16"/>
                <w:szCs w:val="16"/>
              </w:rPr>
            </w:pPr>
            <w:r>
              <w:rPr>
                <w:bCs/>
                <w:sz w:val="16"/>
                <w:szCs w:val="16"/>
              </w:rPr>
              <w:t>It is unclear what the error bars represent in figures</w:t>
            </w:r>
          </w:p>
        </w:tc>
        <w:tc>
          <w:tcPr>
            <w:tcW w:w="2700" w:type="dxa"/>
            <w:tcBorders>
              <w:top w:val="dashed" w:sz="4" w:space="0" w:color="auto"/>
              <w:left w:val="single" w:sz="8" w:space="0" w:color="auto"/>
              <w:bottom w:val="dashed" w:sz="4" w:space="0" w:color="auto"/>
              <w:right w:val="single" w:sz="12" w:space="0" w:color="auto"/>
            </w:tcBorders>
            <w:hideMark/>
          </w:tcPr>
          <w:p w14:paraId="2B1B91B6" w14:textId="55CAC277" w:rsidR="00364859" w:rsidRDefault="00364859">
            <w:pPr>
              <w:rPr>
                <w:sz w:val="16"/>
                <w:szCs w:val="16"/>
              </w:rPr>
            </w:pPr>
            <w:r>
              <w:rPr>
                <w:bCs/>
                <w:sz w:val="16"/>
                <w:szCs w:val="16"/>
              </w:rPr>
              <w:t>SEM was assumed</w:t>
            </w:r>
            <w:r w:rsidR="009903E2">
              <w:rPr>
                <w:bCs/>
                <w:sz w:val="16"/>
                <w:szCs w:val="16"/>
              </w:rPr>
              <w:t xml:space="preserve"> (for conservative estimate)</w:t>
            </w:r>
          </w:p>
        </w:tc>
        <w:tc>
          <w:tcPr>
            <w:tcW w:w="2435" w:type="dxa"/>
            <w:tcBorders>
              <w:top w:val="dashed" w:sz="4" w:space="0" w:color="auto"/>
              <w:left w:val="single" w:sz="12" w:space="0" w:color="auto"/>
              <w:bottom w:val="dashed" w:sz="4" w:space="0" w:color="auto"/>
              <w:right w:val="single" w:sz="8" w:space="0" w:color="auto"/>
            </w:tcBorders>
            <w:hideMark/>
          </w:tcPr>
          <w:p w14:paraId="5BB1C5C3" w14:textId="77777777" w:rsidR="00364859" w:rsidRDefault="00364859" w:rsidP="00364859">
            <w:pPr>
              <w:pStyle w:val="ListParagraph"/>
              <w:numPr>
                <w:ilvl w:val="0"/>
                <w:numId w:val="18"/>
              </w:numPr>
              <w:spacing w:after="0" w:line="240" w:lineRule="auto"/>
              <w:ind w:left="318"/>
              <w:jc w:val="both"/>
              <w:rPr>
                <w:sz w:val="16"/>
                <w:szCs w:val="16"/>
              </w:rPr>
            </w:pPr>
            <w:r>
              <w:rPr>
                <w:sz w:val="16"/>
                <w:szCs w:val="16"/>
              </w:rPr>
              <w:t>Studies with several control and/or stress groups AND where one-to-one control vs stress comparisons are not straightforward</w:t>
            </w:r>
          </w:p>
        </w:tc>
        <w:tc>
          <w:tcPr>
            <w:tcW w:w="2668" w:type="dxa"/>
            <w:tcBorders>
              <w:top w:val="dashed" w:sz="4" w:space="0" w:color="auto"/>
              <w:left w:val="single" w:sz="8" w:space="0" w:color="auto"/>
              <w:bottom w:val="dashed" w:sz="4" w:space="0" w:color="auto"/>
              <w:right w:val="nil"/>
            </w:tcBorders>
          </w:tcPr>
          <w:p w14:paraId="4DFCB117" w14:textId="77777777" w:rsidR="00364859" w:rsidRDefault="00364859">
            <w:pPr>
              <w:rPr>
                <w:rFonts w:ascii="Calibri" w:hAnsi="Calibri" w:cs="Calibri"/>
                <w:bCs/>
                <w:iCs/>
                <w:sz w:val="16"/>
                <w:szCs w:val="16"/>
              </w:rPr>
            </w:pPr>
            <w:r>
              <w:rPr>
                <w:rFonts w:ascii="Calibri" w:hAnsi="Calibri" w:cs="Calibri"/>
                <w:bCs/>
                <w:iCs/>
                <w:sz w:val="16"/>
                <w:szCs w:val="16"/>
              </w:rPr>
              <w:t>Data were combined to obtain an aggregate measure for one-to one comparison</w:t>
            </w:r>
          </w:p>
          <w:p w14:paraId="7222A4BB" w14:textId="77777777" w:rsidR="00364859" w:rsidRDefault="00364859">
            <w:pPr>
              <w:rPr>
                <w:rFonts w:ascii="Calibri" w:hAnsi="Calibri" w:cs="Calibri"/>
                <w:bCs/>
                <w:iCs/>
                <w:sz w:val="16"/>
                <w:szCs w:val="16"/>
              </w:rPr>
            </w:pPr>
          </w:p>
          <w:p w14:paraId="361690EC" w14:textId="40E0AB67" w:rsidR="00364859" w:rsidRDefault="00364859">
            <w:pPr>
              <w:rPr>
                <w:rFonts w:ascii="Calibri" w:hAnsi="Calibri" w:cs="Calibri"/>
                <w:bCs/>
                <w:iCs/>
                <w:sz w:val="16"/>
                <w:szCs w:val="16"/>
              </w:rPr>
            </w:pPr>
            <w:r>
              <w:rPr>
                <w:rFonts w:ascii="Calibri" w:hAnsi="Calibri" w:cs="Calibri"/>
                <w:bCs/>
                <w:iCs/>
                <w:sz w:val="16"/>
                <w:szCs w:val="16"/>
              </w:rPr>
              <w:t>Exception: whenever groups vary in variables of interest (see data analysis), the data were extracted for each group in reference to a single control or stress group and the number of animals  was adjusted in the shared group by the number of comparisons</w:t>
            </w:r>
            <w:r w:rsidR="001F4730">
              <w:rPr>
                <w:rFonts w:ascii="Calibri" w:hAnsi="Calibri" w:cs="Calibri"/>
                <w:bCs/>
                <w:iCs/>
                <w:sz w:val="16"/>
                <w:szCs w:val="16"/>
              </w:rPr>
              <w:fldChar w:fldCharType="begin" w:fldLock="1"/>
            </w:r>
            <w:r w:rsidR="00F24A26">
              <w:rPr>
                <w:rFonts w:ascii="Calibri" w:hAnsi="Calibri" w:cs="Calibri"/>
                <w:bCs/>
                <w:iCs/>
                <w:sz w:val="16"/>
                <w:szCs w:val="16"/>
              </w:rPr>
              <w:instrText>ADDIN CSL_CITATION {"citationItems":[{"id":"ITEM-1","itemData":{"author":[{"dropping-particle":"","family":"Higgins","given":"JPT","non-dropping-particle":"","parse-names":false,"suffix":""},{"dropping-particle":"","family":"Thomas","given":"J","non-dropping-particle":"","parse-names":false,"suffix":""},{"dropping-particle":"","family":"Chandler","given":"J","non-dropping-particle":"","parse-names":false,"suffix":""},{"dropping-particle":"","family":"Cumpston","given":"M","non-dropping-particle":"","parse-names":false,"suffix":""},{"dropping-particle":"","family":"Li","given":"T","non-dropping-particle":"","parse-names":false,"suffix":""},{"dropping-particle":"","family":"Page","given":"MJ","non-dropping-particle":"","parse-names":false,"suffix":""},{"dropping-particle":"","family":"Welch","given":"VA","non-dropping-particle":"","parse-names":false,"suffix":""}],"id":"ITEM-1","issued":{"date-parts":[["2022"]]},"title":"Cochrane Handbook for Systematic Reviews of Interventions | Cochrane Training","type":"book"},"uris":["http://www.mendeley.com/documents/?uuid=3fbb28de-f4e3-3e74-9d08-4df934e0dcde"]}],"mendeley":{"formattedCitation":"&lt;sup&gt;2&lt;/sup&gt;","plainTextFormattedCitation":"2","previouslyFormattedCitation":"&lt;sup&gt;2&lt;/sup&gt;"},"properties":{"noteIndex":0},"schema":"https://github.com/citation-style-language/schema/raw/master/csl-citation.json"}</w:instrText>
            </w:r>
            <w:r w:rsidR="001F4730">
              <w:rPr>
                <w:rFonts w:ascii="Calibri" w:hAnsi="Calibri" w:cs="Calibri"/>
                <w:bCs/>
                <w:iCs/>
                <w:sz w:val="16"/>
                <w:szCs w:val="16"/>
              </w:rPr>
              <w:fldChar w:fldCharType="separate"/>
            </w:r>
            <w:r w:rsidR="00A36ADA" w:rsidRPr="00A36ADA">
              <w:rPr>
                <w:rFonts w:ascii="Calibri" w:hAnsi="Calibri" w:cs="Calibri"/>
                <w:bCs/>
                <w:iCs/>
                <w:noProof/>
                <w:sz w:val="16"/>
                <w:szCs w:val="16"/>
                <w:vertAlign w:val="superscript"/>
              </w:rPr>
              <w:t>2</w:t>
            </w:r>
            <w:r w:rsidR="001F4730">
              <w:rPr>
                <w:rFonts w:ascii="Calibri" w:hAnsi="Calibri" w:cs="Calibri"/>
                <w:bCs/>
                <w:iCs/>
                <w:sz w:val="16"/>
                <w:szCs w:val="16"/>
              </w:rPr>
              <w:fldChar w:fldCharType="end"/>
            </w:r>
            <w:r w:rsidR="001F4730">
              <w:rPr>
                <w:rFonts w:ascii="Calibri" w:hAnsi="Calibri" w:cs="Calibri"/>
                <w:bCs/>
                <w:iCs/>
                <w:sz w:val="16"/>
                <w:szCs w:val="16"/>
              </w:rPr>
              <w:t>.</w:t>
            </w:r>
          </w:p>
          <w:p w14:paraId="1AC2724C" w14:textId="77777777" w:rsidR="00364859" w:rsidRDefault="00364859"/>
        </w:tc>
      </w:tr>
      <w:tr w:rsidR="00364859" w14:paraId="22D7D34E" w14:textId="77777777" w:rsidTr="00364859">
        <w:trPr>
          <w:trHeight w:val="475"/>
        </w:trPr>
        <w:tc>
          <w:tcPr>
            <w:tcW w:w="1615" w:type="dxa"/>
            <w:tcBorders>
              <w:top w:val="dashed" w:sz="4" w:space="0" w:color="auto"/>
              <w:left w:val="nil"/>
              <w:bottom w:val="dashed" w:sz="4" w:space="0" w:color="auto"/>
              <w:right w:val="single" w:sz="8" w:space="0" w:color="auto"/>
            </w:tcBorders>
          </w:tcPr>
          <w:p w14:paraId="26380D58" w14:textId="530CF6CF" w:rsidR="00364859" w:rsidRDefault="00364859" w:rsidP="00364859">
            <w:pPr>
              <w:pStyle w:val="ListParagraph"/>
              <w:numPr>
                <w:ilvl w:val="0"/>
                <w:numId w:val="17"/>
              </w:numPr>
              <w:spacing w:after="0" w:line="240" w:lineRule="auto"/>
              <w:ind w:left="342"/>
              <w:rPr>
                <w:bCs/>
                <w:sz w:val="16"/>
                <w:szCs w:val="16"/>
              </w:rPr>
            </w:pPr>
            <w:r>
              <w:rPr>
                <w:bCs/>
                <w:sz w:val="16"/>
                <w:szCs w:val="16"/>
              </w:rPr>
              <w:t xml:space="preserve">Sucrose and saccharine data for the same cohorts of animals </w:t>
            </w:r>
            <w:r w:rsidR="009903E2">
              <w:rPr>
                <w:bCs/>
                <w:sz w:val="16"/>
                <w:szCs w:val="16"/>
              </w:rPr>
              <w:t xml:space="preserve">are </w:t>
            </w:r>
            <w:r>
              <w:rPr>
                <w:bCs/>
                <w:sz w:val="16"/>
                <w:szCs w:val="16"/>
              </w:rPr>
              <w:t>reported</w:t>
            </w:r>
          </w:p>
          <w:p w14:paraId="4F64BFE3" w14:textId="77777777" w:rsidR="00364859" w:rsidRDefault="00364859">
            <w:pPr>
              <w:ind w:left="342"/>
              <w:rPr>
                <w:bCs/>
                <w:sz w:val="16"/>
                <w:szCs w:val="16"/>
              </w:rPr>
            </w:pPr>
          </w:p>
        </w:tc>
        <w:tc>
          <w:tcPr>
            <w:tcW w:w="2700" w:type="dxa"/>
            <w:tcBorders>
              <w:top w:val="dashed" w:sz="4" w:space="0" w:color="auto"/>
              <w:left w:val="single" w:sz="8" w:space="0" w:color="auto"/>
              <w:bottom w:val="dashed" w:sz="4" w:space="0" w:color="auto"/>
              <w:right w:val="single" w:sz="12" w:space="0" w:color="auto"/>
            </w:tcBorders>
            <w:hideMark/>
          </w:tcPr>
          <w:p w14:paraId="672235EA" w14:textId="77777777" w:rsidR="00364859" w:rsidRDefault="00364859">
            <w:pPr>
              <w:jc w:val="both"/>
              <w:rPr>
                <w:bCs/>
                <w:sz w:val="16"/>
                <w:szCs w:val="16"/>
              </w:rPr>
            </w:pPr>
            <w:r>
              <w:rPr>
                <w:bCs/>
                <w:sz w:val="16"/>
                <w:szCs w:val="16"/>
              </w:rPr>
              <w:t>Sucrose data was extracted as the main outcome and  Saccharine as the alternative outcome</w:t>
            </w:r>
          </w:p>
        </w:tc>
        <w:tc>
          <w:tcPr>
            <w:tcW w:w="2435" w:type="dxa"/>
            <w:tcBorders>
              <w:top w:val="dashed" w:sz="4" w:space="0" w:color="auto"/>
              <w:left w:val="single" w:sz="12" w:space="0" w:color="auto"/>
              <w:bottom w:val="dashed" w:sz="4" w:space="0" w:color="auto"/>
              <w:right w:val="single" w:sz="8" w:space="0" w:color="auto"/>
            </w:tcBorders>
            <w:hideMark/>
          </w:tcPr>
          <w:p w14:paraId="267B32AB" w14:textId="77777777" w:rsidR="00364859" w:rsidRDefault="00364859" w:rsidP="00364859">
            <w:pPr>
              <w:pStyle w:val="ListParagraph"/>
              <w:numPr>
                <w:ilvl w:val="0"/>
                <w:numId w:val="18"/>
              </w:numPr>
              <w:spacing w:after="0" w:line="240" w:lineRule="auto"/>
              <w:ind w:left="318"/>
              <w:jc w:val="both"/>
              <w:rPr>
                <w:sz w:val="16"/>
                <w:szCs w:val="16"/>
              </w:rPr>
            </w:pPr>
            <w:r>
              <w:rPr>
                <w:sz w:val="16"/>
                <w:szCs w:val="16"/>
              </w:rPr>
              <w:t>Studies with repeated measurements of SPT</w:t>
            </w:r>
          </w:p>
        </w:tc>
        <w:tc>
          <w:tcPr>
            <w:tcW w:w="2668" w:type="dxa"/>
            <w:tcBorders>
              <w:top w:val="dashed" w:sz="4" w:space="0" w:color="auto"/>
              <w:left w:val="single" w:sz="8" w:space="0" w:color="auto"/>
              <w:bottom w:val="dashed" w:sz="4" w:space="0" w:color="auto"/>
              <w:right w:val="nil"/>
            </w:tcBorders>
            <w:hideMark/>
          </w:tcPr>
          <w:p w14:paraId="5F5389BC" w14:textId="77777777" w:rsidR="00364859" w:rsidRDefault="00364859">
            <w:pPr>
              <w:jc w:val="both"/>
              <w:rPr>
                <w:sz w:val="16"/>
                <w:szCs w:val="16"/>
              </w:rPr>
            </w:pPr>
            <w:r>
              <w:rPr>
                <w:sz w:val="16"/>
                <w:szCs w:val="16"/>
              </w:rPr>
              <w:t>Data  extracted from the first test performed after the end of the CUS</w:t>
            </w:r>
          </w:p>
        </w:tc>
      </w:tr>
      <w:tr w:rsidR="00364859" w14:paraId="5AB55153" w14:textId="77777777" w:rsidTr="00364859">
        <w:trPr>
          <w:trHeight w:val="1116"/>
        </w:trPr>
        <w:tc>
          <w:tcPr>
            <w:tcW w:w="1615" w:type="dxa"/>
            <w:tcBorders>
              <w:top w:val="dashed" w:sz="4" w:space="0" w:color="auto"/>
              <w:left w:val="nil"/>
              <w:bottom w:val="dashed" w:sz="4" w:space="0" w:color="auto"/>
              <w:right w:val="single" w:sz="8" w:space="0" w:color="auto"/>
            </w:tcBorders>
          </w:tcPr>
          <w:p w14:paraId="4CD2214A" w14:textId="77777777" w:rsidR="00364859" w:rsidRDefault="00364859" w:rsidP="00364859">
            <w:pPr>
              <w:pStyle w:val="ListParagraph"/>
              <w:numPr>
                <w:ilvl w:val="0"/>
                <w:numId w:val="17"/>
              </w:numPr>
              <w:spacing w:after="0" w:line="240" w:lineRule="auto"/>
              <w:ind w:left="342"/>
              <w:jc w:val="both"/>
              <w:rPr>
                <w:bCs/>
                <w:sz w:val="16"/>
                <w:szCs w:val="16"/>
              </w:rPr>
            </w:pPr>
            <w:r>
              <w:rPr>
                <w:bCs/>
                <w:sz w:val="16"/>
                <w:szCs w:val="16"/>
              </w:rPr>
              <w:t>Study reports different SPT units</w:t>
            </w:r>
          </w:p>
          <w:p w14:paraId="3453F870" w14:textId="77777777" w:rsidR="00364859" w:rsidRDefault="00364859">
            <w:pPr>
              <w:ind w:left="342"/>
              <w:jc w:val="both"/>
              <w:rPr>
                <w:sz w:val="16"/>
                <w:szCs w:val="16"/>
              </w:rPr>
            </w:pPr>
          </w:p>
        </w:tc>
        <w:tc>
          <w:tcPr>
            <w:tcW w:w="2700" w:type="dxa"/>
            <w:tcBorders>
              <w:top w:val="dashed" w:sz="4" w:space="0" w:color="auto"/>
              <w:left w:val="single" w:sz="8" w:space="0" w:color="auto"/>
              <w:bottom w:val="dashed" w:sz="4" w:space="0" w:color="auto"/>
              <w:right w:val="single" w:sz="12" w:space="0" w:color="auto"/>
            </w:tcBorders>
          </w:tcPr>
          <w:p w14:paraId="146EB163" w14:textId="77777777" w:rsidR="00364859" w:rsidRDefault="00364859">
            <w:pPr>
              <w:rPr>
                <w:rFonts w:ascii="Calibri" w:hAnsi="Calibri" w:cs="Calibri"/>
                <w:bCs/>
                <w:iCs/>
                <w:sz w:val="16"/>
                <w:szCs w:val="16"/>
              </w:rPr>
            </w:pPr>
            <w:r>
              <w:rPr>
                <w:rFonts w:ascii="Calibri" w:hAnsi="Calibri" w:cs="Calibri"/>
                <w:bCs/>
                <w:iCs/>
                <w:sz w:val="16"/>
                <w:szCs w:val="16"/>
              </w:rPr>
              <w:t>Extract measuring unit by priority:</w:t>
            </w:r>
          </w:p>
          <w:p w14:paraId="7597EE7D" w14:textId="77777777" w:rsidR="00364859" w:rsidRDefault="00364859">
            <w:pPr>
              <w:rPr>
                <w:rFonts w:ascii="Calibri" w:hAnsi="Calibri" w:cs="Calibri"/>
                <w:bCs/>
                <w:iCs/>
                <w:sz w:val="16"/>
                <w:szCs w:val="16"/>
              </w:rPr>
            </w:pPr>
            <w:r>
              <w:rPr>
                <w:rFonts w:ascii="Calibri" w:hAnsi="Calibri" w:cs="Calibri"/>
                <w:bCs/>
                <w:iCs/>
                <w:sz w:val="16"/>
                <w:szCs w:val="16"/>
              </w:rPr>
              <w:t>1. Sweet preference (%)</w:t>
            </w:r>
          </w:p>
          <w:p w14:paraId="0340A8F5" w14:textId="77777777" w:rsidR="001368F1" w:rsidRDefault="00364859">
            <w:pPr>
              <w:rPr>
                <w:rFonts w:ascii="Calibri" w:hAnsi="Calibri" w:cs="Calibri"/>
                <w:bCs/>
                <w:iCs/>
                <w:sz w:val="16"/>
                <w:szCs w:val="16"/>
              </w:rPr>
            </w:pPr>
            <w:r>
              <w:rPr>
                <w:rFonts w:ascii="Calibri" w:hAnsi="Calibri" w:cs="Calibri"/>
                <w:bCs/>
                <w:iCs/>
                <w:sz w:val="16"/>
                <w:szCs w:val="16"/>
              </w:rPr>
              <w:t xml:space="preserve">2. </w:t>
            </w:r>
            <w:r w:rsidR="001368F1">
              <w:rPr>
                <w:rFonts w:ascii="Calibri" w:hAnsi="Calibri" w:cs="Calibri"/>
                <w:bCs/>
                <w:iCs/>
                <w:sz w:val="16"/>
                <w:szCs w:val="16"/>
              </w:rPr>
              <w:t>Sweet intake/weight (g or mL/kg)</w:t>
            </w:r>
          </w:p>
          <w:p w14:paraId="60A53535" w14:textId="7BD20DB5" w:rsidR="00364859" w:rsidRDefault="001368F1">
            <w:pPr>
              <w:rPr>
                <w:rFonts w:ascii="Calibri" w:hAnsi="Calibri" w:cs="Calibri"/>
                <w:bCs/>
                <w:iCs/>
                <w:sz w:val="16"/>
                <w:szCs w:val="16"/>
              </w:rPr>
            </w:pPr>
            <w:r>
              <w:rPr>
                <w:rFonts w:ascii="Calibri" w:hAnsi="Calibri" w:cs="Calibri"/>
                <w:bCs/>
                <w:iCs/>
                <w:sz w:val="16"/>
                <w:szCs w:val="16"/>
              </w:rPr>
              <w:t>3. S</w:t>
            </w:r>
            <w:r w:rsidR="00364859">
              <w:rPr>
                <w:rFonts w:ascii="Calibri" w:hAnsi="Calibri" w:cs="Calibri"/>
                <w:bCs/>
                <w:iCs/>
                <w:sz w:val="16"/>
                <w:szCs w:val="16"/>
              </w:rPr>
              <w:t>weet intake (g or mL)</w:t>
            </w:r>
          </w:p>
          <w:p w14:paraId="6F8324C3" w14:textId="77777777" w:rsidR="00364859" w:rsidRDefault="00364859">
            <w:pPr>
              <w:rPr>
                <w:rFonts w:ascii="Calibri" w:hAnsi="Calibri" w:cs="Calibri"/>
                <w:bCs/>
                <w:iCs/>
                <w:sz w:val="16"/>
                <w:szCs w:val="16"/>
              </w:rPr>
            </w:pPr>
            <w:r>
              <w:rPr>
                <w:rFonts w:ascii="Calibri" w:hAnsi="Calibri" w:cs="Calibri"/>
                <w:bCs/>
                <w:iCs/>
                <w:sz w:val="16"/>
                <w:szCs w:val="16"/>
              </w:rPr>
              <w:t>4. Ratio of sweet intake to total water intake</w:t>
            </w:r>
          </w:p>
          <w:p w14:paraId="15264F4B" w14:textId="77777777" w:rsidR="00364859" w:rsidRDefault="00364859">
            <w:pPr>
              <w:rPr>
                <w:rFonts w:ascii="Calibri" w:hAnsi="Calibri" w:cs="Calibri"/>
                <w:bCs/>
                <w:iCs/>
                <w:sz w:val="16"/>
                <w:szCs w:val="16"/>
              </w:rPr>
            </w:pPr>
            <w:r>
              <w:rPr>
                <w:rFonts w:ascii="Calibri" w:hAnsi="Calibri" w:cs="Calibri"/>
                <w:bCs/>
                <w:iCs/>
                <w:sz w:val="16"/>
                <w:szCs w:val="16"/>
              </w:rPr>
              <w:t>5.Other</w:t>
            </w:r>
          </w:p>
          <w:p w14:paraId="79BCACDC" w14:textId="77777777" w:rsidR="00364859" w:rsidRDefault="00364859">
            <w:pPr>
              <w:rPr>
                <w:rFonts w:ascii="Calibri" w:hAnsi="Calibri" w:cs="Calibri"/>
                <w:bCs/>
                <w:iCs/>
                <w:sz w:val="14"/>
                <w:szCs w:val="16"/>
              </w:rPr>
            </w:pPr>
          </w:p>
          <w:p w14:paraId="5640721A" w14:textId="404311F0" w:rsidR="00364859" w:rsidRDefault="00364859">
            <w:pPr>
              <w:jc w:val="both"/>
              <w:rPr>
                <w:rFonts w:ascii="Calibri" w:hAnsi="Calibri" w:cs="Calibri"/>
                <w:bCs/>
                <w:iCs/>
                <w:sz w:val="16"/>
                <w:szCs w:val="16"/>
              </w:rPr>
            </w:pPr>
            <w:r>
              <w:rPr>
                <w:rFonts w:ascii="Calibri" w:hAnsi="Calibri" w:cs="Calibri"/>
                <w:bCs/>
                <w:iCs/>
                <w:sz w:val="16"/>
                <w:szCs w:val="16"/>
              </w:rPr>
              <w:lastRenderedPageBreak/>
              <w:t>Whenever</w:t>
            </w:r>
            <w:r w:rsidR="00FB3BE8">
              <w:rPr>
                <w:rFonts w:ascii="Calibri" w:hAnsi="Calibri" w:cs="Calibri"/>
                <w:bCs/>
                <w:iCs/>
                <w:sz w:val="16"/>
                <w:szCs w:val="16"/>
              </w:rPr>
              <w:t xml:space="preserve"> </w:t>
            </w:r>
            <w:r>
              <w:rPr>
                <w:rFonts w:ascii="Calibri" w:hAnsi="Calibri" w:cs="Calibri"/>
                <w:bCs/>
                <w:iCs/>
                <w:sz w:val="16"/>
                <w:szCs w:val="16"/>
              </w:rPr>
              <w:t>2 and/or 3 were reported</w:t>
            </w:r>
            <w:r w:rsidR="000E00F6">
              <w:rPr>
                <w:rFonts w:ascii="Calibri" w:hAnsi="Calibri" w:cs="Calibri"/>
                <w:bCs/>
                <w:iCs/>
                <w:sz w:val="16"/>
                <w:szCs w:val="16"/>
              </w:rPr>
              <w:t xml:space="preserve"> in addition to 1</w:t>
            </w:r>
            <w:r>
              <w:rPr>
                <w:rFonts w:ascii="Calibri" w:hAnsi="Calibri" w:cs="Calibri"/>
                <w:bCs/>
                <w:iCs/>
                <w:sz w:val="16"/>
                <w:szCs w:val="16"/>
              </w:rPr>
              <w:t>, they were extracted as alternative outcomes.</w:t>
            </w:r>
          </w:p>
          <w:p w14:paraId="016624CB" w14:textId="77777777" w:rsidR="00364859" w:rsidRDefault="00364859">
            <w:pPr>
              <w:jc w:val="both"/>
              <w:rPr>
                <w:sz w:val="16"/>
                <w:szCs w:val="16"/>
              </w:rPr>
            </w:pPr>
          </w:p>
        </w:tc>
        <w:tc>
          <w:tcPr>
            <w:tcW w:w="2435" w:type="dxa"/>
            <w:tcBorders>
              <w:top w:val="dashed" w:sz="4" w:space="0" w:color="auto"/>
              <w:left w:val="single" w:sz="12" w:space="0" w:color="auto"/>
              <w:bottom w:val="dashed" w:sz="4" w:space="0" w:color="auto"/>
              <w:right w:val="single" w:sz="8" w:space="0" w:color="auto"/>
            </w:tcBorders>
            <w:hideMark/>
          </w:tcPr>
          <w:p w14:paraId="469E2EF3" w14:textId="77777777" w:rsidR="00364859" w:rsidRDefault="00364859" w:rsidP="00364859">
            <w:pPr>
              <w:pStyle w:val="ListParagraph"/>
              <w:numPr>
                <w:ilvl w:val="0"/>
                <w:numId w:val="18"/>
              </w:numPr>
              <w:spacing w:after="0" w:line="240" w:lineRule="auto"/>
              <w:ind w:left="318"/>
              <w:jc w:val="both"/>
            </w:pPr>
            <w:r>
              <w:rPr>
                <w:sz w:val="16"/>
                <w:szCs w:val="16"/>
              </w:rPr>
              <w:lastRenderedPageBreak/>
              <w:t xml:space="preserve">Study reports different sweet concentrations </w:t>
            </w:r>
          </w:p>
        </w:tc>
        <w:tc>
          <w:tcPr>
            <w:tcW w:w="2668" w:type="dxa"/>
            <w:tcBorders>
              <w:top w:val="dashed" w:sz="4" w:space="0" w:color="auto"/>
              <w:left w:val="single" w:sz="8" w:space="0" w:color="auto"/>
              <w:bottom w:val="dashed" w:sz="4" w:space="0" w:color="auto"/>
              <w:right w:val="nil"/>
            </w:tcBorders>
            <w:hideMark/>
          </w:tcPr>
          <w:p w14:paraId="3D7C0AC1" w14:textId="6813F1F6" w:rsidR="00364859" w:rsidRDefault="00364859" w:rsidP="00B843B1">
            <w:r>
              <w:rPr>
                <w:sz w:val="16"/>
                <w:szCs w:val="16"/>
              </w:rPr>
              <w:t xml:space="preserve">Data for concentrations between 1-2% were extracted. If these concentrations were not used, the data of the concentration tested </w:t>
            </w:r>
            <w:r w:rsidR="00B843B1">
              <w:rPr>
                <w:sz w:val="16"/>
                <w:szCs w:val="16"/>
              </w:rPr>
              <w:t xml:space="preserve">closest </w:t>
            </w:r>
            <w:r>
              <w:rPr>
                <w:sz w:val="16"/>
                <w:szCs w:val="16"/>
              </w:rPr>
              <w:t>to the end of the CUS was selected</w:t>
            </w:r>
          </w:p>
        </w:tc>
      </w:tr>
      <w:tr w:rsidR="00364859" w14:paraId="311FDE0B" w14:textId="77777777" w:rsidTr="00364859">
        <w:trPr>
          <w:trHeight w:val="317"/>
        </w:trPr>
        <w:tc>
          <w:tcPr>
            <w:tcW w:w="1615" w:type="dxa"/>
            <w:tcBorders>
              <w:top w:val="dashed" w:sz="4" w:space="0" w:color="auto"/>
              <w:left w:val="nil"/>
              <w:bottom w:val="nil"/>
              <w:right w:val="single" w:sz="8" w:space="0" w:color="auto"/>
            </w:tcBorders>
            <w:hideMark/>
          </w:tcPr>
          <w:p w14:paraId="78FDB45E" w14:textId="5EB3ADDB" w:rsidR="00364859" w:rsidRDefault="00364859" w:rsidP="00364859">
            <w:pPr>
              <w:pStyle w:val="ListParagraph"/>
              <w:numPr>
                <w:ilvl w:val="0"/>
                <w:numId w:val="17"/>
              </w:numPr>
              <w:spacing w:after="0" w:line="240" w:lineRule="auto"/>
              <w:ind w:left="342"/>
              <w:jc w:val="both"/>
              <w:rPr>
                <w:bCs/>
                <w:sz w:val="16"/>
                <w:szCs w:val="16"/>
              </w:rPr>
            </w:pPr>
            <w:r>
              <w:rPr>
                <w:bCs/>
                <w:sz w:val="16"/>
                <w:szCs w:val="16"/>
              </w:rPr>
              <w:t>Study report</w:t>
            </w:r>
            <w:r w:rsidR="009903E2">
              <w:rPr>
                <w:bCs/>
                <w:sz w:val="16"/>
                <w:szCs w:val="16"/>
              </w:rPr>
              <w:t>s</w:t>
            </w:r>
            <w:r>
              <w:rPr>
                <w:bCs/>
                <w:sz w:val="16"/>
                <w:szCs w:val="16"/>
              </w:rPr>
              <w:t xml:space="preserve">  data for </w:t>
            </w:r>
            <w:r w:rsidR="009903E2">
              <w:rPr>
                <w:bCs/>
                <w:sz w:val="16"/>
                <w:szCs w:val="16"/>
              </w:rPr>
              <w:t xml:space="preserve">“stress </w:t>
            </w:r>
            <w:r>
              <w:rPr>
                <w:bCs/>
                <w:sz w:val="16"/>
                <w:szCs w:val="16"/>
              </w:rPr>
              <w:t>resilient</w:t>
            </w:r>
            <w:r w:rsidR="009903E2">
              <w:rPr>
                <w:bCs/>
                <w:sz w:val="16"/>
                <w:szCs w:val="16"/>
              </w:rPr>
              <w:t>”</w:t>
            </w:r>
            <w:r>
              <w:rPr>
                <w:bCs/>
                <w:sz w:val="16"/>
                <w:szCs w:val="16"/>
              </w:rPr>
              <w:t xml:space="preserve"> and </w:t>
            </w:r>
            <w:r w:rsidR="009903E2">
              <w:rPr>
                <w:bCs/>
                <w:sz w:val="16"/>
                <w:szCs w:val="16"/>
              </w:rPr>
              <w:t xml:space="preserve">“stress </w:t>
            </w:r>
            <w:r>
              <w:rPr>
                <w:bCs/>
                <w:sz w:val="16"/>
                <w:szCs w:val="16"/>
              </w:rPr>
              <w:t>susceptible</w:t>
            </w:r>
            <w:r w:rsidR="009903E2">
              <w:rPr>
                <w:bCs/>
                <w:sz w:val="16"/>
                <w:szCs w:val="16"/>
              </w:rPr>
              <w:t>”</w:t>
            </w:r>
            <w:r>
              <w:rPr>
                <w:bCs/>
                <w:sz w:val="16"/>
                <w:szCs w:val="16"/>
              </w:rPr>
              <w:t xml:space="preserve">  animals</w:t>
            </w:r>
            <w:r w:rsidR="009903E2">
              <w:rPr>
                <w:bCs/>
                <w:sz w:val="16"/>
                <w:szCs w:val="16"/>
              </w:rPr>
              <w:t xml:space="preserve"> separately</w:t>
            </w:r>
          </w:p>
        </w:tc>
        <w:tc>
          <w:tcPr>
            <w:tcW w:w="2700" w:type="dxa"/>
            <w:tcBorders>
              <w:top w:val="dashed" w:sz="4" w:space="0" w:color="auto"/>
              <w:left w:val="single" w:sz="8" w:space="0" w:color="auto"/>
              <w:bottom w:val="nil"/>
              <w:right w:val="single" w:sz="12" w:space="0" w:color="auto"/>
            </w:tcBorders>
            <w:hideMark/>
          </w:tcPr>
          <w:p w14:paraId="37FD6479" w14:textId="77777777" w:rsidR="00364859" w:rsidRDefault="00364859">
            <w:pPr>
              <w:rPr>
                <w:rFonts w:ascii="Calibri" w:hAnsi="Calibri" w:cs="Calibri"/>
                <w:bCs/>
                <w:iCs/>
                <w:sz w:val="16"/>
                <w:szCs w:val="16"/>
              </w:rPr>
            </w:pPr>
            <w:r>
              <w:rPr>
                <w:rFonts w:ascii="Calibri" w:hAnsi="Calibri" w:cs="Calibri"/>
                <w:bCs/>
                <w:iCs/>
                <w:sz w:val="16"/>
                <w:szCs w:val="16"/>
              </w:rPr>
              <w:t>Data were combined to obtain an aggregate measure for the stress group</w:t>
            </w:r>
          </w:p>
        </w:tc>
        <w:tc>
          <w:tcPr>
            <w:tcW w:w="2435" w:type="dxa"/>
            <w:tcBorders>
              <w:top w:val="dashed" w:sz="4" w:space="0" w:color="auto"/>
              <w:left w:val="single" w:sz="12" w:space="0" w:color="auto"/>
              <w:bottom w:val="nil"/>
              <w:right w:val="single" w:sz="8" w:space="0" w:color="auto"/>
            </w:tcBorders>
          </w:tcPr>
          <w:p w14:paraId="0F044635" w14:textId="77777777" w:rsidR="00364859" w:rsidRDefault="00364859">
            <w:pPr>
              <w:jc w:val="both"/>
              <w:rPr>
                <w:sz w:val="16"/>
                <w:szCs w:val="16"/>
              </w:rPr>
            </w:pPr>
          </w:p>
        </w:tc>
        <w:tc>
          <w:tcPr>
            <w:tcW w:w="2668" w:type="dxa"/>
            <w:tcBorders>
              <w:top w:val="dashed" w:sz="4" w:space="0" w:color="auto"/>
              <w:left w:val="single" w:sz="8" w:space="0" w:color="auto"/>
              <w:bottom w:val="nil"/>
              <w:right w:val="nil"/>
            </w:tcBorders>
          </w:tcPr>
          <w:p w14:paraId="32062756" w14:textId="77777777" w:rsidR="00364859" w:rsidRDefault="00364859">
            <w:pPr>
              <w:jc w:val="both"/>
              <w:rPr>
                <w:sz w:val="16"/>
                <w:szCs w:val="16"/>
              </w:rPr>
            </w:pPr>
          </w:p>
        </w:tc>
      </w:tr>
    </w:tbl>
    <w:p w14:paraId="2E9610A2" w14:textId="77777777" w:rsidR="007B3C5B" w:rsidRDefault="007B3C5B">
      <w:pPr>
        <w:pStyle w:val="BodyText"/>
      </w:pPr>
    </w:p>
    <w:p w14:paraId="0639776B" w14:textId="77777777" w:rsidR="00C16263" w:rsidRDefault="00C16263" w:rsidP="00C16263">
      <w:pPr>
        <w:pStyle w:val="Heading2"/>
      </w:pPr>
      <w:bookmarkStart w:id="8" w:name="Xe63e561473ff6802cfba5857602f1745f08dcbe"/>
      <w:r>
        <w:t>Quality and risk of bias assessment:</w:t>
      </w:r>
    </w:p>
    <w:p w14:paraId="65A6EFB4" w14:textId="77777777" w:rsidR="00C16263" w:rsidRDefault="00C16263" w:rsidP="00C16263">
      <w:pPr>
        <w:pStyle w:val="Heading3"/>
      </w:pPr>
      <w:bookmarkStart w:id="9" w:name="quality-of-reporting"/>
      <w:r>
        <w:rPr>
          <w:i/>
          <w:iCs/>
        </w:rPr>
        <w:t>Quality of reporting</w:t>
      </w:r>
    </w:p>
    <w:p w14:paraId="5046B032" w14:textId="2A59809D" w:rsidR="00C16263" w:rsidRDefault="00C16263" w:rsidP="00C16263">
      <w:pPr>
        <w:pStyle w:val="FirstParagraph"/>
      </w:pPr>
      <w:r>
        <w:rPr>
          <w:b/>
          <w:bCs/>
        </w:rPr>
        <w:t>Supplementary Table 4</w:t>
      </w:r>
      <w:r>
        <w:t xml:space="preserve">. </w:t>
      </w:r>
      <w:r w:rsidRPr="00C16263">
        <w:rPr>
          <w:i/>
          <w:iCs/>
        </w:rPr>
        <w:t>Quality of reporting checklist.</w:t>
      </w:r>
      <w:r>
        <w:t xml:space="preserve"> </w:t>
      </w:r>
    </w:p>
    <w:tbl>
      <w:tblPr>
        <w:tblStyle w:val="TableGrid"/>
        <w:tblW w:w="0" w:type="auto"/>
        <w:tblInd w:w="0" w:type="dxa"/>
        <w:tblLook w:val="04A0" w:firstRow="1" w:lastRow="0" w:firstColumn="1" w:lastColumn="0" w:noHBand="0" w:noVBand="1"/>
      </w:tblPr>
      <w:tblGrid>
        <w:gridCol w:w="1705"/>
        <w:gridCol w:w="7645"/>
      </w:tblGrid>
      <w:tr w:rsidR="00C16263" w14:paraId="7DA0A3A7" w14:textId="77777777" w:rsidTr="003438A9">
        <w:tc>
          <w:tcPr>
            <w:tcW w:w="9350" w:type="dxa"/>
            <w:gridSpan w:val="2"/>
            <w:tcBorders>
              <w:top w:val="single" w:sz="4" w:space="0" w:color="auto"/>
              <w:left w:val="single" w:sz="4" w:space="0" w:color="auto"/>
              <w:bottom w:val="single" w:sz="4" w:space="0" w:color="auto"/>
              <w:right w:val="single" w:sz="4" w:space="0" w:color="auto"/>
            </w:tcBorders>
            <w:hideMark/>
          </w:tcPr>
          <w:p w14:paraId="42E245E8" w14:textId="77777777" w:rsidR="00C16263" w:rsidRDefault="00C16263" w:rsidP="003438A9">
            <w:pPr>
              <w:pStyle w:val="Heading2"/>
              <w:jc w:val="center"/>
              <w:outlineLvl w:val="1"/>
              <w:rPr>
                <w:sz w:val="20"/>
              </w:rPr>
            </w:pPr>
            <w:r>
              <w:t>Quality reporting (modified from ARRIVE essential 10)</w:t>
            </w:r>
          </w:p>
        </w:tc>
      </w:tr>
      <w:tr w:rsidR="00C16263" w14:paraId="2514D00E"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16B33DB9" w14:textId="77777777" w:rsidR="00C16263" w:rsidRDefault="00C16263" w:rsidP="003438A9">
            <w:pPr>
              <w:pStyle w:val="Heading2"/>
              <w:jc w:val="center"/>
              <w:outlineLvl w:val="1"/>
              <w:rPr>
                <w:sz w:val="26"/>
              </w:rPr>
            </w:pPr>
            <w:r>
              <w:t>Item</w:t>
            </w:r>
          </w:p>
        </w:tc>
        <w:tc>
          <w:tcPr>
            <w:tcW w:w="7645" w:type="dxa"/>
            <w:tcBorders>
              <w:top w:val="single" w:sz="4" w:space="0" w:color="auto"/>
              <w:left w:val="single" w:sz="4" w:space="0" w:color="auto"/>
              <w:bottom w:val="single" w:sz="4" w:space="0" w:color="auto"/>
              <w:right w:val="single" w:sz="4" w:space="0" w:color="auto"/>
            </w:tcBorders>
            <w:hideMark/>
          </w:tcPr>
          <w:p w14:paraId="7553A604" w14:textId="77777777" w:rsidR="00C16263" w:rsidRDefault="00C16263" w:rsidP="003438A9">
            <w:pPr>
              <w:pStyle w:val="Heading2"/>
              <w:jc w:val="center"/>
              <w:outlineLvl w:val="1"/>
            </w:pPr>
            <w:r>
              <w:t>Description</w:t>
            </w:r>
          </w:p>
        </w:tc>
      </w:tr>
      <w:tr w:rsidR="00C16263" w14:paraId="25225203"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2A7E7271" w14:textId="77777777" w:rsidR="00C16263" w:rsidRDefault="00C16263" w:rsidP="003438A9">
            <w:pPr>
              <w:jc w:val="both"/>
              <w:rPr>
                <w:sz w:val="20"/>
              </w:rPr>
            </w:pPr>
            <w:r>
              <w:rPr>
                <w:b/>
                <w:sz w:val="18"/>
              </w:rPr>
              <w:t>Experimental animals</w:t>
            </w:r>
          </w:p>
        </w:tc>
        <w:tc>
          <w:tcPr>
            <w:tcW w:w="7645" w:type="dxa"/>
            <w:tcBorders>
              <w:top w:val="single" w:sz="4" w:space="0" w:color="auto"/>
              <w:left w:val="single" w:sz="4" w:space="0" w:color="auto"/>
              <w:bottom w:val="single" w:sz="4" w:space="0" w:color="auto"/>
              <w:right w:val="single" w:sz="4" w:space="0" w:color="auto"/>
            </w:tcBorders>
            <w:hideMark/>
          </w:tcPr>
          <w:p w14:paraId="4FF92C38" w14:textId="60365909" w:rsidR="00C16263" w:rsidRDefault="00C16263" w:rsidP="003A1824">
            <w:pPr>
              <w:jc w:val="both"/>
              <w:rPr>
                <w:sz w:val="20"/>
              </w:rPr>
            </w:pPr>
            <w:r>
              <w:rPr>
                <w:sz w:val="18"/>
              </w:rPr>
              <w:t xml:space="preserve">The study provides details </w:t>
            </w:r>
            <w:r w:rsidR="003A1824">
              <w:rPr>
                <w:sz w:val="18"/>
              </w:rPr>
              <w:t xml:space="preserve">on </w:t>
            </w:r>
            <w:r>
              <w:rPr>
                <w:sz w:val="18"/>
              </w:rPr>
              <w:t xml:space="preserve">the strain/stock, sex, age/weight at the beginning of the experiment, and the provenance of the experimental subjects. </w:t>
            </w:r>
          </w:p>
        </w:tc>
      </w:tr>
      <w:tr w:rsidR="00C16263" w14:paraId="0ED5B700"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30B1059F" w14:textId="77777777" w:rsidR="00C16263" w:rsidRDefault="00C16263" w:rsidP="003438A9">
            <w:pPr>
              <w:jc w:val="both"/>
              <w:rPr>
                <w:sz w:val="20"/>
              </w:rPr>
            </w:pPr>
            <w:r>
              <w:rPr>
                <w:b/>
                <w:sz w:val="18"/>
              </w:rPr>
              <w:t>Study design</w:t>
            </w:r>
          </w:p>
        </w:tc>
        <w:tc>
          <w:tcPr>
            <w:tcW w:w="7645" w:type="dxa"/>
            <w:tcBorders>
              <w:top w:val="single" w:sz="4" w:space="0" w:color="auto"/>
              <w:left w:val="single" w:sz="4" w:space="0" w:color="auto"/>
              <w:bottom w:val="single" w:sz="4" w:space="0" w:color="auto"/>
              <w:right w:val="single" w:sz="4" w:space="0" w:color="auto"/>
            </w:tcBorders>
            <w:hideMark/>
          </w:tcPr>
          <w:p w14:paraId="12317803" w14:textId="77777777" w:rsidR="00C16263" w:rsidRDefault="00C16263" w:rsidP="003438A9">
            <w:pPr>
              <w:jc w:val="both"/>
              <w:rPr>
                <w:sz w:val="20"/>
              </w:rPr>
            </w:pPr>
            <w:r>
              <w:rPr>
                <w:sz w:val="18"/>
              </w:rPr>
              <w:t>The study clearly states the experimental unit and describes all groups being compared.</w:t>
            </w:r>
          </w:p>
        </w:tc>
      </w:tr>
      <w:tr w:rsidR="00C16263" w14:paraId="2DA297F4"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37DA3F69" w14:textId="77777777" w:rsidR="00C16263" w:rsidRDefault="00C16263" w:rsidP="003438A9">
            <w:pPr>
              <w:jc w:val="both"/>
              <w:rPr>
                <w:b/>
                <w:sz w:val="18"/>
              </w:rPr>
            </w:pPr>
            <w:r>
              <w:rPr>
                <w:b/>
                <w:sz w:val="18"/>
              </w:rPr>
              <w:t>Sample size</w:t>
            </w:r>
          </w:p>
        </w:tc>
        <w:tc>
          <w:tcPr>
            <w:tcW w:w="7645" w:type="dxa"/>
            <w:tcBorders>
              <w:top w:val="single" w:sz="4" w:space="0" w:color="auto"/>
              <w:left w:val="single" w:sz="4" w:space="0" w:color="auto"/>
              <w:bottom w:val="single" w:sz="4" w:space="0" w:color="auto"/>
              <w:right w:val="single" w:sz="4" w:space="0" w:color="auto"/>
            </w:tcBorders>
            <w:hideMark/>
          </w:tcPr>
          <w:p w14:paraId="4ABF72C4" w14:textId="29069100" w:rsidR="00C16263" w:rsidRDefault="00C16263" w:rsidP="003438A9">
            <w:pPr>
              <w:jc w:val="both"/>
              <w:rPr>
                <w:sz w:val="20"/>
              </w:rPr>
            </w:pPr>
            <w:r>
              <w:rPr>
                <w:sz w:val="18"/>
              </w:rPr>
              <w:t xml:space="preserve">The study reports the exact number of experimental units allocated to each group at the start of the experiment AND explains how the sample size was decided </w:t>
            </w:r>
            <w:r w:rsidR="00190C79">
              <w:rPr>
                <w:sz w:val="18"/>
              </w:rPr>
              <w:t xml:space="preserve">on </w:t>
            </w:r>
            <w:r>
              <w:rPr>
                <w:sz w:val="18"/>
              </w:rPr>
              <w:t>(</w:t>
            </w:r>
            <w:r>
              <w:rPr>
                <w:i/>
                <w:sz w:val="18"/>
              </w:rPr>
              <w:t>e.g.,</w:t>
            </w:r>
            <w:r>
              <w:rPr>
                <w:sz w:val="18"/>
              </w:rPr>
              <w:t xml:space="preserve"> </w:t>
            </w:r>
            <w:r>
              <w:rPr>
                <w:i/>
                <w:iCs/>
                <w:sz w:val="18"/>
              </w:rPr>
              <w:t>a priori</w:t>
            </w:r>
            <w:r>
              <w:rPr>
                <w:sz w:val="18"/>
              </w:rPr>
              <w:t> sample size calculation).</w:t>
            </w:r>
          </w:p>
        </w:tc>
      </w:tr>
      <w:tr w:rsidR="00C16263" w14:paraId="47ADA4CE" w14:textId="77777777" w:rsidTr="003438A9">
        <w:tc>
          <w:tcPr>
            <w:tcW w:w="1705" w:type="dxa"/>
            <w:tcBorders>
              <w:top w:val="single" w:sz="4" w:space="0" w:color="auto"/>
              <w:left w:val="single" w:sz="4" w:space="0" w:color="auto"/>
              <w:bottom w:val="single" w:sz="4" w:space="0" w:color="auto"/>
              <w:right w:val="single" w:sz="4" w:space="0" w:color="auto"/>
            </w:tcBorders>
          </w:tcPr>
          <w:p w14:paraId="51AC41CF" w14:textId="77777777" w:rsidR="00C16263" w:rsidRDefault="00C16263" w:rsidP="003438A9">
            <w:pPr>
              <w:jc w:val="both"/>
              <w:rPr>
                <w:b/>
                <w:sz w:val="20"/>
              </w:rPr>
            </w:pPr>
            <w:r>
              <w:rPr>
                <w:b/>
                <w:sz w:val="18"/>
              </w:rPr>
              <w:t>Allocation</w:t>
            </w:r>
          </w:p>
        </w:tc>
        <w:tc>
          <w:tcPr>
            <w:tcW w:w="7645" w:type="dxa"/>
            <w:tcBorders>
              <w:top w:val="single" w:sz="4" w:space="0" w:color="auto"/>
              <w:left w:val="single" w:sz="4" w:space="0" w:color="auto"/>
              <w:bottom w:val="single" w:sz="4" w:space="0" w:color="auto"/>
              <w:right w:val="single" w:sz="4" w:space="0" w:color="auto"/>
            </w:tcBorders>
          </w:tcPr>
          <w:p w14:paraId="586577B1" w14:textId="200292FA" w:rsidR="00C16263" w:rsidRDefault="00C16263" w:rsidP="00E622FC">
            <w:pPr>
              <w:jc w:val="both"/>
              <w:rPr>
                <w:sz w:val="20"/>
              </w:rPr>
            </w:pPr>
            <w:r>
              <w:rPr>
                <w:sz w:val="18"/>
              </w:rPr>
              <w:t>The study clearly states the strategy used to assign experimental units to the groups (</w:t>
            </w:r>
            <w:r>
              <w:rPr>
                <w:i/>
                <w:sz w:val="18"/>
              </w:rPr>
              <w:t>e.g.</w:t>
            </w:r>
            <w:r>
              <w:rPr>
                <w:sz w:val="18"/>
              </w:rPr>
              <w:t xml:space="preserve"> randomization</w:t>
            </w:r>
            <w:r w:rsidR="00E622FC">
              <w:rPr>
                <w:sz w:val="18"/>
              </w:rPr>
              <w:t xml:space="preserve"> or </w:t>
            </w:r>
            <w:r>
              <w:rPr>
                <w:sz w:val="18"/>
              </w:rPr>
              <w:t xml:space="preserve">matching) </w:t>
            </w:r>
          </w:p>
        </w:tc>
      </w:tr>
      <w:tr w:rsidR="00C16263" w14:paraId="15E5CD9D"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6B985511" w14:textId="77777777" w:rsidR="00C16263" w:rsidRDefault="00C16263" w:rsidP="003438A9">
            <w:pPr>
              <w:jc w:val="both"/>
              <w:rPr>
                <w:sz w:val="20"/>
              </w:rPr>
            </w:pPr>
            <w:r>
              <w:rPr>
                <w:b/>
                <w:sz w:val="18"/>
              </w:rPr>
              <w:t>Blinding</w:t>
            </w:r>
          </w:p>
        </w:tc>
        <w:tc>
          <w:tcPr>
            <w:tcW w:w="7645" w:type="dxa"/>
            <w:tcBorders>
              <w:top w:val="single" w:sz="4" w:space="0" w:color="auto"/>
              <w:left w:val="single" w:sz="4" w:space="0" w:color="auto"/>
              <w:bottom w:val="single" w:sz="4" w:space="0" w:color="auto"/>
              <w:right w:val="single" w:sz="4" w:space="0" w:color="auto"/>
            </w:tcBorders>
            <w:hideMark/>
          </w:tcPr>
          <w:p w14:paraId="4E044C09" w14:textId="77777777" w:rsidR="00C16263" w:rsidRDefault="00C16263" w:rsidP="003438A9">
            <w:pPr>
              <w:jc w:val="both"/>
              <w:rPr>
                <w:sz w:val="20"/>
              </w:rPr>
            </w:pPr>
            <w:r>
              <w:rPr>
                <w:sz w:val="18"/>
              </w:rPr>
              <w:t>The study reports performing blinding at any stage of the experiment.</w:t>
            </w:r>
          </w:p>
        </w:tc>
      </w:tr>
      <w:tr w:rsidR="00C16263" w14:paraId="0F95E318"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2C0DB96F" w14:textId="538E2A18" w:rsidR="00C16263" w:rsidRDefault="00C16263" w:rsidP="00322FC4">
            <w:pPr>
              <w:rPr>
                <w:sz w:val="20"/>
              </w:rPr>
            </w:pPr>
            <w:r>
              <w:rPr>
                <w:b/>
                <w:sz w:val="18"/>
              </w:rPr>
              <w:t xml:space="preserve">Definition of Outcome </w:t>
            </w:r>
          </w:p>
        </w:tc>
        <w:tc>
          <w:tcPr>
            <w:tcW w:w="7645" w:type="dxa"/>
            <w:tcBorders>
              <w:top w:val="single" w:sz="4" w:space="0" w:color="auto"/>
              <w:left w:val="single" w:sz="4" w:space="0" w:color="auto"/>
              <w:bottom w:val="single" w:sz="4" w:space="0" w:color="auto"/>
              <w:right w:val="single" w:sz="4" w:space="0" w:color="auto"/>
            </w:tcBorders>
            <w:hideMark/>
          </w:tcPr>
          <w:p w14:paraId="258F900C" w14:textId="5376316D" w:rsidR="00C16263" w:rsidRDefault="00C16263" w:rsidP="003438A9">
            <w:pPr>
              <w:jc w:val="both"/>
              <w:rPr>
                <w:sz w:val="20"/>
              </w:rPr>
            </w:pPr>
            <w:r w:rsidRPr="00322FC4">
              <w:rPr>
                <w:sz w:val="18"/>
              </w:rPr>
              <w:t>The study clearly states what the outcome measure of the sucrose preference test was</w:t>
            </w:r>
            <w:r w:rsidR="00207CB0">
              <w:rPr>
                <w:sz w:val="18"/>
              </w:rPr>
              <w:t>,</w:t>
            </w:r>
            <w:r w:rsidRPr="00322FC4">
              <w:rPr>
                <w:sz w:val="18"/>
              </w:rPr>
              <w:t xml:space="preserve"> and how it was obtained</w:t>
            </w:r>
            <w:r w:rsidR="00207CB0">
              <w:rPr>
                <w:sz w:val="18"/>
              </w:rPr>
              <w:t>,</w:t>
            </w:r>
            <w:r w:rsidRPr="00322FC4">
              <w:rPr>
                <w:sz w:val="18"/>
              </w:rPr>
              <w:t xml:space="preserve"> in the text or graphs.</w:t>
            </w:r>
          </w:p>
        </w:tc>
      </w:tr>
      <w:tr w:rsidR="00C16263" w14:paraId="5377FEE4" w14:textId="77777777" w:rsidTr="003438A9">
        <w:tc>
          <w:tcPr>
            <w:tcW w:w="1705" w:type="dxa"/>
            <w:tcBorders>
              <w:top w:val="single" w:sz="4" w:space="0" w:color="auto"/>
              <w:left w:val="single" w:sz="4" w:space="0" w:color="auto"/>
              <w:bottom w:val="single" w:sz="4" w:space="0" w:color="auto"/>
              <w:right w:val="single" w:sz="4" w:space="0" w:color="auto"/>
            </w:tcBorders>
          </w:tcPr>
          <w:p w14:paraId="0435D52E" w14:textId="77777777" w:rsidR="00C16263" w:rsidRDefault="00C16263" w:rsidP="003438A9">
            <w:pPr>
              <w:jc w:val="both"/>
            </w:pPr>
            <w:r>
              <w:rPr>
                <w:b/>
                <w:sz w:val="18"/>
              </w:rPr>
              <w:t xml:space="preserve">Statistical methods </w:t>
            </w:r>
          </w:p>
        </w:tc>
        <w:tc>
          <w:tcPr>
            <w:tcW w:w="7645" w:type="dxa"/>
            <w:tcBorders>
              <w:top w:val="single" w:sz="4" w:space="0" w:color="auto"/>
              <w:left w:val="single" w:sz="4" w:space="0" w:color="auto"/>
              <w:bottom w:val="single" w:sz="4" w:space="0" w:color="auto"/>
              <w:right w:val="single" w:sz="4" w:space="0" w:color="auto"/>
            </w:tcBorders>
            <w:hideMark/>
          </w:tcPr>
          <w:p w14:paraId="204007CD" w14:textId="77777777" w:rsidR="00C16263" w:rsidRDefault="00C16263" w:rsidP="003438A9">
            <w:pPr>
              <w:jc w:val="both"/>
              <w:rPr>
                <w:sz w:val="20"/>
              </w:rPr>
            </w:pPr>
            <w:r>
              <w:rPr>
                <w:sz w:val="18"/>
              </w:rPr>
              <w:t xml:space="preserve">The study makes it clear which statistical method was used to compare the sucrose preference test across groups, including </w:t>
            </w:r>
            <w:r>
              <w:rPr>
                <w:i/>
                <w:sz w:val="18"/>
              </w:rPr>
              <w:t>post hoc</w:t>
            </w:r>
            <w:r>
              <w:rPr>
                <w:sz w:val="18"/>
              </w:rPr>
              <w:t xml:space="preserve"> comparison methods (if used). </w:t>
            </w:r>
          </w:p>
        </w:tc>
      </w:tr>
      <w:tr w:rsidR="00C16263" w14:paraId="4347BC21" w14:textId="77777777" w:rsidTr="003438A9">
        <w:tc>
          <w:tcPr>
            <w:tcW w:w="1705" w:type="dxa"/>
            <w:tcBorders>
              <w:top w:val="single" w:sz="4" w:space="0" w:color="auto"/>
              <w:left w:val="single" w:sz="4" w:space="0" w:color="auto"/>
              <w:bottom w:val="single" w:sz="4" w:space="0" w:color="auto"/>
              <w:right w:val="single" w:sz="4" w:space="0" w:color="auto"/>
            </w:tcBorders>
          </w:tcPr>
          <w:p w14:paraId="3D7A4C3E" w14:textId="77777777" w:rsidR="00C16263" w:rsidRDefault="00C16263" w:rsidP="003438A9">
            <w:pPr>
              <w:jc w:val="both"/>
              <w:rPr>
                <w:b/>
                <w:sz w:val="18"/>
              </w:rPr>
            </w:pPr>
            <w:r>
              <w:rPr>
                <w:b/>
                <w:sz w:val="18"/>
              </w:rPr>
              <w:t>Experimental procedures</w:t>
            </w:r>
          </w:p>
        </w:tc>
        <w:tc>
          <w:tcPr>
            <w:tcW w:w="7645" w:type="dxa"/>
            <w:tcBorders>
              <w:top w:val="single" w:sz="4" w:space="0" w:color="auto"/>
              <w:left w:val="single" w:sz="4" w:space="0" w:color="auto"/>
              <w:bottom w:val="single" w:sz="4" w:space="0" w:color="auto"/>
              <w:right w:val="single" w:sz="4" w:space="0" w:color="auto"/>
            </w:tcBorders>
            <w:hideMark/>
          </w:tcPr>
          <w:p w14:paraId="17CBB114" w14:textId="55FCBC30" w:rsidR="00C16263" w:rsidRPr="00480AB1" w:rsidRDefault="00C16263" w:rsidP="003438A9">
            <w:pPr>
              <w:jc w:val="both"/>
              <w:rPr>
                <w:sz w:val="18"/>
              </w:rPr>
            </w:pPr>
            <w:r>
              <w:rPr>
                <w:sz w:val="18"/>
              </w:rPr>
              <w:t xml:space="preserve">Both of the </w:t>
            </w:r>
            <w:r w:rsidRPr="00480AB1">
              <w:rPr>
                <w:sz w:val="18"/>
              </w:rPr>
              <w:t xml:space="preserve">following need to be present to consider this item </w:t>
            </w:r>
            <w:r w:rsidR="00B1652E" w:rsidRPr="00480AB1">
              <w:rPr>
                <w:sz w:val="18"/>
              </w:rPr>
              <w:t xml:space="preserve">to be adequately </w:t>
            </w:r>
            <w:r w:rsidRPr="00480AB1">
              <w:rPr>
                <w:sz w:val="18"/>
              </w:rPr>
              <w:t>reported:</w:t>
            </w:r>
          </w:p>
          <w:p w14:paraId="7C551BD6" w14:textId="77777777" w:rsidR="00C16263" w:rsidRDefault="00C16263" w:rsidP="00C16263">
            <w:pPr>
              <w:pStyle w:val="ListParagraph"/>
              <w:numPr>
                <w:ilvl w:val="0"/>
                <w:numId w:val="19"/>
              </w:numPr>
              <w:spacing w:after="0" w:line="240" w:lineRule="auto"/>
              <w:jc w:val="both"/>
              <w:rPr>
                <w:sz w:val="18"/>
              </w:rPr>
            </w:pPr>
            <w:r w:rsidRPr="00480AB1">
              <w:rPr>
                <w:b/>
                <w:sz w:val="18"/>
              </w:rPr>
              <w:t xml:space="preserve">Stress protocol: </w:t>
            </w:r>
            <w:r w:rsidRPr="00480AB1">
              <w:rPr>
                <w:sz w:val="18"/>
              </w:rPr>
              <w:t xml:space="preserve">The study describes the type of stressors used in the chronic unpredictable stress protocol and their general </w:t>
            </w:r>
            <w:r>
              <w:rPr>
                <w:sz w:val="18"/>
              </w:rPr>
              <w:t xml:space="preserve">schedule. </w:t>
            </w:r>
          </w:p>
          <w:p w14:paraId="6819DD32" w14:textId="07E8BEC2" w:rsidR="00C16263" w:rsidRPr="00322FC4" w:rsidRDefault="00C16263" w:rsidP="00322FC4">
            <w:pPr>
              <w:pStyle w:val="ListParagraph"/>
              <w:numPr>
                <w:ilvl w:val="0"/>
                <w:numId w:val="19"/>
              </w:numPr>
              <w:spacing w:after="0"/>
              <w:jc w:val="both"/>
              <w:rPr>
                <w:rFonts w:ascii="Calibri" w:eastAsia="Times New Roman" w:hAnsi="Calibri" w:cs="Calibri"/>
                <w:color w:val="000000"/>
                <w:sz w:val="18"/>
                <w:szCs w:val="18"/>
              </w:rPr>
            </w:pPr>
            <w:r w:rsidRPr="00322FC4">
              <w:rPr>
                <w:b/>
                <w:sz w:val="18"/>
              </w:rPr>
              <w:t xml:space="preserve">Sucrose test: </w:t>
            </w:r>
            <w:r w:rsidRPr="00322FC4">
              <w:rPr>
                <w:sz w:val="18"/>
              </w:rPr>
              <w:t xml:space="preserve">The study describes how pre-exposure to sucrose/saccharine was performed (if done) and the study describes the sucrose preference test, its frequency and timing. </w:t>
            </w:r>
          </w:p>
        </w:tc>
      </w:tr>
      <w:tr w:rsidR="00C16263" w14:paraId="77A6B316" w14:textId="77777777" w:rsidTr="003438A9">
        <w:tc>
          <w:tcPr>
            <w:tcW w:w="1705" w:type="dxa"/>
            <w:tcBorders>
              <w:top w:val="single" w:sz="4" w:space="0" w:color="auto"/>
              <w:left w:val="single" w:sz="4" w:space="0" w:color="auto"/>
              <w:bottom w:val="single" w:sz="4" w:space="0" w:color="auto"/>
              <w:right w:val="single" w:sz="4" w:space="0" w:color="auto"/>
            </w:tcBorders>
            <w:hideMark/>
          </w:tcPr>
          <w:p w14:paraId="32090638" w14:textId="77777777" w:rsidR="00C16263" w:rsidRDefault="00C16263" w:rsidP="003438A9">
            <w:pPr>
              <w:jc w:val="both"/>
              <w:rPr>
                <w:b/>
                <w:sz w:val="18"/>
              </w:rPr>
            </w:pPr>
            <w:r>
              <w:rPr>
                <w:b/>
                <w:sz w:val="18"/>
              </w:rPr>
              <w:t>Exclusions</w:t>
            </w:r>
          </w:p>
          <w:p w14:paraId="1F407015" w14:textId="77777777" w:rsidR="00C16263" w:rsidRDefault="00C16263" w:rsidP="003438A9">
            <w:pPr>
              <w:jc w:val="both"/>
              <w:rPr>
                <w:b/>
                <w:sz w:val="18"/>
              </w:rPr>
            </w:pPr>
          </w:p>
        </w:tc>
        <w:tc>
          <w:tcPr>
            <w:tcW w:w="7645" w:type="dxa"/>
            <w:tcBorders>
              <w:top w:val="single" w:sz="4" w:space="0" w:color="auto"/>
              <w:left w:val="single" w:sz="4" w:space="0" w:color="auto"/>
              <w:bottom w:val="single" w:sz="4" w:space="0" w:color="auto"/>
              <w:right w:val="single" w:sz="4" w:space="0" w:color="auto"/>
            </w:tcBorders>
            <w:hideMark/>
          </w:tcPr>
          <w:p w14:paraId="06189206" w14:textId="77777777" w:rsidR="00C16263" w:rsidRPr="00322FC4" w:rsidRDefault="00C16263" w:rsidP="00322FC4">
            <w:pPr>
              <w:jc w:val="both"/>
              <w:rPr>
                <w:rFonts w:ascii="Calibri" w:eastAsia="Times New Roman" w:hAnsi="Calibri" w:cs="Calibri"/>
                <w:color w:val="000000"/>
                <w:sz w:val="18"/>
                <w:szCs w:val="18"/>
              </w:rPr>
            </w:pPr>
            <w:r w:rsidRPr="00322FC4">
              <w:rPr>
                <w:sz w:val="18"/>
              </w:rPr>
              <w:t xml:space="preserve">The study clearly indicates within the text or in figures, the exact number of experimental units analyzed for the sucrose preference test. If this number does not match the initial sample, the study explains why the experimental units were not included in the analysis. </w:t>
            </w:r>
          </w:p>
        </w:tc>
      </w:tr>
      <w:tr w:rsidR="00C16263" w14:paraId="39A5D105" w14:textId="77777777" w:rsidTr="003438A9">
        <w:tc>
          <w:tcPr>
            <w:tcW w:w="1705" w:type="dxa"/>
            <w:tcBorders>
              <w:top w:val="single" w:sz="4" w:space="0" w:color="auto"/>
              <w:left w:val="single" w:sz="4" w:space="0" w:color="auto"/>
              <w:bottom w:val="single" w:sz="4" w:space="0" w:color="auto"/>
              <w:right w:val="single" w:sz="4" w:space="0" w:color="auto"/>
            </w:tcBorders>
          </w:tcPr>
          <w:p w14:paraId="51315B10" w14:textId="77777777" w:rsidR="00C16263" w:rsidRDefault="00C16263" w:rsidP="003438A9">
            <w:pPr>
              <w:jc w:val="both"/>
              <w:rPr>
                <w:b/>
                <w:sz w:val="18"/>
              </w:rPr>
            </w:pPr>
            <w:r>
              <w:rPr>
                <w:b/>
                <w:sz w:val="18"/>
              </w:rPr>
              <w:t>Results</w:t>
            </w:r>
          </w:p>
          <w:p w14:paraId="6D7F4941" w14:textId="77777777" w:rsidR="00C16263" w:rsidRDefault="00C16263" w:rsidP="003438A9">
            <w:pPr>
              <w:jc w:val="both"/>
              <w:rPr>
                <w:b/>
                <w:sz w:val="18"/>
              </w:rPr>
            </w:pPr>
          </w:p>
        </w:tc>
        <w:tc>
          <w:tcPr>
            <w:tcW w:w="7645" w:type="dxa"/>
            <w:tcBorders>
              <w:top w:val="single" w:sz="4" w:space="0" w:color="auto"/>
              <w:left w:val="single" w:sz="4" w:space="0" w:color="auto"/>
              <w:bottom w:val="single" w:sz="4" w:space="0" w:color="auto"/>
              <w:right w:val="single" w:sz="4" w:space="0" w:color="auto"/>
            </w:tcBorders>
          </w:tcPr>
          <w:p w14:paraId="472A37A7" w14:textId="17F5E961" w:rsidR="00C16263" w:rsidRDefault="00C16263" w:rsidP="008C1455">
            <w:pPr>
              <w:jc w:val="both"/>
              <w:rPr>
                <w:sz w:val="18"/>
              </w:rPr>
            </w:pPr>
            <w:r>
              <w:rPr>
                <w:sz w:val="18"/>
              </w:rPr>
              <w:t>Data of the SPT with descriptive statistics (group sizes, measures of central tendency and a measure of variability</w:t>
            </w:r>
            <w:r w:rsidR="008C1455">
              <w:rPr>
                <w:sz w:val="18"/>
              </w:rPr>
              <w:t>)</w:t>
            </w:r>
            <w:r>
              <w:rPr>
                <w:sz w:val="18"/>
              </w:rPr>
              <w:t xml:space="preserve"> for all groups is reported within the text, in tables or graphs, or in a supplementary file. </w:t>
            </w:r>
          </w:p>
        </w:tc>
      </w:tr>
      <w:tr w:rsidR="00C16263" w14:paraId="405238C1" w14:textId="77777777" w:rsidTr="003438A9">
        <w:tc>
          <w:tcPr>
            <w:tcW w:w="1705" w:type="dxa"/>
            <w:tcBorders>
              <w:top w:val="single" w:sz="4" w:space="0" w:color="auto"/>
              <w:left w:val="single" w:sz="4" w:space="0" w:color="auto"/>
              <w:bottom w:val="single" w:sz="4" w:space="0" w:color="auto"/>
              <w:right w:val="single" w:sz="4" w:space="0" w:color="auto"/>
            </w:tcBorders>
          </w:tcPr>
          <w:p w14:paraId="29506E01" w14:textId="77777777" w:rsidR="00C16263" w:rsidRDefault="00C16263" w:rsidP="003438A9">
            <w:pPr>
              <w:jc w:val="both"/>
              <w:rPr>
                <w:b/>
                <w:sz w:val="18"/>
              </w:rPr>
            </w:pPr>
          </w:p>
        </w:tc>
        <w:tc>
          <w:tcPr>
            <w:tcW w:w="7645" w:type="dxa"/>
            <w:tcBorders>
              <w:top w:val="single" w:sz="4" w:space="0" w:color="auto"/>
              <w:left w:val="single" w:sz="4" w:space="0" w:color="auto"/>
              <w:bottom w:val="single" w:sz="4" w:space="0" w:color="auto"/>
              <w:right w:val="single" w:sz="4" w:space="0" w:color="auto"/>
            </w:tcBorders>
          </w:tcPr>
          <w:p w14:paraId="0D98F741" w14:textId="77777777" w:rsidR="00C16263" w:rsidRDefault="00C16263" w:rsidP="003438A9">
            <w:pPr>
              <w:jc w:val="both"/>
              <w:rPr>
                <w:sz w:val="18"/>
              </w:rPr>
            </w:pPr>
          </w:p>
        </w:tc>
      </w:tr>
    </w:tbl>
    <w:p w14:paraId="2D580A2C" w14:textId="77777777" w:rsidR="00C16263" w:rsidRDefault="00C16263" w:rsidP="00C16263">
      <w:pPr>
        <w:pStyle w:val="BodyText"/>
      </w:pPr>
      <w:r>
        <w:t xml:space="preserve">Access to the data: </w:t>
      </w:r>
      <w:r>
        <w:rPr>
          <w:i/>
          <w:iCs/>
        </w:rPr>
        <w:t>(OSF: “QR_Final.xlsx”)</w:t>
      </w:r>
    </w:p>
    <w:bookmarkEnd w:id="9"/>
    <w:p w14:paraId="258B0D75" w14:textId="77777777" w:rsidR="00C16263" w:rsidRDefault="00C16263" w:rsidP="00C16263">
      <w:pPr>
        <w:pStyle w:val="Heading3"/>
      </w:pPr>
      <w:r>
        <w:rPr>
          <w:i/>
          <w:iCs/>
        </w:rPr>
        <w:lastRenderedPageBreak/>
        <w:t>Risk of bias</w:t>
      </w:r>
    </w:p>
    <w:p w14:paraId="62900251" w14:textId="68911ABB" w:rsidR="00C16263" w:rsidRDefault="00C16263" w:rsidP="00C16263">
      <w:pPr>
        <w:pStyle w:val="FirstParagraph"/>
      </w:pPr>
      <w:r>
        <w:rPr>
          <w:b/>
          <w:bCs/>
        </w:rPr>
        <w:t>Supplementary Table 5</w:t>
      </w:r>
      <w:r>
        <w:t xml:space="preserve">. </w:t>
      </w:r>
      <w:r w:rsidRPr="00C16263">
        <w:rPr>
          <w:i/>
          <w:iCs/>
        </w:rPr>
        <w:t>Risk of Bias checklist.</w:t>
      </w:r>
      <w:r>
        <w:t xml:space="preserve"> Attrition and reporting biases were assessed as single items.</w:t>
      </w:r>
    </w:p>
    <w:tbl>
      <w:tblPr>
        <w:tblStyle w:val="TableGrid"/>
        <w:tblW w:w="0" w:type="auto"/>
        <w:tblInd w:w="0" w:type="dxa"/>
        <w:tblLook w:val="04A0" w:firstRow="1" w:lastRow="0" w:firstColumn="1" w:lastColumn="0" w:noHBand="0" w:noVBand="1"/>
      </w:tblPr>
      <w:tblGrid>
        <w:gridCol w:w="2862"/>
        <w:gridCol w:w="2859"/>
        <w:gridCol w:w="3629"/>
      </w:tblGrid>
      <w:tr w:rsidR="00C16263" w14:paraId="5BF3D57C" w14:textId="77777777" w:rsidTr="003438A9">
        <w:tc>
          <w:tcPr>
            <w:tcW w:w="9350" w:type="dxa"/>
            <w:gridSpan w:val="3"/>
            <w:tcBorders>
              <w:top w:val="single" w:sz="4" w:space="0" w:color="auto"/>
              <w:left w:val="single" w:sz="4" w:space="0" w:color="auto"/>
              <w:bottom w:val="single" w:sz="4" w:space="0" w:color="auto"/>
              <w:right w:val="single" w:sz="4" w:space="0" w:color="auto"/>
            </w:tcBorders>
            <w:hideMark/>
          </w:tcPr>
          <w:p w14:paraId="49B5BBD6" w14:textId="1AD4C35F" w:rsidR="00C16263" w:rsidRDefault="00C16263" w:rsidP="003438A9">
            <w:pPr>
              <w:pStyle w:val="Heading2"/>
              <w:jc w:val="center"/>
              <w:outlineLvl w:val="1"/>
            </w:pPr>
            <w:r>
              <w:t>Risk of bias (modified from SYRCLE</w:t>
            </w:r>
            <w:r w:rsidR="009266B5">
              <w:t>’s risk of bias tool for animal studies</w:t>
            </w:r>
            <w:r>
              <w:t>)</w:t>
            </w:r>
          </w:p>
        </w:tc>
      </w:tr>
      <w:tr w:rsidR="00C16263" w14:paraId="21C28041" w14:textId="77777777" w:rsidTr="001D4D21">
        <w:tc>
          <w:tcPr>
            <w:tcW w:w="2708" w:type="dxa"/>
            <w:tcBorders>
              <w:top w:val="single" w:sz="4" w:space="0" w:color="auto"/>
              <w:left w:val="single" w:sz="4" w:space="0" w:color="auto"/>
              <w:bottom w:val="single" w:sz="4" w:space="0" w:color="auto"/>
              <w:right w:val="single" w:sz="4" w:space="0" w:color="auto"/>
            </w:tcBorders>
            <w:hideMark/>
          </w:tcPr>
          <w:p w14:paraId="3451E099" w14:textId="77777777" w:rsidR="00C16263" w:rsidRDefault="00C16263" w:rsidP="003438A9">
            <w:pPr>
              <w:pStyle w:val="Heading2"/>
              <w:jc w:val="center"/>
              <w:outlineLvl w:val="1"/>
            </w:pPr>
            <w:r>
              <w:t>Bias</w:t>
            </w:r>
          </w:p>
        </w:tc>
        <w:tc>
          <w:tcPr>
            <w:tcW w:w="2788" w:type="dxa"/>
            <w:tcBorders>
              <w:top w:val="single" w:sz="4" w:space="0" w:color="auto"/>
              <w:left w:val="single" w:sz="4" w:space="0" w:color="auto"/>
              <w:bottom w:val="single" w:sz="4" w:space="0" w:color="auto"/>
              <w:right w:val="single" w:sz="4" w:space="0" w:color="auto"/>
            </w:tcBorders>
            <w:hideMark/>
          </w:tcPr>
          <w:p w14:paraId="44220C4C" w14:textId="77777777" w:rsidR="00C16263" w:rsidRDefault="00C16263" w:rsidP="003438A9">
            <w:pPr>
              <w:pStyle w:val="Heading2"/>
              <w:jc w:val="center"/>
              <w:outlineLvl w:val="1"/>
            </w:pPr>
            <w:r>
              <w:t>Item</w:t>
            </w:r>
          </w:p>
        </w:tc>
        <w:tc>
          <w:tcPr>
            <w:tcW w:w="3854" w:type="dxa"/>
            <w:tcBorders>
              <w:top w:val="single" w:sz="4" w:space="0" w:color="auto"/>
              <w:left w:val="single" w:sz="4" w:space="0" w:color="auto"/>
              <w:bottom w:val="single" w:sz="4" w:space="0" w:color="auto"/>
              <w:right w:val="single" w:sz="4" w:space="0" w:color="auto"/>
            </w:tcBorders>
            <w:hideMark/>
          </w:tcPr>
          <w:p w14:paraId="693E9AB8" w14:textId="77777777" w:rsidR="00C16263" w:rsidRDefault="00C16263" w:rsidP="003438A9">
            <w:pPr>
              <w:pStyle w:val="Heading2"/>
              <w:jc w:val="center"/>
              <w:outlineLvl w:val="1"/>
            </w:pPr>
            <w:r>
              <w:t>Signaling questions</w:t>
            </w:r>
          </w:p>
        </w:tc>
      </w:tr>
      <w:tr w:rsidR="00C16263" w14:paraId="12F4E9E2" w14:textId="77777777" w:rsidTr="001D4D21">
        <w:tc>
          <w:tcPr>
            <w:tcW w:w="2708" w:type="dxa"/>
            <w:vMerge w:val="restart"/>
            <w:tcBorders>
              <w:top w:val="single" w:sz="4" w:space="0" w:color="auto"/>
              <w:left w:val="single" w:sz="4" w:space="0" w:color="auto"/>
              <w:bottom w:val="single" w:sz="4" w:space="0" w:color="auto"/>
              <w:right w:val="single" w:sz="4" w:space="0" w:color="auto"/>
            </w:tcBorders>
            <w:hideMark/>
          </w:tcPr>
          <w:p w14:paraId="3DBEF74F" w14:textId="77777777" w:rsidR="00C16263" w:rsidRDefault="00C16263" w:rsidP="003438A9">
            <w:pPr>
              <w:pStyle w:val="Heading3"/>
              <w:outlineLvl w:val="2"/>
            </w:pPr>
            <w:r>
              <w:t>Selection</w:t>
            </w:r>
          </w:p>
        </w:tc>
        <w:tc>
          <w:tcPr>
            <w:tcW w:w="2788" w:type="dxa"/>
            <w:tcBorders>
              <w:top w:val="single" w:sz="4" w:space="0" w:color="auto"/>
              <w:left w:val="single" w:sz="4" w:space="0" w:color="auto"/>
              <w:bottom w:val="single" w:sz="4" w:space="0" w:color="auto"/>
              <w:right w:val="single" w:sz="4" w:space="0" w:color="auto"/>
            </w:tcBorders>
          </w:tcPr>
          <w:p w14:paraId="6222664B" w14:textId="77777777" w:rsidR="00C16263" w:rsidRDefault="00C16263" w:rsidP="003438A9">
            <w:r>
              <w:rPr>
                <w:rFonts w:ascii="Calibri" w:eastAsia="Times New Roman" w:hAnsi="Calibri" w:cs="Calibri"/>
                <w:b/>
                <w:color w:val="000000"/>
                <w:sz w:val="20"/>
              </w:rPr>
              <w:t>Randomization</w:t>
            </w:r>
          </w:p>
        </w:tc>
        <w:tc>
          <w:tcPr>
            <w:tcW w:w="3854" w:type="dxa"/>
            <w:tcBorders>
              <w:top w:val="single" w:sz="4" w:space="0" w:color="auto"/>
              <w:left w:val="single" w:sz="4" w:space="0" w:color="auto"/>
              <w:bottom w:val="single" w:sz="4" w:space="0" w:color="auto"/>
              <w:right w:val="single" w:sz="4" w:space="0" w:color="auto"/>
            </w:tcBorders>
            <w:hideMark/>
          </w:tcPr>
          <w:p w14:paraId="5CBB27DB" w14:textId="77777777" w:rsidR="00C16263" w:rsidRDefault="00C16263" w:rsidP="003438A9">
            <w:r>
              <w:rPr>
                <w:rFonts w:ascii="Calibri" w:eastAsia="Times New Roman" w:hAnsi="Calibri" w:cs="Calibri"/>
                <w:color w:val="000000"/>
                <w:sz w:val="20"/>
              </w:rPr>
              <w:t>Did the investigators describe a random component in the allocation of experimental units?</w:t>
            </w:r>
          </w:p>
        </w:tc>
      </w:tr>
      <w:tr w:rsidR="00C16263" w14:paraId="67951DE8" w14:textId="77777777" w:rsidTr="001D4D21">
        <w:tc>
          <w:tcPr>
            <w:tcW w:w="0" w:type="auto"/>
            <w:vMerge/>
            <w:tcBorders>
              <w:top w:val="single" w:sz="4" w:space="0" w:color="auto"/>
              <w:left w:val="single" w:sz="4" w:space="0" w:color="auto"/>
              <w:bottom w:val="single" w:sz="4" w:space="0" w:color="auto"/>
              <w:right w:val="single" w:sz="4" w:space="0" w:color="auto"/>
            </w:tcBorders>
            <w:vAlign w:val="center"/>
            <w:hideMark/>
          </w:tcPr>
          <w:p w14:paraId="58BD371A" w14:textId="77777777" w:rsidR="00C16263" w:rsidRDefault="00C16263" w:rsidP="003438A9">
            <w:pPr>
              <w:rPr>
                <w:rFonts w:asciiTheme="majorHAnsi" w:eastAsiaTheme="majorEastAsia" w:hAnsiTheme="majorHAnsi" w:cstheme="majorBidi"/>
                <w:color w:val="243F60" w:themeColor="accent1" w:themeShade="7F"/>
              </w:rPr>
            </w:pPr>
          </w:p>
        </w:tc>
        <w:tc>
          <w:tcPr>
            <w:tcW w:w="2788" w:type="dxa"/>
            <w:tcBorders>
              <w:top w:val="single" w:sz="4" w:space="0" w:color="auto"/>
              <w:left w:val="single" w:sz="4" w:space="0" w:color="auto"/>
              <w:bottom w:val="single" w:sz="4" w:space="0" w:color="auto"/>
              <w:right w:val="single" w:sz="4" w:space="0" w:color="auto"/>
            </w:tcBorders>
            <w:hideMark/>
          </w:tcPr>
          <w:p w14:paraId="6DF7BC88" w14:textId="77777777" w:rsidR="00C16263" w:rsidRPr="00190675" w:rsidRDefault="00C16263" w:rsidP="003438A9">
            <w:pPr>
              <w:pStyle w:val="Heading3"/>
              <w:outlineLvl w:val="2"/>
            </w:pPr>
            <w:r w:rsidRPr="00190675">
              <w:rPr>
                <w:rFonts w:ascii="Calibri" w:eastAsia="Times New Roman" w:hAnsi="Calibri" w:cs="Calibri"/>
                <w:bCs w:val="0"/>
                <w:color w:val="000000" w:themeColor="text1"/>
                <w:sz w:val="20"/>
              </w:rPr>
              <w:t>Sequence</w:t>
            </w:r>
          </w:p>
        </w:tc>
        <w:tc>
          <w:tcPr>
            <w:tcW w:w="3854" w:type="dxa"/>
            <w:tcBorders>
              <w:top w:val="single" w:sz="4" w:space="0" w:color="auto"/>
              <w:left w:val="single" w:sz="4" w:space="0" w:color="auto"/>
              <w:bottom w:val="single" w:sz="4" w:space="0" w:color="auto"/>
              <w:right w:val="single" w:sz="4" w:space="0" w:color="auto"/>
            </w:tcBorders>
            <w:hideMark/>
          </w:tcPr>
          <w:p w14:paraId="54089050" w14:textId="77777777" w:rsidR="00C16263" w:rsidRDefault="00C16263" w:rsidP="003438A9">
            <w:r>
              <w:rPr>
                <w:rFonts w:ascii="Calibri" w:eastAsia="Times New Roman" w:hAnsi="Calibri" w:cs="Calibri"/>
                <w:color w:val="000000" w:themeColor="text1"/>
                <w:sz w:val="20"/>
              </w:rPr>
              <w:t xml:space="preserve">Did the investigators use a clear strategy to allocate the experimental units? </w:t>
            </w:r>
          </w:p>
        </w:tc>
      </w:tr>
      <w:tr w:rsidR="00C16263" w14:paraId="73154016" w14:textId="77777777" w:rsidTr="001D4D21">
        <w:tc>
          <w:tcPr>
            <w:tcW w:w="0" w:type="auto"/>
            <w:vMerge/>
            <w:tcBorders>
              <w:top w:val="single" w:sz="4" w:space="0" w:color="auto"/>
              <w:left w:val="single" w:sz="4" w:space="0" w:color="auto"/>
              <w:bottom w:val="single" w:sz="4" w:space="0" w:color="auto"/>
              <w:right w:val="single" w:sz="4" w:space="0" w:color="auto"/>
            </w:tcBorders>
            <w:vAlign w:val="center"/>
            <w:hideMark/>
          </w:tcPr>
          <w:p w14:paraId="5EA94D1B" w14:textId="77777777" w:rsidR="00C16263" w:rsidRDefault="00C16263" w:rsidP="003438A9">
            <w:pPr>
              <w:rPr>
                <w:rFonts w:asciiTheme="majorHAnsi" w:eastAsiaTheme="majorEastAsia" w:hAnsiTheme="majorHAnsi" w:cstheme="majorBidi"/>
                <w:color w:val="243F60" w:themeColor="accent1" w:themeShade="7F"/>
              </w:rPr>
            </w:pPr>
          </w:p>
        </w:tc>
        <w:tc>
          <w:tcPr>
            <w:tcW w:w="2788" w:type="dxa"/>
            <w:tcBorders>
              <w:top w:val="single" w:sz="4" w:space="0" w:color="auto"/>
              <w:left w:val="single" w:sz="4" w:space="0" w:color="auto"/>
              <w:bottom w:val="single" w:sz="4" w:space="0" w:color="auto"/>
              <w:right w:val="single" w:sz="4" w:space="0" w:color="auto"/>
            </w:tcBorders>
          </w:tcPr>
          <w:p w14:paraId="2000005E" w14:textId="77777777" w:rsidR="00C16263" w:rsidRDefault="00C16263" w:rsidP="003438A9">
            <w:pPr>
              <w:rPr>
                <w:rFonts w:ascii="Calibri" w:eastAsia="Times New Roman" w:hAnsi="Calibri" w:cs="Calibri"/>
                <w:b/>
                <w:bCs/>
                <w:color w:val="000000"/>
                <w:sz w:val="20"/>
              </w:rPr>
            </w:pPr>
            <w:r>
              <w:rPr>
                <w:rFonts w:ascii="Calibri" w:eastAsia="Times New Roman" w:hAnsi="Calibri" w:cs="Calibri"/>
                <w:b/>
                <w:bCs/>
                <w:color w:val="000000"/>
                <w:sz w:val="20"/>
              </w:rPr>
              <w:t>Allocation concealment</w:t>
            </w:r>
          </w:p>
          <w:p w14:paraId="3B1ADDC8" w14:textId="77777777" w:rsidR="00C16263" w:rsidRDefault="00C16263" w:rsidP="003438A9">
            <w:pPr>
              <w:pStyle w:val="Heading3"/>
              <w:outlineLvl w:val="2"/>
              <w:rPr>
                <w:b w:val="0"/>
                <w:bCs w:val="0"/>
                <w:color w:val="243F60" w:themeColor="accent1" w:themeShade="7F"/>
              </w:rPr>
            </w:pPr>
          </w:p>
        </w:tc>
        <w:tc>
          <w:tcPr>
            <w:tcW w:w="3854" w:type="dxa"/>
            <w:tcBorders>
              <w:top w:val="single" w:sz="4" w:space="0" w:color="auto"/>
              <w:left w:val="single" w:sz="4" w:space="0" w:color="auto"/>
              <w:bottom w:val="single" w:sz="4" w:space="0" w:color="auto"/>
              <w:right w:val="single" w:sz="4" w:space="0" w:color="auto"/>
            </w:tcBorders>
            <w:hideMark/>
          </w:tcPr>
          <w:p w14:paraId="10BB0E03" w14:textId="77777777" w:rsidR="00C16263" w:rsidRDefault="00C16263" w:rsidP="003438A9">
            <w:r>
              <w:rPr>
                <w:rFonts w:ascii="Calibri" w:eastAsia="Times New Roman" w:hAnsi="Calibri" w:cs="Calibri"/>
                <w:color w:val="000000"/>
                <w:sz w:val="20"/>
              </w:rPr>
              <w:t>Was the allocation sequence (the group each individual animal is to be allocated to) adequately concealed from the experimenter prior to the allocation?</w:t>
            </w:r>
          </w:p>
        </w:tc>
      </w:tr>
      <w:tr w:rsidR="00C16263" w14:paraId="38770C50" w14:textId="77777777" w:rsidTr="001D4D21">
        <w:tc>
          <w:tcPr>
            <w:tcW w:w="0" w:type="auto"/>
            <w:vMerge/>
            <w:tcBorders>
              <w:top w:val="single" w:sz="4" w:space="0" w:color="auto"/>
              <w:left w:val="single" w:sz="4" w:space="0" w:color="auto"/>
              <w:bottom w:val="single" w:sz="4" w:space="0" w:color="auto"/>
              <w:right w:val="single" w:sz="4" w:space="0" w:color="auto"/>
            </w:tcBorders>
            <w:vAlign w:val="center"/>
            <w:hideMark/>
          </w:tcPr>
          <w:p w14:paraId="11487246" w14:textId="77777777" w:rsidR="00C16263" w:rsidRDefault="00C16263" w:rsidP="003438A9">
            <w:pPr>
              <w:rPr>
                <w:rFonts w:asciiTheme="majorHAnsi" w:eastAsiaTheme="majorEastAsia" w:hAnsiTheme="majorHAnsi" w:cstheme="majorBidi"/>
                <w:color w:val="243F60" w:themeColor="accent1" w:themeShade="7F"/>
              </w:rPr>
            </w:pPr>
          </w:p>
        </w:tc>
        <w:tc>
          <w:tcPr>
            <w:tcW w:w="2788" w:type="dxa"/>
            <w:tcBorders>
              <w:top w:val="single" w:sz="4" w:space="0" w:color="auto"/>
              <w:left w:val="single" w:sz="4" w:space="0" w:color="auto"/>
              <w:bottom w:val="single" w:sz="4" w:space="0" w:color="auto"/>
              <w:right w:val="single" w:sz="4" w:space="0" w:color="auto"/>
            </w:tcBorders>
            <w:hideMark/>
          </w:tcPr>
          <w:p w14:paraId="235498A9" w14:textId="77777777" w:rsidR="00C16263" w:rsidRPr="00364859" w:rsidRDefault="00C16263" w:rsidP="003438A9">
            <w:pPr>
              <w:pStyle w:val="Heading3"/>
              <w:outlineLvl w:val="2"/>
            </w:pPr>
            <w:r w:rsidRPr="00364859">
              <w:rPr>
                <w:rFonts w:ascii="Calibri" w:eastAsia="Times New Roman" w:hAnsi="Calibri" w:cs="Calibri"/>
                <w:bCs w:val="0"/>
                <w:color w:val="000000"/>
                <w:sz w:val="20"/>
              </w:rPr>
              <w:t>Baseline Characteristics</w:t>
            </w:r>
          </w:p>
        </w:tc>
        <w:tc>
          <w:tcPr>
            <w:tcW w:w="3854" w:type="dxa"/>
            <w:tcBorders>
              <w:top w:val="single" w:sz="4" w:space="0" w:color="auto"/>
              <w:left w:val="single" w:sz="4" w:space="0" w:color="auto"/>
              <w:bottom w:val="single" w:sz="4" w:space="0" w:color="auto"/>
              <w:right w:val="single" w:sz="4" w:space="0" w:color="auto"/>
            </w:tcBorders>
            <w:hideMark/>
          </w:tcPr>
          <w:p w14:paraId="7F714BD4" w14:textId="77777777" w:rsidR="00C16263" w:rsidRDefault="00C16263" w:rsidP="003438A9">
            <w:r>
              <w:rPr>
                <w:rFonts w:ascii="Calibri" w:eastAsia="Times New Roman" w:hAnsi="Calibri" w:cs="Calibri"/>
                <w:color w:val="000000"/>
                <w:sz w:val="20"/>
              </w:rPr>
              <w:t>Was the distribution of sex, weight, sucrose preference (Baseline SPT) balanced for the intervention and control groups? (Either matched at the beginning or reported in the results).</w:t>
            </w:r>
          </w:p>
        </w:tc>
      </w:tr>
      <w:tr w:rsidR="00C16263" w14:paraId="4E587478" w14:textId="77777777" w:rsidTr="001D4D21">
        <w:tc>
          <w:tcPr>
            <w:tcW w:w="2708" w:type="dxa"/>
            <w:vMerge w:val="restart"/>
            <w:tcBorders>
              <w:top w:val="single" w:sz="4" w:space="0" w:color="auto"/>
              <w:left w:val="single" w:sz="4" w:space="0" w:color="auto"/>
              <w:bottom w:val="single" w:sz="4" w:space="0" w:color="auto"/>
              <w:right w:val="single" w:sz="4" w:space="0" w:color="auto"/>
            </w:tcBorders>
            <w:hideMark/>
          </w:tcPr>
          <w:p w14:paraId="4A201C1F" w14:textId="77777777" w:rsidR="00C16263" w:rsidRDefault="00C16263" w:rsidP="003438A9">
            <w:pPr>
              <w:pStyle w:val="Heading3"/>
              <w:outlineLvl w:val="2"/>
            </w:pPr>
            <w:r>
              <w:t>Performance</w:t>
            </w:r>
          </w:p>
        </w:tc>
        <w:tc>
          <w:tcPr>
            <w:tcW w:w="2788" w:type="dxa"/>
            <w:tcBorders>
              <w:top w:val="single" w:sz="4" w:space="0" w:color="auto"/>
              <w:left w:val="single" w:sz="4" w:space="0" w:color="auto"/>
              <w:bottom w:val="single" w:sz="4" w:space="0" w:color="auto"/>
              <w:right w:val="single" w:sz="4" w:space="0" w:color="auto"/>
            </w:tcBorders>
          </w:tcPr>
          <w:p w14:paraId="4CE3C0E8" w14:textId="77777777" w:rsidR="00C16263" w:rsidRDefault="00C16263" w:rsidP="003438A9">
            <w:r>
              <w:rPr>
                <w:rFonts w:ascii="Calibri" w:eastAsia="Times New Roman" w:hAnsi="Calibri" w:cs="Calibri"/>
                <w:b/>
                <w:bCs/>
                <w:color w:val="000000"/>
                <w:sz w:val="20"/>
              </w:rPr>
              <w:t>Stress exposure</w:t>
            </w:r>
          </w:p>
        </w:tc>
        <w:tc>
          <w:tcPr>
            <w:tcW w:w="3854" w:type="dxa"/>
            <w:tcBorders>
              <w:top w:val="single" w:sz="4" w:space="0" w:color="auto"/>
              <w:left w:val="single" w:sz="4" w:space="0" w:color="auto"/>
              <w:bottom w:val="single" w:sz="4" w:space="0" w:color="auto"/>
              <w:right w:val="single" w:sz="4" w:space="0" w:color="auto"/>
            </w:tcBorders>
            <w:hideMark/>
          </w:tcPr>
          <w:p w14:paraId="586C507B" w14:textId="77777777" w:rsidR="00C16263" w:rsidRDefault="00C16263" w:rsidP="003438A9">
            <w:pPr>
              <w:jc w:val="both"/>
            </w:pPr>
            <w:r>
              <w:rPr>
                <w:rFonts w:ascii="Calibri" w:eastAsia="Times New Roman" w:hAnsi="Calibri" w:cs="Calibri"/>
                <w:color w:val="000000"/>
                <w:sz w:val="20"/>
              </w:rPr>
              <w:t>Were possible confounding factors related to stress exposure accounted for between the control and exposed groups?</w:t>
            </w:r>
          </w:p>
        </w:tc>
      </w:tr>
      <w:tr w:rsidR="00C16263" w14:paraId="743BCD29" w14:textId="77777777" w:rsidTr="001D4D21">
        <w:tc>
          <w:tcPr>
            <w:tcW w:w="0" w:type="auto"/>
            <w:vMerge/>
            <w:tcBorders>
              <w:top w:val="single" w:sz="4" w:space="0" w:color="auto"/>
              <w:left w:val="single" w:sz="4" w:space="0" w:color="auto"/>
              <w:bottom w:val="single" w:sz="4" w:space="0" w:color="auto"/>
              <w:right w:val="single" w:sz="4" w:space="0" w:color="auto"/>
            </w:tcBorders>
            <w:vAlign w:val="center"/>
            <w:hideMark/>
          </w:tcPr>
          <w:p w14:paraId="32790E1D" w14:textId="77777777" w:rsidR="00C16263" w:rsidRDefault="00C16263" w:rsidP="003438A9">
            <w:pPr>
              <w:rPr>
                <w:rFonts w:asciiTheme="majorHAnsi" w:eastAsiaTheme="majorEastAsia" w:hAnsiTheme="majorHAnsi" w:cstheme="majorBidi"/>
                <w:color w:val="243F60" w:themeColor="accent1" w:themeShade="7F"/>
              </w:rPr>
            </w:pPr>
          </w:p>
        </w:tc>
        <w:tc>
          <w:tcPr>
            <w:tcW w:w="2788" w:type="dxa"/>
            <w:tcBorders>
              <w:top w:val="single" w:sz="4" w:space="0" w:color="auto"/>
              <w:left w:val="single" w:sz="4" w:space="0" w:color="auto"/>
              <w:bottom w:val="single" w:sz="4" w:space="0" w:color="auto"/>
              <w:right w:val="single" w:sz="4" w:space="0" w:color="auto"/>
            </w:tcBorders>
          </w:tcPr>
          <w:p w14:paraId="691F454D" w14:textId="77777777" w:rsidR="00C16263" w:rsidRDefault="00C16263" w:rsidP="003438A9">
            <w:pPr>
              <w:rPr>
                <w:rFonts w:ascii="Calibri" w:eastAsia="Times New Roman" w:hAnsi="Calibri" w:cs="Calibri"/>
                <w:sz w:val="20"/>
              </w:rPr>
            </w:pPr>
            <w:r>
              <w:rPr>
                <w:rFonts w:ascii="Calibri" w:eastAsia="Times New Roman" w:hAnsi="Calibri" w:cs="Calibri"/>
                <w:b/>
                <w:sz w:val="20"/>
              </w:rPr>
              <w:t xml:space="preserve">Blinding </w:t>
            </w:r>
          </w:p>
          <w:p w14:paraId="6FB281D9" w14:textId="77777777" w:rsidR="00C16263" w:rsidRDefault="00C16263" w:rsidP="003438A9">
            <w:pPr>
              <w:pStyle w:val="Heading3"/>
              <w:outlineLvl w:val="2"/>
            </w:pPr>
          </w:p>
        </w:tc>
        <w:tc>
          <w:tcPr>
            <w:tcW w:w="3854" w:type="dxa"/>
            <w:tcBorders>
              <w:top w:val="single" w:sz="4" w:space="0" w:color="auto"/>
              <w:left w:val="single" w:sz="4" w:space="0" w:color="auto"/>
              <w:bottom w:val="single" w:sz="4" w:space="0" w:color="auto"/>
              <w:right w:val="single" w:sz="4" w:space="0" w:color="auto"/>
            </w:tcBorders>
            <w:hideMark/>
          </w:tcPr>
          <w:p w14:paraId="2E2C4ABC" w14:textId="77777777" w:rsidR="00C16263" w:rsidRDefault="00C16263" w:rsidP="003438A9">
            <w:r>
              <w:rPr>
                <w:rFonts w:ascii="Calibri" w:eastAsia="Times New Roman" w:hAnsi="Calibri" w:cs="Calibri"/>
                <w:sz w:val="20"/>
              </w:rPr>
              <w:t xml:space="preserve">Studies with antidepressant treatment only: Were the investigators blinded to which intervention (placebo vs active treatment) each animal received during the experiment? </w:t>
            </w:r>
          </w:p>
        </w:tc>
      </w:tr>
      <w:tr w:rsidR="00C16263" w14:paraId="58E01B7E" w14:textId="77777777" w:rsidTr="001D4D21">
        <w:tc>
          <w:tcPr>
            <w:tcW w:w="2708" w:type="dxa"/>
            <w:vMerge w:val="restart"/>
            <w:tcBorders>
              <w:top w:val="single" w:sz="4" w:space="0" w:color="auto"/>
              <w:left w:val="single" w:sz="4" w:space="0" w:color="auto"/>
              <w:right w:val="single" w:sz="4" w:space="0" w:color="auto"/>
            </w:tcBorders>
            <w:hideMark/>
          </w:tcPr>
          <w:p w14:paraId="353A86F2" w14:textId="77777777" w:rsidR="00C16263" w:rsidRDefault="00C16263" w:rsidP="003438A9">
            <w:pPr>
              <w:pStyle w:val="Heading3"/>
              <w:outlineLvl w:val="2"/>
            </w:pPr>
            <w:r>
              <w:t>Detection</w:t>
            </w:r>
          </w:p>
        </w:tc>
        <w:tc>
          <w:tcPr>
            <w:tcW w:w="2788" w:type="dxa"/>
            <w:tcBorders>
              <w:top w:val="single" w:sz="4" w:space="0" w:color="auto"/>
              <w:left w:val="single" w:sz="4" w:space="0" w:color="auto"/>
              <w:bottom w:val="single" w:sz="4" w:space="0" w:color="auto"/>
              <w:right w:val="single" w:sz="4" w:space="0" w:color="auto"/>
            </w:tcBorders>
          </w:tcPr>
          <w:p w14:paraId="2157BEDE" w14:textId="77777777" w:rsidR="00C16263" w:rsidRDefault="00C16263" w:rsidP="003438A9">
            <w:pPr>
              <w:rPr>
                <w:rFonts w:ascii="Calibri" w:eastAsia="Times New Roman" w:hAnsi="Calibri" w:cs="Calibri"/>
                <w:color w:val="000000"/>
                <w:sz w:val="20"/>
              </w:rPr>
            </w:pPr>
            <w:r>
              <w:rPr>
                <w:rFonts w:ascii="Calibri" w:eastAsia="Times New Roman" w:hAnsi="Calibri" w:cs="Calibri"/>
                <w:b/>
                <w:sz w:val="20"/>
              </w:rPr>
              <w:t>Random</w:t>
            </w:r>
            <w:r>
              <w:rPr>
                <w:rFonts w:ascii="Calibri" w:eastAsia="Times New Roman" w:hAnsi="Calibri" w:cs="Calibri"/>
                <w:b/>
                <w:bCs/>
                <w:color w:val="000000"/>
                <w:sz w:val="20"/>
              </w:rPr>
              <w:t xml:space="preserve"> outcome assessment</w:t>
            </w:r>
          </w:p>
          <w:p w14:paraId="3E421308" w14:textId="77777777" w:rsidR="00C16263" w:rsidRDefault="00C16263" w:rsidP="003438A9">
            <w:pPr>
              <w:rPr>
                <w:rFonts w:ascii="Calibri" w:eastAsia="Times New Roman" w:hAnsi="Calibri" w:cs="Calibri"/>
                <w:b/>
                <w:sz w:val="20"/>
              </w:rPr>
            </w:pPr>
          </w:p>
        </w:tc>
        <w:tc>
          <w:tcPr>
            <w:tcW w:w="3854" w:type="dxa"/>
            <w:tcBorders>
              <w:top w:val="single" w:sz="4" w:space="0" w:color="auto"/>
              <w:left w:val="single" w:sz="4" w:space="0" w:color="auto"/>
              <w:bottom w:val="single" w:sz="4" w:space="0" w:color="auto"/>
              <w:right w:val="single" w:sz="4" w:space="0" w:color="auto"/>
            </w:tcBorders>
            <w:hideMark/>
          </w:tcPr>
          <w:p w14:paraId="07E0DF38" w14:textId="77777777" w:rsidR="00C16263" w:rsidRDefault="00C16263" w:rsidP="003438A9">
            <w:pPr>
              <w:rPr>
                <w:rFonts w:ascii="Calibri" w:eastAsia="Times New Roman" w:hAnsi="Calibri" w:cs="Calibri"/>
                <w:sz w:val="20"/>
              </w:rPr>
            </w:pPr>
            <w:r>
              <w:rPr>
                <w:rFonts w:ascii="Calibri" w:eastAsia="Times New Roman" w:hAnsi="Calibri" w:cs="Calibri"/>
                <w:color w:val="000000"/>
                <w:sz w:val="20"/>
              </w:rPr>
              <w:t>If applicable (studies employing a one-at-a-time testing), did the investigators test the animals in a random order during the outcome assessment?</w:t>
            </w:r>
          </w:p>
        </w:tc>
      </w:tr>
      <w:tr w:rsidR="00C16263" w14:paraId="08FC4478" w14:textId="77777777" w:rsidTr="001D4D21">
        <w:tc>
          <w:tcPr>
            <w:tcW w:w="2708" w:type="dxa"/>
            <w:vMerge/>
            <w:tcBorders>
              <w:left w:val="single" w:sz="4" w:space="0" w:color="auto"/>
              <w:right w:val="single" w:sz="4" w:space="0" w:color="auto"/>
            </w:tcBorders>
          </w:tcPr>
          <w:p w14:paraId="288B9ACC" w14:textId="77777777" w:rsidR="00C16263" w:rsidRDefault="00C16263" w:rsidP="003438A9">
            <w:pPr>
              <w:pStyle w:val="Heading3"/>
              <w:outlineLvl w:val="2"/>
            </w:pPr>
          </w:p>
        </w:tc>
        <w:tc>
          <w:tcPr>
            <w:tcW w:w="2788" w:type="dxa"/>
            <w:tcBorders>
              <w:top w:val="single" w:sz="4" w:space="0" w:color="auto"/>
              <w:left w:val="single" w:sz="4" w:space="0" w:color="auto"/>
              <w:bottom w:val="single" w:sz="4" w:space="0" w:color="auto"/>
              <w:right w:val="single" w:sz="4" w:space="0" w:color="auto"/>
            </w:tcBorders>
            <w:hideMark/>
          </w:tcPr>
          <w:p w14:paraId="0EBE5EC7" w14:textId="77777777" w:rsidR="00C16263" w:rsidRDefault="00C16263" w:rsidP="003438A9">
            <w:pPr>
              <w:rPr>
                <w:rFonts w:ascii="Calibri" w:eastAsia="Times New Roman" w:hAnsi="Calibri" w:cs="Calibri"/>
                <w:b/>
                <w:sz w:val="20"/>
              </w:rPr>
            </w:pPr>
            <w:r>
              <w:rPr>
                <w:rFonts w:ascii="Calibri" w:eastAsia="Times New Roman" w:hAnsi="Calibri" w:cs="Calibri"/>
                <w:b/>
                <w:color w:val="000000"/>
                <w:sz w:val="20"/>
              </w:rPr>
              <w:t>Place preference</w:t>
            </w:r>
          </w:p>
        </w:tc>
        <w:tc>
          <w:tcPr>
            <w:tcW w:w="3854" w:type="dxa"/>
            <w:tcBorders>
              <w:top w:val="single" w:sz="4" w:space="0" w:color="auto"/>
              <w:left w:val="single" w:sz="4" w:space="0" w:color="auto"/>
              <w:bottom w:val="single" w:sz="4" w:space="0" w:color="auto"/>
              <w:right w:val="single" w:sz="4" w:space="0" w:color="auto"/>
            </w:tcBorders>
            <w:hideMark/>
          </w:tcPr>
          <w:p w14:paraId="3846A387" w14:textId="77777777" w:rsidR="00C16263" w:rsidRDefault="00C16263" w:rsidP="003438A9">
            <w:pPr>
              <w:rPr>
                <w:rFonts w:ascii="Calibri" w:eastAsia="Times New Roman" w:hAnsi="Calibri" w:cs="Calibri"/>
                <w:sz w:val="20"/>
              </w:rPr>
            </w:pPr>
            <w:r>
              <w:rPr>
                <w:rFonts w:ascii="Calibri" w:eastAsia="Times New Roman" w:hAnsi="Calibri" w:cs="Calibri"/>
                <w:color w:val="000000"/>
                <w:sz w:val="20"/>
              </w:rPr>
              <w:t xml:space="preserve">Were the bottles counterbalanced during the test to avoid place preference? </w:t>
            </w:r>
          </w:p>
        </w:tc>
      </w:tr>
      <w:tr w:rsidR="00C16263" w14:paraId="05E2E6AE" w14:textId="77777777" w:rsidTr="001D4D21">
        <w:tc>
          <w:tcPr>
            <w:tcW w:w="2708" w:type="dxa"/>
            <w:vMerge/>
            <w:tcBorders>
              <w:left w:val="single" w:sz="4" w:space="0" w:color="auto"/>
              <w:bottom w:val="single" w:sz="4" w:space="0" w:color="auto"/>
              <w:right w:val="single" w:sz="4" w:space="0" w:color="auto"/>
            </w:tcBorders>
          </w:tcPr>
          <w:p w14:paraId="50DB5B93" w14:textId="77777777" w:rsidR="00C16263" w:rsidRDefault="00C16263" w:rsidP="003438A9">
            <w:pPr>
              <w:pStyle w:val="Heading3"/>
              <w:outlineLvl w:val="2"/>
            </w:pPr>
          </w:p>
        </w:tc>
        <w:tc>
          <w:tcPr>
            <w:tcW w:w="2788" w:type="dxa"/>
            <w:tcBorders>
              <w:top w:val="single" w:sz="4" w:space="0" w:color="auto"/>
              <w:left w:val="single" w:sz="4" w:space="0" w:color="auto"/>
              <w:bottom w:val="single" w:sz="4" w:space="0" w:color="auto"/>
              <w:right w:val="single" w:sz="4" w:space="0" w:color="auto"/>
            </w:tcBorders>
            <w:hideMark/>
          </w:tcPr>
          <w:p w14:paraId="0A550826" w14:textId="77777777" w:rsidR="00C16263" w:rsidRDefault="00C16263" w:rsidP="003438A9">
            <w:pPr>
              <w:rPr>
                <w:rFonts w:ascii="Calibri" w:eastAsia="Times New Roman" w:hAnsi="Calibri" w:cs="Calibri"/>
                <w:b/>
                <w:sz w:val="20"/>
              </w:rPr>
            </w:pPr>
            <w:r>
              <w:rPr>
                <w:rFonts w:ascii="Calibri" w:eastAsia="Times New Roman" w:hAnsi="Calibri" w:cs="Calibri"/>
                <w:b/>
                <w:bCs/>
                <w:color w:val="000000"/>
                <w:sz w:val="20"/>
              </w:rPr>
              <w:t>Blinding</w:t>
            </w:r>
          </w:p>
        </w:tc>
        <w:tc>
          <w:tcPr>
            <w:tcW w:w="3854" w:type="dxa"/>
            <w:tcBorders>
              <w:top w:val="single" w:sz="4" w:space="0" w:color="auto"/>
              <w:left w:val="single" w:sz="4" w:space="0" w:color="auto"/>
              <w:bottom w:val="single" w:sz="4" w:space="0" w:color="auto"/>
              <w:right w:val="single" w:sz="4" w:space="0" w:color="auto"/>
            </w:tcBorders>
            <w:hideMark/>
          </w:tcPr>
          <w:p w14:paraId="7B2642F0" w14:textId="77777777" w:rsidR="00C16263" w:rsidRDefault="00C16263" w:rsidP="003438A9">
            <w:pPr>
              <w:rPr>
                <w:rFonts w:ascii="Calibri" w:eastAsia="Times New Roman" w:hAnsi="Calibri" w:cs="Calibri"/>
                <w:sz w:val="20"/>
              </w:rPr>
            </w:pPr>
            <w:r>
              <w:rPr>
                <w:rFonts w:ascii="Calibri" w:eastAsia="Times New Roman" w:hAnsi="Calibri" w:cs="Calibri"/>
                <w:color w:val="000000"/>
                <w:sz w:val="20"/>
              </w:rPr>
              <w:t>Was blinding of the outcome assessor ensured?</w:t>
            </w:r>
          </w:p>
        </w:tc>
      </w:tr>
      <w:tr w:rsidR="00C16263" w14:paraId="48680F63" w14:textId="77777777" w:rsidTr="001D4D21">
        <w:tc>
          <w:tcPr>
            <w:tcW w:w="2708" w:type="dxa"/>
            <w:tcBorders>
              <w:top w:val="single" w:sz="4" w:space="0" w:color="auto"/>
              <w:left w:val="single" w:sz="4" w:space="0" w:color="auto"/>
              <w:bottom w:val="single" w:sz="4" w:space="0" w:color="auto"/>
              <w:right w:val="single" w:sz="4" w:space="0" w:color="auto"/>
            </w:tcBorders>
            <w:hideMark/>
          </w:tcPr>
          <w:p w14:paraId="6CB84D7E" w14:textId="77777777" w:rsidR="00C16263" w:rsidRDefault="00C16263" w:rsidP="003438A9">
            <w:pPr>
              <w:pStyle w:val="Heading3"/>
              <w:outlineLvl w:val="2"/>
            </w:pPr>
            <w:r>
              <w:t>Attrition</w:t>
            </w:r>
          </w:p>
        </w:tc>
        <w:tc>
          <w:tcPr>
            <w:tcW w:w="2788" w:type="dxa"/>
            <w:tcBorders>
              <w:top w:val="single" w:sz="4" w:space="0" w:color="auto"/>
              <w:left w:val="single" w:sz="4" w:space="0" w:color="auto"/>
              <w:bottom w:val="single" w:sz="4" w:space="0" w:color="auto"/>
              <w:right w:val="single" w:sz="4" w:space="0" w:color="auto"/>
            </w:tcBorders>
            <w:hideMark/>
          </w:tcPr>
          <w:p w14:paraId="7581C206" w14:textId="77777777" w:rsidR="00C16263" w:rsidRDefault="00C16263" w:rsidP="003438A9">
            <w:pPr>
              <w:rPr>
                <w:rFonts w:ascii="Calibri" w:eastAsia="Times New Roman" w:hAnsi="Calibri" w:cs="Calibri"/>
                <w:b/>
                <w:bCs/>
                <w:color w:val="000000"/>
                <w:sz w:val="20"/>
              </w:rPr>
            </w:pPr>
            <w:r>
              <w:rPr>
                <w:rFonts w:ascii="Calibri" w:eastAsia="Times New Roman" w:hAnsi="Calibri" w:cs="Calibri"/>
                <w:b/>
                <w:bCs/>
                <w:color w:val="000000"/>
                <w:sz w:val="20"/>
              </w:rPr>
              <w:t>Attrition</w:t>
            </w:r>
          </w:p>
        </w:tc>
        <w:tc>
          <w:tcPr>
            <w:tcW w:w="3854" w:type="dxa"/>
            <w:tcBorders>
              <w:top w:val="single" w:sz="4" w:space="0" w:color="auto"/>
              <w:left w:val="single" w:sz="4" w:space="0" w:color="auto"/>
              <w:bottom w:val="single" w:sz="4" w:space="0" w:color="auto"/>
              <w:right w:val="single" w:sz="4" w:space="0" w:color="auto"/>
            </w:tcBorders>
            <w:hideMark/>
          </w:tcPr>
          <w:p w14:paraId="0DFD45B6" w14:textId="77777777" w:rsidR="00C16263" w:rsidRDefault="00C16263" w:rsidP="003438A9">
            <w:pPr>
              <w:rPr>
                <w:rFonts w:ascii="Calibri" w:eastAsia="Times New Roman" w:hAnsi="Calibri" w:cs="Calibri"/>
                <w:color w:val="000000"/>
                <w:sz w:val="20"/>
              </w:rPr>
            </w:pPr>
            <w:r>
              <w:rPr>
                <w:rFonts w:ascii="Calibri" w:eastAsia="Times New Roman" w:hAnsi="Calibri" w:cs="Calibri"/>
                <w:color w:val="000000"/>
                <w:sz w:val="20"/>
              </w:rPr>
              <w:t>If there are any missing data, are they adequately explained and dealt with transparently?</w:t>
            </w:r>
          </w:p>
        </w:tc>
      </w:tr>
      <w:tr w:rsidR="00C16263" w14:paraId="20BDF469" w14:textId="77777777" w:rsidTr="001D4D21">
        <w:tc>
          <w:tcPr>
            <w:tcW w:w="2708" w:type="dxa"/>
            <w:tcBorders>
              <w:top w:val="single" w:sz="4" w:space="0" w:color="auto"/>
              <w:left w:val="single" w:sz="4" w:space="0" w:color="auto"/>
              <w:bottom w:val="single" w:sz="4" w:space="0" w:color="auto"/>
              <w:right w:val="single" w:sz="4" w:space="0" w:color="auto"/>
            </w:tcBorders>
            <w:hideMark/>
          </w:tcPr>
          <w:p w14:paraId="5B23329D" w14:textId="77777777" w:rsidR="00C16263" w:rsidRDefault="00C16263" w:rsidP="003438A9">
            <w:pPr>
              <w:pStyle w:val="Heading3"/>
              <w:outlineLvl w:val="2"/>
              <w:rPr>
                <w:color w:val="243F60" w:themeColor="accent1" w:themeShade="7F"/>
              </w:rPr>
            </w:pPr>
            <w:r>
              <w:t>Reporting</w:t>
            </w:r>
          </w:p>
        </w:tc>
        <w:tc>
          <w:tcPr>
            <w:tcW w:w="2788" w:type="dxa"/>
            <w:tcBorders>
              <w:top w:val="single" w:sz="4" w:space="0" w:color="auto"/>
              <w:left w:val="single" w:sz="4" w:space="0" w:color="auto"/>
              <w:bottom w:val="single" w:sz="4" w:space="0" w:color="auto"/>
              <w:right w:val="single" w:sz="4" w:space="0" w:color="auto"/>
            </w:tcBorders>
            <w:hideMark/>
          </w:tcPr>
          <w:p w14:paraId="70598F38" w14:textId="77777777" w:rsidR="00C16263" w:rsidRDefault="00C16263" w:rsidP="003438A9">
            <w:pPr>
              <w:rPr>
                <w:rFonts w:ascii="Calibri" w:eastAsia="Times New Roman" w:hAnsi="Calibri" w:cs="Calibri"/>
                <w:b/>
                <w:bCs/>
                <w:color w:val="000000"/>
                <w:sz w:val="20"/>
              </w:rPr>
            </w:pPr>
            <w:r>
              <w:rPr>
                <w:rFonts w:ascii="Calibri" w:eastAsia="Times New Roman" w:hAnsi="Calibri" w:cs="Calibri"/>
                <w:b/>
                <w:bCs/>
                <w:color w:val="000000"/>
                <w:sz w:val="20"/>
              </w:rPr>
              <w:t xml:space="preserve">Reporting </w:t>
            </w:r>
          </w:p>
        </w:tc>
        <w:tc>
          <w:tcPr>
            <w:tcW w:w="3854" w:type="dxa"/>
            <w:tcBorders>
              <w:top w:val="single" w:sz="4" w:space="0" w:color="auto"/>
              <w:left w:val="single" w:sz="4" w:space="0" w:color="auto"/>
              <w:bottom w:val="single" w:sz="4" w:space="0" w:color="auto"/>
              <w:right w:val="single" w:sz="4" w:space="0" w:color="auto"/>
            </w:tcBorders>
            <w:hideMark/>
          </w:tcPr>
          <w:p w14:paraId="36D83D8C" w14:textId="77777777" w:rsidR="00C16263" w:rsidRDefault="00C16263" w:rsidP="003438A9">
            <w:pPr>
              <w:jc w:val="both"/>
              <w:rPr>
                <w:rFonts w:ascii="Calibri" w:eastAsia="Times New Roman" w:hAnsi="Calibri" w:cs="Calibri"/>
                <w:color w:val="000000"/>
                <w:sz w:val="20"/>
              </w:rPr>
            </w:pPr>
            <w:r>
              <w:rPr>
                <w:rFonts w:ascii="Calibri" w:eastAsia="Times New Roman" w:hAnsi="Calibri" w:cs="Calibri"/>
                <w:color w:val="000000"/>
                <w:sz w:val="20"/>
              </w:rPr>
              <w:t>Does the study report the SPT outcome with descriptive statistics (group sizes, measures of central tendency and a measure of variability) for all groups compared?</w:t>
            </w:r>
          </w:p>
        </w:tc>
      </w:tr>
      <w:tr w:rsidR="00C16263" w14:paraId="35B5A879" w14:textId="77777777" w:rsidTr="003438A9">
        <w:tc>
          <w:tcPr>
            <w:tcW w:w="9350" w:type="dxa"/>
            <w:gridSpan w:val="3"/>
            <w:tcBorders>
              <w:top w:val="single" w:sz="4" w:space="0" w:color="auto"/>
              <w:left w:val="single" w:sz="4" w:space="0" w:color="auto"/>
              <w:bottom w:val="single" w:sz="4" w:space="0" w:color="auto"/>
              <w:right w:val="single" w:sz="4" w:space="0" w:color="auto"/>
            </w:tcBorders>
            <w:hideMark/>
          </w:tcPr>
          <w:p w14:paraId="32561DBD" w14:textId="77777777" w:rsidR="00C16263" w:rsidRPr="00480AB1" w:rsidRDefault="00C16263" w:rsidP="003438A9">
            <w:pPr>
              <w:jc w:val="both"/>
              <w:rPr>
                <w:b/>
                <w:sz w:val="20"/>
                <w:szCs w:val="20"/>
              </w:rPr>
            </w:pPr>
            <w:r w:rsidRPr="00480AB1">
              <w:rPr>
                <w:b/>
                <w:sz w:val="20"/>
                <w:szCs w:val="20"/>
              </w:rPr>
              <w:t>Scoring system:</w:t>
            </w:r>
          </w:p>
          <w:p w14:paraId="2CBF9AFA" w14:textId="77777777" w:rsidR="00C16263" w:rsidRPr="00480AB1" w:rsidRDefault="00C16263" w:rsidP="003438A9">
            <w:pPr>
              <w:jc w:val="both"/>
              <w:rPr>
                <w:sz w:val="20"/>
                <w:szCs w:val="20"/>
              </w:rPr>
            </w:pPr>
            <w:r w:rsidRPr="00480AB1">
              <w:rPr>
                <w:sz w:val="20"/>
                <w:szCs w:val="20"/>
              </w:rPr>
              <w:t xml:space="preserve">Each item  was assessed as </w:t>
            </w:r>
          </w:p>
          <w:tbl>
            <w:tblPr>
              <w:tblW w:w="17180" w:type="dxa"/>
              <w:tblLook w:val="04A0" w:firstRow="1" w:lastRow="0" w:firstColumn="1" w:lastColumn="0" w:noHBand="0" w:noVBand="1"/>
            </w:tblPr>
            <w:tblGrid>
              <w:gridCol w:w="17180"/>
            </w:tblGrid>
            <w:tr w:rsidR="00480AB1" w:rsidRPr="00480AB1" w14:paraId="6E7B2114" w14:textId="77777777" w:rsidTr="003438A9">
              <w:trPr>
                <w:trHeight w:val="288"/>
              </w:trPr>
              <w:tc>
                <w:tcPr>
                  <w:tcW w:w="17180" w:type="dxa"/>
                  <w:tcBorders>
                    <w:top w:val="nil"/>
                    <w:left w:val="nil"/>
                    <w:bottom w:val="nil"/>
                    <w:right w:val="nil"/>
                  </w:tcBorders>
                  <w:shd w:val="clear" w:color="auto" w:fill="auto"/>
                  <w:vAlign w:val="center"/>
                  <w:hideMark/>
                </w:tcPr>
                <w:p w14:paraId="4DA92EF4" w14:textId="77777777" w:rsidR="00C16263" w:rsidRPr="00480AB1" w:rsidRDefault="00C16263" w:rsidP="003438A9">
                  <w:pPr>
                    <w:spacing w:after="0"/>
                    <w:rPr>
                      <w:rFonts w:eastAsia="Times New Roman" w:cs="Calibri"/>
                      <w:sz w:val="20"/>
                      <w:szCs w:val="20"/>
                    </w:rPr>
                  </w:pPr>
                  <w:r w:rsidRPr="00480AB1">
                    <w:rPr>
                      <w:rFonts w:eastAsia="Times New Roman" w:cs="Calibri"/>
                      <w:sz w:val="20"/>
                      <w:szCs w:val="20"/>
                    </w:rPr>
                    <w:t>Yes: explicitly explained in the paper</w:t>
                  </w:r>
                </w:p>
              </w:tc>
            </w:tr>
            <w:tr w:rsidR="00480AB1" w:rsidRPr="00480AB1" w14:paraId="10742BBA" w14:textId="77777777" w:rsidTr="003438A9">
              <w:trPr>
                <w:trHeight w:val="288"/>
              </w:trPr>
              <w:tc>
                <w:tcPr>
                  <w:tcW w:w="17180" w:type="dxa"/>
                  <w:tcBorders>
                    <w:top w:val="nil"/>
                    <w:left w:val="nil"/>
                    <w:bottom w:val="nil"/>
                    <w:right w:val="nil"/>
                  </w:tcBorders>
                  <w:shd w:val="clear" w:color="auto" w:fill="auto"/>
                  <w:vAlign w:val="center"/>
                  <w:hideMark/>
                </w:tcPr>
                <w:p w14:paraId="04B0DF53" w14:textId="77777777" w:rsidR="00C16263" w:rsidRPr="00480AB1" w:rsidRDefault="00C16263" w:rsidP="003438A9">
                  <w:pPr>
                    <w:spacing w:after="0"/>
                    <w:rPr>
                      <w:rFonts w:eastAsia="Times New Roman" w:cs="Calibri"/>
                      <w:sz w:val="20"/>
                      <w:szCs w:val="20"/>
                    </w:rPr>
                  </w:pPr>
                  <w:r w:rsidRPr="00480AB1">
                    <w:rPr>
                      <w:rFonts w:eastAsia="Times New Roman" w:cs="Calibri"/>
                      <w:sz w:val="20"/>
                      <w:szCs w:val="20"/>
                    </w:rPr>
                    <w:lastRenderedPageBreak/>
                    <w:t>No:  explicitly said or easily deduced from the report that it was not done</w:t>
                  </w:r>
                </w:p>
              </w:tc>
            </w:tr>
            <w:tr w:rsidR="00480AB1" w:rsidRPr="00480AB1" w14:paraId="435EDED9" w14:textId="77777777" w:rsidTr="003438A9">
              <w:trPr>
                <w:trHeight w:val="288"/>
              </w:trPr>
              <w:tc>
                <w:tcPr>
                  <w:tcW w:w="17180" w:type="dxa"/>
                  <w:tcBorders>
                    <w:top w:val="nil"/>
                    <w:left w:val="nil"/>
                    <w:bottom w:val="nil"/>
                    <w:right w:val="nil"/>
                  </w:tcBorders>
                  <w:shd w:val="clear" w:color="auto" w:fill="auto"/>
                  <w:vAlign w:val="center"/>
                  <w:hideMark/>
                </w:tcPr>
                <w:p w14:paraId="53BE375D" w14:textId="77777777" w:rsidR="00C16263" w:rsidRPr="00480AB1" w:rsidRDefault="00C16263" w:rsidP="003438A9">
                  <w:pPr>
                    <w:spacing w:after="0"/>
                    <w:rPr>
                      <w:rFonts w:eastAsia="Times New Roman" w:cs="Calibri"/>
                      <w:sz w:val="20"/>
                      <w:szCs w:val="20"/>
                    </w:rPr>
                  </w:pPr>
                  <w:r w:rsidRPr="00480AB1">
                    <w:rPr>
                      <w:rFonts w:eastAsia="Times New Roman" w:cs="Calibri"/>
                      <w:sz w:val="20"/>
                      <w:szCs w:val="20"/>
                    </w:rPr>
                    <w:t xml:space="preserve">Unclear: Not explained and it is hard to judge if this was done or not. </w:t>
                  </w:r>
                </w:p>
              </w:tc>
            </w:tr>
          </w:tbl>
          <w:p w14:paraId="29981289" w14:textId="266B0F11" w:rsidR="00C16263" w:rsidRPr="00480AB1" w:rsidRDefault="00C16263" w:rsidP="003438A9">
            <w:pPr>
              <w:rPr>
                <w:rFonts w:eastAsia="Times New Roman" w:cs="Calibri"/>
                <w:sz w:val="20"/>
                <w:szCs w:val="20"/>
              </w:rPr>
            </w:pPr>
            <w:r w:rsidRPr="00480AB1">
              <w:rPr>
                <w:rFonts w:eastAsia="Times New Roman" w:cs="Calibri"/>
                <w:sz w:val="20"/>
                <w:szCs w:val="20"/>
              </w:rPr>
              <w:t xml:space="preserve">The sum of all items </w:t>
            </w:r>
            <w:r w:rsidR="00B528DF" w:rsidRPr="00480AB1">
              <w:rPr>
                <w:rFonts w:eastAsia="Times New Roman" w:cs="Calibri"/>
                <w:sz w:val="20"/>
                <w:szCs w:val="20"/>
              </w:rPr>
              <w:t xml:space="preserve">answered with a “Yes” </w:t>
            </w:r>
            <w:r w:rsidRPr="00480AB1">
              <w:rPr>
                <w:rFonts w:eastAsia="Times New Roman" w:cs="Calibri"/>
                <w:sz w:val="20"/>
                <w:szCs w:val="20"/>
              </w:rPr>
              <w:t>was considered the risk of bias score.</w:t>
            </w:r>
          </w:p>
          <w:p w14:paraId="4A0BD43B" w14:textId="77777777" w:rsidR="00C16263" w:rsidRPr="00480AB1" w:rsidRDefault="00C16263" w:rsidP="003438A9">
            <w:pPr>
              <w:jc w:val="both"/>
              <w:rPr>
                <w:sz w:val="20"/>
              </w:rPr>
            </w:pPr>
            <w:r w:rsidRPr="00480AB1">
              <w:rPr>
                <w:sz w:val="20"/>
              </w:rPr>
              <w:t xml:space="preserve">A higher number indicates more actions taken to reduce bias. </w:t>
            </w:r>
          </w:p>
          <w:p w14:paraId="47582BFE" w14:textId="742DBC9D" w:rsidR="00C16263" w:rsidRPr="00480AB1" w:rsidRDefault="00C16263" w:rsidP="003438A9">
            <w:pPr>
              <w:jc w:val="both"/>
              <w:rPr>
                <w:sz w:val="20"/>
              </w:rPr>
            </w:pPr>
            <w:r w:rsidRPr="00480AB1">
              <w:rPr>
                <w:sz w:val="20"/>
              </w:rPr>
              <w:t xml:space="preserve">Performance blinding was only assessed for experiments employing an antidepressant treatment. Consequently, the risk of bias score </w:t>
            </w:r>
            <w:r w:rsidR="00054D11" w:rsidRPr="00480AB1">
              <w:rPr>
                <w:sz w:val="20"/>
              </w:rPr>
              <w:t xml:space="preserve">sums to </w:t>
            </w:r>
            <w:r w:rsidRPr="00480AB1">
              <w:rPr>
                <w:sz w:val="20"/>
              </w:rPr>
              <w:t xml:space="preserve">a maximum of 10 in experiments comparing stressed versus control groups, and a maximum of 11 in experiments comparing stressed versus treated groups. </w:t>
            </w:r>
          </w:p>
          <w:p w14:paraId="42D9B9B2" w14:textId="462CFFA5" w:rsidR="00B528DF" w:rsidRDefault="00B528DF" w:rsidP="003438A9">
            <w:pPr>
              <w:jc w:val="both"/>
              <w:rPr>
                <w:rFonts w:ascii="Calibri" w:eastAsia="Times New Roman" w:hAnsi="Calibri" w:cs="Calibri"/>
                <w:color w:val="000000"/>
                <w:sz w:val="20"/>
              </w:rPr>
            </w:pPr>
          </w:p>
        </w:tc>
      </w:tr>
    </w:tbl>
    <w:p w14:paraId="66DAB011" w14:textId="77777777" w:rsidR="001D4D21" w:rsidRDefault="001D4D21" w:rsidP="00B07E35"/>
    <w:p w14:paraId="3661AEEC" w14:textId="46B69E10" w:rsidR="001D4D21" w:rsidRDefault="001D4D21" w:rsidP="001D4D21">
      <w:pPr>
        <w:pStyle w:val="Heading2"/>
      </w:pPr>
      <w:r>
        <w:t>Data synthesis</w:t>
      </w:r>
    </w:p>
    <w:p w14:paraId="5C8060D6" w14:textId="77777777" w:rsidR="001D4D21" w:rsidRDefault="001D4D21" w:rsidP="001D4D21">
      <w:pPr>
        <w:pStyle w:val="FirstParagraph"/>
      </w:pPr>
      <w:r>
        <w:t>The following R packages were used in the data analysis and the graphics:</w:t>
      </w:r>
    </w:p>
    <w:p w14:paraId="440FC80F" w14:textId="14F8DCEB" w:rsidR="001D4D21" w:rsidRDefault="00A50527" w:rsidP="004E5AC3">
      <w:pPr>
        <w:numPr>
          <w:ilvl w:val="0"/>
          <w:numId w:val="24"/>
        </w:numPr>
        <w:jc w:val="both"/>
      </w:pPr>
      <w:r>
        <w:t xml:space="preserve">Package </w:t>
      </w:r>
      <w:proofErr w:type="spellStart"/>
      <w:r w:rsidRPr="00887E12">
        <w:rPr>
          <w:i/>
        </w:rPr>
        <w:t>tidyverse</w:t>
      </w:r>
      <w:proofErr w:type="spellEnd"/>
      <w:r>
        <w:t xml:space="preserve">: </w:t>
      </w:r>
      <w:r w:rsidR="001D4D21">
        <w:t xml:space="preserve">Wickham H, </w:t>
      </w:r>
      <w:proofErr w:type="spellStart"/>
      <w:r w:rsidR="001D4D21">
        <w:t>Averick</w:t>
      </w:r>
      <w:proofErr w:type="spellEnd"/>
      <w:r w:rsidR="001D4D21">
        <w:t xml:space="preserve"> M, Bryan J, Chang W, McGowan LD, François R, </w:t>
      </w:r>
      <w:proofErr w:type="spellStart"/>
      <w:r w:rsidR="001D4D21">
        <w:t>Grolemund</w:t>
      </w:r>
      <w:proofErr w:type="spellEnd"/>
      <w:r w:rsidR="001D4D21">
        <w:t xml:space="preserve"> G, Hayes A, Henry L, Hester J, Kuhn M, Pedersen TL, Miller E, Bache SM, Müller K, </w:t>
      </w:r>
      <w:proofErr w:type="spellStart"/>
      <w:r w:rsidR="001D4D21">
        <w:t>Ooms</w:t>
      </w:r>
      <w:proofErr w:type="spellEnd"/>
      <w:r w:rsidR="001D4D21">
        <w:t xml:space="preserve"> J, Robinson D, Seidel DP, </w:t>
      </w:r>
      <w:proofErr w:type="spellStart"/>
      <w:r w:rsidR="001D4D21">
        <w:t>Spinu</w:t>
      </w:r>
      <w:proofErr w:type="spellEnd"/>
      <w:r w:rsidR="001D4D21">
        <w:t xml:space="preserve"> V, Takahashi K, Vaughan D, Wilke C, Woo K, </w:t>
      </w:r>
      <w:proofErr w:type="spellStart"/>
      <w:r w:rsidR="001D4D21">
        <w:t>Yutani</w:t>
      </w:r>
      <w:proofErr w:type="spellEnd"/>
      <w:r w:rsidR="001D4D21">
        <w:t xml:space="preserve"> H (2019). “Welcome to the </w:t>
      </w:r>
      <w:proofErr w:type="spellStart"/>
      <w:r w:rsidR="001D4D21" w:rsidRPr="003E33F5">
        <w:rPr>
          <w:i/>
        </w:rPr>
        <w:t>tidyverse</w:t>
      </w:r>
      <w:proofErr w:type="spellEnd"/>
      <w:r w:rsidR="001D4D21">
        <w:t xml:space="preserve">.” </w:t>
      </w:r>
      <w:r w:rsidR="001D4D21">
        <w:rPr>
          <w:i/>
          <w:iCs/>
        </w:rPr>
        <w:t>Journal of Open Source Software</w:t>
      </w:r>
      <w:r w:rsidR="001D4D21">
        <w:t xml:space="preserve">, </w:t>
      </w:r>
      <w:r w:rsidR="001D4D21">
        <w:rPr>
          <w:i/>
          <w:iCs/>
        </w:rPr>
        <w:t>4</w:t>
      </w:r>
      <w:r w:rsidR="001D4D21">
        <w:t xml:space="preserve">(43), 1686. </w:t>
      </w:r>
      <w:hyperlink r:id="rId10">
        <w:r w:rsidR="001D4D21">
          <w:rPr>
            <w:rStyle w:val="Hyperlink"/>
          </w:rPr>
          <w:t>doi:10.21105/joss.01686</w:t>
        </w:r>
      </w:hyperlink>
      <w:r w:rsidR="001D4D21">
        <w:t xml:space="preserve"> </w:t>
      </w:r>
      <w:hyperlink r:id="rId11">
        <w:r w:rsidR="001D4D21">
          <w:rPr>
            <w:rStyle w:val="Hyperlink"/>
          </w:rPr>
          <w:t>https://doi.org/10.21105/joss.01686</w:t>
        </w:r>
      </w:hyperlink>
      <w:r w:rsidR="001D4D21">
        <w:t>.</w:t>
      </w:r>
    </w:p>
    <w:p w14:paraId="2C7ACAE1" w14:textId="423D7477" w:rsidR="001D4D21" w:rsidRDefault="00AB07D3" w:rsidP="004E5AC3">
      <w:pPr>
        <w:pStyle w:val="ListParagraph"/>
        <w:numPr>
          <w:ilvl w:val="0"/>
          <w:numId w:val="24"/>
        </w:numPr>
        <w:jc w:val="both"/>
      </w:pPr>
      <w:r>
        <w:t xml:space="preserve">Package </w:t>
      </w:r>
      <w:proofErr w:type="gramStart"/>
      <w:r w:rsidRPr="00AB07D3">
        <w:rPr>
          <w:i/>
        </w:rPr>
        <w:t>meta</w:t>
      </w:r>
      <w:proofErr w:type="gramEnd"/>
      <w:r>
        <w:t xml:space="preserve">: </w:t>
      </w:r>
      <w:proofErr w:type="spellStart"/>
      <w:r w:rsidR="001D4D21">
        <w:t>Balduzzi</w:t>
      </w:r>
      <w:proofErr w:type="spellEnd"/>
      <w:r w:rsidR="001D4D21">
        <w:t xml:space="preserve"> S, </w:t>
      </w:r>
      <w:proofErr w:type="spellStart"/>
      <w:r w:rsidR="001D4D21">
        <w:t>Rücker</w:t>
      </w:r>
      <w:proofErr w:type="spellEnd"/>
      <w:r w:rsidR="001D4D21">
        <w:t xml:space="preserve"> G, </w:t>
      </w:r>
      <w:proofErr w:type="spellStart"/>
      <w:r w:rsidR="001D4D21">
        <w:t>Schwarzer</w:t>
      </w:r>
      <w:proofErr w:type="spellEnd"/>
      <w:r w:rsidR="001D4D21">
        <w:t xml:space="preserve"> G (2019), How to perform a meta-analysis with R: a practical tutorial, Evidence-Based Mental Health; 22: 153-160.</w:t>
      </w:r>
    </w:p>
    <w:p w14:paraId="7DC5F4FF" w14:textId="77777777" w:rsidR="001D4D21" w:rsidRPr="00F20194" w:rsidRDefault="001D4D21" w:rsidP="004E5AC3">
      <w:pPr>
        <w:numPr>
          <w:ilvl w:val="0"/>
          <w:numId w:val="24"/>
        </w:numPr>
        <w:jc w:val="both"/>
        <w:rPr>
          <w:lang w:val="sv-SE"/>
        </w:rPr>
      </w:pPr>
      <w:proofErr w:type="spellStart"/>
      <w:r>
        <w:t>Ushey</w:t>
      </w:r>
      <w:proofErr w:type="spellEnd"/>
      <w:r>
        <w:t xml:space="preserve"> K (2022). </w:t>
      </w:r>
      <w:proofErr w:type="spellStart"/>
      <w:proofErr w:type="gramStart"/>
      <w:r>
        <w:rPr>
          <w:i/>
          <w:iCs/>
        </w:rPr>
        <w:t>renv</w:t>
      </w:r>
      <w:proofErr w:type="spellEnd"/>
      <w:proofErr w:type="gramEnd"/>
      <w:r>
        <w:rPr>
          <w:i/>
          <w:iCs/>
        </w:rPr>
        <w:t>: Project Environments</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0.15.5, </w:t>
      </w:r>
      <w:hyperlink r:id="rId12">
        <w:r w:rsidRPr="00F20194">
          <w:rPr>
            <w:rStyle w:val="Hyperlink"/>
            <w:lang w:val="sv-SE"/>
          </w:rPr>
          <w:t>https://CRAN.R-project.org/package=renv</w:t>
        </w:r>
      </w:hyperlink>
      <w:r w:rsidRPr="00F20194">
        <w:rPr>
          <w:lang w:val="sv-SE"/>
        </w:rPr>
        <w:t>.</w:t>
      </w:r>
    </w:p>
    <w:p w14:paraId="2E54E3FB" w14:textId="77777777" w:rsidR="001D4D21" w:rsidRDefault="001D4D21" w:rsidP="004E5AC3">
      <w:pPr>
        <w:numPr>
          <w:ilvl w:val="0"/>
          <w:numId w:val="24"/>
        </w:numPr>
        <w:jc w:val="both"/>
      </w:pPr>
      <w:proofErr w:type="spellStart"/>
      <w:r>
        <w:t>Harrer</w:t>
      </w:r>
      <w:proofErr w:type="spellEnd"/>
      <w:r>
        <w:t xml:space="preserve">, M., </w:t>
      </w:r>
      <w:proofErr w:type="spellStart"/>
      <w:r>
        <w:t>Cuijpers</w:t>
      </w:r>
      <w:proofErr w:type="spellEnd"/>
      <w:r>
        <w:t xml:space="preserve">, P., Furukawa, T. &amp; Ebert, D. D. (2019). </w:t>
      </w:r>
      <w:proofErr w:type="spellStart"/>
      <w:proofErr w:type="gramStart"/>
      <w:r w:rsidRPr="00651207">
        <w:t>dmetar</w:t>
      </w:r>
      <w:proofErr w:type="spellEnd"/>
      <w:proofErr w:type="gramEnd"/>
      <w:r>
        <w:t xml:space="preserve">: Companion R Package For The Guide ‘Doing Meta-Analysis in R’. R package version 0.0.9000. URL </w:t>
      </w:r>
      <w:hyperlink r:id="rId13">
        <w:r>
          <w:rPr>
            <w:rStyle w:val="Hyperlink"/>
          </w:rPr>
          <w:t>http://dmetar.protectlab.org/</w:t>
        </w:r>
      </w:hyperlink>
      <w:r>
        <w:t>.</w:t>
      </w:r>
    </w:p>
    <w:p w14:paraId="09BAEC14" w14:textId="77777777" w:rsidR="001D4D21" w:rsidRPr="00F20194" w:rsidRDefault="001D4D21" w:rsidP="004E5AC3">
      <w:pPr>
        <w:numPr>
          <w:ilvl w:val="0"/>
          <w:numId w:val="24"/>
        </w:numPr>
        <w:jc w:val="both"/>
        <w:rPr>
          <w:lang w:val="sv-SE"/>
        </w:rPr>
      </w:pPr>
      <w:r>
        <w:t xml:space="preserve">Wickham H, Bryan J (2022). </w:t>
      </w:r>
      <w:proofErr w:type="spellStart"/>
      <w:proofErr w:type="gramStart"/>
      <w:r>
        <w:rPr>
          <w:i/>
          <w:iCs/>
        </w:rPr>
        <w:t>readxl</w:t>
      </w:r>
      <w:proofErr w:type="spellEnd"/>
      <w:proofErr w:type="gramEnd"/>
      <w:r>
        <w:rPr>
          <w:i/>
          <w:iCs/>
        </w:rPr>
        <w:t>: Read Excel Files</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1.4.0, </w:t>
      </w:r>
      <w:hyperlink r:id="rId14">
        <w:r w:rsidRPr="00F20194">
          <w:rPr>
            <w:rStyle w:val="Hyperlink"/>
            <w:lang w:val="sv-SE"/>
          </w:rPr>
          <w:t>https://CRAN.R-project.org/package=readxl</w:t>
        </w:r>
      </w:hyperlink>
      <w:r w:rsidRPr="00F20194">
        <w:rPr>
          <w:lang w:val="sv-SE"/>
        </w:rPr>
        <w:t>.</w:t>
      </w:r>
    </w:p>
    <w:p w14:paraId="62FF7136" w14:textId="77777777" w:rsidR="001D4D21" w:rsidRDefault="001D4D21" w:rsidP="004E5AC3">
      <w:pPr>
        <w:numPr>
          <w:ilvl w:val="0"/>
          <w:numId w:val="24"/>
        </w:numPr>
        <w:jc w:val="both"/>
      </w:pPr>
      <w:r>
        <w:t xml:space="preserve">H. Wickham. </w:t>
      </w:r>
      <w:r w:rsidRPr="00651207">
        <w:t>ggplot2:</w:t>
      </w:r>
      <w:r>
        <w:t xml:space="preserve"> Elegant Graphics for Data Analysis. Springer-</w:t>
      </w:r>
      <w:proofErr w:type="spellStart"/>
      <w:r>
        <w:t>Verlag</w:t>
      </w:r>
      <w:proofErr w:type="spellEnd"/>
      <w:r>
        <w:t xml:space="preserve"> New York, 2016.</w:t>
      </w:r>
    </w:p>
    <w:p w14:paraId="7CA71C6D" w14:textId="77777777" w:rsidR="001D4D21" w:rsidRPr="00F20194" w:rsidRDefault="001D4D21" w:rsidP="004E5AC3">
      <w:pPr>
        <w:numPr>
          <w:ilvl w:val="0"/>
          <w:numId w:val="24"/>
        </w:numPr>
        <w:jc w:val="both"/>
        <w:rPr>
          <w:lang w:val="sv-SE"/>
        </w:rPr>
      </w:pPr>
      <w:r>
        <w:t xml:space="preserve">Xiao N (2018). </w:t>
      </w:r>
      <w:proofErr w:type="spellStart"/>
      <w:proofErr w:type="gramStart"/>
      <w:r>
        <w:rPr>
          <w:i/>
          <w:iCs/>
        </w:rPr>
        <w:t>ggsci</w:t>
      </w:r>
      <w:proofErr w:type="spellEnd"/>
      <w:proofErr w:type="gramEnd"/>
      <w:r>
        <w:rPr>
          <w:i/>
          <w:iCs/>
        </w:rPr>
        <w:t>: Scientific Journal and Sci-Fi Themed Color Palettes for ‘ggplot2’</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2.9, </w:t>
      </w:r>
      <w:hyperlink r:id="rId15">
        <w:r w:rsidRPr="00F20194">
          <w:rPr>
            <w:rStyle w:val="Hyperlink"/>
            <w:lang w:val="sv-SE"/>
          </w:rPr>
          <w:t>https://CRAN.R-project.org/package=ggsci</w:t>
        </w:r>
      </w:hyperlink>
      <w:r w:rsidRPr="00F20194">
        <w:rPr>
          <w:lang w:val="sv-SE"/>
        </w:rPr>
        <w:t>.</w:t>
      </w:r>
    </w:p>
    <w:p w14:paraId="31FA6C72" w14:textId="77777777" w:rsidR="001D4D21" w:rsidRPr="00F20194" w:rsidRDefault="001D4D21" w:rsidP="004E5AC3">
      <w:pPr>
        <w:numPr>
          <w:ilvl w:val="0"/>
          <w:numId w:val="24"/>
        </w:numPr>
        <w:jc w:val="both"/>
        <w:rPr>
          <w:lang w:val="sv-SE"/>
        </w:rPr>
      </w:pPr>
      <w:proofErr w:type="spellStart"/>
      <w:r>
        <w:t>Kassambara</w:t>
      </w:r>
      <w:proofErr w:type="spellEnd"/>
      <w:r>
        <w:t xml:space="preserve"> A (2020). </w:t>
      </w:r>
      <w:proofErr w:type="spellStart"/>
      <w:proofErr w:type="gramStart"/>
      <w:r>
        <w:rPr>
          <w:i/>
          <w:iCs/>
        </w:rPr>
        <w:t>ggpubr</w:t>
      </w:r>
      <w:proofErr w:type="spellEnd"/>
      <w:proofErr w:type="gramEnd"/>
      <w:r>
        <w:rPr>
          <w:i/>
          <w:iCs/>
        </w:rPr>
        <w:t>: ‘ggplot2’ Based Publication Ready Plots</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0.4.0, </w:t>
      </w:r>
      <w:hyperlink r:id="rId16">
        <w:r w:rsidRPr="00F20194">
          <w:rPr>
            <w:rStyle w:val="Hyperlink"/>
            <w:lang w:val="sv-SE"/>
          </w:rPr>
          <w:t>https://CRAN.R-project.org/package=ggpubr</w:t>
        </w:r>
      </w:hyperlink>
      <w:r w:rsidRPr="00F20194">
        <w:rPr>
          <w:lang w:val="sv-SE"/>
        </w:rPr>
        <w:t>.</w:t>
      </w:r>
    </w:p>
    <w:p w14:paraId="6F1F2C26" w14:textId="77777777" w:rsidR="001D4D21" w:rsidRPr="00F20194" w:rsidRDefault="001D4D21" w:rsidP="004E5AC3">
      <w:pPr>
        <w:numPr>
          <w:ilvl w:val="0"/>
          <w:numId w:val="24"/>
        </w:numPr>
        <w:jc w:val="both"/>
        <w:rPr>
          <w:lang w:val="sv-SE"/>
        </w:rPr>
      </w:pPr>
      <w:r>
        <w:t xml:space="preserve">Zhu H (2021). </w:t>
      </w:r>
      <w:proofErr w:type="spellStart"/>
      <w:proofErr w:type="gramStart"/>
      <w:r>
        <w:rPr>
          <w:i/>
          <w:iCs/>
        </w:rPr>
        <w:t>kableExtra</w:t>
      </w:r>
      <w:proofErr w:type="spellEnd"/>
      <w:proofErr w:type="gramEnd"/>
      <w:r>
        <w:rPr>
          <w:i/>
          <w:iCs/>
        </w:rPr>
        <w:t>: Construct Complex Table with ‘</w:t>
      </w:r>
      <w:proofErr w:type="spellStart"/>
      <w:r>
        <w:rPr>
          <w:i/>
          <w:iCs/>
        </w:rPr>
        <w:t>kable</w:t>
      </w:r>
      <w:proofErr w:type="spellEnd"/>
      <w:r>
        <w:rPr>
          <w:i/>
          <w:iCs/>
        </w:rPr>
        <w:t>’ and Pipe Syntax</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1.3.4, </w:t>
      </w:r>
      <w:hyperlink r:id="rId17">
        <w:r w:rsidRPr="00F20194">
          <w:rPr>
            <w:rStyle w:val="Hyperlink"/>
            <w:lang w:val="sv-SE"/>
          </w:rPr>
          <w:t>https://CRAN.R-project.org/package=kableExtra</w:t>
        </w:r>
      </w:hyperlink>
      <w:r w:rsidRPr="00F20194">
        <w:rPr>
          <w:lang w:val="sv-SE"/>
        </w:rPr>
        <w:t>.</w:t>
      </w:r>
    </w:p>
    <w:p w14:paraId="19EDACBC" w14:textId="77777777" w:rsidR="001D4D21" w:rsidRPr="00F20194" w:rsidRDefault="001D4D21" w:rsidP="004E5AC3">
      <w:pPr>
        <w:numPr>
          <w:ilvl w:val="0"/>
          <w:numId w:val="24"/>
        </w:numPr>
        <w:jc w:val="both"/>
        <w:rPr>
          <w:lang w:val="sv-SE"/>
        </w:rPr>
      </w:pPr>
      <w:proofErr w:type="spellStart"/>
      <w:r>
        <w:t>Neuwirth</w:t>
      </w:r>
      <w:proofErr w:type="spellEnd"/>
      <w:r>
        <w:t xml:space="preserve"> E (2022). </w:t>
      </w:r>
      <w:proofErr w:type="spellStart"/>
      <w:r>
        <w:rPr>
          <w:i/>
          <w:iCs/>
        </w:rPr>
        <w:t>RColorBrewer</w:t>
      </w:r>
      <w:proofErr w:type="spellEnd"/>
      <w:r>
        <w:rPr>
          <w:i/>
          <w:iCs/>
        </w:rPr>
        <w:t xml:space="preserve">: </w:t>
      </w:r>
      <w:proofErr w:type="spellStart"/>
      <w:r>
        <w:rPr>
          <w:i/>
          <w:iCs/>
        </w:rPr>
        <w:t>ColorBrewer</w:t>
      </w:r>
      <w:proofErr w:type="spellEnd"/>
      <w:r>
        <w:rPr>
          <w:i/>
          <w:iCs/>
        </w:rPr>
        <w:t xml:space="preserve"> Palettes</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1.1-3, </w:t>
      </w:r>
      <w:hyperlink r:id="rId18">
        <w:r w:rsidRPr="00F20194">
          <w:rPr>
            <w:rStyle w:val="Hyperlink"/>
            <w:lang w:val="sv-SE"/>
          </w:rPr>
          <w:t>https://CRAN.R-project.org/package=RColorBrewer</w:t>
        </w:r>
      </w:hyperlink>
      <w:r w:rsidRPr="00F20194">
        <w:rPr>
          <w:lang w:val="sv-SE"/>
        </w:rPr>
        <w:t>.</w:t>
      </w:r>
    </w:p>
    <w:p w14:paraId="4E0876BF" w14:textId="77777777" w:rsidR="001D4D21" w:rsidRPr="00F20194" w:rsidRDefault="001D4D21" w:rsidP="004E5AC3">
      <w:pPr>
        <w:numPr>
          <w:ilvl w:val="0"/>
          <w:numId w:val="24"/>
        </w:numPr>
        <w:jc w:val="both"/>
        <w:rPr>
          <w:lang w:val="sv-SE"/>
        </w:rPr>
      </w:pPr>
      <w:proofErr w:type="spellStart"/>
      <w:r>
        <w:lastRenderedPageBreak/>
        <w:t>Slowikowski</w:t>
      </w:r>
      <w:proofErr w:type="spellEnd"/>
      <w:r>
        <w:t xml:space="preserve"> K (2021). </w:t>
      </w:r>
      <w:proofErr w:type="spellStart"/>
      <w:proofErr w:type="gramStart"/>
      <w:r>
        <w:rPr>
          <w:i/>
          <w:iCs/>
        </w:rPr>
        <w:t>ggrepel</w:t>
      </w:r>
      <w:proofErr w:type="spellEnd"/>
      <w:proofErr w:type="gramEnd"/>
      <w:r>
        <w:rPr>
          <w:i/>
          <w:iCs/>
        </w:rPr>
        <w:t>: Automatically Position Non-Overlapping Text Labels with ‘ggplot2’</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0.9.1, </w:t>
      </w:r>
      <w:hyperlink r:id="rId19">
        <w:r w:rsidRPr="00F20194">
          <w:rPr>
            <w:rStyle w:val="Hyperlink"/>
            <w:lang w:val="sv-SE"/>
          </w:rPr>
          <w:t>https://CRAN.R-project.org/package=ggrepel</w:t>
        </w:r>
      </w:hyperlink>
      <w:r w:rsidRPr="00F20194">
        <w:rPr>
          <w:lang w:val="sv-SE"/>
        </w:rPr>
        <w:t>.</w:t>
      </w:r>
    </w:p>
    <w:p w14:paraId="35C05E0C" w14:textId="77777777" w:rsidR="001D4D21" w:rsidRPr="00F20194" w:rsidRDefault="001D4D21" w:rsidP="004E5AC3">
      <w:pPr>
        <w:numPr>
          <w:ilvl w:val="0"/>
          <w:numId w:val="24"/>
        </w:numPr>
        <w:jc w:val="both"/>
        <w:rPr>
          <w:lang w:val="sv-SE"/>
        </w:rPr>
      </w:pPr>
      <w:r>
        <w:t xml:space="preserve">Wilke C (2020). </w:t>
      </w:r>
      <w:proofErr w:type="spellStart"/>
      <w:proofErr w:type="gramStart"/>
      <w:r>
        <w:rPr>
          <w:i/>
          <w:iCs/>
        </w:rPr>
        <w:t>cowplot</w:t>
      </w:r>
      <w:proofErr w:type="spellEnd"/>
      <w:proofErr w:type="gramEnd"/>
      <w:r>
        <w:rPr>
          <w:i/>
          <w:iCs/>
        </w:rPr>
        <w:t>: Streamlined Plot Theme and Plot Annotations for ‘ggplot2’</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1.1.1, </w:t>
      </w:r>
      <w:hyperlink r:id="rId20">
        <w:r w:rsidRPr="00F20194">
          <w:rPr>
            <w:rStyle w:val="Hyperlink"/>
            <w:lang w:val="sv-SE"/>
          </w:rPr>
          <w:t>https://CRAN.R-project.org/package=cowplot</w:t>
        </w:r>
      </w:hyperlink>
      <w:r w:rsidRPr="00F20194">
        <w:rPr>
          <w:lang w:val="sv-SE"/>
        </w:rPr>
        <w:t>.</w:t>
      </w:r>
    </w:p>
    <w:p w14:paraId="2FE4B1FA" w14:textId="77777777" w:rsidR="001D4D21" w:rsidRPr="00F20194" w:rsidRDefault="001D4D21" w:rsidP="004E5AC3">
      <w:pPr>
        <w:numPr>
          <w:ilvl w:val="0"/>
          <w:numId w:val="24"/>
        </w:numPr>
        <w:jc w:val="both"/>
        <w:rPr>
          <w:lang w:val="sv-SE"/>
        </w:rPr>
      </w:pPr>
      <w:r>
        <w:t xml:space="preserve">Gordon M, Lumley T (2021). </w:t>
      </w:r>
      <w:proofErr w:type="spellStart"/>
      <w:proofErr w:type="gramStart"/>
      <w:r>
        <w:rPr>
          <w:i/>
          <w:iCs/>
        </w:rPr>
        <w:t>forestplot</w:t>
      </w:r>
      <w:proofErr w:type="spellEnd"/>
      <w:proofErr w:type="gramEnd"/>
      <w:r>
        <w:rPr>
          <w:i/>
          <w:iCs/>
        </w:rPr>
        <w:t>: Advanced Forest Plot Using ‘grid’ Graphics</w:t>
      </w:r>
      <w:r>
        <w:t xml:space="preserve">. </w:t>
      </w:r>
      <w:r w:rsidRPr="00F20194">
        <w:rPr>
          <w:lang w:val="sv-SE"/>
        </w:rPr>
        <w:t xml:space="preserve">R </w:t>
      </w:r>
      <w:proofErr w:type="spellStart"/>
      <w:r w:rsidRPr="00F20194">
        <w:rPr>
          <w:lang w:val="sv-SE"/>
        </w:rPr>
        <w:t>package</w:t>
      </w:r>
      <w:proofErr w:type="spellEnd"/>
      <w:r w:rsidRPr="00F20194">
        <w:rPr>
          <w:lang w:val="sv-SE"/>
        </w:rPr>
        <w:t xml:space="preserve"> version 2.0.1, </w:t>
      </w:r>
      <w:hyperlink r:id="rId21">
        <w:r w:rsidRPr="00F20194">
          <w:rPr>
            <w:rStyle w:val="Hyperlink"/>
            <w:lang w:val="sv-SE"/>
          </w:rPr>
          <w:t>https://CRAN.R-project.org/package=forestplot</w:t>
        </w:r>
      </w:hyperlink>
      <w:r w:rsidRPr="00F20194">
        <w:rPr>
          <w:lang w:val="sv-SE"/>
        </w:rPr>
        <w:t>.</w:t>
      </w:r>
    </w:p>
    <w:p w14:paraId="738C7F76" w14:textId="77777777" w:rsidR="001D4D21" w:rsidRDefault="001D4D21" w:rsidP="001D4D21">
      <w:pPr>
        <w:pStyle w:val="Heading3"/>
      </w:pPr>
      <w:bookmarkStart w:id="10" w:name="power-calculation"/>
      <w:r>
        <w:rPr>
          <w:i/>
          <w:iCs/>
        </w:rPr>
        <w:t>Power calculation</w:t>
      </w:r>
    </w:p>
    <w:p w14:paraId="7002C22F" w14:textId="175D65FA" w:rsidR="001D4D21" w:rsidRDefault="00D520DF" w:rsidP="004E5AC3">
      <w:pPr>
        <w:pStyle w:val="FirstParagraph"/>
        <w:jc w:val="both"/>
      </w:pPr>
      <w:r>
        <w:t>P</w:t>
      </w:r>
      <w:r w:rsidR="001D4D21">
        <w:t>ower calculation</w:t>
      </w:r>
      <w:r>
        <w:t>s</w:t>
      </w:r>
      <w:r w:rsidR="001D4D21">
        <w:t xml:space="preserve"> </w:t>
      </w:r>
      <w:r>
        <w:t xml:space="preserve">were </w:t>
      </w:r>
      <w:r w:rsidR="001D4D21">
        <w:t xml:space="preserve">performed with the function </w:t>
      </w:r>
      <w:proofErr w:type="spellStart"/>
      <w:r w:rsidR="001D4D21">
        <w:t>power.analysis</w:t>
      </w:r>
      <w:proofErr w:type="spellEnd"/>
      <w:r w:rsidR="001D4D21">
        <w:t xml:space="preserve"> in the R package </w:t>
      </w:r>
      <w:r w:rsidR="001D4D21" w:rsidRPr="00651207">
        <w:rPr>
          <w:i/>
        </w:rPr>
        <w:t>dmetar</w:t>
      </w:r>
      <w:r w:rsidR="001D4D21">
        <w:fldChar w:fldCharType="begin" w:fldLock="1"/>
      </w:r>
      <w:r w:rsidR="00F24A26">
        <w:instrText>ADDIN CSL_CITATION {"citationItems":[{"id":"ITEM-1","itemData":{"author":[{"dropping-particle":"","family":"Harrer","given":"Mathias","non-dropping-particle":"","parse-names":false,"suffix":""},{"dropping-particle":"","family":"Cuijpers","given":"Pim","non-dropping-particle":"","parse-names":false,"suffix":""},{"dropping-particle":"","family":"Furukawa","given":"Toshi","non-dropping-particle":"","parse-names":false,"suffix":""},{"dropping-particle":"","family":"Ebert","given":"David.","non-dropping-particle":"","parse-names":false,"suffix":""}],"id":"ITEM-1","issued":{"date-parts":[["2019"]]},"title":"dmetar: Companion R package for the guide 'Doing Meta-Analysis in R' — dmetar • dmetar","type":"article"},"uris":["http://www.mendeley.com/documents/?uuid=8b1cbff8-8f97-3332-8df0-1c7170bfcad0"]}],"mendeley":{"formattedCitation":"&lt;sup&gt;3&lt;/sup&gt;","plainTextFormattedCitation":"3","previouslyFormattedCitation":"&lt;sup&gt;3&lt;/sup&gt;"},"properties":{"noteIndex":0},"schema":"https://github.com/citation-style-language/schema/raw/master/csl-citation.json"}</w:instrText>
      </w:r>
      <w:r w:rsidR="001D4D21">
        <w:fldChar w:fldCharType="separate"/>
      </w:r>
      <w:r w:rsidR="00A36ADA" w:rsidRPr="00A36ADA">
        <w:rPr>
          <w:noProof/>
          <w:vertAlign w:val="superscript"/>
        </w:rPr>
        <w:t>3</w:t>
      </w:r>
      <w:r w:rsidR="001D4D21">
        <w:fldChar w:fldCharType="end"/>
      </w:r>
    </w:p>
    <w:p w14:paraId="34E069B4" w14:textId="6AFE5838" w:rsidR="001D4D21" w:rsidRDefault="001D4D21" w:rsidP="004E5AC3">
      <w:pPr>
        <w:pStyle w:val="BodyText"/>
        <w:jc w:val="both"/>
      </w:pPr>
      <w:r>
        <w:t>A meta-analysis of ten studies, with mean sample size of 10, have 84% power to detect a standardized effect size (SMD) of 0.6 (alpha level: 0.05), in a random-effects model, if high (I</w:t>
      </w:r>
      <w:r>
        <w:rPr>
          <w:vertAlign w:val="superscript"/>
        </w:rPr>
        <w:t>2</w:t>
      </w:r>
      <w:r>
        <w:t xml:space="preserve"> &gt; 75%) heterogeneity </w:t>
      </w:r>
      <w:r w:rsidR="00940D8B">
        <w:t xml:space="preserve">is </w:t>
      </w:r>
      <w:r>
        <w:t>assumed.</w:t>
      </w:r>
    </w:p>
    <w:p w14:paraId="2043F622" w14:textId="66504386" w:rsidR="001D4D21" w:rsidRDefault="001D4D21" w:rsidP="004E5AC3">
      <w:pPr>
        <w:pStyle w:val="BodyText"/>
        <w:jc w:val="both"/>
      </w:pPr>
      <w:r>
        <w:t>The power of a meta-analysis of 4 studies per subgroup, with a mean sample size of 10, to detect a standardized effect size of 1.0 in a random-effects model (using an alpha-level of 0.05 and assuming high heterogeneity) is 85%. Considering that a previous review of the SPT found an standardized mean difference between the stress and control groups in sucrose consumption/intake of no less than 1.5 SMD in multiple subgroup comparisons</w:t>
      </w:r>
      <w:r>
        <w:fldChar w:fldCharType="begin" w:fldLock="1"/>
      </w:r>
      <w:r w:rsidR="00F24A26">
        <w:instrText>ADDIN CSL_CITATION {"citationItems":[{"id":"ITEM-1","itemData":{"DOI":"10.1016/j.neubiorev.2018.12.002","ISSN":"18737528","PMID":"30529362","abstract":"Depression is currently among the top five leading causes of the global burden of disease. Chronic unpredictable mild stress (CUMS) is currently the most commonly used, reliable, and effective rodent model of depression. However, for unclear reasons, this protocol is often difficult to reproduce in different laboratories. We performed a meta-analysis of studies that used the CUMS paradigm to evaluate depressive-like behavior in rodents. We sought to identify strain-dependent susceptibility to stress based on the development of one of the main end points of the model, “anhedonia.” The meta-analysis indicated that the CUMS protocol is a robust animal model of depression and is strongly associated with anhedonic behavior in rodents. However, high heterogeneity was found in the single subgroup analysis, which was attributable to modification of the CUMS and sucrose preference protocols. This may explain difficulties in reproducing stress protocols by different research groups.","author":[{"dropping-particle":"","family":"Antoniuk","given":"Svitlana","non-dropping-particle":"","parse-names":false,"suffix":""},{"dropping-particle":"","family":"Bijata","given":"Monika","non-dropping-particle":"","parse-names":false,"suffix":""},{"dropping-particle":"","family":"Ponimaskin","given":"Evgeni","non-dropping-particle":"","parse-names":false,"suffix":""},{"dropping-particle":"","family":"Wlodarczyk","given":"Jakub","non-dropping-particle":"","parse-names":false,"suffix":""}],"container-title":"Neuroscience and Biobehavioral Reviews","id":"ITEM-1","issued":{"date-parts":[["2019","4","1"]]},"page":"101-116","publisher":"Elsevier Ltd","title":"Chronic unpredictable mild stress for modeling depression in rodents: Meta-analysis of model reliability","type":"article-journal","volume":"99"},"uris":["http://www.mendeley.com/documents/?uuid=af0469d8-84cf-373f-96b3-67cfe8b7c54f"]}],"mendeley":{"formattedCitation":"&lt;sup&gt;4&lt;/sup&gt;","plainTextFormattedCitation":"4","previouslyFormattedCitation":"&lt;sup&gt;4&lt;/sup&gt;"},"properties":{"noteIndex":0},"schema":"https://github.com/citation-style-language/schema/raw/master/csl-citation.json"}</w:instrText>
      </w:r>
      <w:r>
        <w:fldChar w:fldCharType="separate"/>
      </w:r>
      <w:r w:rsidR="00A36ADA" w:rsidRPr="00A36ADA">
        <w:rPr>
          <w:noProof/>
          <w:vertAlign w:val="superscript"/>
        </w:rPr>
        <w:t>4</w:t>
      </w:r>
      <w:r>
        <w:fldChar w:fldCharType="end"/>
      </w:r>
      <w:r>
        <w:t>, 4 studies per subgroup were considered to the minimum requirement for performing an analysis.</w:t>
      </w:r>
    </w:p>
    <w:p w14:paraId="6A4644B9" w14:textId="77777777" w:rsidR="001D4D21" w:rsidRDefault="001D4D21" w:rsidP="001D4D21">
      <w:pPr>
        <w:pStyle w:val="Heading3"/>
      </w:pPr>
      <w:bookmarkStart w:id="11" w:name="data-aggregation"/>
      <w:bookmarkEnd w:id="10"/>
      <w:r>
        <w:rPr>
          <w:i/>
          <w:iCs/>
        </w:rPr>
        <w:t>Data aggregation</w:t>
      </w:r>
    </w:p>
    <w:p w14:paraId="24C76D43" w14:textId="4BC3BF39" w:rsidR="001D4D21" w:rsidRDefault="001D4D21" w:rsidP="001D4D21">
      <w:pPr>
        <w:pStyle w:val="FirstParagraph"/>
        <w:jc w:val="both"/>
      </w:pPr>
      <w:r>
        <w:t>If a study included several control or stress groups and no “one-to-one” control vs stress comparison was possible (</w:t>
      </w:r>
      <w:r w:rsidRPr="00E87669">
        <w:rPr>
          <w:i/>
        </w:rPr>
        <w:t>e.g.</w:t>
      </w:r>
      <w:r>
        <w:t>, one control group is compared to two stressed groups that fulfilled our criteria), the groups were combined using the recommendations in the Cochrane Handbook</w:t>
      </w:r>
      <w:r>
        <w:fldChar w:fldCharType="begin" w:fldLock="1"/>
      </w:r>
      <w:r w:rsidR="00F24A26">
        <w:instrText>ADDIN CSL_CITATION {"citationItems":[{"id":"ITEM-1","itemData":{"author":[{"dropping-particle":"","family":"Higgins","given":"JPT","non-dropping-particle":"","parse-names":false,"suffix":""},{"dropping-particle":"","family":"Thomas","given":"J","non-dropping-particle":"","parse-names":false,"suffix":""},{"dropping-particle":"","family":"Chandler","given":"J","non-dropping-particle":"","parse-names":false,"suffix":""},{"dropping-particle":"","family":"Cumpston","given":"M","non-dropping-particle":"","parse-names":false,"suffix":""},{"dropping-particle":"","family":"Li","given":"T","non-dropping-particle":"","parse-names":false,"suffix":""},{"dropping-particle":"","family":"Page","given":"MJ","non-dropping-particle":"","parse-names":false,"suffix":""},{"dropping-particle":"","family":"Welch","given":"VA","non-dropping-particle":"","parse-names":false,"suffix":""}],"id":"ITEM-1","issued":{"date-parts":[["2022"]]},"title":"Cochrane Handbook for Systematic Reviews of Interventions | Cochrane Training","type":"book"},"uris":["http://www.mendeley.com/documents/?uuid=3fbb28de-f4e3-3e74-9d08-4df934e0dcde"]}],"mendeley":{"formattedCitation":"&lt;sup&gt;2&lt;/sup&gt;","plainTextFormattedCitation":"2","previouslyFormattedCitation":"&lt;sup&gt;2&lt;/sup&gt;"},"properties":{"noteIndex":0},"schema":"https://github.com/citation-style-language/schema/raw/master/csl-citation.json"}</w:instrText>
      </w:r>
      <w:r>
        <w:fldChar w:fldCharType="separate"/>
      </w:r>
      <w:r w:rsidR="00A36ADA" w:rsidRPr="00A36ADA">
        <w:rPr>
          <w:noProof/>
          <w:vertAlign w:val="superscript"/>
        </w:rPr>
        <w:t>2</w:t>
      </w:r>
      <w:r>
        <w:fldChar w:fldCharType="end"/>
      </w:r>
      <w:r>
        <w:t xml:space="preserve"> to obtain an aggregate measure (</w:t>
      </w:r>
      <w:r w:rsidRPr="00E87669">
        <w:rPr>
          <w:i/>
        </w:rPr>
        <w:t>i.e.</w:t>
      </w:r>
      <w:r>
        <w:t>, the stressed groups were combined to obtain a single measure that was compared to the control group). Only in one study, the groups were not combined because the groups varied in a variable of interest – the length of the stress protocol (Supplementary table 2, Study design (c)). In this case, the ‘shared control’ group was split into two to avoid double-counting</w:t>
      </w:r>
      <w:r>
        <w:fldChar w:fldCharType="begin" w:fldLock="1"/>
      </w:r>
      <w:r w:rsidR="00F24A26">
        <w:instrText>ADDIN CSL_CITATION {"citationItems":[{"id":"ITEM-1","itemData":{"author":[{"dropping-particle":"","family":"Higgins","given":"JPT","non-dropping-particle":"","parse-names":false,"suffix":""},{"dropping-particle":"","family":"Thomas","given":"J","non-dropping-particle":"","parse-names":false,"suffix":""},{"dropping-particle":"","family":"Chandler","given":"J","non-dropping-particle":"","parse-names":false,"suffix":""},{"dropping-particle":"","family":"Cumpston","given":"M","non-dropping-particle":"","parse-names":false,"suffix":""},{"dropping-particle":"","family":"Li","given":"T","non-dropping-particle":"","parse-names":false,"suffix":""},{"dropping-particle":"","family":"Page","given":"MJ","non-dropping-particle":"","parse-names":false,"suffix":""},{"dropping-particle":"","family":"Welch","given":"VA","non-dropping-particle":"","parse-names":false,"suffix":""}],"id":"ITEM-1","issued":{"date-parts":[["2022"]]},"title":"Cochrane Handbook for Systematic Reviews of Interventions | Cochrane Training","type":"book"},"uris":["http://www.mendeley.com/documents/?uuid=3fbb28de-f4e3-3e74-9d08-4df934e0dcde"]}],"mendeley":{"formattedCitation":"&lt;sup&gt;2&lt;/sup&gt;","plainTextFormattedCitation":"2","previouslyFormattedCitation":"&lt;sup&gt;2&lt;/sup&gt;"},"properties":{"noteIndex":0},"schema":"https://github.com/citation-style-language/schema/raw/master/csl-citation.json"}</w:instrText>
      </w:r>
      <w:r>
        <w:fldChar w:fldCharType="separate"/>
      </w:r>
      <w:r w:rsidR="00A36ADA" w:rsidRPr="00A36ADA">
        <w:rPr>
          <w:noProof/>
          <w:vertAlign w:val="superscript"/>
        </w:rPr>
        <w:t>2</w:t>
      </w:r>
      <w:r>
        <w:fldChar w:fldCharType="end"/>
      </w:r>
      <w:r w:rsidR="004F7E5E">
        <w:t>.</w:t>
      </w:r>
    </w:p>
    <w:p w14:paraId="11B76714" w14:textId="6C81AE5D" w:rsidR="001D4D21" w:rsidRDefault="001D4D21" w:rsidP="001D4D21">
      <w:pPr>
        <w:pStyle w:val="BodyText"/>
        <w:jc w:val="both"/>
      </w:pPr>
      <w:r>
        <w:t>One study reported the outcomes as medians with interquartile ranges. In this case the median was assumed to approximate the mean, and the SD was calculated from the IQR</w:t>
      </w:r>
      <w:r>
        <w:fldChar w:fldCharType="begin" w:fldLock="1"/>
      </w:r>
      <w:r w:rsidR="00F24A26">
        <w:instrText>ADDIN CSL_CITATION {"citationItems":[{"id":"ITEM-1","itemData":{"author":[{"dropping-particle":"","family":"Higgins","given":"JPT","non-dropping-particle":"","parse-names":false,"suffix":""},{"dropping-particle":"","family":"Thomas","given":"J","non-dropping-particle":"","parse-names":false,"suffix":""},{"dropping-particle":"","family":"Chandler","given":"J","non-dropping-particle":"","parse-names":false,"suffix":""},{"dropping-particle":"","family":"Cumpston","given":"M","non-dropping-particle":"","parse-names":false,"suffix":""},{"dropping-particle":"","family":"Li","given":"T","non-dropping-particle":"","parse-names":false,"suffix":""},{"dropping-particle":"","family":"Page","given":"MJ","non-dropping-particle":"","parse-names":false,"suffix":""},{"dropping-particle":"","family":"Welch","given":"VA","non-dropping-particle":"","parse-names":false,"suffix":""}],"id":"ITEM-1","issued":{"date-parts":[["2022"]]},"title":"Cochrane Handbook for Systematic Reviews of Interventions | Cochrane Training","type":"book"},"uris":["http://www.mendeley.com/documents/?uuid=3fbb28de-f4e3-3e74-9d08-4df934e0dcde"]}],"mendeley":{"formattedCitation":"&lt;sup&gt;2&lt;/sup&gt;","plainTextFormattedCitation":"2","previouslyFormattedCitation":"&lt;sup&gt;2&lt;/sup&gt;"},"properties":{"noteIndex":0},"schema":"https://github.com/citation-style-language/schema/raw/master/csl-citation.json"}</w:instrText>
      </w:r>
      <w:r>
        <w:fldChar w:fldCharType="separate"/>
      </w:r>
      <w:r w:rsidR="00A36ADA" w:rsidRPr="00A36ADA">
        <w:rPr>
          <w:noProof/>
          <w:vertAlign w:val="superscript"/>
        </w:rPr>
        <w:t>2</w:t>
      </w:r>
      <w:r>
        <w:fldChar w:fldCharType="end"/>
      </w:r>
      <w:r>
        <w:t>.</w:t>
      </w:r>
    </w:p>
    <w:p w14:paraId="43FA2589" w14:textId="096D8E6D" w:rsidR="001D4D21" w:rsidRDefault="001D4D21" w:rsidP="001D4D21">
      <w:pPr>
        <w:pStyle w:val="BodyText"/>
      </w:pPr>
      <w:r>
        <w:t>Different measures of consumption per body weight were converted into g/kg.</w:t>
      </w:r>
    </w:p>
    <w:p w14:paraId="34DCF36B" w14:textId="1801A18D" w:rsidR="008B4775" w:rsidRDefault="008B4775" w:rsidP="008B4775">
      <w:pPr>
        <w:pStyle w:val="Heading3"/>
      </w:pPr>
      <w:r>
        <w:rPr>
          <w:i/>
          <w:iCs/>
        </w:rPr>
        <w:t>Pairwise analyses:</w:t>
      </w:r>
    </w:p>
    <w:p w14:paraId="3F6E0CB0" w14:textId="7DB5029A" w:rsidR="008B4775" w:rsidRPr="008B4775" w:rsidRDefault="008B4775" w:rsidP="008B4775">
      <w:pPr>
        <w:pStyle w:val="BodyText"/>
        <w:jc w:val="both"/>
      </w:pPr>
      <w:r w:rsidRPr="008B4775">
        <w:t xml:space="preserve">Pairwise analyses were conducted for experiments that reported preference and intake or preference and intake corrected by body weight in the </w:t>
      </w:r>
      <w:r>
        <w:t>same cohorts of animals. For the</w:t>
      </w:r>
      <w:r w:rsidRPr="008B4775">
        <w:t>s</w:t>
      </w:r>
      <w:r>
        <w:t>e analyse</w:t>
      </w:r>
      <w:r w:rsidRPr="008B4775">
        <w:t xml:space="preserve">s, the pooled effect of the difference in effect sizes between stressed animals and controls for both outcome measures was estimated using a fixed effects model. The sample </w:t>
      </w:r>
      <w:r w:rsidRPr="008B4775">
        <w:lastRenderedPageBreak/>
        <w:t>size for both outcomes was calculated as the sum of the sample size in the stressed and control groups divided by two.</w:t>
      </w:r>
    </w:p>
    <w:bookmarkEnd w:id="11"/>
    <w:p w14:paraId="31E723AD" w14:textId="197ADDBF" w:rsidR="00074601" w:rsidRDefault="00074601" w:rsidP="00074601">
      <w:pPr>
        <w:pStyle w:val="Heading2"/>
      </w:pPr>
      <w:r>
        <w:t>Sensitivity analyses:</w:t>
      </w:r>
    </w:p>
    <w:p w14:paraId="395D7551" w14:textId="6A28425E" w:rsidR="00074601" w:rsidRDefault="00074601" w:rsidP="00074601">
      <w:pPr>
        <w:pStyle w:val="BodyText"/>
      </w:pPr>
      <w:r>
        <w:t>Two sensitivity analyses were performed:</w:t>
      </w:r>
    </w:p>
    <w:p w14:paraId="258702DE" w14:textId="5AAD253D" w:rsidR="00074601" w:rsidRPr="00074601" w:rsidRDefault="00074601" w:rsidP="00074601">
      <w:pPr>
        <w:pStyle w:val="Heading4"/>
      </w:pPr>
      <w:r>
        <w:rPr>
          <w:iCs/>
        </w:rPr>
        <w:t>Sample size:</w:t>
      </w:r>
    </w:p>
    <w:p w14:paraId="489A0829" w14:textId="5A511E85" w:rsidR="00074601" w:rsidRDefault="00074601" w:rsidP="00074601">
      <w:pPr>
        <w:pStyle w:val="BodyText"/>
      </w:pPr>
      <w:r>
        <w:t>When the sample size of the studies was reported in ranges, the lowest value was extracted for the primary analysis (Supplementary table 2, Data reporting (a)). For sensitivity, the analysis was re-run using the highest number instead (25 experiments).</w:t>
      </w:r>
    </w:p>
    <w:p w14:paraId="0439D26C" w14:textId="255BED60" w:rsidR="00074601" w:rsidRPr="00074601" w:rsidRDefault="00074601" w:rsidP="00074601">
      <w:pPr>
        <w:pStyle w:val="Heading4"/>
      </w:pPr>
      <w:r>
        <w:rPr>
          <w:iCs/>
        </w:rPr>
        <w:t>Heterogeneity estimator:</w:t>
      </w:r>
    </w:p>
    <w:p w14:paraId="4D38C6D6" w14:textId="55B59E70" w:rsidR="00074601" w:rsidRDefault="00074601" w:rsidP="00074601">
      <w:pPr>
        <w:pStyle w:val="BodyText"/>
      </w:pPr>
      <w:r>
        <w:t xml:space="preserve">The restricted maximum likelihood (REML) estimator was recently recommended over the </w:t>
      </w:r>
      <w:proofErr w:type="spellStart"/>
      <w:r>
        <w:t>DerSimonian</w:t>
      </w:r>
      <w:proofErr w:type="spellEnd"/>
      <w:r>
        <w:t xml:space="preserve"> and Laird (DL) estimator for gauging between-study heterogeneity in meta-analyses of preclinical data</w:t>
      </w:r>
      <w:r>
        <w:fldChar w:fldCharType="begin" w:fldLock="1"/>
      </w:r>
      <w:r w:rsidR="00F24A26">
        <w:instrText>ADDIN CSL_CITATION {"citationItems":[{"id":"ITEM-1","itemData":{"DOI":"10.1136/BMJOS-2020-100074","ISSN":"2398-8703","abstract":"Background Meta-analysis of preclinical data is used to evaluate the consistency of findings and to inform the design and conduct of future studies. Unlike clinical meta-analysis, preclinical data often involve many heterogeneous studies reporting outcomes from a small number of animals. Here, we review the methodological challenges in preclinical meta-analysis in estimating and explaining heterogeneity in treatment effects.\n\nMethods Assuming aggregate-level data, we focus on two topics: (1) estimation of heterogeneity using commonly used methods in preclinical meta-analysis: method of moments (DerSimonian and Laird; DL), maximum likelihood (restricted maximum likelihood; REML) and Bayesian approach; (2) comparison of univariate versus multivariable meta-regression for adjusting estimated treatment effects for heterogeneity. Using data from a systematic review on the efficacy of interleukin-1 receptor antagonist in animals with stroke, we compare these methods, and explore the impact of multiple covariates on the treatment effects.\n\nResults We observed that the three methods for estimating heterogeneity yielded similar estimates for the overall effect, but different estimates for between-study variability. The proportion of heterogeneity explained by a covariate is estimated larger using REML and the Bayesian method as compared with DL. Multivariable meta-regression explains more heterogeneity than univariate meta-regression.\n\nConclusions Our findings highlight the importance of careful selection of the estimation method and the use of multivariable meta-regression to explain heterogeneity. There was no difference between REML and the Bayesian method and both methods are recommended over DL. Multiple meta-regression is worthwhile to explain heterogeneity by more than one variable, reducing more variability than any univariate models and increasing the explained proportion of heterogeneity.","author":[{"dropping-particle":"","family":"Tanriver-Ayder","given":"Ezgi","non-dropping-particle":"","parse-names":false,"suffix":""},{"dropping-particle":"","family":"Faes","given":"Christel","non-dropping-particle":"","parse-names":false,"suffix":""},{"dropping-particle":"","family":"Casteele","given":"Tom","non-dropping-particle":"Van De","parse-names":false,"suffix":""},{"dropping-particle":"","family":"McCann","given":"Sarah K.","non-dropping-particle":"","parse-names":false,"suffix":""},{"dropping-particle":"","family":"Macleod","given":"Malcolm R.","non-dropping-particle":"","parse-names":false,"suffix":""}],"container-title":"BMJ Open Science","id":"ITEM-1","issue":"1","issued":{"date-parts":[["2021","2","1"]]},"page":"e100074","publisher":"BMJ Specialist Journals","title":"Comparison of commonly used methods in random effects meta-analysis: application to preclinical data in drug discovery research","type":"article-journal","volume":"5"},"uris":["http://www.mendeley.com/documents/?uuid=e42b10f1-1b49-39b7-bb7b-3af6dee57ab7"]}],"mendeley":{"formattedCitation":"&lt;sup&gt;5&lt;/sup&gt;","plainTextFormattedCitation":"5","previouslyFormattedCitation":"&lt;sup&gt;5&lt;/sup&gt;"},"properties":{"noteIndex":0},"schema":"https://github.com/citation-style-language/schema/raw/master/csl-citation.json"}</w:instrText>
      </w:r>
      <w:r>
        <w:fldChar w:fldCharType="separate"/>
      </w:r>
      <w:r w:rsidR="00A36ADA" w:rsidRPr="00A36ADA">
        <w:rPr>
          <w:noProof/>
          <w:vertAlign w:val="superscript"/>
        </w:rPr>
        <w:t>5</w:t>
      </w:r>
      <w:r>
        <w:fldChar w:fldCharType="end"/>
      </w:r>
      <w:r>
        <w:t>. To test the robustness of our results, we re-ran the primary analysis using this estimator instead.</w:t>
      </w:r>
    </w:p>
    <w:p w14:paraId="421EE10D" w14:textId="2EAD863B" w:rsidR="00FE6A1B" w:rsidRPr="00C817F1" w:rsidRDefault="001D4D21" w:rsidP="001D4D21">
      <w:pPr>
        <w:pStyle w:val="Heading1"/>
        <w:rPr>
          <w:lang w:val="da-DK"/>
        </w:rPr>
      </w:pPr>
      <w:proofErr w:type="spellStart"/>
      <w:r w:rsidRPr="00C817F1">
        <w:rPr>
          <w:lang w:val="da-DK"/>
        </w:rPr>
        <w:t>Results</w:t>
      </w:r>
      <w:proofErr w:type="spellEnd"/>
    </w:p>
    <w:p w14:paraId="52034D5D" w14:textId="0641309A" w:rsidR="003337EB" w:rsidRPr="003337EB" w:rsidRDefault="003337EB" w:rsidP="003337EB">
      <w:pPr>
        <w:pStyle w:val="BodyText"/>
        <w:rPr>
          <w:b/>
          <w:lang w:val="da-DK"/>
        </w:rPr>
      </w:pPr>
      <w:r w:rsidRPr="003337EB">
        <w:rPr>
          <w:b/>
          <w:lang w:val="da-DK"/>
        </w:rPr>
        <w:t>Databases:</w:t>
      </w:r>
      <w:r w:rsidRPr="003337EB">
        <w:rPr>
          <w:i/>
          <w:iCs/>
          <w:lang w:val="da-DK"/>
        </w:rPr>
        <w:t xml:space="preserve"> (OSF: “</w:t>
      </w:r>
      <w:proofErr w:type="spellStart"/>
      <w:r w:rsidRPr="003337EB">
        <w:rPr>
          <w:i/>
          <w:iCs/>
          <w:lang w:val="da-DK"/>
        </w:rPr>
        <w:t>Database_Main</w:t>
      </w:r>
      <w:proofErr w:type="spellEnd"/>
      <w:r w:rsidRPr="003337EB">
        <w:rPr>
          <w:i/>
          <w:iCs/>
          <w:lang w:val="da-DK"/>
        </w:rPr>
        <w:t>” &amp; “</w:t>
      </w:r>
      <w:proofErr w:type="spellStart"/>
      <w:r w:rsidRPr="003337EB">
        <w:rPr>
          <w:i/>
          <w:iCs/>
          <w:lang w:val="da-DK"/>
        </w:rPr>
        <w:t>Database_alt</w:t>
      </w:r>
      <w:proofErr w:type="spellEnd"/>
      <w:r w:rsidRPr="003337EB">
        <w:rPr>
          <w:i/>
          <w:iCs/>
          <w:lang w:val="da-DK"/>
        </w:rPr>
        <w:t>”)</w:t>
      </w:r>
    </w:p>
    <w:p w14:paraId="2A4255BF" w14:textId="77777777" w:rsidR="008B4775" w:rsidRPr="00651207" w:rsidRDefault="008B4775" w:rsidP="008B4775">
      <w:pPr>
        <w:pStyle w:val="BodyText"/>
        <w:rPr>
          <w:b/>
        </w:rPr>
      </w:pPr>
      <w:r w:rsidRPr="00651207">
        <w:rPr>
          <w:b/>
        </w:rPr>
        <w:t xml:space="preserve">List of references </w:t>
      </w:r>
      <w:r>
        <w:rPr>
          <w:b/>
        </w:rPr>
        <w:t xml:space="preserve">of included studies: </w:t>
      </w:r>
      <w:r>
        <w:rPr>
          <w:i/>
          <w:iCs/>
        </w:rPr>
        <w:t>(OSF: “</w:t>
      </w:r>
      <w:proofErr w:type="spellStart"/>
      <w:r w:rsidRPr="007E2C2D">
        <w:rPr>
          <w:i/>
          <w:iCs/>
        </w:rPr>
        <w:t>Bibliography_Included</w:t>
      </w:r>
      <w:proofErr w:type="spellEnd"/>
      <w:r w:rsidRPr="007E2C2D">
        <w:rPr>
          <w:i/>
          <w:iCs/>
        </w:rPr>
        <w:t xml:space="preserve"> studies</w:t>
      </w:r>
      <w:r>
        <w:rPr>
          <w:i/>
          <w:iCs/>
        </w:rPr>
        <w:t>”)</w:t>
      </w:r>
    </w:p>
    <w:p w14:paraId="4E08D903" w14:textId="50F17C0C" w:rsidR="007B3C5B" w:rsidRDefault="00370743">
      <w:pPr>
        <w:pStyle w:val="Heading3"/>
        <w:rPr>
          <w:i/>
          <w:iCs/>
        </w:rPr>
      </w:pPr>
      <w:r>
        <w:rPr>
          <w:i/>
          <w:iCs/>
        </w:rPr>
        <w:t>Additional characteristics of included experiments</w:t>
      </w:r>
    </w:p>
    <w:p w14:paraId="7576489A" w14:textId="77777777" w:rsidR="001D4D21" w:rsidRDefault="001D4D21" w:rsidP="001D4D21">
      <w:pPr>
        <w:pStyle w:val="BodyText"/>
        <w:rPr>
          <w:b/>
          <w:bCs/>
        </w:rPr>
      </w:pPr>
      <w:r>
        <w:rPr>
          <w:b/>
          <w:bCs/>
        </w:rPr>
        <w:t>Characteristics of the experiments included in the analysis</w:t>
      </w:r>
    </w:p>
    <w:p w14:paraId="55CC3B06" w14:textId="77777777" w:rsidR="001D4D21" w:rsidRDefault="001D4D21" w:rsidP="001D4D21">
      <w:pPr>
        <w:pStyle w:val="BodyText"/>
      </w:pPr>
      <w:r>
        <w:t xml:space="preserve">See </w:t>
      </w:r>
      <w:r>
        <w:rPr>
          <w:i/>
          <w:iCs/>
        </w:rPr>
        <w:t>OSF: “Tables.html”</w:t>
      </w:r>
    </w:p>
    <w:p w14:paraId="5B30AD54" w14:textId="77777777" w:rsidR="001D4D21" w:rsidRPr="001D4D21" w:rsidRDefault="001D4D21" w:rsidP="001D4D21">
      <w:pPr>
        <w:pStyle w:val="BodyText"/>
      </w:pPr>
    </w:p>
    <w:p w14:paraId="5F52A1C1" w14:textId="0B657CA7" w:rsidR="002A1C46" w:rsidRDefault="002A1C46" w:rsidP="002A1C46">
      <w:pPr>
        <w:pStyle w:val="BodyText"/>
        <w:jc w:val="center"/>
        <w:rPr>
          <w:b/>
          <w:bCs/>
        </w:rPr>
      </w:pPr>
      <w:r w:rsidRPr="002A1C46">
        <w:rPr>
          <w:b/>
          <w:bCs/>
          <w:noProof/>
        </w:rPr>
        <w:drawing>
          <wp:inline distT="0" distB="0" distL="0" distR="0" wp14:anchorId="07DBBB4A" wp14:editId="4DC54010">
            <wp:extent cx="2845558" cy="2316996"/>
            <wp:effectExtent l="0" t="0" r="0" b="7620"/>
            <wp:docPr id="1" name="Picture 1" descr="D:\PhD\Project\1 SR\1SR\Article\FIGURES\Final\SFig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D\Project\1 SR\1SR\Article\FIGURES\Final\SFigure1.png"/>
                    <pic:cNvPicPr>
                      <a:picLocks noChangeAspect="1" noChangeArrowheads="1"/>
                    </pic:cNvPicPr>
                  </pic:nvPicPr>
                  <pic:blipFill rotWithShape="1">
                    <a:blip r:embed="rId22">
                      <a:extLst>
                        <a:ext uri="{28A0092B-C50C-407E-A947-70E740481C1C}">
                          <a14:useLocalDpi xmlns:a14="http://schemas.microsoft.com/office/drawing/2010/main" val="0"/>
                        </a:ext>
                      </a:extLst>
                    </a:blip>
                    <a:srcRect t="9030" b="9926"/>
                    <a:stretch/>
                  </pic:blipFill>
                  <pic:spPr bwMode="auto">
                    <a:xfrm>
                      <a:off x="0" y="0"/>
                      <a:ext cx="2857669" cy="2326857"/>
                    </a:xfrm>
                    <a:prstGeom prst="rect">
                      <a:avLst/>
                    </a:prstGeom>
                    <a:noFill/>
                    <a:ln>
                      <a:noFill/>
                    </a:ln>
                    <a:extLst>
                      <a:ext uri="{53640926-AAD7-44D8-BBD7-CCE9431645EC}">
                        <a14:shadowObscured xmlns:a14="http://schemas.microsoft.com/office/drawing/2010/main"/>
                      </a:ext>
                    </a:extLst>
                  </pic:spPr>
                </pic:pic>
              </a:graphicData>
            </a:graphic>
          </wp:inline>
        </w:drawing>
      </w:r>
    </w:p>
    <w:p w14:paraId="1EB07F66" w14:textId="6E549F76" w:rsidR="007B3C5B" w:rsidRDefault="00370743">
      <w:pPr>
        <w:pStyle w:val="BodyText"/>
      </w:pPr>
      <w:r>
        <w:rPr>
          <w:b/>
          <w:bCs/>
        </w:rPr>
        <w:lastRenderedPageBreak/>
        <w:t>Supplementary figure 1.</w:t>
      </w:r>
      <w:r>
        <w:t xml:space="preserve"> </w:t>
      </w:r>
      <w:r>
        <w:rPr>
          <w:i/>
          <w:iCs/>
        </w:rPr>
        <w:t>Distribution of the experi</w:t>
      </w:r>
      <w:r w:rsidR="00744A03">
        <w:rPr>
          <w:i/>
          <w:iCs/>
        </w:rPr>
        <w:t>ments with tests shorter than 12</w:t>
      </w:r>
      <w:r>
        <w:rPr>
          <w:i/>
          <w:iCs/>
        </w:rPr>
        <w:t xml:space="preserve"> h by photoperiod</w:t>
      </w:r>
      <w:r>
        <w:t xml:space="preserve">. </w:t>
      </w:r>
      <w:r w:rsidR="00744A03">
        <w:t>34% (40</w:t>
      </w:r>
      <w:r w:rsidR="002A1C46">
        <w:t xml:space="preserve"> out of 117</w:t>
      </w:r>
      <w:r>
        <w:t xml:space="preserve">) performed the test </w:t>
      </w:r>
      <w:r w:rsidR="002A1C46">
        <w:t>during the dark phase, 13% (15</w:t>
      </w:r>
      <w:r>
        <w:t>) d</w:t>
      </w:r>
      <w:r w:rsidR="002A1C46">
        <w:t>uring the light phase, and 50% (59</w:t>
      </w:r>
      <w:r>
        <w:t>) did not report the photoperiod. Only 3 experiments (1 study) had the test spread over both phases.</w:t>
      </w:r>
    </w:p>
    <w:p w14:paraId="522937A1" w14:textId="77777777" w:rsidR="000701A8" w:rsidRDefault="000701A8">
      <w:pPr>
        <w:pStyle w:val="BodyText"/>
      </w:pPr>
    </w:p>
    <w:p w14:paraId="56E53BDB" w14:textId="77777777" w:rsidR="005C309F" w:rsidRDefault="005C309F" w:rsidP="005C309F">
      <w:pPr>
        <w:pStyle w:val="Heading3"/>
      </w:pPr>
      <w:r>
        <w:rPr>
          <w:i/>
          <w:iCs/>
        </w:rPr>
        <w:t>Quality of reporting</w:t>
      </w:r>
    </w:p>
    <w:p w14:paraId="0273B50D" w14:textId="51498B48" w:rsidR="005C309F" w:rsidRDefault="00892F97" w:rsidP="005C309F">
      <w:pPr>
        <w:pStyle w:val="BodyText"/>
        <w:jc w:val="center"/>
      </w:pPr>
      <w:r w:rsidRPr="00892F97">
        <w:rPr>
          <w:noProof/>
        </w:rPr>
        <w:drawing>
          <wp:inline distT="0" distB="0" distL="0" distR="0" wp14:anchorId="11ACBB14" wp14:editId="6AF77BC2">
            <wp:extent cx="5943600" cy="3567414"/>
            <wp:effectExtent l="0" t="0" r="0" b="0"/>
            <wp:docPr id="2" name="Picture 2" descr="D:\PhD\Project\1 SR\1SR\Article\FIGURES\R_output\Sfig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D\Project\1 SR\1SR\Article\FIGURES\R_output\Sfigure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567414"/>
                    </a:xfrm>
                    <a:prstGeom prst="rect">
                      <a:avLst/>
                    </a:prstGeom>
                    <a:noFill/>
                    <a:ln>
                      <a:noFill/>
                    </a:ln>
                  </pic:spPr>
                </pic:pic>
              </a:graphicData>
            </a:graphic>
          </wp:inline>
        </w:drawing>
      </w:r>
    </w:p>
    <w:p w14:paraId="2BF56A1F" w14:textId="23BD733E" w:rsidR="005C309F" w:rsidRDefault="005C309F" w:rsidP="005C309F">
      <w:pPr>
        <w:pStyle w:val="BodyText"/>
      </w:pPr>
      <w:r>
        <w:rPr>
          <w:b/>
          <w:bCs/>
        </w:rPr>
        <w:t>Supplementary figure 2.</w:t>
      </w:r>
      <w:r>
        <w:t xml:space="preserve"> </w:t>
      </w:r>
      <w:r>
        <w:rPr>
          <w:i/>
          <w:iCs/>
        </w:rPr>
        <w:t>Quality of reporting</w:t>
      </w:r>
      <w:r>
        <w:t>. Proportion of studies that reported the individual items assessed in the quality of reporting checklist adapted from the ARRIVE essential 10. Each item is abbreviated on the X-axis.</w:t>
      </w:r>
      <w:r w:rsidR="003337EB" w:rsidRPr="003337EB">
        <w:rPr>
          <w:i/>
          <w:iCs/>
        </w:rPr>
        <w:t xml:space="preserve"> </w:t>
      </w:r>
      <w:r w:rsidR="003337EB">
        <w:rPr>
          <w:i/>
          <w:iCs/>
        </w:rPr>
        <w:t>(OSF: “</w:t>
      </w:r>
      <w:r w:rsidR="003337EB" w:rsidRPr="003337EB">
        <w:rPr>
          <w:i/>
          <w:iCs/>
        </w:rPr>
        <w:t>QR_Final.xlsx</w:t>
      </w:r>
      <w:r w:rsidR="003337EB">
        <w:rPr>
          <w:i/>
          <w:iCs/>
        </w:rPr>
        <w:t>”)</w:t>
      </w:r>
    </w:p>
    <w:p w14:paraId="4C01315B" w14:textId="71210405" w:rsidR="001D4D21" w:rsidRDefault="001D4D21" w:rsidP="001D4D21">
      <w:pPr>
        <w:pStyle w:val="Heading3"/>
        <w:rPr>
          <w:i/>
          <w:iCs/>
        </w:rPr>
      </w:pPr>
      <w:r>
        <w:rPr>
          <w:i/>
          <w:iCs/>
        </w:rPr>
        <w:t>Risk of bias</w:t>
      </w:r>
    </w:p>
    <w:p w14:paraId="276121AB" w14:textId="5CE79853" w:rsidR="004650E0" w:rsidRDefault="004650E0" w:rsidP="004650E0">
      <w:pPr>
        <w:pStyle w:val="BodyText"/>
        <w:jc w:val="both"/>
      </w:pPr>
      <w:r>
        <w:rPr>
          <w:rFonts w:ascii="Segoe UI" w:hAnsi="Segoe UI" w:cs="Segoe UI"/>
          <w:noProof/>
          <w:color w:val="333333"/>
          <w:sz w:val="21"/>
          <w:szCs w:val="21"/>
          <w:shd w:val="clear" w:color="auto" w:fill="FFFFFF"/>
        </w:rPr>
        <w:drawing>
          <wp:inline distT="0" distB="0" distL="0" distR="0" wp14:anchorId="54555DB5" wp14:editId="006BC132">
            <wp:extent cx="5970896" cy="179892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OB (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93656" cy="1805780"/>
                    </a:xfrm>
                    <a:prstGeom prst="rect">
                      <a:avLst/>
                    </a:prstGeom>
                  </pic:spPr>
                </pic:pic>
              </a:graphicData>
            </a:graphic>
          </wp:inline>
        </w:drawing>
      </w:r>
      <w:r>
        <w:rPr>
          <w:b/>
          <w:bCs/>
        </w:rPr>
        <w:t>Supplementary figure 3.</w:t>
      </w:r>
      <w:r>
        <w:t xml:space="preserve"> </w:t>
      </w:r>
      <w:r>
        <w:rPr>
          <w:i/>
          <w:iCs/>
        </w:rPr>
        <w:t>Risk of bias</w:t>
      </w:r>
      <w:r>
        <w:t xml:space="preserve">. Assessed using a modified version of SYRCLE’s risk of </w:t>
      </w:r>
      <w:r>
        <w:lastRenderedPageBreak/>
        <w:t xml:space="preserve">bias tool. The proportions of the colored bars indicate the percentage of studies (n = 132) with low (green), unclear (yellow) and high (red) risk of bias for each item. NA stands for “not applicable”. Only the studies that used antidepressant treatment were evaluated for performance blinding (n = 12). The shiny web app </w:t>
      </w:r>
      <w:proofErr w:type="spellStart"/>
      <w:r>
        <w:t>Robvis</w:t>
      </w:r>
      <w:proofErr w:type="spellEnd"/>
      <w:r>
        <w:t xml:space="preserve"> was used to create the risk of bias plot</w:t>
      </w:r>
      <w:r>
        <w:fldChar w:fldCharType="begin" w:fldLock="1"/>
      </w:r>
      <w:r w:rsidR="00F24A26">
        <w:instrText>ADDIN CSL_CITATION {"citationItems":[{"id":"ITEM-1","itemData":{"DOI":"10.1002/jrsm.1411","abstract":"Despite a major increase in the range and number of software offerings now available to help researchers produce evidence syntheses, there is currently no generic tool for producing figures to display and explore the risk-of-bias assessments that routinely take place as part of systematic review. However, tools such as the R programming environment and Shiny (an R package for building interactive web apps) have made it straightforward to produce new tools to help in producing evidence syntheses. We present a new tool, robvis (Risk-Of-Bias VISualization), available as an R package and web app, which facilitates rapid production of publication-quality risk-of-bias assessment figures. We present a timeline of the tool's development and its key functionality.","author":[{"dropping-particle":"","family":"McGuinness","given":"Luke A","non-dropping-particle":"","parse-names":false,"suffix":""},{"dropping-particle":"","family":"Higgins","given":"Julian P T","non-dropping-particle":"","parse-names":false,"suffix":""}],"container-title":"Research Synthesis Methods","id":"ITEM-1","issue":"1","issued":{"date-parts":[["2020"]]},"page":"55-61","title":"Risk-of-bias VISualization (robvis): An R package and Shiny web app for visualizing risk-of-bias assessments","type":"article-journal","volume":"12"},"uris":["http://www.mendeley.com/documents/?uuid=71b6781d-2854-4ec2-90c8-9d195187649e"]}],"mendeley":{"formattedCitation":"&lt;sup&gt;6&lt;/sup&gt;","plainTextFormattedCitation":"6","previouslyFormattedCitation":"&lt;sup&gt;6&lt;/sup&gt;"},"properties":{"noteIndex":0},"schema":"https://github.com/citation-style-language/schema/raw/master/csl-citation.json"}</w:instrText>
      </w:r>
      <w:r>
        <w:fldChar w:fldCharType="separate"/>
      </w:r>
      <w:r w:rsidR="00A36ADA" w:rsidRPr="00A36ADA">
        <w:rPr>
          <w:noProof/>
          <w:vertAlign w:val="superscript"/>
        </w:rPr>
        <w:t>6</w:t>
      </w:r>
      <w:r>
        <w:fldChar w:fldCharType="end"/>
      </w:r>
      <w:r w:rsidR="00710B86">
        <w:t>.</w:t>
      </w:r>
      <w:r w:rsidR="003337EB">
        <w:t xml:space="preserve"> </w:t>
      </w:r>
    </w:p>
    <w:p w14:paraId="4258B0E0" w14:textId="77777777" w:rsidR="007B3C5B" w:rsidRDefault="00370743">
      <w:pPr>
        <w:pStyle w:val="Heading4"/>
      </w:pPr>
      <w:bookmarkStart w:id="12" w:name="selection-bias"/>
      <w:bookmarkStart w:id="13" w:name="quality-and-risk-of-bias-assessment"/>
      <w:bookmarkStart w:id="14" w:name="risk-of-bias"/>
      <w:bookmarkEnd w:id="7"/>
      <w:bookmarkEnd w:id="8"/>
      <w:r>
        <w:rPr>
          <w:iCs/>
        </w:rPr>
        <w:t>Selection bias:</w:t>
      </w:r>
    </w:p>
    <w:p w14:paraId="5F865D9C" w14:textId="0C005FED" w:rsidR="007B3C5B" w:rsidRPr="00651207" w:rsidRDefault="00370743" w:rsidP="00651207">
      <w:pPr>
        <w:pStyle w:val="FirstParagraph"/>
        <w:jc w:val="both"/>
        <w:rPr>
          <w:color w:val="FF0000"/>
        </w:rPr>
      </w:pPr>
      <w:r>
        <w:t xml:space="preserve">40% of studies (53 studies) mentioned a random component to the allocation of the </w:t>
      </w:r>
      <w:r w:rsidRPr="00480AB1">
        <w:t>experimental units, while only 9.8% (13) explained the allocation strategy. None of the studies reported allocation concealment. The sex</w:t>
      </w:r>
      <w:r w:rsidR="00373C45" w:rsidRPr="00480AB1">
        <w:t xml:space="preserve"> (either only one sex was employed or </w:t>
      </w:r>
      <w:r w:rsidR="00182C1B" w:rsidRPr="00480AB1">
        <w:t xml:space="preserve">experimental cohorts were balanced with respect to </w:t>
      </w:r>
      <w:r w:rsidR="00373C45" w:rsidRPr="00480AB1">
        <w:t xml:space="preserve">the </w:t>
      </w:r>
      <w:r w:rsidR="00182C1B" w:rsidRPr="00480AB1">
        <w:t xml:space="preserve">subjects’ </w:t>
      </w:r>
      <w:r w:rsidR="00373C45" w:rsidRPr="00480AB1">
        <w:t xml:space="preserve">sex when both sexes were </w:t>
      </w:r>
      <w:r w:rsidR="00387E67" w:rsidRPr="00480AB1">
        <w:t xml:space="preserve">included in the same </w:t>
      </w:r>
      <w:r w:rsidR="00182C1B" w:rsidRPr="00480AB1">
        <w:t>experiment</w:t>
      </w:r>
      <w:r w:rsidR="00DB709A" w:rsidRPr="00480AB1">
        <w:t>)</w:t>
      </w:r>
      <w:r w:rsidRPr="00480AB1">
        <w:t xml:space="preserve">, weight, and baseline sweet preference of the subjects across groups were balanced </w:t>
      </w:r>
      <w:r>
        <w:t>in 18.9% (25), while they were not in 17.4% (23). For most studies, it was unclear if the groups were similar in these key characteristics at baseline (63.6%/84 studies).</w:t>
      </w:r>
    </w:p>
    <w:p w14:paraId="40C21A84" w14:textId="77777777" w:rsidR="007B3C5B" w:rsidRDefault="00370743" w:rsidP="00651207">
      <w:pPr>
        <w:pStyle w:val="Heading4"/>
        <w:jc w:val="both"/>
      </w:pPr>
      <w:bookmarkStart w:id="15" w:name="performance-bias"/>
      <w:bookmarkEnd w:id="12"/>
      <w:r>
        <w:rPr>
          <w:iCs/>
        </w:rPr>
        <w:t>Performance bias:</w:t>
      </w:r>
    </w:p>
    <w:p w14:paraId="7180028E" w14:textId="3FB846E7" w:rsidR="007B3C5B" w:rsidRDefault="00370743" w:rsidP="00651207">
      <w:pPr>
        <w:pStyle w:val="FirstParagraph"/>
        <w:jc w:val="both"/>
      </w:pPr>
      <w:r>
        <w:t xml:space="preserve">21.2% of studies (28) housed the controls and stress groups separately </w:t>
      </w:r>
      <w:r w:rsidR="00E81479">
        <w:t xml:space="preserve">but </w:t>
      </w:r>
      <w:r>
        <w:t xml:space="preserve">under similar environmental conditions to avoid indirect stress exposure of controls. </w:t>
      </w:r>
      <w:r w:rsidR="005D548A">
        <w:t>No</w:t>
      </w:r>
      <w:r w:rsidR="00D4660A">
        <w:t xml:space="preserve"> </w:t>
      </w:r>
      <w:r>
        <w:t xml:space="preserve">studies included in the analysis of antidepressant treatments </w:t>
      </w:r>
      <w:r w:rsidR="005D548A">
        <w:t>mentioned</w:t>
      </w:r>
      <w:r>
        <w:t xml:space="preserve"> blinding with respect to the therapeutic intervention, except for one study that clearly stated </w:t>
      </w:r>
      <w:r w:rsidR="00E81479">
        <w:t xml:space="preserve">that blinding </w:t>
      </w:r>
      <w:r>
        <w:t xml:space="preserve">was not </w:t>
      </w:r>
      <w:r w:rsidR="00E81479">
        <w:t>used</w:t>
      </w:r>
      <w:r>
        <w:t>.</w:t>
      </w:r>
    </w:p>
    <w:p w14:paraId="56EF0229" w14:textId="77777777" w:rsidR="007B3C5B" w:rsidRDefault="00370743" w:rsidP="00651207">
      <w:pPr>
        <w:pStyle w:val="Heading4"/>
        <w:jc w:val="both"/>
      </w:pPr>
      <w:bookmarkStart w:id="16" w:name="detection-bias"/>
      <w:bookmarkEnd w:id="15"/>
      <w:r>
        <w:rPr>
          <w:iCs/>
        </w:rPr>
        <w:t>Detection bias:</w:t>
      </w:r>
    </w:p>
    <w:p w14:paraId="2A32D369" w14:textId="2D8E492F" w:rsidR="007B3C5B" w:rsidRDefault="00370743" w:rsidP="00651207">
      <w:pPr>
        <w:pStyle w:val="FirstParagraph"/>
        <w:jc w:val="both"/>
      </w:pPr>
      <w:r>
        <w:t>In most studies, the SPT was carried out in the home cage, and the subjects were assessed simultaneously. Less than 1% of the studies (10) had a test</w:t>
      </w:r>
      <w:r w:rsidR="005D548A">
        <w:t>ing</w:t>
      </w:r>
      <w:r>
        <w:t xml:space="preserve"> methodology that could introduce an effect of testing order earning them an “unclear risk” in the random outcome assessment item. 15.9% of studies (21) properly counterbalanced the bottles within the test period to avoid place preference. Studies that performed the counterbalancing outside of the testing period or employed a one-bottle paradigm were classified as high risk (16.6%/22). The outcome assessors were blinded in </w:t>
      </w:r>
      <w:r w:rsidR="00490C4E">
        <w:t xml:space="preserve">only </w:t>
      </w:r>
      <w:r>
        <w:t>4 studies.</w:t>
      </w:r>
    </w:p>
    <w:p w14:paraId="7AE527ED" w14:textId="77777777" w:rsidR="007B3C5B" w:rsidRDefault="00370743" w:rsidP="00651207">
      <w:pPr>
        <w:pStyle w:val="Heading4"/>
        <w:jc w:val="both"/>
      </w:pPr>
      <w:bookmarkStart w:id="17" w:name="reporting-and-attrition-bias"/>
      <w:bookmarkEnd w:id="16"/>
      <w:r>
        <w:rPr>
          <w:iCs/>
        </w:rPr>
        <w:t>Reporting and attrition bias:</w:t>
      </w:r>
    </w:p>
    <w:p w14:paraId="4439A58F" w14:textId="1B84E04A" w:rsidR="007B3C5B" w:rsidRDefault="00370743" w:rsidP="00651207">
      <w:pPr>
        <w:pStyle w:val="FirstParagraph"/>
        <w:jc w:val="both"/>
      </w:pPr>
      <w:r>
        <w:t>55.3% of studies (73) reported the SPT outcome with descriptive statistics and variability for all groups. 32.6% of studies (43) had no missing data or explained any exclusions clearly. In 58.3% of studies (77) the lack of reporting of the initial and final sample sizes rendered the assessment of attrition bias unclear. The remaining 12 studies (9.1%) had unexplained missing data (high risk).</w:t>
      </w:r>
    </w:p>
    <w:p w14:paraId="72913F87" w14:textId="77777777" w:rsidR="007B3C5B" w:rsidRDefault="00370743">
      <w:pPr>
        <w:pStyle w:val="BodyText"/>
      </w:pPr>
      <w:r>
        <w:t>Access to the data:</w:t>
      </w:r>
    </w:p>
    <w:p w14:paraId="493F236A" w14:textId="0FA8509B" w:rsidR="007B3C5B" w:rsidRDefault="00370743">
      <w:pPr>
        <w:pStyle w:val="Compact"/>
        <w:numPr>
          <w:ilvl w:val="0"/>
          <w:numId w:val="6"/>
        </w:numPr>
      </w:pPr>
      <w:proofErr w:type="spellStart"/>
      <w:r>
        <w:t>Robvis</w:t>
      </w:r>
      <w:proofErr w:type="spellEnd"/>
      <w:r>
        <w:t xml:space="preserve"> scale: </w:t>
      </w:r>
      <w:r>
        <w:rPr>
          <w:i/>
          <w:iCs/>
        </w:rPr>
        <w:t>(OSF:</w:t>
      </w:r>
      <w:r w:rsidR="004C2EBF">
        <w:rPr>
          <w:i/>
          <w:iCs/>
        </w:rPr>
        <w:t xml:space="preserve"> </w:t>
      </w:r>
      <w:r>
        <w:rPr>
          <w:i/>
          <w:iCs/>
        </w:rPr>
        <w:t>“RB_Final_ROBVIS.xlsx”)</w:t>
      </w:r>
    </w:p>
    <w:p w14:paraId="163E7FA3" w14:textId="56FE52A8" w:rsidR="007B3C5B" w:rsidRPr="004650E0" w:rsidRDefault="00370743">
      <w:pPr>
        <w:pStyle w:val="Compact"/>
        <w:numPr>
          <w:ilvl w:val="0"/>
          <w:numId w:val="6"/>
        </w:numPr>
      </w:pPr>
      <w:proofErr w:type="spellStart"/>
      <w:r>
        <w:t>RoB</w:t>
      </w:r>
      <w:proofErr w:type="spellEnd"/>
      <w:r>
        <w:t xml:space="preserve"> score: </w:t>
      </w:r>
      <w:r>
        <w:rPr>
          <w:i/>
          <w:iCs/>
        </w:rPr>
        <w:t>(OSF:</w:t>
      </w:r>
      <w:r w:rsidR="004C2EBF">
        <w:rPr>
          <w:i/>
          <w:iCs/>
        </w:rPr>
        <w:t xml:space="preserve"> </w:t>
      </w:r>
      <w:r w:rsidR="00963A5C">
        <w:rPr>
          <w:i/>
          <w:iCs/>
        </w:rPr>
        <w:t>“R</w:t>
      </w:r>
      <w:r>
        <w:rPr>
          <w:i/>
          <w:iCs/>
        </w:rPr>
        <w:t>B_Final_Score.xlsx”)</w:t>
      </w:r>
    </w:p>
    <w:p w14:paraId="5455EBB3" w14:textId="77777777" w:rsidR="004650E0" w:rsidRDefault="004650E0" w:rsidP="004650E0">
      <w:pPr>
        <w:pStyle w:val="Compact"/>
        <w:ind w:left="720"/>
      </w:pPr>
    </w:p>
    <w:p w14:paraId="7A3FD902" w14:textId="10E45553" w:rsidR="004650E0" w:rsidRDefault="004650E0" w:rsidP="004650E0">
      <w:pPr>
        <w:pStyle w:val="Heading3"/>
        <w:rPr>
          <w:i/>
          <w:iCs/>
        </w:rPr>
      </w:pPr>
      <w:bookmarkStart w:id="18" w:name="additional-results"/>
      <w:bookmarkStart w:id="19" w:name="data-synthesis"/>
      <w:bookmarkEnd w:id="13"/>
      <w:bookmarkEnd w:id="14"/>
      <w:bookmarkEnd w:id="17"/>
      <w:r>
        <w:rPr>
          <w:i/>
          <w:iCs/>
        </w:rPr>
        <w:lastRenderedPageBreak/>
        <w:t>Data synthesis</w:t>
      </w:r>
    </w:p>
    <w:p w14:paraId="3D715494" w14:textId="3FA8C879" w:rsidR="007674C7" w:rsidRPr="007674C7" w:rsidRDefault="007674C7" w:rsidP="007674C7">
      <w:pPr>
        <w:pStyle w:val="BodyText"/>
        <w:rPr>
          <w:b/>
          <w:bCs/>
        </w:rPr>
      </w:pPr>
      <w:r w:rsidRPr="007674C7">
        <w:rPr>
          <w:b/>
          <w:bCs/>
        </w:rPr>
        <w:t>Full forest plot</w:t>
      </w:r>
    </w:p>
    <w:p w14:paraId="3FC698DE" w14:textId="539D3E97" w:rsidR="007B3C5B" w:rsidRDefault="00370743">
      <w:pPr>
        <w:pStyle w:val="FirstParagraph"/>
        <w:rPr>
          <w:i/>
          <w:iCs/>
        </w:rPr>
      </w:pPr>
      <w:r>
        <w:t xml:space="preserve">Pdf of forest plot: </w:t>
      </w:r>
      <w:r>
        <w:rPr>
          <w:i/>
          <w:iCs/>
        </w:rPr>
        <w:t>(OSF:</w:t>
      </w:r>
      <w:r w:rsidR="00DD71A3">
        <w:rPr>
          <w:i/>
          <w:iCs/>
        </w:rPr>
        <w:t xml:space="preserve"> </w:t>
      </w:r>
      <w:r>
        <w:rPr>
          <w:i/>
          <w:iCs/>
        </w:rPr>
        <w:t>“forestplot_Q1_all”)</w:t>
      </w:r>
    </w:p>
    <w:p w14:paraId="40E35417" w14:textId="05534FA8" w:rsidR="007B3C5B" w:rsidRDefault="004650E0">
      <w:pPr>
        <w:pStyle w:val="BodyText"/>
      </w:pPr>
      <w:r>
        <w:rPr>
          <w:b/>
          <w:bCs/>
        </w:rPr>
        <w:t>Supplementary figure 4</w:t>
      </w:r>
      <w:r w:rsidR="00370743">
        <w:rPr>
          <w:b/>
          <w:bCs/>
        </w:rPr>
        <w:t>.</w:t>
      </w:r>
      <w:r w:rsidR="00370743">
        <w:t xml:space="preserve"> </w:t>
      </w:r>
      <w:r w:rsidR="00370743">
        <w:rPr>
          <w:i/>
          <w:iCs/>
        </w:rPr>
        <w:t>Forest plot of experiments comparing the sweet intake/preference in stressed animals to unstressed controls</w:t>
      </w:r>
      <w:r w:rsidR="00370743">
        <w:t>. The name</w:t>
      </w:r>
      <w:r w:rsidR="004F3684">
        <w:t>s</w:t>
      </w:r>
      <w:r w:rsidR="00370743">
        <w:t xml:space="preserve"> of the experiments </w:t>
      </w:r>
      <w:r w:rsidR="004F3684">
        <w:t xml:space="preserve">are </w:t>
      </w:r>
      <w:r w:rsidR="00370743">
        <w:t>composed of the main author of the study, year of publication and an indicator of the number of experiments extracted from a single published study (“_</w:t>
      </w:r>
      <w:proofErr w:type="spellStart"/>
      <w:r w:rsidR="00370743">
        <w:t>Cx</w:t>
      </w:r>
      <w:proofErr w:type="spellEnd"/>
      <w:r w:rsidR="00370743">
        <w:t>”).</w:t>
      </w:r>
    </w:p>
    <w:p w14:paraId="6C1DCF38" w14:textId="0C419B53" w:rsidR="007B3C5B" w:rsidRDefault="00370743">
      <w:pPr>
        <w:pStyle w:val="BodyText"/>
        <w:rPr>
          <w:b/>
          <w:bCs/>
        </w:rPr>
      </w:pPr>
      <w:r>
        <w:rPr>
          <w:b/>
          <w:bCs/>
        </w:rPr>
        <w:t>Pairwise analyses</w:t>
      </w:r>
    </w:p>
    <w:p w14:paraId="63619109" w14:textId="77777777" w:rsidR="003337EB" w:rsidRDefault="003337EB" w:rsidP="003337EB">
      <w:pPr>
        <w:pStyle w:val="BodyText"/>
      </w:pPr>
      <w:r>
        <w:t>Access to the data:</w:t>
      </w:r>
    </w:p>
    <w:p w14:paraId="3105FCE2" w14:textId="04C6F1BC" w:rsidR="003337EB" w:rsidRDefault="003337EB" w:rsidP="00963A5C">
      <w:pPr>
        <w:pStyle w:val="Compact"/>
        <w:numPr>
          <w:ilvl w:val="0"/>
          <w:numId w:val="25"/>
        </w:numPr>
      </w:pPr>
      <w:r>
        <w:rPr>
          <w:i/>
          <w:iCs/>
        </w:rPr>
        <w:t>Preference and intake for the same animals</w:t>
      </w:r>
      <w:r>
        <w:t xml:space="preserve">: </w:t>
      </w:r>
      <w:r>
        <w:rPr>
          <w:i/>
          <w:iCs/>
        </w:rPr>
        <w:t>(OSF: “</w:t>
      </w:r>
      <w:r w:rsidRPr="003337EB">
        <w:rPr>
          <w:i/>
          <w:iCs/>
        </w:rPr>
        <w:t>Preference_pairwise</w:t>
      </w:r>
      <w:r>
        <w:rPr>
          <w:i/>
          <w:iCs/>
        </w:rPr>
        <w:t>.xlsx”</w:t>
      </w:r>
      <w:r w:rsidR="00963A5C">
        <w:rPr>
          <w:i/>
          <w:iCs/>
        </w:rPr>
        <w:t xml:space="preserve"> &amp; “</w:t>
      </w:r>
      <w:r w:rsidR="00963A5C" w:rsidRPr="00963A5C">
        <w:rPr>
          <w:i/>
          <w:iCs/>
        </w:rPr>
        <w:t>Intake_pairwise</w:t>
      </w:r>
      <w:r w:rsidR="00963A5C">
        <w:rPr>
          <w:i/>
          <w:iCs/>
        </w:rPr>
        <w:t>.xlsx”</w:t>
      </w:r>
      <w:r>
        <w:rPr>
          <w:i/>
          <w:iCs/>
        </w:rPr>
        <w:t>)</w:t>
      </w:r>
    </w:p>
    <w:p w14:paraId="4DC3322F" w14:textId="15E643A1" w:rsidR="003337EB" w:rsidRPr="004650E0" w:rsidRDefault="00963A5C" w:rsidP="005C497E">
      <w:pPr>
        <w:pStyle w:val="Compact"/>
        <w:numPr>
          <w:ilvl w:val="0"/>
          <w:numId w:val="25"/>
        </w:numPr>
      </w:pPr>
      <w:r>
        <w:rPr>
          <w:i/>
          <w:iCs/>
        </w:rPr>
        <w:t>Preference and intake corrected by body weight for the same animals</w:t>
      </w:r>
      <w:r w:rsidR="003337EB">
        <w:t xml:space="preserve">: </w:t>
      </w:r>
      <w:r w:rsidR="003337EB">
        <w:rPr>
          <w:i/>
          <w:iCs/>
        </w:rPr>
        <w:t>(OSF: “</w:t>
      </w:r>
      <w:r w:rsidRPr="00963A5C">
        <w:rPr>
          <w:i/>
          <w:iCs/>
        </w:rPr>
        <w:t>Pref_weight_pairwise</w:t>
      </w:r>
      <w:r w:rsidR="003337EB">
        <w:rPr>
          <w:i/>
          <w:iCs/>
        </w:rPr>
        <w:t>.xlsx”</w:t>
      </w:r>
      <w:r w:rsidR="005C497E">
        <w:rPr>
          <w:i/>
          <w:iCs/>
        </w:rPr>
        <w:t xml:space="preserve"> &amp; “</w:t>
      </w:r>
      <w:r w:rsidR="005C497E" w:rsidRPr="005C497E">
        <w:rPr>
          <w:i/>
          <w:iCs/>
        </w:rPr>
        <w:t>corrected_weight_pairwise</w:t>
      </w:r>
      <w:r w:rsidR="005C497E">
        <w:rPr>
          <w:i/>
          <w:iCs/>
        </w:rPr>
        <w:t>.xlsx”</w:t>
      </w:r>
      <w:r w:rsidR="003337EB">
        <w:rPr>
          <w:i/>
          <w:iCs/>
        </w:rPr>
        <w:t>)</w:t>
      </w:r>
    </w:p>
    <w:p w14:paraId="4EA38184" w14:textId="528CDC2B" w:rsidR="007B3C5B" w:rsidRDefault="00AB07D3">
      <w:pPr>
        <w:pStyle w:val="BodyText"/>
      </w:pPr>
      <w:r w:rsidRPr="00AB07D3">
        <w:rPr>
          <w:noProof/>
        </w:rPr>
        <w:drawing>
          <wp:inline distT="0" distB="0" distL="0" distR="0" wp14:anchorId="24DEC2C9" wp14:editId="2671CAC4">
            <wp:extent cx="5943600" cy="3559444"/>
            <wp:effectExtent l="0" t="0" r="0" b="3175"/>
            <wp:docPr id="3" name="Picture 3" descr="D:\PhD\Project\1 SR\1SR\Article\FIGURES\Final\Supplementary material\SFig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D\Project\1 SR\1SR\Article\FIGURES\Final\Supplementary material\SFigure5.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559444"/>
                    </a:xfrm>
                    <a:prstGeom prst="rect">
                      <a:avLst/>
                    </a:prstGeom>
                    <a:noFill/>
                    <a:ln>
                      <a:noFill/>
                    </a:ln>
                  </pic:spPr>
                </pic:pic>
              </a:graphicData>
            </a:graphic>
          </wp:inline>
        </w:drawing>
      </w:r>
    </w:p>
    <w:p w14:paraId="71AC8DA0" w14:textId="5232E32C" w:rsidR="007B3C5B" w:rsidRDefault="008C5F9D">
      <w:pPr>
        <w:pStyle w:val="BodyText"/>
      </w:pPr>
      <w:r>
        <w:rPr>
          <w:b/>
          <w:bCs/>
        </w:rPr>
        <w:t>Supplementary figure 5</w:t>
      </w:r>
      <w:r w:rsidR="00370743">
        <w:rPr>
          <w:b/>
          <w:bCs/>
        </w:rPr>
        <w:t>.</w:t>
      </w:r>
      <w:r w:rsidR="00370743">
        <w:t xml:space="preserve"> </w:t>
      </w:r>
      <w:r w:rsidR="00370743">
        <w:rPr>
          <w:i/>
          <w:iCs/>
        </w:rPr>
        <w:t>Forest plot of experiments that reported preference and intake for the same animals</w:t>
      </w:r>
      <w:r>
        <w:t xml:space="preserve">. </w:t>
      </w:r>
      <w:r w:rsidR="00370743">
        <w:t xml:space="preserve">The differences </w:t>
      </w:r>
      <w:r w:rsidR="00BE3319">
        <w:t xml:space="preserve">in </w:t>
      </w:r>
      <w:r w:rsidR="00370743">
        <w:t xml:space="preserve">effect sizes between the outcome measures were pooled with a fixed effects model. The pooled effect and its 95% CI is represented by the black diamond. Abbreviations: </w:t>
      </w:r>
      <w:r w:rsidR="001671DD">
        <w:t xml:space="preserve">n, number of animals in each group; </w:t>
      </w:r>
      <w:r w:rsidR="00370743">
        <w:t>SMD, standardized mean difference;</w:t>
      </w:r>
      <w:r w:rsidR="001671DD">
        <w:t xml:space="preserve"> SE, Standard error; </w:t>
      </w:r>
      <w:r w:rsidR="00370743">
        <w:t xml:space="preserve"> 95%-CI, 95% confidence interval.</w:t>
      </w:r>
    </w:p>
    <w:p w14:paraId="03C229D1" w14:textId="05CE112F" w:rsidR="007B3C5B" w:rsidRPr="00AB07D3" w:rsidRDefault="00AB07D3" w:rsidP="002D658A">
      <w:pPr>
        <w:pStyle w:val="BodyText"/>
        <w:jc w:val="center"/>
        <w:rPr>
          <w:b/>
        </w:rPr>
      </w:pPr>
      <w:r w:rsidRPr="00AB07D3">
        <w:rPr>
          <w:b/>
          <w:noProof/>
        </w:rPr>
        <w:lastRenderedPageBreak/>
        <w:drawing>
          <wp:inline distT="0" distB="0" distL="0" distR="0" wp14:anchorId="2F8443BA" wp14:editId="7C4BD2E8">
            <wp:extent cx="5943600" cy="1779722"/>
            <wp:effectExtent l="0" t="0" r="0" b="0"/>
            <wp:docPr id="4" name="Picture 4" descr="D:\PhD\Project\1 SR\1SR\Article\FIGURES\Final\Supplementary material\SFigure6.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D\Project\1 SR\1SR\Article\FIGURES\Final\Supplementary material\SFigure6.tif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779722"/>
                    </a:xfrm>
                    <a:prstGeom prst="rect">
                      <a:avLst/>
                    </a:prstGeom>
                    <a:noFill/>
                    <a:ln>
                      <a:noFill/>
                    </a:ln>
                  </pic:spPr>
                </pic:pic>
              </a:graphicData>
            </a:graphic>
          </wp:inline>
        </w:drawing>
      </w:r>
    </w:p>
    <w:p w14:paraId="4ACADF9D" w14:textId="6C3E3264" w:rsidR="007B3C5B" w:rsidRDefault="008C5F9D">
      <w:pPr>
        <w:pStyle w:val="BodyText"/>
      </w:pPr>
      <w:r>
        <w:rPr>
          <w:b/>
          <w:bCs/>
        </w:rPr>
        <w:t>Supplementary figure 6</w:t>
      </w:r>
      <w:r w:rsidR="00370743">
        <w:rPr>
          <w:b/>
          <w:bCs/>
        </w:rPr>
        <w:t>.</w:t>
      </w:r>
      <w:r w:rsidR="00370743">
        <w:t xml:space="preserve"> </w:t>
      </w:r>
      <w:r w:rsidR="00370743">
        <w:rPr>
          <w:i/>
          <w:iCs/>
        </w:rPr>
        <w:t>Forest plot of experiments that reported preference and intake corrected by body weight for the same animals</w:t>
      </w:r>
      <w:r>
        <w:rPr>
          <w:i/>
          <w:iCs/>
        </w:rPr>
        <w:t>.</w:t>
      </w:r>
      <w:r w:rsidR="00370743">
        <w:t xml:space="preserve"> The differences </w:t>
      </w:r>
      <w:r w:rsidR="00BE3319">
        <w:t xml:space="preserve">in </w:t>
      </w:r>
      <w:r w:rsidR="00370743">
        <w:t xml:space="preserve">effect sizes between the outcome measures were pooled with a fixed effects model. The pooled effect and its 95% CI is represented by the black diamond. Abbreviations: </w:t>
      </w:r>
      <w:r w:rsidR="001671DD">
        <w:t>n, number of animals in each group; SMD, standardized mean difference; SE, Standard error;  95%-CI, 95% confidence interval.</w:t>
      </w:r>
    </w:p>
    <w:p w14:paraId="4DB0A83F" w14:textId="4E13D304" w:rsidR="006C21CE" w:rsidRDefault="006C21CE">
      <w:pPr>
        <w:pStyle w:val="BodyText"/>
      </w:pPr>
    </w:p>
    <w:p w14:paraId="65CA0784" w14:textId="77777777" w:rsidR="006C21CE" w:rsidRPr="006C21CE" w:rsidRDefault="006C21CE" w:rsidP="006C21CE">
      <w:pPr>
        <w:pStyle w:val="BodyText"/>
        <w:rPr>
          <w:b/>
          <w:bCs/>
        </w:rPr>
      </w:pPr>
      <w:r w:rsidRPr="006C21CE">
        <w:rPr>
          <w:b/>
          <w:bCs/>
        </w:rPr>
        <w:t>Other sources of variability</w:t>
      </w:r>
    </w:p>
    <w:p w14:paraId="13235341" w14:textId="2C9BC4FF" w:rsidR="006C21CE" w:rsidRDefault="006C21CE" w:rsidP="006C21CE">
      <w:pPr>
        <w:pStyle w:val="BodyText"/>
      </w:pPr>
      <w:r>
        <w:rPr>
          <w:b/>
          <w:bCs/>
        </w:rPr>
        <w:t>Supplementary table 6.</w:t>
      </w:r>
      <w:r>
        <w:t xml:space="preserve"> </w:t>
      </w:r>
      <w:r>
        <w:rPr>
          <w:i/>
          <w:iCs/>
        </w:rPr>
        <w:t>Summary univariate meta-regression analysis</w:t>
      </w:r>
      <w:r>
        <w:t>.</w:t>
      </w:r>
    </w:p>
    <w:tbl>
      <w:tblPr>
        <w:tblStyle w:val="TableGrid"/>
        <w:tblW w:w="0" w:type="auto"/>
        <w:tblInd w:w="0" w:type="dxa"/>
        <w:tblLook w:val="04A0" w:firstRow="1" w:lastRow="0" w:firstColumn="1" w:lastColumn="0" w:noHBand="0" w:noVBand="1"/>
      </w:tblPr>
      <w:tblGrid>
        <w:gridCol w:w="2605"/>
        <w:gridCol w:w="1350"/>
        <w:gridCol w:w="1620"/>
        <w:gridCol w:w="810"/>
        <w:gridCol w:w="990"/>
        <w:gridCol w:w="900"/>
        <w:gridCol w:w="1075"/>
      </w:tblGrid>
      <w:tr w:rsidR="006C21CE" w14:paraId="2AAC249C" w14:textId="77777777" w:rsidTr="004E5AC3">
        <w:tc>
          <w:tcPr>
            <w:tcW w:w="2605" w:type="dxa"/>
          </w:tcPr>
          <w:p w14:paraId="4D3DB217" w14:textId="77777777" w:rsidR="006C21CE" w:rsidRPr="009223D4" w:rsidRDefault="006C21CE" w:rsidP="003438A9">
            <w:pPr>
              <w:jc w:val="center"/>
              <w:rPr>
                <w:b/>
                <w:bCs/>
              </w:rPr>
            </w:pPr>
            <w:r w:rsidRPr="009223D4">
              <w:rPr>
                <w:b/>
                <w:bCs/>
              </w:rPr>
              <w:t>Variable</w:t>
            </w:r>
          </w:p>
        </w:tc>
        <w:tc>
          <w:tcPr>
            <w:tcW w:w="1350" w:type="dxa"/>
          </w:tcPr>
          <w:p w14:paraId="52E5EF27" w14:textId="234D5004" w:rsidR="006C21CE" w:rsidRPr="009223D4" w:rsidRDefault="006C21CE" w:rsidP="003438A9">
            <w:pPr>
              <w:jc w:val="center"/>
              <w:rPr>
                <w:b/>
                <w:bCs/>
              </w:rPr>
            </w:pPr>
            <w:r w:rsidRPr="009223D4">
              <w:rPr>
                <w:b/>
                <w:bCs/>
              </w:rPr>
              <w:t>Coefficient</w:t>
            </w:r>
            <w:r w:rsidR="00AB07D3">
              <w:rPr>
                <w:b/>
                <w:bCs/>
              </w:rPr>
              <w:t xml:space="preserve"> (SMD)</w:t>
            </w:r>
          </w:p>
        </w:tc>
        <w:tc>
          <w:tcPr>
            <w:tcW w:w="1620" w:type="dxa"/>
          </w:tcPr>
          <w:p w14:paraId="5A1479FE" w14:textId="77777777" w:rsidR="006C21CE" w:rsidRPr="009223D4" w:rsidRDefault="006C21CE" w:rsidP="003438A9">
            <w:pPr>
              <w:jc w:val="center"/>
              <w:rPr>
                <w:b/>
                <w:bCs/>
              </w:rPr>
            </w:pPr>
            <w:r w:rsidRPr="009223D4">
              <w:rPr>
                <w:b/>
                <w:bCs/>
              </w:rPr>
              <w:t>95% CI</w:t>
            </w:r>
          </w:p>
        </w:tc>
        <w:tc>
          <w:tcPr>
            <w:tcW w:w="810" w:type="dxa"/>
          </w:tcPr>
          <w:p w14:paraId="5E98E268" w14:textId="77777777" w:rsidR="006C21CE" w:rsidRPr="009223D4" w:rsidRDefault="006C21CE" w:rsidP="003438A9">
            <w:pPr>
              <w:jc w:val="center"/>
              <w:rPr>
                <w:b/>
                <w:bCs/>
                <w:i/>
              </w:rPr>
            </w:pPr>
            <w:r w:rsidRPr="009223D4">
              <w:rPr>
                <w:b/>
                <w:bCs/>
                <w:i/>
              </w:rPr>
              <w:t>z</w:t>
            </w:r>
          </w:p>
        </w:tc>
        <w:tc>
          <w:tcPr>
            <w:tcW w:w="990" w:type="dxa"/>
          </w:tcPr>
          <w:p w14:paraId="2A32A785" w14:textId="77777777" w:rsidR="006C21CE" w:rsidRPr="009223D4" w:rsidRDefault="006C21CE" w:rsidP="003438A9">
            <w:pPr>
              <w:jc w:val="center"/>
              <w:rPr>
                <w:b/>
                <w:bCs/>
              </w:rPr>
            </w:pPr>
            <w:r w:rsidRPr="009223D4">
              <w:rPr>
                <w:b/>
                <w:bCs/>
              </w:rPr>
              <w:t>p value</w:t>
            </w:r>
          </w:p>
        </w:tc>
        <w:tc>
          <w:tcPr>
            <w:tcW w:w="900" w:type="dxa"/>
          </w:tcPr>
          <w:p w14:paraId="745156D4" w14:textId="77777777" w:rsidR="006C21CE" w:rsidRPr="009223D4" w:rsidRDefault="006C21CE" w:rsidP="003438A9">
            <w:pPr>
              <w:jc w:val="center"/>
              <w:rPr>
                <w:b/>
                <w:bCs/>
              </w:rPr>
            </w:pPr>
            <w:r w:rsidRPr="009223D4">
              <w:rPr>
                <w:b/>
                <w:bCs/>
              </w:rPr>
              <w:t>R</w:t>
            </w:r>
            <w:r w:rsidRPr="009223D4">
              <w:rPr>
                <w:b/>
                <w:bCs/>
                <w:vertAlign w:val="superscript"/>
              </w:rPr>
              <w:t>2</w:t>
            </w:r>
          </w:p>
        </w:tc>
        <w:tc>
          <w:tcPr>
            <w:tcW w:w="1075" w:type="dxa"/>
          </w:tcPr>
          <w:p w14:paraId="6F7D0816" w14:textId="77777777" w:rsidR="006C21CE" w:rsidRPr="009223D4" w:rsidRDefault="006C21CE" w:rsidP="003438A9">
            <w:pPr>
              <w:jc w:val="center"/>
              <w:rPr>
                <w:b/>
                <w:bCs/>
              </w:rPr>
            </w:pPr>
            <w:r w:rsidRPr="009223D4">
              <w:rPr>
                <w:b/>
                <w:bCs/>
              </w:rPr>
              <w:t>I</w:t>
            </w:r>
            <w:r w:rsidRPr="009223D4">
              <w:rPr>
                <w:b/>
                <w:bCs/>
                <w:vertAlign w:val="superscript"/>
              </w:rPr>
              <w:t>2</w:t>
            </w:r>
          </w:p>
        </w:tc>
      </w:tr>
      <w:tr w:rsidR="006C21CE" w14:paraId="4BAD48BE" w14:textId="77777777" w:rsidTr="003438A9">
        <w:tc>
          <w:tcPr>
            <w:tcW w:w="9350" w:type="dxa"/>
            <w:gridSpan w:val="7"/>
          </w:tcPr>
          <w:p w14:paraId="29054ED0" w14:textId="77777777" w:rsidR="006C21CE" w:rsidRPr="009223D4" w:rsidRDefault="006C21CE" w:rsidP="003438A9">
            <w:pPr>
              <w:jc w:val="center"/>
              <w:rPr>
                <w:b/>
                <w:bCs/>
              </w:rPr>
            </w:pPr>
            <w:r>
              <w:rPr>
                <w:b/>
                <w:bCs/>
              </w:rPr>
              <w:t xml:space="preserve">Stressed vs Control </w:t>
            </w:r>
          </w:p>
        </w:tc>
      </w:tr>
      <w:tr w:rsidR="006C21CE" w14:paraId="46EA0E6F" w14:textId="77777777" w:rsidTr="004E5AC3">
        <w:tc>
          <w:tcPr>
            <w:tcW w:w="2605" w:type="dxa"/>
          </w:tcPr>
          <w:p w14:paraId="51CC904B" w14:textId="77777777" w:rsidR="006C21CE" w:rsidRDefault="006C21CE" w:rsidP="003438A9">
            <w:pPr>
              <w:rPr>
                <w:bCs/>
              </w:rPr>
            </w:pPr>
            <w:r>
              <w:rPr>
                <w:bCs/>
              </w:rPr>
              <w:t>Length of stress  (weeks)</w:t>
            </w:r>
          </w:p>
        </w:tc>
        <w:tc>
          <w:tcPr>
            <w:tcW w:w="1350" w:type="dxa"/>
          </w:tcPr>
          <w:p w14:paraId="2FC85CF9" w14:textId="77777777" w:rsidR="006C21CE" w:rsidRDefault="006C21CE" w:rsidP="003438A9">
            <w:pPr>
              <w:jc w:val="both"/>
              <w:rPr>
                <w:bCs/>
              </w:rPr>
            </w:pPr>
            <w:r>
              <w:rPr>
                <w:bCs/>
              </w:rPr>
              <w:t>-0.125</w:t>
            </w:r>
          </w:p>
        </w:tc>
        <w:tc>
          <w:tcPr>
            <w:tcW w:w="1620" w:type="dxa"/>
          </w:tcPr>
          <w:p w14:paraId="34A37A20" w14:textId="77777777" w:rsidR="006C21CE" w:rsidRDefault="006C21CE" w:rsidP="003438A9">
            <w:pPr>
              <w:jc w:val="both"/>
              <w:rPr>
                <w:bCs/>
              </w:rPr>
            </w:pPr>
            <w:r>
              <w:rPr>
                <w:bCs/>
              </w:rPr>
              <w:t>[-0.24, -0.009]</w:t>
            </w:r>
          </w:p>
        </w:tc>
        <w:tc>
          <w:tcPr>
            <w:tcW w:w="810" w:type="dxa"/>
          </w:tcPr>
          <w:p w14:paraId="7E90E3E7" w14:textId="77777777" w:rsidR="006C21CE" w:rsidRDefault="006C21CE" w:rsidP="003438A9">
            <w:pPr>
              <w:jc w:val="both"/>
              <w:rPr>
                <w:bCs/>
              </w:rPr>
            </w:pPr>
            <w:r>
              <w:rPr>
                <w:bCs/>
              </w:rPr>
              <w:t>-2.1</w:t>
            </w:r>
          </w:p>
        </w:tc>
        <w:tc>
          <w:tcPr>
            <w:tcW w:w="990" w:type="dxa"/>
          </w:tcPr>
          <w:p w14:paraId="178423A9" w14:textId="77777777" w:rsidR="006C21CE" w:rsidRDefault="006C21CE" w:rsidP="003438A9">
            <w:pPr>
              <w:jc w:val="both"/>
              <w:rPr>
                <w:bCs/>
              </w:rPr>
            </w:pPr>
            <w:r>
              <w:rPr>
                <w:bCs/>
              </w:rPr>
              <w:t>0.035</w:t>
            </w:r>
          </w:p>
        </w:tc>
        <w:tc>
          <w:tcPr>
            <w:tcW w:w="900" w:type="dxa"/>
          </w:tcPr>
          <w:p w14:paraId="4358BEEB" w14:textId="77777777" w:rsidR="006C21CE" w:rsidRDefault="006C21CE" w:rsidP="003438A9">
            <w:pPr>
              <w:jc w:val="both"/>
              <w:rPr>
                <w:bCs/>
              </w:rPr>
            </w:pPr>
            <w:r>
              <w:rPr>
                <w:bCs/>
              </w:rPr>
              <w:t>1.67 %</w:t>
            </w:r>
          </w:p>
        </w:tc>
        <w:tc>
          <w:tcPr>
            <w:tcW w:w="1075" w:type="dxa"/>
          </w:tcPr>
          <w:p w14:paraId="3EA123E0" w14:textId="77777777" w:rsidR="006C21CE" w:rsidRDefault="006C21CE" w:rsidP="003438A9">
            <w:pPr>
              <w:jc w:val="both"/>
              <w:rPr>
                <w:bCs/>
              </w:rPr>
            </w:pPr>
            <w:r>
              <w:rPr>
                <w:bCs/>
              </w:rPr>
              <w:t>78.83%</w:t>
            </w:r>
          </w:p>
        </w:tc>
      </w:tr>
      <w:tr w:rsidR="006C21CE" w14:paraId="5F078A2B" w14:textId="77777777" w:rsidTr="004E5AC3">
        <w:tc>
          <w:tcPr>
            <w:tcW w:w="2605" w:type="dxa"/>
          </w:tcPr>
          <w:p w14:paraId="1C388BCC" w14:textId="1802D3B7" w:rsidR="006C21CE" w:rsidRPr="007C4088" w:rsidRDefault="006C21CE" w:rsidP="003438A9">
            <w:pPr>
              <w:rPr>
                <w:b/>
                <w:bCs/>
              </w:rPr>
            </w:pPr>
            <w:r>
              <w:rPr>
                <w:bCs/>
              </w:rPr>
              <w:t>Length of food and water deprivation (hours)</w:t>
            </w:r>
            <w:r w:rsidR="0036323D">
              <w:rPr>
                <w:bCs/>
              </w:rPr>
              <w:t xml:space="preserve"> (studies using period of fasting ≤ 6 h)</w:t>
            </w:r>
          </w:p>
        </w:tc>
        <w:tc>
          <w:tcPr>
            <w:tcW w:w="1350" w:type="dxa"/>
          </w:tcPr>
          <w:p w14:paraId="4057D1EC" w14:textId="77777777" w:rsidR="006C21CE" w:rsidRDefault="006C21CE" w:rsidP="003438A9">
            <w:pPr>
              <w:jc w:val="both"/>
              <w:rPr>
                <w:bCs/>
              </w:rPr>
            </w:pPr>
            <w:r>
              <w:rPr>
                <w:bCs/>
              </w:rPr>
              <w:t>-0.026</w:t>
            </w:r>
          </w:p>
        </w:tc>
        <w:tc>
          <w:tcPr>
            <w:tcW w:w="1620" w:type="dxa"/>
          </w:tcPr>
          <w:p w14:paraId="041D2926" w14:textId="77777777" w:rsidR="006C21CE" w:rsidRDefault="006C21CE" w:rsidP="003438A9">
            <w:pPr>
              <w:jc w:val="both"/>
              <w:rPr>
                <w:bCs/>
              </w:rPr>
            </w:pPr>
            <w:r>
              <w:rPr>
                <w:bCs/>
              </w:rPr>
              <w:t>[-0.11, 0.06]</w:t>
            </w:r>
          </w:p>
        </w:tc>
        <w:tc>
          <w:tcPr>
            <w:tcW w:w="810" w:type="dxa"/>
          </w:tcPr>
          <w:p w14:paraId="6DC0452F" w14:textId="77777777" w:rsidR="006C21CE" w:rsidRDefault="006C21CE" w:rsidP="003438A9">
            <w:pPr>
              <w:jc w:val="both"/>
              <w:rPr>
                <w:bCs/>
              </w:rPr>
            </w:pPr>
            <w:r>
              <w:rPr>
                <w:bCs/>
              </w:rPr>
              <w:t>-0.63</w:t>
            </w:r>
          </w:p>
        </w:tc>
        <w:tc>
          <w:tcPr>
            <w:tcW w:w="990" w:type="dxa"/>
          </w:tcPr>
          <w:p w14:paraId="042B06A0" w14:textId="77777777" w:rsidR="006C21CE" w:rsidRDefault="006C21CE" w:rsidP="003438A9">
            <w:pPr>
              <w:jc w:val="both"/>
              <w:rPr>
                <w:bCs/>
              </w:rPr>
            </w:pPr>
            <w:r>
              <w:rPr>
                <w:bCs/>
              </w:rPr>
              <w:t>0.53</w:t>
            </w:r>
          </w:p>
        </w:tc>
        <w:tc>
          <w:tcPr>
            <w:tcW w:w="900" w:type="dxa"/>
          </w:tcPr>
          <w:p w14:paraId="01A9E6FE" w14:textId="77777777" w:rsidR="006C21CE" w:rsidRDefault="006C21CE" w:rsidP="003438A9">
            <w:pPr>
              <w:jc w:val="both"/>
              <w:rPr>
                <w:bCs/>
              </w:rPr>
            </w:pPr>
            <w:r>
              <w:rPr>
                <w:bCs/>
              </w:rPr>
              <w:t>0.47 %</w:t>
            </w:r>
          </w:p>
        </w:tc>
        <w:tc>
          <w:tcPr>
            <w:tcW w:w="1075" w:type="dxa"/>
          </w:tcPr>
          <w:p w14:paraId="6E0F60F5" w14:textId="77777777" w:rsidR="006C21CE" w:rsidRDefault="006C21CE" w:rsidP="003438A9">
            <w:pPr>
              <w:jc w:val="both"/>
              <w:rPr>
                <w:bCs/>
              </w:rPr>
            </w:pPr>
            <w:r>
              <w:rPr>
                <w:bCs/>
              </w:rPr>
              <w:t>79.05%</w:t>
            </w:r>
          </w:p>
        </w:tc>
      </w:tr>
      <w:tr w:rsidR="00095639" w14:paraId="4F2A38CC" w14:textId="77777777" w:rsidTr="004E5AC3">
        <w:trPr>
          <w:trHeight w:val="1169"/>
        </w:trPr>
        <w:tc>
          <w:tcPr>
            <w:tcW w:w="2605" w:type="dxa"/>
            <w:vMerge w:val="restart"/>
          </w:tcPr>
          <w:p w14:paraId="5D0EEEBF" w14:textId="4B9F868E" w:rsidR="00095639" w:rsidRPr="00B160E2" w:rsidRDefault="00095639" w:rsidP="004E5AC3">
            <w:pPr>
              <w:jc w:val="center"/>
              <w:rPr>
                <w:bCs/>
              </w:rPr>
            </w:pPr>
            <w:r w:rsidRPr="00B160E2">
              <w:rPr>
                <w:bCs/>
              </w:rPr>
              <w:t>Length of food and water deprivation (hours)</w:t>
            </w:r>
          </w:p>
          <w:p w14:paraId="731345EF" w14:textId="6FA61998" w:rsidR="00095639" w:rsidRPr="00B160E2" w:rsidRDefault="00095639" w:rsidP="004E5AC3">
            <w:pPr>
              <w:jc w:val="center"/>
              <w:rPr>
                <w:bCs/>
                <w:sz w:val="18"/>
              </w:rPr>
            </w:pPr>
            <w:r w:rsidRPr="00B160E2">
              <w:rPr>
                <w:bCs/>
                <w:sz w:val="18"/>
              </w:rPr>
              <w:t>(</w:t>
            </w:r>
            <w:r w:rsidRPr="00B160E2">
              <w:rPr>
                <w:b/>
                <w:bCs/>
                <w:sz w:val="18"/>
              </w:rPr>
              <w:t>+ studies with fasting &gt;</w:t>
            </w:r>
            <w:r w:rsidR="00E741FE" w:rsidRPr="00B160E2">
              <w:rPr>
                <w:b/>
                <w:bCs/>
                <w:sz w:val="18"/>
              </w:rPr>
              <w:t xml:space="preserve"> </w:t>
            </w:r>
            <w:r w:rsidRPr="00B160E2">
              <w:rPr>
                <w:b/>
                <w:bCs/>
                <w:sz w:val="18"/>
              </w:rPr>
              <w:t>6 h</w:t>
            </w:r>
            <w:r w:rsidRPr="00B160E2">
              <w:rPr>
                <w:bCs/>
                <w:sz w:val="18"/>
              </w:rPr>
              <w:t>)</w:t>
            </w:r>
          </w:p>
          <w:p w14:paraId="57CD85DC" w14:textId="77777777" w:rsidR="00095639" w:rsidRPr="00B160E2" w:rsidRDefault="00095639" w:rsidP="004E5AC3">
            <w:pPr>
              <w:jc w:val="center"/>
              <w:rPr>
                <w:bCs/>
              </w:rPr>
            </w:pPr>
          </w:p>
          <w:p w14:paraId="3794AD51" w14:textId="5FF08C4C" w:rsidR="00095639" w:rsidRPr="00B160E2" w:rsidRDefault="00095639" w:rsidP="004E5AC3">
            <w:pPr>
              <w:jc w:val="center"/>
              <w:rPr>
                <w:bCs/>
              </w:rPr>
            </w:pPr>
            <w:r w:rsidRPr="00B160E2">
              <w:rPr>
                <w:bCs/>
              </w:rPr>
              <w:t xml:space="preserve">Accounting for </w:t>
            </w:r>
            <w:r w:rsidR="0036323D" w:rsidRPr="00B160E2">
              <w:rPr>
                <w:bCs/>
              </w:rPr>
              <w:t xml:space="preserve">type of </w:t>
            </w:r>
            <w:r w:rsidRPr="00B160E2">
              <w:rPr>
                <w:bCs/>
              </w:rPr>
              <w:t>sweet</w:t>
            </w:r>
            <w:r w:rsidR="0036323D" w:rsidRPr="00B160E2">
              <w:rPr>
                <w:bCs/>
              </w:rPr>
              <w:t>ener</w:t>
            </w:r>
            <w:r w:rsidRPr="00B160E2">
              <w:rPr>
                <w:bCs/>
              </w:rPr>
              <w:t xml:space="preserve"> and length of </w:t>
            </w:r>
            <w:r w:rsidR="0036323D" w:rsidRPr="00B160E2">
              <w:rPr>
                <w:bCs/>
              </w:rPr>
              <w:t xml:space="preserve">the </w:t>
            </w:r>
            <w:r w:rsidRPr="00B160E2">
              <w:rPr>
                <w:bCs/>
              </w:rPr>
              <w:t>stress</w:t>
            </w:r>
            <w:r w:rsidR="0036323D" w:rsidRPr="00B160E2">
              <w:rPr>
                <w:bCs/>
              </w:rPr>
              <w:t xml:space="preserve"> protocol</w:t>
            </w:r>
          </w:p>
        </w:tc>
        <w:tc>
          <w:tcPr>
            <w:tcW w:w="1350" w:type="dxa"/>
          </w:tcPr>
          <w:p w14:paraId="5DC9D849" w14:textId="78D3E292" w:rsidR="00095639" w:rsidRPr="00B160E2" w:rsidRDefault="00095639" w:rsidP="00E75A3C">
            <w:pPr>
              <w:jc w:val="both"/>
              <w:rPr>
                <w:bCs/>
              </w:rPr>
            </w:pPr>
            <w:r w:rsidRPr="00B160E2">
              <w:rPr>
                <w:bCs/>
              </w:rPr>
              <w:t>-0.029</w:t>
            </w:r>
          </w:p>
        </w:tc>
        <w:tc>
          <w:tcPr>
            <w:tcW w:w="1620" w:type="dxa"/>
          </w:tcPr>
          <w:p w14:paraId="237B5CE3" w14:textId="758B8F67" w:rsidR="00095639" w:rsidRPr="00B160E2" w:rsidRDefault="00095639" w:rsidP="00E75A3C">
            <w:pPr>
              <w:jc w:val="both"/>
              <w:rPr>
                <w:bCs/>
              </w:rPr>
            </w:pPr>
            <w:r w:rsidRPr="00B160E2">
              <w:rPr>
                <w:bCs/>
              </w:rPr>
              <w:t>[-0.05, - 0.01]</w:t>
            </w:r>
          </w:p>
        </w:tc>
        <w:tc>
          <w:tcPr>
            <w:tcW w:w="810" w:type="dxa"/>
          </w:tcPr>
          <w:p w14:paraId="4EA72750" w14:textId="317AFB1D" w:rsidR="00095639" w:rsidRPr="00B160E2" w:rsidRDefault="00095639" w:rsidP="00E75A3C">
            <w:pPr>
              <w:jc w:val="both"/>
              <w:rPr>
                <w:bCs/>
              </w:rPr>
            </w:pPr>
            <w:r w:rsidRPr="00B160E2">
              <w:rPr>
                <w:bCs/>
              </w:rPr>
              <w:t>-3.62</w:t>
            </w:r>
          </w:p>
        </w:tc>
        <w:tc>
          <w:tcPr>
            <w:tcW w:w="990" w:type="dxa"/>
          </w:tcPr>
          <w:p w14:paraId="7D9C0066" w14:textId="59D880A1" w:rsidR="00095639" w:rsidRPr="00B160E2" w:rsidRDefault="00095639" w:rsidP="00E75A3C">
            <w:pPr>
              <w:jc w:val="both"/>
              <w:rPr>
                <w:bCs/>
              </w:rPr>
            </w:pPr>
            <w:r w:rsidRPr="00B160E2">
              <w:rPr>
                <w:bCs/>
              </w:rPr>
              <w:t>0.0003</w:t>
            </w:r>
          </w:p>
        </w:tc>
        <w:tc>
          <w:tcPr>
            <w:tcW w:w="900" w:type="dxa"/>
          </w:tcPr>
          <w:p w14:paraId="64C84F2D" w14:textId="5801DF20" w:rsidR="00095639" w:rsidRPr="00B160E2" w:rsidRDefault="00095639" w:rsidP="00E75A3C">
            <w:pPr>
              <w:jc w:val="both"/>
              <w:rPr>
                <w:bCs/>
              </w:rPr>
            </w:pPr>
            <w:r w:rsidRPr="00B160E2">
              <w:rPr>
                <w:bCs/>
              </w:rPr>
              <w:t>3.16%</w:t>
            </w:r>
          </w:p>
        </w:tc>
        <w:tc>
          <w:tcPr>
            <w:tcW w:w="1075" w:type="dxa"/>
          </w:tcPr>
          <w:p w14:paraId="73925094" w14:textId="1067DBC3" w:rsidR="00095639" w:rsidRPr="00B160E2" w:rsidRDefault="00095639" w:rsidP="00E75A3C">
            <w:pPr>
              <w:jc w:val="both"/>
              <w:rPr>
                <w:bCs/>
              </w:rPr>
            </w:pPr>
            <w:r w:rsidRPr="00B160E2">
              <w:rPr>
                <w:bCs/>
              </w:rPr>
              <w:t>80.37%</w:t>
            </w:r>
          </w:p>
        </w:tc>
      </w:tr>
      <w:tr w:rsidR="00095639" w14:paraId="0FC9FB6D" w14:textId="77777777" w:rsidTr="00E75A3C">
        <w:tc>
          <w:tcPr>
            <w:tcW w:w="2605" w:type="dxa"/>
            <w:vMerge/>
          </w:tcPr>
          <w:p w14:paraId="32B561A7" w14:textId="04742FBD" w:rsidR="00095639" w:rsidRPr="00B160E2" w:rsidRDefault="00095639" w:rsidP="00095639">
            <w:pPr>
              <w:jc w:val="center"/>
              <w:rPr>
                <w:bCs/>
              </w:rPr>
            </w:pPr>
          </w:p>
        </w:tc>
        <w:tc>
          <w:tcPr>
            <w:tcW w:w="1350" w:type="dxa"/>
          </w:tcPr>
          <w:p w14:paraId="73702094" w14:textId="3276E4DD" w:rsidR="00095639" w:rsidRPr="00B160E2" w:rsidRDefault="00095639" w:rsidP="00095639">
            <w:pPr>
              <w:jc w:val="both"/>
              <w:rPr>
                <w:bCs/>
              </w:rPr>
            </w:pPr>
            <w:r w:rsidRPr="00B160E2">
              <w:rPr>
                <w:bCs/>
              </w:rPr>
              <w:t>-0.027</w:t>
            </w:r>
          </w:p>
        </w:tc>
        <w:tc>
          <w:tcPr>
            <w:tcW w:w="1620" w:type="dxa"/>
          </w:tcPr>
          <w:p w14:paraId="2F9EB099" w14:textId="4AF2D64C" w:rsidR="00095639" w:rsidRPr="00B160E2" w:rsidRDefault="00095639" w:rsidP="00095639">
            <w:pPr>
              <w:jc w:val="both"/>
              <w:rPr>
                <w:bCs/>
              </w:rPr>
            </w:pPr>
            <w:r w:rsidRPr="00B160E2">
              <w:rPr>
                <w:bCs/>
              </w:rPr>
              <w:t>[-0.04, - 0.01]</w:t>
            </w:r>
          </w:p>
        </w:tc>
        <w:tc>
          <w:tcPr>
            <w:tcW w:w="810" w:type="dxa"/>
          </w:tcPr>
          <w:p w14:paraId="75E9A789" w14:textId="6028A4AA" w:rsidR="00095639" w:rsidRPr="00B160E2" w:rsidRDefault="00095639" w:rsidP="00095639">
            <w:pPr>
              <w:jc w:val="both"/>
              <w:rPr>
                <w:bCs/>
              </w:rPr>
            </w:pPr>
            <w:r w:rsidRPr="00B160E2">
              <w:rPr>
                <w:bCs/>
              </w:rPr>
              <w:t>-3.25</w:t>
            </w:r>
          </w:p>
        </w:tc>
        <w:tc>
          <w:tcPr>
            <w:tcW w:w="990" w:type="dxa"/>
          </w:tcPr>
          <w:p w14:paraId="1FCD1753" w14:textId="0211A8CC" w:rsidR="00095639" w:rsidRPr="00B160E2" w:rsidRDefault="00095639" w:rsidP="00095639">
            <w:pPr>
              <w:jc w:val="both"/>
              <w:rPr>
                <w:bCs/>
              </w:rPr>
            </w:pPr>
            <w:r w:rsidRPr="00B160E2">
              <w:rPr>
                <w:bCs/>
              </w:rPr>
              <w:t>0.0012</w:t>
            </w:r>
          </w:p>
        </w:tc>
        <w:tc>
          <w:tcPr>
            <w:tcW w:w="900" w:type="dxa"/>
          </w:tcPr>
          <w:p w14:paraId="1A049C01" w14:textId="77E5D576" w:rsidR="00095639" w:rsidRPr="00B160E2" w:rsidRDefault="00095639" w:rsidP="00095639">
            <w:pPr>
              <w:jc w:val="both"/>
              <w:rPr>
                <w:bCs/>
              </w:rPr>
            </w:pPr>
            <w:r w:rsidRPr="00B160E2">
              <w:rPr>
                <w:bCs/>
              </w:rPr>
              <w:t>2.32%</w:t>
            </w:r>
          </w:p>
        </w:tc>
        <w:tc>
          <w:tcPr>
            <w:tcW w:w="1075" w:type="dxa"/>
          </w:tcPr>
          <w:p w14:paraId="3DE18577" w14:textId="24261617" w:rsidR="00095639" w:rsidRPr="00B160E2" w:rsidRDefault="00095639" w:rsidP="00095639">
            <w:pPr>
              <w:jc w:val="both"/>
              <w:rPr>
                <w:bCs/>
              </w:rPr>
            </w:pPr>
            <w:r w:rsidRPr="00B160E2">
              <w:rPr>
                <w:bCs/>
              </w:rPr>
              <w:t>79.77%</w:t>
            </w:r>
          </w:p>
        </w:tc>
      </w:tr>
      <w:tr w:rsidR="00095639" w14:paraId="7FCFCE40" w14:textId="77777777" w:rsidTr="004E5AC3">
        <w:tc>
          <w:tcPr>
            <w:tcW w:w="2605" w:type="dxa"/>
          </w:tcPr>
          <w:p w14:paraId="3F4C800B" w14:textId="77777777" w:rsidR="00095639" w:rsidRPr="00B160E2" w:rsidRDefault="00095639" w:rsidP="00095639">
            <w:pPr>
              <w:tabs>
                <w:tab w:val="left" w:pos="936"/>
              </w:tabs>
              <w:rPr>
                <w:bCs/>
              </w:rPr>
            </w:pPr>
            <w:r w:rsidRPr="00B160E2">
              <w:rPr>
                <w:bCs/>
              </w:rPr>
              <w:t>Risk of bias score</w:t>
            </w:r>
          </w:p>
        </w:tc>
        <w:tc>
          <w:tcPr>
            <w:tcW w:w="1350" w:type="dxa"/>
          </w:tcPr>
          <w:p w14:paraId="74D8F977" w14:textId="77777777" w:rsidR="00095639" w:rsidRPr="00B160E2" w:rsidRDefault="00095639" w:rsidP="00095639">
            <w:pPr>
              <w:jc w:val="both"/>
              <w:rPr>
                <w:bCs/>
              </w:rPr>
            </w:pPr>
            <w:r w:rsidRPr="00B160E2">
              <w:rPr>
                <w:bCs/>
              </w:rPr>
              <w:t>0.021</w:t>
            </w:r>
          </w:p>
        </w:tc>
        <w:tc>
          <w:tcPr>
            <w:tcW w:w="1620" w:type="dxa"/>
          </w:tcPr>
          <w:p w14:paraId="42E73168" w14:textId="77777777" w:rsidR="00095639" w:rsidRPr="00B160E2" w:rsidRDefault="00095639" w:rsidP="00095639">
            <w:pPr>
              <w:jc w:val="both"/>
              <w:rPr>
                <w:bCs/>
              </w:rPr>
            </w:pPr>
            <w:r w:rsidRPr="00B160E2">
              <w:rPr>
                <w:bCs/>
              </w:rPr>
              <w:t>[-0.09, 0.14]</w:t>
            </w:r>
          </w:p>
        </w:tc>
        <w:tc>
          <w:tcPr>
            <w:tcW w:w="810" w:type="dxa"/>
          </w:tcPr>
          <w:p w14:paraId="3A5F4144" w14:textId="77777777" w:rsidR="00095639" w:rsidRPr="00B160E2" w:rsidRDefault="00095639" w:rsidP="00095639">
            <w:pPr>
              <w:jc w:val="both"/>
              <w:rPr>
                <w:bCs/>
              </w:rPr>
            </w:pPr>
            <w:r w:rsidRPr="00B160E2">
              <w:rPr>
                <w:bCs/>
              </w:rPr>
              <w:t>0.36</w:t>
            </w:r>
          </w:p>
        </w:tc>
        <w:tc>
          <w:tcPr>
            <w:tcW w:w="990" w:type="dxa"/>
          </w:tcPr>
          <w:p w14:paraId="7357A96A" w14:textId="77777777" w:rsidR="00095639" w:rsidRPr="00B160E2" w:rsidRDefault="00095639" w:rsidP="00095639">
            <w:pPr>
              <w:jc w:val="both"/>
              <w:rPr>
                <w:bCs/>
              </w:rPr>
            </w:pPr>
            <w:r w:rsidRPr="00B160E2">
              <w:rPr>
                <w:bCs/>
              </w:rPr>
              <w:t>0.72</w:t>
            </w:r>
          </w:p>
        </w:tc>
        <w:tc>
          <w:tcPr>
            <w:tcW w:w="900" w:type="dxa"/>
          </w:tcPr>
          <w:p w14:paraId="050B2DF0" w14:textId="77777777" w:rsidR="00095639" w:rsidRPr="00B160E2" w:rsidRDefault="00095639" w:rsidP="00095639">
            <w:pPr>
              <w:jc w:val="both"/>
              <w:rPr>
                <w:bCs/>
              </w:rPr>
            </w:pPr>
            <w:r w:rsidRPr="00B160E2">
              <w:rPr>
                <w:bCs/>
              </w:rPr>
              <w:t>0 %</w:t>
            </w:r>
          </w:p>
        </w:tc>
        <w:tc>
          <w:tcPr>
            <w:tcW w:w="1075" w:type="dxa"/>
          </w:tcPr>
          <w:p w14:paraId="18EE0F5B" w14:textId="77777777" w:rsidR="00095639" w:rsidRPr="00B160E2" w:rsidRDefault="00095639" w:rsidP="00095639">
            <w:pPr>
              <w:jc w:val="both"/>
              <w:rPr>
                <w:bCs/>
              </w:rPr>
            </w:pPr>
            <w:r w:rsidRPr="00B160E2">
              <w:rPr>
                <w:bCs/>
              </w:rPr>
              <w:t>79.27%</w:t>
            </w:r>
          </w:p>
        </w:tc>
      </w:tr>
      <w:tr w:rsidR="00095639" w14:paraId="454EFDA0" w14:textId="77777777" w:rsidTr="003438A9">
        <w:tc>
          <w:tcPr>
            <w:tcW w:w="9350" w:type="dxa"/>
            <w:gridSpan w:val="7"/>
          </w:tcPr>
          <w:p w14:paraId="6228764B" w14:textId="77777777" w:rsidR="00095639" w:rsidRPr="00B160E2" w:rsidRDefault="00095639" w:rsidP="00095639">
            <w:pPr>
              <w:jc w:val="center"/>
              <w:rPr>
                <w:b/>
                <w:bCs/>
              </w:rPr>
            </w:pPr>
            <w:r w:rsidRPr="00B160E2">
              <w:rPr>
                <w:b/>
                <w:bCs/>
              </w:rPr>
              <w:t>Treated vs stressed</w:t>
            </w:r>
          </w:p>
        </w:tc>
      </w:tr>
      <w:tr w:rsidR="00095639" w14:paraId="5507C9CF" w14:textId="77777777" w:rsidTr="004E5AC3">
        <w:tc>
          <w:tcPr>
            <w:tcW w:w="2605" w:type="dxa"/>
          </w:tcPr>
          <w:p w14:paraId="0264CFED" w14:textId="77777777" w:rsidR="00095639" w:rsidRPr="00B160E2" w:rsidRDefault="00095639" w:rsidP="00095639">
            <w:pPr>
              <w:tabs>
                <w:tab w:val="left" w:pos="936"/>
              </w:tabs>
              <w:rPr>
                <w:bCs/>
              </w:rPr>
            </w:pPr>
            <w:r w:rsidRPr="00B160E2">
              <w:rPr>
                <w:bCs/>
              </w:rPr>
              <w:t>Length of antidepressant treatment (weeks)</w:t>
            </w:r>
          </w:p>
        </w:tc>
        <w:tc>
          <w:tcPr>
            <w:tcW w:w="1350" w:type="dxa"/>
          </w:tcPr>
          <w:p w14:paraId="708960AE" w14:textId="77777777" w:rsidR="00095639" w:rsidRPr="00B160E2" w:rsidRDefault="00095639" w:rsidP="00095639">
            <w:pPr>
              <w:jc w:val="both"/>
              <w:rPr>
                <w:bCs/>
              </w:rPr>
            </w:pPr>
            <w:r w:rsidRPr="00B160E2">
              <w:rPr>
                <w:bCs/>
              </w:rPr>
              <w:t>0.044</w:t>
            </w:r>
          </w:p>
        </w:tc>
        <w:tc>
          <w:tcPr>
            <w:tcW w:w="1620" w:type="dxa"/>
          </w:tcPr>
          <w:p w14:paraId="614EEC25" w14:textId="77777777" w:rsidR="00095639" w:rsidRPr="00B160E2" w:rsidRDefault="00095639" w:rsidP="00095639">
            <w:pPr>
              <w:jc w:val="both"/>
              <w:rPr>
                <w:bCs/>
              </w:rPr>
            </w:pPr>
            <w:r w:rsidRPr="00B160E2">
              <w:rPr>
                <w:bCs/>
              </w:rPr>
              <w:t>[-0.63, 0.72]</w:t>
            </w:r>
          </w:p>
        </w:tc>
        <w:tc>
          <w:tcPr>
            <w:tcW w:w="810" w:type="dxa"/>
          </w:tcPr>
          <w:p w14:paraId="2BC63ECE" w14:textId="77777777" w:rsidR="00095639" w:rsidRPr="00B160E2" w:rsidRDefault="00095639" w:rsidP="00095639">
            <w:pPr>
              <w:jc w:val="both"/>
              <w:rPr>
                <w:bCs/>
              </w:rPr>
            </w:pPr>
            <w:r w:rsidRPr="00B160E2">
              <w:rPr>
                <w:bCs/>
              </w:rPr>
              <w:t>0.13</w:t>
            </w:r>
          </w:p>
        </w:tc>
        <w:tc>
          <w:tcPr>
            <w:tcW w:w="990" w:type="dxa"/>
          </w:tcPr>
          <w:p w14:paraId="6F6425DF" w14:textId="77777777" w:rsidR="00095639" w:rsidRPr="00B160E2" w:rsidRDefault="00095639" w:rsidP="00095639">
            <w:pPr>
              <w:jc w:val="both"/>
              <w:rPr>
                <w:bCs/>
              </w:rPr>
            </w:pPr>
            <w:r w:rsidRPr="00B160E2">
              <w:rPr>
                <w:bCs/>
              </w:rPr>
              <w:t>0.9</w:t>
            </w:r>
          </w:p>
        </w:tc>
        <w:tc>
          <w:tcPr>
            <w:tcW w:w="900" w:type="dxa"/>
          </w:tcPr>
          <w:p w14:paraId="700DCF53" w14:textId="77777777" w:rsidR="00095639" w:rsidRPr="00B160E2" w:rsidRDefault="00095639" w:rsidP="00095639">
            <w:pPr>
              <w:jc w:val="both"/>
              <w:rPr>
                <w:bCs/>
              </w:rPr>
            </w:pPr>
            <w:r w:rsidRPr="00B160E2">
              <w:rPr>
                <w:bCs/>
              </w:rPr>
              <w:t>0 %</w:t>
            </w:r>
          </w:p>
        </w:tc>
        <w:tc>
          <w:tcPr>
            <w:tcW w:w="1075" w:type="dxa"/>
          </w:tcPr>
          <w:p w14:paraId="5CD791F8" w14:textId="77777777" w:rsidR="00095639" w:rsidRPr="00B160E2" w:rsidRDefault="00095639" w:rsidP="00095639">
            <w:pPr>
              <w:jc w:val="both"/>
              <w:rPr>
                <w:bCs/>
              </w:rPr>
            </w:pPr>
            <w:r w:rsidRPr="00B160E2">
              <w:rPr>
                <w:bCs/>
              </w:rPr>
              <w:t>76.67%</w:t>
            </w:r>
          </w:p>
        </w:tc>
      </w:tr>
      <w:tr w:rsidR="00095639" w14:paraId="71BBB79C" w14:textId="77777777" w:rsidTr="004E5AC3">
        <w:tc>
          <w:tcPr>
            <w:tcW w:w="2605" w:type="dxa"/>
          </w:tcPr>
          <w:p w14:paraId="26D5E790" w14:textId="77777777" w:rsidR="00095639" w:rsidRPr="00B160E2" w:rsidRDefault="00095639" w:rsidP="00095639">
            <w:pPr>
              <w:tabs>
                <w:tab w:val="left" w:pos="936"/>
              </w:tabs>
              <w:rPr>
                <w:bCs/>
              </w:rPr>
            </w:pPr>
            <w:r w:rsidRPr="00B160E2">
              <w:rPr>
                <w:bCs/>
              </w:rPr>
              <w:t>Length of stress  (weeks)</w:t>
            </w:r>
          </w:p>
        </w:tc>
        <w:tc>
          <w:tcPr>
            <w:tcW w:w="1350" w:type="dxa"/>
          </w:tcPr>
          <w:p w14:paraId="77213F39" w14:textId="77777777" w:rsidR="00095639" w:rsidRPr="00B160E2" w:rsidRDefault="00095639" w:rsidP="00095639">
            <w:pPr>
              <w:jc w:val="both"/>
              <w:rPr>
                <w:bCs/>
              </w:rPr>
            </w:pPr>
            <w:r w:rsidRPr="00B160E2">
              <w:rPr>
                <w:bCs/>
              </w:rPr>
              <w:t>-0.119</w:t>
            </w:r>
          </w:p>
        </w:tc>
        <w:tc>
          <w:tcPr>
            <w:tcW w:w="1620" w:type="dxa"/>
          </w:tcPr>
          <w:p w14:paraId="51836B96" w14:textId="77777777" w:rsidR="00095639" w:rsidRPr="00B160E2" w:rsidRDefault="00095639" w:rsidP="00095639">
            <w:pPr>
              <w:jc w:val="both"/>
              <w:rPr>
                <w:bCs/>
              </w:rPr>
            </w:pPr>
            <w:r w:rsidRPr="00B160E2">
              <w:rPr>
                <w:bCs/>
              </w:rPr>
              <w:t>[-0.82, 0.58]</w:t>
            </w:r>
          </w:p>
        </w:tc>
        <w:tc>
          <w:tcPr>
            <w:tcW w:w="810" w:type="dxa"/>
          </w:tcPr>
          <w:p w14:paraId="39C33954" w14:textId="77777777" w:rsidR="00095639" w:rsidRPr="00B160E2" w:rsidRDefault="00095639" w:rsidP="00095639">
            <w:pPr>
              <w:jc w:val="both"/>
              <w:rPr>
                <w:bCs/>
              </w:rPr>
            </w:pPr>
            <w:r w:rsidRPr="00B160E2">
              <w:rPr>
                <w:bCs/>
              </w:rPr>
              <w:t>-0.33</w:t>
            </w:r>
          </w:p>
        </w:tc>
        <w:tc>
          <w:tcPr>
            <w:tcW w:w="990" w:type="dxa"/>
          </w:tcPr>
          <w:p w14:paraId="117B0B35" w14:textId="77777777" w:rsidR="00095639" w:rsidRPr="00B160E2" w:rsidRDefault="00095639" w:rsidP="00095639">
            <w:pPr>
              <w:jc w:val="both"/>
              <w:rPr>
                <w:bCs/>
              </w:rPr>
            </w:pPr>
            <w:r w:rsidRPr="00B160E2">
              <w:rPr>
                <w:bCs/>
              </w:rPr>
              <w:t>0.73</w:t>
            </w:r>
          </w:p>
        </w:tc>
        <w:tc>
          <w:tcPr>
            <w:tcW w:w="900" w:type="dxa"/>
          </w:tcPr>
          <w:p w14:paraId="3869B2DE" w14:textId="77777777" w:rsidR="00095639" w:rsidRPr="00B160E2" w:rsidRDefault="00095639" w:rsidP="00095639">
            <w:pPr>
              <w:jc w:val="both"/>
              <w:rPr>
                <w:bCs/>
              </w:rPr>
            </w:pPr>
            <w:r w:rsidRPr="00B160E2">
              <w:rPr>
                <w:bCs/>
              </w:rPr>
              <w:t>0 %</w:t>
            </w:r>
          </w:p>
        </w:tc>
        <w:tc>
          <w:tcPr>
            <w:tcW w:w="1075" w:type="dxa"/>
          </w:tcPr>
          <w:p w14:paraId="49FFB47B" w14:textId="77777777" w:rsidR="00095639" w:rsidRPr="00B160E2" w:rsidRDefault="00095639" w:rsidP="00095639">
            <w:pPr>
              <w:jc w:val="both"/>
              <w:rPr>
                <w:bCs/>
              </w:rPr>
            </w:pPr>
            <w:r w:rsidRPr="00B160E2">
              <w:rPr>
                <w:bCs/>
              </w:rPr>
              <w:t>76.91%</w:t>
            </w:r>
          </w:p>
        </w:tc>
      </w:tr>
      <w:tr w:rsidR="00095639" w14:paraId="0F17AF17" w14:textId="77777777" w:rsidTr="004E5AC3">
        <w:tc>
          <w:tcPr>
            <w:tcW w:w="2605" w:type="dxa"/>
          </w:tcPr>
          <w:p w14:paraId="16BBBDD9" w14:textId="77777777" w:rsidR="00095639" w:rsidRPr="00B160E2" w:rsidRDefault="00095639" w:rsidP="00095639">
            <w:pPr>
              <w:rPr>
                <w:bCs/>
              </w:rPr>
            </w:pPr>
            <w:r w:rsidRPr="00B160E2">
              <w:rPr>
                <w:bCs/>
              </w:rPr>
              <w:t>Length of food and water deprivation (hours)</w:t>
            </w:r>
          </w:p>
          <w:p w14:paraId="497FCF36" w14:textId="727C133A" w:rsidR="00633487" w:rsidRPr="00B160E2" w:rsidRDefault="00633487" w:rsidP="00095639">
            <w:pPr>
              <w:rPr>
                <w:bCs/>
              </w:rPr>
            </w:pPr>
            <w:r w:rsidRPr="00B160E2">
              <w:rPr>
                <w:b/>
                <w:bCs/>
                <w:sz w:val="16"/>
              </w:rPr>
              <w:t>(only</w:t>
            </w:r>
            <w:r w:rsidRPr="00B160E2">
              <w:rPr>
                <w:bCs/>
                <w:sz w:val="16"/>
              </w:rPr>
              <w:t xml:space="preserve"> </w:t>
            </w:r>
            <w:r w:rsidRPr="00B160E2">
              <w:rPr>
                <w:b/>
                <w:bCs/>
                <w:sz w:val="16"/>
              </w:rPr>
              <w:t>studies with fasting ≤ 6 h)</w:t>
            </w:r>
          </w:p>
        </w:tc>
        <w:tc>
          <w:tcPr>
            <w:tcW w:w="1350" w:type="dxa"/>
          </w:tcPr>
          <w:p w14:paraId="473D280D" w14:textId="77777777" w:rsidR="00095639" w:rsidRPr="00B160E2" w:rsidRDefault="00095639" w:rsidP="00095639">
            <w:pPr>
              <w:jc w:val="both"/>
              <w:rPr>
                <w:bCs/>
              </w:rPr>
            </w:pPr>
            <w:r w:rsidRPr="00B160E2">
              <w:rPr>
                <w:bCs/>
              </w:rPr>
              <w:t>-0.21</w:t>
            </w:r>
          </w:p>
        </w:tc>
        <w:tc>
          <w:tcPr>
            <w:tcW w:w="1620" w:type="dxa"/>
          </w:tcPr>
          <w:p w14:paraId="103667F9" w14:textId="77777777" w:rsidR="00095639" w:rsidRPr="00B160E2" w:rsidRDefault="00095639" w:rsidP="00095639">
            <w:pPr>
              <w:jc w:val="both"/>
              <w:rPr>
                <w:bCs/>
              </w:rPr>
            </w:pPr>
            <w:r w:rsidRPr="00B160E2">
              <w:rPr>
                <w:bCs/>
              </w:rPr>
              <w:t>[-0.63, 0.20]</w:t>
            </w:r>
          </w:p>
        </w:tc>
        <w:tc>
          <w:tcPr>
            <w:tcW w:w="810" w:type="dxa"/>
          </w:tcPr>
          <w:p w14:paraId="123F687E" w14:textId="77777777" w:rsidR="00095639" w:rsidRPr="00B160E2" w:rsidRDefault="00095639" w:rsidP="00095639">
            <w:pPr>
              <w:jc w:val="both"/>
              <w:rPr>
                <w:bCs/>
              </w:rPr>
            </w:pPr>
            <w:r w:rsidRPr="00B160E2">
              <w:rPr>
                <w:bCs/>
              </w:rPr>
              <w:t>-0.99</w:t>
            </w:r>
          </w:p>
        </w:tc>
        <w:tc>
          <w:tcPr>
            <w:tcW w:w="990" w:type="dxa"/>
          </w:tcPr>
          <w:p w14:paraId="2598639F" w14:textId="77777777" w:rsidR="00095639" w:rsidRPr="00B160E2" w:rsidRDefault="00095639" w:rsidP="00095639">
            <w:pPr>
              <w:jc w:val="both"/>
              <w:rPr>
                <w:bCs/>
              </w:rPr>
            </w:pPr>
            <w:r w:rsidRPr="00B160E2">
              <w:rPr>
                <w:bCs/>
              </w:rPr>
              <w:t>0.32</w:t>
            </w:r>
          </w:p>
        </w:tc>
        <w:tc>
          <w:tcPr>
            <w:tcW w:w="900" w:type="dxa"/>
          </w:tcPr>
          <w:p w14:paraId="623286ED" w14:textId="77777777" w:rsidR="00095639" w:rsidRPr="00B160E2" w:rsidRDefault="00095639" w:rsidP="00095639">
            <w:pPr>
              <w:jc w:val="both"/>
              <w:rPr>
                <w:bCs/>
              </w:rPr>
            </w:pPr>
            <w:r w:rsidRPr="00B160E2">
              <w:rPr>
                <w:bCs/>
              </w:rPr>
              <w:t>0 %</w:t>
            </w:r>
          </w:p>
        </w:tc>
        <w:tc>
          <w:tcPr>
            <w:tcW w:w="1075" w:type="dxa"/>
          </w:tcPr>
          <w:p w14:paraId="476F2CD4" w14:textId="77777777" w:rsidR="00095639" w:rsidRPr="00B160E2" w:rsidRDefault="00095639" w:rsidP="00095639">
            <w:pPr>
              <w:jc w:val="both"/>
              <w:rPr>
                <w:bCs/>
              </w:rPr>
            </w:pPr>
            <w:r w:rsidRPr="00B160E2">
              <w:rPr>
                <w:bCs/>
              </w:rPr>
              <w:t>76.36%</w:t>
            </w:r>
          </w:p>
        </w:tc>
      </w:tr>
      <w:tr w:rsidR="00095639" w14:paraId="66F59DC5" w14:textId="77777777" w:rsidTr="004E5AC3">
        <w:tc>
          <w:tcPr>
            <w:tcW w:w="2605" w:type="dxa"/>
          </w:tcPr>
          <w:p w14:paraId="1AA4B251" w14:textId="77777777" w:rsidR="00095639" w:rsidRDefault="00095639" w:rsidP="00095639">
            <w:pPr>
              <w:tabs>
                <w:tab w:val="left" w:pos="936"/>
              </w:tabs>
              <w:rPr>
                <w:bCs/>
              </w:rPr>
            </w:pPr>
            <w:r>
              <w:rPr>
                <w:bCs/>
              </w:rPr>
              <w:t>Risk of bias score</w:t>
            </w:r>
          </w:p>
        </w:tc>
        <w:tc>
          <w:tcPr>
            <w:tcW w:w="1350" w:type="dxa"/>
          </w:tcPr>
          <w:p w14:paraId="3B59804D" w14:textId="77777777" w:rsidR="00095639" w:rsidRDefault="00095639" w:rsidP="00095639">
            <w:pPr>
              <w:jc w:val="both"/>
              <w:rPr>
                <w:bCs/>
              </w:rPr>
            </w:pPr>
            <w:r>
              <w:rPr>
                <w:bCs/>
              </w:rPr>
              <w:t>-0.26</w:t>
            </w:r>
          </w:p>
        </w:tc>
        <w:tc>
          <w:tcPr>
            <w:tcW w:w="1620" w:type="dxa"/>
          </w:tcPr>
          <w:p w14:paraId="739BF09F" w14:textId="77777777" w:rsidR="00095639" w:rsidRDefault="00095639" w:rsidP="00095639">
            <w:pPr>
              <w:jc w:val="both"/>
              <w:rPr>
                <w:bCs/>
              </w:rPr>
            </w:pPr>
            <w:r>
              <w:rPr>
                <w:bCs/>
              </w:rPr>
              <w:t>[-1.09, 0.57]</w:t>
            </w:r>
          </w:p>
        </w:tc>
        <w:tc>
          <w:tcPr>
            <w:tcW w:w="810" w:type="dxa"/>
          </w:tcPr>
          <w:p w14:paraId="406AFE1F" w14:textId="77777777" w:rsidR="00095639" w:rsidRDefault="00095639" w:rsidP="00095639">
            <w:pPr>
              <w:jc w:val="both"/>
              <w:rPr>
                <w:bCs/>
              </w:rPr>
            </w:pPr>
            <w:r>
              <w:rPr>
                <w:bCs/>
              </w:rPr>
              <w:t>-0.61</w:t>
            </w:r>
          </w:p>
        </w:tc>
        <w:tc>
          <w:tcPr>
            <w:tcW w:w="990" w:type="dxa"/>
          </w:tcPr>
          <w:p w14:paraId="63A3B690" w14:textId="77777777" w:rsidR="00095639" w:rsidRDefault="00095639" w:rsidP="00095639">
            <w:pPr>
              <w:jc w:val="both"/>
              <w:rPr>
                <w:bCs/>
              </w:rPr>
            </w:pPr>
            <w:r>
              <w:rPr>
                <w:bCs/>
              </w:rPr>
              <w:t>0.54</w:t>
            </w:r>
          </w:p>
        </w:tc>
        <w:tc>
          <w:tcPr>
            <w:tcW w:w="900" w:type="dxa"/>
          </w:tcPr>
          <w:p w14:paraId="1A9FA135" w14:textId="77777777" w:rsidR="00095639" w:rsidRDefault="00095639" w:rsidP="00095639">
            <w:pPr>
              <w:jc w:val="both"/>
              <w:rPr>
                <w:bCs/>
              </w:rPr>
            </w:pPr>
            <w:r>
              <w:rPr>
                <w:bCs/>
              </w:rPr>
              <w:t>0 %</w:t>
            </w:r>
          </w:p>
        </w:tc>
        <w:tc>
          <w:tcPr>
            <w:tcW w:w="1075" w:type="dxa"/>
          </w:tcPr>
          <w:p w14:paraId="78F8417F" w14:textId="77777777" w:rsidR="00095639" w:rsidRDefault="00095639" w:rsidP="00095639">
            <w:pPr>
              <w:jc w:val="both"/>
              <w:rPr>
                <w:bCs/>
              </w:rPr>
            </w:pPr>
            <w:r>
              <w:rPr>
                <w:bCs/>
              </w:rPr>
              <w:t>76.62%</w:t>
            </w:r>
          </w:p>
        </w:tc>
      </w:tr>
    </w:tbl>
    <w:p w14:paraId="77B2797C" w14:textId="059B8B43" w:rsidR="006C21CE" w:rsidRDefault="006C21CE" w:rsidP="006C21CE">
      <w:pPr>
        <w:pStyle w:val="BodyText"/>
        <w:jc w:val="both"/>
      </w:pPr>
      <w:r>
        <w:t>R</w:t>
      </w:r>
      <w:r>
        <w:rPr>
          <w:vertAlign w:val="superscript"/>
        </w:rPr>
        <w:t>2</w:t>
      </w:r>
      <w:r>
        <w:t>: the amount of heterogeneity accounted for by the predictor. I</w:t>
      </w:r>
      <w:r>
        <w:rPr>
          <w:vertAlign w:val="superscript"/>
        </w:rPr>
        <w:t>2</w:t>
      </w:r>
      <w:r>
        <w:t xml:space="preserve">: the variance not explained by the predictor (remaining between-study heterogeneity). Abbreviations: 95% CI, 95% </w:t>
      </w:r>
      <w:r>
        <w:lastRenderedPageBreak/>
        <w:t>confidence interval. Stressed vs Control: 171 experiments; treated vs stressed: 12 experiments.</w:t>
      </w:r>
      <w:r w:rsidR="00AB07D3">
        <w:t xml:space="preserve"> Abbreviations:  </w:t>
      </w:r>
      <w:r w:rsidR="00AC5958">
        <w:t xml:space="preserve">SMD, </w:t>
      </w:r>
      <w:r w:rsidR="00AB07D3">
        <w:t xml:space="preserve">Standardized </w:t>
      </w:r>
      <w:r w:rsidR="00AC5958">
        <w:t>mean difference.</w:t>
      </w:r>
    </w:p>
    <w:p w14:paraId="7201E5A3" w14:textId="64BD3E71" w:rsidR="00466720" w:rsidRPr="00B160E2" w:rsidRDefault="00466720" w:rsidP="006C21CE">
      <w:pPr>
        <w:pStyle w:val="BodyText"/>
        <w:jc w:val="both"/>
      </w:pPr>
      <w:r w:rsidRPr="00B160E2">
        <w:t xml:space="preserve">Access to the data used to perform the meta-regression </w:t>
      </w:r>
      <w:r w:rsidR="001021FB" w:rsidRPr="00B160E2">
        <w:t>for duration of food and water deprivation on the effect measured in the SPT</w:t>
      </w:r>
      <w:r w:rsidRPr="00B160E2">
        <w:t>:</w:t>
      </w:r>
    </w:p>
    <w:p w14:paraId="04FDF9CD" w14:textId="621FA328" w:rsidR="00EE5AED" w:rsidRPr="00B160E2" w:rsidRDefault="00466720" w:rsidP="00633487">
      <w:pPr>
        <w:pStyle w:val="Compact"/>
        <w:rPr>
          <w:i/>
          <w:iCs/>
        </w:rPr>
      </w:pPr>
      <w:r w:rsidRPr="00B160E2">
        <w:rPr>
          <w:i/>
          <w:iCs/>
        </w:rPr>
        <w:t>OSF: “DataQ1_plusLFWd</w:t>
      </w:r>
      <w:r w:rsidR="00EE5AED" w:rsidRPr="00B160E2">
        <w:rPr>
          <w:i/>
          <w:iCs/>
        </w:rPr>
        <w:t>.xlsx”</w:t>
      </w:r>
    </w:p>
    <w:p w14:paraId="3DBF172F" w14:textId="77777777" w:rsidR="00EE5AED" w:rsidRPr="00B160E2" w:rsidRDefault="00EE5AED" w:rsidP="00EE5AED">
      <w:pPr>
        <w:pStyle w:val="Heading4"/>
        <w:jc w:val="both"/>
        <w:rPr>
          <w:iCs/>
          <w:color w:val="auto"/>
        </w:rPr>
      </w:pPr>
      <w:bookmarkStart w:id="20" w:name="spt-methodology"/>
      <w:r w:rsidRPr="00B160E2">
        <w:rPr>
          <w:iCs/>
          <w:color w:val="auto"/>
        </w:rPr>
        <w:t xml:space="preserve">Characteristics of the studies with fasting exceeding 6 hours </w:t>
      </w:r>
    </w:p>
    <w:p w14:paraId="66E944B5" w14:textId="77777777" w:rsidR="00EE5AED" w:rsidRPr="00B160E2" w:rsidRDefault="00EE5AED" w:rsidP="00EE5AED">
      <w:pPr>
        <w:pStyle w:val="BodyText"/>
        <w:jc w:val="both"/>
      </w:pPr>
      <w:r w:rsidRPr="00B160E2">
        <w:t xml:space="preserve">From the studies excluded because of long food and/or water deprivation (728, figure 2), 73 reports were randomly selected. A total of 89 experiments were extracted. </w:t>
      </w:r>
      <w:proofErr w:type="spellStart"/>
      <w:r w:rsidRPr="00B160E2">
        <w:t>Wistar</w:t>
      </w:r>
      <w:proofErr w:type="spellEnd"/>
      <w:r w:rsidRPr="00B160E2">
        <w:t xml:space="preserve"> and Sprague Dawley rats were the most common stocks in the experiments (40.4% and 53.9%, respectively). Only five experiments used other strain/stocks (Fischer 344, Lister hooded, and </w:t>
      </w:r>
      <w:proofErr w:type="spellStart"/>
      <w:r w:rsidRPr="00B160E2">
        <w:t>Wistar</w:t>
      </w:r>
      <w:proofErr w:type="spellEnd"/>
      <w:r w:rsidRPr="00B160E2">
        <w:t xml:space="preserve">-Han). Male rats were employed in 93.2% of the experiments; only five experiments used females. The length of stress varied from 2 to 11 weeks (51.7% between 2 and 4 weeks, 20.2% between 4 and 6, 21.34% between 6 and 8, and 6.7% above 8 weeks). All experiments used sucrose as sweetener and employed periods of fasting that ranged from 10 to 24 hours. Most (66.3%) deprived the animals of food and/or water for 20 hours or more, 9% between 15 and 19 hours and 24.7% between 10 and 14 hours. The allotted time for consumption in the vast majority of the experiments (70.8%) was half to one hour. Only 10 experiments employed prolonged periods of testing (12 to 48 hours). Overall, with the exception of the expected differences in length of fasting and testing, and a slight skewness towards employing longer periods of stress, these experiments have similar model and methodological characteristics as those employing shorter deprivations.  </w:t>
      </w:r>
    </w:p>
    <w:bookmarkEnd w:id="20"/>
    <w:p w14:paraId="5135396F" w14:textId="2AA6D029" w:rsidR="00EE5AED" w:rsidRPr="00B160E2" w:rsidRDefault="00EE5AED" w:rsidP="00633487">
      <w:pPr>
        <w:pStyle w:val="Compact"/>
        <w:rPr>
          <w:i/>
          <w:iCs/>
        </w:rPr>
      </w:pPr>
      <w:r w:rsidRPr="00B160E2">
        <w:rPr>
          <w:i/>
          <w:iCs/>
        </w:rPr>
        <w:t>Multiple meta-regression:</w:t>
      </w:r>
    </w:p>
    <w:p w14:paraId="4500D0EB" w14:textId="7A5A54E2" w:rsidR="00003AAD" w:rsidRPr="00B160E2" w:rsidRDefault="00003AAD" w:rsidP="006C21CE">
      <w:pPr>
        <w:pStyle w:val="BodyText"/>
        <w:jc w:val="both"/>
      </w:pPr>
      <w:r w:rsidRPr="00B160E2">
        <w:t xml:space="preserve">To assess whether the type of sweet or the duration of the stress could have confounded the results of the meta-regression. We </w:t>
      </w:r>
      <w:r w:rsidR="00466720" w:rsidRPr="00B160E2">
        <w:t>removed th</w:t>
      </w:r>
      <w:r w:rsidR="0016555E" w:rsidRPr="00B160E2">
        <w:t>e</w:t>
      </w:r>
      <w:r w:rsidR="00466720" w:rsidRPr="00B160E2">
        <w:t xml:space="preserve"> experiments that have employed saccharin and conducted a multiple meta-regression</w:t>
      </w:r>
      <w:r w:rsidR="0016555E" w:rsidRPr="00B160E2">
        <w:t xml:space="preserve"> controlling for length of stress. Length of food and water deprivation was indeed associated with higher effects (decreased sweet consumptions</w:t>
      </w:r>
      <w:proofErr w:type="gramStart"/>
      <w:r w:rsidR="0016555E" w:rsidRPr="00B160E2">
        <w:t>)</w:t>
      </w:r>
      <w:r w:rsidR="00095639" w:rsidRPr="00B160E2">
        <w:t>(</w:t>
      </w:r>
      <w:proofErr w:type="gramEnd"/>
      <w:r w:rsidR="00095639" w:rsidRPr="00B160E2">
        <w:t>Supplementary table 6). Duration of stress was not a significant predictor</w:t>
      </w:r>
      <w:r w:rsidR="00B160E2">
        <w:t xml:space="preserve">   </w:t>
      </w:r>
      <w:r w:rsidR="00095639" w:rsidRPr="00B160E2">
        <w:t xml:space="preserve"> (-0.0474 SMD, 95%CI </w:t>
      </w:r>
      <w:r w:rsidR="00095639" w:rsidRPr="00B160E2">
        <w:rPr>
          <w:bCs/>
        </w:rPr>
        <w:t>[-0.</w:t>
      </w:r>
      <w:r w:rsidR="00095639" w:rsidRPr="00B160E2">
        <w:t>14, 0.04], p = 0.29)</w:t>
      </w:r>
      <w:r w:rsidR="00EE5AED" w:rsidRPr="00B160E2">
        <w:t>.</w:t>
      </w:r>
      <w:r w:rsidR="00367571" w:rsidRPr="00B160E2">
        <w:t xml:space="preserve"> This means that the relationship is not confounded by </w:t>
      </w:r>
      <w:r w:rsidR="00EE5AED" w:rsidRPr="00B160E2">
        <w:t xml:space="preserve">the fact that studies employing longer periods of deprivation may have employed longer periods of stress. </w:t>
      </w:r>
    </w:p>
    <w:p w14:paraId="3370C426" w14:textId="6D5410AE" w:rsidR="00EB7AB2" w:rsidRDefault="00EB7AB2" w:rsidP="006C21CE">
      <w:pPr>
        <w:pStyle w:val="BodyText"/>
        <w:jc w:val="both"/>
      </w:pPr>
    </w:p>
    <w:p w14:paraId="4D10E3F0" w14:textId="687F628B" w:rsidR="00EE5AED" w:rsidRDefault="00EE5AED" w:rsidP="006C21CE">
      <w:pPr>
        <w:pStyle w:val="BodyText"/>
        <w:jc w:val="both"/>
      </w:pPr>
    </w:p>
    <w:p w14:paraId="79F44E8D" w14:textId="6A67C290" w:rsidR="00EE5AED" w:rsidRDefault="00EE5AED" w:rsidP="006C21CE">
      <w:pPr>
        <w:pStyle w:val="BodyText"/>
        <w:jc w:val="both"/>
      </w:pPr>
    </w:p>
    <w:p w14:paraId="299FFF02" w14:textId="01942921" w:rsidR="00EE5AED" w:rsidRDefault="00EE5AED" w:rsidP="006C21CE">
      <w:pPr>
        <w:pStyle w:val="BodyText"/>
        <w:jc w:val="both"/>
      </w:pPr>
    </w:p>
    <w:p w14:paraId="2BFA92DC" w14:textId="50F5C90B" w:rsidR="00EE5AED" w:rsidRDefault="00EE5AED" w:rsidP="006C21CE">
      <w:pPr>
        <w:pStyle w:val="BodyText"/>
        <w:jc w:val="both"/>
      </w:pPr>
    </w:p>
    <w:p w14:paraId="002E93D3" w14:textId="2FBE1770" w:rsidR="00EE5AED" w:rsidRDefault="00EE5AED" w:rsidP="006C21CE">
      <w:pPr>
        <w:pStyle w:val="BodyText"/>
        <w:jc w:val="both"/>
      </w:pPr>
    </w:p>
    <w:p w14:paraId="2A95FE21" w14:textId="77777777" w:rsidR="00EE5AED" w:rsidRDefault="00EE5AED" w:rsidP="006C21CE">
      <w:pPr>
        <w:pStyle w:val="BodyText"/>
        <w:jc w:val="both"/>
      </w:pPr>
    </w:p>
    <w:p w14:paraId="5B202088" w14:textId="77777777" w:rsidR="006C21CE" w:rsidRPr="006C21CE" w:rsidRDefault="006C21CE" w:rsidP="006C21CE">
      <w:pPr>
        <w:pStyle w:val="BodyText"/>
        <w:rPr>
          <w:b/>
          <w:bCs/>
        </w:rPr>
      </w:pPr>
      <w:r w:rsidRPr="006C21CE">
        <w:rPr>
          <w:b/>
          <w:bCs/>
        </w:rPr>
        <w:lastRenderedPageBreak/>
        <w:t>Sucrose preference test in rats treated with antidepressants:</w:t>
      </w:r>
    </w:p>
    <w:p w14:paraId="2C9DDEB1" w14:textId="419DB674" w:rsidR="006C21CE" w:rsidRDefault="001671DD" w:rsidP="006C21CE">
      <w:pPr>
        <w:pStyle w:val="BodyText"/>
      </w:pPr>
      <w:r w:rsidRPr="001671DD">
        <w:rPr>
          <w:noProof/>
        </w:rPr>
        <w:drawing>
          <wp:inline distT="0" distB="0" distL="0" distR="0" wp14:anchorId="5F982445" wp14:editId="136076C2">
            <wp:extent cx="5943600" cy="2669583"/>
            <wp:effectExtent l="0" t="0" r="0" b="0"/>
            <wp:docPr id="7" name="Picture 7" descr="D:\PhD\Project\1 SR\1SR\Article\FIGURES\Final\Supplementary material\SFigure7.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D\Project\1 SR\1SR\Article\FIGURES\Final\Supplementary material\SFigure7.tif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669583"/>
                    </a:xfrm>
                    <a:prstGeom prst="rect">
                      <a:avLst/>
                    </a:prstGeom>
                    <a:noFill/>
                    <a:ln>
                      <a:noFill/>
                    </a:ln>
                  </pic:spPr>
                </pic:pic>
              </a:graphicData>
            </a:graphic>
          </wp:inline>
        </w:drawing>
      </w:r>
    </w:p>
    <w:p w14:paraId="3F74E818" w14:textId="764EDB3C" w:rsidR="006C21CE" w:rsidRDefault="006C21CE" w:rsidP="00AC5958">
      <w:pPr>
        <w:pStyle w:val="BodyText"/>
        <w:jc w:val="both"/>
      </w:pPr>
      <w:r>
        <w:rPr>
          <w:b/>
          <w:bCs/>
        </w:rPr>
        <w:t>Supplementary figure 7.</w:t>
      </w:r>
      <w:r>
        <w:t xml:space="preserve"> </w:t>
      </w:r>
      <w:r>
        <w:rPr>
          <w:i/>
          <w:iCs/>
        </w:rPr>
        <w:t xml:space="preserve">Forest plot of the sweet consumption in stressed animals compared to </w:t>
      </w:r>
      <w:proofErr w:type="gramStart"/>
      <w:r>
        <w:rPr>
          <w:i/>
          <w:iCs/>
        </w:rPr>
        <w:t>stressed</w:t>
      </w:r>
      <w:proofErr w:type="gramEnd"/>
      <w:r>
        <w:rPr>
          <w:i/>
          <w:iCs/>
        </w:rPr>
        <w:t xml:space="preserve"> animals treated with an antidepressant.</w:t>
      </w:r>
      <w:r>
        <w:t xml:space="preserve"> The pooled effect and its 95% CI is represented by the black diamond. Studies falling on the right side of the no effect line found an increased consumption in treated animals. Abbreviati</w:t>
      </w:r>
      <w:r w:rsidR="001671DD">
        <w:t>ons: n</w:t>
      </w:r>
      <w:r>
        <w:t>, number of animals in each group; SD, standard deviation; SMD, standardized mean difference; 95%-CI, 95% confidence interval.</w:t>
      </w:r>
    </w:p>
    <w:p w14:paraId="63F155B6" w14:textId="3CE7F7E4" w:rsidR="007B3C5B" w:rsidRDefault="00370743">
      <w:pPr>
        <w:pStyle w:val="BodyText"/>
      </w:pPr>
      <w:r>
        <w:rPr>
          <w:b/>
          <w:bCs/>
        </w:rPr>
        <w:t>Strain - Treated rats vs stress</w:t>
      </w:r>
      <w:r w:rsidR="00BE3319">
        <w:rPr>
          <w:b/>
          <w:bCs/>
        </w:rPr>
        <w:t>ed</w:t>
      </w:r>
      <w:r>
        <w:rPr>
          <w:b/>
          <w:bCs/>
        </w:rPr>
        <w:t xml:space="preserve"> </w:t>
      </w:r>
      <w:r w:rsidR="00BE3319">
        <w:rPr>
          <w:b/>
          <w:bCs/>
        </w:rPr>
        <w:t>rats</w:t>
      </w:r>
    </w:p>
    <w:p w14:paraId="3C72127D" w14:textId="1DC3DEE1" w:rsidR="007B3C5B" w:rsidRDefault="001671DD">
      <w:pPr>
        <w:pStyle w:val="BodyText"/>
      </w:pPr>
      <w:r w:rsidRPr="001671DD">
        <w:rPr>
          <w:noProof/>
        </w:rPr>
        <w:drawing>
          <wp:inline distT="0" distB="0" distL="0" distR="0" wp14:anchorId="013303F5" wp14:editId="0D438506">
            <wp:extent cx="5267325" cy="3076227"/>
            <wp:effectExtent l="0" t="0" r="0" b="0"/>
            <wp:docPr id="8" name="Picture 8" descr="D:\PhD\Project\1 SR\1SR\Article\FIGURES\Final\Supplementary material\SFigure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PhD\Project\1 SR\1SR\Article\FIGURES\Final\Supplementary material\SFigure8.tiff"/>
                    <pic:cNvPicPr>
                      <a:picLocks noChangeAspect="1" noChangeArrowheads="1"/>
                    </pic:cNvPicPr>
                  </pic:nvPicPr>
                  <pic:blipFill rotWithShape="1">
                    <a:blip r:embed="rId28">
                      <a:extLst>
                        <a:ext uri="{28A0092B-C50C-407E-A947-70E740481C1C}">
                          <a14:useLocalDpi xmlns:a14="http://schemas.microsoft.com/office/drawing/2010/main" val="0"/>
                        </a:ext>
                      </a:extLst>
                    </a:blip>
                    <a:srcRect l="5609" t="8831" r="5749" b="4725"/>
                    <a:stretch/>
                  </pic:blipFill>
                  <pic:spPr bwMode="auto">
                    <a:xfrm>
                      <a:off x="0" y="0"/>
                      <a:ext cx="5268484" cy="3076904"/>
                    </a:xfrm>
                    <a:prstGeom prst="rect">
                      <a:avLst/>
                    </a:prstGeom>
                    <a:noFill/>
                    <a:ln>
                      <a:noFill/>
                    </a:ln>
                    <a:extLst>
                      <a:ext uri="{53640926-AAD7-44D8-BBD7-CCE9431645EC}">
                        <a14:shadowObscured xmlns:a14="http://schemas.microsoft.com/office/drawing/2010/main"/>
                      </a:ext>
                    </a:extLst>
                  </pic:spPr>
                </pic:pic>
              </a:graphicData>
            </a:graphic>
          </wp:inline>
        </w:drawing>
      </w:r>
    </w:p>
    <w:p w14:paraId="7F3C2A69" w14:textId="7EDBCCBF" w:rsidR="007B3C5B" w:rsidRDefault="006C21CE">
      <w:pPr>
        <w:pStyle w:val="BodyText"/>
      </w:pPr>
      <w:r>
        <w:rPr>
          <w:b/>
          <w:bCs/>
        </w:rPr>
        <w:t>Supplementary figure 8</w:t>
      </w:r>
      <w:r w:rsidR="00370743">
        <w:rPr>
          <w:b/>
          <w:bCs/>
        </w:rPr>
        <w:t>.</w:t>
      </w:r>
      <w:r w:rsidR="00370743">
        <w:t xml:space="preserve"> </w:t>
      </w:r>
      <w:r w:rsidR="00370743">
        <w:rPr>
          <w:i/>
          <w:iCs/>
        </w:rPr>
        <w:t>Subgroup analysis by strain</w:t>
      </w:r>
      <w:r w:rsidR="001D50E9">
        <w:t xml:space="preserve">. </w:t>
      </w:r>
      <w:r w:rsidR="00370743">
        <w:t xml:space="preserve">The pooled effect in each subgroup and its 95% CI is represented by the black diamond. Studies falling on the right side of the </w:t>
      </w:r>
      <w:r w:rsidR="00370743">
        <w:lastRenderedPageBreak/>
        <w:t>no effect line found an increased consumption in t</w:t>
      </w:r>
      <w:r w:rsidR="001671DD">
        <w:t>reated animals. Abbreviations: n</w:t>
      </w:r>
      <w:r w:rsidR="00370743">
        <w:t>, number of animals in each group; SD, standard deviation; SMD, standardized mean difference; 95%-CI, 95% confidence interval.</w:t>
      </w:r>
    </w:p>
    <w:p w14:paraId="4233F8A7" w14:textId="1248000C" w:rsidR="007B3C5B" w:rsidRDefault="00370743">
      <w:pPr>
        <w:pStyle w:val="BodyText"/>
      </w:pPr>
      <w:r>
        <w:rPr>
          <w:b/>
          <w:bCs/>
        </w:rPr>
        <w:t>Class of antidepressant - Treated rats vs stress controls</w:t>
      </w:r>
    </w:p>
    <w:p w14:paraId="5ED6F7E8" w14:textId="0920B3A8" w:rsidR="007B3C5B" w:rsidRDefault="007E182F">
      <w:pPr>
        <w:pStyle w:val="BodyText"/>
      </w:pPr>
      <w:r w:rsidRPr="007E182F">
        <w:rPr>
          <w:noProof/>
        </w:rPr>
        <w:drawing>
          <wp:inline distT="0" distB="0" distL="0" distR="0" wp14:anchorId="0739B880" wp14:editId="097CF00A">
            <wp:extent cx="5943600" cy="3274796"/>
            <wp:effectExtent l="0" t="0" r="0" b="1905"/>
            <wp:docPr id="5" name="Picture 5" descr="D:\PhD\Project\1 SR\1SR\Article\FIGURES\Final\Supplementary material\Sfigur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D\Project\1 SR\1SR\Article\FIGURES\Final\Supplementary material\Sfigure9.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274796"/>
                    </a:xfrm>
                    <a:prstGeom prst="rect">
                      <a:avLst/>
                    </a:prstGeom>
                    <a:noFill/>
                    <a:ln>
                      <a:noFill/>
                    </a:ln>
                  </pic:spPr>
                </pic:pic>
              </a:graphicData>
            </a:graphic>
          </wp:inline>
        </w:drawing>
      </w:r>
    </w:p>
    <w:p w14:paraId="77F165EE" w14:textId="5C0CC487" w:rsidR="007B3C5B" w:rsidRDefault="006C21CE" w:rsidP="00F235F6">
      <w:pPr>
        <w:pStyle w:val="BodyText"/>
        <w:jc w:val="both"/>
      </w:pPr>
      <w:r>
        <w:rPr>
          <w:b/>
          <w:bCs/>
        </w:rPr>
        <w:t>Supplementary figure 9</w:t>
      </w:r>
      <w:r w:rsidR="00370743">
        <w:rPr>
          <w:b/>
          <w:bCs/>
        </w:rPr>
        <w:t>.</w:t>
      </w:r>
      <w:r w:rsidR="00370743">
        <w:t xml:space="preserve"> </w:t>
      </w:r>
      <w:r w:rsidR="00370743">
        <w:rPr>
          <w:i/>
          <w:iCs/>
        </w:rPr>
        <w:t>Subgroup analysis by class of antidepressant</w:t>
      </w:r>
      <w:r w:rsidR="00AC5958">
        <w:t xml:space="preserve">. </w:t>
      </w:r>
      <w:r w:rsidR="00370743">
        <w:t>The pooled effect in each subgroup and its 95% CI is represented by the black diamond. Studies falling on the right side of the no effect line found an increased consumption in t</w:t>
      </w:r>
      <w:r w:rsidR="001671DD">
        <w:t>reated animals. Abbreviations: n</w:t>
      </w:r>
      <w:r w:rsidR="00370743">
        <w:t>, number of animals in each group; SD, standard deviation; SMD, standardized mean difference; 95%-CI, 95% confidence interval.</w:t>
      </w:r>
    </w:p>
    <w:p w14:paraId="70DC4B34" w14:textId="77777777" w:rsidR="007E182F" w:rsidRDefault="007E182F" w:rsidP="00F235F6">
      <w:pPr>
        <w:pStyle w:val="BodyText"/>
        <w:jc w:val="both"/>
      </w:pPr>
    </w:p>
    <w:p w14:paraId="02E055D3" w14:textId="72C2F323" w:rsidR="007B3C5B" w:rsidRDefault="00370743">
      <w:pPr>
        <w:pStyle w:val="Heading3"/>
        <w:rPr>
          <w:i/>
          <w:iCs/>
        </w:rPr>
      </w:pPr>
      <w:bookmarkStart w:id="21" w:name="publication-bias---small-study-effect"/>
      <w:bookmarkEnd w:id="18"/>
      <w:r>
        <w:rPr>
          <w:i/>
          <w:iCs/>
        </w:rPr>
        <w:t>Publication bias - small study effect</w:t>
      </w:r>
      <w:r w:rsidR="009214ED">
        <w:rPr>
          <w:i/>
          <w:iCs/>
        </w:rPr>
        <w:t>s</w:t>
      </w:r>
    </w:p>
    <w:p w14:paraId="129A1F0F" w14:textId="0E264DA2" w:rsidR="00387E67" w:rsidRPr="00480AB1" w:rsidRDefault="00387E67" w:rsidP="00306C3F">
      <w:pPr>
        <w:pStyle w:val="FirstParagraph"/>
        <w:jc w:val="both"/>
      </w:pPr>
      <w:r w:rsidRPr="00480AB1">
        <w:t>The funnel plot is a visual representation of the relationship between the precision (standard error) and the effect size (SMD</w:t>
      </w:r>
      <w:r w:rsidR="003B4FCC" w:rsidRPr="00480AB1">
        <w:t xml:space="preserve"> or MD</w:t>
      </w:r>
      <w:r w:rsidRPr="00480AB1">
        <w:t xml:space="preserve">) of experiments. Experiments with higher precision (smaller standard error) will ideally </w:t>
      </w:r>
      <w:r w:rsidR="005705AE" w:rsidRPr="00480AB1">
        <w:t xml:space="preserve">present effect sizes that </w:t>
      </w:r>
      <w:r w:rsidRPr="00480AB1">
        <w:t xml:space="preserve">cluster around the overall effect calculated. As the precision falls (increasing standard error) the experiments will scatter more widely on either side (symmetrically) as they become </w:t>
      </w:r>
      <w:r w:rsidR="005705AE" w:rsidRPr="00480AB1">
        <w:t>worse</w:t>
      </w:r>
      <w:r w:rsidRPr="00480AB1">
        <w:t xml:space="preserve"> at estimating the true effect; hence the funnel shape. </w:t>
      </w:r>
      <w:r w:rsidR="004C4976" w:rsidRPr="00480AB1">
        <w:t xml:space="preserve">Small studies producing small effects, null effects, or effects in the opposite direction of the tested hypothesis are, historically, less likely to be published. Researchers obtaining these disheartening results may also choose to add subjects to their study – producing a larger study, with results likely to be closer to the true effect. Regardless of mechanism, </w:t>
      </w:r>
      <w:r w:rsidR="0044187D" w:rsidRPr="00480AB1">
        <w:t>these biases, affecting small studies disproportionately, produce</w:t>
      </w:r>
      <w:r w:rsidR="004C4976" w:rsidRPr="00480AB1">
        <w:t xml:space="preserve"> funnel plots </w:t>
      </w:r>
      <w:r w:rsidR="00823295" w:rsidRPr="00480AB1">
        <w:t xml:space="preserve">that </w:t>
      </w:r>
      <w:r w:rsidR="004C4976" w:rsidRPr="00480AB1">
        <w:t>are asymmetrical at their base. This is often referred to as the small study effect</w:t>
      </w:r>
      <w:r w:rsidR="00AC5958" w:rsidRPr="00480AB1">
        <w:fldChar w:fldCharType="begin" w:fldLock="1"/>
      </w:r>
      <w:r w:rsidR="00F24A26">
        <w:instrText>ADDIN CSL_CITATION {"citationItems":[{"id":"ITEM-1","itemData":{"DOI":"10.1111/biom.12817","ISSN":"15410420","PMID":"29141096","abstract":"Publication bias is a serious problem in systematic reviews and meta-analyses, which can affect the validity and generalization of conclusions. Currently, approaches to dealing with publication bias can be distinguished into two classes: selection models and funnel-plot-based methods. Selection models use weight functions to adjust the overall effect size estimate and are usually employed as sensitivity analyses to assess the potential impact of publication bias. Funnel-plot-based methods include visual examination of a funnel plot, regression and rank tests, and the nonparametric trim and fill method. Although these approaches have been widely used in applications, measures for quantifying publication bias are seldom studied in the literature. Such measures can be used as a characteristic of a meta-analysis; also, they permit comparisons of publication biases between different meta-analyses. Egger's regression intercept may be considered as a candidate measure, but it lacks an intuitive interpretation. This article introduces a new measure, the skewness of the standardized deviates, to quantify publication bias. This measure describes the asymmetry of the collected studies’ distribution. In addition, a new test for publication bias is derived based on the skewness. Large sample properties of the new measure are studied, and its performance is illustrated using simulations and three case studies.","author":[{"dropping-particle":"","family":"Lin","given":"Lifeng","non-dropping-particle":"","parse-names":false,"suffix":""},{"dropping-particle":"","family":"Chu","given":"Haitao","non-dropping-particle":"","parse-names":false,"suffix":""}],"container-title":"Biometrics","id":"ITEM-1","issue":"3","issued":{"date-parts":[["2018","9","1"]]},"page":"785-794","publisher":"Blackwell Publishing Inc.","title":"Quantifying publication bias in meta-analysis","type":"article-journal","volume":"74"},"uris":["http://www.mendeley.com/documents/?uuid=3369a268-64e6-381e-9398-6e594237f8b3"]}],"mendeley":{"formattedCitation":"&lt;sup&gt;7&lt;/sup&gt;","plainTextFormattedCitation":"7","previouslyFormattedCitation":"&lt;sup&gt;7&lt;/sup&gt;"},"properties":{"noteIndex":0},"schema":"https://github.com/citation-style-language/schema/raw/master/csl-citation.json"}</w:instrText>
      </w:r>
      <w:r w:rsidR="00AC5958" w:rsidRPr="00480AB1">
        <w:fldChar w:fldCharType="separate"/>
      </w:r>
      <w:r w:rsidR="00A36ADA" w:rsidRPr="00A36ADA">
        <w:rPr>
          <w:noProof/>
          <w:vertAlign w:val="superscript"/>
        </w:rPr>
        <w:t>7</w:t>
      </w:r>
      <w:r w:rsidR="00AC5958" w:rsidRPr="00480AB1">
        <w:fldChar w:fldCharType="end"/>
      </w:r>
      <w:r w:rsidR="004C4976" w:rsidRPr="00480AB1">
        <w:t xml:space="preserve">. </w:t>
      </w:r>
    </w:p>
    <w:p w14:paraId="43259854" w14:textId="0819CEB4" w:rsidR="00E65BEF" w:rsidRPr="00480AB1" w:rsidRDefault="004307B9" w:rsidP="004307B9">
      <w:pPr>
        <w:pStyle w:val="FirstParagraph"/>
        <w:jc w:val="both"/>
      </w:pPr>
      <w:r w:rsidRPr="00480AB1">
        <w:lastRenderedPageBreak/>
        <w:t xml:space="preserve">The influence of small studies was initially assessed by visual inspection of funnel plots of the SMD followed by Egger’s test with the corrected standard error (SE) proposed by </w:t>
      </w:r>
      <w:proofErr w:type="spellStart"/>
      <w:r w:rsidRPr="00480AB1">
        <w:t>Pustejovsky</w:t>
      </w:r>
      <w:proofErr w:type="spellEnd"/>
      <w:r w:rsidRPr="00480AB1">
        <w:t xml:space="preserve"> and Rogers</w:t>
      </w:r>
      <w:r w:rsidRPr="00480AB1">
        <w:fldChar w:fldCharType="begin" w:fldLock="1"/>
      </w:r>
      <w:r w:rsidR="00F24A26">
        <w:instrText>ADDIN CSL_CITATION {"citationItems":[{"id":"ITEM-1","itemData":{"DOI":"10.1002/jrsm.1332","ISSN":"17592887","PMID":"30506832","abstract":"Publication bias and other forms of outcome reporting bias are critical threats to the validity of findings from research syntheses. A variety of methods have been proposed for detecting selective outcome reporting in a collection of effect size estimates, including several methods based on assessment of asymmetry of funnel plots, such as the Egger's regression test, the rank correlation test, and the Trim-and-Fill test. Previous research has demonstated that the Egger's regression test is miscalibrated when applied to log-odds ratio effect size estimates, because of artifactual correlation between the effect size estimate and its standard error. This study examines similar problems that occur in meta-analyses of the standardized mean difference, a ubiquitous effect size measure in educational and psychological research. In a simulation study of standardized mean difference effect sizes, we assess the Type I error rates of conventional tests of funnel plot asymmetry, as well as the likelihood ratio test from a three-parameter selection model. Results demonstrate that the conventional tests have inflated Type I error due to the correlation between the effect size estimate and its standard error, while tests based on either a simple modification to the conventional standard error formula or a variance-stabilizing transformation both maintain close-to-nominal Type I error.","author":[{"dropping-particle":"","family":"Pustejovsky","given":"James E.","non-dropping-particle":"","parse-names":false,"suffix":""},{"dropping-particle":"","family":"Rodgers","given":"Melissa A.","non-dropping-particle":"","parse-names":false,"suffix":""}],"container-title":"Research Synthesis Methods","id":"ITEM-1","issue":"1","issued":{"date-parts":[["2019","3","1"]]},"page":"57-71","publisher":"John Wiley and Sons Ltd","title":"Testing for funnel plot asymmetry of standardized mean differences","type":"article-journal","volume":"10"},"uris":["http://www.mendeley.com/documents/?uuid=c1a9a401-ad83-3af9-8b9e-64110eb37ca6"]}],"mendeley":{"formattedCitation":"&lt;sup&gt;8&lt;/sup&gt;","plainTextFormattedCitation":"8","previouslyFormattedCitation":"&lt;sup&gt;8&lt;/sup&gt;"},"properties":{"noteIndex":0},"schema":"https://github.com/citation-style-language/schema/raw/master/csl-citation.json"}</w:instrText>
      </w:r>
      <w:r w:rsidRPr="00480AB1">
        <w:fldChar w:fldCharType="separate"/>
      </w:r>
      <w:r w:rsidR="00A36ADA" w:rsidRPr="00A36ADA">
        <w:rPr>
          <w:noProof/>
          <w:vertAlign w:val="superscript"/>
        </w:rPr>
        <w:t>8</w:t>
      </w:r>
      <w:r w:rsidRPr="00480AB1">
        <w:fldChar w:fldCharType="end"/>
      </w:r>
      <w:r w:rsidRPr="00480AB1">
        <w:t>. In our investigation, the included experiments did not produce a funnel shape and the overall pattern looked asymmetrical (</w:t>
      </w:r>
      <w:r w:rsidR="00D75C45" w:rsidRPr="00480AB1">
        <w:t>Supplementary figure</w:t>
      </w:r>
      <w:r w:rsidR="000701A8" w:rsidRPr="00480AB1">
        <w:t xml:space="preserve"> 10</w:t>
      </w:r>
      <w:r w:rsidRPr="00480AB1">
        <w:t>). Experiments with very high effect sizes in the bottom-left corner of the plot are not offset by similarly sized studies in the bottom-right corner, producing</w:t>
      </w:r>
      <w:r w:rsidR="00823295" w:rsidRPr="00480AB1">
        <w:t>,</w:t>
      </w:r>
      <w:r w:rsidRPr="00480AB1">
        <w:t xml:space="preserve"> instead</w:t>
      </w:r>
      <w:r w:rsidR="00823295" w:rsidRPr="00480AB1">
        <w:t>,</w:t>
      </w:r>
      <w:r w:rsidRPr="00480AB1">
        <w:t xml:space="preserve"> a lopsided funnel shape. What is more, the studies with greater precision in our sample have smaller effect sizes than expected.</w:t>
      </w:r>
      <w:r w:rsidR="005F192B" w:rsidRPr="00480AB1">
        <w:t xml:space="preserve"> However, Egger</w:t>
      </w:r>
      <w:r w:rsidR="00823295" w:rsidRPr="00480AB1">
        <w:t>’</w:t>
      </w:r>
      <w:r w:rsidR="005F192B" w:rsidRPr="00480AB1">
        <w:t xml:space="preserve">s regression test with the </w:t>
      </w:r>
      <w:proofErr w:type="spellStart"/>
      <w:r w:rsidR="005F192B" w:rsidRPr="00480AB1">
        <w:t>Pustejovsky</w:t>
      </w:r>
      <w:proofErr w:type="spellEnd"/>
      <w:r w:rsidR="005F192B" w:rsidRPr="00480AB1">
        <w:t xml:space="preserve"> correction could not substantiate this assessment (intercept: -1.08, t: -0.21, p = 0.83). </w:t>
      </w:r>
      <w:r w:rsidRPr="00480AB1">
        <w:t xml:space="preserve">As a </w:t>
      </w:r>
      <w:r w:rsidRPr="00480AB1">
        <w:rPr>
          <w:i/>
        </w:rPr>
        <w:t>post hoc</w:t>
      </w:r>
      <w:r w:rsidRPr="00480AB1">
        <w:t xml:space="preserve"> analysis, we assessed the small study effect </w:t>
      </w:r>
      <w:r w:rsidR="002239CD" w:rsidRPr="00480AB1">
        <w:t xml:space="preserve">only </w:t>
      </w:r>
      <w:r w:rsidRPr="00480AB1">
        <w:t>in experiments that reported preference. In this case the mean difference (MD) and its SE were calculated and plotted in the funnel plot. Egger</w:t>
      </w:r>
      <w:r w:rsidR="002239CD" w:rsidRPr="00480AB1">
        <w:t>’</w:t>
      </w:r>
      <w:r w:rsidRPr="00480AB1">
        <w:t xml:space="preserve">s test was used to </w:t>
      </w:r>
      <w:r w:rsidR="0003540E" w:rsidRPr="00480AB1">
        <w:t>corroborate the results</w:t>
      </w:r>
      <w:r w:rsidRPr="00480AB1">
        <w:t>. The asymmetrical</w:t>
      </w:r>
      <w:r w:rsidR="00306C3F" w:rsidRPr="00480AB1">
        <w:t xml:space="preserve"> pattern</w:t>
      </w:r>
      <w:r w:rsidRPr="00480AB1">
        <w:t xml:space="preserve"> </w:t>
      </w:r>
      <w:r w:rsidR="00306C3F" w:rsidRPr="00480AB1">
        <w:t xml:space="preserve">in the funnel plot </w:t>
      </w:r>
      <w:r w:rsidR="0003540E" w:rsidRPr="00480AB1">
        <w:t xml:space="preserve">was seen </w:t>
      </w:r>
      <w:r w:rsidR="00306C3F" w:rsidRPr="00480AB1">
        <w:t>regardless of the</w:t>
      </w:r>
      <w:r w:rsidR="008D6030" w:rsidRPr="00480AB1">
        <w:t xml:space="preserve"> effect size metric</w:t>
      </w:r>
      <w:r w:rsidR="00306C3F" w:rsidRPr="00480AB1">
        <w:t xml:space="preserve"> </w:t>
      </w:r>
      <w:r w:rsidR="008D6030" w:rsidRPr="00480AB1">
        <w:t>us</w:t>
      </w:r>
      <w:r w:rsidR="00306C3F" w:rsidRPr="00480AB1">
        <w:t xml:space="preserve">ed (SMD for all included experiments, or </w:t>
      </w:r>
      <w:r w:rsidR="0044238D" w:rsidRPr="00480AB1">
        <w:t xml:space="preserve">the un-standardized </w:t>
      </w:r>
      <w:r w:rsidR="008D6030" w:rsidRPr="00480AB1">
        <w:t>mean difference (</w:t>
      </w:r>
      <w:r w:rsidR="00306C3F" w:rsidRPr="00480AB1">
        <w:t>MD</w:t>
      </w:r>
      <w:r w:rsidR="008D6030" w:rsidRPr="00480AB1">
        <w:t>)</w:t>
      </w:r>
      <w:r w:rsidR="00306C3F" w:rsidRPr="00480AB1">
        <w:t xml:space="preserve"> for experiments reporting </w:t>
      </w:r>
      <w:r w:rsidR="00EC516E" w:rsidRPr="00480AB1">
        <w:t xml:space="preserve">the outcome of the SPT as a </w:t>
      </w:r>
      <w:r w:rsidR="00306C3F" w:rsidRPr="00480AB1">
        <w:t>preference)</w:t>
      </w:r>
      <w:r w:rsidR="00AF407E" w:rsidRPr="00480AB1">
        <w:t>, but the asymmetry was only confirmed by the Egger</w:t>
      </w:r>
      <w:r w:rsidR="00EC516E" w:rsidRPr="00480AB1">
        <w:t>’</w:t>
      </w:r>
      <w:r w:rsidR="00AF407E" w:rsidRPr="00480AB1">
        <w:t>s test in the latter case</w:t>
      </w:r>
      <w:r w:rsidR="005F192B" w:rsidRPr="00480AB1">
        <w:t xml:space="preserve"> (main manuscript)</w:t>
      </w:r>
      <w:r w:rsidR="00AF407E" w:rsidRPr="00480AB1">
        <w:t xml:space="preserve">. </w:t>
      </w:r>
      <w:r w:rsidR="00EC516E" w:rsidRPr="00480AB1">
        <w:t xml:space="preserve">The </w:t>
      </w:r>
      <w:proofErr w:type="spellStart"/>
      <w:r w:rsidR="00C711D6" w:rsidRPr="00480AB1">
        <w:t>Pustejovsky</w:t>
      </w:r>
      <w:proofErr w:type="spellEnd"/>
      <w:r w:rsidR="00C711D6" w:rsidRPr="00480AB1">
        <w:t xml:space="preserve"> correction</w:t>
      </w:r>
      <w:r w:rsidR="0044238D" w:rsidRPr="00480AB1">
        <w:t xml:space="preserve"> is used to prevent the inflation of false positives of </w:t>
      </w:r>
      <w:r w:rsidR="00DB771F" w:rsidRPr="00480AB1">
        <w:t>asymmetry</w:t>
      </w:r>
      <w:r w:rsidR="0044238D" w:rsidRPr="00480AB1">
        <w:t xml:space="preserve"> due to the artifactual correlation between the SMD and its standard error</w:t>
      </w:r>
      <w:r w:rsidR="0044238D" w:rsidRPr="00480AB1">
        <w:fldChar w:fldCharType="begin" w:fldLock="1"/>
      </w:r>
      <w:r w:rsidR="00F24A26">
        <w:instrText>ADDIN CSL_CITATION {"citationItems":[{"id":"ITEM-1","itemData":{"DOI":"10.1002/jrsm.1332","ISSN":"17592887","PMID":"30506832","abstract":"Publication bias and other forms of outcome reporting bias are critical threats to the validity of findings from research syntheses. A variety of methods have been proposed for detecting selective outcome reporting in a collection of effect size estimates, including several methods based on assessment of asymmetry of funnel plots, such as the Egger's regression test, the rank correlation test, and the Trim-and-Fill test. Previous research has demonstated that the Egger's regression test is miscalibrated when applied to log-odds ratio effect size estimates, because of artifactual correlation between the effect size estimate and its standard error. This study examines similar problems that occur in meta-analyses of the standardized mean difference, a ubiquitous effect size measure in educational and psychological research. In a simulation study of standardized mean difference effect sizes, we assess the Type I error rates of conventional tests of funnel plot asymmetry, as well as the likelihood ratio test from a three-parameter selection model. Results demonstrate that the conventional tests have inflated Type I error due to the correlation between the effect size estimate and its standard error, while tests based on either a simple modification to the conventional standard error formula or a variance-stabilizing transformation both maintain close-to-nominal Type I error.","author":[{"dropping-particle":"","family":"Pustejovsky","given":"James E.","non-dropping-particle":"","parse-names":false,"suffix":""},{"dropping-particle":"","family":"Rodgers","given":"Melissa A.","non-dropping-particle":"","parse-names":false,"suffix":""}],"container-title":"Research Synthesis Methods","id":"ITEM-1","issue":"1","issued":{"date-parts":[["2019","3","1"]]},"page":"57-71","publisher":"John Wiley and Sons Ltd","title":"Testing for funnel plot asymmetry of standardized mean differences","type":"article-journal","volume":"10"},"uris":["http://www.mendeley.com/documents/?uuid=c1a9a401-ad83-3af9-8b9e-64110eb37ca6"]}],"mendeley":{"formattedCitation":"&lt;sup&gt;8&lt;/sup&gt;","plainTextFormattedCitation":"8","previouslyFormattedCitation":"&lt;sup&gt;8&lt;/sup&gt;"},"properties":{"noteIndex":0},"schema":"https://github.com/citation-style-language/schema/raw/master/csl-citation.json"}</w:instrText>
      </w:r>
      <w:r w:rsidR="0044238D" w:rsidRPr="00480AB1">
        <w:fldChar w:fldCharType="separate"/>
      </w:r>
      <w:r w:rsidR="00A36ADA" w:rsidRPr="00A36ADA">
        <w:rPr>
          <w:noProof/>
          <w:vertAlign w:val="superscript"/>
        </w:rPr>
        <w:t>8</w:t>
      </w:r>
      <w:r w:rsidR="0044238D" w:rsidRPr="00480AB1">
        <w:fldChar w:fldCharType="end"/>
      </w:r>
      <w:r w:rsidR="002239CD" w:rsidRPr="00480AB1">
        <w:t xml:space="preserve">. The correction comes at the cost of reducing overall variation in the precision metric, however.  This may be problematic with preclinical studies, where most studies are already fairly small and variation in precision is, consequently, low. Such </w:t>
      </w:r>
      <w:r w:rsidR="00EC516E" w:rsidRPr="00480AB1">
        <w:t xml:space="preserve">a </w:t>
      </w:r>
      <w:r w:rsidR="0044238D" w:rsidRPr="00480AB1">
        <w:t>method is</w:t>
      </w:r>
      <w:r w:rsidR="00EC516E" w:rsidRPr="00480AB1">
        <w:t xml:space="preserve"> however</w:t>
      </w:r>
      <w:r w:rsidR="0044238D" w:rsidRPr="00480AB1">
        <w:t xml:space="preserve"> not ne</w:t>
      </w:r>
      <w:r w:rsidR="00365190" w:rsidRPr="00480AB1">
        <w:t xml:space="preserve">cessary when </w:t>
      </w:r>
      <w:r w:rsidR="00F23987" w:rsidRPr="00480AB1">
        <w:t xml:space="preserve">raw </w:t>
      </w:r>
      <w:r w:rsidR="00365190" w:rsidRPr="00480AB1">
        <w:t>MD</w:t>
      </w:r>
      <w:r w:rsidR="00F23987" w:rsidRPr="00480AB1">
        <w:t>s</w:t>
      </w:r>
      <w:r w:rsidR="00365190" w:rsidRPr="00480AB1">
        <w:t xml:space="preserve"> are used</w:t>
      </w:r>
      <w:r w:rsidR="0044238D" w:rsidRPr="00480AB1">
        <w:t xml:space="preserve">. </w:t>
      </w:r>
      <w:r w:rsidR="00DB771F" w:rsidRPr="00480AB1">
        <w:t xml:space="preserve">This measure is not associated with any </w:t>
      </w:r>
      <w:r w:rsidR="00365190" w:rsidRPr="00480AB1">
        <w:t>artificial distortion in the funnel plot and therefore it is safe to use in the analysis of small effect study, particularly in meta-analysis of preclinical studies</w:t>
      </w:r>
      <w:r w:rsidR="00365190" w:rsidRPr="00480AB1">
        <w:fldChar w:fldCharType="begin" w:fldLock="1"/>
      </w:r>
      <w:r w:rsidR="00F24A26">
        <w:instrText>ADDIN CSL_CITATION {"citationItems":[{"id":"ITEM-1","itemData":{"DOI":"10.7554/ELIFE.24260","ISSN":"2050084X","PMID":"28884685","abstract":"Meta-analyses are increasingly used for synthesis of evidence from biomedical research, and often include an assessment of publication bias based on visual or analytical detection of asymmetry in funnel plots. We studied the influence of different normalisation approaches, sample size and intervention effects on funnel plot asymmetry, using empirical datasets and illustrative simulations. We found that funnel plots of the Standardized Mean Difference (SMD) plotted against the standard error (SE) are susceptible to distortion, leading to overestimation of the existence and extent of publication bias. Distortion was more severe when the primary studies had a small sample size and when an intervention effect was present. We show that using the Normalised Mean Difference measure as effect size (when possible), or plotting the SMD against a sample size-based precision estimate, are more reliable alternatives. We conclude that funnel plots using the SMD in combination with the SE are unsuitable for publication bias assessments and can lead to false-positive results.","author":[{"dropping-particle":"","family":"Zwetsloot","given":"Peter Paul","non-dropping-particle":"","parse-names":false,"suffix":""},{"dropping-particle":"","family":"Naald","given":"Mira","non-dropping-particle":"Van Der","parse-names":false,"suffix":""},{"dropping-particle":"","family":"Sena","given":"Emily S.","non-dropping-particle":"","parse-names":false,"suffix":""},{"dropping-particle":"","family":"Howells","given":"David W.","non-dropping-particle":"","parse-names":false,"suffix":""},{"dropping-particle":"","family":"IntHout","given":"Joanna","non-dropping-particle":"","parse-names":false,"suffix":""},{"dropping-particle":"","family":"Groot","given":"Joris A.H.","non-dropping-particle":"De","parse-names":false,"suffix":""},{"dropping-particle":"","family":"Chamuleau","given":"Steven A.J.","non-dropping-particle":"","parse-names":false,"suffix":""},{"dropping-particle":"","family":"MacLeod","given":"Malcolm R.","non-dropping-particle":"","parse-names":false,"suffix":""},{"dropping-particle":"","family":"Wever","given":"Kimberley E.","non-dropping-particle":"","parse-names":false,"suffix":""}],"container-title":"eLife","id":"ITEM-1","issued":{"date-parts":[["2017","9","8"]]},"page":"e24260","publisher":"eLife Sciences Publications Ltd","title":"Standardized mean differences cause funnel plot distortion in publication bias assessments","type":"article-journal","volume":"6"},"uris":["http://www.mendeley.com/documents/?uuid=93415bc5-f74c-3c39-bda8-55143f32577a"]}],"mendeley":{"formattedCitation":"&lt;sup&gt;1&lt;/sup&gt;","plainTextFormattedCitation":"1","previouslyFormattedCitation":"&lt;sup&gt;1&lt;/sup&gt;"},"properties":{"noteIndex":0},"schema":"https://github.com/citation-style-language/schema/raw/master/csl-citation.json"}</w:instrText>
      </w:r>
      <w:r w:rsidR="00365190" w:rsidRPr="00480AB1">
        <w:fldChar w:fldCharType="separate"/>
      </w:r>
      <w:r w:rsidR="00A36ADA" w:rsidRPr="00A36ADA">
        <w:rPr>
          <w:noProof/>
          <w:vertAlign w:val="superscript"/>
        </w:rPr>
        <w:t>1</w:t>
      </w:r>
      <w:r w:rsidR="00365190" w:rsidRPr="00480AB1">
        <w:fldChar w:fldCharType="end"/>
      </w:r>
      <w:r w:rsidR="00365190" w:rsidRPr="00480AB1">
        <w:t xml:space="preserve">.  </w:t>
      </w:r>
    </w:p>
    <w:p w14:paraId="68B4069A" w14:textId="77777777" w:rsidR="001D45D1" w:rsidRPr="001D45D1" w:rsidRDefault="001D45D1" w:rsidP="001D45D1">
      <w:pPr>
        <w:pStyle w:val="BodyText"/>
      </w:pPr>
    </w:p>
    <w:p w14:paraId="645CC664" w14:textId="00D63AF5" w:rsidR="00F740B0" w:rsidRDefault="001D45D1" w:rsidP="001D45D1">
      <w:pPr>
        <w:pStyle w:val="BodyText"/>
        <w:jc w:val="center"/>
      </w:pPr>
      <w:r w:rsidRPr="001D45D1">
        <w:rPr>
          <w:noProof/>
        </w:rPr>
        <w:drawing>
          <wp:inline distT="0" distB="0" distL="0" distR="0" wp14:anchorId="3A6978C9" wp14:editId="3AEBBD9E">
            <wp:extent cx="2914015" cy="2859405"/>
            <wp:effectExtent l="0" t="0" r="635" b="0"/>
            <wp:docPr id="6" name="Picture 6" descr="D:\PhD\Project\1 SR\1SR\Article\FIGURES\Final\Supplementary material\SFigur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D\Project\1 SR\1SR\Article\FIGURES\Final\Supplementary material\SFigure1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14015" cy="2859405"/>
                    </a:xfrm>
                    <a:prstGeom prst="rect">
                      <a:avLst/>
                    </a:prstGeom>
                    <a:noFill/>
                    <a:ln>
                      <a:noFill/>
                    </a:ln>
                  </pic:spPr>
                </pic:pic>
              </a:graphicData>
            </a:graphic>
          </wp:inline>
        </w:drawing>
      </w:r>
    </w:p>
    <w:p w14:paraId="4542FD79" w14:textId="732FE886" w:rsidR="00D75C45" w:rsidRPr="002715DD" w:rsidRDefault="001D45D1" w:rsidP="00D75C45">
      <w:pPr>
        <w:pStyle w:val="BodyText"/>
        <w:jc w:val="both"/>
      </w:pPr>
      <w:r>
        <w:rPr>
          <w:b/>
          <w:bCs/>
        </w:rPr>
        <w:t>Supplementary figure 10.</w:t>
      </w:r>
      <w:r w:rsidR="00F740B0">
        <w:t xml:space="preserve"> </w:t>
      </w:r>
      <w:r w:rsidR="00F740B0" w:rsidRPr="000701A8">
        <w:rPr>
          <w:i/>
        </w:rPr>
        <w:t>Funnel plot of experiments including all outcome measures (n = 171) comparing stressed rats to unstressed controls</w:t>
      </w:r>
      <w:r w:rsidR="00F740B0">
        <w:t>.</w:t>
      </w:r>
      <w:r w:rsidR="00D75C45">
        <w:t xml:space="preserve"> The observed effect sizes (SMD) of the experiments (x-axis) is plotted against their standard error (y-axis). The y-axis is inverted </w:t>
      </w:r>
      <w:r w:rsidR="00D75C45">
        <w:lastRenderedPageBreak/>
        <w:t>with studies with the lowest standard errors on top.</w:t>
      </w:r>
      <w:r w:rsidR="00D75C45" w:rsidRPr="002715DD">
        <w:rPr>
          <w:color w:val="FF0000"/>
        </w:rPr>
        <w:t xml:space="preserve"> </w:t>
      </w:r>
      <w:r w:rsidR="000018E5">
        <w:t xml:space="preserve">This plot, nor </w:t>
      </w:r>
      <w:r w:rsidR="00887E12" w:rsidRPr="00094625">
        <w:t xml:space="preserve">those in subsequent </w:t>
      </w:r>
      <w:r w:rsidR="00094625" w:rsidRPr="00094625">
        <w:t xml:space="preserve">funnel </w:t>
      </w:r>
      <w:r w:rsidR="00887E12" w:rsidRPr="00094625">
        <w:t xml:space="preserve">plots </w:t>
      </w:r>
      <w:r w:rsidR="00094625" w:rsidRPr="00094625">
        <w:t xml:space="preserve">of the </w:t>
      </w:r>
      <w:r w:rsidR="000018E5">
        <w:t xml:space="preserve">SMD, do not </w:t>
      </w:r>
      <w:r w:rsidR="00887E12" w:rsidRPr="00094625">
        <w:t xml:space="preserve">use the standard error proposed by </w:t>
      </w:r>
      <w:proofErr w:type="spellStart"/>
      <w:r w:rsidR="00887E12" w:rsidRPr="00094625">
        <w:t>Pustejovsky</w:t>
      </w:r>
      <w:proofErr w:type="spellEnd"/>
      <w:r w:rsidR="00887E12" w:rsidRPr="00094625">
        <w:t xml:space="preserve"> and Rogers</w:t>
      </w:r>
      <w:r w:rsidR="00887E12">
        <w:rPr>
          <w:color w:val="FF0000"/>
        </w:rPr>
        <w:t>.</w:t>
      </w:r>
    </w:p>
    <w:p w14:paraId="1B8C10B3" w14:textId="17557A56" w:rsidR="00F740B0" w:rsidRPr="00F740B0" w:rsidRDefault="00F740B0" w:rsidP="00F740B0">
      <w:pPr>
        <w:pStyle w:val="BodyText"/>
      </w:pPr>
    </w:p>
    <w:p w14:paraId="42EE4C40" w14:textId="04729E4A" w:rsidR="00AC42D5" w:rsidRDefault="00732D23" w:rsidP="001D45D1">
      <w:pPr>
        <w:pStyle w:val="BodyText"/>
        <w:jc w:val="center"/>
        <w:rPr>
          <w:color w:val="FF0000"/>
        </w:rPr>
      </w:pPr>
      <w:r w:rsidRPr="00732D23">
        <w:rPr>
          <w:noProof/>
          <w:color w:val="FF0000"/>
        </w:rPr>
        <w:drawing>
          <wp:inline distT="0" distB="0" distL="0" distR="0" wp14:anchorId="196A7AA3" wp14:editId="2C010EB5">
            <wp:extent cx="4026090" cy="2481992"/>
            <wp:effectExtent l="0" t="0" r="0" b="0"/>
            <wp:docPr id="12" name="Picture 12" descr="D:\PhD\Project\1 SR\1SR\Article\FIGURES\Final\Supplementary material\SFigure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hD\Project\1 SR\1SR\Article\FIGURES\Final\Supplementary material\SFigure10.t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34020" cy="2486881"/>
                    </a:xfrm>
                    <a:prstGeom prst="rect">
                      <a:avLst/>
                    </a:prstGeom>
                    <a:noFill/>
                    <a:ln>
                      <a:noFill/>
                    </a:ln>
                  </pic:spPr>
                </pic:pic>
              </a:graphicData>
            </a:graphic>
          </wp:inline>
        </w:drawing>
      </w:r>
    </w:p>
    <w:p w14:paraId="5FA10AB7" w14:textId="28A5B10F" w:rsidR="00732D23" w:rsidRPr="00BC7042" w:rsidRDefault="001D45D1" w:rsidP="00546270">
      <w:pPr>
        <w:pStyle w:val="BodyText"/>
        <w:jc w:val="both"/>
      </w:pPr>
      <w:r>
        <w:rPr>
          <w:b/>
          <w:bCs/>
        </w:rPr>
        <w:t>Supplementary figure 11</w:t>
      </w:r>
      <w:r w:rsidR="00732D23">
        <w:rPr>
          <w:b/>
          <w:bCs/>
        </w:rPr>
        <w:t>.</w:t>
      </w:r>
      <w:r w:rsidR="00732D23">
        <w:t xml:space="preserve"> </w:t>
      </w:r>
      <w:r w:rsidR="00732D23">
        <w:rPr>
          <w:i/>
          <w:iCs/>
        </w:rPr>
        <w:t xml:space="preserve">Funnel plot of experiments comparing </w:t>
      </w:r>
      <w:r w:rsidR="000C097C">
        <w:rPr>
          <w:i/>
          <w:iCs/>
        </w:rPr>
        <w:t>antidepressant-</w:t>
      </w:r>
      <w:r w:rsidR="00732D23">
        <w:rPr>
          <w:i/>
          <w:iCs/>
        </w:rPr>
        <w:t>treated rats to stressed controls</w:t>
      </w:r>
      <w:r w:rsidR="00732D23">
        <w:t xml:space="preserve">. The observed effect size (SMD) of the experiments (x-axis) is plotted against their standard error (y-axis). </w:t>
      </w:r>
      <w:r w:rsidR="00A4068F">
        <w:t xml:space="preserve">Funnel plot of MD was not carried out because only 9 experiments reported the </w:t>
      </w:r>
      <w:r w:rsidR="00546270">
        <w:t xml:space="preserve">outcome </w:t>
      </w:r>
      <w:r w:rsidR="000C097C">
        <w:t>as a</w:t>
      </w:r>
      <w:r w:rsidR="00546270">
        <w:t xml:space="preserve"> preference. </w:t>
      </w:r>
      <w:r w:rsidR="007573C1" w:rsidRPr="00BC7042">
        <w:t>Egger</w:t>
      </w:r>
      <w:r w:rsidR="00E9054A" w:rsidRPr="00BC7042">
        <w:t>’</w:t>
      </w:r>
      <w:r w:rsidR="007573C1" w:rsidRPr="00BC7042">
        <w:t>s regression: int</w:t>
      </w:r>
      <w:r w:rsidR="00BC7042">
        <w:t>ercept: 1.44, t: 0.05, p = 0.96</w:t>
      </w:r>
      <w:r w:rsidR="007573C1" w:rsidRPr="00BC7042">
        <w:t>.</w:t>
      </w:r>
    </w:p>
    <w:p w14:paraId="580DA3C0" w14:textId="0D0A8EE4" w:rsidR="007B3C5B" w:rsidRDefault="00555F86">
      <w:pPr>
        <w:pStyle w:val="BodyText"/>
      </w:pPr>
      <w:r w:rsidRPr="00555F86">
        <w:rPr>
          <w:noProof/>
        </w:rPr>
        <w:lastRenderedPageBreak/>
        <w:drawing>
          <wp:inline distT="0" distB="0" distL="0" distR="0" wp14:anchorId="1E499742" wp14:editId="785FFFA1">
            <wp:extent cx="6753225" cy="5063520"/>
            <wp:effectExtent l="0" t="0" r="0" b="3810"/>
            <wp:docPr id="14" name="Picture 14" descr="D:\PhD\Project\1 SR\1SR\Article\FIGURES\Final\Supplementary material\SFigure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PhD\Project\1 SR\1SR\Article\FIGURES\Final\Supplementary material\SFigure11.tif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62500" cy="5070474"/>
                    </a:xfrm>
                    <a:prstGeom prst="rect">
                      <a:avLst/>
                    </a:prstGeom>
                    <a:noFill/>
                    <a:ln>
                      <a:noFill/>
                    </a:ln>
                  </pic:spPr>
                </pic:pic>
              </a:graphicData>
            </a:graphic>
          </wp:inline>
        </w:drawing>
      </w:r>
    </w:p>
    <w:p w14:paraId="1E4FE713" w14:textId="5AEAEC6E" w:rsidR="007B3C5B" w:rsidRDefault="00D75C45" w:rsidP="00555F86">
      <w:pPr>
        <w:pStyle w:val="BodyText"/>
        <w:jc w:val="both"/>
      </w:pPr>
      <w:r>
        <w:rPr>
          <w:b/>
          <w:bCs/>
        </w:rPr>
        <w:t>Supplementary figure 12</w:t>
      </w:r>
      <w:r w:rsidR="00370743">
        <w:rPr>
          <w:b/>
          <w:bCs/>
        </w:rPr>
        <w:t>.</w:t>
      </w:r>
      <w:r w:rsidR="00370743">
        <w:t xml:space="preserve"> </w:t>
      </w:r>
      <w:r w:rsidR="00370743">
        <w:rPr>
          <w:i/>
          <w:iCs/>
        </w:rPr>
        <w:t>Funnel plots of experiments comparing stressed</w:t>
      </w:r>
      <w:r w:rsidR="00555F86">
        <w:rPr>
          <w:i/>
          <w:iCs/>
        </w:rPr>
        <w:t xml:space="preserve"> rats to unstressed controls </w:t>
      </w:r>
      <w:r w:rsidR="007C63AA">
        <w:rPr>
          <w:i/>
          <w:iCs/>
        </w:rPr>
        <w:t xml:space="preserve">stratified </w:t>
      </w:r>
      <w:r w:rsidR="00555F86">
        <w:rPr>
          <w:i/>
          <w:iCs/>
        </w:rPr>
        <w:t>by s</w:t>
      </w:r>
      <w:r w:rsidR="00555F86" w:rsidRPr="00555F86">
        <w:rPr>
          <w:i/>
          <w:iCs/>
        </w:rPr>
        <w:t>train</w:t>
      </w:r>
      <w:r w:rsidR="00555F86">
        <w:rPr>
          <w:i/>
          <w:iCs/>
        </w:rPr>
        <w:t>.</w:t>
      </w:r>
      <w:r w:rsidR="00370743" w:rsidRPr="00555F86">
        <w:rPr>
          <w:i/>
          <w:iCs/>
        </w:rPr>
        <w:t xml:space="preserve"> </w:t>
      </w:r>
      <w:r w:rsidR="00370743">
        <w:rPr>
          <w:b/>
          <w:bCs/>
        </w:rPr>
        <w:t xml:space="preserve">A &amp; </w:t>
      </w:r>
      <w:r w:rsidR="00555F86">
        <w:rPr>
          <w:b/>
          <w:bCs/>
        </w:rPr>
        <w:t>C</w:t>
      </w:r>
      <w:r w:rsidR="00555F86" w:rsidRPr="00555F86">
        <w:t xml:space="preserve"> </w:t>
      </w:r>
      <w:r w:rsidR="00555F86">
        <w:t xml:space="preserve">The SMD of experiments </w:t>
      </w:r>
      <w:r w:rsidR="00E9054A">
        <w:t xml:space="preserve">(x-axis) </w:t>
      </w:r>
      <w:r w:rsidR="00555F86">
        <w:t xml:space="preserve">using </w:t>
      </w:r>
      <w:proofErr w:type="spellStart"/>
      <w:r w:rsidR="00555F86">
        <w:t>Wistar</w:t>
      </w:r>
      <w:proofErr w:type="spellEnd"/>
      <w:r w:rsidR="00555F86">
        <w:t xml:space="preserve"> or Sprague-Dawley rats, respectively, is plotted against their standard error (y-axis).</w:t>
      </w:r>
      <w:r w:rsidR="00370743">
        <w:t xml:space="preserve"> </w:t>
      </w:r>
      <w:r w:rsidR="00555F86">
        <w:rPr>
          <w:b/>
          <w:bCs/>
        </w:rPr>
        <w:t>B</w:t>
      </w:r>
      <w:r w:rsidR="00555F86" w:rsidRPr="00555F86">
        <w:rPr>
          <w:b/>
          <w:bCs/>
        </w:rPr>
        <w:t xml:space="preserve"> </w:t>
      </w:r>
      <w:r w:rsidR="00370743">
        <w:rPr>
          <w:b/>
          <w:bCs/>
        </w:rPr>
        <w:t>&amp; D</w:t>
      </w:r>
      <w:r w:rsidR="00555F86">
        <w:rPr>
          <w:b/>
          <w:bCs/>
        </w:rPr>
        <w:t xml:space="preserve"> </w:t>
      </w:r>
      <w:r w:rsidR="00555F86">
        <w:t xml:space="preserve">The MD of experiments </w:t>
      </w:r>
      <w:r w:rsidR="00E9054A">
        <w:t xml:space="preserve">(x-axis) </w:t>
      </w:r>
      <w:r w:rsidR="00555F86">
        <w:t xml:space="preserve">using </w:t>
      </w:r>
      <w:proofErr w:type="spellStart"/>
      <w:r w:rsidR="00555F86">
        <w:t>Wistar</w:t>
      </w:r>
      <w:proofErr w:type="spellEnd"/>
      <w:r w:rsidR="00555F86">
        <w:t xml:space="preserve"> or Sprague-Dawley rats reporting </w:t>
      </w:r>
      <w:r w:rsidR="00E9054A">
        <w:t>the</w:t>
      </w:r>
      <w:r w:rsidR="007C63AA">
        <w:t>ir</w:t>
      </w:r>
      <w:r w:rsidR="00E9054A">
        <w:t xml:space="preserve"> results as a </w:t>
      </w:r>
      <w:r w:rsidR="00555F86">
        <w:t>preference is plotted against their standard error (y-axis). In all graphs,</w:t>
      </w:r>
      <w:r w:rsidR="00370743">
        <w:t xml:space="preserve"> </w:t>
      </w:r>
      <w:r w:rsidR="00555F86">
        <w:t>t</w:t>
      </w:r>
      <w:r w:rsidR="00370743">
        <w:t xml:space="preserve">he y-axis is inverted so “higher” values represent </w:t>
      </w:r>
      <w:r w:rsidR="00E9054A">
        <w:t xml:space="preserve">smaller </w:t>
      </w:r>
      <w:r w:rsidR="00370743">
        <w:t>standard errors.</w:t>
      </w:r>
    </w:p>
    <w:p w14:paraId="3E34D891" w14:textId="4D74EF55" w:rsidR="00555F86" w:rsidRDefault="00555F86" w:rsidP="00555F86">
      <w:pPr>
        <w:pStyle w:val="BodyText"/>
        <w:jc w:val="both"/>
      </w:pPr>
    </w:p>
    <w:p w14:paraId="1A0E7C27" w14:textId="6E842E0A" w:rsidR="00555F86" w:rsidRDefault="00555F86" w:rsidP="00555F86">
      <w:pPr>
        <w:pStyle w:val="BodyText"/>
        <w:jc w:val="both"/>
      </w:pPr>
      <w:r w:rsidRPr="00555F86">
        <w:rPr>
          <w:noProof/>
        </w:rPr>
        <w:lastRenderedPageBreak/>
        <w:drawing>
          <wp:inline distT="0" distB="0" distL="0" distR="0" wp14:anchorId="64309AB0" wp14:editId="5C37B967">
            <wp:extent cx="6753225" cy="5063520"/>
            <wp:effectExtent l="0" t="0" r="0" b="3810"/>
            <wp:docPr id="15" name="Picture 15" descr="D:\PhD\Project\1 SR\1SR\Article\FIGURES\Final\Supplementary material\SFigure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PhD\Project\1 SR\1SR\Article\FIGURES\Final\Supplementary material\SFigure12.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61007" cy="5069355"/>
                    </a:xfrm>
                    <a:prstGeom prst="rect">
                      <a:avLst/>
                    </a:prstGeom>
                    <a:noFill/>
                    <a:ln>
                      <a:noFill/>
                    </a:ln>
                  </pic:spPr>
                </pic:pic>
              </a:graphicData>
            </a:graphic>
          </wp:inline>
        </w:drawing>
      </w:r>
    </w:p>
    <w:p w14:paraId="0162DBFE" w14:textId="6C3D7008" w:rsidR="00555F86" w:rsidRDefault="00D75C45" w:rsidP="00555F86">
      <w:pPr>
        <w:pStyle w:val="BodyText"/>
        <w:jc w:val="both"/>
      </w:pPr>
      <w:r>
        <w:rPr>
          <w:b/>
          <w:bCs/>
        </w:rPr>
        <w:t>Supplementary figure 13</w:t>
      </w:r>
      <w:r w:rsidR="00555F86">
        <w:rPr>
          <w:b/>
          <w:bCs/>
        </w:rPr>
        <w:t>.</w:t>
      </w:r>
      <w:r w:rsidR="00555F86">
        <w:t xml:space="preserve"> </w:t>
      </w:r>
      <w:r w:rsidR="00555F86">
        <w:rPr>
          <w:i/>
          <w:iCs/>
        </w:rPr>
        <w:t xml:space="preserve">Funnel plots of experiments comparing stressed rats to unstressed controls </w:t>
      </w:r>
      <w:r w:rsidR="007C63AA">
        <w:rPr>
          <w:i/>
          <w:iCs/>
        </w:rPr>
        <w:t xml:space="preserve">stratified </w:t>
      </w:r>
      <w:r w:rsidR="00555F86">
        <w:rPr>
          <w:i/>
          <w:iCs/>
        </w:rPr>
        <w:t>by age.</w:t>
      </w:r>
      <w:r w:rsidR="00555F86" w:rsidRPr="00555F86">
        <w:rPr>
          <w:i/>
          <w:iCs/>
        </w:rPr>
        <w:t xml:space="preserve"> </w:t>
      </w:r>
      <w:r w:rsidR="00555F86">
        <w:rPr>
          <w:b/>
          <w:bCs/>
        </w:rPr>
        <w:t>A &amp; C</w:t>
      </w:r>
      <w:r w:rsidR="00555F86" w:rsidRPr="00555F86">
        <w:t xml:space="preserve"> </w:t>
      </w:r>
      <w:r w:rsidR="00555F86">
        <w:t>The SMD of experiments</w:t>
      </w:r>
      <w:r w:rsidR="007C63AA">
        <w:t xml:space="preserve"> (x-axis)</w:t>
      </w:r>
      <w:r w:rsidR="00555F86">
        <w:t xml:space="preserve"> using rats 9 weeks old or less and adult rats </w:t>
      </w:r>
      <w:r w:rsidR="00CE681F">
        <w:t>(</w:t>
      </w:r>
      <w:r w:rsidR="007C63AA">
        <w:t>older than 9 weeks</w:t>
      </w:r>
      <w:r w:rsidR="00CE681F">
        <w:t>)</w:t>
      </w:r>
      <w:r w:rsidR="00BC7042">
        <w:t xml:space="preserve"> up to 12 months</w:t>
      </w:r>
      <w:r w:rsidR="00CE681F">
        <w:t xml:space="preserve"> old</w:t>
      </w:r>
      <w:r w:rsidR="00555F86">
        <w:t xml:space="preserve">, respectively, is plotted against their standard error (y-axis). </w:t>
      </w:r>
      <w:r w:rsidR="00555F86">
        <w:rPr>
          <w:b/>
          <w:bCs/>
        </w:rPr>
        <w:t>B</w:t>
      </w:r>
      <w:r w:rsidR="00555F86" w:rsidRPr="00555F86">
        <w:rPr>
          <w:b/>
          <w:bCs/>
        </w:rPr>
        <w:t xml:space="preserve"> </w:t>
      </w:r>
      <w:r w:rsidR="00555F86">
        <w:rPr>
          <w:b/>
          <w:bCs/>
        </w:rPr>
        <w:t xml:space="preserve">&amp; D </w:t>
      </w:r>
      <w:r w:rsidR="00555F86">
        <w:t xml:space="preserve">The MD of experiments </w:t>
      </w:r>
      <w:r w:rsidR="007C63AA">
        <w:t xml:space="preserve">(x-axis) </w:t>
      </w:r>
      <w:r w:rsidR="00555F86">
        <w:t xml:space="preserve">using rats 9 weeks old or less and adult rats </w:t>
      </w:r>
      <w:r w:rsidR="00CE681F">
        <w:t xml:space="preserve">(older than 9 weeks) up to 12 months old </w:t>
      </w:r>
      <w:r w:rsidR="00555F86">
        <w:t xml:space="preserve">that report </w:t>
      </w:r>
      <w:r w:rsidR="007C63AA">
        <w:t xml:space="preserve">their results as a </w:t>
      </w:r>
      <w:r w:rsidR="00555F86">
        <w:t xml:space="preserve">preference is plotted against their standard error (y-axis). </w:t>
      </w:r>
    </w:p>
    <w:p w14:paraId="39FCEB14" w14:textId="36D33ACE" w:rsidR="00AE0CB3" w:rsidRDefault="00AE0CB3" w:rsidP="00555F86">
      <w:pPr>
        <w:pStyle w:val="BodyText"/>
        <w:jc w:val="both"/>
      </w:pPr>
    </w:p>
    <w:p w14:paraId="6083B0D3" w14:textId="77CA5300" w:rsidR="00AE0CB3" w:rsidRDefault="00AE0CB3" w:rsidP="00555F86">
      <w:pPr>
        <w:pStyle w:val="BodyText"/>
        <w:jc w:val="both"/>
      </w:pPr>
      <w:r w:rsidRPr="00AE0CB3">
        <w:rPr>
          <w:noProof/>
        </w:rPr>
        <w:lastRenderedPageBreak/>
        <w:drawing>
          <wp:inline distT="0" distB="0" distL="0" distR="0" wp14:anchorId="65D64306" wp14:editId="34868362">
            <wp:extent cx="6567714" cy="4924425"/>
            <wp:effectExtent l="0" t="0" r="5080" b="0"/>
            <wp:docPr id="16" name="Picture 16" descr="D:\PhD\Project\1 SR\1SR\Article\FIGURES\Final\Supplementary material\SFigure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PhD\Project\1 SR\1SR\Article\FIGURES\Final\Supplementary material\SFigure13.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73261" cy="4928584"/>
                    </a:xfrm>
                    <a:prstGeom prst="rect">
                      <a:avLst/>
                    </a:prstGeom>
                    <a:noFill/>
                    <a:ln>
                      <a:noFill/>
                    </a:ln>
                  </pic:spPr>
                </pic:pic>
              </a:graphicData>
            </a:graphic>
          </wp:inline>
        </w:drawing>
      </w:r>
    </w:p>
    <w:p w14:paraId="32036A83" w14:textId="43E554E2" w:rsidR="00AE0CB3" w:rsidRDefault="00D75C45" w:rsidP="00AE0CB3">
      <w:pPr>
        <w:pStyle w:val="BodyText"/>
        <w:jc w:val="both"/>
      </w:pPr>
      <w:r>
        <w:rPr>
          <w:b/>
          <w:bCs/>
        </w:rPr>
        <w:t>Supplementary figure 14</w:t>
      </w:r>
      <w:r w:rsidR="00AE0CB3">
        <w:rPr>
          <w:b/>
          <w:bCs/>
        </w:rPr>
        <w:t>.</w:t>
      </w:r>
      <w:r w:rsidR="00AE0CB3">
        <w:t xml:space="preserve"> </w:t>
      </w:r>
      <w:r w:rsidR="00AE0CB3">
        <w:rPr>
          <w:i/>
          <w:iCs/>
        </w:rPr>
        <w:t xml:space="preserve">Funnel plots of experiments comparing stressed rats to unstressed controls </w:t>
      </w:r>
      <w:r w:rsidR="00240A96">
        <w:rPr>
          <w:i/>
          <w:iCs/>
        </w:rPr>
        <w:t xml:space="preserve">stratified </w:t>
      </w:r>
      <w:r w:rsidR="00AE0CB3">
        <w:rPr>
          <w:i/>
          <w:iCs/>
        </w:rPr>
        <w:t xml:space="preserve">by </w:t>
      </w:r>
      <w:r w:rsidR="000F2678">
        <w:rPr>
          <w:i/>
          <w:iCs/>
        </w:rPr>
        <w:t>photoperiod of the test</w:t>
      </w:r>
      <w:r w:rsidR="00AE0CB3">
        <w:rPr>
          <w:i/>
          <w:iCs/>
        </w:rPr>
        <w:t>.</w:t>
      </w:r>
      <w:r w:rsidR="00AE0CB3" w:rsidRPr="00555F86">
        <w:rPr>
          <w:i/>
          <w:iCs/>
        </w:rPr>
        <w:t xml:space="preserve"> </w:t>
      </w:r>
      <w:r w:rsidR="00AE0CB3">
        <w:t xml:space="preserve">The SMD of experiments </w:t>
      </w:r>
      <w:r w:rsidR="00240A96">
        <w:t xml:space="preserve">(x-axis) </w:t>
      </w:r>
      <w:r w:rsidR="000F2678">
        <w:t>performing the test during the dark period (</w:t>
      </w:r>
      <w:r w:rsidR="000F2678" w:rsidRPr="000F2678">
        <w:rPr>
          <w:b/>
        </w:rPr>
        <w:t>A</w:t>
      </w:r>
      <w:r w:rsidR="000F2678">
        <w:t>), light period (</w:t>
      </w:r>
      <w:r w:rsidR="000F2678">
        <w:rPr>
          <w:b/>
        </w:rPr>
        <w:t>E</w:t>
      </w:r>
      <w:r w:rsidR="000F2678">
        <w:t>), or, both (</w:t>
      </w:r>
      <w:r w:rsidR="000F2678">
        <w:rPr>
          <w:b/>
        </w:rPr>
        <w:t>C</w:t>
      </w:r>
      <w:r w:rsidR="000F2678">
        <w:t>)</w:t>
      </w:r>
      <w:r w:rsidR="007573C1">
        <w:t xml:space="preserve"> </w:t>
      </w:r>
      <w:r w:rsidR="00AE0CB3">
        <w:t>is plotted against their standard error (y-axis).</w:t>
      </w:r>
      <w:r w:rsidR="000F2678">
        <w:rPr>
          <w:b/>
          <w:bCs/>
        </w:rPr>
        <w:t xml:space="preserve"> </w:t>
      </w:r>
      <w:r w:rsidR="00AE0CB3">
        <w:t xml:space="preserve">The MD of experiments </w:t>
      </w:r>
      <w:r w:rsidR="000F2678">
        <w:t>performing the test during the dark period (</w:t>
      </w:r>
      <w:r w:rsidR="000F2678">
        <w:rPr>
          <w:b/>
        </w:rPr>
        <w:t>B</w:t>
      </w:r>
      <w:r w:rsidR="000F2678">
        <w:t>) or throughout both periods (</w:t>
      </w:r>
      <w:r w:rsidR="000F2678">
        <w:rPr>
          <w:b/>
        </w:rPr>
        <w:t>D</w:t>
      </w:r>
      <w:r w:rsidR="000F2678">
        <w:t xml:space="preserve">) </w:t>
      </w:r>
      <w:r w:rsidR="00AE0CB3">
        <w:t xml:space="preserve">that report </w:t>
      </w:r>
      <w:r w:rsidR="00325919">
        <w:t xml:space="preserve">their results as a </w:t>
      </w:r>
      <w:r w:rsidR="00AE0CB3">
        <w:t xml:space="preserve">preference (x-axis) is plotted against their standard error (y-axis). </w:t>
      </w:r>
      <w:r w:rsidR="006311F3">
        <w:t xml:space="preserve">A funnel </w:t>
      </w:r>
      <w:r w:rsidR="000F2678">
        <w:t xml:space="preserve">plot </w:t>
      </w:r>
      <w:r w:rsidR="006311F3">
        <w:t xml:space="preserve">with </w:t>
      </w:r>
      <w:r w:rsidR="000F2678">
        <w:t>MD</w:t>
      </w:r>
      <w:r w:rsidR="006311F3">
        <w:t>s</w:t>
      </w:r>
      <w:r w:rsidR="000F2678">
        <w:t xml:space="preserve"> for the light period was not carried out because only 6 experiments reported the</w:t>
      </w:r>
      <w:r w:rsidR="006311F3">
        <w:t>ir</w:t>
      </w:r>
      <w:r w:rsidR="000F2678">
        <w:t xml:space="preserve"> outcome </w:t>
      </w:r>
      <w:r w:rsidR="006311F3">
        <w:t>as a</w:t>
      </w:r>
      <w:r w:rsidR="000F2678">
        <w:t xml:space="preserve"> preference.</w:t>
      </w:r>
    </w:p>
    <w:p w14:paraId="5FE71B4F" w14:textId="77777777" w:rsidR="00555F86" w:rsidRDefault="00555F86" w:rsidP="00555F86">
      <w:pPr>
        <w:pStyle w:val="BodyText"/>
        <w:jc w:val="both"/>
      </w:pPr>
    </w:p>
    <w:p w14:paraId="7A609413" w14:textId="75BBBB0F" w:rsidR="007B3C5B" w:rsidRDefault="008D4573">
      <w:pPr>
        <w:pStyle w:val="BodyText"/>
      </w:pPr>
      <w:r>
        <w:rPr>
          <w:b/>
          <w:bCs/>
        </w:rPr>
        <w:t>Supplementary table 7</w:t>
      </w:r>
      <w:r w:rsidR="00370743">
        <w:t>. Results of the Egger</w:t>
      </w:r>
      <w:r w:rsidR="00B771E4">
        <w:t>’</w:t>
      </w:r>
      <w:r w:rsidR="00370743">
        <w:t xml:space="preserve">s regression test </w:t>
      </w:r>
      <w:r w:rsidR="00732D23">
        <w:t xml:space="preserve">with </w:t>
      </w:r>
      <w:proofErr w:type="spellStart"/>
      <w:r w:rsidR="00732D23">
        <w:t>Pustejovsky</w:t>
      </w:r>
      <w:proofErr w:type="spellEnd"/>
      <w:r w:rsidR="00732D23">
        <w:t xml:space="preserve"> correction</w:t>
      </w:r>
      <w:r w:rsidR="000F2678">
        <w:t xml:space="preserve"> </w:t>
      </w:r>
      <w:r w:rsidR="000320B5">
        <w:t xml:space="preserve">(_p) </w:t>
      </w:r>
      <w:r w:rsidR="00370743">
        <w:t>by subgroup</w:t>
      </w:r>
      <w:r w:rsidR="000320B5">
        <w:t xml:space="preserve"> </w:t>
      </w:r>
      <w:r w:rsidR="000F2678">
        <w:t>when SMD was used, and of Egger</w:t>
      </w:r>
      <w:r w:rsidR="00B771E4">
        <w:t>’</w:t>
      </w:r>
      <w:r w:rsidR="000F2678">
        <w:t>s regression test when MD was used</w:t>
      </w:r>
      <w:r w:rsidR="000C3DD5">
        <w:t xml:space="preserve"> for experiments reporting </w:t>
      </w:r>
      <w:r w:rsidR="00957151">
        <w:t xml:space="preserve">results as </w:t>
      </w:r>
      <w:r w:rsidR="000C3DD5">
        <w:t>preference</w:t>
      </w:r>
      <w:r w:rsidR="00957151">
        <w:t>s</w:t>
      </w:r>
      <w:r w:rsidR="000320B5">
        <w:t>.</w:t>
      </w:r>
    </w:p>
    <w:tbl>
      <w:tblPr>
        <w:tblStyle w:val="Table"/>
        <w:tblW w:w="5000" w:type="pct"/>
        <w:tblLook w:val="0020" w:firstRow="1" w:lastRow="0" w:firstColumn="0" w:lastColumn="0" w:noHBand="0" w:noVBand="0"/>
      </w:tblPr>
      <w:tblGrid>
        <w:gridCol w:w="2148"/>
        <w:gridCol w:w="1570"/>
        <w:gridCol w:w="843"/>
        <w:gridCol w:w="1375"/>
        <w:gridCol w:w="1317"/>
        <w:gridCol w:w="843"/>
        <w:gridCol w:w="1264"/>
      </w:tblGrid>
      <w:tr w:rsidR="00EE13B9" w14:paraId="0A1693A1" w14:textId="77777777" w:rsidTr="000320B5">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58FC21E4" w14:textId="77777777" w:rsidR="000320B5" w:rsidRDefault="000320B5">
            <w:pPr>
              <w:pStyle w:val="Compact"/>
            </w:pPr>
            <w:r>
              <w:t>Subgroup</w:t>
            </w:r>
          </w:p>
        </w:tc>
        <w:tc>
          <w:tcPr>
            <w:tcW w:w="0" w:type="auto"/>
            <w:hideMark/>
          </w:tcPr>
          <w:p w14:paraId="5BACFB12" w14:textId="77777777" w:rsidR="000320B5" w:rsidRDefault="000320B5">
            <w:pPr>
              <w:pStyle w:val="Compact"/>
              <w:jc w:val="right"/>
            </w:pPr>
            <w:proofErr w:type="spellStart"/>
            <w:r>
              <w:t>Intercept_p</w:t>
            </w:r>
            <w:proofErr w:type="spellEnd"/>
          </w:p>
        </w:tc>
        <w:tc>
          <w:tcPr>
            <w:tcW w:w="0" w:type="auto"/>
            <w:hideMark/>
          </w:tcPr>
          <w:p w14:paraId="1628DA2D" w14:textId="77777777" w:rsidR="000320B5" w:rsidRDefault="000320B5">
            <w:pPr>
              <w:pStyle w:val="Compact"/>
              <w:jc w:val="right"/>
            </w:pPr>
            <w:proofErr w:type="spellStart"/>
            <w:r>
              <w:t>t_p</w:t>
            </w:r>
            <w:proofErr w:type="spellEnd"/>
          </w:p>
        </w:tc>
        <w:tc>
          <w:tcPr>
            <w:tcW w:w="0" w:type="auto"/>
            <w:hideMark/>
          </w:tcPr>
          <w:p w14:paraId="3846B4C2" w14:textId="77777777" w:rsidR="000320B5" w:rsidRDefault="000320B5">
            <w:pPr>
              <w:pStyle w:val="Compact"/>
              <w:jc w:val="right"/>
            </w:pPr>
            <w:proofErr w:type="spellStart"/>
            <w:r>
              <w:t>p_value_p</w:t>
            </w:r>
            <w:proofErr w:type="spellEnd"/>
          </w:p>
        </w:tc>
        <w:tc>
          <w:tcPr>
            <w:tcW w:w="0" w:type="auto"/>
            <w:hideMark/>
          </w:tcPr>
          <w:p w14:paraId="0B914A1A" w14:textId="77777777" w:rsidR="000320B5" w:rsidRDefault="000320B5">
            <w:pPr>
              <w:pStyle w:val="Compact"/>
              <w:jc w:val="right"/>
            </w:pPr>
            <w:r>
              <w:t>Intercept</w:t>
            </w:r>
          </w:p>
        </w:tc>
        <w:tc>
          <w:tcPr>
            <w:tcW w:w="0" w:type="auto"/>
            <w:hideMark/>
          </w:tcPr>
          <w:p w14:paraId="5FD46FD4" w14:textId="77777777" w:rsidR="000320B5" w:rsidRDefault="000320B5">
            <w:pPr>
              <w:pStyle w:val="Compact"/>
              <w:jc w:val="right"/>
            </w:pPr>
            <w:r>
              <w:t>t</w:t>
            </w:r>
          </w:p>
        </w:tc>
        <w:tc>
          <w:tcPr>
            <w:tcW w:w="0" w:type="auto"/>
            <w:hideMark/>
          </w:tcPr>
          <w:p w14:paraId="73D3148B" w14:textId="77777777" w:rsidR="000320B5" w:rsidRDefault="000320B5">
            <w:pPr>
              <w:pStyle w:val="Compact"/>
              <w:jc w:val="right"/>
            </w:pPr>
            <w:proofErr w:type="spellStart"/>
            <w:r>
              <w:t>p_value</w:t>
            </w:r>
            <w:proofErr w:type="spellEnd"/>
          </w:p>
        </w:tc>
      </w:tr>
      <w:tr w:rsidR="000320B5" w14:paraId="10259CF3" w14:textId="77777777" w:rsidTr="000320B5">
        <w:tc>
          <w:tcPr>
            <w:tcW w:w="0" w:type="auto"/>
            <w:hideMark/>
          </w:tcPr>
          <w:p w14:paraId="2DC1A447" w14:textId="77777777" w:rsidR="000320B5" w:rsidRDefault="000320B5">
            <w:pPr>
              <w:pStyle w:val="Compact"/>
            </w:pPr>
            <w:proofErr w:type="spellStart"/>
            <w:r>
              <w:t>Wistar</w:t>
            </w:r>
            <w:proofErr w:type="spellEnd"/>
          </w:p>
        </w:tc>
        <w:tc>
          <w:tcPr>
            <w:tcW w:w="0" w:type="auto"/>
            <w:hideMark/>
          </w:tcPr>
          <w:p w14:paraId="78C7FAA0" w14:textId="77777777" w:rsidR="000320B5" w:rsidRDefault="000320B5">
            <w:pPr>
              <w:pStyle w:val="Compact"/>
              <w:jc w:val="right"/>
            </w:pPr>
            <w:r>
              <w:t>-1.26</w:t>
            </w:r>
          </w:p>
        </w:tc>
        <w:tc>
          <w:tcPr>
            <w:tcW w:w="0" w:type="auto"/>
            <w:hideMark/>
          </w:tcPr>
          <w:p w14:paraId="2AE6CD3A" w14:textId="77777777" w:rsidR="000320B5" w:rsidRDefault="000320B5">
            <w:pPr>
              <w:pStyle w:val="Compact"/>
              <w:jc w:val="right"/>
            </w:pPr>
            <w:r>
              <w:t>0.23</w:t>
            </w:r>
          </w:p>
        </w:tc>
        <w:tc>
          <w:tcPr>
            <w:tcW w:w="0" w:type="auto"/>
            <w:hideMark/>
          </w:tcPr>
          <w:p w14:paraId="735C02B5" w14:textId="77777777" w:rsidR="000320B5" w:rsidRDefault="000320B5">
            <w:pPr>
              <w:pStyle w:val="Compact"/>
              <w:jc w:val="right"/>
            </w:pPr>
            <w:r>
              <w:t>0.82</w:t>
            </w:r>
          </w:p>
        </w:tc>
        <w:tc>
          <w:tcPr>
            <w:tcW w:w="0" w:type="auto"/>
            <w:hideMark/>
          </w:tcPr>
          <w:p w14:paraId="2BE0D563" w14:textId="77777777" w:rsidR="000320B5" w:rsidRDefault="000320B5">
            <w:pPr>
              <w:pStyle w:val="Compact"/>
              <w:jc w:val="right"/>
            </w:pPr>
            <w:r>
              <w:t>-7.74</w:t>
            </w:r>
          </w:p>
        </w:tc>
        <w:tc>
          <w:tcPr>
            <w:tcW w:w="0" w:type="auto"/>
            <w:hideMark/>
          </w:tcPr>
          <w:p w14:paraId="6B6705B6" w14:textId="77777777" w:rsidR="000320B5" w:rsidRDefault="000320B5">
            <w:pPr>
              <w:pStyle w:val="Compact"/>
              <w:jc w:val="right"/>
            </w:pPr>
            <w:r>
              <w:t>-1.70</w:t>
            </w:r>
          </w:p>
        </w:tc>
        <w:tc>
          <w:tcPr>
            <w:tcW w:w="0" w:type="auto"/>
            <w:hideMark/>
          </w:tcPr>
          <w:p w14:paraId="6A5313A5" w14:textId="77777777" w:rsidR="000320B5" w:rsidRDefault="000320B5">
            <w:pPr>
              <w:pStyle w:val="Compact"/>
              <w:jc w:val="right"/>
            </w:pPr>
            <w:r>
              <w:t>0.0986</w:t>
            </w:r>
          </w:p>
        </w:tc>
      </w:tr>
      <w:tr w:rsidR="000320B5" w14:paraId="02371005" w14:textId="77777777" w:rsidTr="000320B5">
        <w:tc>
          <w:tcPr>
            <w:tcW w:w="0" w:type="auto"/>
            <w:hideMark/>
          </w:tcPr>
          <w:p w14:paraId="0E02E15C" w14:textId="77777777" w:rsidR="000320B5" w:rsidRDefault="000320B5">
            <w:pPr>
              <w:pStyle w:val="Compact"/>
            </w:pPr>
            <w:r>
              <w:t>Sprague-Dawley</w:t>
            </w:r>
          </w:p>
        </w:tc>
        <w:tc>
          <w:tcPr>
            <w:tcW w:w="0" w:type="auto"/>
            <w:hideMark/>
          </w:tcPr>
          <w:p w14:paraId="1F8C3A0D" w14:textId="77777777" w:rsidR="000320B5" w:rsidRDefault="000320B5">
            <w:pPr>
              <w:pStyle w:val="Compact"/>
              <w:jc w:val="right"/>
            </w:pPr>
            <w:r>
              <w:t>-1.37</w:t>
            </w:r>
          </w:p>
        </w:tc>
        <w:tc>
          <w:tcPr>
            <w:tcW w:w="0" w:type="auto"/>
            <w:hideMark/>
          </w:tcPr>
          <w:p w14:paraId="619BBDF7" w14:textId="77777777" w:rsidR="000320B5" w:rsidRDefault="000320B5">
            <w:pPr>
              <w:pStyle w:val="Compact"/>
              <w:jc w:val="right"/>
            </w:pPr>
            <w:r>
              <w:t>0.12</w:t>
            </w:r>
          </w:p>
        </w:tc>
        <w:tc>
          <w:tcPr>
            <w:tcW w:w="0" w:type="auto"/>
            <w:hideMark/>
          </w:tcPr>
          <w:p w14:paraId="2ED3A43E" w14:textId="77777777" w:rsidR="000320B5" w:rsidRDefault="000320B5">
            <w:pPr>
              <w:pStyle w:val="Compact"/>
              <w:jc w:val="right"/>
            </w:pPr>
            <w:r>
              <w:t>0.90</w:t>
            </w:r>
          </w:p>
        </w:tc>
        <w:tc>
          <w:tcPr>
            <w:tcW w:w="0" w:type="auto"/>
            <w:hideMark/>
          </w:tcPr>
          <w:p w14:paraId="0850AD80" w14:textId="77777777" w:rsidR="000320B5" w:rsidRDefault="000320B5">
            <w:pPr>
              <w:pStyle w:val="Compact"/>
              <w:jc w:val="right"/>
            </w:pPr>
            <w:r>
              <w:t>-2.09</w:t>
            </w:r>
          </w:p>
        </w:tc>
        <w:tc>
          <w:tcPr>
            <w:tcW w:w="0" w:type="auto"/>
            <w:hideMark/>
          </w:tcPr>
          <w:p w14:paraId="1A1CCC36" w14:textId="77777777" w:rsidR="000320B5" w:rsidRDefault="000320B5">
            <w:pPr>
              <w:pStyle w:val="Compact"/>
              <w:jc w:val="right"/>
            </w:pPr>
            <w:r>
              <w:t>-6.98</w:t>
            </w:r>
          </w:p>
        </w:tc>
        <w:tc>
          <w:tcPr>
            <w:tcW w:w="0" w:type="auto"/>
            <w:hideMark/>
          </w:tcPr>
          <w:p w14:paraId="5DD2FCBF" w14:textId="2E5288EF" w:rsidR="000320B5" w:rsidRDefault="00345752">
            <w:pPr>
              <w:pStyle w:val="Compact"/>
              <w:jc w:val="right"/>
            </w:pPr>
            <w:r>
              <w:t>&lt;</w:t>
            </w:r>
            <w:r w:rsidR="00455878">
              <w:t xml:space="preserve"> </w:t>
            </w:r>
            <w:r>
              <w:t>0.0001</w:t>
            </w:r>
          </w:p>
        </w:tc>
      </w:tr>
      <w:tr w:rsidR="000320B5" w14:paraId="1D1B7D11" w14:textId="77777777" w:rsidTr="000320B5">
        <w:tc>
          <w:tcPr>
            <w:tcW w:w="0" w:type="auto"/>
            <w:hideMark/>
          </w:tcPr>
          <w:p w14:paraId="156E411F" w14:textId="77777777" w:rsidR="000320B5" w:rsidRDefault="000320B5">
            <w:pPr>
              <w:pStyle w:val="Compact"/>
            </w:pPr>
            <w:r>
              <w:lastRenderedPageBreak/>
              <w:t>&lt; 10 weeks</w:t>
            </w:r>
          </w:p>
        </w:tc>
        <w:tc>
          <w:tcPr>
            <w:tcW w:w="0" w:type="auto"/>
            <w:hideMark/>
          </w:tcPr>
          <w:p w14:paraId="41C509AC" w14:textId="77777777" w:rsidR="000320B5" w:rsidRDefault="000320B5">
            <w:pPr>
              <w:pStyle w:val="Compact"/>
              <w:jc w:val="right"/>
            </w:pPr>
            <w:r>
              <w:t>-1.00</w:t>
            </w:r>
          </w:p>
        </w:tc>
        <w:tc>
          <w:tcPr>
            <w:tcW w:w="0" w:type="auto"/>
            <w:hideMark/>
          </w:tcPr>
          <w:p w14:paraId="3F10D9EF" w14:textId="77777777" w:rsidR="000320B5" w:rsidRDefault="000320B5">
            <w:pPr>
              <w:pStyle w:val="Compact"/>
              <w:jc w:val="right"/>
            </w:pPr>
            <w:r>
              <w:t>-0.65</w:t>
            </w:r>
          </w:p>
        </w:tc>
        <w:tc>
          <w:tcPr>
            <w:tcW w:w="0" w:type="auto"/>
            <w:hideMark/>
          </w:tcPr>
          <w:p w14:paraId="0485867C" w14:textId="77777777" w:rsidR="000320B5" w:rsidRDefault="000320B5">
            <w:pPr>
              <w:pStyle w:val="Compact"/>
              <w:jc w:val="right"/>
            </w:pPr>
            <w:r>
              <w:t>0.51</w:t>
            </w:r>
          </w:p>
        </w:tc>
        <w:tc>
          <w:tcPr>
            <w:tcW w:w="0" w:type="auto"/>
            <w:hideMark/>
          </w:tcPr>
          <w:p w14:paraId="118502AA" w14:textId="77777777" w:rsidR="000320B5" w:rsidRDefault="000320B5">
            <w:pPr>
              <w:pStyle w:val="Compact"/>
              <w:jc w:val="right"/>
            </w:pPr>
            <w:r>
              <w:t>-5.76</w:t>
            </w:r>
          </w:p>
        </w:tc>
        <w:tc>
          <w:tcPr>
            <w:tcW w:w="0" w:type="auto"/>
            <w:hideMark/>
          </w:tcPr>
          <w:p w14:paraId="36C3EF67" w14:textId="77777777" w:rsidR="000320B5" w:rsidRDefault="000320B5">
            <w:pPr>
              <w:pStyle w:val="Compact"/>
              <w:jc w:val="right"/>
            </w:pPr>
            <w:r>
              <w:t>-4.71</w:t>
            </w:r>
          </w:p>
        </w:tc>
        <w:tc>
          <w:tcPr>
            <w:tcW w:w="0" w:type="auto"/>
            <w:hideMark/>
          </w:tcPr>
          <w:p w14:paraId="15C40C60" w14:textId="2F5BF7FD" w:rsidR="000320B5" w:rsidRDefault="00345752">
            <w:pPr>
              <w:pStyle w:val="Compact"/>
              <w:jc w:val="right"/>
            </w:pPr>
            <w:r>
              <w:t>&lt;</w:t>
            </w:r>
            <w:r w:rsidR="00455878">
              <w:t xml:space="preserve"> </w:t>
            </w:r>
            <w:r>
              <w:t>0.0001</w:t>
            </w:r>
          </w:p>
        </w:tc>
      </w:tr>
      <w:tr w:rsidR="000320B5" w14:paraId="27F7FC1E" w14:textId="77777777" w:rsidTr="000320B5">
        <w:tc>
          <w:tcPr>
            <w:tcW w:w="0" w:type="auto"/>
            <w:hideMark/>
          </w:tcPr>
          <w:p w14:paraId="4299C5E0" w14:textId="77777777" w:rsidR="000320B5" w:rsidRDefault="000320B5">
            <w:pPr>
              <w:pStyle w:val="Compact"/>
            </w:pPr>
            <w:r>
              <w:t>&lt; 12 months</w:t>
            </w:r>
          </w:p>
        </w:tc>
        <w:tc>
          <w:tcPr>
            <w:tcW w:w="0" w:type="auto"/>
            <w:hideMark/>
          </w:tcPr>
          <w:p w14:paraId="2048EDE8" w14:textId="77777777" w:rsidR="000320B5" w:rsidRDefault="000320B5">
            <w:pPr>
              <w:pStyle w:val="Compact"/>
              <w:jc w:val="right"/>
            </w:pPr>
            <w:r>
              <w:t>-1.41</w:t>
            </w:r>
          </w:p>
        </w:tc>
        <w:tc>
          <w:tcPr>
            <w:tcW w:w="0" w:type="auto"/>
            <w:hideMark/>
          </w:tcPr>
          <w:p w14:paraId="28DB945B" w14:textId="77777777" w:rsidR="000320B5" w:rsidRDefault="000320B5">
            <w:pPr>
              <w:pStyle w:val="Compact"/>
              <w:jc w:val="right"/>
            </w:pPr>
            <w:r>
              <w:t>0.73</w:t>
            </w:r>
          </w:p>
        </w:tc>
        <w:tc>
          <w:tcPr>
            <w:tcW w:w="0" w:type="auto"/>
            <w:hideMark/>
          </w:tcPr>
          <w:p w14:paraId="0AD72DF2" w14:textId="77777777" w:rsidR="000320B5" w:rsidRDefault="000320B5">
            <w:pPr>
              <w:pStyle w:val="Compact"/>
              <w:jc w:val="right"/>
            </w:pPr>
            <w:r>
              <w:t>0.47</w:t>
            </w:r>
          </w:p>
        </w:tc>
        <w:tc>
          <w:tcPr>
            <w:tcW w:w="0" w:type="auto"/>
            <w:hideMark/>
          </w:tcPr>
          <w:p w14:paraId="7C0A49F1" w14:textId="77777777" w:rsidR="000320B5" w:rsidRDefault="000320B5">
            <w:pPr>
              <w:pStyle w:val="Compact"/>
              <w:jc w:val="right"/>
            </w:pPr>
            <w:r>
              <w:t>3.20</w:t>
            </w:r>
          </w:p>
        </w:tc>
        <w:tc>
          <w:tcPr>
            <w:tcW w:w="0" w:type="auto"/>
            <w:hideMark/>
          </w:tcPr>
          <w:p w14:paraId="31C3A920" w14:textId="77777777" w:rsidR="000320B5" w:rsidRDefault="000320B5">
            <w:pPr>
              <w:pStyle w:val="Compact"/>
              <w:jc w:val="right"/>
            </w:pPr>
            <w:r>
              <w:t>-4.01</w:t>
            </w:r>
          </w:p>
        </w:tc>
        <w:tc>
          <w:tcPr>
            <w:tcW w:w="0" w:type="auto"/>
            <w:hideMark/>
          </w:tcPr>
          <w:p w14:paraId="3A3BECCB" w14:textId="77777777" w:rsidR="000320B5" w:rsidRDefault="000320B5">
            <w:pPr>
              <w:pStyle w:val="Compact"/>
              <w:jc w:val="right"/>
            </w:pPr>
            <w:r>
              <w:t>0.0006</w:t>
            </w:r>
          </w:p>
        </w:tc>
      </w:tr>
      <w:tr w:rsidR="000320B5" w14:paraId="1DA3A3E4" w14:textId="77777777" w:rsidTr="000320B5">
        <w:tc>
          <w:tcPr>
            <w:tcW w:w="0" w:type="auto"/>
            <w:hideMark/>
          </w:tcPr>
          <w:p w14:paraId="6F8FD29A" w14:textId="77777777" w:rsidR="000320B5" w:rsidRDefault="000320B5">
            <w:pPr>
              <w:pStyle w:val="Compact"/>
            </w:pPr>
            <w:r>
              <w:t>light</w:t>
            </w:r>
          </w:p>
        </w:tc>
        <w:tc>
          <w:tcPr>
            <w:tcW w:w="0" w:type="auto"/>
            <w:hideMark/>
          </w:tcPr>
          <w:p w14:paraId="7B8F57A0" w14:textId="77777777" w:rsidR="000320B5" w:rsidRDefault="000320B5">
            <w:pPr>
              <w:pStyle w:val="Compact"/>
              <w:jc w:val="right"/>
            </w:pPr>
            <w:r>
              <w:t>0.87</w:t>
            </w:r>
          </w:p>
        </w:tc>
        <w:tc>
          <w:tcPr>
            <w:tcW w:w="0" w:type="auto"/>
            <w:hideMark/>
          </w:tcPr>
          <w:p w14:paraId="452194BA" w14:textId="77777777" w:rsidR="000320B5" w:rsidRDefault="000320B5">
            <w:pPr>
              <w:pStyle w:val="Compact"/>
              <w:jc w:val="right"/>
            </w:pPr>
            <w:r>
              <w:t>-1.29</w:t>
            </w:r>
          </w:p>
        </w:tc>
        <w:tc>
          <w:tcPr>
            <w:tcW w:w="0" w:type="auto"/>
            <w:hideMark/>
          </w:tcPr>
          <w:p w14:paraId="34538A4C" w14:textId="77777777" w:rsidR="000320B5" w:rsidRDefault="000320B5">
            <w:pPr>
              <w:pStyle w:val="Compact"/>
              <w:jc w:val="right"/>
            </w:pPr>
            <w:r>
              <w:t>0.21</w:t>
            </w:r>
          </w:p>
        </w:tc>
        <w:tc>
          <w:tcPr>
            <w:tcW w:w="0" w:type="auto"/>
            <w:hideMark/>
          </w:tcPr>
          <w:p w14:paraId="03ED6094" w14:textId="77777777" w:rsidR="000320B5" w:rsidRDefault="000320B5">
            <w:pPr>
              <w:pStyle w:val="Compact"/>
              <w:jc w:val="right"/>
            </w:pPr>
            <w:r>
              <w:t>NA</w:t>
            </w:r>
          </w:p>
        </w:tc>
        <w:tc>
          <w:tcPr>
            <w:tcW w:w="0" w:type="auto"/>
            <w:hideMark/>
          </w:tcPr>
          <w:p w14:paraId="449EAE82" w14:textId="77777777" w:rsidR="000320B5" w:rsidRDefault="000320B5">
            <w:pPr>
              <w:pStyle w:val="Compact"/>
              <w:jc w:val="right"/>
            </w:pPr>
            <w:r>
              <w:t>NA</w:t>
            </w:r>
          </w:p>
        </w:tc>
        <w:tc>
          <w:tcPr>
            <w:tcW w:w="0" w:type="auto"/>
            <w:hideMark/>
          </w:tcPr>
          <w:p w14:paraId="16999988" w14:textId="77777777" w:rsidR="000320B5" w:rsidRDefault="000320B5">
            <w:pPr>
              <w:pStyle w:val="Compact"/>
              <w:jc w:val="right"/>
            </w:pPr>
            <w:r>
              <w:t>NA</w:t>
            </w:r>
          </w:p>
        </w:tc>
      </w:tr>
      <w:tr w:rsidR="000320B5" w14:paraId="56664FA9" w14:textId="77777777" w:rsidTr="000320B5">
        <w:tc>
          <w:tcPr>
            <w:tcW w:w="0" w:type="auto"/>
            <w:hideMark/>
          </w:tcPr>
          <w:p w14:paraId="29D31F1F" w14:textId="77777777" w:rsidR="000320B5" w:rsidRDefault="000320B5">
            <w:pPr>
              <w:pStyle w:val="Compact"/>
            </w:pPr>
            <w:r>
              <w:t>Dark</w:t>
            </w:r>
          </w:p>
        </w:tc>
        <w:tc>
          <w:tcPr>
            <w:tcW w:w="0" w:type="auto"/>
            <w:hideMark/>
          </w:tcPr>
          <w:p w14:paraId="235DB211" w14:textId="77777777" w:rsidR="000320B5" w:rsidRDefault="000320B5">
            <w:pPr>
              <w:pStyle w:val="Compact"/>
              <w:jc w:val="right"/>
            </w:pPr>
            <w:r>
              <w:t>0.12</w:t>
            </w:r>
          </w:p>
        </w:tc>
        <w:tc>
          <w:tcPr>
            <w:tcW w:w="0" w:type="auto"/>
            <w:hideMark/>
          </w:tcPr>
          <w:p w14:paraId="5C850CCB" w14:textId="77777777" w:rsidR="000320B5" w:rsidRDefault="000320B5">
            <w:pPr>
              <w:pStyle w:val="Compact"/>
              <w:jc w:val="right"/>
            </w:pPr>
            <w:r>
              <w:t>-1.12</w:t>
            </w:r>
          </w:p>
        </w:tc>
        <w:tc>
          <w:tcPr>
            <w:tcW w:w="0" w:type="auto"/>
            <w:hideMark/>
          </w:tcPr>
          <w:p w14:paraId="7748A0AF" w14:textId="77777777" w:rsidR="000320B5" w:rsidRDefault="000320B5">
            <w:pPr>
              <w:pStyle w:val="Compact"/>
              <w:jc w:val="right"/>
            </w:pPr>
            <w:r>
              <w:t>0.27</w:t>
            </w:r>
          </w:p>
        </w:tc>
        <w:tc>
          <w:tcPr>
            <w:tcW w:w="0" w:type="auto"/>
            <w:hideMark/>
          </w:tcPr>
          <w:p w14:paraId="38494AB7" w14:textId="77777777" w:rsidR="000320B5" w:rsidRDefault="000320B5">
            <w:pPr>
              <w:pStyle w:val="Compact"/>
              <w:jc w:val="right"/>
            </w:pPr>
            <w:r>
              <w:t>-2.27</w:t>
            </w:r>
          </w:p>
        </w:tc>
        <w:tc>
          <w:tcPr>
            <w:tcW w:w="0" w:type="auto"/>
            <w:hideMark/>
          </w:tcPr>
          <w:p w14:paraId="6EC4331B" w14:textId="77777777" w:rsidR="000320B5" w:rsidRDefault="000320B5">
            <w:pPr>
              <w:pStyle w:val="Compact"/>
              <w:jc w:val="right"/>
            </w:pPr>
            <w:r>
              <w:t>-3.24</w:t>
            </w:r>
          </w:p>
        </w:tc>
        <w:tc>
          <w:tcPr>
            <w:tcW w:w="0" w:type="auto"/>
            <w:hideMark/>
          </w:tcPr>
          <w:p w14:paraId="77E990D6" w14:textId="77777777" w:rsidR="000320B5" w:rsidRDefault="000320B5">
            <w:pPr>
              <w:pStyle w:val="Compact"/>
              <w:jc w:val="right"/>
            </w:pPr>
            <w:r>
              <w:t>0.0037</w:t>
            </w:r>
          </w:p>
        </w:tc>
      </w:tr>
      <w:tr w:rsidR="000320B5" w14:paraId="1B5A0B65" w14:textId="77777777" w:rsidTr="000320B5">
        <w:tc>
          <w:tcPr>
            <w:tcW w:w="0" w:type="auto"/>
            <w:hideMark/>
          </w:tcPr>
          <w:p w14:paraId="2E0AF238" w14:textId="77777777" w:rsidR="000320B5" w:rsidRDefault="000320B5">
            <w:pPr>
              <w:pStyle w:val="Compact"/>
            </w:pPr>
            <w:r>
              <w:t>Both</w:t>
            </w:r>
          </w:p>
        </w:tc>
        <w:tc>
          <w:tcPr>
            <w:tcW w:w="0" w:type="auto"/>
            <w:hideMark/>
          </w:tcPr>
          <w:p w14:paraId="74FB106D" w14:textId="77777777" w:rsidR="000320B5" w:rsidRDefault="000320B5">
            <w:pPr>
              <w:pStyle w:val="Compact"/>
              <w:jc w:val="right"/>
            </w:pPr>
            <w:r>
              <w:t>-1.87</w:t>
            </w:r>
          </w:p>
        </w:tc>
        <w:tc>
          <w:tcPr>
            <w:tcW w:w="0" w:type="auto"/>
            <w:hideMark/>
          </w:tcPr>
          <w:p w14:paraId="5EB22DBE" w14:textId="77777777" w:rsidR="000320B5" w:rsidRDefault="000320B5">
            <w:pPr>
              <w:pStyle w:val="Compact"/>
              <w:jc w:val="right"/>
            </w:pPr>
            <w:r>
              <w:t>1.25</w:t>
            </w:r>
          </w:p>
        </w:tc>
        <w:tc>
          <w:tcPr>
            <w:tcW w:w="0" w:type="auto"/>
            <w:hideMark/>
          </w:tcPr>
          <w:p w14:paraId="7491AD82" w14:textId="77777777" w:rsidR="000320B5" w:rsidRDefault="000320B5">
            <w:pPr>
              <w:pStyle w:val="Compact"/>
              <w:jc w:val="right"/>
            </w:pPr>
            <w:r>
              <w:t>0.22</w:t>
            </w:r>
          </w:p>
        </w:tc>
        <w:tc>
          <w:tcPr>
            <w:tcW w:w="0" w:type="auto"/>
            <w:hideMark/>
          </w:tcPr>
          <w:p w14:paraId="13BA4C1D" w14:textId="77777777" w:rsidR="000320B5" w:rsidRDefault="000320B5">
            <w:pPr>
              <w:pStyle w:val="Compact"/>
              <w:jc w:val="right"/>
            </w:pPr>
            <w:r>
              <w:t>-5.10</w:t>
            </w:r>
          </w:p>
        </w:tc>
        <w:tc>
          <w:tcPr>
            <w:tcW w:w="0" w:type="auto"/>
            <w:hideMark/>
          </w:tcPr>
          <w:p w14:paraId="6D06BFFC" w14:textId="77777777" w:rsidR="000320B5" w:rsidRDefault="000320B5">
            <w:pPr>
              <w:pStyle w:val="Compact"/>
              <w:jc w:val="right"/>
            </w:pPr>
            <w:r>
              <w:t>-1.92</w:t>
            </w:r>
          </w:p>
        </w:tc>
        <w:tc>
          <w:tcPr>
            <w:tcW w:w="0" w:type="auto"/>
            <w:hideMark/>
          </w:tcPr>
          <w:p w14:paraId="37002361" w14:textId="77777777" w:rsidR="000320B5" w:rsidRDefault="000320B5">
            <w:pPr>
              <w:pStyle w:val="Compact"/>
              <w:jc w:val="right"/>
            </w:pPr>
            <w:r>
              <w:t>0.0620</w:t>
            </w:r>
          </w:p>
        </w:tc>
      </w:tr>
    </w:tbl>
    <w:p w14:paraId="4A2335D7" w14:textId="528D0E27" w:rsidR="007B3C5B" w:rsidRDefault="00370743">
      <w:pPr>
        <w:pStyle w:val="Heading3"/>
        <w:rPr>
          <w:i/>
          <w:iCs/>
        </w:rPr>
      </w:pPr>
      <w:bookmarkStart w:id="22" w:name="sensitivity-analysis"/>
      <w:bookmarkEnd w:id="21"/>
      <w:r>
        <w:rPr>
          <w:i/>
          <w:iCs/>
        </w:rPr>
        <w:t>Sensitivity analysis</w:t>
      </w:r>
    </w:p>
    <w:p w14:paraId="3598153F" w14:textId="77777777" w:rsidR="008D4573" w:rsidRDefault="008D4573" w:rsidP="008D4573">
      <w:pPr>
        <w:pStyle w:val="Heading4"/>
      </w:pPr>
      <w:r>
        <w:rPr>
          <w:iCs/>
        </w:rPr>
        <w:t>Sample size</w:t>
      </w:r>
    </w:p>
    <w:p w14:paraId="6D98EBE8" w14:textId="393D878E" w:rsidR="008D4573" w:rsidRDefault="008D4573" w:rsidP="008D4573">
      <w:pPr>
        <w:pStyle w:val="FirstParagraph"/>
      </w:pPr>
      <w:r>
        <w:t xml:space="preserve">When the sample sizes of the experiments were reported in ranges, the lowest value was used for the primary </w:t>
      </w:r>
      <w:r w:rsidR="00034048">
        <w:t>analyses</w:t>
      </w:r>
      <w:r>
        <w:t xml:space="preserve">. The analyses were re-run using the largest possible sample size as well (25 experiments). No significant differences in the results were seen (Supplementary figure </w:t>
      </w:r>
      <w:r w:rsidR="000701A8">
        <w:t>15</w:t>
      </w:r>
      <w:r>
        <w:t>).</w:t>
      </w:r>
    </w:p>
    <w:p w14:paraId="088627EF" w14:textId="0140F42A" w:rsidR="00500FF1" w:rsidRPr="00500FF1" w:rsidRDefault="00500FF1" w:rsidP="00500FF1">
      <w:pPr>
        <w:pStyle w:val="BodyText"/>
        <w:rPr>
          <w:lang w:val="da-DK"/>
        </w:rPr>
      </w:pPr>
      <w:r w:rsidRPr="00500FF1">
        <w:rPr>
          <w:lang w:val="da-DK"/>
        </w:rPr>
        <w:t xml:space="preserve">Data: </w:t>
      </w:r>
      <w:r w:rsidRPr="003337EB">
        <w:rPr>
          <w:i/>
          <w:iCs/>
          <w:lang w:val="da-DK"/>
        </w:rPr>
        <w:t>(OSF: “</w:t>
      </w:r>
      <w:proofErr w:type="spellStart"/>
      <w:r w:rsidRPr="003337EB">
        <w:rPr>
          <w:i/>
          <w:iCs/>
          <w:lang w:val="da-DK"/>
        </w:rPr>
        <w:t>Database_Main</w:t>
      </w:r>
      <w:r>
        <w:rPr>
          <w:i/>
          <w:iCs/>
          <w:lang w:val="da-DK"/>
        </w:rPr>
        <w:t>_S</w:t>
      </w:r>
      <w:proofErr w:type="spellEnd"/>
      <w:r w:rsidRPr="003337EB">
        <w:rPr>
          <w:i/>
          <w:iCs/>
          <w:lang w:val="da-DK"/>
        </w:rPr>
        <w:t>” &amp; “</w:t>
      </w:r>
      <w:proofErr w:type="spellStart"/>
      <w:r w:rsidRPr="003337EB">
        <w:rPr>
          <w:i/>
          <w:iCs/>
          <w:lang w:val="da-DK"/>
        </w:rPr>
        <w:t>Database_alt</w:t>
      </w:r>
      <w:r>
        <w:rPr>
          <w:i/>
          <w:iCs/>
          <w:lang w:val="da-DK"/>
        </w:rPr>
        <w:t>_S</w:t>
      </w:r>
      <w:proofErr w:type="spellEnd"/>
      <w:r w:rsidRPr="003337EB">
        <w:rPr>
          <w:i/>
          <w:iCs/>
          <w:lang w:val="da-DK"/>
        </w:rPr>
        <w:t>”)</w:t>
      </w:r>
    </w:p>
    <w:p w14:paraId="2091C38C" w14:textId="04D57A1C" w:rsidR="007B3C5B" w:rsidRDefault="000701A8" w:rsidP="00B160E2">
      <w:pPr>
        <w:pStyle w:val="BodyText"/>
        <w:jc w:val="center"/>
      </w:pPr>
      <w:bookmarkStart w:id="23" w:name="sample-size"/>
      <w:r w:rsidRPr="000701A8">
        <w:rPr>
          <w:noProof/>
        </w:rPr>
        <w:drawing>
          <wp:inline distT="0" distB="0" distL="0" distR="0" wp14:anchorId="0C0415D6" wp14:editId="2A2765CD">
            <wp:extent cx="4730800" cy="4837506"/>
            <wp:effectExtent l="0" t="0" r="0" b="1270"/>
            <wp:docPr id="10" name="Picture 10" descr="D:\PhD\Project\1 SR\1SR\Article\FIGURES\Final\Supplementary material\SFigure15.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D\Project\1 SR\1SR\Article\FIGURES\Final\Supplementary material\SFigure15.tiff"/>
                    <pic:cNvPicPr>
                      <a:picLocks noChangeAspect="1" noChangeArrowheads="1"/>
                    </pic:cNvPicPr>
                  </pic:nvPicPr>
                  <pic:blipFill rotWithShape="1">
                    <a:blip r:embed="rId35">
                      <a:extLst>
                        <a:ext uri="{28A0092B-C50C-407E-A947-70E740481C1C}">
                          <a14:useLocalDpi xmlns:a14="http://schemas.microsoft.com/office/drawing/2010/main" val="0"/>
                        </a:ext>
                      </a:extLst>
                    </a:blip>
                    <a:srcRect t="4103" b="4990"/>
                    <a:stretch/>
                  </pic:blipFill>
                  <pic:spPr bwMode="auto">
                    <a:xfrm>
                      <a:off x="0" y="0"/>
                      <a:ext cx="4739525" cy="4846428"/>
                    </a:xfrm>
                    <a:prstGeom prst="rect">
                      <a:avLst/>
                    </a:prstGeom>
                    <a:noFill/>
                    <a:ln>
                      <a:noFill/>
                    </a:ln>
                    <a:extLst>
                      <a:ext uri="{53640926-AAD7-44D8-BBD7-CCE9431645EC}">
                        <a14:shadowObscured xmlns:a14="http://schemas.microsoft.com/office/drawing/2010/main"/>
                      </a:ext>
                    </a:extLst>
                  </pic:spPr>
                </pic:pic>
              </a:graphicData>
            </a:graphic>
          </wp:inline>
        </w:drawing>
      </w:r>
    </w:p>
    <w:p w14:paraId="130795E6" w14:textId="4479457C" w:rsidR="007B3C5B" w:rsidRDefault="00370743">
      <w:pPr>
        <w:pStyle w:val="BodyText"/>
      </w:pPr>
      <w:r>
        <w:rPr>
          <w:b/>
          <w:bCs/>
        </w:rPr>
        <w:lastRenderedPageBreak/>
        <w:t>Su</w:t>
      </w:r>
      <w:r w:rsidR="00D75C45">
        <w:rPr>
          <w:b/>
          <w:bCs/>
        </w:rPr>
        <w:t>pplementary figure 15</w:t>
      </w:r>
      <w:r>
        <w:rPr>
          <w:b/>
          <w:bCs/>
        </w:rPr>
        <w:t>.</w:t>
      </w:r>
      <w:r>
        <w:t xml:space="preserve"> </w:t>
      </w:r>
      <w:r>
        <w:rPr>
          <w:i/>
          <w:iCs/>
        </w:rPr>
        <w:t xml:space="preserve">Forest plot of </w:t>
      </w:r>
      <w:r w:rsidR="00034048">
        <w:rPr>
          <w:i/>
          <w:iCs/>
        </w:rPr>
        <w:t>sensitivity analyses</w:t>
      </w:r>
      <w:r w:rsidR="006A5D1B">
        <w:t xml:space="preserve">. </w:t>
      </w:r>
      <w:r w:rsidR="00CE681F">
        <w:t xml:space="preserve">The results obtained in each of the analyses performed when the lowest sample size reported was </w:t>
      </w:r>
      <w:r w:rsidR="00CE681F" w:rsidRPr="00CE681F">
        <w:t xml:space="preserve">used are shown in comparison to </w:t>
      </w:r>
      <w:r w:rsidR="00CE681F">
        <w:t xml:space="preserve">the results of the analyses when the highest sample size was used instead. Similar results were seen </w:t>
      </w:r>
      <w:r w:rsidR="009521AC">
        <w:t xml:space="preserve">in both conditions. </w:t>
      </w:r>
      <w:r w:rsidR="006A5D1B">
        <w:t xml:space="preserve">The n represents the number of experiments included in each subgroup. </w:t>
      </w:r>
      <w:r w:rsidR="000701A8">
        <w:t xml:space="preserve">§ </w:t>
      </w:r>
      <w:proofErr w:type="gramStart"/>
      <w:r>
        <w:t>p</w:t>
      </w:r>
      <w:proofErr w:type="gramEnd"/>
      <w:r>
        <w:t xml:space="preserve"> value of the test for subgroup differences. Abbreviations: </w:t>
      </w:r>
      <w:r w:rsidR="006A5D1B">
        <w:t>Het, between-study heterogeneity (I</w:t>
      </w:r>
      <w:r w:rsidR="006A5D1B">
        <w:rPr>
          <w:vertAlign w:val="superscript"/>
        </w:rPr>
        <w:t>2</w:t>
      </w:r>
      <w:r w:rsidR="006A5D1B" w:rsidRPr="00E87148">
        <w:t>)</w:t>
      </w:r>
      <w:r w:rsidR="003B6018">
        <w:t>; %, percentage of sweet preference</w:t>
      </w:r>
      <w:r w:rsidR="006A5D1B">
        <w:t>.</w:t>
      </w:r>
    </w:p>
    <w:p w14:paraId="250E4956" w14:textId="72C4C53E" w:rsidR="007B3C5B" w:rsidRDefault="00370743">
      <w:pPr>
        <w:pStyle w:val="Heading4"/>
        <w:rPr>
          <w:iCs/>
        </w:rPr>
      </w:pPr>
      <w:bookmarkStart w:id="24" w:name="heterogeneity-estimator"/>
      <w:bookmarkEnd w:id="23"/>
      <w:r>
        <w:rPr>
          <w:iCs/>
        </w:rPr>
        <w:t>Heterogeneity estimator</w:t>
      </w:r>
    </w:p>
    <w:p w14:paraId="1D83A7E0" w14:textId="4E2F7C12" w:rsidR="008D4573" w:rsidRDefault="008D4573" w:rsidP="002D532E">
      <w:pPr>
        <w:pStyle w:val="BodyText"/>
        <w:jc w:val="both"/>
      </w:pPr>
      <w:r>
        <w:t xml:space="preserve">The restricted maximum likelihood (REML) estimator has been recommended over the </w:t>
      </w:r>
      <w:proofErr w:type="spellStart"/>
      <w:r>
        <w:t>DerSimonian</w:t>
      </w:r>
      <w:proofErr w:type="spellEnd"/>
      <w:r>
        <w:t>-Laird estimator (DL) for assessing between-study heterogeneity in meta-analyses of preclinical data</w:t>
      </w:r>
      <w:bookmarkStart w:id="25" w:name="_GoBack"/>
      <w:bookmarkEnd w:id="25"/>
      <w:r>
        <w:fldChar w:fldCharType="begin" w:fldLock="1"/>
      </w:r>
      <w:r w:rsidR="00F24A26">
        <w:instrText>ADDIN CSL_CITATION {"citationItems":[{"id":"ITEM-1","itemData":{"DOI":"10.1136/BMJOS-2020-100074","ISSN":"2398-8703","abstract":"Background Meta-analysis of preclinical data is used to evaluate the consistency of findings and to inform the design and conduct of future studies. Unlike clinical meta-analysis, preclinical data often involve many heterogeneous studies reporting outcomes from a small number of animals. Here, we review the methodological challenges in preclinical meta-analysis in estimating and explaining heterogeneity in treatment effects.\n\nMethods Assuming aggregate-level data, we focus on two topics: (1) estimation of heterogeneity using commonly used methods in preclinical meta-analysis: method of moments (DerSimonian and Laird; DL), maximum likelihood (restricted maximum likelihood; REML) and Bayesian approach; (2) comparison of univariate versus multivariable meta-regression for adjusting estimated treatment effects for heterogeneity. Using data from a systematic review on the efficacy of interleukin-1 receptor antagonist in animals with stroke, we compare these methods, and explore the impact of multiple covariates on the treatment effects.\n\nResults We observed that the three methods for estimating heterogeneity yielded similar estimates for the overall effect, but different estimates for between-study variability. The proportion of heterogeneity explained by a covariate is estimated larger using REML and the Bayesian method as compared with DL. Multivariable meta-regression explains more heterogeneity than univariate meta-regression.\n\nConclusions Our findings highlight the importance of careful selection of the estimation method and the use of multivariable meta-regression to explain heterogeneity. There was no difference between REML and the Bayesian method and both methods are recommended over DL. Multiple meta-regression is worthwhile to explain heterogeneity by more than one variable, reducing more variability than any univariate models and increasing the explained proportion of heterogeneity.","author":[{"dropping-particle":"","family":"Tanriver-Ayder","given":"Ezgi","non-dropping-particle":"","parse-names":false,"suffix":""},{"dropping-particle":"","family":"Faes","given":"Christel","non-dropping-particle":"","parse-names":false,"suffix":""},{"dropping-particle":"","family":"Casteele","given":"Tom","non-dropping-particle":"Van De","parse-names":false,"suffix":""},{"dropping-particle":"","family":"McCann","given":"Sarah K.","non-dropping-particle":"","parse-names":false,"suffix":""},{"dropping-particle":"","family":"Macleod","given":"Malcolm R.","non-dropping-particle":"","parse-names":false,"suffix":""}],"container-title":"BMJ Open Science","id":"ITEM-1","issue":"1","issued":{"date-parts":[["2021","2","1"]]},"page":"e100074","publisher":"BMJ Specialist Journals","title":"Comparison of commonly used methods in random effects meta-analysis: application to preclinical data in drug discovery research","type":"article-journal","volume":"5"},"uris":["http://www.mendeley.com/documents/?uuid=e42b10f1-1b49-39b7-bb7b-3af6dee57ab7"]}],"mendeley":{"formattedCitation":"&lt;sup&gt;5&lt;/sup&gt;","plainTextFormattedCitation":"5","previouslyFormattedCitation":"&lt;sup&gt;5&lt;/sup&gt;"},"properties":{"noteIndex":0},"schema":"https://github.com/citation-style-language/schema/raw/master/csl-citation.json"}</w:instrText>
      </w:r>
      <w:r>
        <w:fldChar w:fldCharType="separate"/>
      </w:r>
      <w:r w:rsidR="00A36ADA" w:rsidRPr="00A36ADA">
        <w:rPr>
          <w:noProof/>
          <w:vertAlign w:val="superscript"/>
        </w:rPr>
        <w:t>5</w:t>
      </w:r>
      <w:r>
        <w:fldChar w:fldCharType="end"/>
      </w:r>
      <w:r>
        <w:t>. To test the robustness of our result</w:t>
      </w:r>
      <w:r w:rsidR="009521AC">
        <w:t>s, we re-ran the primary analyse</w:t>
      </w:r>
      <w:r>
        <w:t>s using this estimator instead. Results were similar to those obtained with</w:t>
      </w:r>
      <w:r w:rsidR="00476665">
        <w:t xml:space="preserve"> the</w:t>
      </w:r>
      <w:r>
        <w:t xml:space="preserve"> DL metho</w:t>
      </w:r>
      <w:r w:rsidR="007573C1">
        <w:t>d</w:t>
      </w:r>
      <w:r w:rsidR="009521AC">
        <w:t xml:space="preserve">. </w:t>
      </w:r>
      <w:r w:rsidR="004B28DF">
        <w:t>Stressed rats had a significantly reduced consumption compared to unstressed controls</w:t>
      </w:r>
      <w:r w:rsidR="007573C1">
        <w:t xml:space="preserve"> </w:t>
      </w:r>
      <w:r w:rsidR="007573C1" w:rsidRPr="002D532E">
        <w:t>(SMD -1.46; 95% CI: -1.65, -1.27; p &lt; 0</w:t>
      </w:r>
      <w:r w:rsidR="002D532E" w:rsidRPr="002D532E">
        <w:t>.0001). High variation in the results was still observed (between-study heterogeneity: I</w:t>
      </w:r>
      <w:r w:rsidR="002D532E" w:rsidRPr="002D532E">
        <w:rPr>
          <w:vertAlign w:val="superscript"/>
        </w:rPr>
        <w:t>2</w:t>
      </w:r>
      <w:r w:rsidR="004B28DF">
        <w:t xml:space="preserve"> = 79.2%)</w:t>
      </w:r>
      <w:r w:rsidR="002D532E" w:rsidRPr="002D532E">
        <w:t xml:space="preserve">. </w:t>
      </w:r>
      <w:r w:rsidR="004B28DF">
        <w:t xml:space="preserve">Similarly, stressed rats treated with antidepressants had a significantly increased consumption compared to </w:t>
      </w:r>
      <w:proofErr w:type="gramStart"/>
      <w:r w:rsidR="004B28DF">
        <w:t>stressed</w:t>
      </w:r>
      <w:proofErr w:type="gramEnd"/>
      <w:r w:rsidR="004B28DF">
        <w:t xml:space="preserve"> controls (SMD </w:t>
      </w:r>
      <w:r w:rsidR="004B28DF" w:rsidRPr="004B28DF">
        <w:t>1.56</w:t>
      </w:r>
      <w:r w:rsidR="004B28DF">
        <w:t>; 95% CI: 1.23, 1.90; p &lt; 0.0001). High between-study heterogeneity was observed (I</w:t>
      </w:r>
      <w:r w:rsidR="004B28DF">
        <w:rPr>
          <w:vertAlign w:val="superscript"/>
        </w:rPr>
        <w:t>2</w:t>
      </w:r>
      <w:r w:rsidR="004B28DF">
        <w:t xml:space="preserve"> = 74.6%).</w:t>
      </w:r>
    </w:p>
    <w:bookmarkEnd w:id="19"/>
    <w:bookmarkEnd w:id="22"/>
    <w:bookmarkEnd w:id="24"/>
    <w:p w14:paraId="77F94FF1" w14:textId="77777777" w:rsidR="00DC4AF9" w:rsidRDefault="00DC4AF9" w:rsidP="00DC4AF9">
      <w:pPr>
        <w:pStyle w:val="Heading3"/>
      </w:pPr>
      <w:r>
        <w:rPr>
          <w:i/>
          <w:iCs/>
        </w:rPr>
        <w:t>Bibliography</w:t>
      </w:r>
    </w:p>
    <w:p w14:paraId="5B0E0312" w14:textId="3F45722F" w:rsidR="00F24A26" w:rsidRPr="00F24A26" w:rsidRDefault="00DC4AF9" w:rsidP="00F24A26">
      <w:pPr>
        <w:widowControl w:val="0"/>
        <w:autoSpaceDE w:val="0"/>
        <w:autoSpaceDN w:val="0"/>
        <w:adjustRightInd w:val="0"/>
        <w:spacing w:before="180" w:after="180"/>
        <w:ind w:left="640" w:hanging="640"/>
        <w:jc w:val="both"/>
        <w:rPr>
          <w:rFonts w:ascii="Cambria" w:hAnsi="Cambria" w:cs="Times New Roman"/>
          <w:noProof/>
        </w:rPr>
      </w:pPr>
      <w:r>
        <w:fldChar w:fldCharType="begin" w:fldLock="1"/>
      </w:r>
      <w:r w:rsidRPr="00387E67">
        <w:instrText xml:space="preserve">ADDIN Mendeley Bibliography CSL_BIBLIOGRAPHY </w:instrText>
      </w:r>
      <w:r>
        <w:fldChar w:fldCharType="separate"/>
      </w:r>
      <w:r w:rsidR="00F24A26" w:rsidRPr="00F24A26">
        <w:rPr>
          <w:rFonts w:ascii="Cambria" w:hAnsi="Cambria" w:cs="Times New Roman"/>
          <w:noProof/>
        </w:rPr>
        <w:t>1.</w:t>
      </w:r>
      <w:r w:rsidR="00F24A26" w:rsidRPr="00F24A26">
        <w:rPr>
          <w:rFonts w:ascii="Cambria" w:hAnsi="Cambria" w:cs="Times New Roman"/>
          <w:noProof/>
        </w:rPr>
        <w:tab/>
        <w:t xml:space="preserve">Zwetsloot, P. P. </w:t>
      </w:r>
      <w:r w:rsidR="00F24A26" w:rsidRPr="00F24A26">
        <w:rPr>
          <w:rFonts w:ascii="Cambria" w:hAnsi="Cambria" w:cs="Times New Roman"/>
          <w:i/>
          <w:iCs/>
          <w:noProof/>
        </w:rPr>
        <w:t>et al.</w:t>
      </w:r>
      <w:r w:rsidR="00F24A26" w:rsidRPr="00F24A26">
        <w:rPr>
          <w:rFonts w:ascii="Cambria" w:hAnsi="Cambria" w:cs="Times New Roman"/>
          <w:noProof/>
        </w:rPr>
        <w:t xml:space="preserve"> Standardized mean differences cause funnel plot distortion in publication bias assessments. </w:t>
      </w:r>
      <w:r w:rsidR="00F24A26" w:rsidRPr="00F24A26">
        <w:rPr>
          <w:rFonts w:ascii="Cambria" w:hAnsi="Cambria" w:cs="Times New Roman"/>
          <w:i/>
          <w:iCs/>
          <w:noProof/>
        </w:rPr>
        <w:t>Elife</w:t>
      </w:r>
      <w:r w:rsidR="00F24A26" w:rsidRPr="00F24A26">
        <w:rPr>
          <w:rFonts w:ascii="Cambria" w:hAnsi="Cambria" w:cs="Times New Roman"/>
          <w:noProof/>
        </w:rPr>
        <w:t xml:space="preserve"> </w:t>
      </w:r>
      <w:r w:rsidR="00F24A26" w:rsidRPr="00F24A26">
        <w:rPr>
          <w:rFonts w:ascii="Cambria" w:hAnsi="Cambria" w:cs="Times New Roman"/>
          <w:b/>
          <w:bCs/>
          <w:noProof/>
        </w:rPr>
        <w:t>6</w:t>
      </w:r>
      <w:r w:rsidR="00F24A26" w:rsidRPr="00F24A26">
        <w:rPr>
          <w:rFonts w:ascii="Cambria" w:hAnsi="Cambria" w:cs="Times New Roman"/>
          <w:noProof/>
        </w:rPr>
        <w:t>, e24260 (2017).</w:t>
      </w:r>
    </w:p>
    <w:p w14:paraId="4398B656"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cs="Times New Roman"/>
          <w:noProof/>
        </w:rPr>
      </w:pPr>
      <w:r w:rsidRPr="00F24A26">
        <w:rPr>
          <w:rFonts w:ascii="Cambria" w:hAnsi="Cambria" w:cs="Times New Roman"/>
          <w:noProof/>
        </w:rPr>
        <w:t>2.</w:t>
      </w:r>
      <w:r w:rsidRPr="00F24A26">
        <w:rPr>
          <w:rFonts w:ascii="Cambria" w:hAnsi="Cambria" w:cs="Times New Roman"/>
          <w:noProof/>
        </w:rPr>
        <w:tab/>
        <w:t xml:space="preserve">Higgins, J. </w:t>
      </w:r>
      <w:r w:rsidRPr="00F24A26">
        <w:rPr>
          <w:rFonts w:ascii="Cambria" w:hAnsi="Cambria" w:cs="Times New Roman"/>
          <w:i/>
          <w:iCs/>
          <w:noProof/>
        </w:rPr>
        <w:t>et al.</w:t>
      </w:r>
      <w:r w:rsidRPr="00F24A26">
        <w:rPr>
          <w:rFonts w:ascii="Cambria" w:hAnsi="Cambria" w:cs="Times New Roman"/>
          <w:noProof/>
        </w:rPr>
        <w:t xml:space="preserve"> </w:t>
      </w:r>
      <w:r w:rsidRPr="00F24A26">
        <w:rPr>
          <w:rFonts w:ascii="Cambria" w:hAnsi="Cambria" w:cs="Times New Roman"/>
          <w:i/>
          <w:iCs/>
          <w:noProof/>
        </w:rPr>
        <w:t>Cochrane Handbook for Systematic Reviews of Interventions | Cochrane Training</w:t>
      </w:r>
      <w:r w:rsidRPr="00F24A26">
        <w:rPr>
          <w:rFonts w:ascii="Cambria" w:hAnsi="Cambria" w:cs="Times New Roman"/>
          <w:noProof/>
        </w:rPr>
        <w:t>. (2022).</w:t>
      </w:r>
    </w:p>
    <w:p w14:paraId="5497D131"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cs="Times New Roman"/>
          <w:noProof/>
        </w:rPr>
      </w:pPr>
      <w:r w:rsidRPr="00F24A26">
        <w:rPr>
          <w:rFonts w:ascii="Cambria" w:hAnsi="Cambria" w:cs="Times New Roman"/>
          <w:noProof/>
        </w:rPr>
        <w:t>3.</w:t>
      </w:r>
      <w:r w:rsidRPr="00F24A26">
        <w:rPr>
          <w:rFonts w:ascii="Cambria" w:hAnsi="Cambria" w:cs="Times New Roman"/>
          <w:noProof/>
        </w:rPr>
        <w:tab/>
        <w:t>Harrer, M., Cuijpers, P., Furukawa, T. &amp; Ebert, D. dmetar: Companion R package for the guide ‘Doing Meta-Analysis in R’ — dmetar • dmetar. (2019).</w:t>
      </w:r>
    </w:p>
    <w:p w14:paraId="5F41175F"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cs="Times New Roman"/>
          <w:noProof/>
        </w:rPr>
      </w:pPr>
      <w:r w:rsidRPr="00F24A26">
        <w:rPr>
          <w:rFonts w:ascii="Cambria" w:hAnsi="Cambria" w:cs="Times New Roman"/>
          <w:noProof/>
        </w:rPr>
        <w:t>4.</w:t>
      </w:r>
      <w:r w:rsidRPr="00F24A26">
        <w:rPr>
          <w:rFonts w:ascii="Cambria" w:hAnsi="Cambria" w:cs="Times New Roman"/>
          <w:noProof/>
        </w:rPr>
        <w:tab/>
        <w:t xml:space="preserve">Antoniuk, S., Bijata, M., Ponimaskin, E. &amp; Wlodarczyk, J. Chronic unpredictable mild stress for modeling depression in rodents: Meta-analysis of model reliability. </w:t>
      </w:r>
      <w:r w:rsidRPr="00F24A26">
        <w:rPr>
          <w:rFonts w:ascii="Cambria" w:hAnsi="Cambria" w:cs="Times New Roman"/>
          <w:i/>
          <w:iCs/>
          <w:noProof/>
        </w:rPr>
        <w:t>Neurosci. Biobehav. Rev.</w:t>
      </w:r>
      <w:r w:rsidRPr="00F24A26">
        <w:rPr>
          <w:rFonts w:ascii="Cambria" w:hAnsi="Cambria" w:cs="Times New Roman"/>
          <w:noProof/>
        </w:rPr>
        <w:t xml:space="preserve"> </w:t>
      </w:r>
      <w:r w:rsidRPr="00F24A26">
        <w:rPr>
          <w:rFonts w:ascii="Cambria" w:hAnsi="Cambria" w:cs="Times New Roman"/>
          <w:b/>
          <w:bCs/>
          <w:noProof/>
        </w:rPr>
        <w:t>99</w:t>
      </w:r>
      <w:r w:rsidRPr="00F24A26">
        <w:rPr>
          <w:rFonts w:ascii="Cambria" w:hAnsi="Cambria" w:cs="Times New Roman"/>
          <w:noProof/>
        </w:rPr>
        <w:t>, 101–116 (2019).</w:t>
      </w:r>
    </w:p>
    <w:p w14:paraId="5F2A77CB"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cs="Times New Roman"/>
          <w:noProof/>
        </w:rPr>
      </w:pPr>
      <w:r w:rsidRPr="00F24A26">
        <w:rPr>
          <w:rFonts w:ascii="Cambria" w:hAnsi="Cambria" w:cs="Times New Roman"/>
          <w:noProof/>
        </w:rPr>
        <w:t>5.</w:t>
      </w:r>
      <w:r w:rsidRPr="00F24A26">
        <w:rPr>
          <w:rFonts w:ascii="Cambria" w:hAnsi="Cambria" w:cs="Times New Roman"/>
          <w:noProof/>
        </w:rPr>
        <w:tab/>
        <w:t xml:space="preserve">Tanriver-Ayder, E., Faes, C., Van De Casteele, T., McCann, S. K. &amp; Macleod, M. R. Comparison of commonly used methods in random effects meta-analysis: application to preclinical data in drug discovery research. </w:t>
      </w:r>
      <w:r w:rsidRPr="00F24A26">
        <w:rPr>
          <w:rFonts w:ascii="Cambria" w:hAnsi="Cambria" w:cs="Times New Roman"/>
          <w:i/>
          <w:iCs/>
          <w:noProof/>
        </w:rPr>
        <w:t>BMJ Open Sci.</w:t>
      </w:r>
      <w:r w:rsidRPr="00F24A26">
        <w:rPr>
          <w:rFonts w:ascii="Cambria" w:hAnsi="Cambria" w:cs="Times New Roman"/>
          <w:noProof/>
        </w:rPr>
        <w:t xml:space="preserve"> </w:t>
      </w:r>
      <w:r w:rsidRPr="00F24A26">
        <w:rPr>
          <w:rFonts w:ascii="Cambria" w:hAnsi="Cambria" w:cs="Times New Roman"/>
          <w:b/>
          <w:bCs/>
          <w:noProof/>
        </w:rPr>
        <w:t>5</w:t>
      </w:r>
      <w:r w:rsidRPr="00F24A26">
        <w:rPr>
          <w:rFonts w:ascii="Cambria" w:hAnsi="Cambria" w:cs="Times New Roman"/>
          <w:noProof/>
        </w:rPr>
        <w:t>, e100074 (2021).</w:t>
      </w:r>
    </w:p>
    <w:p w14:paraId="7B42903E"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cs="Times New Roman"/>
          <w:noProof/>
        </w:rPr>
      </w:pPr>
      <w:r w:rsidRPr="00F24A26">
        <w:rPr>
          <w:rFonts w:ascii="Cambria" w:hAnsi="Cambria" w:cs="Times New Roman"/>
          <w:noProof/>
        </w:rPr>
        <w:t>6.</w:t>
      </w:r>
      <w:r w:rsidRPr="00F24A26">
        <w:rPr>
          <w:rFonts w:ascii="Cambria" w:hAnsi="Cambria" w:cs="Times New Roman"/>
          <w:noProof/>
        </w:rPr>
        <w:tab/>
        <w:t xml:space="preserve">McGuinness, L. A. &amp; Higgins, J. P. T. Risk-of-bias VISualization (robvis): An R package and Shiny web app for visualizing risk-of-bias assessments. </w:t>
      </w:r>
      <w:r w:rsidRPr="00F24A26">
        <w:rPr>
          <w:rFonts w:ascii="Cambria" w:hAnsi="Cambria" w:cs="Times New Roman"/>
          <w:i/>
          <w:iCs/>
          <w:noProof/>
        </w:rPr>
        <w:t>Res. Synth. Methods</w:t>
      </w:r>
      <w:r w:rsidRPr="00F24A26">
        <w:rPr>
          <w:rFonts w:ascii="Cambria" w:hAnsi="Cambria" w:cs="Times New Roman"/>
          <w:noProof/>
        </w:rPr>
        <w:t xml:space="preserve"> </w:t>
      </w:r>
      <w:r w:rsidRPr="00F24A26">
        <w:rPr>
          <w:rFonts w:ascii="Cambria" w:hAnsi="Cambria" w:cs="Times New Roman"/>
          <w:b/>
          <w:bCs/>
          <w:noProof/>
        </w:rPr>
        <w:t>12</w:t>
      </w:r>
      <w:r w:rsidRPr="00F24A26">
        <w:rPr>
          <w:rFonts w:ascii="Cambria" w:hAnsi="Cambria" w:cs="Times New Roman"/>
          <w:noProof/>
        </w:rPr>
        <w:t>, 55–61 (2020).</w:t>
      </w:r>
    </w:p>
    <w:p w14:paraId="43A49123"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cs="Times New Roman"/>
          <w:noProof/>
        </w:rPr>
      </w:pPr>
      <w:r w:rsidRPr="00F24A26">
        <w:rPr>
          <w:rFonts w:ascii="Cambria" w:hAnsi="Cambria" w:cs="Times New Roman"/>
          <w:noProof/>
        </w:rPr>
        <w:t>7.</w:t>
      </w:r>
      <w:r w:rsidRPr="00F24A26">
        <w:rPr>
          <w:rFonts w:ascii="Cambria" w:hAnsi="Cambria" w:cs="Times New Roman"/>
          <w:noProof/>
        </w:rPr>
        <w:tab/>
        <w:t xml:space="preserve">Lin, L. &amp; Chu, H. Quantifying publication bias in meta-analysis. </w:t>
      </w:r>
      <w:r w:rsidRPr="00F24A26">
        <w:rPr>
          <w:rFonts w:ascii="Cambria" w:hAnsi="Cambria" w:cs="Times New Roman"/>
          <w:i/>
          <w:iCs/>
          <w:noProof/>
        </w:rPr>
        <w:t>Biometrics</w:t>
      </w:r>
      <w:r w:rsidRPr="00F24A26">
        <w:rPr>
          <w:rFonts w:ascii="Cambria" w:hAnsi="Cambria" w:cs="Times New Roman"/>
          <w:noProof/>
        </w:rPr>
        <w:t xml:space="preserve"> </w:t>
      </w:r>
      <w:r w:rsidRPr="00F24A26">
        <w:rPr>
          <w:rFonts w:ascii="Cambria" w:hAnsi="Cambria" w:cs="Times New Roman"/>
          <w:b/>
          <w:bCs/>
          <w:noProof/>
        </w:rPr>
        <w:t>74</w:t>
      </w:r>
      <w:r w:rsidRPr="00F24A26">
        <w:rPr>
          <w:rFonts w:ascii="Cambria" w:hAnsi="Cambria" w:cs="Times New Roman"/>
          <w:noProof/>
        </w:rPr>
        <w:t>, 785–794 (2018).</w:t>
      </w:r>
    </w:p>
    <w:p w14:paraId="1B60B3E0" w14:textId="77777777" w:rsidR="00F24A26" w:rsidRPr="00F24A26" w:rsidRDefault="00F24A26" w:rsidP="00F24A26">
      <w:pPr>
        <w:widowControl w:val="0"/>
        <w:autoSpaceDE w:val="0"/>
        <w:autoSpaceDN w:val="0"/>
        <w:adjustRightInd w:val="0"/>
        <w:spacing w:before="180" w:after="180"/>
        <w:ind w:left="640" w:hanging="640"/>
        <w:jc w:val="both"/>
        <w:rPr>
          <w:rFonts w:ascii="Cambria" w:hAnsi="Cambria"/>
          <w:noProof/>
        </w:rPr>
      </w:pPr>
      <w:r w:rsidRPr="00F24A26">
        <w:rPr>
          <w:rFonts w:ascii="Cambria" w:hAnsi="Cambria" w:cs="Times New Roman"/>
          <w:noProof/>
        </w:rPr>
        <w:t>8.</w:t>
      </w:r>
      <w:r w:rsidRPr="00F24A26">
        <w:rPr>
          <w:rFonts w:ascii="Cambria" w:hAnsi="Cambria" w:cs="Times New Roman"/>
          <w:noProof/>
        </w:rPr>
        <w:tab/>
        <w:t xml:space="preserve">Pustejovsky, J. E. &amp; Rodgers, M. A. Testing for funnel plot asymmetry of standardized mean differences. </w:t>
      </w:r>
      <w:r w:rsidRPr="00F24A26">
        <w:rPr>
          <w:rFonts w:ascii="Cambria" w:hAnsi="Cambria" w:cs="Times New Roman"/>
          <w:i/>
          <w:iCs/>
          <w:noProof/>
        </w:rPr>
        <w:t>Res. Synth. Methods</w:t>
      </w:r>
      <w:r w:rsidRPr="00F24A26">
        <w:rPr>
          <w:rFonts w:ascii="Cambria" w:hAnsi="Cambria" w:cs="Times New Roman"/>
          <w:noProof/>
        </w:rPr>
        <w:t xml:space="preserve"> </w:t>
      </w:r>
      <w:r w:rsidRPr="00F24A26">
        <w:rPr>
          <w:rFonts w:ascii="Cambria" w:hAnsi="Cambria" w:cs="Times New Roman"/>
          <w:b/>
          <w:bCs/>
          <w:noProof/>
        </w:rPr>
        <w:t>10</w:t>
      </w:r>
      <w:r w:rsidRPr="00F24A26">
        <w:rPr>
          <w:rFonts w:ascii="Cambria" w:hAnsi="Cambria" w:cs="Times New Roman"/>
          <w:noProof/>
        </w:rPr>
        <w:t>, 57–71 (2019).</w:t>
      </w:r>
    </w:p>
    <w:p w14:paraId="2273D8AB" w14:textId="77777777" w:rsidR="00DC4AF9" w:rsidRPr="00DC4AF9" w:rsidRDefault="00DC4AF9" w:rsidP="00DC4AF9">
      <w:r>
        <w:fldChar w:fldCharType="end"/>
      </w:r>
    </w:p>
    <w:sectPr w:rsidR="00DC4AF9" w:rsidRPr="00DC4AF9" w:rsidSect="00B160E2">
      <w:footerReference w:type="default" r:id="rId36"/>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4ECA5" w14:textId="77777777" w:rsidR="00846CAA" w:rsidRDefault="00846CAA">
      <w:pPr>
        <w:spacing w:after="0"/>
      </w:pPr>
      <w:r>
        <w:separator/>
      </w:r>
    </w:p>
  </w:endnote>
  <w:endnote w:type="continuationSeparator" w:id="0">
    <w:p w14:paraId="31D7A18A" w14:textId="77777777" w:rsidR="00846CAA" w:rsidRDefault="00846C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939159"/>
      <w:docPartObj>
        <w:docPartGallery w:val="Page Numbers (Bottom of Page)"/>
        <w:docPartUnique/>
      </w:docPartObj>
    </w:sdtPr>
    <w:sdtEndPr>
      <w:rPr>
        <w:noProof/>
      </w:rPr>
    </w:sdtEndPr>
    <w:sdtContent>
      <w:p w14:paraId="6CB38ACA" w14:textId="52A45A2F" w:rsidR="00A36ADA" w:rsidRDefault="00A36ADA">
        <w:pPr>
          <w:pStyle w:val="Footer"/>
          <w:jc w:val="center"/>
        </w:pPr>
        <w:r>
          <w:fldChar w:fldCharType="begin"/>
        </w:r>
        <w:r>
          <w:instrText xml:space="preserve"> PAGE   \* MERGEFORMAT </w:instrText>
        </w:r>
        <w:r>
          <w:fldChar w:fldCharType="separate"/>
        </w:r>
        <w:r w:rsidR="00B768D1">
          <w:rPr>
            <w:noProof/>
          </w:rPr>
          <w:t>23</w:t>
        </w:r>
        <w:r>
          <w:rPr>
            <w:noProof/>
          </w:rPr>
          <w:fldChar w:fldCharType="end"/>
        </w:r>
      </w:p>
    </w:sdtContent>
  </w:sdt>
  <w:p w14:paraId="2D597063" w14:textId="77777777" w:rsidR="00A36ADA" w:rsidRDefault="00A36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DAFC2" w14:textId="77777777" w:rsidR="00846CAA" w:rsidRDefault="00846CAA">
      <w:r>
        <w:separator/>
      </w:r>
    </w:p>
  </w:footnote>
  <w:footnote w:type="continuationSeparator" w:id="0">
    <w:p w14:paraId="08CCCD62" w14:textId="77777777" w:rsidR="00846CAA" w:rsidRDefault="00846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57E03FC"/>
    <w:lvl w:ilvl="0">
      <w:start w:val="1"/>
      <w:numFmt w:val="decimal"/>
      <w:pStyle w:val="ListNumber"/>
      <w:lvlText w:val="%1."/>
      <w:lvlJc w:val="left"/>
      <w:pPr>
        <w:tabs>
          <w:tab w:val="num" w:pos="360"/>
        </w:tabs>
        <w:ind w:left="360" w:hanging="360"/>
      </w:pPr>
      <w:rPr>
        <w:b w:val="0"/>
        <w:sz w:val="18"/>
      </w:rPr>
    </w:lvl>
  </w:abstractNum>
  <w:abstractNum w:abstractNumId="1" w15:restartNumberingAfterBreak="0">
    <w:nsid w:val="FFFFFF89"/>
    <w:multiLevelType w:val="singleLevel"/>
    <w:tmpl w:val="4A08A3B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A990"/>
    <w:multiLevelType w:val="multilevel"/>
    <w:tmpl w:val="476A284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3" w15:restartNumberingAfterBreak="0">
    <w:nsid w:val="0000A991"/>
    <w:multiLevelType w:val="multilevel"/>
    <w:tmpl w:val="3FD88E9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4" w15:restartNumberingAfterBreak="0">
    <w:nsid w:val="00A99411"/>
    <w:multiLevelType w:val="multilevel"/>
    <w:tmpl w:val="8696C96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5" w15:restartNumberingAfterBreak="0">
    <w:nsid w:val="02F935D8"/>
    <w:multiLevelType w:val="hybridMultilevel"/>
    <w:tmpl w:val="25FEF870"/>
    <w:lvl w:ilvl="0" w:tplc="3ED4DD3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D103A"/>
    <w:multiLevelType w:val="hybridMultilevel"/>
    <w:tmpl w:val="48D8D6E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C7519E1"/>
    <w:multiLevelType w:val="hybridMultilevel"/>
    <w:tmpl w:val="E936605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60E18CD"/>
    <w:multiLevelType w:val="multilevel"/>
    <w:tmpl w:val="8696C96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 w15:restartNumberingAfterBreak="0">
    <w:nsid w:val="2D9E4EEC"/>
    <w:multiLevelType w:val="hybridMultilevel"/>
    <w:tmpl w:val="0EAEA2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153929"/>
    <w:multiLevelType w:val="hybridMultilevel"/>
    <w:tmpl w:val="0EEA7A2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9239A3"/>
    <w:multiLevelType w:val="hybridMultilevel"/>
    <w:tmpl w:val="CEEE3B3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C63421A"/>
    <w:multiLevelType w:val="hybridMultilevel"/>
    <w:tmpl w:val="605ACF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099523B"/>
    <w:multiLevelType w:val="hybridMultilevel"/>
    <w:tmpl w:val="D0CCDB7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3E65997"/>
    <w:multiLevelType w:val="multilevel"/>
    <w:tmpl w:val="8696C96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5" w15:restartNumberingAfterBreak="0">
    <w:nsid w:val="574252E4"/>
    <w:multiLevelType w:val="hybridMultilevel"/>
    <w:tmpl w:val="6FE8ACF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0D05B3E"/>
    <w:multiLevelType w:val="hybridMultilevel"/>
    <w:tmpl w:val="FE1AF7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EDF3F5D"/>
    <w:multiLevelType w:val="hybridMultilevel"/>
    <w:tmpl w:val="2F8C94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21D0786"/>
    <w:multiLevelType w:val="multilevel"/>
    <w:tmpl w:val="8696C96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9" w15:restartNumberingAfterBreak="0">
    <w:nsid w:val="75447945"/>
    <w:multiLevelType w:val="hybridMultilevel"/>
    <w:tmpl w:val="2A2C34A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7"/>
  </w:num>
  <w:num w:numId="11">
    <w:abstractNumId w:val="10"/>
  </w:num>
  <w:num w:numId="12">
    <w:abstractNumId w:val="15"/>
  </w:num>
  <w:num w:numId="13">
    <w:abstractNumId w:val="6"/>
  </w:num>
  <w:num w:numId="14">
    <w:abstractNumId w:val="13"/>
  </w:num>
  <w:num w:numId="15">
    <w:abstractNumId w:val="19"/>
  </w:num>
  <w:num w:numId="16">
    <w:abstractNumId w:val="1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5"/>
  </w:num>
  <w:num w:numId="22">
    <w:abstractNumId w:val="0"/>
    <w:lvlOverride w:ilvl="0">
      <w:startOverride w:val="1"/>
    </w:lvlOverride>
  </w:num>
  <w:num w:numId="23">
    <w:abstractNumId w:val="12"/>
  </w:num>
  <w:num w:numId="24">
    <w:abstractNumId w:val="14"/>
  </w:num>
  <w:num w:numId="25">
    <w:abstractNumId w:val="8"/>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da-DK" w:vendorID="64" w:dllVersion="131078" w:nlCheck="1" w:checkStyle="0"/>
  <w:activeWritingStyle w:appName="MSWord" w:lang="en-US" w:vendorID="64" w:dllVersion="131078" w:nlCheck="1"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C5B"/>
    <w:rsid w:val="000018E5"/>
    <w:rsid w:val="00003AAD"/>
    <w:rsid w:val="000320B5"/>
    <w:rsid w:val="00034048"/>
    <w:rsid w:val="0003540E"/>
    <w:rsid w:val="00035584"/>
    <w:rsid w:val="0003566E"/>
    <w:rsid w:val="0004398D"/>
    <w:rsid w:val="00051678"/>
    <w:rsid w:val="00054D11"/>
    <w:rsid w:val="00057A26"/>
    <w:rsid w:val="000666A3"/>
    <w:rsid w:val="000701A8"/>
    <w:rsid w:val="00074601"/>
    <w:rsid w:val="0007494F"/>
    <w:rsid w:val="00082D2A"/>
    <w:rsid w:val="00094625"/>
    <w:rsid w:val="00094CA9"/>
    <w:rsid w:val="00095639"/>
    <w:rsid w:val="00097FCA"/>
    <w:rsid w:val="000A3D67"/>
    <w:rsid w:val="000C097C"/>
    <w:rsid w:val="000C3DD5"/>
    <w:rsid w:val="000D2E44"/>
    <w:rsid w:val="000E00F6"/>
    <w:rsid w:val="000E1482"/>
    <w:rsid w:val="000F2678"/>
    <w:rsid w:val="001021FB"/>
    <w:rsid w:val="001129A9"/>
    <w:rsid w:val="00135A74"/>
    <w:rsid w:val="001368F1"/>
    <w:rsid w:val="001612CB"/>
    <w:rsid w:val="0016555E"/>
    <w:rsid w:val="001671DD"/>
    <w:rsid w:val="0017124F"/>
    <w:rsid w:val="00182C1B"/>
    <w:rsid w:val="00190675"/>
    <w:rsid w:val="00190C79"/>
    <w:rsid w:val="00191368"/>
    <w:rsid w:val="001A108D"/>
    <w:rsid w:val="001A510B"/>
    <w:rsid w:val="001C4370"/>
    <w:rsid w:val="001D45D1"/>
    <w:rsid w:val="001D4D21"/>
    <w:rsid w:val="001D50E9"/>
    <w:rsid w:val="001F4730"/>
    <w:rsid w:val="00205E31"/>
    <w:rsid w:val="00207CB0"/>
    <w:rsid w:val="00217296"/>
    <w:rsid w:val="002239CD"/>
    <w:rsid w:val="00236A89"/>
    <w:rsid w:val="00240A96"/>
    <w:rsid w:val="00272E6C"/>
    <w:rsid w:val="002A1C46"/>
    <w:rsid w:val="002C7789"/>
    <w:rsid w:val="002D532E"/>
    <w:rsid w:val="002D658A"/>
    <w:rsid w:val="002E476D"/>
    <w:rsid w:val="00306C3F"/>
    <w:rsid w:val="00313665"/>
    <w:rsid w:val="00322FC4"/>
    <w:rsid w:val="00325919"/>
    <w:rsid w:val="003337EB"/>
    <w:rsid w:val="003438A9"/>
    <w:rsid w:val="00344D70"/>
    <w:rsid w:val="00345752"/>
    <w:rsid w:val="00346FAC"/>
    <w:rsid w:val="0036323D"/>
    <w:rsid w:val="00364859"/>
    <w:rsid w:val="00365190"/>
    <w:rsid w:val="00367571"/>
    <w:rsid w:val="00370743"/>
    <w:rsid w:val="00373C45"/>
    <w:rsid w:val="00387E67"/>
    <w:rsid w:val="003A1824"/>
    <w:rsid w:val="003A411E"/>
    <w:rsid w:val="003B4FCC"/>
    <w:rsid w:val="003B6018"/>
    <w:rsid w:val="003C3651"/>
    <w:rsid w:val="003E33F5"/>
    <w:rsid w:val="003E74B1"/>
    <w:rsid w:val="00407068"/>
    <w:rsid w:val="0042480F"/>
    <w:rsid w:val="004307B9"/>
    <w:rsid w:val="00434997"/>
    <w:rsid w:val="0044187D"/>
    <w:rsid w:val="0044238D"/>
    <w:rsid w:val="00455878"/>
    <w:rsid w:val="00455FF0"/>
    <w:rsid w:val="00463847"/>
    <w:rsid w:val="004650E0"/>
    <w:rsid w:val="00466720"/>
    <w:rsid w:val="004668A0"/>
    <w:rsid w:val="00476665"/>
    <w:rsid w:val="00480AB1"/>
    <w:rsid w:val="00490C4E"/>
    <w:rsid w:val="004B28DF"/>
    <w:rsid w:val="004C2EBF"/>
    <w:rsid w:val="004C392E"/>
    <w:rsid w:val="004C4976"/>
    <w:rsid w:val="004E2F21"/>
    <w:rsid w:val="004E5AC3"/>
    <w:rsid w:val="004F3684"/>
    <w:rsid w:val="004F7E5E"/>
    <w:rsid w:val="00500FF1"/>
    <w:rsid w:val="00546270"/>
    <w:rsid w:val="00546CD7"/>
    <w:rsid w:val="00550771"/>
    <w:rsid w:val="00555F86"/>
    <w:rsid w:val="005705AE"/>
    <w:rsid w:val="005B5DA1"/>
    <w:rsid w:val="005B7EB4"/>
    <w:rsid w:val="005C309F"/>
    <w:rsid w:val="005C497E"/>
    <w:rsid w:val="005D548A"/>
    <w:rsid w:val="005F192B"/>
    <w:rsid w:val="006311F3"/>
    <w:rsid w:val="00633487"/>
    <w:rsid w:val="00635BF5"/>
    <w:rsid w:val="00641DFD"/>
    <w:rsid w:val="00651207"/>
    <w:rsid w:val="00654E84"/>
    <w:rsid w:val="00664F8B"/>
    <w:rsid w:val="00665CDE"/>
    <w:rsid w:val="006A5D1B"/>
    <w:rsid w:val="006C21CE"/>
    <w:rsid w:val="006C7743"/>
    <w:rsid w:val="006D0721"/>
    <w:rsid w:val="006E3557"/>
    <w:rsid w:val="007001E6"/>
    <w:rsid w:val="00710B86"/>
    <w:rsid w:val="00732D23"/>
    <w:rsid w:val="007342B6"/>
    <w:rsid w:val="00744A03"/>
    <w:rsid w:val="00757070"/>
    <w:rsid w:val="007573C1"/>
    <w:rsid w:val="007619EC"/>
    <w:rsid w:val="007674C7"/>
    <w:rsid w:val="00770C97"/>
    <w:rsid w:val="007724D2"/>
    <w:rsid w:val="007B3C5B"/>
    <w:rsid w:val="007C63AA"/>
    <w:rsid w:val="007D5D23"/>
    <w:rsid w:val="007E182F"/>
    <w:rsid w:val="007E2C2D"/>
    <w:rsid w:val="00815F60"/>
    <w:rsid w:val="00823295"/>
    <w:rsid w:val="0084527B"/>
    <w:rsid w:val="00846CAA"/>
    <w:rsid w:val="00847C9A"/>
    <w:rsid w:val="00847CEA"/>
    <w:rsid w:val="00887E12"/>
    <w:rsid w:val="00892F97"/>
    <w:rsid w:val="008A6A0D"/>
    <w:rsid w:val="008B4775"/>
    <w:rsid w:val="008C1455"/>
    <w:rsid w:val="008C5F9D"/>
    <w:rsid w:val="008C665A"/>
    <w:rsid w:val="008D4573"/>
    <w:rsid w:val="008D6030"/>
    <w:rsid w:val="009111B5"/>
    <w:rsid w:val="009142A3"/>
    <w:rsid w:val="009214ED"/>
    <w:rsid w:val="009266B5"/>
    <w:rsid w:val="00927CF0"/>
    <w:rsid w:val="00930EC2"/>
    <w:rsid w:val="00932CF1"/>
    <w:rsid w:val="00933932"/>
    <w:rsid w:val="00933DA1"/>
    <w:rsid w:val="00940D8B"/>
    <w:rsid w:val="009521AC"/>
    <w:rsid w:val="00957151"/>
    <w:rsid w:val="0096047F"/>
    <w:rsid w:val="00963A5C"/>
    <w:rsid w:val="00964CD5"/>
    <w:rsid w:val="00986356"/>
    <w:rsid w:val="009903E2"/>
    <w:rsid w:val="009B68A1"/>
    <w:rsid w:val="009D046B"/>
    <w:rsid w:val="009E37E8"/>
    <w:rsid w:val="009F549A"/>
    <w:rsid w:val="00A015E3"/>
    <w:rsid w:val="00A13055"/>
    <w:rsid w:val="00A16C24"/>
    <w:rsid w:val="00A21FE1"/>
    <w:rsid w:val="00A36ADA"/>
    <w:rsid w:val="00A4068F"/>
    <w:rsid w:val="00A50527"/>
    <w:rsid w:val="00AA5277"/>
    <w:rsid w:val="00AA7E00"/>
    <w:rsid w:val="00AB07D3"/>
    <w:rsid w:val="00AC42D5"/>
    <w:rsid w:val="00AC4C43"/>
    <w:rsid w:val="00AC5958"/>
    <w:rsid w:val="00AD3B30"/>
    <w:rsid w:val="00AE0CB3"/>
    <w:rsid w:val="00AE5390"/>
    <w:rsid w:val="00AF407E"/>
    <w:rsid w:val="00B05622"/>
    <w:rsid w:val="00B05AFF"/>
    <w:rsid w:val="00B07E35"/>
    <w:rsid w:val="00B160E2"/>
    <w:rsid w:val="00B1652E"/>
    <w:rsid w:val="00B244B4"/>
    <w:rsid w:val="00B30F7A"/>
    <w:rsid w:val="00B376C9"/>
    <w:rsid w:val="00B37B40"/>
    <w:rsid w:val="00B4790B"/>
    <w:rsid w:val="00B528DF"/>
    <w:rsid w:val="00B63F29"/>
    <w:rsid w:val="00B768D1"/>
    <w:rsid w:val="00B771E4"/>
    <w:rsid w:val="00B82350"/>
    <w:rsid w:val="00B843B1"/>
    <w:rsid w:val="00BA66E8"/>
    <w:rsid w:val="00BC02A8"/>
    <w:rsid w:val="00BC7042"/>
    <w:rsid w:val="00BD4EC0"/>
    <w:rsid w:val="00BE3319"/>
    <w:rsid w:val="00C16263"/>
    <w:rsid w:val="00C35B67"/>
    <w:rsid w:val="00C711D6"/>
    <w:rsid w:val="00C72332"/>
    <w:rsid w:val="00C817F1"/>
    <w:rsid w:val="00CA367B"/>
    <w:rsid w:val="00CA42EF"/>
    <w:rsid w:val="00CB7321"/>
    <w:rsid w:val="00CD4675"/>
    <w:rsid w:val="00CE681F"/>
    <w:rsid w:val="00D1710E"/>
    <w:rsid w:val="00D36141"/>
    <w:rsid w:val="00D4660A"/>
    <w:rsid w:val="00D520DF"/>
    <w:rsid w:val="00D75C45"/>
    <w:rsid w:val="00D807FE"/>
    <w:rsid w:val="00D82337"/>
    <w:rsid w:val="00D940DB"/>
    <w:rsid w:val="00DB4280"/>
    <w:rsid w:val="00DB709A"/>
    <w:rsid w:val="00DB771F"/>
    <w:rsid w:val="00DC4AF9"/>
    <w:rsid w:val="00DC501E"/>
    <w:rsid w:val="00DC61EF"/>
    <w:rsid w:val="00DD6992"/>
    <w:rsid w:val="00DD71A3"/>
    <w:rsid w:val="00E14824"/>
    <w:rsid w:val="00E502F8"/>
    <w:rsid w:val="00E56658"/>
    <w:rsid w:val="00E622FC"/>
    <w:rsid w:val="00E65BEF"/>
    <w:rsid w:val="00E741FE"/>
    <w:rsid w:val="00E75062"/>
    <w:rsid w:val="00E75A3C"/>
    <w:rsid w:val="00E81479"/>
    <w:rsid w:val="00E87669"/>
    <w:rsid w:val="00E9054A"/>
    <w:rsid w:val="00E956C4"/>
    <w:rsid w:val="00EB1CBF"/>
    <w:rsid w:val="00EB61D6"/>
    <w:rsid w:val="00EB7AB2"/>
    <w:rsid w:val="00EC516E"/>
    <w:rsid w:val="00EE13B9"/>
    <w:rsid w:val="00EE4D79"/>
    <w:rsid w:val="00EE5AED"/>
    <w:rsid w:val="00F12BA5"/>
    <w:rsid w:val="00F20194"/>
    <w:rsid w:val="00F235F6"/>
    <w:rsid w:val="00F23987"/>
    <w:rsid w:val="00F23B18"/>
    <w:rsid w:val="00F24A26"/>
    <w:rsid w:val="00F6171B"/>
    <w:rsid w:val="00F64C86"/>
    <w:rsid w:val="00F740B0"/>
    <w:rsid w:val="00FB3BE8"/>
    <w:rsid w:val="00FB74D9"/>
    <w:rsid w:val="00FE6007"/>
    <w:rsid w:val="00FE6A1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A613D4"/>
  <w15:docId w15:val="{5B121631-D052-439D-9B3C-82E6F9122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639"/>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ListBullet">
    <w:name w:val="List Bullet"/>
    <w:basedOn w:val="Normal"/>
    <w:uiPriority w:val="99"/>
    <w:semiHidden/>
    <w:unhideWhenUsed/>
    <w:rsid w:val="00364859"/>
    <w:pPr>
      <w:numPr>
        <w:numId w:val="8"/>
      </w:numPr>
      <w:spacing w:after="160" w:line="256" w:lineRule="auto"/>
      <w:contextualSpacing/>
    </w:pPr>
    <w:rPr>
      <w:sz w:val="22"/>
      <w:szCs w:val="22"/>
    </w:rPr>
  </w:style>
  <w:style w:type="paragraph" w:styleId="ListParagraph">
    <w:name w:val="List Paragraph"/>
    <w:basedOn w:val="Normal"/>
    <w:uiPriority w:val="34"/>
    <w:qFormat/>
    <w:rsid w:val="00364859"/>
    <w:pPr>
      <w:spacing w:after="160" w:line="256" w:lineRule="auto"/>
      <w:ind w:left="720"/>
      <w:contextualSpacing/>
    </w:pPr>
    <w:rPr>
      <w:sz w:val="22"/>
      <w:szCs w:val="22"/>
    </w:rPr>
  </w:style>
  <w:style w:type="table" w:styleId="TableGrid">
    <w:name w:val="Table Grid"/>
    <w:basedOn w:val="TableNormal"/>
    <w:uiPriority w:val="39"/>
    <w:rsid w:val="00364859"/>
    <w:pPr>
      <w:spacing w:after="0"/>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C4AF9"/>
    <w:rPr>
      <w:rFonts w:asciiTheme="majorHAnsi" w:eastAsiaTheme="majorEastAsia" w:hAnsiTheme="majorHAnsi" w:cstheme="majorBidi"/>
      <w:b/>
      <w:bCs/>
      <w:color w:val="4F81BD" w:themeColor="accent1"/>
    </w:rPr>
  </w:style>
  <w:style w:type="character" w:customStyle="1" w:styleId="BodyTextChar">
    <w:name w:val="Body Text Char"/>
    <w:basedOn w:val="DefaultParagraphFont"/>
    <w:link w:val="BodyText"/>
    <w:rsid w:val="007674C7"/>
  </w:style>
  <w:style w:type="paragraph" w:styleId="Revision">
    <w:name w:val="Revision"/>
    <w:hidden/>
    <w:semiHidden/>
    <w:rsid w:val="000666A3"/>
    <w:pPr>
      <w:spacing w:after="0"/>
    </w:pPr>
  </w:style>
  <w:style w:type="character" w:styleId="CommentReference">
    <w:name w:val="annotation reference"/>
    <w:basedOn w:val="DefaultParagraphFont"/>
    <w:semiHidden/>
    <w:unhideWhenUsed/>
    <w:rsid w:val="000666A3"/>
    <w:rPr>
      <w:sz w:val="16"/>
      <w:szCs w:val="16"/>
    </w:rPr>
  </w:style>
  <w:style w:type="paragraph" w:styleId="CommentText">
    <w:name w:val="annotation text"/>
    <w:basedOn w:val="Normal"/>
    <w:link w:val="CommentTextChar"/>
    <w:uiPriority w:val="99"/>
    <w:unhideWhenUsed/>
    <w:rsid w:val="000666A3"/>
    <w:rPr>
      <w:sz w:val="20"/>
      <w:szCs w:val="20"/>
    </w:rPr>
  </w:style>
  <w:style w:type="character" w:customStyle="1" w:styleId="CommentTextChar">
    <w:name w:val="Comment Text Char"/>
    <w:basedOn w:val="DefaultParagraphFont"/>
    <w:link w:val="CommentText"/>
    <w:uiPriority w:val="99"/>
    <w:rsid w:val="000666A3"/>
    <w:rPr>
      <w:sz w:val="20"/>
      <w:szCs w:val="20"/>
    </w:rPr>
  </w:style>
  <w:style w:type="paragraph" w:styleId="CommentSubject">
    <w:name w:val="annotation subject"/>
    <w:basedOn w:val="CommentText"/>
    <w:next w:val="CommentText"/>
    <w:link w:val="CommentSubjectChar"/>
    <w:semiHidden/>
    <w:unhideWhenUsed/>
    <w:rsid w:val="000666A3"/>
    <w:rPr>
      <w:b/>
      <w:bCs/>
    </w:rPr>
  </w:style>
  <w:style w:type="character" w:customStyle="1" w:styleId="CommentSubjectChar">
    <w:name w:val="Comment Subject Char"/>
    <w:basedOn w:val="CommentTextChar"/>
    <w:link w:val="CommentSubject"/>
    <w:semiHidden/>
    <w:rsid w:val="000666A3"/>
    <w:rPr>
      <w:b/>
      <w:bCs/>
      <w:sz w:val="20"/>
      <w:szCs w:val="20"/>
    </w:rPr>
  </w:style>
  <w:style w:type="paragraph" w:styleId="BalloonText">
    <w:name w:val="Balloon Text"/>
    <w:basedOn w:val="Normal"/>
    <w:link w:val="BalloonTextChar"/>
    <w:semiHidden/>
    <w:unhideWhenUsed/>
    <w:rsid w:val="00463847"/>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463847"/>
    <w:rPr>
      <w:rFonts w:ascii="Segoe UI" w:hAnsi="Segoe UI" w:cs="Segoe UI"/>
      <w:sz w:val="18"/>
      <w:szCs w:val="18"/>
    </w:rPr>
  </w:style>
  <w:style w:type="paragraph" w:styleId="ListNumber">
    <w:name w:val="List Number"/>
    <w:basedOn w:val="Normal"/>
    <w:uiPriority w:val="99"/>
    <w:unhideWhenUsed/>
    <w:rsid w:val="00FE6A1B"/>
    <w:pPr>
      <w:numPr>
        <w:numId w:val="20"/>
      </w:numPr>
      <w:spacing w:after="160" w:line="259" w:lineRule="auto"/>
      <w:contextualSpacing/>
    </w:pPr>
    <w:rPr>
      <w:sz w:val="22"/>
      <w:szCs w:val="22"/>
    </w:rPr>
  </w:style>
  <w:style w:type="character" w:customStyle="1" w:styleId="Heading2Char">
    <w:name w:val="Heading 2 Char"/>
    <w:basedOn w:val="DefaultParagraphFont"/>
    <w:link w:val="Heading2"/>
    <w:uiPriority w:val="9"/>
    <w:rsid w:val="00C16263"/>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uiPriority w:val="9"/>
    <w:rsid w:val="00074601"/>
    <w:rPr>
      <w:rFonts w:asciiTheme="majorHAnsi" w:eastAsiaTheme="majorEastAsia" w:hAnsiTheme="majorHAnsi" w:cstheme="majorBidi"/>
      <w:bCs/>
      <w:i/>
      <w:color w:val="4F81BD" w:themeColor="accent1"/>
    </w:rPr>
  </w:style>
  <w:style w:type="character" w:customStyle="1" w:styleId="Heading1Char">
    <w:name w:val="Heading 1 Char"/>
    <w:basedOn w:val="DefaultParagraphFont"/>
    <w:link w:val="Heading1"/>
    <w:uiPriority w:val="9"/>
    <w:rsid w:val="001D4D21"/>
    <w:rPr>
      <w:rFonts w:asciiTheme="majorHAnsi" w:eastAsiaTheme="majorEastAsia" w:hAnsiTheme="majorHAnsi" w:cstheme="majorBidi"/>
      <w:b/>
      <w:bCs/>
      <w:color w:val="4F81BD" w:themeColor="accent1"/>
      <w:sz w:val="32"/>
      <w:szCs w:val="32"/>
    </w:rPr>
  </w:style>
  <w:style w:type="character" w:customStyle="1" w:styleId="TitleChar">
    <w:name w:val="Title Char"/>
    <w:basedOn w:val="DefaultParagraphFont"/>
    <w:link w:val="Title"/>
    <w:rsid w:val="000701A8"/>
    <w:rPr>
      <w:rFonts w:asciiTheme="majorHAnsi" w:eastAsiaTheme="majorEastAsia" w:hAnsiTheme="majorHAnsi" w:cstheme="majorBidi"/>
      <w:b/>
      <w:bCs/>
      <w:color w:val="345A8A" w:themeColor="accent1" w:themeShade="B5"/>
      <w:sz w:val="36"/>
      <w:szCs w:val="36"/>
    </w:rPr>
  </w:style>
  <w:style w:type="character" w:styleId="FollowedHyperlink">
    <w:name w:val="FollowedHyperlink"/>
    <w:basedOn w:val="DefaultParagraphFont"/>
    <w:rsid w:val="00313665"/>
    <w:rPr>
      <w:color w:val="800080" w:themeColor="followedHyperlink"/>
      <w:u w:val="single"/>
    </w:rPr>
  </w:style>
  <w:style w:type="character" w:styleId="LineNumber">
    <w:name w:val="line number"/>
    <w:basedOn w:val="DefaultParagraphFont"/>
    <w:semiHidden/>
    <w:unhideWhenUsed/>
    <w:rsid w:val="00550771"/>
  </w:style>
  <w:style w:type="paragraph" w:styleId="Header">
    <w:name w:val="header"/>
    <w:basedOn w:val="Normal"/>
    <w:link w:val="HeaderChar"/>
    <w:unhideWhenUsed/>
    <w:rsid w:val="00550771"/>
    <w:pPr>
      <w:tabs>
        <w:tab w:val="center" w:pos="4680"/>
        <w:tab w:val="right" w:pos="9360"/>
      </w:tabs>
      <w:spacing w:after="0"/>
    </w:pPr>
  </w:style>
  <w:style w:type="character" w:customStyle="1" w:styleId="HeaderChar">
    <w:name w:val="Header Char"/>
    <w:basedOn w:val="DefaultParagraphFont"/>
    <w:link w:val="Header"/>
    <w:rsid w:val="00550771"/>
  </w:style>
  <w:style w:type="paragraph" w:styleId="Footer">
    <w:name w:val="footer"/>
    <w:basedOn w:val="Normal"/>
    <w:link w:val="FooterChar"/>
    <w:uiPriority w:val="99"/>
    <w:unhideWhenUsed/>
    <w:rsid w:val="00550771"/>
    <w:pPr>
      <w:tabs>
        <w:tab w:val="center" w:pos="4680"/>
        <w:tab w:val="right" w:pos="9360"/>
      </w:tabs>
      <w:spacing w:after="0"/>
    </w:pPr>
  </w:style>
  <w:style w:type="character" w:customStyle="1" w:styleId="FooterChar">
    <w:name w:val="Footer Char"/>
    <w:basedOn w:val="DefaultParagraphFont"/>
    <w:link w:val="Footer"/>
    <w:uiPriority w:val="99"/>
    <w:rsid w:val="00550771"/>
  </w:style>
  <w:style w:type="character" w:styleId="Strong">
    <w:name w:val="Strong"/>
    <w:basedOn w:val="DefaultParagraphFont"/>
    <w:uiPriority w:val="22"/>
    <w:qFormat/>
    <w:rsid w:val="003675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0894">
      <w:bodyDiv w:val="1"/>
      <w:marLeft w:val="0"/>
      <w:marRight w:val="0"/>
      <w:marTop w:val="0"/>
      <w:marBottom w:val="0"/>
      <w:divBdr>
        <w:top w:val="none" w:sz="0" w:space="0" w:color="auto"/>
        <w:left w:val="none" w:sz="0" w:space="0" w:color="auto"/>
        <w:bottom w:val="none" w:sz="0" w:space="0" w:color="auto"/>
        <w:right w:val="none" w:sz="0" w:space="0" w:color="auto"/>
      </w:divBdr>
    </w:div>
    <w:div w:id="557861448">
      <w:bodyDiv w:val="1"/>
      <w:marLeft w:val="0"/>
      <w:marRight w:val="0"/>
      <w:marTop w:val="0"/>
      <w:marBottom w:val="0"/>
      <w:divBdr>
        <w:top w:val="none" w:sz="0" w:space="0" w:color="auto"/>
        <w:left w:val="none" w:sz="0" w:space="0" w:color="auto"/>
        <w:bottom w:val="none" w:sz="0" w:space="0" w:color="auto"/>
        <w:right w:val="none" w:sz="0" w:space="0" w:color="auto"/>
      </w:divBdr>
    </w:div>
    <w:div w:id="934746415">
      <w:bodyDiv w:val="1"/>
      <w:marLeft w:val="0"/>
      <w:marRight w:val="0"/>
      <w:marTop w:val="0"/>
      <w:marBottom w:val="0"/>
      <w:divBdr>
        <w:top w:val="none" w:sz="0" w:space="0" w:color="auto"/>
        <w:left w:val="none" w:sz="0" w:space="0" w:color="auto"/>
        <w:bottom w:val="none" w:sz="0" w:space="0" w:color="auto"/>
        <w:right w:val="none" w:sz="0" w:space="0" w:color="auto"/>
      </w:divBdr>
    </w:div>
    <w:div w:id="1034500179">
      <w:bodyDiv w:val="1"/>
      <w:marLeft w:val="0"/>
      <w:marRight w:val="0"/>
      <w:marTop w:val="0"/>
      <w:marBottom w:val="0"/>
      <w:divBdr>
        <w:top w:val="none" w:sz="0" w:space="0" w:color="auto"/>
        <w:left w:val="none" w:sz="0" w:space="0" w:color="auto"/>
        <w:bottom w:val="none" w:sz="0" w:space="0" w:color="auto"/>
        <w:right w:val="none" w:sz="0" w:space="0" w:color="auto"/>
      </w:divBdr>
    </w:div>
    <w:div w:id="1208645012">
      <w:bodyDiv w:val="1"/>
      <w:marLeft w:val="0"/>
      <w:marRight w:val="0"/>
      <w:marTop w:val="0"/>
      <w:marBottom w:val="0"/>
      <w:divBdr>
        <w:top w:val="none" w:sz="0" w:space="0" w:color="auto"/>
        <w:left w:val="none" w:sz="0" w:space="0" w:color="auto"/>
        <w:bottom w:val="none" w:sz="0" w:space="0" w:color="auto"/>
        <w:right w:val="none" w:sz="0" w:space="0" w:color="auto"/>
      </w:divBdr>
    </w:div>
    <w:div w:id="1543252876">
      <w:bodyDiv w:val="1"/>
      <w:marLeft w:val="0"/>
      <w:marRight w:val="0"/>
      <w:marTop w:val="0"/>
      <w:marBottom w:val="0"/>
      <w:divBdr>
        <w:top w:val="none" w:sz="0" w:space="0" w:color="auto"/>
        <w:left w:val="none" w:sz="0" w:space="0" w:color="auto"/>
        <w:bottom w:val="none" w:sz="0" w:space="0" w:color="auto"/>
        <w:right w:val="none" w:sz="0" w:space="0" w:color="auto"/>
      </w:divBdr>
    </w:div>
    <w:div w:id="1810706816">
      <w:bodyDiv w:val="1"/>
      <w:marLeft w:val="0"/>
      <w:marRight w:val="0"/>
      <w:marTop w:val="0"/>
      <w:marBottom w:val="0"/>
      <w:divBdr>
        <w:top w:val="none" w:sz="0" w:space="0" w:color="auto"/>
        <w:left w:val="none" w:sz="0" w:space="0" w:color="auto"/>
        <w:bottom w:val="none" w:sz="0" w:space="0" w:color="auto"/>
        <w:right w:val="none" w:sz="0" w:space="0" w:color="auto"/>
      </w:divBdr>
    </w:div>
    <w:div w:id="2053921675">
      <w:bodyDiv w:val="1"/>
      <w:marLeft w:val="0"/>
      <w:marRight w:val="0"/>
      <w:marTop w:val="0"/>
      <w:marBottom w:val="0"/>
      <w:divBdr>
        <w:top w:val="none" w:sz="0" w:space="0" w:color="auto"/>
        <w:left w:val="none" w:sz="0" w:space="0" w:color="auto"/>
        <w:bottom w:val="none" w:sz="0" w:space="0" w:color="auto"/>
        <w:right w:val="none" w:sz="0" w:space="0" w:color="auto"/>
      </w:divBdr>
    </w:div>
    <w:div w:id="2121604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d.york.ac.uk/prospero/display_record.php?RecordID=259015" TargetMode="External"/><Relationship Id="rId13" Type="http://schemas.openxmlformats.org/officeDocument/2006/relationships/hyperlink" Target="http://dmetar.protectlab.org/" TargetMode="External"/><Relationship Id="rId18" Type="http://schemas.openxmlformats.org/officeDocument/2006/relationships/hyperlink" Target="https://CRAN.R-project.org/package=RColorBrewer"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CRAN.R-project.org/package=forestplot" TargetMode="Externa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s://CRAN.R-project.org/package=renv" TargetMode="External"/><Relationship Id="rId17" Type="http://schemas.openxmlformats.org/officeDocument/2006/relationships/hyperlink" Target="https://CRAN.R-project.org/package=kableExtra"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RAN.R-project.org/package=ggpubr" TargetMode="External"/><Relationship Id="rId20" Type="http://schemas.openxmlformats.org/officeDocument/2006/relationships/hyperlink" Target="https://CRAN.R-project.org/package=cowplot"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105/joss.01686"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RAN.R-project.org/package=ggsci"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footer" Target="footer1.xml"/><Relationship Id="rId10" Type="http://schemas.openxmlformats.org/officeDocument/2006/relationships/hyperlink" Target="doi:10.21105/joss.01686" TargetMode="External"/><Relationship Id="rId19" Type="http://schemas.openxmlformats.org/officeDocument/2006/relationships/hyperlink" Target="https://CRAN.R-project.org/package=ggrepel"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osf.io/wdba5/" TargetMode="External"/><Relationship Id="rId14" Type="http://schemas.openxmlformats.org/officeDocument/2006/relationships/hyperlink" Target="https://CRAN.R-project.org/package=readxl"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C76FB-193A-4DE7-AB84-A745A4D30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25</Pages>
  <Words>10979</Words>
  <Characters>62581</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Reliability of sucrose preference testing following short-term food and water deprivation in rat models of chronic unpredictable stress, a Systematic Review and Meta–Analysis Supplementary material</vt:lpstr>
    </vt:vector>
  </TitlesOfParts>
  <Company>SUND - KU</Company>
  <LinksUpToDate>false</LinksUpToDate>
  <CharactersWithSpaces>73414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Reliability of sucrose preference testing following short-term food and water deprivation in rat models of chronic unpredictable stress, a Systematic Review and Meta–Analysis Supplementary material</dc:title>
  <dc:subject/>
  <dc:creator>Jenny P. Berrio1, Sara Hestehave2, Otto Kalliokoski1</dc:creator>
  <cp:keywords/>
  <dc:description/>
  <cp:lastModifiedBy>Jenny Paola Berrio Sanchez</cp:lastModifiedBy>
  <cp:revision>4</cp:revision>
  <cp:lastPrinted>2023-02-22T09:27:00Z</cp:lastPrinted>
  <dcterms:created xsi:type="dcterms:W3CDTF">2023-10-18T08:07:00Z</dcterms:created>
  <dcterms:modified xsi:type="dcterms:W3CDTF">2023-10-23T10:51:00Z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2022-10-18</vt:lpwstr>
  </property>
  <property fmtid="{D5CDD505-2E9C-101B-9397-08002B2CF9AE}" pid="3" name="editor_options">
    <vt:lpwstr/>
  </property>
  <property fmtid="{D5CDD505-2E9C-101B-9397-08002B2CF9AE}" pid="4" name="fontfamily">
    <vt:lpwstr>mathpazo</vt:lpwstr>
  </property>
  <property fmtid="{D5CDD505-2E9C-101B-9397-08002B2CF9AE}" pid="5" name="fontsize">
    <vt:lpwstr>10pt</vt:lpwstr>
  </property>
  <property fmtid="{D5CDD505-2E9C-101B-9397-08002B2CF9AE}" pid="6" name="geometry">
    <vt:lpwstr>margin = 1in</vt:lpwstr>
  </property>
  <property fmtid="{D5CDD505-2E9C-101B-9397-08002B2CF9AE}" pid="7" name="output">
    <vt:lpwstr/>
  </property>
  <property fmtid="{D5CDD505-2E9C-101B-9397-08002B2CF9AE}" pid="8" name="ContentRemapped">
    <vt:lpwstr>true</vt:lpwstr>
  </property>
  <property fmtid="{D5CDD505-2E9C-101B-9397-08002B2CF9AE}" pid="9" name="Mendeley Document_1">
    <vt:lpwstr>True</vt:lpwstr>
  </property>
  <property fmtid="{D5CDD505-2E9C-101B-9397-08002B2CF9AE}" pid="10" name="Mendeley Unique User Id_1">
    <vt:lpwstr>73545834-2211-3c0e-9329-32885d396cf4</vt:lpwstr>
  </property>
  <property fmtid="{D5CDD505-2E9C-101B-9397-08002B2CF9AE}" pid="11" name="Mendeley Citation Style_1">
    <vt:lpwstr>http://www.zotero.org/styles/nature</vt:lpwstr>
  </property>
  <property fmtid="{D5CDD505-2E9C-101B-9397-08002B2CF9AE}" pid="12" name="Mendeley Recent Style Id 0_1">
    <vt:lpwstr>http://www.zotero.org/styles/american-medical-association</vt:lpwstr>
  </property>
  <property fmtid="{D5CDD505-2E9C-101B-9397-08002B2CF9AE}" pid="13" name="Mendeley Recent Style Name 0_1">
    <vt:lpwstr>American Medical Association 11th edition</vt:lpwstr>
  </property>
  <property fmtid="{D5CDD505-2E9C-101B-9397-08002B2CF9AE}" pid="14" name="Mendeley Recent Style Id 1_1">
    <vt:lpwstr>http://www.zotero.org/styles/american-political-science-association</vt:lpwstr>
  </property>
  <property fmtid="{D5CDD505-2E9C-101B-9397-08002B2CF9AE}" pid="15" name="Mendeley Recent Style Name 1_1">
    <vt:lpwstr>American Political Science Association</vt:lpwstr>
  </property>
  <property fmtid="{D5CDD505-2E9C-101B-9397-08002B2CF9AE}" pid="16" name="Mendeley Recent Style Id 2_1">
    <vt:lpwstr>http://www.zotero.org/styles/apa</vt:lpwstr>
  </property>
  <property fmtid="{D5CDD505-2E9C-101B-9397-08002B2CF9AE}" pid="17" name="Mendeley Recent Style Name 2_1">
    <vt:lpwstr>American Psychological Association 7th edition</vt:lpwstr>
  </property>
  <property fmtid="{D5CDD505-2E9C-101B-9397-08002B2CF9AE}" pid="18" name="Mendeley Recent Style Id 3_1">
    <vt:lpwstr>http://www.zotero.org/styles/american-sociological-association</vt:lpwstr>
  </property>
  <property fmtid="{D5CDD505-2E9C-101B-9397-08002B2CF9AE}" pid="19" name="Mendeley Recent Style Name 3_1">
    <vt:lpwstr>American Sociological Association 6th edition</vt:lpwstr>
  </property>
  <property fmtid="{D5CDD505-2E9C-101B-9397-08002B2CF9AE}" pid="20" name="Mendeley Recent Style Id 4_1">
    <vt:lpwstr>http://www.zotero.org/styles/chicago-author-date</vt:lpwstr>
  </property>
  <property fmtid="{D5CDD505-2E9C-101B-9397-08002B2CF9AE}" pid="21" name="Mendeley Recent Style Name 4_1">
    <vt:lpwstr>Chicago Manual of Style 17th edition (author-date)</vt:lpwstr>
  </property>
  <property fmtid="{D5CDD505-2E9C-101B-9397-08002B2CF9AE}" pid="22" name="Mendeley Recent Style Id 5_1">
    <vt:lpwstr>http://www.zotero.org/styles/harvard-cite-them-right</vt:lpwstr>
  </property>
  <property fmtid="{D5CDD505-2E9C-101B-9397-08002B2CF9AE}" pid="23" name="Mendeley Recent Style Name 5_1">
    <vt:lpwstr>Cite Them Right 10th edition - Harvard</vt:lpwstr>
  </property>
  <property fmtid="{D5CDD505-2E9C-101B-9397-08002B2CF9AE}" pid="24" name="Mendeley Recent Style Id 6_1">
    <vt:lpwstr>http://www.zotero.org/styles/ieee</vt:lpwstr>
  </property>
  <property fmtid="{D5CDD505-2E9C-101B-9397-08002B2CF9AE}" pid="25" name="Mendeley Recent Style Name 6_1">
    <vt:lpwstr>IEEE</vt:lpwstr>
  </property>
  <property fmtid="{D5CDD505-2E9C-101B-9397-08002B2CF9AE}" pid="26" name="Mendeley Recent Style Id 7_1">
    <vt:lpwstr>http://www.zotero.org/styles/journal-of-neuroscience-methods</vt:lpwstr>
  </property>
  <property fmtid="{D5CDD505-2E9C-101B-9397-08002B2CF9AE}" pid="27" name="Mendeley Recent Style Name 7_1">
    <vt:lpwstr>Journal of Neuroscience Methods</vt:lpwstr>
  </property>
  <property fmtid="{D5CDD505-2E9C-101B-9397-08002B2CF9AE}" pid="28" name="Mendeley Recent Style Id 8_1">
    <vt:lpwstr>http://www.zotero.org/styles/modern-humanities-research-association</vt:lpwstr>
  </property>
  <property fmtid="{D5CDD505-2E9C-101B-9397-08002B2CF9AE}" pid="29" name="Mendeley Recent Style Name 8_1">
    <vt:lpwstr>Modern Humanities Research Association 3rd edition (note with bibliography)</vt:lpwstr>
  </property>
  <property fmtid="{D5CDD505-2E9C-101B-9397-08002B2CF9AE}" pid="30" name="Mendeley Recent Style Id 9_1">
    <vt:lpwstr>http://www.zotero.org/styles/nature</vt:lpwstr>
  </property>
  <property fmtid="{D5CDD505-2E9C-101B-9397-08002B2CF9AE}" pid="31" name="Mendeley Recent Style Name 9_1">
    <vt:lpwstr>Nature</vt:lpwstr>
  </property>
  <property fmtid="{D5CDD505-2E9C-101B-9397-08002B2CF9AE}" pid="32" name="sdDocumentDate">
    <vt:lpwstr>44858</vt:lpwstr>
  </property>
  <property fmtid="{D5CDD505-2E9C-101B-9397-08002B2CF9AE}" pid="33" name="SD_IntegrationInfoAdded">
    <vt:bool>true</vt:bool>
  </property>
</Properties>
</file>