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line="360" w:lineRule="exact"/>
        <w:rPr>
          <w:rFonts w:ascii="Calibri" w:hAnsi="Calibri" w:cs="Calibri"/>
          <w:b/>
          <w:color w:val="0070C0"/>
          <w:sz w:val="24"/>
        </w:rPr>
      </w:pPr>
      <w:r>
        <w:rPr>
          <w:rFonts w:ascii="Calibri" w:hAnsi="Calibri" w:cs="Calibri"/>
          <w:b/>
          <w:color w:val="0070C0"/>
          <w:sz w:val="24"/>
        </w:rPr>
        <w:t xml:space="preserve">Individualized atomoxetine response and tolerability in children with ADHD receiving different dosage regimens: The need for </w:t>
      </w:r>
      <w:r>
        <w:rPr>
          <w:rFonts w:ascii="Calibri" w:hAnsi="Calibri" w:cs="Calibri"/>
          <w:b/>
          <w:i/>
          <w:color w:val="0070C0"/>
          <w:sz w:val="24"/>
        </w:rPr>
        <w:t>CYP2D6</w:t>
      </w:r>
      <w:r>
        <w:rPr>
          <w:rFonts w:ascii="Calibri" w:hAnsi="Calibri" w:cs="Calibri"/>
          <w:b/>
          <w:color w:val="0070C0"/>
          <w:sz w:val="24"/>
        </w:rPr>
        <w:t xml:space="preserve"> genotyping and therapeutic drug monitoring to dance together</w:t>
      </w:r>
    </w:p>
    <w:p>
      <w:pPr>
        <w:spacing w:before="120"/>
        <w:rPr>
          <w:rFonts w:ascii="Calibri" w:hAnsi="Calibri" w:cs="Calibri"/>
        </w:rPr>
      </w:pPr>
      <w:r>
        <w:rPr>
          <w:rFonts w:ascii="Calibri" w:hAnsi="Calibri" w:cs="Calibri"/>
        </w:rPr>
        <w:t>Hong-Li Guo</w:t>
      </w:r>
      <w:r>
        <w:rPr>
          <w:rFonts w:ascii="Calibri" w:hAnsi="Calibri" w:cs="Calibri"/>
          <w:vertAlign w:val="superscript"/>
        </w:rPr>
        <w:t>1,†</w:t>
      </w:r>
      <w:r>
        <w:rPr>
          <w:rFonts w:ascii="Calibri" w:hAnsi="Calibri" w:cs="Calibri"/>
        </w:rPr>
        <w:t xml:space="preserve">, </w:t>
      </w:r>
      <w:r>
        <w:rPr>
          <w:rFonts w:hint="eastAsia" w:ascii="Calibri" w:hAnsi="Calibri" w:cs="Calibri"/>
        </w:rPr>
        <w:t>Dan-Dan Wu</w:t>
      </w:r>
      <w:r>
        <w:rPr>
          <w:rFonts w:hint="eastAsia" w:ascii="Calibri" w:hAnsi="Calibri" w:cs="Calibri"/>
          <w:vertAlign w:val="superscript"/>
        </w:rPr>
        <w:t>2</w:t>
      </w:r>
      <w:r>
        <w:rPr>
          <w:rFonts w:ascii="Calibri" w:hAnsi="Calibri" w:cs="Calibri"/>
          <w:vertAlign w:val="superscript"/>
        </w:rPr>
        <w:t>,†</w:t>
      </w:r>
      <w:r>
        <w:rPr>
          <w:rFonts w:ascii="Calibri" w:hAnsi="Calibri" w:cs="Calibri"/>
        </w:rPr>
        <w:t xml:space="preserve">, </w:t>
      </w:r>
      <w:r>
        <w:rPr>
          <w:rFonts w:hint="eastAsia" w:ascii="Calibri" w:hAnsi="Calibri" w:cs="Calibri"/>
        </w:rPr>
        <w:t>Di Fu</w:t>
      </w:r>
      <w:r>
        <w:rPr>
          <w:rFonts w:hint="eastAsia" w:ascii="Calibri" w:hAnsi="Calibri" w:cs="Calibri"/>
          <w:vertAlign w:val="superscript"/>
        </w:rPr>
        <w:t>3,</w:t>
      </w:r>
      <w:r>
        <w:rPr>
          <w:rFonts w:ascii="Calibri" w:hAnsi="Calibri" w:cs="Calibri"/>
          <w:vertAlign w:val="superscript"/>
        </w:rPr>
        <w:t>‡</w:t>
      </w:r>
      <w:r>
        <w:rPr>
          <w:rFonts w:ascii="Calibri" w:hAnsi="Calibri" w:cs="Calibri"/>
        </w:rPr>
        <w:t>, Yue Li</w:t>
      </w:r>
      <w:r>
        <w:rPr>
          <w:rFonts w:ascii="Calibri" w:hAnsi="Calibri" w:cs="Calibri"/>
          <w:vertAlign w:val="superscript"/>
        </w:rPr>
        <w:t>1</w:t>
      </w:r>
      <w:r>
        <w:rPr>
          <w:rFonts w:ascii="Calibri" w:hAnsi="Calibri" w:cs="Calibri"/>
        </w:rPr>
        <w:t xml:space="preserve">, Jie </w:t>
      </w:r>
      <w:r>
        <w:rPr>
          <w:rFonts w:hint="eastAsia" w:ascii="Calibri" w:hAnsi="Calibri" w:cs="Calibri"/>
        </w:rPr>
        <w:t>Wang</w:t>
      </w:r>
      <w:r>
        <w:rPr>
          <w:rFonts w:ascii="Calibri" w:hAnsi="Calibri" w:cs="Calibri"/>
          <w:vertAlign w:val="superscript"/>
        </w:rPr>
        <w:t>1</w:t>
      </w:r>
      <w:r>
        <w:rPr>
          <w:rFonts w:ascii="Calibri" w:hAnsi="Calibri" w:cs="Calibri"/>
        </w:rPr>
        <w:t>, Yuan-Yuan Zhang</w:t>
      </w:r>
      <w:r>
        <w:rPr>
          <w:rFonts w:ascii="Calibri" w:hAnsi="Calibri" w:cs="Calibri"/>
          <w:vertAlign w:val="superscript"/>
        </w:rPr>
        <w:t>1</w:t>
      </w:r>
      <w:r>
        <w:rPr>
          <w:rFonts w:ascii="Calibri" w:hAnsi="Calibri" w:cs="Calibri"/>
        </w:rPr>
        <w:t>, Wei-Jun Wang</w:t>
      </w:r>
      <w:r>
        <w:rPr>
          <w:rFonts w:hint="eastAsia" w:ascii="Calibri" w:hAnsi="Calibri" w:cs="Calibri"/>
          <w:vertAlign w:val="superscript"/>
        </w:rPr>
        <w:t>3,</w:t>
      </w:r>
      <w:r>
        <w:rPr>
          <w:rFonts w:ascii="Calibri" w:hAnsi="Calibri" w:cs="Calibri"/>
          <w:vertAlign w:val="superscript"/>
        </w:rPr>
        <w:t>‡</w:t>
      </w:r>
      <w:r>
        <w:rPr>
          <w:rFonts w:ascii="Calibri" w:hAnsi="Calibri" w:cs="Calibri"/>
        </w:rPr>
        <w:t xml:space="preserve">, </w:t>
      </w:r>
      <w:r>
        <w:rPr>
          <w:rFonts w:hint="eastAsia" w:ascii="Calibri" w:hAnsi="Calibri" w:cs="Calibri"/>
        </w:rPr>
        <w:t>Jian Huang</w:t>
      </w:r>
      <w:r>
        <w:rPr>
          <w:rFonts w:ascii="Calibri" w:hAnsi="Calibri" w:cs="Calibri"/>
          <w:vertAlign w:val="superscript"/>
        </w:rPr>
        <w:t>1</w:t>
      </w:r>
      <w:r>
        <w:rPr>
          <w:rFonts w:ascii="Calibri" w:hAnsi="Calibri" w:cs="Calibri"/>
        </w:rPr>
        <w:t>,</w:t>
      </w:r>
      <w:r>
        <w:rPr>
          <w:rFonts w:hint="eastAsia" w:ascii="Calibri" w:hAnsi="Calibri" w:cs="Calibri"/>
          <w:lang w:val="en-US" w:eastAsia="zh-CN"/>
        </w:rPr>
        <w:t xml:space="preserve"> Wei-Rong Fang</w:t>
      </w:r>
      <w:r>
        <w:rPr>
          <w:rFonts w:hint="eastAsia" w:ascii="Calibri" w:hAnsi="Calibri" w:cs="Calibri"/>
          <w:vertAlign w:val="superscript"/>
        </w:rPr>
        <w:t>3</w:t>
      </w:r>
      <w:r>
        <w:rPr>
          <w:rFonts w:hint="eastAsia" w:ascii="Calibri" w:hAnsi="Calibri" w:cs="Calibri"/>
          <w:lang w:val="en-US" w:eastAsia="zh-CN"/>
        </w:rPr>
        <w:t>, Jing Xu</w:t>
      </w:r>
      <w:r>
        <w:rPr>
          <w:rFonts w:ascii="Calibri" w:hAnsi="Calibri" w:cs="Calibri"/>
          <w:vertAlign w:val="superscript"/>
        </w:rPr>
        <w:t>1</w:t>
      </w:r>
      <w:r>
        <w:rPr>
          <w:rFonts w:hint="eastAsia" w:ascii="Calibri" w:hAnsi="Calibri" w:cs="Calibri"/>
          <w:lang w:val="en-US" w:eastAsia="zh-CN"/>
        </w:rPr>
        <w:t xml:space="preserve">, </w:t>
      </w:r>
      <w:r>
        <w:rPr>
          <w:rFonts w:hint="eastAsia" w:ascii="Calibri" w:hAnsi="Calibri" w:cs="Calibri"/>
        </w:rPr>
        <w:t>Ya-Hui Hu</w:t>
      </w:r>
      <w:r>
        <w:rPr>
          <w:rFonts w:ascii="Calibri" w:hAnsi="Calibri" w:cs="Calibri"/>
          <w:vertAlign w:val="superscript"/>
        </w:rPr>
        <w:t>1,*</w:t>
      </w:r>
      <w:r>
        <w:rPr>
          <w:rFonts w:ascii="Calibri" w:hAnsi="Calibri" w:cs="Calibri"/>
        </w:rPr>
        <w:t>, Qian-Qi Liu</w:t>
      </w:r>
      <w:r>
        <w:rPr>
          <w:rFonts w:ascii="Calibri" w:hAnsi="Calibri" w:cs="Calibri"/>
          <w:vertAlign w:val="superscript"/>
        </w:rPr>
        <w:t>2</w:t>
      </w:r>
      <w:r>
        <w:rPr>
          <w:rFonts w:hint="eastAsia" w:ascii="Calibri" w:hAnsi="Calibri" w:cs="Calibri"/>
          <w:vertAlign w:val="superscript"/>
        </w:rPr>
        <w:t>,</w:t>
      </w:r>
      <w:r>
        <w:rPr>
          <w:rFonts w:ascii="Calibri" w:hAnsi="Calibri" w:cs="Calibri"/>
          <w:vertAlign w:val="superscript"/>
        </w:rPr>
        <w:t xml:space="preserve"> *</w:t>
      </w:r>
      <w:r>
        <w:rPr>
          <w:rFonts w:ascii="Calibri" w:hAnsi="Calibri" w:cs="Calibri"/>
        </w:rPr>
        <w:t>, Feng Chen</w:t>
      </w:r>
      <w:r>
        <w:rPr>
          <w:rFonts w:ascii="Calibri" w:hAnsi="Calibri" w:cs="Calibri"/>
          <w:vertAlign w:val="superscript"/>
        </w:rPr>
        <w:t>1,*</w:t>
      </w:r>
    </w:p>
    <w:p>
      <w:pPr>
        <w:spacing w:before="120"/>
        <w:rPr>
          <w:rFonts w:ascii="Calibri" w:hAnsi="Calibri" w:cs="Calibri"/>
        </w:rPr>
      </w:pPr>
      <w:r>
        <w:rPr>
          <w:rFonts w:ascii="Calibri" w:hAnsi="Calibri" w:cs="Calibri"/>
          <w:vertAlign w:val="superscript"/>
        </w:rPr>
        <w:t>1</w:t>
      </w:r>
      <w:r>
        <w:rPr>
          <w:rFonts w:ascii="Calibri" w:hAnsi="Calibri" w:cs="Calibri"/>
        </w:rPr>
        <w:t xml:space="preserve"> Department of Pharmacy, Children’s Hospital of Nanjing Medical University, Nanjing, China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 Department of Children Health Care, Children’s Hospital of Nanjing Medical University, China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vertAlign w:val="superscript"/>
        </w:rPr>
        <w:t xml:space="preserve">3 </w:t>
      </w:r>
      <w:r>
        <w:rPr>
          <w:rFonts w:ascii="Calibri" w:hAnsi="Calibri" w:cs="Calibri"/>
        </w:rPr>
        <w:t>School of Basic Medicine and Clinical Pharmacy, China Pharmaceutical University, Nanjing, China</w:t>
      </w:r>
    </w:p>
    <w:p>
      <w:pPr>
        <w:rPr>
          <w:rFonts w:ascii="Calibri" w:hAnsi="Calibri" w:cs="Calibri"/>
        </w:rPr>
      </w:pPr>
      <w:bookmarkStart w:id="0" w:name="_GoBack"/>
      <w:bookmarkEnd w:id="0"/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vertAlign w:val="superscript"/>
        </w:rPr>
        <w:t>†</w:t>
      </w:r>
      <w:r>
        <w:rPr>
          <w:rFonts w:ascii="Calibri" w:hAnsi="Calibri" w:cs="Calibri"/>
        </w:rPr>
        <w:t>These authors contributed equally to this work.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vertAlign w:val="superscript"/>
        </w:rPr>
        <w:t>‡</w:t>
      </w:r>
      <w:r>
        <w:rPr>
          <w:rFonts w:ascii="Calibri" w:hAnsi="Calibri" w:cs="Calibri"/>
        </w:rPr>
        <w:t>Visiting graduate student from China Pharmaceutical University.</w:t>
      </w:r>
    </w:p>
    <w:p>
      <w:pPr>
        <w:spacing w:before="12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*Corresponding authors: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Email addresses: </w:t>
      </w:r>
      <w:r>
        <w:fldChar w:fldCharType="begin"/>
      </w:r>
      <w:r>
        <w:instrText xml:space="preserve"> HYPERLINK "mailto:huyahui324@163.com" </w:instrText>
      </w:r>
      <w:r>
        <w:fldChar w:fldCharType="separate"/>
      </w:r>
      <w:r>
        <w:rPr>
          <w:rStyle w:val="5"/>
          <w:rFonts w:ascii="Calibri" w:hAnsi="Calibri" w:cs="Calibri"/>
        </w:rPr>
        <w:t>huyahui324@163.com</w:t>
      </w:r>
      <w:r>
        <w:rPr>
          <w:rStyle w:val="5"/>
          <w:rFonts w:ascii="Calibri" w:hAnsi="Calibri" w:cs="Calibri"/>
        </w:rPr>
        <w:fldChar w:fldCharType="end"/>
      </w:r>
      <w:r>
        <w:rPr>
          <w:rFonts w:ascii="Calibri" w:hAnsi="Calibri" w:cs="Calibri"/>
        </w:rPr>
        <w:t xml:space="preserve"> (Ya-Hui Hu), </w:t>
      </w:r>
      <w:r>
        <w:fldChar w:fldCharType="begin"/>
      </w:r>
      <w:r>
        <w:instrText xml:space="preserve"> HYPERLINK "mailto:18951769617@163.com" </w:instrText>
      </w:r>
      <w:r>
        <w:fldChar w:fldCharType="separate"/>
      </w:r>
      <w:r>
        <w:rPr>
          <w:rStyle w:val="5"/>
          <w:rFonts w:ascii="Calibri" w:hAnsi="Calibri" w:cs="Calibri"/>
          <w:color w:val="0070C0"/>
        </w:rPr>
        <w:t>18951769617@163.com</w:t>
      </w:r>
      <w:r>
        <w:rPr>
          <w:rStyle w:val="5"/>
          <w:rFonts w:ascii="Calibri" w:hAnsi="Calibri" w:cs="Calibri"/>
          <w:color w:val="0070C0"/>
        </w:rPr>
        <w:fldChar w:fldCharType="end"/>
      </w:r>
      <w:r>
        <w:rPr>
          <w:rFonts w:ascii="Calibri" w:hAnsi="Calibri" w:cs="Calibri"/>
        </w:rPr>
        <w:t xml:space="preserve"> (Qian-Qi Liu)</w:t>
      </w:r>
      <w:r>
        <w:rPr>
          <w:rFonts w:hint="eastAsia" w:ascii="Calibri" w:hAnsi="Calibri" w:cs="Calibri"/>
        </w:rPr>
        <w:t xml:space="preserve"> </w:t>
      </w:r>
      <w:r>
        <w:rPr>
          <w:rFonts w:ascii="Calibri" w:hAnsi="Calibri" w:cs="Calibri"/>
        </w:rPr>
        <w:t xml:space="preserve">and </w:t>
      </w:r>
      <w:r>
        <w:fldChar w:fldCharType="begin"/>
      </w:r>
      <w:r>
        <w:instrText xml:space="preserve"> HYPERLINK "mailto:cy.chen508@gmail.com" </w:instrText>
      </w:r>
      <w:r>
        <w:fldChar w:fldCharType="separate"/>
      </w:r>
      <w:r>
        <w:rPr>
          <w:rStyle w:val="5"/>
          <w:rFonts w:ascii="Calibri" w:hAnsi="Calibri" w:cs="Calibri"/>
          <w:color w:val="0070C0"/>
        </w:rPr>
        <w:t>cy.chen508@gmail.com</w:t>
      </w:r>
      <w:r>
        <w:rPr>
          <w:rStyle w:val="5"/>
          <w:rFonts w:ascii="Calibri" w:hAnsi="Calibri" w:cs="Calibri"/>
          <w:color w:val="0070C0"/>
        </w:rPr>
        <w:fldChar w:fldCharType="end"/>
      </w:r>
      <w:r>
        <w:rPr>
          <w:rFonts w:ascii="Calibri" w:hAnsi="Calibri" w:cs="Calibri"/>
          <w:color w:val="0070C0"/>
        </w:rPr>
        <w:t xml:space="preserve"> </w:t>
      </w:r>
      <w:r>
        <w:rPr>
          <w:rFonts w:ascii="Calibri" w:hAnsi="Calibri" w:cs="Calibri"/>
        </w:rPr>
        <w:t xml:space="preserve">(Feng Chen).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spacing w:before="120" w:line="360" w:lineRule="exact"/>
        <w:jc w:val="center"/>
        <w:rPr>
          <w:rFonts w:ascii="Calibri" w:hAnsi="Calibri" w:cs="Calibri"/>
          <w:b/>
          <w:color w:val="0070C0"/>
          <w:sz w:val="24"/>
        </w:rPr>
      </w:pPr>
      <w:r>
        <w:rPr>
          <w:rFonts w:hint="eastAsia" w:ascii="Calibri" w:hAnsi="Calibri" w:cs="Calibri"/>
          <w:b/>
          <w:color w:val="0070C0"/>
          <w:sz w:val="24"/>
        </w:rPr>
        <w:t>Supplementary Data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  <w:sz w:val="20"/>
          <w:szCs w:val="20"/>
          <w:vertAlign w:val="superscript"/>
        </w:rPr>
      </w:pPr>
    </w:p>
    <w:p>
      <w:pPr>
        <w:rPr>
          <w:rFonts w:ascii="Calibri" w:hAnsi="Calibri" w:cs="Calibri"/>
          <w:sz w:val="20"/>
          <w:szCs w:val="20"/>
          <w:vertAlign w:val="superscript"/>
        </w:rPr>
      </w:pPr>
    </w:p>
    <w:p>
      <w:pPr>
        <w:rPr>
          <w:rFonts w:ascii="Calibri" w:hAnsi="Calibri" w:cs="Calibri"/>
          <w:sz w:val="20"/>
          <w:szCs w:val="20"/>
          <w:vertAlign w:val="superscript"/>
        </w:rPr>
      </w:pPr>
    </w:p>
    <w:p>
      <w:pPr>
        <w:rPr>
          <w:rFonts w:ascii="Calibri" w:hAnsi="Calibri" w:cs="Calibri"/>
          <w:vertAlign w:val="superscript"/>
        </w:rPr>
      </w:pPr>
    </w:p>
    <w:p>
      <w:pPr>
        <w:rPr>
          <w:rFonts w:ascii="Calibri" w:hAnsi="Calibri" w:cs="Calibri"/>
          <w:vertAlign w:val="superscript"/>
        </w:rPr>
      </w:pPr>
    </w:p>
    <w:p>
      <w:pPr>
        <w:rPr>
          <w:rFonts w:ascii="Calibri" w:hAnsi="Calibri" w:cs="Calibri"/>
          <w:vertAlign w:val="superscript"/>
        </w:rPr>
      </w:pPr>
    </w:p>
    <w:p>
      <w:pPr>
        <w:rPr>
          <w:rFonts w:ascii="Calibri" w:hAnsi="Calibri" w:cs="Calibri"/>
          <w:vertAlign w:val="superscript"/>
        </w:rPr>
      </w:pPr>
    </w:p>
    <w:p>
      <w:pPr>
        <w:rPr>
          <w:rFonts w:ascii="Calibri" w:hAnsi="Calibri" w:cs="Calibri"/>
          <w:vertAlign w:val="superscript"/>
        </w:rPr>
      </w:pPr>
    </w:p>
    <w:p>
      <w:pPr>
        <w:rPr>
          <w:rFonts w:ascii="Calibri" w:hAnsi="Calibri" w:cs="Calibri"/>
          <w:vertAlign w:val="superscript"/>
        </w:rPr>
      </w:pPr>
    </w:p>
    <w:p>
      <w:pPr>
        <w:rPr>
          <w:rFonts w:ascii="Calibri" w:hAnsi="Calibri" w:cs="Calibri"/>
          <w:vertAlign w:val="superscript"/>
        </w:rPr>
      </w:pPr>
    </w:p>
    <w:p>
      <w:pPr>
        <w:jc w:val="left"/>
        <w:rPr>
          <w:color w:val="0070C0"/>
          <w:sz w:val="24"/>
        </w:rPr>
      </w:pPr>
      <w:r>
        <w:rPr>
          <w:rFonts w:hint="eastAsia"/>
          <w:color w:val="0070C0"/>
          <w:sz w:val="24"/>
        </w:rPr>
        <w:br w:type="page"/>
      </w:r>
    </w:p>
    <w:p>
      <w:pPr>
        <w:rPr>
          <w:color w:val="0070C0"/>
          <w:sz w:val="24"/>
        </w:rPr>
      </w:pPr>
    </w:p>
    <w:p>
      <w:pPr>
        <w:jc w:val="both"/>
        <w:rPr>
          <w:rFonts w:hint="eastAsia"/>
          <w:color w:val="0070C0"/>
          <w:sz w:val="24"/>
          <w:lang w:val="en-US" w:eastAsia="zh-CN"/>
        </w:rPr>
      </w:pPr>
      <w:r>
        <w:rPr>
          <w:rFonts w:hint="eastAsia"/>
          <w:color w:val="0070C0"/>
          <w:sz w:val="24"/>
        </w:rPr>
        <w:t>Supplemental Table 1</w:t>
      </w:r>
      <w:r>
        <w:rPr>
          <w:rFonts w:hint="eastAsia"/>
          <w:color w:val="0070C0"/>
          <w:sz w:val="24"/>
          <w:lang w:val="en-US" w:eastAsia="zh-CN"/>
        </w:rPr>
        <w:t xml:space="preserve"> CYP2D6 genotyping and assignment of likely CYP2D6 phenotypes based on diplotypes</w:t>
      </w:r>
    </w:p>
    <w:p>
      <w:pPr>
        <w:jc w:val="both"/>
        <w:rPr>
          <w:rFonts w:hint="eastAsia"/>
          <w:color w:val="0070C0"/>
          <w:sz w:val="24"/>
          <w:lang w:val="en-US" w:eastAsia="zh-CN"/>
        </w:rPr>
      </w:pPr>
    </w:p>
    <w:tbl>
      <w:tblPr>
        <w:tblStyle w:val="3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"/>
        <w:gridCol w:w="1222"/>
        <w:gridCol w:w="1169"/>
        <w:gridCol w:w="1574"/>
        <w:gridCol w:w="1921"/>
        <w:gridCol w:w="15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" w:hRule="atLeast"/>
          <w:jc w:val="center"/>
        </w:trPr>
        <w:tc>
          <w:tcPr>
            <w:tcW w:w="2015" w:type="pct"/>
            <w:gridSpan w:val="3"/>
            <w:tcBorders>
              <w:top w:val="single" w:color="auto" w:sz="8" w:space="0"/>
              <w:bottom w:val="single" w:color="auto" w:sz="6" w:space="0"/>
            </w:tcBorders>
            <w:shd w:val="clear" w:color="auto" w:fill="2E75B5" w:themeFill="accent1" w:themeFillShade="BF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alibri" w:hAnsi="Calibri" w:eastAsia="宋体" w:cs="Calibri"/>
                <w:b/>
                <w:bCs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  <w:t>Alleles</w:t>
            </w:r>
          </w:p>
        </w:tc>
        <w:tc>
          <w:tcPr>
            <w:tcW w:w="923" w:type="pct"/>
            <w:tcBorders>
              <w:top w:val="single" w:color="auto" w:sz="8" w:space="0"/>
              <w:bottom w:val="single" w:color="auto" w:sz="6" w:space="0"/>
            </w:tcBorders>
            <w:shd w:val="clear" w:color="auto" w:fill="2E75B5" w:themeFill="accent1" w:themeFillShade="BF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alibri" w:hAnsi="Calibri" w:eastAsia="宋体" w:cs="Calibri"/>
                <w:b/>
                <w:bCs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  <w:t>Diplotypes</w:t>
            </w:r>
          </w:p>
        </w:tc>
        <w:tc>
          <w:tcPr>
            <w:tcW w:w="1127" w:type="pct"/>
            <w:tcBorders>
              <w:top w:val="single" w:color="auto" w:sz="8" w:space="0"/>
              <w:bottom w:val="single" w:color="auto" w:sz="6" w:space="0"/>
            </w:tcBorders>
            <w:shd w:val="clear" w:color="auto" w:fill="2E75B5" w:themeFill="accent1" w:themeFillShade="BF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alibri" w:hAnsi="Calibri" w:eastAsia="宋体" w:cs="Calibri"/>
                <w:b/>
                <w:bCs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  <w:t>Activity Score</w:t>
            </w:r>
          </w:p>
        </w:tc>
        <w:tc>
          <w:tcPr>
            <w:tcW w:w="932" w:type="pct"/>
            <w:tcBorders>
              <w:top w:val="single" w:color="auto" w:sz="8" w:space="0"/>
              <w:bottom w:val="single" w:color="auto" w:sz="6" w:space="0"/>
            </w:tcBorders>
            <w:shd w:val="clear" w:color="auto" w:fill="2E75B5" w:themeFill="accent1" w:themeFillShade="BF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Calibri" w:hAnsi="Calibri" w:eastAsia="宋体" w:cs="Calibri"/>
                <w:b/>
                <w:bCs/>
                <w:color w:val="FFFFFF" w:themeColor="background1"/>
                <w:kern w:val="0"/>
                <w:szCs w:val="21"/>
                <w14:textFill>
                  <w14:solidFill>
                    <w14:schemeClr w14:val="bg1"/>
                  </w14:solidFill>
                </w14:textFill>
              </w:rPr>
              <w:t>Phenotype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612" w:type="pct"/>
            <w:tcBorders>
              <w:top w:val="single" w:color="auto" w:sz="6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  <w:t>100C&gt;T</w:t>
            </w:r>
          </w:p>
        </w:tc>
        <w:tc>
          <w:tcPr>
            <w:tcW w:w="717" w:type="pct"/>
            <w:tcBorders>
              <w:top w:val="single" w:color="auto" w:sz="6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  <w:t>1758G&gt;A</w:t>
            </w:r>
          </w:p>
        </w:tc>
        <w:tc>
          <w:tcPr>
            <w:tcW w:w="685" w:type="pct"/>
            <w:tcBorders>
              <w:top w:val="single" w:color="auto" w:sz="6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  <w:t>2850C&gt;T</w:t>
            </w:r>
          </w:p>
        </w:tc>
        <w:tc>
          <w:tcPr>
            <w:tcW w:w="923" w:type="pct"/>
            <w:tcBorders>
              <w:top w:val="single" w:color="auto" w:sz="6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1127" w:type="pct"/>
            <w:tcBorders>
              <w:top w:val="single" w:color="auto" w:sz="6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32" w:type="pct"/>
            <w:tcBorders>
              <w:top w:val="single" w:color="auto" w:sz="6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CC</w:t>
            </w: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GG</w:t>
            </w: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CC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*1/*1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1-2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EM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CT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*1/*2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1-2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EM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TT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*2/*2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1-2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EM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GA</w:t>
            </w: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CC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CT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*14/*2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TT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*14/*2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AA</w:t>
            </w: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CC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*14/*14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PM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CT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*14/*14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PM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TT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*14/*14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PM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TT</w:t>
            </w: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GG</w:t>
            </w: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CC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*10/*10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CT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*10/*10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TT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*10/*10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  <w:t>ND*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*4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PM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GA</w:t>
            </w: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CC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*14/*10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0.5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CT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*14/*10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0.5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TT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*14/*10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0.5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AA</w:t>
            </w: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CC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*14/*14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PM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CT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*14/*14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PM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TT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*14/*14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PM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CT</w:t>
            </w: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GG</w:t>
            </w: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CC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*10/*1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1.5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EM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CT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*10/*2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1.5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EM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TT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*10/*2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1.5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EM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GA</w:t>
            </w: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CC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CT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TT</w:t>
            </w:r>
          </w:p>
        </w:tc>
        <w:tc>
          <w:tcPr>
            <w:tcW w:w="923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</w:t>
            </w:r>
          </w:p>
        </w:tc>
        <w:tc>
          <w:tcPr>
            <w:tcW w:w="1127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1</w:t>
            </w:r>
          </w:p>
        </w:tc>
        <w:tc>
          <w:tcPr>
            <w:tcW w:w="932" w:type="pct"/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IM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AA</w:t>
            </w: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CC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*14/*14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PM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CT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*14/*14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PM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71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685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TT</w:t>
            </w:r>
          </w:p>
        </w:tc>
        <w:tc>
          <w:tcPr>
            <w:tcW w:w="923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*14/*14</w:t>
            </w:r>
          </w:p>
        </w:tc>
        <w:tc>
          <w:tcPr>
            <w:tcW w:w="1127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0</w:t>
            </w:r>
          </w:p>
        </w:tc>
        <w:tc>
          <w:tcPr>
            <w:tcW w:w="932" w:type="pct"/>
            <w:shd w:val="clear" w:color="auto" w:fill="EDEDED" w:themeFill="accent3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PM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612" w:type="pct"/>
            <w:tcBorders>
              <w:bottom w:val="single" w:color="auto" w:sz="4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ND*</w:t>
            </w:r>
          </w:p>
        </w:tc>
        <w:tc>
          <w:tcPr>
            <w:tcW w:w="717" w:type="pct"/>
            <w:tcBorders>
              <w:bottom w:val="single" w:color="auto" w:sz="4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ND</w:t>
            </w:r>
          </w:p>
        </w:tc>
        <w:tc>
          <w:tcPr>
            <w:tcW w:w="685" w:type="pct"/>
            <w:tcBorders>
              <w:bottom w:val="single" w:color="auto" w:sz="4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ND</w:t>
            </w:r>
          </w:p>
        </w:tc>
        <w:tc>
          <w:tcPr>
            <w:tcW w:w="923" w:type="pct"/>
            <w:tcBorders>
              <w:bottom w:val="single" w:color="auto" w:sz="4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*5</w:t>
            </w:r>
          </w:p>
        </w:tc>
        <w:tc>
          <w:tcPr>
            <w:tcW w:w="1127" w:type="pct"/>
            <w:tcBorders>
              <w:bottom w:val="single" w:color="auto" w:sz="4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</w:p>
        </w:tc>
        <w:tc>
          <w:tcPr>
            <w:tcW w:w="932" w:type="pct"/>
            <w:tcBorders>
              <w:bottom w:val="single" w:color="auto" w:sz="4" w:space="0"/>
            </w:tcBorders>
            <w:shd w:val="clear" w:color="auto" w:fill="DEEBF6" w:themeFill="accent1" w:themeFillTint="32"/>
            <w:vAlign w:val="center"/>
          </w:tcPr>
          <w:p>
            <w:pPr>
              <w:spacing w:line="360" w:lineRule="exact"/>
              <w:jc w:val="center"/>
              <w:rPr>
                <w:rFonts w:ascii="Calibri" w:hAnsi="Calibri" w:eastAsia="宋体" w:cs="Calibri"/>
                <w:kern w:val="0"/>
                <w:sz w:val="18"/>
                <w:szCs w:val="18"/>
              </w:rPr>
            </w:pPr>
            <w:r>
              <w:rPr>
                <w:rFonts w:ascii="Calibri" w:hAnsi="Calibri" w:eastAsia="宋体" w:cs="Calibri"/>
                <w:kern w:val="0"/>
                <w:sz w:val="18"/>
                <w:szCs w:val="18"/>
              </w:rPr>
              <w:t>PM</w:t>
            </w:r>
          </w:p>
        </w:tc>
      </w:tr>
    </w:tbl>
    <w:p>
      <w:pPr>
        <w:spacing w:before="156" w:beforeLines="50" w:line="320" w:lineRule="exac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b/>
          <w:bCs/>
          <w:kern w:val="0"/>
          <w:sz w:val="18"/>
          <w:szCs w:val="18"/>
        </w:rPr>
        <w:t xml:space="preserve">*, </w:t>
      </w:r>
      <w:r>
        <w:rPr>
          <w:rFonts w:ascii="Calibri" w:hAnsi="Calibri" w:cs="Calibri"/>
          <w:sz w:val="18"/>
          <w:szCs w:val="18"/>
        </w:rPr>
        <w:t xml:space="preserve">ND denotes no result was detected, indicating a missing locus. </w:t>
      </w:r>
    </w:p>
    <w:p>
      <w:pPr>
        <w:spacing w:line="320" w:lineRule="exac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i/>
          <w:iCs/>
          <w:sz w:val="18"/>
          <w:szCs w:val="18"/>
        </w:rPr>
        <w:t>Abbreviations</w:t>
      </w:r>
      <w:r>
        <w:rPr>
          <w:rFonts w:ascii="Calibri" w:hAnsi="Calibri" w:cs="Calibri"/>
          <w:sz w:val="18"/>
          <w:szCs w:val="18"/>
        </w:rPr>
        <w:t xml:space="preserve">: EM, Extensive metabolizers; IM, Intermediate metabolizers; PM, Poor metabolizers. </w:t>
      </w:r>
    </w:p>
    <w:p>
      <w:pPr>
        <w:jc w:val="both"/>
        <w:rPr>
          <w:rFonts w:hint="eastAsia"/>
          <w:color w:val="0070C0"/>
          <w:sz w:val="24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sz w:val="24"/>
        </w:rPr>
      </w:pPr>
      <w:r>
        <w:rPr>
          <w:rFonts w:hint="eastAsia"/>
          <w:color w:val="0070C0"/>
          <w:sz w:val="24"/>
        </w:rPr>
        <w:t xml:space="preserve">Supplemental Table </w:t>
      </w:r>
      <w:r>
        <w:rPr>
          <w:rFonts w:hint="eastAsia"/>
          <w:color w:val="0070C0"/>
          <w:sz w:val="24"/>
          <w:lang w:val="en-US" w:eastAsia="zh-CN"/>
        </w:rPr>
        <w:t>2</w:t>
      </w:r>
      <w:r>
        <w:rPr>
          <w:rFonts w:hint="eastAsia"/>
          <w:sz w:val="24"/>
        </w:rPr>
        <w:t xml:space="preserve"> Clinical efficacy of atomoxetine under different dosing regimens in two age categories (N* = </w:t>
      </w:r>
      <w:r>
        <w:rPr>
          <w:rFonts w:hint="eastAsia"/>
          <w:sz w:val="24"/>
          <w:lang w:val="en-US" w:eastAsia="zh-CN"/>
        </w:rPr>
        <w:t>336</w:t>
      </w:r>
      <w:r>
        <w:rPr>
          <w:rFonts w:hint="eastAsia"/>
          <w:sz w:val="24"/>
        </w:rPr>
        <w:t>).</w:t>
      </w:r>
    </w:p>
    <w:tbl>
      <w:tblPr>
        <w:tblStyle w:val="6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0"/>
        <w:gridCol w:w="3164"/>
        <w:gridCol w:w="5672"/>
        <w:gridCol w:w="30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01" w:type="pct"/>
            <w:shd w:val="clear" w:color="auto" w:fill="2F5496" w:themeFill="accent5" w:themeFillShade="BF"/>
            <w:vAlign w:val="center"/>
          </w:tcPr>
          <w:p>
            <w:pPr>
              <w:spacing w:before="31" w:beforeLines="10" w:after="31" w:afterLines="10"/>
              <w:jc w:val="left"/>
              <w:rPr>
                <w:rFonts w:hint="default" w:ascii="Calibri" w:hAnsi="Calibri" w:eastAsia="宋体" w:cs="Calibri"/>
                <w:b w:val="0"/>
                <w:bCs/>
                <w:color w:val="FFFFFF" w:themeColor="background1"/>
                <w:kern w:val="0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bCs w:val="0"/>
                <w:color w:val="FFFFFF" w:themeColor="background1"/>
                <w:kern w:val="0"/>
                <w:sz w:val="24"/>
                <w14:textFill>
                  <w14:solidFill>
                    <w14:schemeClr w14:val="bg1"/>
                  </w14:solidFill>
                </w14:textFill>
              </w:rPr>
              <w:t>Dosing Regimen</w:t>
            </w:r>
          </w:p>
        </w:tc>
        <w:tc>
          <w:tcPr>
            <w:tcW w:w="1116" w:type="pct"/>
            <w:shd w:val="clear" w:color="auto" w:fill="2F5496" w:themeFill="accent5" w:themeFillShade="BF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b w:val="0"/>
                <w:bCs w:val="0"/>
                <w:color w:val="FFFFFF" w:themeColor="background1"/>
                <w:kern w:val="0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FFFFFF" w:themeColor="background1"/>
                <w:kern w:val="0"/>
                <w:sz w:val="24"/>
                <w14:textFill>
                  <w14:solidFill>
                    <w14:schemeClr w14:val="bg1"/>
                  </w14:solidFill>
                </w14:textFill>
              </w:rPr>
              <w:t>Age</w:t>
            </w:r>
          </w:p>
        </w:tc>
        <w:tc>
          <w:tcPr>
            <w:tcW w:w="2001" w:type="pct"/>
            <w:shd w:val="clear" w:color="auto" w:fill="2F5496" w:themeFill="accent5" w:themeFillShade="BF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b w:val="0"/>
                <w:bCs w:val="0"/>
                <w:color w:val="FFFFFF" w:themeColor="background1"/>
                <w:kern w:val="0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bCs w:val="0"/>
                <w:color w:val="FFFFFF" w:themeColor="background1"/>
                <w:kern w:val="0"/>
                <w:sz w:val="24"/>
                <w14:textFill>
                  <w14:solidFill>
                    <w14:schemeClr w14:val="bg1"/>
                  </w14:solidFill>
                </w14:textFill>
              </w:rPr>
              <w:t>Good/Poor Efficiency（N，%）</w:t>
            </w:r>
          </w:p>
        </w:tc>
        <w:tc>
          <w:tcPr>
            <w:tcW w:w="1080" w:type="pct"/>
            <w:shd w:val="clear" w:color="auto" w:fill="2F5496" w:themeFill="accent5" w:themeFillShade="BF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b w:val="0"/>
                <w:bCs w:val="0"/>
                <w:color w:val="FFFFFF" w:themeColor="background1"/>
                <w:kern w:val="0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Calibri" w:hAnsi="Calibri" w:eastAsia="宋体" w:cs="Calibri"/>
                <w:b/>
                <w:bCs/>
                <w:color w:val="FFFFFF" w:themeColor="background1"/>
                <w:kern w:val="0"/>
                <w:sz w:val="24"/>
                <w14:textFill>
                  <w14:solidFill>
                    <w14:schemeClr w14:val="bg1"/>
                  </w14:solidFill>
                </w14:textFill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01" w:type="pct"/>
            <w:shd w:val="clear" w:color="auto" w:fill="F1F1F1" w:themeFill="background1" w:themeFillShade="F2"/>
            <w:vAlign w:val="center"/>
          </w:tcPr>
          <w:p>
            <w:pPr>
              <w:spacing w:before="31" w:beforeLines="10" w:after="31" w:afterLines="10"/>
              <w:jc w:val="left"/>
              <w:rPr>
                <w:rFonts w:hint="default" w:ascii="Calibri" w:hAnsi="Calibri" w:eastAsia="宋体" w:cs="Calibri"/>
                <w:b/>
                <w:bCs w:val="0"/>
                <w:i/>
                <w:iCs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i/>
                <w:iCs/>
                <w:kern w:val="0"/>
                <w:sz w:val="24"/>
              </w:rPr>
              <w:t>q.m.</w:t>
            </w:r>
          </w:p>
        </w:tc>
        <w:tc>
          <w:tcPr>
            <w:tcW w:w="1116" w:type="pct"/>
            <w:shd w:val="clear" w:color="auto" w:fill="F1F1F1" w:themeFill="background1" w:themeFillShade="F2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Calibri" w:hAnsi="Calibri" w:eastAsia="宋体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chool-age</w:t>
            </w:r>
          </w:p>
        </w:tc>
        <w:tc>
          <w:tcPr>
            <w:tcW w:w="2001" w:type="pct"/>
            <w:shd w:val="clear" w:color="auto" w:fill="F1F1F1" w:themeFill="background1" w:themeFillShade="F2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4"/>
              </w:rPr>
              <w:t>207 (86.25)/33 (13.75)</w:t>
            </w:r>
          </w:p>
        </w:tc>
        <w:tc>
          <w:tcPr>
            <w:tcW w:w="1080" w:type="pct"/>
            <w:vMerge w:val="restart"/>
            <w:shd w:val="clear" w:color="auto" w:fill="auto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4"/>
              </w:rPr>
              <w:t>0.701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01" w:type="pct"/>
            <w:vAlign w:val="center"/>
          </w:tcPr>
          <w:p>
            <w:pPr>
              <w:spacing w:before="31" w:beforeLines="10" w:after="31" w:afterLines="10"/>
              <w:jc w:val="left"/>
              <w:rPr>
                <w:rFonts w:hint="default" w:ascii="Calibri" w:hAnsi="Calibri" w:eastAsia="宋体" w:cs="Calibri"/>
                <w:b/>
                <w:bCs w:val="0"/>
                <w:i/>
                <w:iCs/>
                <w:kern w:val="0"/>
                <w:sz w:val="24"/>
              </w:rPr>
            </w:pPr>
          </w:p>
        </w:tc>
        <w:tc>
          <w:tcPr>
            <w:tcW w:w="1116" w:type="pct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Calibri" w:hAnsi="Calibri" w:eastAsia="宋体" w:cs="Calibri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Calibri" w:hAnsi="Calibri" w:eastAsia="宋体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dolescence</w:t>
            </w:r>
          </w:p>
        </w:tc>
        <w:tc>
          <w:tcPr>
            <w:tcW w:w="2001" w:type="pct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4"/>
              </w:rPr>
              <w:t>13 (92.86)/1 (7.14)</w:t>
            </w:r>
          </w:p>
        </w:tc>
        <w:tc>
          <w:tcPr>
            <w:tcW w:w="1080" w:type="pct"/>
            <w:vMerge w:val="continue"/>
            <w:shd w:val="clear" w:color="auto" w:fill="auto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01" w:type="pct"/>
            <w:shd w:val="clear" w:color="auto" w:fill="F1F1F1" w:themeFill="background1" w:themeFillShade="F2"/>
            <w:vAlign w:val="center"/>
          </w:tcPr>
          <w:p>
            <w:pPr>
              <w:spacing w:before="31" w:beforeLines="10" w:after="31" w:afterLines="10"/>
              <w:jc w:val="left"/>
              <w:rPr>
                <w:rFonts w:hint="default" w:ascii="Calibri" w:hAnsi="Calibri" w:eastAsia="宋体" w:cs="Calibri"/>
                <w:b/>
                <w:bCs w:val="0"/>
                <w:i/>
                <w:iCs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i/>
                <w:iCs/>
                <w:kern w:val="0"/>
                <w:sz w:val="24"/>
              </w:rPr>
              <w:t>b.i.d.</w:t>
            </w:r>
          </w:p>
        </w:tc>
        <w:tc>
          <w:tcPr>
            <w:tcW w:w="1902" w:type="dxa"/>
            <w:shd w:val="clear" w:color="auto" w:fill="F1F1F1" w:themeFill="background1" w:themeFillShade="F2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Calibri" w:hAnsi="Calibri" w:eastAsia="宋体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chool-age</w:t>
            </w:r>
          </w:p>
        </w:tc>
        <w:tc>
          <w:tcPr>
            <w:tcW w:w="2001" w:type="pct"/>
            <w:shd w:val="clear" w:color="auto" w:fill="F1F1F1" w:themeFill="background1" w:themeFillShade="F2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4"/>
              </w:rPr>
              <w:t>38 (88.37)/5 (11.63)</w:t>
            </w:r>
          </w:p>
        </w:tc>
        <w:tc>
          <w:tcPr>
            <w:tcW w:w="1080" w:type="pct"/>
            <w:vMerge w:val="restart"/>
            <w:shd w:val="clear" w:color="auto" w:fill="F1F1F1" w:themeFill="background1" w:themeFillShade="F2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b w:val="0"/>
                <w:bCs w:val="0"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kern w:val="0"/>
                <w:sz w:val="24"/>
              </w:rPr>
              <w:t>&gt;0.999</w:t>
            </w:r>
            <w:r>
              <w:rPr>
                <w:rFonts w:hint="eastAsia" w:ascii="Calibri" w:hAnsi="Calibri" w:eastAsia="宋体" w:cs="Calibri"/>
                <w:b w:val="0"/>
                <w:bCs w:val="0"/>
                <w:kern w:val="0"/>
                <w:sz w:val="24"/>
                <w:lang w:val="en-US" w:eastAsia="zh-CN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01" w:type="pct"/>
            <w:vAlign w:val="center"/>
          </w:tcPr>
          <w:p>
            <w:pPr>
              <w:spacing w:before="31" w:beforeLines="10" w:after="31" w:afterLines="10"/>
              <w:jc w:val="left"/>
              <w:rPr>
                <w:rFonts w:hint="default" w:ascii="Calibri" w:hAnsi="Calibri" w:eastAsia="宋体" w:cs="Calibri"/>
                <w:b/>
                <w:bCs w:val="0"/>
                <w:i/>
                <w:iCs/>
                <w:kern w:val="0"/>
                <w:sz w:val="24"/>
              </w:rPr>
            </w:pPr>
          </w:p>
        </w:tc>
        <w:tc>
          <w:tcPr>
            <w:tcW w:w="1902" w:type="dxa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Calibri" w:hAnsi="Calibri" w:eastAsia="宋体" w:cs="Calibri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Calibri" w:hAnsi="Calibri" w:eastAsia="宋体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dolescence</w:t>
            </w:r>
          </w:p>
        </w:tc>
        <w:tc>
          <w:tcPr>
            <w:tcW w:w="2001" w:type="pct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4"/>
              </w:rPr>
              <w:t>3/0</w:t>
            </w:r>
          </w:p>
        </w:tc>
        <w:tc>
          <w:tcPr>
            <w:tcW w:w="1080" w:type="pct"/>
            <w:vMerge w:val="continue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01" w:type="pct"/>
            <w:shd w:val="clear" w:color="auto" w:fill="F1F1F1" w:themeFill="background1" w:themeFillShade="F2"/>
            <w:vAlign w:val="center"/>
          </w:tcPr>
          <w:p>
            <w:pPr>
              <w:spacing w:before="31" w:beforeLines="10" w:after="31" w:afterLines="10"/>
              <w:jc w:val="left"/>
              <w:rPr>
                <w:rFonts w:hint="default" w:ascii="Calibri" w:hAnsi="Calibri" w:eastAsia="宋体" w:cs="Calibri"/>
                <w:b/>
                <w:bCs w:val="0"/>
                <w:i/>
                <w:iCs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b/>
                <w:bCs w:val="0"/>
                <w:i/>
                <w:iCs/>
                <w:kern w:val="0"/>
                <w:sz w:val="24"/>
              </w:rPr>
              <w:t>q.n.</w:t>
            </w:r>
          </w:p>
        </w:tc>
        <w:tc>
          <w:tcPr>
            <w:tcW w:w="1902" w:type="dxa"/>
            <w:shd w:val="clear" w:color="auto" w:fill="F1F1F1" w:themeFill="background1" w:themeFillShade="F2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eastAsia" w:ascii="Calibri" w:hAnsi="Calibri" w:eastAsia="宋体" w:cs="Calibri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Calibri" w:hAnsi="Calibri" w:eastAsia="宋体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chool-age</w:t>
            </w:r>
          </w:p>
        </w:tc>
        <w:tc>
          <w:tcPr>
            <w:tcW w:w="2001" w:type="pct"/>
            <w:shd w:val="clear" w:color="auto" w:fill="F1F1F1" w:themeFill="background1" w:themeFillShade="F2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4"/>
              </w:rPr>
              <w:t>26 (74.29)/9 (25.71)</w:t>
            </w:r>
          </w:p>
        </w:tc>
        <w:tc>
          <w:tcPr>
            <w:tcW w:w="1080" w:type="pct"/>
            <w:vMerge w:val="restart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eastAsia" w:ascii="Calibri" w:hAnsi="Calibri" w:eastAsia="宋体" w:cs="Calibri"/>
                <w:kern w:val="0"/>
                <w:sz w:val="24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kern w:val="0"/>
                <w:sz w:val="24"/>
              </w:rPr>
              <w:t>&gt;0.999</w:t>
            </w:r>
            <w:r>
              <w:rPr>
                <w:rFonts w:hint="eastAsia" w:ascii="Calibri" w:hAnsi="Calibri" w:eastAsia="宋体" w:cs="Calibri"/>
                <w:kern w:val="0"/>
                <w:sz w:val="24"/>
                <w:lang w:val="en-US" w:eastAsia="zh-CN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01" w:type="pct"/>
            <w:tcBorders>
              <w:bottom w:val="single" w:color="auto" w:sz="4" w:space="0"/>
            </w:tcBorders>
            <w:vAlign w:val="center"/>
          </w:tcPr>
          <w:p>
            <w:pPr>
              <w:spacing w:before="31" w:beforeLines="10" w:after="31" w:afterLines="10"/>
              <w:jc w:val="left"/>
              <w:rPr>
                <w:rFonts w:hint="default" w:ascii="Calibri" w:hAnsi="Calibri" w:eastAsia="宋体" w:cs="Calibri"/>
                <w:b w:val="0"/>
                <w:bCs/>
                <w:kern w:val="0"/>
                <w:sz w:val="24"/>
              </w:rPr>
            </w:pPr>
          </w:p>
        </w:tc>
        <w:tc>
          <w:tcPr>
            <w:tcW w:w="1902" w:type="dxa"/>
            <w:tcBorders>
              <w:bottom w:val="single" w:color="auto" w:sz="4" w:space="0"/>
            </w:tcBorders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Calibri" w:hAnsi="Calibri" w:eastAsia="宋体" w:cs="Calibri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Calibri" w:hAnsi="Calibri" w:eastAsia="宋体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dolescence</w:t>
            </w:r>
          </w:p>
        </w:tc>
        <w:tc>
          <w:tcPr>
            <w:tcW w:w="2001" w:type="pct"/>
            <w:tcBorders>
              <w:bottom w:val="single" w:color="auto" w:sz="4" w:space="0"/>
            </w:tcBorders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  <w:r>
              <w:rPr>
                <w:rFonts w:hint="default" w:ascii="Calibri" w:hAnsi="Calibri" w:eastAsia="宋体" w:cs="Calibri"/>
                <w:kern w:val="0"/>
                <w:sz w:val="24"/>
              </w:rPr>
              <w:t>1/0</w:t>
            </w:r>
          </w:p>
        </w:tc>
        <w:tc>
          <w:tcPr>
            <w:tcW w:w="1080" w:type="pct"/>
            <w:vMerge w:val="continue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before="31" w:beforeLines="10" w:after="31" w:afterLines="10"/>
              <w:jc w:val="center"/>
              <w:rPr>
                <w:rFonts w:hint="default" w:ascii="Calibri" w:hAnsi="Calibri" w:eastAsia="宋体" w:cs="Calibri"/>
                <w:kern w:val="0"/>
                <w:sz w:val="24"/>
              </w:rPr>
            </w:pPr>
          </w:p>
        </w:tc>
      </w:tr>
    </w:tbl>
    <w:p>
      <w:pPr>
        <w:spacing w:before="120" w:line="320" w:lineRule="exact"/>
        <w:rPr>
          <w:sz w:val="20"/>
          <w:szCs w:val="20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sz w:val="20"/>
          <w:szCs w:val="20"/>
        </w:rPr>
        <w:t xml:space="preserve">N values referred to corresponding number of concentration values. </w:t>
      </w:r>
    </w:p>
    <w:p>
      <w:pPr>
        <w:widowControl/>
        <w:spacing w:before="120" w:line="320" w:lineRule="exact"/>
        <w:jc w:val="left"/>
        <w:rPr>
          <w:rFonts w:ascii="Calibri" w:hAnsi="Calibri" w:eastAsia="宋体" w:cs="Calibri"/>
          <w:szCs w:val="21"/>
        </w:rPr>
      </w:pPr>
      <w:r>
        <w:rPr>
          <w:rFonts w:hint="eastAsia" w:asciiTheme="minorHAnsi" w:hAnsiTheme="minorHAnsi" w:eastAsiaTheme="minorEastAsia" w:cstheme="minorBidi"/>
          <w:color w:val="0070C0"/>
          <w:sz w:val="21"/>
          <w:szCs w:val="21"/>
        </w:rPr>
        <w:t>Supplemental Table</w:t>
      </w:r>
      <w:r>
        <w:rPr>
          <w:rFonts w:hint="eastAsia" w:asciiTheme="minorHAnsi" w:hAnsiTheme="minorHAnsi" w:eastAsiaTheme="minorEastAsia" w:cstheme="minorBidi"/>
          <w:color w:val="0070C0"/>
          <w:sz w:val="21"/>
          <w:szCs w:val="21"/>
          <w:lang w:val="en-US" w:eastAsia="zh-CN"/>
        </w:rPr>
        <w:t xml:space="preserve"> 3</w:t>
      </w:r>
      <w:r>
        <w:rPr>
          <w:rFonts w:hint="eastAsia" w:ascii="Calibri" w:hAnsi="Calibri" w:eastAsia="宋体" w:cs="Calibri"/>
          <w:szCs w:val="21"/>
        </w:rPr>
        <w:t xml:space="preserve"> IVA-CPT scores between atomoxetine responders and non-responders during different follow-up periods</w:t>
      </w:r>
    </w:p>
    <w:tbl>
      <w:tblPr>
        <w:tblStyle w:val="3"/>
        <w:tblpPr w:leftFromText="180" w:rightFromText="180" w:vertAnchor="text" w:horzAnchor="page" w:tblpX="601" w:tblpY="232"/>
        <w:tblOverlap w:val="never"/>
        <w:tblW w:w="1587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875"/>
        <w:gridCol w:w="1100"/>
        <w:gridCol w:w="1362"/>
        <w:gridCol w:w="850"/>
        <w:gridCol w:w="1350"/>
        <w:gridCol w:w="1300"/>
        <w:gridCol w:w="850"/>
        <w:gridCol w:w="1125"/>
        <w:gridCol w:w="1350"/>
        <w:gridCol w:w="750"/>
        <w:gridCol w:w="1350"/>
        <w:gridCol w:w="1363"/>
        <w:gridCol w:w="7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52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Items</w:t>
            </w:r>
          </w:p>
        </w:tc>
        <w:tc>
          <w:tcPr>
            <w:tcW w:w="8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1E5093"/>
            <w:noWrap/>
            <w:vAlign w:val="bottom"/>
          </w:tcPr>
          <w:p>
            <w:pPr>
              <w:rPr>
                <w:rFonts w:ascii="Calibri" w:hAnsi="Calibri" w:eastAsia="等线" w:cs="Calibri"/>
                <w:color w:val="FFFFFF"/>
                <w:sz w:val="16"/>
                <w:szCs w:val="16"/>
              </w:rPr>
            </w:pPr>
          </w:p>
        </w:tc>
        <w:tc>
          <w:tcPr>
            <w:tcW w:w="331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3-month</w:t>
            </w:r>
          </w:p>
        </w:tc>
        <w:tc>
          <w:tcPr>
            <w:tcW w:w="35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6-month</w:t>
            </w:r>
          </w:p>
        </w:tc>
        <w:tc>
          <w:tcPr>
            <w:tcW w:w="322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9 - 12 months</w:t>
            </w:r>
          </w:p>
        </w:tc>
        <w:tc>
          <w:tcPr>
            <w:tcW w:w="343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≥15 months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52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center"/>
          </w:tcPr>
          <w:p>
            <w:pPr>
              <w:jc w:val="left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noWrap/>
            <w:vAlign w:val="bottom"/>
          </w:tcPr>
          <w:p>
            <w:pPr>
              <w:rPr>
                <w:rFonts w:ascii="Calibri" w:hAnsi="Calibri" w:eastAsia="等线" w:cs="Calibri"/>
                <w:color w:val="FFFFFF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Responders 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Non-responders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i/>
                <w:iCs/>
                <w:color w:val="FFFFFF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value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Responders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Non-responders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i/>
                <w:iCs/>
                <w:color w:val="FFFFFF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value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Responders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Non-responders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i/>
                <w:iCs/>
                <w:color w:val="FFFFFF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value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Responders 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Non-responders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1E5093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i/>
                <w:iCs/>
                <w:color w:val="FFFFFF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52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center"/>
          </w:tcPr>
          <w:p>
            <w:pPr>
              <w:jc w:val="left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bottom"/>
          </w:tcPr>
          <w:p>
            <w:pPr>
              <w:rPr>
                <w:rFonts w:ascii="Calibri" w:hAnsi="Calibri" w:eastAsia="等线" w:cs="Calibri"/>
                <w:color w:val="FFFFFF"/>
                <w:sz w:val="16"/>
                <w:szCs w:val="16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(</w:t>
            </w:r>
            <w:r>
              <w:rPr>
                <w:rFonts w:hint="eastAsia"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= 109)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(</w:t>
            </w:r>
            <w:r>
              <w:rPr>
                <w:rFonts w:hint="eastAsia"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= 26)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center"/>
          </w:tcPr>
          <w:p>
            <w:pPr>
              <w:jc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(</w:t>
            </w:r>
            <w:r>
              <w:rPr>
                <w:rFonts w:hint="eastAsia"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= 64)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(</w:t>
            </w:r>
            <w:r>
              <w:rPr>
                <w:rFonts w:hint="eastAsia"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= 10)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center"/>
          </w:tcPr>
          <w:p>
            <w:pPr>
              <w:jc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(</w:t>
            </w:r>
            <w:r>
              <w:rPr>
                <w:rFonts w:hint="eastAsia"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= 72)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(</w:t>
            </w:r>
            <w:r>
              <w:rPr>
                <w:rFonts w:hint="eastAsia"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= 9)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center"/>
          </w:tcPr>
          <w:p>
            <w:pPr>
              <w:jc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(</w:t>
            </w:r>
            <w:r>
              <w:rPr>
                <w:rFonts w:hint="eastAsia"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= 44)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vAlign w:val="center"/>
          </w:tcPr>
          <w:p>
            <w:pPr>
              <w:widowControl/>
              <w:jc w:val="center"/>
              <w:textAlignment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(</w:t>
            </w:r>
            <w:r>
              <w:rPr>
                <w:rFonts w:hint="eastAsia"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>N</w:t>
            </w:r>
            <w:r>
              <w:rPr>
                <w:rFonts w:ascii="Calibri" w:hAnsi="Calibri" w:eastAsia="等线" w:cs="Calibri"/>
                <w:b/>
                <w:bCs/>
                <w:color w:val="FFFFFF"/>
                <w:kern w:val="0"/>
                <w:sz w:val="16"/>
                <w:szCs w:val="16"/>
                <w:lang w:bidi="ar"/>
              </w:rPr>
              <w:t xml:space="preserve"> = 3)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1E5093"/>
            <w:noWrap/>
            <w:vAlign w:val="center"/>
          </w:tcPr>
          <w:p>
            <w:pPr>
              <w:jc w:val="center"/>
              <w:rPr>
                <w:rFonts w:ascii="Calibri" w:hAnsi="Calibri" w:eastAsia="等线" w:cs="Calibri"/>
                <w:b/>
                <w:bCs/>
                <w:color w:val="FFFFFF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Auditory response control quotient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Baseline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83 (68-94)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83 (70-93)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0.955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86 (73-94)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75 (61-87)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0.244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83 (70-94)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84 (78-106)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0.332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83 (71-89)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jc w:val="left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Outcome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94 (83-104)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80 (57-92)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0.001*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94 (83-103)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66 (61-71)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98 (88-107)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78 (66-93)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0.003*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101 (88-111)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82 (75-89)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0.112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i/>
                <w:iCs/>
                <w:color w:val="000000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value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0.609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0.006*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0.204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0.281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Visual response control quotient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Baseline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84 (64.5-95)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82 (70-104)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0.582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83 (72.5-93.5)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73 (53.5-77.5)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0.051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85 (66-95)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92 (81-98)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84 (67.5-90.5)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106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jc w:val="left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Outcome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92 (77-101)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72 (60-91)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88 (77-101)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55 (53-74)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93 (83-102)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83 (72-105)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0.519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93 (86-105)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75 (60-90)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0.135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i/>
                <w:iCs/>
                <w:color w:val="000000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value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0.088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0.599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0.001*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0.716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Full scale response control quotient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Baseline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82 (66-93)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79 (65-92)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0.776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82 (66-91)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65 (55-78)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0.042*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81 (66-93.75)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88 (76.5-100)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0.259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79 (73-90)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84 (50-99)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0.825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jc w:val="left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Outcome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91 (79-101)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76 (52-85)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90 (78-100)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56 (52-66)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95 (84-104)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78 (67-88)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0.011*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99 (86-108)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62 (58-62)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0.003*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i/>
                <w:iCs/>
                <w:color w:val="000000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value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0.306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0.003*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0.271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0.001*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0.231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Auditory attention quotient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Baseline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80 (63-91)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73 (66-79)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0.115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79 (61.75-90.5)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82 (55-94.5)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0.974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86 (70-97)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61 (57-80)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0.017*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81 (71.5-95)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jc w:val="left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Outcome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95 (74-102)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71 (51-76)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92 (78-101)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62 (46-78)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0.004*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99 (86-109)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78 (53-100)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0.023*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104 (88-112)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85 (83-86) 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0.137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i/>
                <w:iCs/>
                <w:color w:val="000000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value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0.342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0.354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0.351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Visual attention quotient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Baseline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77 (55-88)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68 (54-85)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0.398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77 (61.75-91.25)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69 (41.5-76.5)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0.231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75 (65-91)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69 (62-84)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0.594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75 (59.5-84.5)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jc w:val="left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Outcome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89 (76-100)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63 (53-82)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90 (82-98)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68 (59-79)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97 (85-109)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71 (60-99)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0.008*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98 (86-110)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78 (76-78)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0.104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i/>
                <w:iCs/>
                <w:color w:val="000000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value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0.554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0.867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0.516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widowControl/>
              <w:jc w:val="left"/>
              <w:textAlignment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Full scale attention quotient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Baseline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77 (53-86)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70 (51-79)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73 (56-86)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69 (53-82)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0.577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79 (63.25-87)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76 (58-96)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0.891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76 (57-84)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41 (40-47)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0.015*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2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jc w:val="left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left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Outcome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90 (72-100)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58 (40-77)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90 (77-98)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62 (49-78)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95.5 (85-108)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65 (60-97)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0.007*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97.5 (89-108.8)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78 (54-78)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0.013*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5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i/>
                <w:iCs/>
                <w:color w:val="000000"/>
                <w:kern w:val="0"/>
                <w:sz w:val="16"/>
                <w:szCs w:val="16"/>
                <w:lang w:bidi="ar"/>
              </w:rPr>
              <w:t>P</w:t>
            </w: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 xml:space="preserve"> value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0.208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0.591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&gt;0.999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&lt;0.001**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widowControl/>
              <w:jc w:val="center"/>
              <w:textAlignment w:val="bottom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eastAsia="等线" w:cs="Calibri"/>
                <w:color w:val="000000"/>
                <w:kern w:val="0"/>
                <w:sz w:val="16"/>
                <w:szCs w:val="16"/>
                <w:lang w:bidi="ar"/>
              </w:rPr>
              <w:t>0.1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DDEBF7"/>
            <w:noWrap/>
            <w:vAlign w:val="bottom"/>
          </w:tcPr>
          <w:p>
            <w:pPr>
              <w:jc w:val="center"/>
              <w:rPr>
                <w:rFonts w:ascii="Calibri" w:hAnsi="Calibri" w:eastAsia="等线" w:cs="Calibri"/>
                <w:color w:val="000000"/>
                <w:sz w:val="16"/>
                <w:szCs w:val="16"/>
              </w:rPr>
            </w:pPr>
          </w:p>
        </w:tc>
      </w:tr>
    </w:tbl>
    <w:p>
      <w:pPr>
        <w:rPr>
          <w:rFonts w:hint="eastAsia"/>
        </w:rPr>
      </w:pPr>
      <w:r>
        <w:rPr>
          <w:rFonts w:ascii="Calibri" w:hAnsi="Calibri" w:eastAsia="宋体" w:cs="Calibri"/>
          <w:sz w:val="16"/>
          <w:szCs w:val="16"/>
        </w:rPr>
        <w:t>Statistically significant in analysis of covariance **P &lt;0.001, *P &lt;0.05</w:t>
      </w:r>
      <w:r>
        <w:rPr>
          <w:rFonts w:hint="eastAsia" w:ascii="Calibri" w:hAnsi="Calibri" w:eastAsia="宋体" w:cs="Calibri"/>
          <w:sz w:val="16"/>
          <w:szCs w:val="16"/>
        </w:rPr>
        <w:t xml:space="preserve">. </w:t>
      </w:r>
      <w:r>
        <w:rPr>
          <w:rFonts w:ascii="Calibri" w:hAnsi="Calibri" w:eastAsia="宋体" w:cs="Calibri"/>
          <w:sz w:val="16"/>
          <w:szCs w:val="16"/>
        </w:rPr>
        <w:t>N values referred to corresponding number of concentration values. Bold values represent statistically significant differences</w:t>
      </w:r>
    </w:p>
    <w:p>
      <w:pPr>
        <w:spacing w:before="0"/>
        <w:rPr>
          <w:rFonts w:hint="default" w:ascii="Calibri" w:hAnsi="Calibri" w:eastAsia="宋体" w:cs="Calibri"/>
          <w:sz w:val="21"/>
          <w:szCs w:val="21"/>
          <w:lang w:val="en-US" w:eastAsia="zh-CN"/>
        </w:rPr>
      </w:pPr>
      <w:r>
        <w:rPr>
          <w:rFonts w:hint="eastAsia" w:ascii="Calibri" w:hAnsi="Calibri" w:eastAsia="宋体" w:cs="Calibri"/>
          <w:color w:val="0070C0"/>
          <w:sz w:val="21"/>
          <w:szCs w:val="21"/>
        </w:rPr>
        <w:t>Supplemental</w:t>
      </w:r>
      <w:r>
        <w:rPr>
          <w:rFonts w:hint="eastAsia" w:ascii="Calibri" w:hAnsi="Calibri" w:eastAsia="宋体" w:cs="Calibri"/>
          <w:color w:val="0070C0"/>
          <w:sz w:val="21"/>
          <w:szCs w:val="21"/>
          <w:lang w:val="en-US" w:eastAsia="zh-CN"/>
        </w:rPr>
        <w:t xml:space="preserve"> Figure 1</w:t>
      </w:r>
      <w:r>
        <w:rPr>
          <w:rFonts w:hint="eastAsia" w:ascii="Calibri" w:hAnsi="Calibri" w:eastAsia="宋体" w:cs="Calibri"/>
          <w:sz w:val="21"/>
          <w:szCs w:val="21"/>
          <w:lang w:val="en-US" w:eastAsia="zh-CN"/>
        </w:rPr>
        <w:t xml:space="preserve"> </w:t>
      </w:r>
      <w:r>
        <w:rPr>
          <w:rFonts w:hint="eastAsia" w:ascii="Calibri" w:hAnsi="Calibri" w:eastAsia="宋体" w:cs="Calibri"/>
          <w:szCs w:val="21"/>
        </w:rPr>
        <w:t>The concentration differences among different CYP2D6 phenotypes under the three dosing regimens</w:t>
      </w:r>
      <w:r>
        <w:rPr>
          <w:rFonts w:hint="eastAsia" w:ascii="Calibri" w:hAnsi="Calibri" w:eastAsia="宋体" w:cs="Calibri"/>
          <w:szCs w:val="21"/>
          <w:lang w:val="en-US" w:eastAsia="zh-CN"/>
        </w:rPr>
        <w:t>.</w:t>
      </w:r>
      <w:r>
        <w:rPr>
          <w:rFonts w:hint="eastAsia" w:ascii="Calibri" w:hAnsi="Calibri" w:eastAsia="宋体" w:cs="Calibri"/>
          <w:sz w:val="21"/>
          <w:szCs w:val="21"/>
          <w:lang w:val="en-US" w:eastAsia="zh-CN"/>
        </w:rPr>
        <w:t xml:space="preserve"> </w:t>
      </w:r>
    </w:p>
    <w:p>
      <w:pPr>
        <w:spacing w:before="0"/>
        <w:rPr>
          <w:rFonts w:eastAsia="宋体"/>
        </w:rPr>
      </w:pPr>
      <w:r>
        <w:rPr>
          <w:rFonts w:cstheme="minorHAnsi"/>
          <w:color w:val="0070C0"/>
          <w:sz w:val="24"/>
        </w:rPr>
        <w:drawing>
          <wp:inline distT="0" distB="0" distL="114300" distR="114300">
            <wp:extent cx="8859520" cy="2462530"/>
            <wp:effectExtent l="0" t="0" r="5080" b="1270"/>
            <wp:docPr id="2" name="图片 2" descr="S Fi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 Fig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6902880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4NDAxZGEwMTZhY2IyNmI5ZGU2MGU0ZmIyNDZkNTMifQ=="/>
  </w:docVars>
  <w:rsids>
    <w:rsidRoot w:val="15CF7141"/>
    <w:rsid w:val="002F0058"/>
    <w:rsid w:val="003D5628"/>
    <w:rsid w:val="00426388"/>
    <w:rsid w:val="004A1A37"/>
    <w:rsid w:val="005E632B"/>
    <w:rsid w:val="006373D9"/>
    <w:rsid w:val="006F3F70"/>
    <w:rsid w:val="009145AE"/>
    <w:rsid w:val="0098618B"/>
    <w:rsid w:val="009C6EC5"/>
    <w:rsid w:val="00B4140C"/>
    <w:rsid w:val="00B75404"/>
    <w:rsid w:val="00C5175A"/>
    <w:rsid w:val="022A6ACA"/>
    <w:rsid w:val="036068E4"/>
    <w:rsid w:val="15CF7141"/>
    <w:rsid w:val="17F60A37"/>
    <w:rsid w:val="188579DA"/>
    <w:rsid w:val="1E2D2F98"/>
    <w:rsid w:val="1E2F207D"/>
    <w:rsid w:val="2C8850CD"/>
    <w:rsid w:val="2CB60883"/>
    <w:rsid w:val="3E985F3F"/>
    <w:rsid w:val="448A687F"/>
    <w:rsid w:val="518D24A4"/>
    <w:rsid w:val="52542AF5"/>
    <w:rsid w:val="5E0D61B2"/>
    <w:rsid w:val="65664B54"/>
    <w:rsid w:val="6594657D"/>
    <w:rsid w:val="696E40EB"/>
    <w:rsid w:val="69884D99"/>
    <w:rsid w:val="71306A35"/>
    <w:rsid w:val="72CD6A2A"/>
    <w:rsid w:val="731165A6"/>
    <w:rsid w:val="78CA5B8B"/>
    <w:rsid w:val="797227C1"/>
    <w:rsid w:val="7C4E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</w:pPr>
  </w:style>
  <w:style w:type="character" w:styleId="5">
    <w:name w:val="Hyperlink"/>
    <w:basedOn w:val="4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6">
    <w:name w:val="无格式表格 11"/>
    <w:basedOn w:val="3"/>
    <w:autoRedefine/>
    <w:qFormat/>
    <w:uiPriority w:val="41"/>
    <w:rPr>
      <w:rFonts w:ascii="Times New Roman" w:hAnsi="Times New Roman" w:eastAsia="宋体" w:cs="Times New Roman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University of Tennessee</Company>
  <Pages>4</Pages>
  <Words>292</Words>
  <Characters>1741</Characters>
  <Lines>165</Lines>
  <Paragraphs>155</Paragraphs>
  <TotalTime>0</TotalTime>
  <ScaleCrop>false</ScaleCrop>
  <LinksUpToDate>false</LinksUpToDate>
  <CharactersWithSpaces>1964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2023-07-03T06:48:00Z</dcterms:created>
  <dc:creator>HL Guo</dc:creator>
  <cp:lastModifiedBy>HL Guo</cp:lastModifiedBy>
  <dcterms:modified xsi:type="dcterms:W3CDTF">2024-02-08T03:35:55Z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8BC6AD29F76E4D8DB94A97025C5607BF_13</vt:lpwstr>
  </property>
</Properties>
</file>