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44B3" w:rsidRPr="006D5312" w:rsidRDefault="006444B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t>Physical frailty, genetic predisposition, and incident dementia: a large prospective cohort study</w:t>
      </w:r>
    </w:p>
    <w:p w:rsidR="00871265" w:rsidRPr="006D5312" w:rsidRDefault="00000000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t>Supplementary Material</w:t>
      </w:r>
    </w:p>
    <w:p w:rsidR="00871265" w:rsidRPr="006D5312" w:rsidRDefault="0000000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871265" w:rsidRPr="006D5312" w:rsidRDefault="00000000">
      <w:pPr>
        <w:widowControl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lastRenderedPageBreak/>
        <w:t>Content</w:t>
      </w:r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fldChar w:fldCharType="begin"/>
      </w:r>
      <w:r w:rsidRPr="006D5312">
        <w:rPr>
          <w:rFonts w:ascii="Times New Roman" w:hAnsi="Times New Roman" w:cs="Times New Roman"/>
          <w:color w:val="000000" w:themeColor="text1"/>
          <w:sz w:val="24"/>
        </w:rPr>
        <w:instrText xml:space="preserve"> TOC \o "1-3" \h \z \u </w:instrText>
      </w:r>
      <w:r w:rsidRPr="006D5312">
        <w:rPr>
          <w:rFonts w:ascii="Times New Roman" w:hAnsi="Times New Roman" w:cs="Times New Roman"/>
          <w:color w:val="000000" w:themeColor="text1"/>
          <w:sz w:val="24"/>
        </w:rPr>
        <w:fldChar w:fldCharType="separate"/>
      </w:r>
      <w:hyperlink w:anchor="_Toc161431821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eTable 1. The list of frailty definition in the UK Biobank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_Toc161431821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3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2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eTable 2. List of the ACD, AD, and VaD codes used in this study.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_Toc161431822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5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3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eTable3. The list of long-term morbidities.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_Toc161431823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7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4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eTable 4. Association between dementia polygenic risk score and risk of incident dementia.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_Toc161431824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10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5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eTable 5. Association between physical frailty and incident dementia for subgroups analysis.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_Toc161431825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11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6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eFigure 1. Flowchart of the present study.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_Toc161431826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13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7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eFigure 2. The histogram of frequency distribution of polygenic risk score.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_Toc161431827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14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8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eFigure 3. Kaplan-Meier survival curve for the time to dementia incidence for the classification of physical frailty during follow-up with log-rank test.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_Toc161431828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15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29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eFigure 4. Kaplan-Meier survival curve for the time to dementia incidence for the PRS groups during follow-up with log-rank test.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_Toc161431829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16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30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Supplementary eFigure 5. Kaplan-Meier survival curve for the time to dementia incidence for the classification of physical frailty and PRS groups during follow-up with log-rank test.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_Toc161431830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17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084AC4" w:rsidRPr="006D5312" w:rsidRDefault="00000000">
      <w:pPr>
        <w:pStyle w:val="TOC1"/>
        <w:tabs>
          <w:tab w:val="right" w:leader="underscore" w:pos="13948"/>
        </w:tabs>
        <w:rPr>
          <w:noProof/>
          <w:color w:val="000000" w:themeColor="text1"/>
        </w:rPr>
      </w:pPr>
      <w:hyperlink w:anchor="_Toc161431831" w:history="1">
        <w:r w:rsidR="00084AC4" w:rsidRPr="006D5312">
          <w:rPr>
            <w:rStyle w:val="aa"/>
            <w:rFonts w:ascii="Times New Roman" w:hAnsi="Times New Roman" w:cs="Times New Roman"/>
            <w:noProof/>
            <w:color w:val="000000" w:themeColor="text1"/>
          </w:rPr>
          <w:t>Reference</w:t>
        </w:r>
        <w:r w:rsidR="00084AC4" w:rsidRPr="006D5312">
          <w:rPr>
            <w:noProof/>
            <w:webHidden/>
            <w:color w:val="000000" w:themeColor="text1"/>
          </w:rPr>
          <w:tab/>
        </w:r>
        <w:r w:rsidR="00084AC4" w:rsidRPr="006D5312">
          <w:rPr>
            <w:noProof/>
            <w:webHidden/>
            <w:color w:val="000000" w:themeColor="text1"/>
          </w:rPr>
          <w:fldChar w:fldCharType="begin"/>
        </w:r>
        <w:r w:rsidR="00084AC4" w:rsidRPr="006D5312">
          <w:rPr>
            <w:noProof/>
            <w:webHidden/>
            <w:color w:val="000000" w:themeColor="text1"/>
          </w:rPr>
          <w:instrText xml:space="preserve"> PAGEREF _Toc161431831 \h </w:instrText>
        </w:r>
        <w:r w:rsidR="00084AC4" w:rsidRPr="006D5312">
          <w:rPr>
            <w:noProof/>
            <w:webHidden/>
            <w:color w:val="000000" w:themeColor="text1"/>
          </w:rPr>
        </w:r>
        <w:r w:rsidR="00084AC4" w:rsidRPr="006D5312">
          <w:rPr>
            <w:noProof/>
            <w:webHidden/>
            <w:color w:val="000000" w:themeColor="text1"/>
          </w:rPr>
          <w:fldChar w:fldCharType="separate"/>
        </w:r>
        <w:r w:rsidR="00084AC4" w:rsidRPr="006D5312">
          <w:rPr>
            <w:noProof/>
            <w:webHidden/>
            <w:color w:val="000000" w:themeColor="text1"/>
          </w:rPr>
          <w:t>18</w:t>
        </w:r>
        <w:r w:rsidR="00084AC4" w:rsidRPr="006D5312">
          <w:rPr>
            <w:noProof/>
            <w:webHidden/>
            <w:color w:val="000000" w:themeColor="text1"/>
          </w:rPr>
          <w:fldChar w:fldCharType="end"/>
        </w:r>
      </w:hyperlink>
    </w:p>
    <w:p w:rsidR="00871265" w:rsidRPr="006D5312" w:rsidRDefault="00000000">
      <w:pPr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fldChar w:fldCharType="end"/>
      </w: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96"/>
        <w:gridCol w:w="10400"/>
        <w:gridCol w:w="512"/>
        <w:gridCol w:w="512"/>
      </w:tblGrid>
      <w:tr w:rsidR="006D5312" w:rsidRPr="006D5312">
        <w:trPr>
          <w:gridAfter w:val="1"/>
          <w:trHeight w:val="34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Toc161431821"/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Supplementary eTable 1. The list of frailty definition in the UK Biobank</w:t>
            </w:r>
            <w:bookmarkEnd w:id="0"/>
          </w:p>
        </w:tc>
      </w:tr>
      <w:tr w:rsidR="006D5312" w:rsidRPr="006D5312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Components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Definition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Field ID</w:t>
            </w:r>
          </w:p>
        </w:tc>
      </w:tr>
      <w:tr w:rsidR="006D5312" w:rsidRPr="006D5312">
        <w:trPr>
          <w:trHeight w:val="1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Slow walking speed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Self-reported: “How would you describe your usual walking pace?”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Response: slow = 1; other = 0;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Do not know/Prefer not to answer = missing data.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924</w:t>
            </w:r>
          </w:p>
        </w:tc>
      </w:tr>
      <w:tr w:rsidR="006D5312" w:rsidRPr="006D5312">
        <w:trPr>
          <w:trHeight w:val="1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Low physical activity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301F10" w:rsidP="00425F1D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Self-reported: 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t>"In the last 4 weeks did you spend any time doing the following"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Response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t xml:space="preserve">: 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Light DIY (eg: pruning, watering the lawn):</w:t>
            </w:r>
            <w:r w:rsidR="00D95CAB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frequency of once per week or less</w:t>
            </w:r>
            <w:r w:rsidR="00425F1D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r w:rsidR="00D95CAB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=</w:t>
            </w:r>
            <w:r w:rsidR="00425F1D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r w:rsidR="00D95CAB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</w:t>
            </w:r>
            <w:r w:rsidR="00425F1D" w:rsidRPr="006D531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</w:rPr>
              <w:t>,</w:t>
            </w:r>
            <w:r w:rsidR="00425F1D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more than once a week = 0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</w:r>
            <w:r w:rsidR="00D95CAB" w:rsidRPr="006D5312">
              <w:rPr>
                <w:rFonts w:ascii="Times New Roman" w:eastAsia="DengXian" w:hAnsi="Times New Roman" w:cs="Times New Roman"/>
                <w:color w:val="000000" w:themeColor="text1"/>
              </w:rPr>
              <w:t>None of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t xml:space="preserve"> above = 1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Walking for pleasure (not as a means of transport) = 0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Other exercises (eg: swimming, cycling, keep fit, bowling) = 0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Strenuous sports = 0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Heavy DIY (eg: weeding, lawn mowing, carpentry, digging)</w:t>
            </w:r>
            <w:r w:rsidR="00425F1D" w:rsidRPr="006D5312">
              <w:rPr>
                <w:rFonts w:ascii="Times New Roman" w:eastAsia="DengXian" w:hAnsi="Times New Roman" w:cs="Times New Roman"/>
                <w:color w:val="000000" w:themeColor="text1"/>
              </w:rPr>
              <w:t xml:space="preserve"> =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t xml:space="preserve"> 0</w:t>
            </w:r>
            <w:r w:rsidR="00AB769A" w:rsidRPr="006D5312">
              <w:rPr>
                <w:rFonts w:ascii="Times New Roman" w:eastAsia="DengXian" w:hAnsi="Times New Roman" w:cs="Times New Roman"/>
                <w:color w:val="000000" w:themeColor="text1"/>
              </w:rPr>
              <w:br/>
              <w:t>Prefer not to answer (Excluded)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6164</w:t>
            </w:r>
          </w:p>
        </w:tc>
      </w:tr>
      <w:tr w:rsidR="006D5312" w:rsidRPr="006D5312">
        <w:trPr>
          <w:trHeight w:val="17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</w:rPr>
              <w:t>Exhaustion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Self-reported: “Over the past two weeks, how often have you felt tired or had little energy?”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Response: more than half the days or nearly every day = 1; other = 0;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Do not know/Prefer not to answer = missing data.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2080</w:t>
            </w:r>
          </w:p>
        </w:tc>
      </w:tr>
      <w:tr w:rsidR="006D5312" w:rsidRPr="006D5312">
        <w:trPr>
          <w:trHeight w:val="51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lastRenderedPageBreak/>
              <w:t>Low grip strength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Measured grip strength expressed in kg by sex- and BMI- adjusted cut-off points.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Cut-off points: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Men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≤24.0 kg/m2 &amp; grip strength ≤29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24.1 to 26.0 kg/m2 &amp; grip strength ≤30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26.1 to 28.0 kg/m2 &amp; grip strength ≤30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&gt;28.0 kg/m2 &amp; grip strength ≤32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Women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≤23.0 kg/m2 &amp; grip strength ≤17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If BMI 23.1 to 26.0 kg/m2 &amp; grip strength ≤17.3 kg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If BMI 26.1 to 29.0 kg/m2 &amp; grip strength ≤18 kg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If BMI &gt;29.0 kg/m2 &amp; grip strength ≤21 kg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If data on BMI or grip strength is not available = missing data.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46, 47</w:t>
            </w:r>
          </w:p>
        </w:tc>
      </w:tr>
      <w:tr w:rsidR="006D5312" w:rsidRPr="006D5312">
        <w:trPr>
          <w:trHeight w:val="1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Weight loss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Self-reported: “Compared with one year ago, has your weight changed?”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Response: yes, lost weight = 1; other = 0;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Do not know/Prefer not to answer = missing data.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righ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2306</w:t>
            </w:r>
          </w:p>
        </w:tc>
      </w:tr>
      <w:tr w:rsidR="006D5312" w:rsidRPr="006D5312">
        <w:trPr>
          <w:trHeight w:val="32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Abbreviations: BMI, body mass index; MET, metabolic equivalent of energy; IPAQ, International Physical Activity Questionnaire.</w:t>
            </w:r>
          </w:p>
        </w:tc>
      </w:tr>
    </w:tbl>
    <w:p w:rsidR="00871265" w:rsidRPr="006D5312" w:rsidRDefault="00000000">
      <w:pPr>
        <w:rPr>
          <w:rFonts w:ascii="Times New Roman" w:hAnsi="Times New Roman" w:cs="Times New Roman"/>
          <w:color w:val="000000" w:themeColor="text1"/>
          <w:sz w:val="24"/>
        </w:rPr>
      </w:pPr>
      <w:bookmarkStart w:id="1" w:name="RANGE!A1"/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44"/>
        <w:gridCol w:w="843"/>
        <w:gridCol w:w="11971"/>
      </w:tblGrid>
      <w:tr w:rsidR="006D5312" w:rsidRPr="006D5312">
        <w:trPr>
          <w:trHeight w:val="340"/>
        </w:trPr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bookmarkStart w:id="2" w:name="_Toc161431822"/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Supplementary eTable 2. List of the ACD, AD, and VaD codes used in this study.</w:t>
            </w:r>
            <w:bookmarkEnd w:id="1"/>
            <w:bookmarkEnd w:id="2"/>
          </w:p>
        </w:tc>
      </w:tr>
      <w:tr w:rsidR="006D5312" w:rsidRPr="006D5312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Code Types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Codes</w:t>
            </w:r>
          </w:p>
        </w:tc>
      </w:tr>
      <w:tr w:rsidR="006D5312" w:rsidRPr="006D5312">
        <w:trPr>
          <w:trHeight w:val="9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All-cause dementia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ICD-9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 w:rsidP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290.2, 290.3, 290.4, 291.2, 294.1, 331.0, 331.1, 331.2, 331.5 </w:t>
            </w:r>
          </w:p>
        </w:tc>
      </w:tr>
      <w:tr w:rsidR="006D5312" w:rsidRPr="006D5312">
        <w:trPr>
          <w:trHeight w:val="77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265" w:rsidRPr="006D5312" w:rsidRDefault="0087126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ICD-10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 w:rsidP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A81.0, F00, F00.0, F00.1, F00.2, F00.9, F01, F01.0, F01.1, F01.2, F01.3, F01.8, F01.9, F02, F02.0, F02.1, F02.2, F02.3, F02.4, F02.8, F03, F05.1, F10.6, G30, G30.0, G30.1, G30.8, G30.9, G31.0, G31.1, G31.8, I67.3</w:t>
            </w:r>
          </w:p>
        </w:tc>
      </w:tr>
      <w:tr w:rsidR="006D5312" w:rsidRPr="006D5312">
        <w:trPr>
          <w:trHeight w:val="159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265" w:rsidRPr="006D5312" w:rsidRDefault="0087126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Read V2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 w:rsidP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1461, A411., A4110, E00.., E000., E001., E0010, E0011, E0012, E0013, E001z, E002., E0020, E0021, E002z, E003., E004., E0040, E0041, E0042, E0043, E004z, E012., E02y1, E041., Eu00., Eu000, Eu001, Eu002, Eu00z, Eu01., Eu010, Eu011, Eu012, Eu013, Eu01y, Eu01z, Eu02., Eu020, Eu021, Eu022, Eu023, Eu024, Eu025, Eu02y, Eu02z, Eu041, Eu106, Eu107, F110., F1100, F1101, F111., F112., F116., F118., F11x2, F11x7, F11x9, F11y2, F21y2, Fyu30, 38C13, 3AE3., 3AE4., 3AE5., 3AE6., 66h.., 6AB.., 8BM02, 8BM50, 8BM60, 8BPa., 8CMe0, 8CMG2, 8CMZ., 8CMZ0, 8CMZ1, 8CMZ2, 8CMZ3, 8CSA., 8Hla., 8IAe0, 8IAe2, 9hD.., 9hD0., 9hD1., 9Ou.., 9Ou1.,9Ou2., 9Ou3., 9Ou4., 9Ou5.</w:t>
            </w:r>
          </w:p>
        </w:tc>
      </w:tr>
      <w:tr w:rsidR="006D5312" w:rsidRPr="006D5312">
        <w:trPr>
          <w:trHeight w:val="7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265" w:rsidRPr="006D5312" w:rsidRDefault="0087126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Read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 w:rsidP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.1461,1461, .E11., .E111, .E112, .E113, .E114, .E115, .E116, .E11Z, .F21Z</w:t>
            </w:r>
          </w:p>
        </w:tc>
      </w:tr>
      <w:tr w:rsidR="006D5312" w:rsidRPr="006D5312">
        <w:trPr>
          <w:trHeight w:val="391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265" w:rsidRPr="006D5312" w:rsidRDefault="0087126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CTV3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 w:rsidP="005861C2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.F371, .G78., A411., A4110, E00.., E000., E001., E0010, E0011, E0012, E0013, E001z, E002., E0020, E0021, E002z, E003., E004., E0040, E0041, E0042, E0043, E004z, E012., E02y1, E041., Eu00., Eu000, Eu001, Eu002, Eu00z, Eu01., Eu010, Eu011, Eu012, Eu013, Eu01y, Eu01z, Eu02., Eu020, Eu021, Eu022, Eu023, Eu024, Eu025, Eu02y, Eu02z, Eu041, F110., F1100, F1101, F111., F112., F116., F118., F11x2, F11x7, F11y2, F21y2, Fyu30, Ub1T6, X002m, X002w, X002x, X002y, X002z, X0030, X0031, X0032, X0033, X0034, X0035, X0036, X0037, X0039, X003A, X003B, X003C, X003D, X003E, X003F, X003G, X003H, X003I, X003J, X003l, X003m, X003P, X003R, X003T, X003V, X003W, X003X, X00R2, X00Rk, Xa0lH, Xa0sC, Xa0sE, Xa1GB, Xa25J, Xa3ez, XaA1S, XabVp, XaE74, XaIKB, XaIKC, XaKyY, XaOfZ, XE17j, XE1aG, XE1Xs,</w:t>
            </w:r>
            <w:r w:rsidR="00D40D40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XE1Xu,XE1Z6, .3AE3, .3AE4, .3AE5, .3AE6, .66h., .6AB., .9hD1, .9Ou., .9Ou1, .9Ou2, .9Ou3, .9Ou4, .9Ou5, 3AE3., 3AE4., 3AE5., 3AE6., 66h.., 6AB.., 8BM02, 8BM50, 8BPa., 8CMe0, 8CMG2, 8CMZ., 8CMZ0, 8CMZ1, 8CMZ2, 8CMZ3, 8CSA., 8IAe0, 8IAe2, 9hD1., 9Ou., 9Ou1., 9Ou2., 9Ou3., 9Ou4., 9Ou5., Xa0fZ, XaaBZ, XaaeA, XaaiW, Xabd2, Xabd3, XabEk, XabEl, XabtQ, XacIx, XacIy, XacIz, XacJ0, XacLx, Xacly, Xaclz, XacM2, Xaefu, XaJBQ, XaJBU, XaJBV, XaJBW, XaJBX, XaJPy, XaLFf, XaLFo, XaLFp, XaMFy, XaMG0, XaMGF, XaMGG, XaMGI, XaMGJ, XaMGK, XaMJC, XaYFR, XaYPX, XaZqJ, XaZWz</w:t>
            </w:r>
          </w:p>
        </w:tc>
      </w:tr>
      <w:tr w:rsidR="006D5312" w:rsidRPr="006D5312">
        <w:trPr>
          <w:trHeight w:val="8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Abbreviations: ACD, All-Cause Dementia; ICD, International Classification of Diseases; Read V2, Read codes version 2; Read CTV3, Read codes version 3.</w:t>
            </w:r>
          </w:p>
        </w:tc>
      </w:tr>
    </w:tbl>
    <w:p w:rsidR="00871265" w:rsidRPr="006D5312" w:rsidRDefault="0000000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tbl>
      <w:tblPr>
        <w:tblW w:w="14640" w:type="dxa"/>
        <w:tblLook w:val="04A0" w:firstRow="1" w:lastRow="0" w:firstColumn="1" w:lastColumn="0" w:noHBand="0" w:noVBand="1"/>
      </w:tblPr>
      <w:tblGrid>
        <w:gridCol w:w="480"/>
        <w:gridCol w:w="3660"/>
        <w:gridCol w:w="10500"/>
      </w:tblGrid>
      <w:tr w:rsidR="006D5312" w:rsidRPr="006D5312">
        <w:trPr>
          <w:trHeight w:val="340"/>
        </w:trPr>
        <w:tc>
          <w:tcPr>
            <w:tcW w:w="146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Toc161431823"/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Supplementary eTable3. The list of long-term morbidities.</w:t>
            </w:r>
            <w:bookmarkEnd w:id="3"/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Comorbidities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Code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Hypertension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1065, 1072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Coronary heart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1074, 1075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Diabetes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1607, 1468, 1220, 1222, 1223, 1276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Stroke/TIA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1081, 1082, 1086, 1491, 1583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Atrail fibrillation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1471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Heart failure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1079, 1588, 1076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Peripheral vascular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1067, 1087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COPD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1112, 1113, 1472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Asthma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1111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Bronchiectasis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1114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Cancer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-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Dyspepsia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1138, 1139, 1142, 1143, 1457, 1510, 1474, 1442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Diverticular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1458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Irritable bowel syndrome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1154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Chronic liver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1141, 1157, 1158, 1506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Inflammatory bowel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1461, 1462, 1463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Constipation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1599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Viral hepatitis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1579, 1580, 1581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Depression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1286, 1531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Anxiety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1288, 1469, 1615, 1614, 1616, 1243</w:t>
            </w:r>
          </w:p>
        </w:tc>
      </w:tr>
      <w:tr w:rsidR="006D5312" w:rsidRPr="006D5312">
        <w:trPr>
          <w:trHeight w:val="62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lastRenderedPageBreak/>
              <w:t>21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Schizophrenia/Bipolar affective disorder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1289, 1291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Connective tissue diseases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1322, 1381, 1373, 1382, 1383, 1384, 1464, 1477, 1480, 1481, 1377</w:t>
            </w:r>
          </w:p>
        </w:tc>
      </w:tr>
      <w:tr w:rsidR="006D5312" w:rsidRPr="006D5312">
        <w:trPr>
          <w:trHeight w:val="62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Painful conditions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1534, 1537, 1436, 1476, 1540, 1541, 1542, 1538, 1573, 1532, 1312, 1311, 1294, 1465, 1466, 1478, 1523, 1533, 1257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Osteoporosis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1309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Thyroid disorders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1224, 1225, 1226, 1522, 1610, 1428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Alcohol problems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1408, 1604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Chronic kidney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1427, 1607, 1192, 1193, 1194, 1519, 1520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Prostate disorders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1207, 1396, 1516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Glaucoma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1277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Epilepsy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1264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Dementia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1263*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Psoriasis or eczema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1452, 1453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Migraine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1265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Chronic sinusitis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1416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Anorexia or bulimia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1470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36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Parkinson’s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1262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37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Multiple sclerosis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1261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38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Chronic fatigue syndrome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1482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39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Endometriosis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1402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40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Meniere disease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1421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41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Pernicious anaemia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1331</w:t>
            </w:r>
          </w:p>
        </w:tc>
      </w:tr>
      <w:tr w:rsidR="006D5312" w:rsidRPr="006D5312">
        <w:trPr>
          <w:trHeight w:val="340"/>
        </w:trPr>
        <w:tc>
          <w:tcPr>
            <w:tcW w:w="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lastRenderedPageBreak/>
              <w:t>42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Polycystic ovaries</w:t>
            </w:r>
          </w:p>
        </w:tc>
        <w:tc>
          <w:tcPr>
            <w:tcW w:w="10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1350</w:t>
            </w:r>
          </w:p>
        </w:tc>
      </w:tr>
      <w:tr w:rsidR="006D5312" w:rsidRPr="006D5312">
        <w:trPr>
          <w:trHeight w:val="1700"/>
        </w:trPr>
        <w:tc>
          <w:tcPr>
            <w:tcW w:w="146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Self-reported lifetime physician’s diagnoses were documented through nurse-led interviews (UK Biobank Field ID: 20002), with the exception of cancer diagnoses, which were reported using a touchscreen questionnaire. The classification of diseases was based on Barnett et al (2012)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fldChar w:fldCharType="begin">
                <w:fldData xml:space="preserve">PEVuZE5vdGU+PENpdGU+PEF1dGhvcj5CYXJuZXR0PC9BdXRob3I+PFllYXI+MjAxMjwvWWVhcj48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</w:fldData>
              </w:fldChar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instrText xml:space="preserve"> ADDIN EN.CITE </w:instrTex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fldChar w:fldCharType="begin">
                <w:fldData xml:space="preserve">PEVuZE5vdGU+PENpdGU+PEF1dGhvcj5CYXJuZXR0PC9BdXRob3I+PFllYXI+MjAxMjwvWWVhcj48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</w:fldData>
              </w:fldChar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instrText xml:space="preserve"> ADDIN EN.CITE.DATA </w:instrTex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fldChar w:fldCharType="end"/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fldChar w:fldCharType="separate"/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vertAlign w:val="superscript"/>
              </w:rPr>
              <w:t>1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fldChar w:fldCharType="end"/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.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*In our study, the self-report dementia (Code: 1263) diagnosis were not included. 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 xml:space="preserve">Further details were shown in https://biobank.ndph.ox.ac.uk/ukb/field.cgi?id=20002 </w:t>
            </w:r>
          </w:p>
        </w:tc>
      </w:tr>
    </w:tbl>
    <w:p w:rsidR="00871265" w:rsidRPr="006D5312" w:rsidRDefault="0000000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tbl>
      <w:tblPr>
        <w:tblW w:w="14900" w:type="dxa"/>
        <w:tblLook w:val="04A0" w:firstRow="1" w:lastRow="0" w:firstColumn="1" w:lastColumn="0" w:noHBand="0" w:noVBand="1"/>
      </w:tblPr>
      <w:tblGrid>
        <w:gridCol w:w="2260"/>
        <w:gridCol w:w="1940"/>
        <w:gridCol w:w="3940"/>
        <w:gridCol w:w="3900"/>
        <w:gridCol w:w="2860"/>
      </w:tblGrid>
      <w:tr w:rsidR="006D5312" w:rsidRPr="006D5312">
        <w:trPr>
          <w:trHeight w:val="340"/>
        </w:trPr>
        <w:tc>
          <w:tcPr>
            <w:tcW w:w="14900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4" w:name="_Toc161431824"/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Supplementary eTable 4. Association between dementia polygenic risk score and risk of incident dementia.</w:t>
            </w:r>
            <w:bookmarkEnd w:id="4"/>
          </w:p>
        </w:tc>
      </w:tr>
      <w:tr w:rsidR="006D5312" w:rsidRPr="006D5312">
        <w:trPr>
          <w:trHeight w:val="36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PRS Group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Cases/person-years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Incident cases per 100,000 person-years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HR (95% CI)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  <w:t>P</w:t>
            </w:r>
          </w:p>
        </w:tc>
      </w:tr>
      <w:tr w:rsidR="006D5312" w:rsidRPr="006D5312">
        <w:trPr>
          <w:trHeight w:val="3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Low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529/477004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110.9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871265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34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Intermediate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1917/1431327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133.9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1.210 (1.099-1.332)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</w:tr>
      <w:tr w:rsidR="006D5312" w:rsidRPr="006D5312">
        <w:trPr>
          <w:trHeight w:val="360"/>
        </w:trPr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High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907/476846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190.2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1.720 (1.545-1.915)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</w:tr>
      <w:tr w:rsidR="006D5312" w:rsidRPr="006D5312">
        <w:trPr>
          <w:trHeight w:val="800"/>
        </w:trPr>
        <w:tc>
          <w:tcPr>
            <w:tcW w:w="14900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Model adjusted for genotyping array and the first 10 principal components of ancestry.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br/>
              <w:t>Abbreviations: HR: Hazard ratio; CI: confidence interval; PRS, polygenic risk score.</w:t>
            </w:r>
          </w:p>
        </w:tc>
      </w:tr>
    </w:tbl>
    <w:p w:rsidR="00871265" w:rsidRPr="006D5312" w:rsidRDefault="0000000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tbl>
      <w:tblPr>
        <w:tblW w:w="14743" w:type="dxa"/>
        <w:tblInd w:w="-284" w:type="dxa"/>
        <w:tblLook w:val="04A0" w:firstRow="1" w:lastRow="0" w:firstColumn="1" w:lastColumn="0" w:noHBand="0" w:noVBand="1"/>
      </w:tblPr>
      <w:tblGrid>
        <w:gridCol w:w="2624"/>
        <w:gridCol w:w="996"/>
        <w:gridCol w:w="1559"/>
        <w:gridCol w:w="1985"/>
        <w:gridCol w:w="892"/>
        <w:gridCol w:w="1701"/>
        <w:gridCol w:w="2251"/>
        <w:gridCol w:w="892"/>
        <w:gridCol w:w="1843"/>
      </w:tblGrid>
      <w:tr w:rsidR="006D5312" w:rsidRPr="006D5312">
        <w:trPr>
          <w:trHeight w:val="320"/>
        </w:trPr>
        <w:tc>
          <w:tcPr>
            <w:tcW w:w="147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pStyle w:val="a7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5" w:name="_Toc161431825"/>
            <w:r w:rsidRPr="006D5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Supplementary eTable 5. Association between physical frailty and incident dementia for subgroups analysis.</w:t>
            </w:r>
            <w:bookmarkEnd w:id="5"/>
          </w:p>
        </w:tc>
      </w:tr>
      <w:tr w:rsidR="006D5312" w:rsidRPr="006D5312">
        <w:trPr>
          <w:trHeight w:val="320"/>
        </w:trPr>
        <w:tc>
          <w:tcPr>
            <w:tcW w:w="382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bookmarkStart w:id="6" w:name="RANGE!A2"/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  <w:bookmarkEnd w:id="6"/>
          </w:p>
        </w:tc>
        <w:tc>
          <w:tcPr>
            <w:tcW w:w="1091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Frailty phenotype</w:t>
            </w:r>
          </w:p>
        </w:tc>
      </w:tr>
      <w:tr w:rsidR="006D5312" w:rsidRPr="006D5312">
        <w:trPr>
          <w:trHeight w:val="320"/>
        </w:trPr>
        <w:tc>
          <w:tcPr>
            <w:tcW w:w="382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Non-frailty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Prefrailty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Frailty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</w:tr>
      <w:tr w:rsidR="006D5312" w:rsidRPr="006D5312">
        <w:trPr>
          <w:trHeight w:val="5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HR (95%CI)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HR (95%CI)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  <w:t>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  <w:t>P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for interaction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HR (95%CI)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  <w:t>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</w:rPr>
              <w:t>P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 xml:space="preserve"> for interaction</w:t>
            </w:r>
          </w:p>
        </w:tc>
      </w:tr>
      <w:tr w:rsidR="006D5312" w:rsidRPr="006D5312">
        <w:trPr>
          <w:trHeight w:val="320"/>
        </w:trPr>
        <w:tc>
          <w:tcPr>
            <w:tcW w:w="147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Age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Age&lt;60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145,212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2.122 (1.680-2.680)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3.887 (2.723-5.550)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Age≥60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128,982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1.325 (1.223-1.436)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2.142 (1.868-2.456)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320"/>
        </w:trPr>
        <w:tc>
          <w:tcPr>
            <w:tcW w:w="147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Sex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Female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146,574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1.410 (1.254-1.585)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0.545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2.055 (1.705-2.477)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0.163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Male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127,630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1.378 (1.247-1.522)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2.568 (2.158-3.055)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320"/>
        </w:trPr>
        <w:tc>
          <w:tcPr>
            <w:tcW w:w="147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Townsend deprivation index</w:t>
            </w:r>
          </w:p>
        </w:tc>
      </w:tr>
      <w:tr w:rsidR="006D5312" w:rsidRPr="006D5312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Lower level (below median)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136,946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1.356 (1.217-1.511)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0.75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2.183 (1.858-2.565)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0.864</w:t>
            </w:r>
          </w:p>
        </w:tc>
      </w:tr>
      <w:tr w:rsidR="006D5312" w:rsidRPr="006D5312">
        <w:trPr>
          <w:trHeight w:val="8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Higher level (above median)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136,919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1.438 (1.293-1.599)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2.433 (1.964-3.013)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320"/>
        </w:trPr>
        <w:tc>
          <w:tcPr>
            <w:tcW w:w="147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Number of morbidities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95,817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1.603 (1.358-1.891)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</w:t>
            </w:r>
            <w:r w:rsidR="001E5F88"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</w:t>
            </w: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.001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0.037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3.248 (1.994-5.289)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0.022</w:t>
            </w: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87,984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1.436 (1.255-1.643)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2.806 (2.108-3.734)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 or more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90,393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 (reference)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1.276 (1.144-1.424)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000000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2.022 (1.734-2.357)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265" w:rsidRPr="006D5312" w:rsidRDefault="001E5F88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&lt;0.001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265" w:rsidRPr="006D5312" w:rsidRDefault="00871265">
            <w:pPr>
              <w:widowControl/>
              <w:jc w:val="center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</w:p>
        </w:tc>
      </w:tr>
      <w:tr w:rsidR="006D5312" w:rsidRPr="006D5312">
        <w:trPr>
          <w:trHeight w:val="880"/>
        </w:trPr>
        <w:tc>
          <w:tcPr>
            <w:tcW w:w="1474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71265" w:rsidRPr="006D5312" w:rsidRDefault="00000000">
            <w:pPr>
              <w:widowControl/>
              <w:jc w:val="left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</w:pPr>
            <w:r w:rsidRPr="006D5312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</w:rPr>
              <w:t>Model adjusted for age, sex, Townsend deprivation index, assessment centers, alcohol consumption, smoking status, BMI, the number of long-term morbidities, polygenic risk score, genotyping array, and the first 40 principal components of ancestry.</w:t>
            </w:r>
          </w:p>
        </w:tc>
      </w:tr>
    </w:tbl>
    <w:p w:rsidR="00871265" w:rsidRPr="006D5312" w:rsidRDefault="00000000" w:rsidP="00084AC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_Toc134615011"/>
      <w:r w:rsidRPr="006D5312">
        <w:rPr>
          <w:color w:val="000000" w:themeColor="text1"/>
        </w:rPr>
        <w:br w:type="page"/>
      </w:r>
      <w:bookmarkStart w:id="8" w:name="_Toc161431826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Supplementary eFigure 1. Flowchart of the present study.</w:t>
      </w:r>
      <w:bookmarkEnd w:id="7"/>
      <w:bookmarkEnd w:id="8"/>
    </w:p>
    <w:p w:rsidR="00871265" w:rsidRPr="006D5312" w:rsidRDefault="00000000" w:rsidP="00FE6C22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>
            <wp:extent cx="5274310" cy="2966085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871265" w:rsidRPr="006D5312" w:rsidRDefault="00000000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Toc134615012"/>
      <w:bookmarkStart w:id="10" w:name="_Toc161431827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Supplementary eFigure 2. The histogram of frequency distribution of polygenic risk score.</w:t>
      </w:r>
      <w:bookmarkEnd w:id="9"/>
      <w:bookmarkEnd w:id="10"/>
    </w:p>
    <w:p w:rsidR="00FE6C22" w:rsidRPr="006D5312" w:rsidRDefault="00000000" w:rsidP="00FE6C22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>
            <wp:extent cx="5274310" cy="41484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FE6C22" w:rsidRPr="006D5312" w:rsidRDefault="00FE6C22" w:rsidP="00503E37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Toc161431828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Supplementary eFigure 3. </w:t>
      </w:r>
      <w:r w:rsidR="00503E37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>Kaplan-Meier survival curve for the time to dementia incidence for the classification of physical frailty during follow-up</w:t>
      </w:r>
      <w:r w:rsidR="00ED6533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log-rank test</w:t>
      </w:r>
      <w:r w:rsidR="00503E37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11"/>
    </w:p>
    <w:p w:rsidR="00FE6C22" w:rsidRPr="006D5312" w:rsidRDefault="00FE6C22" w:rsidP="00FE6C22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1EAC318D" wp14:editId="4EF5BC13">
            <wp:extent cx="4796589" cy="2878023"/>
            <wp:effectExtent l="0" t="0" r="444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277" cy="28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83758A" w:rsidRPr="006D5312" w:rsidRDefault="00503E37" w:rsidP="00ED6533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_Toc161431829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Supplementary eFigure 4. Kaplan-Meier survival curve for the time to dementia incidence for the </w:t>
      </w:r>
      <w:r w:rsidR="0083758A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PRS groups </w:t>
      </w:r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>during follow-up</w:t>
      </w:r>
      <w:r w:rsidR="00ED6533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log-rank test.</w:t>
      </w:r>
      <w:bookmarkEnd w:id="12"/>
    </w:p>
    <w:p w:rsidR="0083758A" w:rsidRPr="006D5312" w:rsidRDefault="006D2254" w:rsidP="0083758A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 w:hint="eastAsia"/>
          <w:noProof/>
          <w:color w:val="000000" w:themeColor="text1"/>
          <w:sz w:val="24"/>
        </w:rPr>
        <w:drawing>
          <wp:inline distT="0" distB="0" distL="0" distR="0">
            <wp:extent cx="6584570" cy="3950837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177" cy="395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FE6C22" w:rsidRPr="006D5312" w:rsidRDefault="00FE6C2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83758A" w:rsidRPr="006D5312" w:rsidRDefault="0083758A" w:rsidP="00ED6533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Toc161431830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Supplementary eFigure 5. Kaplan-Meier survival curve for the time to dementia incidence for the </w:t>
      </w:r>
      <w:r w:rsidR="00837A22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classification of physical frailty and </w:t>
      </w:r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>PRS groups during follow-up</w:t>
      </w:r>
      <w:r w:rsidR="00ED6533"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log-rank test.</w:t>
      </w:r>
      <w:bookmarkEnd w:id="13"/>
    </w:p>
    <w:p w:rsidR="00FE6C22" w:rsidRPr="006D5312" w:rsidRDefault="00837A22" w:rsidP="00837A22">
      <w:pPr>
        <w:widowControl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>
            <wp:extent cx="6357312" cy="3814479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381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58A" w:rsidRPr="006D5312" w:rsidRDefault="0083758A">
      <w:pPr>
        <w:rPr>
          <w:rFonts w:ascii="Times New Roman" w:hAnsi="Times New Roman" w:cs="Times New Roman"/>
          <w:color w:val="000000" w:themeColor="text1"/>
          <w:sz w:val="24"/>
        </w:rPr>
      </w:pPr>
    </w:p>
    <w:p w:rsidR="00871265" w:rsidRPr="006D5312" w:rsidRDefault="0083758A" w:rsidP="0083758A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:rsidR="00871265" w:rsidRPr="006D5312" w:rsidRDefault="00000000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_Toc161431831"/>
      <w:r w:rsidRPr="006D53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  <w:bookmarkEnd w:id="14"/>
    </w:p>
    <w:p w:rsidR="00871265" w:rsidRPr="006D5312" w:rsidRDefault="00000000">
      <w:pPr>
        <w:pStyle w:val="EndNoteBibliography"/>
        <w:rPr>
          <w:rFonts w:ascii="Times New Roman" w:hAnsi="Times New Roman" w:cs="Times New Roman"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begin"/>
      </w: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instrText xml:space="preserve"> ADDIN EN.REFLIST </w:instrText>
      </w: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separate"/>
      </w:r>
      <w:r w:rsidRPr="006D5312">
        <w:rPr>
          <w:rFonts w:ascii="Times New Roman" w:hAnsi="Times New Roman" w:cs="Times New Roman"/>
          <w:color w:val="000000" w:themeColor="text1"/>
          <w:sz w:val="24"/>
        </w:rPr>
        <w:t>1.</w:t>
      </w:r>
      <w:r w:rsidRPr="006D5312">
        <w:rPr>
          <w:rFonts w:ascii="Times New Roman" w:hAnsi="Times New Roman" w:cs="Times New Roman"/>
          <w:color w:val="000000" w:themeColor="text1"/>
          <w:sz w:val="24"/>
        </w:rPr>
        <w:tab/>
        <w:t xml:space="preserve">Barnett K, Mercer SW, Norbury M, Watt G, Wyke S, Guthrie B. Epidemiology of multimorbidity and implications for health care, research, and medical education: a cross-sectional study. </w:t>
      </w:r>
      <w:r w:rsidRPr="006D5312">
        <w:rPr>
          <w:rFonts w:ascii="Times New Roman" w:hAnsi="Times New Roman" w:cs="Times New Roman"/>
          <w:i/>
          <w:color w:val="000000" w:themeColor="text1"/>
          <w:sz w:val="24"/>
        </w:rPr>
        <w:t>Lancet</w:t>
      </w:r>
      <w:r w:rsidRPr="006D5312">
        <w:rPr>
          <w:rFonts w:ascii="Times New Roman" w:hAnsi="Times New Roman" w:cs="Times New Roman"/>
          <w:color w:val="000000" w:themeColor="text1"/>
          <w:sz w:val="24"/>
        </w:rPr>
        <w:t>. Jul 7 2012;380(9836):37-43. doi:10.1016/S0140-6736(12)60240-2</w:t>
      </w:r>
    </w:p>
    <w:p w:rsidR="00871265" w:rsidRPr="006D5312" w:rsidRDefault="00000000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6D5312">
        <w:rPr>
          <w:rFonts w:ascii="Times New Roman" w:hAnsi="Times New Roman" w:cs="Times New Roman"/>
          <w:b/>
          <w:bCs/>
          <w:color w:val="000000" w:themeColor="text1"/>
          <w:sz w:val="24"/>
        </w:rPr>
        <w:fldChar w:fldCharType="end"/>
      </w:r>
    </w:p>
    <w:sectPr w:rsidR="00871265" w:rsidRPr="006D5312" w:rsidSect="00FE6C22">
      <w:footerReference w:type="even" r:id="rId12"/>
      <w:footerReference w:type="default" r:id="rId13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0098" w:rsidRDefault="00650098" w:rsidP="00554D01">
      <w:r>
        <w:separator/>
      </w:r>
    </w:p>
  </w:endnote>
  <w:endnote w:type="continuationSeparator" w:id="0">
    <w:p w:rsidR="00650098" w:rsidRDefault="00650098" w:rsidP="00554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1140854594"/>
      <w:docPartObj>
        <w:docPartGallery w:val="Page Numbers (Bottom of Page)"/>
        <w:docPartUnique/>
      </w:docPartObj>
    </w:sdtPr>
    <w:sdtContent>
      <w:p w:rsidR="00554D01" w:rsidRDefault="00554D01" w:rsidP="00004B2B">
        <w:pPr>
          <w:pStyle w:val="a3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554D01" w:rsidRDefault="00554D0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b"/>
      </w:rPr>
      <w:id w:val="-1872916680"/>
      <w:docPartObj>
        <w:docPartGallery w:val="Page Numbers (Bottom of Page)"/>
        <w:docPartUnique/>
      </w:docPartObj>
    </w:sdtPr>
    <w:sdtContent>
      <w:p w:rsidR="00554D01" w:rsidRDefault="00554D01" w:rsidP="00004B2B">
        <w:pPr>
          <w:pStyle w:val="a3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1</w:t>
        </w:r>
        <w:r>
          <w:rPr>
            <w:rStyle w:val="ab"/>
          </w:rPr>
          <w:fldChar w:fldCharType="end"/>
        </w:r>
      </w:p>
    </w:sdtContent>
  </w:sdt>
  <w:p w:rsidR="00554D01" w:rsidRDefault="00554D0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0098" w:rsidRDefault="00650098" w:rsidP="00554D01">
      <w:r>
        <w:separator/>
      </w:r>
    </w:p>
  </w:footnote>
  <w:footnote w:type="continuationSeparator" w:id="0">
    <w:p w:rsidR="00650098" w:rsidRDefault="00650098" w:rsidP="00554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0drx9tslxp5sge22eop0xssa9t2e00s0tzv&quot;&gt;UKB_Frailty&lt;record-ids&gt;&lt;item&gt;54&lt;/item&gt;&lt;/record-ids&gt;&lt;/item&gt;&lt;/Libraries&gt;"/>
  </w:docVars>
  <w:rsids>
    <w:rsidRoot w:val="002700F2"/>
    <w:rsid w:val="F3F73BE0"/>
    <w:rsid w:val="00040A65"/>
    <w:rsid w:val="00054AB6"/>
    <w:rsid w:val="00080A87"/>
    <w:rsid w:val="00084AC4"/>
    <w:rsid w:val="00094DB5"/>
    <w:rsid w:val="00097439"/>
    <w:rsid w:val="000B3D50"/>
    <w:rsid w:val="000B48C3"/>
    <w:rsid w:val="000B7AE0"/>
    <w:rsid w:val="00106072"/>
    <w:rsid w:val="00122D55"/>
    <w:rsid w:val="001A37F0"/>
    <w:rsid w:val="001C0EF2"/>
    <w:rsid w:val="001C2EDC"/>
    <w:rsid w:val="001E5F88"/>
    <w:rsid w:val="00216010"/>
    <w:rsid w:val="00216839"/>
    <w:rsid w:val="00230EA0"/>
    <w:rsid w:val="00265032"/>
    <w:rsid w:val="0026524F"/>
    <w:rsid w:val="002700F2"/>
    <w:rsid w:val="002722E0"/>
    <w:rsid w:val="002A59DD"/>
    <w:rsid w:val="002B1256"/>
    <w:rsid w:val="002B46C5"/>
    <w:rsid w:val="002C1A17"/>
    <w:rsid w:val="002C41BD"/>
    <w:rsid w:val="002C6E31"/>
    <w:rsid w:val="002C75BA"/>
    <w:rsid w:val="002C75DE"/>
    <w:rsid w:val="002D1383"/>
    <w:rsid w:val="002E4304"/>
    <w:rsid w:val="00301F10"/>
    <w:rsid w:val="003125D9"/>
    <w:rsid w:val="003178F7"/>
    <w:rsid w:val="003245D6"/>
    <w:rsid w:val="003326B9"/>
    <w:rsid w:val="00336D15"/>
    <w:rsid w:val="0035262E"/>
    <w:rsid w:val="00362354"/>
    <w:rsid w:val="00370043"/>
    <w:rsid w:val="00373187"/>
    <w:rsid w:val="00377301"/>
    <w:rsid w:val="00382908"/>
    <w:rsid w:val="00396AB0"/>
    <w:rsid w:val="003A0975"/>
    <w:rsid w:val="003A40E4"/>
    <w:rsid w:val="003C473F"/>
    <w:rsid w:val="003C5A9E"/>
    <w:rsid w:val="003C630E"/>
    <w:rsid w:val="003C7526"/>
    <w:rsid w:val="003D6DDA"/>
    <w:rsid w:val="003F0B2B"/>
    <w:rsid w:val="004013DC"/>
    <w:rsid w:val="0040699C"/>
    <w:rsid w:val="00425F1D"/>
    <w:rsid w:val="00463C1B"/>
    <w:rsid w:val="00465F5F"/>
    <w:rsid w:val="004D38CF"/>
    <w:rsid w:val="004F4730"/>
    <w:rsid w:val="0050035A"/>
    <w:rsid w:val="00503E37"/>
    <w:rsid w:val="00554D01"/>
    <w:rsid w:val="00567B05"/>
    <w:rsid w:val="00567D67"/>
    <w:rsid w:val="00576315"/>
    <w:rsid w:val="005861C2"/>
    <w:rsid w:val="005A70D5"/>
    <w:rsid w:val="005D1154"/>
    <w:rsid w:val="005F13B2"/>
    <w:rsid w:val="00612DEC"/>
    <w:rsid w:val="00613375"/>
    <w:rsid w:val="00620B41"/>
    <w:rsid w:val="00631AAF"/>
    <w:rsid w:val="00637808"/>
    <w:rsid w:val="006444B3"/>
    <w:rsid w:val="00650098"/>
    <w:rsid w:val="0065137F"/>
    <w:rsid w:val="006519C3"/>
    <w:rsid w:val="00664E79"/>
    <w:rsid w:val="006651DA"/>
    <w:rsid w:val="006D1F44"/>
    <w:rsid w:val="006D2254"/>
    <w:rsid w:val="006D5312"/>
    <w:rsid w:val="006E6D9F"/>
    <w:rsid w:val="006E77F2"/>
    <w:rsid w:val="006F64A1"/>
    <w:rsid w:val="007339C2"/>
    <w:rsid w:val="0075713C"/>
    <w:rsid w:val="00770022"/>
    <w:rsid w:val="00773957"/>
    <w:rsid w:val="007C05C9"/>
    <w:rsid w:val="007D7AC0"/>
    <w:rsid w:val="007F4C13"/>
    <w:rsid w:val="007F7C16"/>
    <w:rsid w:val="0083758A"/>
    <w:rsid w:val="00837A22"/>
    <w:rsid w:val="00853F85"/>
    <w:rsid w:val="00871265"/>
    <w:rsid w:val="00886462"/>
    <w:rsid w:val="00886BAB"/>
    <w:rsid w:val="00887E91"/>
    <w:rsid w:val="00894B36"/>
    <w:rsid w:val="008A0E60"/>
    <w:rsid w:val="008B1DF7"/>
    <w:rsid w:val="008B20A6"/>
    <w:rsid w:val="008D17AD"/>
    <w:rsid w:val="008E0CD5"/>
    <w:rsid w:val="008E7455"/>
    <w:rsid w:val="008F480D"/>
    <w:rsid w:val="009023DD"/>
    <w:rsid w:val="0090420F"/>
    <w:rsid w:val="00905629"/>
    <w:rsid w:val="0091672F"/>
    <w:rsid w:val="0093575E"/>
    <w:rsid w:val="00936157"/>
    <w:rsid w:val="00987A81"/>
    <w:rsid w:val="009A2593"/>
    <w:rsid w:val="00A31BA1"/>
    <w:rsid w:val="00A56BD9"/>
    <w:rsid w:val="00A67A92"/>
    <w:rsid w:val="00A8132C"/>
    <w:rsid w:val="00A961A4"/>
    <w:rsid w:val="00AA53EB"/>
    <w:rsid w:val="00AB56D6"/>
    <w:rsid w:val="00AB769A"/>
    <w:rsid w:val="00AE49A3"/>
    <w:rsid w:val="00AF23A1"/>
    <w:rsid w:val="00B0562F"/>
    <w:rsid w:val="00B53991"/>
    <w:rsid w:val="00B62F7C"/>
    <w:rsid w:val="00BB3A5F"/>
    <w:rsid w:val="00BB7171"/>
    <w:rsid w:val="00BD7F7F"/>
    <w:rsid w:val="00BE12E4"/>
    <w:rsid w:val="00BF153C"/>
    <w:rsid w:val="00C01D36"/>
    <w:rsid w:val="00C165D8"/>
    <w:rsid w:val="00C31181"/>
    <w:rsid w:val="00C85B7F"/>
    <w:rsid w:val="00C87712"/>
    <w:rsid w:val="00CB351E"/>
    <w:rsid w:val="00CB3B72"/>
    <w:rsid w:val="00D32C28"/>
    <w:rsid w:val="00D34438"/>
    <w:rsid w:val="00D40D40"/>
    <w:rsid w:val="00D525C2"/>
    <w:rsid w:val="00D671F9"/>
    <w:rsid w:val="00D77468"/>
    <w:rsid w:val="00D807D0"/>
    <w:rsid w:val="00D95CAB"/>
    <w:rsid w:val="00DE59B8"/>
    <w:rsid w:val="00DF607C"/>
    <w:rsid w:val="00E2289F"/>
    <w:rsid w:val="00E37162"/>
    <w:rsid w:val="00E53667"/>
    <w:rsid w:val="00E67307"/>
    <w:rsid w:val="00E833F5"/>
    <w:rsid w:val="00E84C68"/>
    <w:rsid w:val="00E956C3"/>
    <w:rsid w:val="00ED6533"/>
    <w:rsid w:val="00ED7E20"/>
    <w:rsid w:val="00F00CBD"/>
    <w:rsid w:val="00F346CB"/>
    <w:rsid w:val="00F419F2"/>
    <w:rsid w:val="00F73B84"/>
    <w:rsid w:val="00FB70D3"/>
    <w:rsid w:val="00FC1324"/>
    <w:rsid w:val="00FD0399"/>
    <w:rsid w:val="00FE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522364-7E13-1344-AC48-23A4F94F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4A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line number"/>
    <w:basedOn w:val="a0"/>
    <w:uiPriority w:val="99"/>
    <w:semiHidden/>
    <w:unhideWhenUsed/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8">
    <w:name w:val="标题 字符"/>
    <w:basedOn w:val="a0"/>
    <w:link w:val="a7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DengXian" w:eastAsia="DengXian" w:hAnsi="DengXian"/>
      <w:sz w:val="20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b">
    <w:name w:val="page number"/>
    <w:basedOn w:val="a0"/>
    <w:uiPriority w:val="99"/>
    <w:semiHidden/>
    <w:unhideWhenUsed/>
    <w:rsid w:val="00554D01"/>
  </w:style>
  <w:style w:type="character" w:customStyle="1" w:styleId="10">
    <w:name w:val="标题 1 字符"/>
    <w:basedOn w:val="a0"/>
    <w:link w:val="1"/>
    <w:uiPriority w:val="9"/>
    <w:rsid w:val="00084AC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0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63AC92-B959-D243-B525-28E03814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18</Pages>
  <Words>1711</Words>
  <Characters>9754</Characters>
  <Application>Microsoft Office Word</Application>
  <DocSecurity>0</DocSecurity>
  <Lines>81</Lines>
  <Paragraphs>22</Paragraphs>
  <ScaleCrop>false</ScaleCrop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py_gao@163.com</dc:creator>
  <cp:lastModifiedBy>py_gao@163.com</cp:lastModifiedBy>
  <cp:revision>15</cp:revision>
  <dcterms:created xsi:type="dcterms:W3CDTF">2023-06-19T18:15:00Z</dcterms:created>
  <dcterms:modified xsi:type="dcterms:W3CDTF">2024-03-15T14:12:00Z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511122071E90194066E6926497F3CC52_42</vt:lpwstr>
  </property>
</Properties>
</file>