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88DD" w14:textId="3E8B7D89" w:rsidR="00EC7271" w:rsidRPr="00200CFE" w:rsidRDefault="00EC7271" w:rsidP="00EC7271">
      <w:pPr>
        <w:pStyle w:val="Heading1"/>
        <w:jc w:val="center"/>
        <w:rPr>
          <w:rFonts w:ascii="Corbel" w:hAnsi="Corbel"/>
          <w:b/>
          <w:bCs/>
          <w:color w:val="auto"/>
          <w:sz w:val="28"/>
          <w:szCs w:val="28"/>
        </w:rPr>
      </w:pPr>
      <w:r w:rsidRPr="00200CFE">
        <w:rPr>
          <w:rFonts w:ascii="Corbel" w:hAnsi="Corbel"/>
          <w:b/>
          <w:bCs/>
          <w:color w:val="auto"/>
          <w:sz w:val="28"/>
          <w:szCs w:val="28"/>
        </w:rPr>
        <w:t xml:space="preserve">Supplementary </w:t>
      </w:r>
      <w:r>
        <w:rPr>
          <w:rFonts w:ascii="Corbel" w:hAnsi="Corbel"/>
          <w:b/>
          <w:bCs/>
          <w:color w:val="auto"/>
          <w:sz w:val="28"/>
          <w:szCs w:val="28"/>
        </w:rPr>
        <w:t>Information</w:t>
      </w:r>
    </w:p>
    <w:p w14:paraId="60C79496" w14:textId="77777777" w:rsidR="00EC7271" w:rsidRPr="00EC7271" w:rsidRDefault="00EC7271" w:rsidP="00EC7271">
      <w:pPr>
        <w:pStyle w:val="Heading1"/>
        <w:jc w:val="center"/>
        <w:rPr>
          <w:rFonts w:ascii="Corbel" w:hAnsi="Corbel"/>
          <w:b/>
          <w:bCs/>
          <w:color w:val="auto"/>
          <w:sz w:val="28"/>
          <w:szCs w:val="28"/>
        </w:rPr>
      </w:pPr>
      <w:r w:rsidRPr="00EC7271">
        <w:rPr>
          <w:rFonts w:ascii="Corbel" w:hAnsi="Corbel"/>
          <w:b/>
          <w:bCs/>
          <w:color w:val="auto"/>
          <w:sz w:val="28"/>
          <w:szCs w:val="28"/>
        </w:rPr>
        <w:t>Information search under uncertainty across transdiagnostic psychopathology and healthy ageing</w:t>
      </w:r>
    </w:p>
    <w:p w14:paraId="639C1EA0" w14:textId="77777777" w:rsidR="00EC7271" w:rsidRDefault="00EC7271" w:rsidP="00EC7271">
      <w:pPr>
        <w:jc w:val="both"/>
        <w:rPr>
          <w:rFonts w:cstheme="minorHAnsi"/>
          <w:b/>
          <w:sz w:val="28"/>
          <w:szCs w:val="28"/>
        </w:rPr>
      </w:pPr>
    </w:p>
    <w:p w14:paraId="774FCA12" w14:textId="77777777" w:rsidR="00EC7271" w:rsidRDefault="00EC7271" w:rsidP="00EC7271">
      <w:pPr>
        <w:jc w:val="both"/>
        <w:rPr>
          <w:rFonts w:cstheme="minorHAnsi"/>
          <w:vertAlign w:val="superscript"/>
        </w:rPr>
      </w:pPr>
      <w:r w:rsidRPr="00137FC5">
        <w:rPr>
          <w:rFonts w:cstheme="minorHAnsi"/>
        </w:rPr>
        <w:t>Greta Mohr</w:t>
      </w:r>
      <w:r>
        <w:rPr>
          <w:rFonts w:cstheme="minorHAnsi"/>
          <w:vertAlign w:val="superscript"/>
        </w:rPr>
        <w:t>1</w:t>
      </w:r>
      <w:r>
        <w:rPr>
          <w:rFonts w:cstheme="minorHAnsi"/>
        </w:rPr>
        <w:t xml:space="preserve">, </w:t>
      </w:r>
      <w:r w:rsidRPr="00137FC5">
        <w:rPr>
          <w:rFonts w:cstheme="minorHAnsi"/>
        </w:rPr>
        <w:t>Robin A. A. Ince</w:t>
      </w:r>
      <w:proofErr w:type="gramStart"/>
      <w:r>
        <w:rPr>
          <w:rFonts w:cstheme="minorHAnsi"/>
          <w:vertAlign w:val="superscript"/>
        </w:rPr>
        <w:t>1,*</w:t>
      </w:r>
      <w:proofErr w:type="gramEnd"/>
      <w:r>
        <w:rPr>
          <w:rFonts w:cstheme="minorHAnsi"/>
          <w:vertAlign w:val="superscript"/>
        </w:rPr>
        <w:t xml:space="preserve"> </w:t>
      </w:r>
      <w:r>
        <w:rPr>
          <w:rFonts w:cstheme="minorHAnsi"/>
        </w:rPr>
        <w:t>, C</w:t>
      </w:r>
      <w:r w:rsidRPr="00137FC5">
        <w:rPr>
          <w:rFonts w:cstheme="minorHAnsi"/>
        </w:rPr>
        <w:t>hristopher S.Y. Benwell</w:t>
      </w:r>
      <w:r>
        <w:rPr>
          <w:rFonts w:cstheme="minorHAnsi"/>
          <w:vertAlign w:val="superscript"/>
        </w:rPr>
        <w:t>2,*</w:t>
      </w:r>
    </w:p>
    <w:p w14:paraId="4B080E99" w14:textId="77777777" w:rsidR="00EC7271" w:rsidRDefault="00EC7271" w:rsidP="00EC7271">
      <w:pPr>
        <w:jc w:val="both"/>
        <w:rPr>
          <w:rFonts w:cstheme="minorHAnsi"/>
          <w:vertAlign w:val="superscript"/>
        </w:rPr>
      </w:pPr>
    </w:p>
    <w:p w14:paraId="0F24D961" w14:textId="77777777" w:rsidR="00EC7271" w:rsidRPr="00FC4403" w:rsidRDefault="00EC7271" w:rsidP="00EC7271">
      <w:pPr>
        <w:rPr>
          <w:rFonts w:cstheme="minorHAnsi"/>
          <w:color w:val="000000"/>
          <w:shd w:val="clear" w:color="auto" w:fill="FFFFFF"/>
        </w:rPr>
      </w:pPr>
      <w:r>
        <w:rPr>
          <w:rFonts w:cstheme="minorHAnsi"/>
          <w:vertAlign w:val="superscript"/>
        </w:rPr>
        <w:t>1</w:t>
      </w:r>
      <w:r w:rsidRPr="00137FC5">
        <w:rPr>
          <w:rFonts w:cstheme="minorHAnsi"/>
        </w:rPr>
        <w:t xml:space="preserve"> School of Psychology and Neuroscience, University of Glasgow</w:t>
      </w:r>
      <w:r>
        <w:rPr>
          <w:rFonts w:cstheme="minorHAnsi"/>
        </w:rPr>
        <w:t>;</w:t>
      </w:r>
      <w:r w:rsidRPr="00137FC5">
        <w:rPr>
          <w:rFonts w:cstheme="minorHAnsi"/>
        </w:rPr>
        <w:t xml:space="preserve"> Glasgow, UK.</w:t>
      </w:r>
    </w:p>
    <w:p w14:paraId="13B410E5" w14:textId="77777777" w:rsidR="00EC7271" w:rsidRPr="00137FC5" w:rsidRDefault="00EC7271" w:rsidP="00EC7271">
      <w:pPr>
        <w:rPr>
          <w:rFonts w:cstheme="minorHAnsi"/>
        </w:rPr>
      </w:pPr>
      <w:r>
        <w:rPr>
          <w:rFonts w:cstheme="minorHAnsi"/>
          <w:vertAlign w:val="superscript"/>
        </w:rPr>
        <w:t>2</w:t>
      </w:r>
      <w:r w:rsidRPr="00483E23">
        <w:rPr>
          <w:rFonts w:cstheme="minorHAnsi"/>
          <w:vertAlign w:val="superscript"/>
        </w:rPr>
        <w:t xml:space="preserve"> </w:t>
      </w:r>
      <w:r w:rsidRPr="00137FC5">
        <w:rPr>
          <w:rFonts w:cstheme="minorHAnsi"/>
        </w:rPr>
        <w:t>Division of Psychology, School of Humanities, Social Sciences and Law, University of Dundee</w:t>
      </w:r>
      <w:r>
        <w:rPr>
          <w:rFonts w:cstheme="minorHAnsi"/>
        </w:rPr>
        <w:t>;</w:t>
      </w:r>
      <w:r w:rsidRPr="00137FC5">
        <w:rPr>
          <w:rFonts w:cstheme="minorHAnsi"/>
        </w:rPr>
        <w:t xml:space="preserve"> Dundee, UK.</w:t>
      </w:r>
    </w:p>
    <w:p w14:paraId="7DF8CC92" w14:textId="77777777" w:rsidR="00EC7271" w:rsidRPr="007C41CF" w:rsidRDefault="00EC7271" w:rsidP="00EC7271">
      <w:pPr>
        <w:jc w:val="both"/>
        <w:rPr>
          <w:rFonts w:cstheme="minorHAnsi"/>
        </w:rPr>
      </w:pPr>
      <w:r w:rsidRPr="007C41CF">
        <w:rPr>
          <w:rFonts w:cstheme="minorHAnsi"/>
          <w:vertAlign w:val="superscript"/>
        </w:rPr>
        <w:t xml:space="preserve">* </w:t>
      </w:r>
      <w:r>
        <w:rPr>
          <w:rFonts w:cstheme="minorHAnsi"/>
        </w:rPr>
        <w:t>- equal contribution</w:t>
      </w:r>
    </w:p>
    <w:p w14:paraId="4CCD03C2" w14:textId="77777777" w:rsidR="00EC7271" w:rsidRPr="001B02E4" w:rsidRDefault="00EC7271" w:rsidP="00EC7271">
      <w:pPr>
        <w:jc w:val="both"/>
        <w:rPr>
          <w:rFonts w:cstheme="minorHAnsi"/>
          <w:color w:val="000000"/>
          <w:shd w:val="clear" w:color="auto" w:fill="FFFFFF"/>
        </w:rPr>
      </w:pPr>
    </w:p>
    <w:p w14:paraId="70161A17" w14:textId="77777777" w:rsidR="00EC7271" w:rsidRPr="005E27EB" w:rsidRDefault="00EC7271" w:rsidP="00EC7271">
      <w:pPr>
        <w:jc w:val="both"/>
        <w:rPr>
          <w:rFonts w:cstheme="minorHAnsi"/>
          <w:color w:val="000000"/>
          <w:shd w:val="clear" w:color="auto" w:fill="FFFFFF"/>
        </w:rPr>
      </w:pPr>
      <w:r w:rsidRPr="001B02E4">
        <w:rPr>
          <w:rFonts w:cstheme="minorHAnsi"/>
          <w:color w:val="000000"/>
          <w:shd w:val="clear" w:color="auto" w:fill="FFFFFF"/>
        </w:rPr>
        <w:t>Corresponding author:</w:t>
      </w:r>
      <w:r>
        <w:rPr>
          <w:rFonts w:cstheme="minorHAnsi"/>
          <w:color w:val="000000"/>
          <w:shd w:val="clear" w:color="auto" w:fill="FFFFFF"/>
        </w:rPr>
        <w:t xml:space="preserve"> c.benwell@dundee.ac.uk</w:t>
      </w:r>
    </w:p>
    <w:p w14:paraId="6C9A2C7F" w14:textId="77777777" w:rsidR="00EC7271" w:rsidRDefault="00EC7271" w:rsidP="00200CFE">
      <w:pPr>
        <w:pStyle w:val="Heading1"/>
        <w:rPr>
          <w:rFonts w:ascii="Corbel" w:hAnsi="Corbel"/>
          <w:b/>
          <w:bCs/>
          <w:color w:val="auto"/>
          <w:sz w:val="28"/>
          <w:szCs w:val="28"/>
        </w:rPr>
      </w:pPr>
    </w:p>
    <w:p w14:paraId="7D1B7902" w14:textId="77777777" w:rsidR="00EC7271" w:rsidRDefault="00EC7271" w:rsidP="00EC7271"/>
    <w:p w14:paraId="331CEEA9" w14:textId="77777777" w:rsidR="00EC7271" w:rsidRDefault="00EC7271" w:rsidP="00EC7271"/>
    <w:p w14:paraId="2DF5D5AD" w14:textId="77777777" w:rsidR="00EC7271" w:rsidRDefault="00EC7271" w:rsidP="00EC7271"/>
    <w:p w14:paraId="344BD1A2" w14:textId="77777777" w:rsidR="00EC7271" w:rsidRDefault="00EC7271" w:rsidP="00EC7271"/>
    <w:p w14:paraId="72660EE7" w14:textId="77777777" w:rsidR="00EC7271" w:rsidRDefault="00EC7271" w:rsidP="00EC7271"/>
    <w:p w14:paraId="2515CB61" w14:textId="77777777" w:rsidR="00EC7271" w:rsidRDefault="00EC7271" w:rsidP="00EC7271"/>
    <w:p w14:paraId="2AED3643" w14:textId="77777777" w:rsidR="00EC7271" w:rsidRDefault="00EC7271" w:rsidP="00EC7271"/>
    <w:p w14:paraId="77349210" w14:textId="77777777" w:rsidR="00EC7271" w:rsidRDefault="00EC7271" w:rsidP="00EC7271"/>
    <w:p w14:paraId="0B50A3DE" w14:textId="77777777" w:rsidR="00EC7271" w:rsidRDefault="00EC7271" w:rsidP="00EC7271"/>
    <w:p w14:paraId="543BDBCE" w14:textId="77777777" w:rsidR="00EC7271" w:rsidRDefault="00EC7271" w:rsidP="00EC7271"/>
    <w:p w14:paraId="332E452E" w14:textId="77777777" w:rsidR="00EC7271" w:rsidRDefault="00EC7271" w:rsidP="00EC7271"/>
    <w:p w14:paraId="31A4D2F5" w14:textId="77777777" w:rsidR="00EC7271" w:rsidRDefault="00EC7271" w:rsidP="00EC7271"/>
    <w:p w14:paraId="2E12CCE0" w14:textId="77777777" w:rsidR="00EC7271" w:rsidRDefault="00EC7271" w:rsidP="00EC7271"/>
    <w:p w14:paraId="1FA540FE" w14:textId="77777777" w:rsidR="00EC7271" w:rsidRDefault="00EC7271" w:rsidP="00EC7271"/>
    <w:p w14:paraId="1FFE7DBE" w14:textId="77777777" w:rsidR="00EC7271" w:rsidRDefault="00EC7271" w:rsidP="00EC7271"/>
    <w:p w14:paraId="5A76B881" w14:textId="77777777" w:rsidR="00EC7271" w:rsidRDefault="00EC7271" w:rsidP="00EC7271"/>
    <w:p w14:paraId="36473027" w14:textId="77777777" w:rsidR="00EC7271" w:rsidRDefault="00EC7271" w:rsidP="00EC7271"/>
    <w:p w14:paraId="2F6B2882" w14:textId="77777777" w:rsidR="00EC7271" w:rsidRDefault="00EC7271" w:rsidP="00EC7271"/>
    <w:p w14:paraId="71CBEA35" w14:textId="77777777" w:rsidR="00EC7271" w:rsidRDefault="00EC7271" w:rsidP="00EC7271"/>
    <w:p w14:paraId="071AAFBD" w14:textId="77777777" w:rsidR="00EC7271" w:rsidRPr="00EC7271" w:rsidRDefault="00EC7271" w:rsidP="00EC7271"/>
    <w:p w14:paraId="58B81DD0" w14:textId="0816C542" w:rsidR="00200CFE" w:rsidRPr="00200CFE" w:rsidRDefault="00200CFE" w:rsidP="00200CFE">
      <w:pPr>
        <w:pStyle w:val="Heading1"/>
        <w:rPr>
          <w:rFonts w:ascii="Corbel" w:hAnsi="Corbel"/>
          <w:b/>
          <w:bCs/>
          <w:color w:val="auto"/>
          <w:sz w:val="28"/>
          <w:szCs w:val="28"/>
        </w:rPr>
      </w:pPr>
      <w:r w:rsidRPr="00200CFE">
        <w:rPr>
          <w:rFonts w:ascii="Corbel" w:hAnsi="Corbel"/>
          <w:b/>
          <w:bCs/>
          <w:color w:val="auto"/>
          <w:sz w:val="28"/>
          <w:szCs w:val="28"/>
        </w:rPr>
        <w:lastRenderedPageBreak/>
        <w:t>Supplementary Figures</w:t>
      </w:r>
    </w:p>
    <w:p w14:paraId="2A5CA901" w14:textId="77777777" w:rsidR="00200CFE" w:rsidRPr="00445B93" w:rsidRDefault="00200CFE" w:rsidP="00200CFE"/>
    <w:p w14:paraId="3FCC492E" w14:textId="77777777" w:rsidR="00200CFE" w:rsidRPr="00445B93" w:rsidRDefault="00200CFE" w:rsidP="00200CFE">
      <w:pPr>
        <w:spacing w:before="0" w:after="160"/>
        <w:jc w:val="center"/>
        <w:rPr>
          <w:b/>
          <w:bCs/>
          <w:sz w:val="28"/>
          <w:szCs w:val="28"/>
        </w:rPr>
      </w:pPr>
      <w:r>
        <w:rPr>
          <w:noProof/>
        </w:rPr>
        <w:drawing>
          <wp:inline distT="0" distB="0" distL="0" distR="0" wp14:anchorId="1FC8D4DE" wp14:editId="0BEFFD84">
            <wp:extent cx="4572000" cy="4824256"/>
            <wp:effectExtent l="0" t="0" r="0" b="0"/>
            <wp:docPr id="875656549" name="Picture 3" descr="A group of graphs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4581156" cy="4833917"/>
                    </a:xfrm>
                    <a:prstGeom prst="rect">
                      <a:avLst/>
                    </a:prstGeom>
                  </pic:spPr>
                </pic:pic>
              </a:graphicData>
            </a:graphic>
          </wp:inline>
        </w:drawing>
      </w:r>
    </w:p>
    <w:p w14:paraId="1B203DEF" w14:textId="77777777" w:rsidR="00200CFE" w:rsidRPr="00C52521" w:rsidRDefault="00200CFE" w:rsidP="00200CFE">
      <w:pPr>
        <w:spacing w:before="0" w:line="276" w:lineRule="auto"/>
        <w:rPr>
          <w:sz w:val="20"/>
          <w:szCs w:val="20"/>
        </w:rPr>
      </w:pPr>
      <w:r w:rsidRPr="1196DDC0">
        <w:rPr>
          <w:b/>
          <w:sz w:val="20"/>
          <w:szCs w:val="20"/>
        </w:rPr>
        <w:t>Figure S1.</w:t>
      </w:r>
      <w:r w:rsidRPr="00C52521">
        <w:rPr>
          <w:sz w:val="20"/>
          <w:szCs w:val="20"/>
        </w:rPr>
        <w:t xml:space="preserve"> </w:t>
      </w:r>
      <w:r w:rsidRPr="1196DDC0">
        <w:rPr>
          <w:i/>
          <w:sz w:val="20"/>
          <w:szCs w:val="20"/>
        </w:rPr>
        <w:t>Experiment data and demographics.</w:t>
      </w:r>
      <w:r w:rsidRPr="1196DDC0">
        <w:rPr>
          <w:sz w:val="20"/>
          <w:szCs w:val="20"/>
        </w:rPr>
        <w:t xml:space="preserve"> </w:t>
      </w:r>
      <w:r w:rsidRPr="1196DDC0">
        <w:rPr>
          <w:b/>
          <w:sz w:val="20"/>
          <w:szCs w:val="20"/>
        </w:rPr>
        <w:t>A</w:t>
      </w:r>
      <w:r w:rsidRPr="1196DDC0">
        <w:rPr>
          <w:sz w:val="20"/>
          <w:szCs w:val="20"/>
        </w:rPr>
        <w:t xml:space="preserve">: Distributions of transdiagnostic symptom dimension scores. </w:t>
      </w:r>
      <w:r w:rsidRPr="1196DDC0">
        <w:rPr>
          <w:b/>
          <w:sz w:val="20"/>
          <w:szCs w:val="20"/>
        </w:rPr>
        <w:t>B</w:t>
      </w:r>
      <w:r w:rsidRPr="1196DDC0">
        <w:rPr>
          <w:sz w:val="20"/>
          <w:szCs w:val="20"/>
        </w:rPr>
        <w:t xml:space="preserve">: Distributions of first decision task measures (collapsed across all levels of perceptual evidence). </w:t>
      </w:r>
      <w:r w:rsidRPr="1196DDC0">
        <w:rPr>
          <w:b/>
          <w:sz w:val="20"/>
          <w:szCs w:val="20"/>
        </w:rPr>
        <w:t>C</w:t>
      </w:r>
      <w:r w:rsidRPr="1196DDC0">
        <w:rPr>
          <w:sz w:val="20"/>
          <w:szCs w:val="20"/>
        </w:rPr>
        <w:t xml:space="preserve">: Distributions of final decision task measures (collapsed across all levels of perceptual evidence). </w:t>
      </w:r>
      <w:r w:rsidRPr="1196DDC0">
        <w:rPr>
          <w:b/>
          <w:sz w:val="20"/>
          <w:szCs w:val="20"/>
        </w:rPr>
        <w:t>D</w:t>
      </w:r>
      <w:r w:rsidRPr="1196DDC0">
        <w:rPr>
          <w:sz w:val="20"/>
          <w:szCs w:val="20"/>
        </w:rPr>
        <w:t>: Distributions of demographics.</w:t>
      </w:r>
    </w:p>
    <w:p w14:paraId="3EF4B398" w14:textId="77777777" w:rsidR="00200CFE" w:rsidRPr="00C52521" w:rsidRDefault="00200CFE" w:rsidP="00200CFE">
      <w:pPr>
        <w:spacing w:before="0" w:after="160" w:line="276" w:lineRule="auto"/>
        <w:ind w:left="288"/>
        <w:rPr>
          <w:sz w:val="20"/>
          <w:szCs w:val="20"/>
        </w:rPr>
      </w:pPr>
    </w:p>
    <w:p w14:paraId="4C9AA9C8" w14:textId="77777777" w:rsidR="00200CFE" w:rsidRPr="00C52521" w:rsidRDefault="00200CFE" w:rsidP="00200CFE">
      <w:pPr>
        <w:spacing w:before="0" w:after="160" w:line="276" w:lineRule="auto"/>
        <w:rPr>
          <w:sz w:val="20"/>
          <w:szCs w:val="20"/>
        </w:rPr>
      </w:pPr>
    </w:p>
    <w:p w14:paraId="64703625" w14:textId="77777777" w:rsidR="00200CFE" w:rsidRPr="00C52521" w:rsidRDefault="00200CFE" w:rsidP="00200CFE">
      <w:pPr>
        <w:spacing w:before="0" w:after="160" w:line="276" w:lineRule="auto"/>
        <w:ind w:left="1440"/>
      </w:pPr>
      <w:r>
        <w:rPr>
          <w:noProof/>
        </w:rPr>
        <w:lastRenderedPageBreak/>
        <w:drawing>
          <wp:inline distT="0" distB="0" distL="0" distR="0" wp14:anchorId="34457819" wp14:editId="4BCF613C">
            <wp:extent cx="3577827" cy="3429000"/>
            <wp:effectExtent l="0" t="0" r="0" b="0"/>
            <wp:docPr id="2106583326" name="Picture 783768218"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83326" name="Picture 783768218" descr="A diagram of a flow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577827" cy="3429000"/>
                    </a:xfrm>
                    <a:prstGeom prst="rect">
                      <a:avLst/>
                    </a:prstGeom>
                  </pic:spPr>
                </pic:pic>
              </a:graphicData>
            </a:graphic>
          </wp:inline>
        </w:drawing>
      </w:r>
    </w:p>
    <w:p w14:paraId="3FDA1723" w14:textId="77777777" w:rsidR="00200CFE" w:rsidRPr="00B13EE8" w:rsidRDefault="00200CFE" w:rsidP="00200CFE">
      <w:pPr>
        <w:spacing w:before="0" w:after="160" w:line="259" w:lineRule="auto"/>
        <w:rPr>
          <w:rFonts w:eastAsia="Corbel" w:cs="Corbel"/>
          <w:sz w:val="20"/>
          <w:szCs w:val="20"/>
        </w:rPr>
      </w:pPr>
      <w:r w:rsidRPr="00B13EE8">
        <w:rPr>
          <w:b/>
          <w:bCs/>
          <w:sz w:val="20"/>
          <w:szCs w:val="20"/>
        </w:rPr>
        <w:t xml:space="preserve">Figure S2. </w:t>
      </w:r>
      <w:r w:rsidRPr="00B13EE8">
        <w:rPr>
          <w:rFonts w:eastAsia="Corbel" w:cs="Corbel"/>
          <w:i/>
          <w:iCs/>
        </w:rPr>
        <w:t xml:space="preserve"> Mediation analyses of age-related information seeking advantage</w:t>
      </w:r>
      <w:r w:rsidRPr="00B13EE8">
        <w:rPr>
          <w:sz w:val="20"/>
          <w:szCs w:val="20"/>
        </w:rPr>
        <w:t xml:space="preserve">. </w:t>
      </w:r>
      <w:r w:rsidRPr="00B13EE8">
        <w:rPr>
          <w:rFonts w:eastAsia="Corbel" w:cs="Corbel"/>
          <w:sz w:val="20"/>
          <w:szCs w:val="20"/>
        </w:rPr>
        <w:t xml:space="preserve">A potential explanation for the age-related increase in information seeking </w:t>
      </w:r>
      <w:r w:rsidRPr="00B13EE8">
        <w:rPr>
          <w:sz w:val="20"/>
          <w:szCs w:val="20"/>
        </w:rPr>
        <w:t>may have been that</w:t>
      </w:r>
      <w:r w:rsidRPr="00B13EE8">
        <w:rPr>
          <w:rFonts w:eastAsia="Corbel" w:cs="Corbel"/>
          <w:sz w:val="20"/>
          <w:szCs w:val="20"/>
        </w:rPr>
        <w:t xml:space="preserve"> the experimental manipulation was inherently more helpful for older participants. This interpretation is in line with the fact that the advantage gained from seeking information (calculated as ‘Final decision accuracy on seeking trials’ - ‘Final decision accuracy on non-seeking trials’) increased as a function of age (β</w:t>
      </w:r>
      <w:r w:rsidRPr="00B13EE8">
        <w:rPr>
          <w:rFonts w:ascii="Arial" w:eastAsia="Corbel" w:hAnsi="Arial" w:cs="Arial"/>
          <w:sz w:val="20"/>
          <w:szCs w:val="20"/>
        </w:rPr>
        <w:t> </w:t>
      </w:r>
      <w:r w:rsidRPr="00B13EE8">
        <w:rPr>
          <w:rFonts w:eastAsia="Corbel" w:cs="Corbel"/>
          <w:sz w:val="20"/>
          <w:szCs w:val="20"/>
        </w:rPr>
        <w:t>=</w:t>
      </w:r>
      <w:r w:rsidRPr="00B13EE8">
        <w:rPr>
          <w:rFonts w:ascii="Arial" w:eastAsia="Corbel" w:hAnsi="Arial" w:cs="Arial"/>
          <w:sz w:val="20"/>
          <w:szCs w:val="20"/>
        </w:rPr>
        <w:t> </w:t>
      </w:r>
      <w:r w:rsidRPr="00B13EE8">
        <w:rPr>
          <w:rFonts w:eastAsia="Corbel" w:cs="Corbel"/>
          <w:sz w:val="20"/>
          <w:szCs w:val="20"/>
        </w:rPr>
        <w:t>0.05, p = .027). At face value, this result is difficult to interpret. We know that older participants used the information seeking more often (as shown in our main analyses) and so this may explain the age-related increasing advantage effect (i.e., using the information seeking option more often may have led to a bigger difference in final decision accuracy between seeking and non-seeking trials). However, an alternative possibility is that the extra information presented in this paradigm was inherently more informative for older participants. It could also be the case that both factors contribute. Hence, these hypotheses can be summarised as follows:</w:t>
      </w:r>
    </w:p>
    <w:p w14:paraId="2CB6708F" w14:textId="77777777" w:rsidR="00200CFE" w:rsidRPr="00B13EE8" w:rsidRDefault="00200CFE" w:rsidP="00200CFE">
      <w:pPr>
        <w:spacing w:before="0" w:after="160" w:line="259" w:lineRule="auto"/>
        <w:rPr>
          <w:rFonts w:eastAsia="Corbel" w:cs="Corbel"/>
          <w:sz w:val="20"/>
          <w:szCs w:val="20"/>
        </w:rPr>
      </w:pPr>
      <w:r w:rsidRPr="00B13EE8">
        <w:rPr>
          <w:rFonts w:eastAsia="Corbel" w:cs="Corbel"/>
          <w:b/>
          <w:bCs/>
          <w:sz w:val="20"/>
          <w:szCs w:val="20"/>
        </w:rPr>
        <w:t>A)</w:t>
      </w:r>
      <w:r w:rsidRPr="00B13EE8">
        <w:rPr>
          <w:rFonts w:eastAsia="Corbel" w:cs="Corbel"/>
          <w:sz w:val="20"/>
          <w:szCs w:val="20"/>
        </w:rPr>
        <w:t xml:space="preserve"> Older participants sought information more often and accordingly benefitted more. </w:t>
      </w:r>
    </w:p>
    <w:p w14:paraId="6E08E56E" w14:textId="77777777" w:rsidR="00200CFE" w:rsidRPr="00B13EE8" w:rsidRDefault="00200CFE" w:rsidP="00200CFE">
      <w:pPr>
        <w:spacing w:before="0" w:after="160" w:line="259" w:lineRule="auto"/>
        <w:rPr>
          <w:rFonts w:eastAsia="Corbel" w:cs="Corbel"/>
          <w:sz w:val="20"/>
          <w:szCs w:val="20"/>
        </w:rPr>
      </w:pPr>
      <w:r w:rsidRPr="00B13EE8">
        <w:rPr>
          <w:rFonts w:eastAsia="Corbel" w:cs="Corbel"/>
          <w:b/>
          <w:bCs/>
          <w:sz w:val="20"/>
          <w:szCs w:val="20"/>
        </w:rPr>
        <w:t>B)</w:t>
      </w:r>
      <w:r w:rsidRPr="00B13EE8">
        <w:rPr>
          <w:rFonts w:eastAsia="Corbel" w:cs="Corbel"/>
          <w:sz w:val="20"/>
          <w:szCs w:val="20"/>
        </w:rPr>
        <w:t xml:space="preserve"> Information seeking in the task was inherently more informative for older participants.</w:t>
      </w:r>
    </w:p>
    <w:p w14:paraId="665691BD" w14:textId="77777777" w:rsidR="00200CFE" w:rsidRPr="00B13EE8" w:rsidRDefault="00200CFE" w:rsidP="00200CFE">
      <w:pPr>
        <w:spacing w:before="0" w:after="160" w:line="259" w:lineRule="auto"/>
        <w:rPr>
          <w:rFonts w:eastAsia="Corbel" w:cs="Corbel"/>
          <w:sz w:val="20"/>
          <w:szCs w:val="20"/>
        </w:rPr>
      </w:pPr>
      <w:r w:rsidRPr="00B13EE8">
        <w:rPr>
          <w:rFonts w:eastAsia="Corbel" w:cs="Corbel"/>
          <w:b/>
          <w:bCs/>
          <w:sz w:val="20"/>
          <w:szCs w:val="20"/>
        </w:rPr>
        <w:t>C)</w:t>
      </w:r>
      <w:r w:rsidRPr="00B13EE8">
        <w:rPr>
          <w:rFonts w:eastAsia="Corbel" w:cs="Corbel"/>
          <w:sz w:val="20"/>
          <w:szCs w:val="20"/>
        </w:rPr>
        <w:t xml:space="preserve"> Both factors contributed to the effect</w:t>
      </w:r>
    </w:p>
    <w:p w14:paraId="2221E557" w14:textId="77777777" w:rsidR="00200CFE" w:rsidRPr="00B13EE8" w:rsidRDefault="00200CFE" w:rsidP="00200CFE">
      <w:pPr>
        <w:spacing w:before="0" w:after="160"/>
        <w:rPr>
          <w:rFonts w:eastAsia="Corbel" w:cs="Corbel"/>
          <w:sz w:val="20"/>
          <w:szCs w:val="20"/>
        </w:rPr>
      </w:pPr>
      <w:r w:rsidRPr="00B13EE8">
        <w:rPr>
          <w:rFonts w:eastAsia="Corbel" w:cs="Corbel"/>
          <w:sz w:val="20"/>
          <w:szCs w:val="20"/>
        </w:rPr>
        <w:t xml:space="preserve">To test these hypotheses, we performed two separate mediation analyses. In the first analysis (Figure S2A), we reasoned that if the information seeking manipulation was inherently more informative for older participants than young (Hypothesis </w:t>
      </w:r>
      <w:r w:rsidRPr="00B13EE8">
        <w:rPr>
          <w:rFonts w:eastAsia="Corbel" w:cs="Corbel"/>
          <w:b/>
          <w:bCs/>
          <w:sz w:val="20"/>
          <w:szCs w:val="20"/>
        </w:rPr>
        <w:t>B</w:t>
      </w:r>
      <w:r w:rsidRPr="00B13EE8">
        <w:rPr>
          <w:rFonts w:eastAsia="Corbel" w:cs="Corbel"/>
          <w:sz w:val="20"/>
          <w:szCs w:val="20"/>
        </w:rPr>
        <w:t xml:space="preserve">), then age should be significantly related to information seeking advantage even when the amount of information seeking is controlled for. In other words, when the amount of information seeking is controlled for, older participants should still show an increased information seeking advantage. Alternatively, if the relationship between age and information seeking advantage is explained by older participants using the information seeking option more often (Hypothesis </w:t>
      </w:r>
      <w:r w:rsidRPr="00B13EE8">
        <w:rPr>
          <w:rFonts w:eastAsia="Corbel" w:cs="Corbel"/>
          <w:b/>
          <w:bCs/>
          <w:sz w:val="20"/>
          <w:szCs w:val="20"/>
        </w:rPr>
        <w:t>A</w:t>
      </w:r>
      <w:r w:rsidRPr="00B13EE8">
        <w:rPr>
          <w:rFonts w:eastAsia="Corbel" w:cs="Corbel"/>
          <w:sz w:val="20"/>
          <w:szCs w:val="20"/>
        </w:rPr>
        <w:t xml:space="preserve">), then the relationship between age and information seeking advantage should be weakened (Hypothesis </w:t>
      </w:r>
      <w:r w:rsidRPr="00B13EE8">
        <w:rPr>
          <w:rFonts w:eastAsia="Corbel" w:cs="Corbel"/>
          <w:b/>
          <w:bCs/>
          <w:sz w:val="20"/>
          <w:szCs w:val="20"/>
        </w:rPr>
        <w:t>C</w:t>
      </w:r>
      <w:r w:rsidRPr="00B13EE8">
        <w:rPr>
          <w:rFonts w:eastAsia="Corbel" w:cs="Corbel"/>
          <w:sz w:val="20"/>
          <w:szCs w:val="20"/>
        </w:rPr>
        <w:t xml:space="preserve">) or eliminated (Hypothesis </w:t>
      </w:r>
      <w:r w:rsidRPr="00B13EE8">
        <w:rPr>
          <w:rFonts w:eastAsia="Corbel" w:cs="Corbel"/>
          <w:b/>
          <w:bCs/>
          <w:sz w:val="20"/>
          <w:szCs w:val="20"/>
        </w:rPr>
        <w:t>A</w:t>
      </w:r>
      <w:r w:rsidRPr="00B13EE8">
        <w:rPr>
          <w:rFonts w:eastAsia="Corbel" w:cs="Corbel"/>
          <w:sz w:val="20"/>
          <w:szCs w:val="20"/>
        </w:rPr>
        <w:t xml:space="preserve">) when the amount of information seeking is controlled for. We tested the hypotheses with a mediation model in which the ‘% of information seeking trials’ was proposed as a mediator of the ‘age’ – ‘information seeking advantage’ relationship (see Figure below). The results supported Hypothesis </w:t>
      </w:r>
      <w:r w:rsidRPr="00B13EE8">
        <w:rPr>
          <w:rFonts w:eastAsia="Corbel" w:cs="Corbel"/>
          <w:b/>
          <w:bCs/>
          <w:sz w:val="20"/>
          <w:szCs w:val="20"/>
        </w:rPr>
        <w:t>A:</w:t>
      </w:r>
      <w:r w:rsidRPr="00B13EE8">
        <w:rPr>
          <w:rFonts w:eastAsia="Corbel" w:cs="Corbel"/>
          <w:sz w:val="20"/>
          <w:szCs w:val="20"/>
        </w:rPr>
        <w:t xml:space="preserve"> The increased information seeking advantage as a function of age (total effect: β = .11, p = .027) was fully mediated by the increased % of information seeking trials as a function of age (mediation effect: β = .06, p = 0.012, corrected direct effect: β = .05, p = 0.3).  </w:t>
      </w:r>
    </w:p>
    <w:p w14:paraId="096800BE" w14:textId="77777777" w:rsidR="00200CFE" w:rsidRPr="00B13EE8" w:rsidRDefault="00200CFE" w:rsidP="00200CFE">
      <w:pPr>
        <w:spacing w:before="0" w:after="160"/>
        <w:rPr>
          <w:rFonts w:eastAsia="Corbel" w:cs="Corbel"/>
          <w:sz w:val="20"/>
          <w:szCs w:val="20"/>
        </w:rPr>
      </w:pPr>
    </w:p>
    <w:p w14:paraId="75F12D18" w14:textId="77777777" w:rsidR="00200CFE" w:rsidRPr="00B13EE8" w:rsidRDefault="00200CFE" w:rsidP="00200CFE">
      <w:pPr>
        <w:spacing w:before="0" w:after="160"/>
        <w:rPr>
          <w:rFonts w:eastAsia="Corbel" w:cs="Corbel"/>
          <w:sz w:val="20"/>
          <w:szCs w:val="20"/>
        </w:rPr>
      </w:pPr>
      <w:r w:rsidRPr="00B13EE8">
        <w:rPr>
          <w:rFonts w:eastAsia="Corbel" w:cs="Corbel"/>
          <w:sz w:val="20"/>
          <w:szCs w:val="20"/>
        </w:rPr>
        <w:lastRenderedPageBreak/>
        <w:t>In a second analysis (Figure S2B), we further tested the concern that information seeking may have increased with age only because the information was inherently more useful for older participants with an alternative mediation model. Here, we reasoned that if the age-related increase in the amount of information seeking could be explained away by increased usefulness of information seeking with age, then the relationship between age and the amount of information seeking would be weakened or eliminated when the information seeking advantage was controlled for. We tested this hypothesis with a mediation model in which the ‘information seeking advantage’ was proposed as a mediator of the ‘age’ – ‘% of information seeking trials’ relationship (see Figure below). The results showed that information seeking advantage did not mediate the relationship between age and the amount of information seeking (mediation effect: β = .012, p = 0.108, total effect: β = .71, p &lt; .001, corrected direct effect: β = .694, p &lt; .001).</w:t>
      </w:r>
    </w:p>
    <w:p w14:paraId="405BFB23" w14:textId="77777777" w:rsidR="00200CFE" w:rsidRPr="00B13EE8" w:rsidRDefault="00200CFE" w:rsidP="00200CFE">
      <w:pPr>
        <w:spacing w:before="0" w:after="160"/>
        <w:rPr>
          <w:rFonts w:eastAsia="Corbel" w:cs="Corbel"/>
          <w:sz w:val="20"/>
          <w:szCs w:val="20"/>
        </w:rPr>
      </w:pPr>
    </w:p>
    <w:p w14:paraId="23BE4CA7" w14:textId="77777777" w:rsidR="00200CFE" w:rsidRPr="00B13EE8" w:rsidRDefault="00200CFE" w:rsidP="00200CFE">
      <w:pPr>
        <w:spacing w:before="0" w:after="160"/>
        <w:rPr>
          <w:rFonts w:eastAsia="Corbel" w:cs="Corbel"/>
          <w:sz w:val="20"/>
          <w:szCs w:val="20"/>
        </w:rPr>
      </w:pPr>
      <w:r w:rsidRPr="00B13EE8">
        <w:rPr>
          <w:rFonts w:eastAsia="Corbel" w:cs="Corbel"/>
          <w:sz w:val="20"/>
          <w:szCs w:val="20"/>
        </w:rPr>
        <w:t>Taken together, the evidence from the two mediation models supports an interpretation that the age-related increase in information seeking cannot be explained away by the experimental manipulation only being helpful in older participants. We note that in the youngest participants (aged 17-22) there was already a clear advantage in final decision accuracy for seeking versus non-seeking trials (</w:t>
      </w:r>
      <w:proofErr w:type="gramStart"/>
      <w:r w:rsidRPr="00B13EE8">
        <w:rPr>
          <w:rFonts w:eastAsia="Corbel" w:cs="Corbel"/>
          <w:sz w:val="20"/>
          <w:szCs w:val="20"/>
        </w:rPr>
        <w:t>t(</w:t>
      </w:r>
      <w:proofErr w:type="gramEnd"/>
      <w:r w:rsidRPr="00B13EE8">
        <w:rPr>
          <w:rFonts w:eastAsia="Corbel" w:cs="Corbel"/>
          <w:sz w:val="20"/>
          <w:szCs w:val="20"/>
        </w:rPr>
        <w:t>261) = 2.83, p=0.005), thereby showing that the manipulation was helpful even in the youngest participants in the sample.</w:t>
      </w:r>
    </w:p>
    <w:p w14:paraId="568F5B76" w14:textId="77777777" w:rsidR="00200CFE" w:rsidRDefault="00200CFE" w:rsidP="00200CFE">
      <w:pPr>
        <w:spacing w:before="0" w:after="160"/>
        <w:rPr>
          <w:rFonts w:eastAsia="Corbel" w:cs="Corbel"/>
          <w:color w:val="000000" w:themeColor="text1"/>
          <w:sz w:val="20"/>
          <w:szCs w:val="20"/>
        </w:rPr>
      </w:pPr>
    </w:p>
    <w:p w14:paraId="54B4B1EE" w14:textId="77777777" w:rsidR="00200CFE" w:rsidRDefault="00200CFE" w:rsidP="00200CFE">
      <w:pPr>
        <w:spacing w:before="0"/>
        <w:ind w:left="1008"/>
        <w:rPr>
          <w:rFonts w:eastAsiaTheme="minorEastAsia"/>
          <w:sz w:val="20"/>
          <w:szCs w:val="20"/>
        </w:rPr>
      </w:pPr>
      <w:r>
        <w:rPr>
          <w:noProof/>
        </w:rPr>
        <w:drawing>
          <wp:inline distT="0" distB="0" distL="0" distR="0" wp14:anchorId="4135B310" wp14:editId="442352CA">
            <wp:extent cx="3808688" cy="2386940"/>
            <wp:effectExtent l="0" t="0" r="1905" b="1270"/>
            <wp:docPr id="2103253908" name="Picture 6" descr="A graph of age and 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
                      <a:extLst>
                        <a:ext uri="{28A0092B-C50C-407E-A947-70E740481C1C}">
                          <a14:useLocalDpi xmlns:a14="http://schemas.microsoft.com/office/drawing/2010/main" val="0"/>
                        </a:ext>
                      </a:extLst>
                    </a:blip>
                    <a:stretch>
                      <a:fillRect/>
                    </a:stretch>
                  </pic:blipFill>
                  <pic:spPr>
                    <a:xfrm>
                      <a:off x="0" y="0"/>
                      <a:ext cx="3808688" cy="2386940"/>
                    </a:xfrm>
                    <a:prstGeom prst="rect">
                      <a:avLst/>
                    </a:prstGeom>
                  </pic:spPr>
                </pic:pic>
              </a:graphicData>
            </a:graphic>
          </wp:inline>
        </w:drawing>
      </w:r>
    </w:p>
    <w:p w14:paraId="331ADF2A" w14:textId="77777777" w:rsidR="00200CFE" w:rsidRDefault="00200CFE" w:rsidP="00200CFE">
      <w:pPr>
        <w:spacing w:before="0"/>
        <w:rPr>
          <w:rFonts w:asciiTheme="minorHAnsi" w:hAnsiTheme="minorHAnsi"/>
        </w:rPr>
      </w:pPr>
      <w:r w:rsidRPr="1196DDC0">
        <w:rPr>
          <w:rFonts w:eastAsiaTheme="minorEastAsia"/>
          <w:b/>
          <w:bCs/>
          <w:sz w:val="20"/>
          <w:szCs w:val="20"/>
        </w:rPr>
        <w:t>Figure S3.</w:t>
      </w:r>
      <w:r w:rsidRPr="1196DDC0">
        <w:rPr>
          <w:rFonts w:eastAsiaTheme="minorEastAsia"/>
          <w:sz w:val="20"/>
          <w:szCs w:val="20"/>
        </w:rPr>
        <w:t xml:space="preserve"> </w:t>
      </w:r>
      <w:r w:rsidRPr="1196DDC0">
        <w:rPr>
          <w:rFonts w:eastAsiaTheme="minorEastAsia"/>
          <w:i/>
          <w:iCs/>
          <w:sz w:val="20"/>
          <w:szCs w:val="20"/>
        </w:rPr>
        <w:t xml:space="preserve">The relationship between age and information seeking is consistent across the sampled range of ages. </w:t>
      </w:r>
      <w:r w:rsidRPr="1196DDC0">
        <w:rPr>
          <w:rFonts w:eastAsiaTheme="minorEastAsia"/>
          <w:sz w:val="20"/>
          <w:szCs w:val="20"/>
        </w:rPr>
        <w:t>Scattered points show the relationship between age (x-axis) and average information seeking (y-axis) across participants (points). We fit three linear regression models to this relationship. The first model uses all participants (purple line; β</w:t>
      </w:r>
      <w:r w:rsidRPr="1196DDC0">
        <w:rPr>
          <w:rFonts w:ascii="Arial" w:eastAsiaTheme="minorEastAsia" w:hAnsi="Arial" w:cs="Arial"/>
          <w:sz w:val="20"/>
          <w:szCs w:val="20"/>
        </w:rPr>
        <w:t> </w:t>
      </w:r>
      <w:r w:rsidRPr="1196DDC0">
        <w:rPr>
          <w:rFonts w:eastAsiaTheme="minorEastAsia"/>
          <w:sz w:val="20"/>
          <w:szCs w:val="20"/>
        </w:rPr>
        <w:t>=</w:t>
      </w:r>
      <w:r w:rsidRPr="1196DDC0">
        <w:rPr>
          <w:rFonts w:ascii="Arial" w:eastAsiaTheme="minorEastAsia" w:hAnsi="Arial" w:cs="Arial"/>
          <w:sz w:val="20"/>
          <w:szCs w:val="20"/>
        </w:rPr>
        <w:t> </w:t>
      </w:r>
      <w:r w:rsidRPr="1196DDC0">
        <w:rPr>
          <w:rFonts w:eastAsiaTheme="minorEastAsia"/>
          <w:sz w:val="20"/>
          <w:szCs w:val="20"/>
        </w:rPr>
        <w:t>0.67 ± 0.06 [SE], p &lt; 2e</w:t>
      </w:r>
      <w:r w:rsidRPr="1196DDC0">
        <w:rPr>
          <w:rFonts w:eastAsiaTheme="minorEastAsia"/>
          <w:sz w:val="20"/>
          <w:szCs w:val="20"/>
          <w:vertAlign w:val="superscript"/>
        </w:rPr>
        <w:t>-29</w:t>
      </w:r>
      <w:r w:rsidRPr="1196DDC0">
        <w:rPr>
          <w:rFonts w:eastAsiaTheme="minorEastAsia"/>
          <w:sz w:val="20"/>
          <w:szCs w:val="20"/>
        </w:rPr>
        <w:t>). We then median split the data and fit the same linear model to younger (age &lt;= 31, N = 459,</w:t>
      </w:r>
      <w:r w:rsidRPr="1196DDC0">
        <w:rPr>
          <w:rFonts w:asciiTheme="minorHAnsi" w:hAnsiTheme="minorHAnsi"/>
        </w:rPr>
        <w:t xml:space="preserve"> </w:t>
      </w:r>
      <w:r w:rsidRPr="1196DDC0">
        <w:rPr>
          <w:rFonts w:eastAsiaTheme="minorEastAsia"/>
          <w:sz w:val="20"/>
          <w:szCs w:val="20"/>
        </w:rPr>
        <w:t>β</w:t>
      </w:r>
      <w:r w:rsidRPr="1196DDC0">
        <w:rPr>
          <w:rFonts w:ascii="Arial" w:eastAsiaTheme="minorEastAsia" w:hAnsi="Arial" w:cs="Arial"/>
          <w:sz w:val="20"/>
          <w:szCs w:val="20"/>
        </w:rPr>
        <w:t> </w:t>
      </w:r>
      <w:r w:rsidRPr="1196DDC0">
        <w:rPr>
          <w:rFonts w:eastAsiaTheme="minorEastAsia"/>
          <w:sz w:val="20"/>
          <w:szCs w:val="20"/>
        </w:rPr>
        <w:t>=</w:t>
      </w:r>
      <w:r w:rsidRPr="1196DDC0">
        <w:rPr>
          <w:rFonts w:ascii="Arial" w:eastAsiaTheme="minorEastAsia" w:hAnsi="Arial" w:cs="Arial"/>
          <w:sz w:val="20"/>
          <w:szCs w:val="20"/>
        </w:rPr>
        <w:t> </w:t>
      </w:r>
      <w:r w:rsidRPr="1196DDC0">
        <w:rPr>
          <w:rFonts w:eastAsiaTheme="minorEastAsia"/>
          <w:sz w:val="20"/>
          <w:szCs w:val="20"/>
        </w:rPr>
        <w:t>0.68 ± 0.25 [SE], p &lt; .008) and older (age &gt; 32, N = 449, β</w:t>
      </w:r>
      <w:r w:rsidRPr="1196DDC0">
        <w:rPr>
          <w:rFonts w:ascii="Arial" w:eastAsiaTheme="minorEastAsia" w:hAnsi="Arial" w:cs="Arial"/>
          <w:sz w:val="20"/>
          <w:szCs w:val="20"/>
        </w:rPr>
        <w:t> </w:t>
      </w:r>
      <w:r w:rsidRPr="1196DDC0">
        <w:rPr>
          <w:rFonts w:eastAsiaTheme="minorEastAsia"/>
          <w:sz w:val="20"/>
          <w:szCs w:val="20"/>
        </w:rPr>
        <w:t>=</w:t>
      </w:r>
      <w:r w:rsidRPr="1196DDC0">
        <w:rPr>
          <w:rFonts w:ascii="Arial" w:eastAsiaTheme="minorEastAsia" w:hAnsi="Arial" w:cs="Arial"/>
          <w:sz w:val="20"/>
          <w:szCs w:val="20"/>
        </w:rPr>
        <w:t> </w:t>
      </w:r>
      <w:r w:rsidRPr="1196DDC0">
        <w:rPr>
          <w:rFonts w:eastAsiaTheme="minorEastAsia"/>
          <w:sz w:val="20"/>
          <w:szCs w:val="20"/>
        </w:rPr>
        <w:t>0.59 ± 0.12 [SE], p &lt; 2e</w:t>
      </w:r>
      <w:r w:rsidRPr="1196DDC0">
        <w:rPr>
          <w:rFonts w:eastAsiaTheme="minorEastAsia"/>
          <w:sz w:val="20"/>
          <w:szCs w:val="20"/>
          <w:vertAlign w:val="superscript"/>
        </w:rPr>
        <w:t>-6</w:t>
      </w:r>
      <w:r w:rsidRPr="1196DDC0">
        <w:rPr>
          <w:rFonts w:eastAsiaTheme="minorEastAsia"/>
          <w:sz w:val="20"/>
          <w:szCs w:val="20"/>
        </w:rPr>
        <w:t xml:space="preserve">) participants separately. The relationship between age and information seeking was consistent between these models. </w:t>
      </w:r>
      <w:r w:rsidRPr="1196DDC0">
        <w:rPr>
          <w:rFonts w:asciiTheme="minorHAnsi" w:hAnsiTheme="minorHAnsi"/>
        </w:rPr>
        <w:t xml:space="preserve"> </w:t>
      </w:r>
    </w:p>
    <w:p w14:paraId="28F010B9" w14:textId="77777777" w:rsidR="00200CFE" w:rsidRDefault="00200CFE" w:rsidP="00200CFE">
      <w:pPr>
        <w:spacing w:before="0" w:after="160"/>
        <w:rPr>
          <w:rFonts w:eastAsia="Corbel" w:cs="Corbel"/>
          <w:color w:val="000000" w:themeColor="text1"/>
          <w:sz w:val="20"/>
          <w:szCs w:val="20"/>
        </w:rPr>
      </w:pPr>
    </w:p>
    <w:p w14:paraId="1CBE411B" w14:textId="77777777" w:rsidR="00200CFE" w:rsidRDefault="00200CFE" w:rsidP="00200CFE">
      <w:pPr>
        <w:spacing w:before="0" w:after="160"/>
        <w:rPr>
          <w:rFonts w:eastAsia="Corbel" w:cs="Corbel"/>
          <w:color w:val="000000" w:themeColor="text1"/>
          <w:sz w:val="20"/>
          <w:szCs w:val="20"/>
        </w:rPr>
      </w:pPr>
    </w:p>
    <w:p w14:paraId="49D46F9E" w14:textId="77777777" w:rsidR="00200CFE" w:rsidRDefault="00200CFE" w:rsidP="00200CFE">
      <w:pPr>
        <w:spacing w:before="0" w:after="160"/>
        <w:rPr>
          <w:rFonts w:eastAsia="Corbel" w:cs="Corbel"/>
          <w:color w:val="000000" w:themeColor="text1"/>
          <w:sz w:val="20"/>
          <w:szCs w:val="20"/>
        </w:rPr>
      </w:pPr>
    </w:p>
    <w:p w14:paraId="75CACCD3" w14:textId="77777777" w:rsidR="00200CFE" w:rsidRDefault="00200CFE" w:rsidP="00200CFE">
      <w:pPr>
        <w:spacing w:before="0" w:after="160"/>
        <w:rPr>
          <w:rFonts w:eastAsia="Corbel" w:cs="Corbel"/>
          <w:color w:val="000000" w:themeColor="text1"/>
          <w:sz w:val="20"/>
          <w:szCs w:val="20"/>
        </w:rPr>
      </w:pPr>
    </w:p>
    <w:p w14:paraId="00209EFC" w14:textId="77777777" w:rsidR="00200CFE" w:rsidRPr="00C52521" w:rsidRDefault="00200CFE" w:rsidP="00200CFE">
      <w:pPr>
        <w:spacing w:before="0" w:after="160" w:line="480" w:lineRule="auto"/>
        <w:jc w:val="center"/>
      </w:pPr>
      <w:r>
        <w:rPr>
          <w:noProof/>
        </w:rPr>
        <w:lastRenderedPageBreak/>
        <w:drawing>
          <wp:inline distT="0" distB="0" distL="0" distR="0" wp14:anchorId="1A2BF164" wp14:editId="22D85349">
            <wp:extent cx="5731510" cy="4860925"/>
            <wp:effectExtent l="0" t="0" r="0" b="3175"/>
            <wp:docPr id="1961174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74315" name="Picture 1961174315"/>
                    <pic:cNvPicPr/>
                  </pic:nvPicPr>
                  <pic:blipFill>
                    <a:blip r:embed="rId7">
                      <a:extLst>
                        <a:ext uri="{28A0092B-C50C-407E-A947-70E740481C1C}">
                          <a14:useLocalDpi xmlns:a14="http://schemas.microsoft.com/office/drawing/2010/main" val="0"/>
                        </a:ext>
                      </a:extLst>
                    </a:blip>
                    <a:stretch>
                      <a:fillRect/>
                    </a:stretch>
                  </pic:blipFill>
                  <pic:spPr>
                    <a:xfrm>
                      <a:off x="0" y="0"/>
                      <a:ext cx="5731510" cy="4860925"/>
                    </a:xfrm>
                    <a:prstGeom prst="rect">
                      <a:avLst/>
                    </a:prstGeom>
                  </pic:spPr>
                </pic:pic>
              </a:graphicData>
            </a:graphic>
          </wp:inline>
        </w:drawing>
      </w:r>
    </w:p>
    <w:p w14:paraId="7E7FE569" w14:textId="77777777" w:rsidR="00200CFE" w:rsidRDefault="00200CFE" w:rsidP="00200CFE">
      <w:pPr>
        <w:spacing w:before="0"/>
        <w:rPr>
          <w:sz w:val="20"/>
          <w:szCs w:val="20"/>
        </w:rPr>
      </w:pPr>
      <w:r w:rsidRPr="00C52521">
        <w:rPr>
          <w:b/>
          <w:bCs/>
          <w:sz w:val="20"/>
          <w:szCs w:val="20"/>
        </w:rPr>
        <w:t xml:space="preserve">Figure </w:t>
      </w:r>
      <w:r w:rsidRPr="1196DDC0">
        <w:rPr>
          <w:b/>
          <w:bCs/>
          <w:sz w:val="20"/>
          <w:szCs w:val="20"/>
        </w:rPr>
        <w:t>S4</w:t>
      </w:r>
      <w:r w:rsidRPr="00C52521">
        <w:rPr>
          <w:b/>
          <w:bCs/>
          <w:sz w:val="20"/>
          <w:szCs w:val="20"/>
        </w:rPr>
        <w:t xml:space="preserve">. </w:t>
      </w:r>
      <w:r w:rsidRPr="00001AEA">
        <w:rPr>
          <w:i/>
          <w:iCs/>
          <w:sz w:val="20"/>
          <w:szCs w:val="20"/>
        </w:rPr>
        <w:t>Replication of overall findings in each task condition</w:t>
      </w:r>
      <w:r w:rsidRPr="00C52521">
        <w:rPr>
          <w:sz w:val="20"/>
          <w:szCs w:val="20"/>
        </w:rPr>
        <w:t xml:space="preserve">. Bar charts show the standardised regression coefficients (error bars show +/- standard error) from a linear model for each task measure (dependent variable) with age, sex, and symptom dimensions as independent variables. </w:t>
      </w:r>
      <w:r w:rsidRPr="00647161">
        <w:rPr>
          <w:b/>
          <w:bCs/>
          <w:sz w:val="20"/>
          <w:szCs w:val="20"/>
        </w:rPr>
        <w:t>A</w:t>
      </w:r>
      <w:r>
        <w:rPr>
          <w:sz w:val="20"/>
          <w:szCs w:val="20"/>
        </w:rPr>
        <w:t>:</w:t>
      </w:r>
      <w:r w:rsidRPr="00C52521">
        <w:rPr>
          <w:sz w:val="20"/>
          <w:szCs w:val="20"/>
        </w:rPr>
        <w:t xml:space="preserve"> First decision accuracy</w:t>
      </w:r>
      <w:r>
        <w:rPr>
          <w:sz w:val="20"/>
          <w:szCs w:val="20"/>
        </w:rPr>
        <w:t>.</w:t>
      </w:r>
      <w:r w:rsidRPr="00C52521">
        <w:rPr>
          <w:sz w:val="20"/>
          <w:szCs w:val="20"/>
        </w:rPr>
        <w:t xml:space="preserve"> </w:t>
      </w:r>
      <w:r>
        <w:rPr>
          <w:b/>
          <w:bCs/>
          <w:sz w:val="20"/>
          <w:szCs w:val="20"/>
        </w:rPr>
        <w:t>B</w:t>
      </w:r>
      <w:r>
        <w:rPr>
          <w:sz w:val="20"/>
          <w:szCs w:val="20"/>
        </w:rPr>
        <w:t>:</w:t>
      </w:r>
      <w:r w:rsidRPr="00C52521">
        <w:rPr>
          <w:sz w:val="20"/>
          <w:szCs w:val="20"/>
        </w:rPr>
        <w:t xml:space="preserve"> First decision confidence.</w:t>
      </w:r>
      <w:r>
        <w:rPr>
          <w:sz w:val="20"/>
          <w:szCs w:val="20"/>
        </w:rPr>
        <w:t xml:space="preserve"> </w:t>
      </w:r>
      <w:r>
        <w:rPr>
          <w:b/>
          <w:bCs/>
          <w:sz w:val="20"/>
          <w:szCs w:val="20"/>
        </w:rPr>
        <w:t>C</w:t>
      </w:r>
      <w:r w:rsidRPr="00647161">
        <w:rPr>
          <w:sz w:val="20"/>
          <w:szCs w:val="20"/>
        </w:rPr>
        <w:t>:</w:t>
      </w:r>
      <w:r w:rsidRPr="00C52521">
        <w:rPr>
          <w:sz w:val="20"/>
          <w:szCs w:val="20"/>
        </w:rPr>
        <w:t xml:space="preserve"> Information seeking. </w:t>
      </w:r>
      <w:r>
        <w:rPr>
          <w:b/>
          <w:bCs/>
          <w:sz w:val="20"/>
          <w:szCs w:val="20"/>
        </w:rPr>
        <w:t>D</w:t>
      </w:r>
      <w:r>
        <w:rPr>
          <w:sz w:val="20"/>
          <w:szCs w:val="20"/>
        </w:rPr>
        <w:t>:</w:t>
      </w:r>
      <w:r w:rsidRPr="00C52521">
        <w:rPr>
          <w:sz w:val="20"/>
          <w:szCs w:val="20"/>
        </w:rPr>
        <w:t xml:space="preserve"> Final decision accuracy. </w:t>
      </w:r>
      <w:r w:rsidRPr="00647161">
        <w:rPr>
          <w:b/>
          <w:bCs/>
          <w:sz w:val="20"/>
          <w:szCs w:val="20"/>
        </w:rPr>
        <w:t>E</w:t>
      </w:r>
      <w:r>
        <w:rPr>
          <w:sz w:val="20"/>
          <w:szCs w:val="20"/>
        </w:rPr>
        <w:t>:</w:t>
      </w:r>
      <w:r w:rsidRPr="00C52521">
        <w:rPr>
          <w:sz w:val="20"/>
          <w:szCs w:val="20"/>
        </w:rPr>
        <w:t xml:space="preserve"> Final decision confidence. *p</w:t>
      </w:r>
      <w:r w:rsidRPr="00C52521">
        <w:rPr>
          <w:rFonts w:ascii="Arial" w:hAnsi="Arial" w:cs="Arial"/>
          <w:sz w:val="20"/>
          <w:szCs w:val="20"/>
        </w:rPr>
        <w:t> </w:t>
      </w:r>
      <w:r w:rsidRPr="00C52521">
        <w:rPr>
          <w:sz w:val="20"/>
          <w:szCs w:val="20"/>
        </w:rPr>
        <w:t>&lt;</w:t>
      </w:r>
      <w:r w:rsidRPr="00C52521">
        <w:rPr>
          <w:rFonts w:ascii="Arial" w:hAnsi="Arial" w:cs="Arial"/>
          <w:sz w:val="20"/>
          <w:szCs w:val="20"/>
        </w:rPr>
        <w:t> </w:t>
      </w:r>
      <w:r w:rsidRPr="00C52521">
        <w:rPr>
          <w:sz w:val="20"/>
          <w:szCs w:val="20"/>
        </w:rPr>
        <w:t xml:space="preserve">0.05. We found that all relationships were consistent with the main findings across all conditions in terms of significance and direction of effect. </w:t>
      </w:r>
    </w:p>
    <w:p w14:paraId="0B90F25F" w14:textId="77777777" w:rsidR="00200CFE" w:rsidRDefault="00200CFE" w:rsidP="00200CFE">
      <w:pPr>
        <w:spacing w:before="0"/>
        <w:rPr>
          <w:sz w:val="20"/>
          <w:szCs w:val="20"/>
        </w:rPr>
      </w:pPr>
    </w:p>
    <w:p w14:paraId="52AEE6B9" w14:textId="77777777" w:rsidR="00200CFE" w:rsidRDefault="00200CFE" w:rsidP="00200CFE">
      <w:pPr>
        <w:spacing w:before="0"/>
        <w:rPr>
          <w:sz w:val="20"/>
          <w:szCs w:val="20"/>
        </w:rPr>
      </w:pPr>
    </w:p>
    <w:p w14:paraId="1AD63A99" w14:textId="77777777" w:rsidR="00200CFE" w:rsidRDefault="00200CFE" w:rsidP="00200CFE">
      <w:pPr>
        <w:spacing w:before="0"/>
        <w:rPr>
          <w:sz w:val="20"/>
          <w:szCs w:val="20"/>
        </w:rPr>
      </w:pPr>
    </w:p>
    <w:p w14:paraId="2792CEEF" w14:textId="77777777" w:rsidR="00200CFE" w:rsidRDefault="00200CFE" w:rsidP="00200CFE">
      <w:pPr>
        <w:spacing w:before="0"/>
        <w:rPr>
          <w:sz w:val="20"/>
          <w:szCs w:val="20"/>
        </w:rPr>
      </w:pPr>
    </w:p>
    <w:p w14:paraId="46196803" w14:textId="77777777" w:rsidR="00200CFE" w:rsidRPr="00C52521" w:rsidRDefault="00200CFE" w:rsidP="00200CFE">
      <w:pPr>
        <w:spacing w:before="0"/>
        <w:rPr>
          <w:sz w:val="20"/>
          <w:szCs w:val="20"/>
        </w:rPr>
      </w:pPr>
    </w:p>
    <w:p w14:paraId="57B815FA" w14:textId="77777777" w:rsidR="00200CFE" w:rsidRPr="00C52521" w:rsidRDefault="00200CFE" w:rsidP="00200CFE">
      <w:pPr>
        <w:spacing w:before="0"/>
        <w:rPr>
          <w:sz w:val="20"/>
          <w:szCs w:val="20"/>
        </w:rPr>
      </w:pPr>
    </w:p>
    <w:p w14:paraId="4C2FFE52" w14:textId="77777777" w:rsidR="00200CFE" w:rsidRDefault="00200CFE" w:rsidP="00200CFE">
      <w:pPr>
        <w:spacing w:before="0"/>
        <w:rPr>
          <w:rFonts w:asciiTheme="minorHAnsi" w:hAnsiTheme="minorHAnsi"/>
        </w:rPr>
      </w:pPr>
      <w:r>
        <w:rPr>
          <w:noProof/>
        </w:rPr>
        <w:lastRenderedPageBreak/>
        <w:drawing>
          <wp:inline distT="0" distB="0" distL="0" distR="0" wp14:anchorId="5FFFD5B5" wp14:editId="74B677D0">
            <wp:extent cx="5731510" cy="2149475"/>
            <wp:effectExtent l="0" t="0" r="0" b="0"/>
            <wp:docPr id="1041697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5731510" cy="2149475"/>
                    </a:xfrm>
                    <a:prstGeom prst="rect">
                      <a:avLst/>
                    </a:prstGeom>
                  </pic:spPr>
                </pic:pic>
              </a:graphicData>
            </a:graphic>
          </wp:inline>
        </w:drawing>
      </w:r>
    </w:p>
    <w:p w14:paraId="683C7C35" w14:textId="77777777" w:rsidR="00200CFE" w:rsidRDefault="00200CFE" w:rsidP="00200CFE">
      <w:pPr>
        <w:spacing w:before="0"/>
        <w:rPr>
          <w:rFonts w:eastAsiaTheme="minorEastAsia"/>
          <w:sz w:val="20"/>
          <w:szCs w:val="20"/>
        </w:rPr>
      </w:pPr>
    </w:p>
    <w:p w14:paraId="7375F716" w14:textId="77777777" w:rsidR="00200CFE" w:rsidRDefault="00200CFE" w:rsidP="00200CFE">
      <w:pPr>
        <w:spacing w:before="0"/>
        <w:rPr>
          <w:rFonts w:eastAsiaTheme="minorEastAsia"/>
          <w:sz w:val="20"/>
          <w:szCs w:val="20"/>
        </w:rPr>
      </w:pPr>
      <w:r w:rsidRPr="1196DDC0">
        <w:rPr>
          <w:rFonts w:eastAsiaTheme="minorEastAsia"/>
          <w:b/>
          <w:bCs/>
          <w:sz w:val="20"/>
          <w:szCs w:val="20"/>
        </w:rPr>
        <w:t>Figure S5</w:t>
      </w:r>
      <w:r w:rsidRPr="1196DDC0">
        <w:rPr>
          <w:rFonts w:eastAsiaTheme="minorEastAsia"/>
          <w:sz w:val="20"/>
          <w:szCs w:val="20"/>
        </w:rPr>
        <w:t xml:space="preserve">. </w:t>
      </w:r>
      <w:r w:rsidRPr="1196DDC0">
        <w:rPr>
          <w:rFonts w:eastAsiaTheme="minorEastAsia"/>
          <w:i/>
          <w:iCs/>
          <w:sz w:val="20"/>
          <w:szCs w:val="20"/>
        </w:rPr>
        <w:t>Results are not sensitive to participant exclusion criteria</w:t>
      </w:r>
      <w:r w:rsidRPr="1196DDC0">
        <w:rPr>
          <w:rFonts w:eastAsiaTheme="minorEastAsia"/>
          <w:sz w:val="20"/>
          <w:szCs w:val="20"/>
        </w:rPr>
        <w:t>. To validate the robustness of our key results (Figure 3), we repeated the analysis without any participant exclusions. The pattern of the key results is highly consistent (all significant results in Figure 3 remain significant).</w:t>
      </w:r>
    </w:p>
    <w:p w14:paraId="0F94EE2C" w14:textId="77777777" w:rsidR="00200CFE" w:rsidRDefault="00200CFE" w:rsidP="00200CFE">
      <w:pPr>
        <w:spacing w:before="0"/>
        <w:rPr>
          <w:sz w:val="20"/>
          <w:szCs w:val="20"/>
        </w:rPr>
      </w:pPr>
    </w:p>
    <w:p w14:paraId="5F81C61B" w14:textId="77777777" w:rsidR="00200CFE" w:rsidRPr="00C52521" w:rsidRDefault="00200CFE" w:rsidP="00200CFE">
      <w:pPr>
        <w:spacing w:before="0"/>
        <w:rPr>
          <w:b/>
          <w:bCs/>
          <w:sz w:val="20"/>
          <w:szCs w:val="20"/>
        </w:rPr>
      </w:pPr>
    </w:p>
    <w:p w14:paraId="1099D586" w14:textId="77777777" w:rsidR="00200CFE" w:rsidRPr="00C52521" w:rsidRDefault="00200CFE" w:rsidP="00200CFE">
      <w:pPr>
        <w:spacing w:before="0"/>
        <w:rPr>
          <w:b/>
          <w:bCs/>
          <w:sz w:val="20"/>
          <w:szCs w:val="20"/>
        </w:rPr>
      </w:pPr>
    </w:p>
    <w:p w14:paraId="78A135BE" w14:textId="77777777" w:rsidR="00200CFE" w:rsidRPr="00C52521" w:rsidRDefault="00200CFE" w:rsidP="00200CFE">
      <w:pPr>
        <w:spacing w:before="0"/>
        <w:jc w:val="center"/>
        <w:rPr>
          <w:rFonts w:eastAsiaTheme="minorEastAsia" w:cstheme="minorHAnsi"/>
          <w:bCs/>
          <w:sz w:val="20"/>
          <w:szCs w:val="20"/>
        </w:rPr>
      </w:pPr>
      <w:r>
        <w:rPr>
          <w:rFonts w:eastAsiaTheme="minorEastAsia" w:cstheme="minorHAnsi"/>
          <w:bCs/>
          <w:noProof/>
          <w:sz w:val="20"/>
          <w:szCs w:val="20"/>
        </w:rPr>
        <w:drawing>
          <wp:inline distT="0" distB="0" distL="0" distR="0" wp14:anchorId="171F5875" wp14:editId="28913794">
            <wp:extent cx="2692400" cy="2552700"/>
            <wp:effectExtent l="0" t="0" r="0" b="0"/>
            <wp:docPr id="21118348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34881" name="Picture 2111834881"/>
                    <pic:cNvPicPr/>
                  </pic:nvPicPr>
                  <pic:blipFill>
                    <a:blip r:embed="rId9">
                      <a:extLst>
                        <a:ext uri="{28A0092B-C50C-407E-A947-70E740481C1C}">
                          <a14:useLocalDpi xmlns:a14="http://schemas.microsoft.com/office/drawing/2010/main" val="0"/>
                        </a:ext>
                      </a:extLst>
                    </a:blip>
                    <a:stretch>
                      <a:fillRect/>
                    </a:stretch>
                  </pic:blipFill>
                  <pic:spPr>
                    <a:xfrm>
                      <a:off x="0" y="0"/>
                      <a:ext cx="2692400" cy="2552700"/>
                    </a:xfrm>
                    <a:prstGeom prst="rect">
                      <a:avLst/>
                    </a:prstGeom>
                  </pic:spPr>
                </pic:pic>
              </a:graphicData>
            </a:graphic>
          </wp:inline>
        </w:drawing>
      </w:r>
    </w:p>
    <w:p w14:paraId="5B979F7A" w14:textId="77777777" w:rsidR="00200CFE" w:rsidRPr="00C52521" w:rsidRDefault="00200CFE" w:rsidP="00200CFE">
      <w:pPr>
        <w:spacing w:before="0"/>
        <w:rPr>
          <w:rFonts w:eastAsiaTheme="minorEastAsia" w:cstheme="minorHAnsi"/>
          <w:bCs/>
          <w:sz w:val="20"/>
          <w:szCs w:val="20"/>
        </w:rPr>
      </w:pPr>
    </w:p>
    <w:p w14:paraId="62CDE30F" w14:textId="77777777" w:rsidR="00200CFE" w:rsidRDefault="00200CFE" w:rsidP="00200CFE">
      <w:pPr>
        <w:spacing w:before="0"/>
        <w:rPr>
          <w:rFonts w:eastAsiaTheme="minorEastAsia"/>
          <w:sz w:val="20"/>
          <w:szCs w:val="20"/>
        </w:rPr>
      </w:pPr>
      <w:r w:rsidRPr="00C52521">
        <w:rPr>
          <w:b/>
          <w:bCs/>
          <w:sz w:val="20"/>
          <w:szCs w:val="20"/>
        </w:rPr>
        <w:t xml:space="preserve">Figure </w:t>
      </w:r>
      <w:r w:rsidRPr="1196DDC0">
        <w:rPr>
          <w:b/>
          <w:bCs/>
          <w:sz w:val="20"/>
          <w:szCs w:val="20"/>
        </w:rPr>
        <w:t>S6</w:t>
      </w:r>
      <w:r w:rsidRPr="00C52521">
        <w:rPr>
          <w:b/>
          <w:bCs/>
          <w:sz w:val="20"/>
          <w:szCs w:val="20"/>
        </w:rPr>
        <w:t xml:space="preserve">. </w:t>
      </w:r>
      <w:r>
        <w:rPr>
          <w:i/>
          <w:iCs/>
          <w:sz w:val="20"/>
          <w:szCs w:val="20"/>
        </w:rPr>
        <w:t>No significant r</w:t>
      </w:r>
      <w:r w:rsidRPr="00407E43">
        <w:rPr>
          <w:i/>
          <w:iCs/>
          <w:sz w:val="20"/>
          <w:szCs w:val="20"/>
        </w:rPr>
        <w:t>elationships with metacognitive efficien</w:t>
      </w:r>
      <w:r>
        <w:rPr>
          <w:i/>
          <w:iCs/>
          <w:sz w:val="20"/>
          <w:szCs w:val="20"/>
        </w:rPr>
        <w:t>cy</w:t>
      </w:r>
      <w:r w:rsidRPr="00407E43">
        <w:rPr>
          <w:i/>
          <w:iCs/>
          <w:sz w:val="20"/>
          <w:szCs w:val="20"/>
        </w:rPr>
        <w:t xml:space="preserve"> (M-ratio)</w:t>
      </w:r>
      <w:r>
        <w:rPr>
          <w:sz w:val="20"/>
          <w:szCs w:val="20"/>
        </w:rPr>
        <w:t xml:space="preserve">. </w:t>
      </w:r>
      <w:r w:rsidRPr="00C52521">
        <w:rPr>
          <w:sz w:val="20"/>
          <w:szCs w:val="20"/>
        </w:rPr>
        <w:t>Standardised regression coefficients (error bars show +/- standard error) from a linear model for first and final decision metacognitive efficiency (dependent variable) with age, sex, and symptom dimensions as independent variables. °P</w:t>
      </w:r>
      <w:r w:rsidRPr="00C52521">
        <w:rPr>
          <w:rFonts w:ascii="Arial" w:hAnsi="Arial" w:cs="Arial"/>
          <w:sz w:val="20"/>
          <w:szCs w:val="20"/>
        </w:rPr>
        <w:t> </w:t>
      </w:r>
      <w:r w:rsidRPr="00C52521">
        <w:rPr>
          <w:sz w:val="20"/>
          <w:szCs w:val="20"/>
        </w:rPr>
        <w:t>&lt;</w:t>
      </w:r>
      <w:r w:rsidRPr="00C52521">
        <w:rPr>
          <w:rFonts w:ascii="Arial" w:hAnsi="Arial" w:cs="Arial"/>
          <w:sz w:val="20"/>
          <w:szCs w:val="20"/>
        </w:rPr>
        <w:t> </w:t>
      </w:r>
      <w:r w:rsidRPr="00C52521">
        <w:rPr>
          <w:sz w:val="20"/>
          <w:szCs w:val="20"/>
        </w:rPr>
        <w:t>0.05</w:t>
      </w:r>
      <w:r>
        <w:rPr>
          <w:sz w:val="20"/>
          <w:szCs w:val="20"/>
        </w:rPr>
        <w:t xml:space="preserve"> uncorrected</w:t>
      </w:r>
      <w:r w:rsidRPr="00C52521">
        <w:rPr>
          <w:sz w:val="20"/>
          <w:szCs w:val="20"/>
        </w:rPr>
        <w:t xml:space="preserve">. </w:t>
      </w:r>
      <w:r>
        <w:rPr>
          <w:sz w:val="20"/>
          <w:szCs w:val="20"/>
        </w:rPr>
        <w:t xml:space="preserve">No coefficients survive correction for </w:t>
      </w:r>
      <w:r w:rsidRPr="00C52521">
        <w:rPr>
          <w:sz w:val="20"/>
          <w:szCs w:val="20"/>
        </w:rPr>
        <w:t>false discovery rate (FDR) over all coefficients shown (i.e</w:t>
      </w:r>
      <w:r w:rsidRPr="1196DDC0">
        <w:rPr>
          <w:sz w:val="20"/>
          <w:szCs w:val="20"/>
        </w:rPr>
        <w:t>.,</w:t>
      </w:r>
      <w:r w:rsidRPr="00C52521">
        <w:rPr>
          <w:sz w:val="20"/>
          <w:szCs w:val="20"/>
        </w:rPr>
        <w:t xml:space="preserve"> 2 models x 5 predictors = 10 inferences)</w:t>
      </w:r>
      <w:r w:rsidRPr="1196DDC0">
        <w:rPr>
          <w:rFonts w:eastAsiaTheme="minorEastAsia"/>
          <w:sz w:val="20"/>
          <w:szCs w:val="20"/>
        </w:rPr>
        <w:t xml:space="preserve">. </w:t>
      </w:r>
    </w:p>
    <w:p w14:paraId="0F8CAB31" w14:textId="77777777" w:rsidR="00200CFE" w:rsidRDefault="00200CFE" w:rsidP="00200CFE">
      <w:pPr>
        <w:spacing w:before="0"/>
        <w:rPr>
          <w:rFonts w:eastAsiaTheme="minorEastAsia" w:cstheme="minorHAnsi"/>
          <w:bCs/>
          <w:sz w:val="20"/>
          <w:szCs w:val="20"/>
        </w:rPr>
      </w:pPr>
    </w:p>
    <w:p w14:paraId="22902A21" w14:textId="77777777" w:rsidR="00200CFE" w:rsidRDefault="00200CFE" w:rsidP="00200CFE">
      <w:pPr>
        <w:spacing w:before="0"/>
        <w:rPr>
          <w:rFonts w:eastAsiaTheme="minorEastAsia" w:cstheme="minorHAnsi"/>
          <w:bCs/>
          <w:sz w:val="20"/>
          <w:szCs w:val="20"/>
        </w:rPr>
      </w:pPr>
    </w:p>
    <w:p w14:paraId="0FACF7BA" w14:textId="77777777" w:rsidR="00200CFE" w:rsidRDefault="00200CFE" w:rsidP="00200CFE">
      <w:pPr>
        <w:spacing w:before="0"/>
        <w:rPr>
          <w:rFonts w:eastAsiaTheme="minorEastAsia" w:cstheme="minorHAnsi"/>
          <w:bCs/>
          <w:sz w:val="20"/>
          <w:szCs w:val="20"/>
        </w:rPr>
      </w:pPr>
    </w:p>
    <w:p w14:paraId="79A855D6" w14:textId="77777777" w:rsidR="00200CFE" w:rsidRDefault="00200CFE" w:rsidP="00200CFE">
      <w:pPr>
        <w:spacing w:before="0"/>
        <w:ind w:left="1584"/>
      </w:pPr>
    </w:p>
    <w:p w14:paraId="49F1E695" w14:textId="77777777" w:rsidR="00200CFE" w:rsidRDefault="00200CFE" w:rsidP="00200CFE">
      <w:pPr>
        <w:spacing w:before="0"/>
        <w:rPr>
          <w:rFonts w:eastAsia="Corbel" w:cs="Corbel"/>
          <w:sz w:val="20"/>
          <w:szCs w:val="20"/>
        </w:rPr>
      </w:pPr>
    </w:p>
    <w:p w14:paraId="6027B513" w14:textId="77777777" w:rsidR="00200CFE" w:rsidRDefault="00200CFE" w:rsidP="00200CFE">
      <w:pPr>
        <w:spacing w:before="0"/>
        <w:rPr>
          <w:rFonts w:eastAsia="Corbel" w:cs="Corbel"/>
          <w:sz w:val="20"/>
          <w:szCs w:val="20"/>
        </w:rPr>
      </w:pPr>
    </w:p>
    <w:p w14:paraId="6E5A76A9" w14:textId="77777777" w:rsidR="00200CFE" w:rsidRDefault="00200CFE" w:rsidP="00200CFE">
      <w:pPr>
        <w:spacing w:before="0"/>
        <w:rPr>
          <w:rFonts w:eastAsia="Corbel" w:cs="Corbel"/>
          <w:sz w:val="20"/>
          <w:szCs w:val="20"/>
        </w:rPr>
      </w:pPr>
    </w:p>
    <w:p w14:paraId="1F872CA7" w14:textId="77777777" w:rsidR="00200CFE" w:rsidRDefault="00200CFE" w:rsidP="00200CFE">
      <w:pPr>
        <w:spacing w:before="0"/>
        <w:rPr>
          <w:rFonts w:eastAsia="Corbel" w:cs="Corbel"/>
          <w:sz w:val="20"/>
          <w:szCs w:val="20"/>
        </w:rPr>
      </w:pPr>
    </w:p>
    <w:p w14:paraId="52DF85D1" w14:textId="77777777" w:rsidR="007625AB" w:rsidRDefault="007625AB"/>
    <w:sectPr w:rsidR="007625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C83"/>
    <w:rsid w:val="001C5C83"/>
    <w:rsid w:val="001C5FF8"/>
    <w:rsid w:val="00200CFE"/>
    <w:rsid w:val="002B5363"/>
    <w:rsid w:val="007625AB"/>
    <w:rsid w:val="008D5016"/>
    <w:rsid w:val="00EC7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8B7F4"/>
  <w15:chartTrackingRefBased/>
  <w15:docId w15:val="{090F529C-A137-4E1A-8445-77AD1E996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CFE"/>
    <w:pPr>
      <w:spacing w:before="120" w:after="0" w:line="240" w:lineRule="auto"/>
    </w:pPr>
    <w:rPr>
      <w:rFonts w:ascii="Corbel" w:hAnsi="Corbel"/>
      <w:kern w:val="0"/>
      <w14:ligatures w14:val="none"/>
    </w:rPr>
  </w:style>
  <w:style w:type="paragraph" w:styleId="Heading1">
    <w:name w:val="heading 1"/>
    <w:basedOn w:val="Normal"/>
    <w:next w:val="Normal"/>
    <w:link w:val="Heading1Char"/>
    <w:uiPriority w:val="9"/>
    <w:qFormat/>
    <w:rsid w:val="001C5C8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C5C8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C5C8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C5C83"/>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C5C83"/>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C5C83"/>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C5C83"/>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C5C83"/>
    <w:pPr>
      <w:keepNext/>
      <w:keepLines/>
      <w:spacing w:before="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C5C83"/>
    <w:pPr>
      <w:keepNext/>
      <w:keepLines/>
      <w:spacing w:before="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C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C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C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C83"/>
    <w:rPr>
      <w:rFonts w:eastAsiaTheme="majorEastAsia" w:cstheme="majorBidi"/>
      <w:color w:val="272727" w:themeColor="text1" w:themeTint="D8"/>
    </w:rPr>
  </w:style>
  <w:style w:type="paragraph" w:styleId="Title">
    <w:name w:val="Title"/>
    <w:basedOn w:val="Normal"/>
    <w:next w:val="Normal"/>
    <w:link w:val="TitleChar"/>
    <w:uiPriority w:val="10"/>
    <w:qFormat/>
    <w:rsid w:val="001C5C83"/>
    <w:pPr>
      <w:spacing w:before="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C5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C83"/>
    <w:pPr>
      <w:numPr>
        <w:ilvl w:val="1"/>
      </w:numPr>
      <w:spacing w:before="0"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C5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C83"/>
    <w:pPr>
      <w:spacing w:before="160" w:after="160" w:line="259" w:lineRule="auto"/>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1C5C83"/>
    <w:rPr>
      <w:i/>
      <w:iCs/>
      <w:color w:val="404040" w:themeColor="text1" w:themeTint="BF"/>
    </w:rPr>
  </w:style>
  <w:style w:type="paragraph" w:styleId="ListParagraph">
    <w:name w:val="List Paragraph"/>
    <w:basedOn w:val="Normal"/>
    <w:uiPriority w:val="34"/>
    <w:qFormat/>
    <w:rsid w:val="001C5C83"/>
    <w:pPr>
      <w:spacing w:before="0" w:after="160" w:line="259" w:lineRule="auto"/>
      <w:ind w:left="720"/>
      <w:contextualSpacing/>
    </w:pPr>
    <w:rPr>
      <w:rFonts w:asciiTheme="minorHAnsi" w:hAnsiTheme="minorHAnsi"/>
      <w:kern w:val="2"/>
      <w14:ligatures w14:val="standardContextual"/>
    </w:rPr>
  </w:style>
  <w:style w:type="character" w:styleId="IntenseEmphasis">
    <w:name w:val="Intense Emphasis"/>
    <w:basedOn w:val="DefaultParagraphFont"/>
    <w:uiPriority w:val="21"/>
    <w:qFormat/>
    <w:rsid w:val="001C5C83"/>
    <w:rPr>
      <w:i/>
      <w:iCs/>
      <w:color w:val="0F4761" w:themeColor="accent1" w:themeShade="BF"/>
    </w:rPr>
  </w:style>
  <w:style w:type="paragraph" w:styleId="IntenseQuote">
    <w:name w:val="Intense Quote"/>
    <w:basedOn w:val="Normal"/>
    <w:next w:val="Normal"/>
    <w:link w:val="IntenseQuoteChar"/>
    <w:uiPriority w:val="30"/>
    <w:qFormat/>
    <w:rsid w:val="001C5C8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C5C83"/>
    <w:rPr>
      <w:i/>
      <w:iCs/>
      <w:color w:val="0F4761" w:themeColor="accent1" w:themeShade="BF"/>
    </w:rPr>
  </w:style>
  <w:style w:type="character" w:styleId="IntenseReference">
    <w:name w:val="Intense Reference"/>
    <w:basedOn w:val="DefaultParagraphFont"/>
    <w:uiPriority w:val="32"/>
    <w:qFormat/>
    <w:rsid w:val="001C5C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1084</Words>
  <Characters>6184</Characters>
  <Application>Microsoft Office Word</Application>
  <DocSecurity>0</DocSecurity>
  <Lines>51</Lines>
  <Paragraphs>14</Paragraphs>
  <ScaleCrop>false</ScaleCrop>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Benwell (Staff)</dc:creator>
  <cp:keywords/>
  <dc:description/>
  <cp:lastModifiedBy>Christopher Benwell (Staff)</cp:lastModifiedBy>
  <cp:revision>3</cp:revision>
  <dcterms:created xsi:type="dcterms:W3CDTF">2024-08-20T12:45:00Z</dcterms:created>
  <dcterms:modified xsi:type="dcterms:W3CDTF">2024-08-20T12:50:00Z</dcterms:modified>
</cp:coreProperties>
</file>