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2988" w14:textId="32E7A20D" w:rsidR="00163025" w:rsidRPr="00B146D3" w:rsidRDefault="00163025" w:rsidP="00163025">
      <w:pPr>
        <w:widowControl/>
        <w:spacing w:line="480" w:lineRule="auto"/>
        <w:rPr>
          <w:rFonts w:ascii="Arial" w:hAnsi="Arial" w:cs="Arial"/>
          <w:b/>
          <w:bCs/>
          <w:sz w:val="24"/>
          <w:szCs w:val="28"/>
        </w:rPr>
      </w:pPr>
      <w:r w:rsidRPr="00B146D3">
        <w:rPr>
          <w:rFonts w:ascii="Arial" w:eastAsia="Gulim" w:hAnsi="Arial" w:cs="Arial"/>
          <w:b/>
          <w:bCs/>
          <w:sz w:val="24"/>
          <w:szCs w:val="28"/>
        </w:rPr>
        <w:t xml:space="preserve">Supplementary </w:t>
      </w:r>
      <w:r w:rsidRPr="00B146D3">
        <w:rPr>
          <w:rFonts w:ascii="Arial" w:hAnsi="Arial" w:cs="Arial"/>
          <w:b/>
          <w:bCs/>
          <w:sz w:val="24"/>
          <w:szCs w:val="28"/>
        </w:rPr>
        <w:t>figure</w:t>
      </w:r>
      <w:r w:rsidR="00CC50D4" w:rsidRPr="00B146D3">
        <w:rPr>
          <w:rFonts w:ascii="Arial" w:hAnsi="Arial" w:cs="Arial"/>
          <w:b/>
          <w:bCs/>
          <w:sz w:val="24"/>
          <w:szCs w:val="28"/>
        </w:rPr>
        <w:t>s</w:t>
      </w:r>
      <w:r w:rsidRPr="00B146D3">
        <w:rPr>
          <w:rFonts w:ascii="Arial" w:eastAsia="Gulim" w:hAnsi="Arial" w:cs="Arial"/>
          <w:b/>
          <w:bCs/>
          <w:sz w:val="24"/>
          <w:szCs w:val="28"/>
        </w:rPr>
        <w:t xml:space="preserve"> legend</w:t>
      </w:r>
    </w:p>
    <w:p w14:paraId="55541C50" w14:textId="4B05E69B" w:rsidR="008B3819" w:rsidRPr="00B146D3" w:rsidRDefault="00F34425" w:rsidP="00F34425">
      <w:pPr>
        <w:spacing w:line="480" w:lineRule="auto"/>
        <w:rPr>
          <w:rFonts w:ascii="Arial" w:hAnsi="Arial" w:cs="Arial"/>
          <w:sz w:val="24"/>
          <w:szCs w:val="24"/>
        </w:rPr>
      </w:pPr>
      <w:r w:rsidRPr="00B146D3">
        <w:rPr>
          <w:rFonts w:ascii="Arial" w:hAnsi="Arial" w:cs="Arial"/>
          <w:b/>
          <w:bCs/>
          <w:sz w:val="24"/>
          <w:szCs w:val="24"/>
        </w:rPr>
        <w:t>Fig. S1</w:t>
      </w:r>
      <w:r w:rsidR="00AB68D9" w:rsidRPr="00B146D3">
        <w:rPr>
          <w:rFonts w:ascii="Arial" w:hAnsi="Arial" w:cs="Arial"/>
          <w:b/>
          <w:bCs/>
          <w:sz w:val="24"/>
          <w:szCs w:val="24"/>
        </w:rPr>
        <w:t>:</w:t>
      </w:r>
      <w:r w:rsidRPr="00B146D3">
        <w:rPr>
          <w:rFonts w:ascii="Arial" w:hAnsi="Arial" w:cs="Arial"/>
          <w:b/>
          <w:bCs/>
          <w:sz w:val="24"/>
          <w:szCs w:val="24"/>
        </w:rPr>
        <w:t xml:space="preserve"> Depressive-like behaviors in social defeat stress groups.</w:t>
      </w:r>
      <w:r w:rsidRPr="00B146D3">
        <w:rPr>
          <w:rFonts w:ascii="Arial" w:hAnsi="Arial" w:cs="Arial"/>
          <w:sz w:val="24"/>
          <w:szCs w:val="24"/>
        </w:rPr>
        <w:t xml:space="preserve"> </w:t>
      </w:r>
      <w:r w:rsidRPr="00B146D3">
        <w:rPr>
          <w:rFonts w:ascii="Arial" w:hAnsi="Arial" w:cs="Arial"/>
          <w:b/>
          <w:bCs/>
          <w:sz w:val="24"/>
          <w:szCs w:val="24"/>
        </w:rPr>
        <w:t xml:space="preserve">A </w:t>
      </w:r>
      <w:r w:rsidRPr="00B146D3">
        <w:rPr>
          <w:rFonts w:ascii="Arial" w:hAnsi="Arial" w:cs="Arial"/>
          <w:sz w:val="24"/>
          <w:szCs w:val="24"/>
        </w:rPr>
        <w:t>Social interaction (SI) ratio in social interaction test (SIT), body weight (BW), sucrose preference in sucrose preference test (SPT), immobility time in tail suspension test (TST), total distance and center time in open field test (OFT). (Control, n = 11; 10xSD (susceptible), n = 9; *</w:t>
      </w:r>
      <w:r w:rsidRPr="00B146D3">
        <w:rPr>
          <w:rFonts w:ascii="Arial" w:hAnsi="Arial" w:cs="Arial"/>
          <w:i/>
          <w:iCs/>
          <w:sz w:val="24"/>
          <w:szCs w:val="24"/>
        </w:rPr>
        <w:t>p</w:t>
      </w:r>
      <w:r w:rsidRPr="00B146D3">
        <w:rPr>
          <w:rFonts w:ascii="Arial" w:hAnsi="Arial" w:cs="Arial"/>
          <w:sz w:val="24"/>
          <w:szCs w:val="24"/>
        </w:rPr>
        <w:t xml:space="preserve"> &lt; 0.05, ****</w:t>
      </w:r>
      <w:r w:rsidRPr="00B146D3">
        <w:rPr>
          <w:rFonts w:ascii="Arial" w:hAnsi="Arial" w:cs="Arial"/>
          <w:i/>
          <w:iCs/>
          <w:sz w:val="24"/>
          <w:szCs w:val="24"/>
        </w:rPr>
        <w:t>p</w:t>
      </w:r>
      <w:r w:rsidRPr="00B146D3">
        <w:rPr>
          <w:rFonts w:ascii="Arial" w:hAnsi="Arial" w:cs="Arial"/>
          <w:sz w:val="24"/>
          <w:szCs w:val="24"/>
        </w:rPr>
        <w:t xml:space="preserve"> &lt; 0.0001, and ns, not significant, Unpaired Student t-test or Kruskal-Wallis test). </w:t>
      </w:r>
      <w:r w:rsidRPr="00B146D3">
        <w:rPr>
          <w:rFonts w:ascii="Arial" w:hAnsi="Arial" w:cs="Arial"/>
          <w:b/>
          <w:bCs/>
          <w:sz w:val="24"/>
          <w:szCs w:val="24"/>
        </w:rPr>
        <w:t>B</w:t>
      </w:r>
      <w:r w:rsidRPr="00B146D3">
        <w:rPr>
          <w:rFonts w:ascii="Arial" w:hAnsi="Arial" w:cs="Arial"/>
          <w:sz w:val="24"/>
          <w:szCs w:val="24"/>
        </w:rPr>
        <w:t xml:space="preserve"> SI ratio in SIT, BW, sucrose preference in SPT, immobility time in TST, total distance and center time in OFT. (Control, n = 11; 1xSD, n = 15; 4xSD, n = 15; 7xSD, n = 14; 10xSD, n = 14; *</w:t>
      </w:r>
      <w:r w:rsidRPr="00B146D3">
        <w:rPr>
          <w:rFonts w:ascii="Arial" w:hAnsi="Arial" w:cs="Arial"/>
          <w:i/>
          <w:iCs/>
          <w:sz w:val="24"/>
          <w:szCs w:val="24"/>
        </w:rPr>
        <w:t>p</w:t>
      </w:r>
      <w:r w:rsidRPr="00B146D3">
        <w:rPr>
          <w:rFonts w:ascii="Arial" w:hAnsi="Arial" w:cs="Arial"/>
          <w:sz w:val="24"/>
          <w:szCs w:val="24"/>
        </w:rPr>
        <w:t xml:space="preserve"> &lt; 0.05, **</w:t>
      </w:r>
      <w:r w:rsidRPr="00B146D3">
        <w:rPr>
          <w:rFonts w:ascii="Arial" w:hAnsi="Arial" w:cs="Arial"/>
          <w:i/>
          <w:iCs/>
          <w:sz w:val="24"/>
          <w:szCs w:val="24"/>
        </w:rPr>
        <w:t>p</w:t>
      </w:r>
      <w:r w:rsidRPr="00B146D3">
        <w:rPr>
          <w:rFonts w:ascii="Arial" w:hAnsi="Arial" w:cs="Arial"/>
          <w:sz w:val="24"/>
          <w:szCs w:val="24"/>
        </w:rPr>
        <w:t xml:space="preserve"> &lt; 0.01, ***</w:t>
      </w:r>
      <w:r w:rsidRPr="00B146D3">
        <w:rPr>
          <w:rFonts w:ascii="Arial" w:hAnsi="Arial" w:cs="Arial"/>
          <w:i/>
          <w:iCs/>
          <w:sz w:val="24"/>
          <w:szCs w:val="24"/>
        </w:rPr>
        <w:t>p</w:t>
      </w:r>
      <w:r w:rsidRPr="00B146D3">
        <w:rPr>
          <w:rFonts w:ascii="Arial" w:hAnsi="Arial" w:cs="Arial"/>
          <w:sz w:val="24"/>
          <w:szCs w:val="24"/>
        </w:rPr>
        <w:t xml:space="preserve"> &lt; 0.001, and ns, not significant versus control, one-way ANOVA or Kruskal-Wallis test followed by Dunnett's multiple comparisons test). All data are presented as mean ± SEM.</w:t>
      </w:r>
    </w:p>
    <w:p w14:paraId="4A30A777" w14:textId="3C6C9E67" w:rsidR="00F34425" w:rsidRPr="00B146D3" w:rsidRDefault="00163025" w:rsidP="00163025">
      <w:pPr>
        <w:spacing w:line="480" w:lineRule="auto"/>
        <w:rPr>
          <w:rFonts w:ascii="Arial" w:hAnsi="Arial" w:cs="Arial"/>
          <w:sz w:val="24"/>
          <w:szCs w:val="24"/>
        </w:rPr>
      </w:pPr>
      <w:r w:rsidRPr="00B146D3">
        <w:rPr>
          <w:rFonts w:ascii="Arial" w:hAnsi="Arial" w:cs="Arial"/>
          <w:b/>
          <w:bCs/>
          <w:sz w:val="24"/>
          <w:szCs w:val="24"/>
        </w:rPr>
        <w:t>Fig. S2</w:t>
      </w:r>
      <w:r w:rsidR="00AB68D9" w:rsidRPr="00B146D3">
        <w:rPr>
          <w:rFonts w:ascii="Arial" w:hAnsi="Arial" w:cs="Arial"/>
          <w:b/>
          <w:bCs/>
          <w:sz w:val="24"/>
          <w:szCs w:val="24"/>
        </w:rPr>
        <w:t>:</w:t>
      </w:r>
      <w:r w:rsidRPr="00B146D3">
        <w:rPr>
          <w:rFonts w:ascii="Arial" w:hAnsi="Arial" w:cs="Arial"/>
          <w:b/>
          <w:bCs/>
          <w:sz w:val="24"/>
          <w:szCs w:val="24"/>
        </w:rPr>
        <w:t xml:space="preserve"> Gut microbial construction and composition alterations in social defeat stress susceptible groups related to Fig. 2.</w:t>
      </w:r>
      <w:r w:rsidRPr="00B146D3">
        <w:rPr>
          <w:rFonts w:ascii="Arial" w:hAnsi="Arial" w:cs="Arial"/>
          <w:sz w:val="24"/>
          <w:szCs w:val="24"/>
        </w:rPr>
        <w:t xml:space="preserve"> </w:t>
      </w:r>
      <w:r w:rsidRPr="00B146D3">
        <w:rPr>
          <w:rFonts w:ascii="Arial" w:hAnsi="Arial" w:cs="Arial"/>
          <w:b/>
          <w:bCs/>
          <w:sz w:val="24"/>
          <w:szCs w:val="24"/>
        </w:rPr>
        <w:t>A-B</w:t>
      </w:r>
      <w:r w:rsidRPr="00B146D3">
        <w:rPr>
          <w:rFonts w:ascii="Arial" w:hAnsi="Arial" w:cs="Arial"/>
          <w:sz w:val="24"/>
          <w:szCs w:val="24"/>
        </w:rPr>
        <w:t xml:space="preserve"> Alpha diversity was shown by Chao (</w:t>
      </w:r>
      <w:r w:rsidRPr="00B146D3">
        <w:rPr>
          <w:rFonts w:ascii="Arial" w:hAnsi="Arial" w:cs="Arial"/>
          <w:b/>
          <w:bCs/>
          <w:sz w:val="24"/>
          <w:szCs w:val="24"/>
        </w:rPr>
        <w:t>A</w:t>
      </w:r>
      <w:r w:rsidRPr="00B146D3">
        <w:rPr>
          <w:rFonts w:ascii="Arial" w:hAnsi="Arial" w:cs="Arial"/>
          <w:sz w:val="24"/>
          <w:szCs w:val="24"/>
        </w:rPr>
        <w:t>) and Shannon (</w:t>
      </w:r>
      <w:r w:rsidRPr="00B146D3">
        <w:rPr>
          <w:rFonts w:ascii="Arial" w:hAnsi="Arial" w:cs="Arial"/>
          <w:b/>
          <w:bCs/>
          <w:sz w:val="24"/>
          <w:szCs w:val="24"/>
        </w:rPr>
        <w:t>B</w:t>
      </w:r>
      <w:r w:rsidRPr="00B146D3">
        <w:rPr>
          <w:rFonts w:ascii="Arial" w:hAnsi="Arial" w:cs="Arial"/>
          <w:sz w:val="24"/>
          <w:szCs w:val="24"/>
        </w:rPr>
        <w:t xml:space="preserve">) index. (Control, n = 6; 1xSD, n = 6; 4xSD, n = 6; 7xSD, n = 6; 10xSD, n = 6; ns, not significant versus control, one-way ANOVA followed by Dunnett's multiple-comparisons test). </w:t>
      </w:r>
      <w:r w:rsidRPr="00B146D3">
        <w:rPr>
          <w:rFonts w:ascii="Arial" w:hAnsi="Arial" w:cs="Arial"/>
          <w:b/>
          <w:bCs/>
          <w:sz w:val="24"/>
          <w:szCs w:val="24"/>
        </w:rPr>
        <w:t>C</w:t>
      </w:r>
      <w:r w:rsidRPr="00B146D3">
        <w:rPr>
          <w:rFonts w:ascii="Arial" w:hAnsi="Arial" w:cs="Arial"/>
          <w:sz w:val="24"/>
          <w:szCs w:val="24"/>
        </w:rPr>
        <w:t xml:space="preserve"> The distribution of top 14 high relative abundance families in different groups. </w:t>
      </w:r>
      <w:r w:rsidRPr="00B146D3">
        <w:rPr>
          <w:rFonts w:ascii="Arial" w:hAnsi="Arial" w:cs="Arial"/>
          <w:b/>
          <w:bCs/>
          <w:sz w:val="24"/>
          <w:szCs w:val="24"/>
        </w:rPr>
        <w:t>D</w:t>
      </w:r>
      <w:r w:rsidRPr="00B146D3">
        <w:rPr>
          <w:rFonts w:ascii="Arial" w:hAnsi="Arial" w:cs="Arial"/>
          <w:sz w:val="24"/>
          <w:szCs w:val="24"/>
        </w:rPr>
        <w:t xml:space="preserve"> The bar plot showed discriminatively enriched genera in different groups based on Linear discriminant analysis effect size (LEfSe) analysis (LDA &gt; 3, </w:t>
      </w:r>
      <w:r w:rsidRPr="00B146D3">
        <w:rPr>
          <w:rFonts w:ascii="Arial" w:hAnsi="Arial" w:cs="Arial"/>
          <w:i/>
          <w:iCs/>
          <w:sz w:val="24"/>
          <w:szCs w:val="24"/>
        </w:rPr>
        <w:t>p</w:t>
      </w:r>
      <w:r w:rsidRPr="00B146D3">
        <w:rPr>
          <w:rFonts w:ascii="Arial" w:hAnsi="Arial" w:cs="Arial"/>
          <w:sz w:val="24"/>
          <w:szCs w:val="24"/>
        </w:rPr>
        <w:t xml:space="preserve"> &lt; 0.05).</w:t>
      </w:r>
    </w:p>
    <w:p w14:paraId="09F3717E" w14:textId="184D9B1E" w:rsidR="00AB68D9" w:rsidRPr="00B146D3" w:rsidRDefault="00AB68D9" w:rsidP="00AB68D9">
      <w:pPr>
        <w:spacing w:line="480" w:lineRule="auto"/>
        <w:rPr>
          <w:rFonts w:ascii="Arial" w:hAnsi="Arial" w:cs="Arial"/>
          <w:sz w:val="24"/>
          <w:szCs w:val="24"/>
        </w:rPr>
      </w:pPr>
      <w:r w:rsidRPr="00B146D3">
        <w:rPr>
          <w:rFonts w:ascii="Arial" w:hAnsi="Arial" w:cs="Arial"/>
          <w:b/>
          <w:bCs/>
          <w:sz w:val="24"/>
          <w:szCs w:val="24"/>
        </w:rPr>
        <w:t>Fig. S3: Metagenomic modules correlated with social defeat stress exposure in social defeat stress susceptible groups. A</w:t>
      </w:r>
      <w:r w:rsidRPr="00B146D3">
        <w:rPr>
          <w:rFonts w:ascii="Arial" w:hAnsi="Arial" w:cs="Arial"/>
          <w:sz w:val="24"/>
          <w:szCs w:val="24"/>
        </w:rPr>
        <w:t xml:space="preserve"> Correlation of 17 </w:t>
      </w:r>
      <w:r w:rsidRPr="00B146D3">
        <w:rPr>
          <w:rFonts w:ascii="Arial" w:hAnsi="Arial" w:cs="Arial"/>
          <w:sz w:val="24"/>
          <w:szCs w:val="24"/>
        </w:rPr>
        <w:lastRenderedPageBreak/>
        <w:t xml:space="preserve">metagenomic modules with the control and 4 social defeat stress susceptible groups. Red squares indicated positive correlation and blue squares indicated negative correlation. The Pearson correlation coefficient and p-value were shown within the squares. The MEblue module changed from positive to negative correlation, while the MElightcyan changed from negative to positive correlation with stress exposure increasing. </w:t>
      </w:r>
      <w:r w:rsidRPr="00B146D3">
        <w:rPr>
          <w:rFonts w:ascii="Arial" w:hAnsi="Arial" w:cs="Arial"/>
          <w:b/>
          <w:bCs/>
          <w:sz w:val="24"/>
          <w:szCs w:val="24"/>
        </w:rPr>
        <w:t>B-C</w:t>
      </w:r>
      <w:r w:rsidRPr="00B146D3">
        <w:rPr>
          <w:rFonts w:ascii="Arial" w:hAnsi="Arial" w:cs="Arial"/>
          <w:sz w:val="24"/>
          <w:szCs w:val="24"/>
        </w:rPr>
        <w:t xml:space="preserve"> The proportion of KEGG pathways from the level_2 category in 2 metagenomic modules (MEblue and MElightcyan) based on species. The top 10 high proportion pathways were marked with blue color, and other pathways were marked with grey color.</w:t>
      </w:r>
      <w:r w:rsidRPr="00B146D3">
        <w:rPr>
          <w:rFonts w:ascii="Arial" w:hAnsi="Arial" w:cs="Arial"/>
          <w:b/>
          <w:bCs/>
          <w:sz w:val="24"/>
          <w:szCs w:val="24"/>
        </w:rPr>
        <w:t xml:space="preserve"> D-E</w:t>
      </w:r>
      <w:r w:rsidRPr="00B146D3">
        <w:rPr>
          <w:rFonts w:ascii="Arial" w:hAnsi="Arial" w:cs="Arial"/>
          <w:sz w:val="24"/>
          <w:szCs w:val="24"/>
        </w:rPr>
        <w:t xml:space="preserve"> The proportion of KEGG pathways from the level_3 category in 2 metagenomic modules (MEblue and MElightcyan) based on species. The top 10 high proportion pathways were marked with blue color, and other pathways were marked with grey color.</w:t>
      </w:r>
    </w:p>
    <w:p w14:paraId="38A42176" w14:textId="3FB413FE" w:rsidR="00AB68D9" w:rsidRPr="00B146D3" w:rsidRDefault="008E774C" w:rsidP="008E774C">
      <w:pPr>
        <w:spacing w:line="480" w:lineRule="auto"/>
        <w:rPr>
          <w:rFonts w:ascii="Arial" w:hAnsi="Arial" w:cs="Arial"/>
          <w:sz w:val="24"/>
          <w:szCs w:val="24"/>
        </w:rPr>
      </w:pPr>
      <w:r w:rsidRPr="00B146D3">
        <w:rPr>
          <w:rFonts w:ascii="Arial" w:hAnsi="Arial" w:cs="Arial"/>
          <w:b/>
          <w:bCs/>
          <w:sz w:val="24"/>
          <w:szCs w:val="24"/>
        </w:rPr>
        <w:t xml:space="preserve">Fig. S4: Metabolomic modules correlated with social defeat stress exposure in social defeat stress susceptible groups related to Fig. 4. A </w:t>
      </w:r>
      <w:r w:rsidRPr="00B146D3">
        <w:rPr>
          <w:rFonts w:ascii="Arial" w:hAnsi="Arial" w:cs="Arial"/>
          <w:sz w:val="24"/>
          <w:szCs w:val="24"/>
        </w:rPr>
        <w:t xml:space="preserve">Three-dimensional Principal Component Analysis (PCA) of metabolites in the control and 4 social defeat stress susceptible groups. </w:t>
      </w:r>
      <w:r w:rsidRPr="00B146D3">
        <w:rPr>
          <w:rFonts w:ascii="Arial" w:hAnsi="Arial" w:cs="Arial"/>
          <w:b/>
          <w:bCs/>
          <w:sz w:val="24"/>
          <w:szCs w:val="24"/>
        </w:rPr>
        <w:t>B</w:t>
      </w:r>
      <w:r w:rsidRPr="00B146D3">
        <w:rPr>
          <w:rFonts w:ascii="Arial" w:hAnsi="Arial" w:cs="Arial"/>
          <w:sz w:val="24"/>
          <w:szCs w:val="24"/>
        </w:rPr>
        <w:t xml:space="preserve"> Eigengene expression level of 2 metabolomic modules including MEcyan and MEdarkred (Control, n = 6; 1xSD, n =6; 4xSD, n = 6; 7xSD, n = 6; 10xSD, n = 6). </w:t>
      </w:r>
    </w:p>
    <w:p w14:paraId="2D3208AB" w14:textId="62B55C41" w:rsidR="008E774C" w:rsidRPr="00B146D3" w:rsidRDefault="008E774C" w:rsidP="008E774C">
      <w:pPr>
        <w:spacing w:line="480" w:lineRule="auto"/>
        <w:rPr>
          <w:rFonts w:ascii="Arial" w:hAnsi="Arial" w:cs="Arial"/>
          <w:sz w:val="24"/>
          <w:szCs w:val="24"/>
        </w:rPr>
      </w:pPr>
      <w:r w:rsidRPr="00B146D3">
        <w:rPr>
          <w:rFonts w:ascii="Arial" w:hAnsi="Arial" w:cs="Arial"/>
          <w:b/>
          <w:bCs/>
          <w:sz w:val="24"/>
          <w:szCs w:val="24"/>
        </w:rPr>
        <w:t>Fig. S5 Correlations among social defeat stress exposure, bacterial genera, metabolites, and behavioral phenotypes related to Fig. 5. A</w:t>
      </w:r>
      <w:r w:rsidRPr="00B146D3">
        <w:rPr>
          <w:rFonts w:ascii="Arial" w:hAnsi="Arial" w:cs="Arial"/>
          <w:sz w:val="24"/>
          <w:szCs w:val="24"/>
        </w:rPr>
        <w:t xml:space="preserve"> Correlations between SI ratio and the relative abundance of fecal bacterial </w:t>
      </w:r>
      <w:r w:rsidRPr="00B146D3">
        <w:rPr>
          <w:rFonts w:ascii="Arial" w:hAnsi="Arial" w:cs="Arial"/>
          <w:sz w:val="24"/>
          <w:szCs w:val="24"/>
        </w:rPr>
        <w:lastRenderedPageBreak/>
        <w:t xml:space="preserve">genera and metabolites identified from mediation analysis. </w:t>
      </w:r>
      <w:r w:rsidRPr="00B146D3">
        <w:rPr>
          <w:rFonts w:ascii="Arial" w:hAnsi="Arial" w:cs="Arial"/>
          <w:b/>
          <w:bCs/>
          <w:sz w:val="24"/>
          <w:szCs w:val="24"/>
        </w:rPr>
        <w:t>B</w:t>
      </w:r>
      <w:r w:rsidRPr="00B146D3">
        <w:rPr>
          <w:rFonts w:ascii="Arial" w:hAnsi="Arial" w:cs="Arial"/>
          <w:sz w:val="24"/>
          <w:szCs w:val="24"/>
        </w:rPr>
        <w:t xml:space="preserve"> Correlations between social defeat stress exposure and relative abundance of N-acetylaspartate in fecal, serum, and cerebral cortex samples. </w:t>
      </w:r>
      <w:r w:rsidRPr="00B146D3">
        <w:rPr>
          <w:rFonts w:ascii="Arial" w:hAnsi="Arial" w:cs="Arial"/>
          <w:b/>
          <w:bCs/>
          <w:sz w:val="24"/>
          <w:szCs w:val="24"/>
        </w:rPr>
        <w:t>C</w:t>
      </w:r>
      <w:r w:rsidRPr="00B146D3">
        <w:rPr>
          <w:rFonts w:ascii="Arial" w:hAnsi="Arial" w:cs="Arial"/>
          <w:sz w:val="24"/>
          <w:szCs w:val="24"/>
        </w:rPr>
        <w:t xml:space="preserve"> Correlations between social defeat stress exposure and the relative abundance of serum metabolites (GABA, noradrenaline, and cortexolone). </w:t>
      </w:r>
      <w:r w:rsidRPr="00B146D3">
        <w:rPr>
          <w:rFonts w:ascii="Arial" w:hAnsi="Arial" w:cs="Arial"/>
          <w:b/>
          <w:bCs/>
          <w:sz w:val="24"/>
          <w:szCs w:val="24"/>
        </w:rPr>
        <w:t>D</w:t>
      </w:r>
      <w:r w:rsidRPr="00B146D3">
        <w:rPr>
          <w:rFonts w:ascii="Arial" w:hAnsi="Arial" w:cs="Arial"/>
          <w:sz w:val="24"/>
          <w:szCs w:val="24"/>
        </w:rPr>
        <w:t xml:space="preserve"> Correlations between social defeat stress exposure and the relative abundance of cerebral cortex metabolites (glutamic acid, noradrenaline, and cortexolone). Mice, n = 30 (Control, n = 6; 1xSD, n = 6; 4xSD, n = 6; 7xSD, n = 6; 10xSD, n = 6). The coefficients (r) and </w:t>
      </w:r>
      <w:r w:rsidRPr="00B146D3">
        <w:rPr>
          <w:rFonts w:ascii="Arial" w:hAnsi="Arial" w:cs="Arial"/>
          <w:i/>
          <w:iCs/>
          <w:sz w:val="24"/>
          <w:szCs w:val="24"/>
        </w:rPr>
        <w:t>p</w:t>
      </w:r>
      <w:r w:rsidRPr="00B146D3">
        <w:rPr>
          <w:rFonts w:ascii="Arial" w:hAnsi="Arial" w:cs="Arial"/>
          <w:sz w:val="24"/>
          <w:szCs w:val="24"/>
        </w:rPr>
        <w:t>-values of Spearman’s correlation analysis were adjusted by Benjamini</w:t>
      </w:r>
      <w:r w:rsidR="00A879CC">
        <w:rPr>
          <w:rFonts w:ascii="Arial" w:hAnsi="Arial" w:cs="Arial" w:hint="eastAsia"/>
          <w:sz w:val="24"/>
          <w:szCs w:val="24"/>
        </w:rPr>
        <w:t>-</w:t>
      </w:r>
      <w:r w:rsidRPr="00B146D3">
        <w:rPr>
          <w:rFonts w:ascii="Arial" w:hAnsi="Arial" w:cs="Arial"/>
          <w:sz w:val="24"/>
          <w:szCs w:val="24"/>
        </w:rPr>
        <w:t>Hochberg (</w:t>
      </w:r>
      <w:r w:rsidRPr="00B146D3">
        <w:rPr>
          <w:rFonts w:ascii="Arial" w:hAnsi="Arial" w:cs="Arial"/>
          <w:i/>
          <w:iCs/>
          <w:sz w:val="24"/>
          <w:szCs w:val="24"/>
        </w:rPr>
        <w:t>p</w:t>
      </w:r>
      <w:r w:rsidRPr="00B146D3">
        <w:rPr>
          <w:rFonts w:ascii="Arial" w:hAnsi="Arial" w:cs="Arial"/>
          <w:sz w:val="24"/>
          <w:szCs w:val="24"/>
          <w:vertAlign w:val="subscript"/>
        </w:rPr>
        <w:t>adj</w:t>
      </w:r>
      <w:r w:rsidRPr="00B146D3">
        <w:rPr>
          <w:rFonts w:ascii="Arial" w:hAnsi="Arial" w:cs="Arial"/>
          <w:sz w:val="24"/>
          <w:szCs w:val="24"/>
        </w:rPr>
        <w:t xml:space="preserve">).  </w:t>
      </w:r>
    </w:p>
    <w:sectPr w:rsidR="008E774C" w:rsidRPr="00B146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4F32D" w14:textId="77777777" w:rsidR="0079476C" w:rsidRDefault="0079476C" w:rsidP="00F34425">
      <w:pPr>
        <w:rPr>
          <w:rFonts w:hint="eastAsia"/>
        </w:rPr>
      </w:pPr>
      <w:r>
        <w:separator/>
      </w:r>
    </w:p>
  </w:endnote>
  <w:endnote w:type="continuationSeparator" w:id="0">
    <w:p w14:paraId="31EE7E8F" w14:textId="77777777" w:rsidR="0079476C" w:rsidRDefault="0079476C" w:rsidP="00F3442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1455F" w14:textId="77777777" w:rsidR="0079476C" w:rsidRDefault="0079476C" w:rsidP="00F34425">
      <w:pPr>
        <w:rPr>
          <w:rFonts w:hint="eastAsia"/>
        </w:rPr>
      </w:pPr>
      <w:r>
        <w:separator/>
      </w:r>
    </w:p>
  </w:footnote>
  <w:footnote w:type="continuationSeparator" w:id="0">
    <w:p w14:paraId="731AA1C5" w14:textId="77777777" w:rsidR="0079476C" w:rsidRDefault="0079476C" w:rsidP="00F3442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E47"/>
    <w:rsid w:val="00163025"/>
    <w:rsid w:val="00172F88"/>
    <w:rsid w:val="00193B66"/>
    <w:rsid w:val="002B4637"/>
    <w:rsid w:val="003A0839"/>
    <w:rsid w:val="003D374E"/>
    <w:rsid w:val="003F39D7"/>
    <w:rsid w:val="004E2186"/>
    <w:rsid w:val="006C57E8"/>
    <w:rsid w:val="00781592"/>
    <w:rsid w:val="0079333E"/>
    <w:rsid w:val="0079476C"/>
    <w:rsid w:val="007D5439"/>
    <w:rsid w:val="008B3819"/>
    <w:rsid w:val="008E774C"/>
    <w:rsid w:val="008F49DF"/>
    <w:rsid w:val="00A879CC"/>
    <w:rsid w:val="00AB68D9"/>
    <w:rsid w:val="00AD37E2"/>
    <w:rsid w:val="00B146D3"/>
    <w:rsid w:val="00C67AA2"/>
    <w:rsid w:val="00CC50D4"/>
    <w:rsid w:val="00CE1E47"/>
    <w:rsid w:val="00D345A4"/>
    <w:rsid w:val="00E8310C"/>
    <w:rsid w:val="00EE1C48"/>
    <w:rsid w:val="00F34425"/>
    <w:rsid w:val="00F4630D"/>
    <w:rsid w:val="00FA5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A00D6"/>
  <w15:chartTrackingRefBased/>
  <w15:docId w15:val="{F1BAAB3B-A63F-4300-8A3A-E6BB2FD0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E1E4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E4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E4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E1E4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E1E4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E1E4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E1E4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E1E4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E1E4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E1E4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E1E4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E1E4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E1E47"/>
    <w:rPr>
      <w:rFonts w:cstheme="majorBidi"/>
      <w:color w:val="0F4761" w:themeColor="accent1" w:themeShade="BF"/>
      <w:sz w:val="28"/>
      <w:szCs w:val="28"/>
    </w:rPr>
  </w:style>
  <w:style w:type="character" w:customStyle="1" w:styleId="50">
    <w:name w:val="标题 5 字符"/>
    <w:basedOn w:val="a0"/>
    <w:link w:val="5"/>
    <w:uiPriority w:val="9"/>
    <w:semiHidden/>
    <w:rsid w:val="00CE1E47"/>
    <w:rPr>
      <w:rFonts w:cstheme="majorBidi"/>
      <w:color w:val="0F4761" w:themeColor="accent1" w:themeShade="BF"/>
      <w:sz w:val="24"/>
      <w:szCs w:val="24"/>
    </w:rPr>
  </w:style>
  <w:style w:type="character" w:customStyle="1" w:styleId="60">
    <w:name w:val="标题 6 字符"/>
    <w:basedOn w:val="a0"/>
    <w:link w:val="6"/>
    <w:uiPriority w:val="9"/>
    <w:semiHidden/>
    <w:rsid w:val="00CE1E47"/>
    <w:rPr>
      <w:rFonts w:cstheme="majorBidi"/>
      <w:b/>
      <w:bCs/>
      <w:color w:val="0F4761" w:themeColor="accent1" w:themeShade="BF"/>
    </w:rPr>
  </w:style>
  <w:style w:type="character" w:customStyle="1" w:styleId="70">
    <w:name w:val="标题 7 字符"/>
    <w:basedOn w:val="a0"/>
    <w:link w:val="7"/>
    <w:uiPriority w:val="9"/>
    <w:semiHidden/>
    <w:rsid w:val="00CE1E47"/>
    <w:rPr>
      <w:rFonts w:cstheme="majorBidi"/>
      <w:b/>
      <w:bCs/>
      <w:color w:val="595959" w:themeColor="text1" w:themeTint="A6"/>
    </w:rPr>
  </w:style>
  <w:style w:type="character" w:customStyle="1" w:styleId="80">
    <w:name w:val="标题 8 字符"/>
    <w:basedOn w:val="a0"/>
    <w:link w:val="8"/>
    <w:uiPriority w:val="9"/>
    <w:semiHidden/>
    <w:rsid w:val="00CE1E47"/>
    <w:rPr>
      <w:rFonts w:cstheme="majorBidi"/>
      <w:color w:val="595959" w:themeColor="text1" w:themeTint="A6"/>
    </w:rPr>
  </w:style>
  <w:style w:type="character" w:customStyle="1" w:styleId="90">
    <w:name w:val="标题 9 字符"/>
    <w:basedOn w:val="a0"/>
    <w:link w:val="9"/>
    <w:uiPriority w:val="9"/>
    <w:semiHidden/>
    <w:rsid w:val="00CE1E47"/>
    <w:rPr>
      <w:rFonts w:eastAsiaTheme="majorEastAsia" w:cstheme="majorBidi"/>
      <w:color w:val="595959" w:themeColor="text1" w:themeTint="A6"/>
    </w:rPr>
  </w:style>
  <w:style w:type="paragraph" w:styleId="a3">
    <w:name w:val="Title"/>
    <w:basedOn w:val="a"/>
    <w:next w:val="a"/>
    <w:link w:val="a4"/>
    <w:uiPriority w:val="10"/>
    <w:qFormat/>
    <w:rsid w:val="00CE1E4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E1E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E4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E1E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E47"/>
    <w:pPr>
      <w:spacing w:before="160" w:after="160"/>
      <w:jc w:val="center"/>
    </w:pPr>
    <w:rPr>
      <w:i/>
      <w:iCs/>
      <w:color w:val="404040" w:themeColor="text1" w:themeTint="BF"/>
    </w:rPr>
  </w:style>
  <w:style w:type="character" w:customStyle="1" w:styleId="a8">
    <w:name w:val="引用 字符"/>
    <w:basedOn w:val="a0"/>
    <w:link w:val="a7"/>
    <w:uiPriority w:val="29"/>
    <w:rsid w:val="00CE1E47"/>
    <w:rPr>
      <w:i/>
      <w:iCs/>
      <w:color w:val="404040" w:themeColor="text1" w:themeTint="BF"/>
    </w:rPr>
  </w:style>
  <w:style w:type="paragraph" w:styleId="a9">
    <w:name w:val="List Paragraph"/>
    <w:basedOn w:val="a"/>
    <w:uiPriority w:val="34"/>
    <w:qFormat/>
    <w:rsid w:val="00CE1E47"/>
    <w:pPr>
      <w:ind w:left="720"/>
      <w:contextualSpacing/>
    </w:pPr>
  </w:style>
  <w:style w:type="character" w:styleId="aa">
    <w:name w:val="Intense Emphasis"/>
    <w:basedOn w:val="a0"/>
    <w:uiPriority w:val="21"/>
    <w:qFormat/>
    <w:rsid w:val="00CE1E47"/>
    <w:rPr>
      <w:i/>
      <w:iCs/>
      <w:color w:val="0F4761" w:themeColor="accent1" w:themeShade="BF"/>
    </w:rPr>
  </w:style>
  <w:style w:type="paragraph" w:styleId="ab">
    <w:name w:val="Intense Quote"/>
    <w:basedOn w:val="a"/>
    <w:next w:val="a"/>
    <w:link w:val="ac"/>
    <w:uiPriority w:val="30"/>
    <w:qFormat/>
    <w:rsid w:val="00CE1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E1E47"/>
    <w:rPr>
      <w:i/>
      <w:iCs/>
      <w:color w:val="0F4761" w:themeColor="accent1" w:themeShade="BF"/>
    </w:rPr>
  </w:style>
  <w:style w:type="character" w:styleId="ad">
    <w:name w:val="Intense Reference"/>
    <w:basedOn w:val="a0"/>
    <w:uiPriority w:val="32"/>
    <w:qFormat/>
    <w:rsid w:val="00CE1E47"/>
    <w:rPr>
      <w:b/>
      <w:bCs/>
      <w:smallCaps/>
      <w:color w:val="0F4761" w:themeColor="accent1" w:themeShade="BF"/>
      <w:spacing w:val="5"/>
    </w:rPr>
  </w:style>
  <w:style w:type="paragraph" w:styleId="ae">
    <w:name w:val="header"/>
    <w:basedOn w:val="a"/>
    <w:link w:val="af"/>
    <w:uiPriority w:val="99"/>
    <w:unhideWhenUsed/>
    <w:rsid w:val="00F34425"/>
    <w:pPr>
      <w:tabs>
        <w:tab w:val="center" w:pos="4153"/>
        <w:tab w:val="right" w:pos="8306"/>
      </w:tabs>
      <w:snapToGrid w:val="0"/>
      <w:jc w:val="center"/>
    </w:pPr>
    <w:rPr>
      <w:sz w:val="18"/>
      <w:szCs w:val="18"/>
    </w:rPr>
  </w:style>
  <w:style w:type="character" w:customStyle="1" w:styleId="af">
    <w:name w:val="页眉 字符"/>
    <w:basedOn w:val="a0"/>
    <w:link w:val="ae"/>
    <w:uiPriority w:val="99"/>
    <w:rsid w:val="00F34425"/>
    <w:rPr>
      <w:sz w:val="18"/>
      <w:szCs w:val="18"/>
    </w:rPr>
  </w:style>
  <w:style w:type="paragraph" w:styleId="af0">
    <w:name w:val="footer"/>
    <w:basedOn w:val="a"/>
    <w:link w:val="af1"/>
    <w:uiPriority w:val="99"/>
    <w:unhideWhenUsed/>
    <w:rsid w:val="00F34425"/>
    <w:pPr>
      <w:tabs>
        <w:tab w:val="center" w:pos="4153"/>
        <w:tab w:val="right" w:pos="8306"/>
      </w:tabs>
      <w:snapToGrid w:val="0"/>
      <w:jc w:val="left"/>
    </w:pPr>
    <w:rPr>
      <w:sz w:val="18"/>
      <w:szCs w:val="18"/>
    </w:rPr>
  </w:style>
  <w:style w:type="character" w:customStyle="1" w:styleId="af1">
    <w:name w:val="页脚 字符"/>
    <w:basedOn w:val="a0"/>
    <w:link w:val="af0"/>
    <w:uiPriority w:val="99"/>
    <w:rsid w:val="00F344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577</Words>
  <Characters>3289</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鸿蕊 李</dc:creator>
  <cp:keywords/>
  <dc:description/>
  <cp:lastModifiedBy>鸿蕊 李</cp:lastModifiedBy>
  <cp:revision>17</cp:revision>
  <dcterms:created xsi:type="dcterms:W3CDTF">2025-02-18T16:17:00Z</dcterms:created>
  <dcterms:modified xsi:type="dcterms:W3CDTF">2025-02-18T17:04:00Z</dcterms:modified>
</cp:coreProperties>
</file>