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eastAsia="华文中宋" w:cs="Times New Roman"/>
          <w:b/>
          <w:bCs/>
          <w:kern w:val="0"/>
          <w:sz w:val="20"/>
          <w:szCs w:val="20"/>
        </w:rPr>
      </w:pPr>
      <w:r>
        <w:rPr>
          <w:rFonts w:ascii="Times New Roman" w:hAnsi="Times New Roman" w:eastAsia="华文中宋" w:cs="Times New Roman"/>
          <w:b/>
          <w:bCs/>
          <w:kern w:val="0"/>
          <w:sz w:val="20"/>
          <w:szCs w:val="20"/>
        </w:rPr>
        <w:t>Contents</w:t>
      </w:r>
    </w:p>
    <w:p>
      <w:pPr>
        <w:spacing w:line="480" w:lineRule="auto"/>
        <w:jc w:val="center"/>
        <w:rPr>
          <w:rFonts w:ascii="Times New Roman" w:hAnsi="Times New Roman" w:cs="Times New Roman"/>
          <w:sz w:val="20"/>
          <w:szCs w:val="20"/>
        </w:rPr>
      </w:pPr>
      <w:r>
        <w:rPr>
          <w:rFonts w:ascii="Times New Roman" w:hAnsi="Times New Roman" w:eastAsia="华文中宋" w:cs="Times New Roman"/>
          <w:b/>
          <w:bCs/>
          <w:kern w:val="0"/>
          <w:sz w:val="20"/>
          <w:szCs w:val="20"/>
        </w:rPr>
        <w:t xml:space="preserve">Supplementary Table 1. </w:t>
      </w:r>
      <w:r>
        <w:rPr>
          <w:rFonts w:ascii="Times New Roman" w:hAnsi="Times New Roman" w:eastAsia="华文中宋" w:cs="Times New Roman"/>
          <w:kern w:val="0"/>
          <w:sz w:val="20"/>
          <w:szCs w:val="20"/>
        </w:rPr>
        <w:t>Associations of peripheral immune biomarkers and BBB-related biomarkers</w:t>
      </w:r>
      <w:r>
        <w:rPr>
          <w:rFonts w:ascii="Times New Roman" w:hAnsi="Times New Roman" w:cs="Times New Roman"/>
          <w:sz w:val="20"/>
          <w:szCs w:val="20"/>
        </w:rPr>
        <w:t>…..……2</w:t>
      </w:r>
    </w:p>
    <w:p>
      <w:pPr>
        <w:spacing w:line="480" w:lineRule="auto"/>
        <w:jc w:val="center"/>
        <w:rPr>
          <w:rFonts w:ascii="Times New Roman" w:hAnsi="Times New Roman" w:cs="Times New Roman"/>
          <w:sz w:val="20"/>
          <w:szCs w:val="20"/>
        </w:rPr>
      </w:pPr>
      <w:r>
        <w:rPr>
          <w:rFonts w:ascii="Times New Roman" w:hAnsi="Times New Roman" w:eastAsia="华文中宋" w:cs="Times New Roman"/>
          <w:b/>
          <w:bCs/>
          <w:kern w:val="0"/>
          <w:sz w:val="20"/>
          <w:szCs w:val="20"/>
        </w:rPr>
        <w:t xml:space="preserve">Supplementary Table 2. </w:t>
      </w:r>
      <w:r>
        <w:rPr>
          <w:rFonts w:ascii="Times New Roman" w:hAnsi="Times New Roman" w:eastAsia="华文中宋" w:cs="Times New Roman"/>
          <w:kern w:val="0"/>
          <w:sz w:val="20"/>
          <w:szCs w:val="20"/>
        </w:rPr>
        <w:t>Associations of peripheral immune biomarkers and BBB-related biomarkers with AD pathology</w:t>
      </w:r>
      <w:r>
        <w:rPr>
          <w:rFonts w:ascii="Times New Roman" w:hAnsi="Times New Roman" w:cs="Times New Roman"/>
          <w:sz w:val="20"/>
          <w:szCs w:val="20"/>
        </w:rPr>
        <w:t>………......……………….....………......……………….....……….....……......……………....….....…3</w:t>
      </w:r>
    </w:p>
    <w:p>
      <w:pPr>
        <w:spacing w:line="360" w:lineRule="auto"/>
        <w:jc w:val="left"/>
        <w:rPr>
          <w:rFonts w:ascii="Times New Roman" w:hAnsi="Times New Roman" w:cs="Times New Roman"/>
          <w:sz w:val="20"/>
          <w:szCs w:val="20"/>
        </w:rPr>
      </w:pPr>
      <w:r>
        <w:rPr>
          <w:rFonts w:ascii="Times New Roman" w:hAnsi="Times New Roman" w:eastAsia="华文中宋" w:cs="Times New Roman"/>
          <w:b/>
          <w:bCs/>
          <w:kern w:val="0"/>
          <w:sz w:val="20"/>
          <w:szCs w:val="20"/>
        </w:rPr>
        <w:t>Supplementary Table</w:t>
      </w:r>
      <w:r>
        <w:rPr>
          <w:rFonts w:ascii="Times New Roman" w:hAnsi="Times New Roman" w:cs="Times New Roman"/>
          <w:b/>
          <w:bCs/>
          <w:sz w:val="20"/>
          <w:szCs w:val="20"/>
        </w:rPr>
        <w:t xml:space="preserve"> 3.</w:t>
      </w:r>
      <w:r>
        <w:rPr>
          <w:rFonts w:ascii="Times New Roman" w:hAnsi="Times New Roman" w:cs="Times New Roman"/>
          <w:sz w:val="20"/>
          <w:szCs w:val="20"/>
        </w:rPr>
        <w:t xml:space="preserve"> Associations of peripheral immune biomarkers and BBB-related biomarkers with cerebral atrophy………......……………….....………......……………….....……….....……......………………...4</w:t>
      </w:r>
    </w:p>
    <w:p>
      <w:pPr>
        <w:spacing w:line="360" w:lineRule="auto"/>
        <w:jc w:val="left"/>
        <w:rPr>
          <w:rFonts w:ascii="Times New Roman" w:hAnsi="Times New Roman" w:cs="Times New Roman"/>
          <w:sz w:val="20"/>
          <w:szCs w:val="20"/>
        </w:rPr>
      </w:pPr>
      <w:r>
        <w:rPr>
          <w:rFonts w:ascii="Times New Roman" w:hAnsi="Times New Roman" w:eastAsia="华文中宋" w:cs="Times New Roman"/>
          <w:b/>
          <w:bCs/>
          <w:kern w:val="0"/>
          <w:sz w:val="20"/>
          <w:szCs w:val="20"/>
        </w:rPr>
        <w:t>Supplementary Figure</w:t>
      </w:r>
      <w:r>
        <w:rPr>
          <w:rFonts w:ascii="Times New Roman" w:hAnsi="Times New Roman" w:cs="Times New Roman"/>
          <w:b/>
          <w:bCs/>
          <w:sz w:val="20"/>
          <w:szCs w:val="20"/>
        </w:rPr>
        <w:t xml:space="preserve"> 1.</w:t>
      </w:r>
      <w:r>
        <w:rPr>
          <w:rFonts w:ascii="Times New Roman" w:hAnsi="Times New Roman" w:cs="Times New Roman"/>
          <w:sz w:val="20"/>
          <w:szCs w:val="20"/>
        </w:rPr>
        <w:t xml:space="preserve"> Mediation analyses between peripheral immune biomarkers and BBB-related biomarkers with cerebral atrophy.………......……………….....………......……………….....……….....…….....5</w:t>
      </w:r>
    </w:p>
    <w:p>
      <w:pPr>
        <w:spacing w:line="360" w:lineRule="auto"/>
        <w:jc w:val="left"/>
        <w:rPr>
          <w:rFonts w:ascii="Times New Roman" w:hAnsi="Times New Roman" w:eastAsia="华文中宋" w:cs="Times New Roman"/>
          <w:kern w:val="0"/>
          <w:sz w:val="20"/>
          <w:szCs w:val="20"/>
        </w:rPr>
      </w:pPr>
      <w:r>
        <w:rPr>
          <w:rFonts w:ascii="Times New Roman" w:hAnsi="Times New Roman" w:eastAsia="华文中宋" w:cs="Times New Roman"/>
          <w:b/>
          <w:bCs/>
          <w:kern w:val="0"/>
          <w:sz w:val="20"/>
          <w:szCs w:val="20"/>
        </w:rPr>
        <w:t>Supplementary Table 4</w:t>
      </w:r>
      <w:r>
        <w:rPr>
          <w:rFonts w:ascii="Times New Roman" w:hAnsi="Times New Roman" w:eastAsia="华文中宋" w:cs="Times New Roman"/>
          <w:kern w:val="0"/>
          <w:sz w:val="20"/>
          <w:szCs w:val="20"/>
        </w:rPr>
        <w:t xml:space="preserve">. </w:t>
      </w:r>
      <w:r>
        <w:rPr>
          <w:rFonts w:ascii="Times New Roman" w:hAnsi="Times New Roman" w:cs="Times New Roman"/>
          <w:color w:val="000000" w:themeColor="text1"/>
          <w:sz w:val="20"/>
          <w:szCs w:val="20"/>
          <w14:textFill>
            <w14:solidFill>
              <w14:schemeClr w14:val="tx1"/>
            </w14:solidFill>
          </w14:textFill>
        </w:rPr>
        <w:t>Associations of peripheral immune biomarkers and BBB-related biomarkers with cognitive function.....</w:t>
      </w:r>
      <w:r>
        <w:rPr>
          <w:rFonts w:ascii="Times New Roman" w:hAnsi="Times New Roman" w:cs="Times New Roman"/>
          <w:sz w:val="20"/>
          <w:szCs w:val="20"/>
        </w:rPr>
        <w:t>………......…….....………….....……….....……......…………….….....…</w:t>
      </w:r>
      <w:r>
        <w:rPr>
          <w:rFonts w:ascii="Times New Roman" w:hAnsi="Times New Roman" w:eastAsia="华文中宋" w:cs="Times New Roman"/>
          <w:kern w:val="0"/>
          <w:sz w:val="20"/>
          <w:szCs w:val="20"/>
        </w:rPr>
        <w:t>.………......……6</w:t>
      </w:r>
    </w:p>
    <w:p>
      <w:pPr>
        <w:spacing w:line="360" w:lineRule="auto"/>
        <w:jc w:val="left"/>
        <w:rPr>
          <w:rFonts w:hint="eastAsia" w:ascii="Times New Roman" w:hAnsi="Times New Roman" w:eastAsia="华文中宋" w:cs="Times New Roman"/>
          <w:kern w:val="0"/>
          <w:sz w:val="20"/>
          <w:szCs w:val="20"/>
          <w:lang w:val="en-US" w:eastAsia="zh-CN"/>
        </w:rPr>
      </w:pPr>
      <w:r>
        <w:rPr>
          <w:rFonts w:ascii="Times New Roman" w:hAnsi="Times New Roman" w:eastAsia="华文中宋" w:cs="Times New Roman"/>
          <w:b/>
          <w:bCs/>
          <w:kern w:val="0"/>
          <w:sz w:val="20"/>
          <w:szCs w:val="20"/>
        </w:rPr>
        <w:t>Supplementary 5. ADNI members list</w:t>
      </w:r>
      <w:r>
        <w:rPr>
          <w:rFonts w:ascii="Times New Roman" w:hAnsi="Times New Roman" w:eastAsia="华文中宋" w:cs="Times New Roman"/>
          <w:kern w:val="0"/>
          <w:sz w:val="20"/>
          <w:szCs w:val="20"/>
        </w:rPr>
        <w:t xml:space="preserve"> ..</w:t>
      </w:r>
      <w:r>
        <w:rPr>
          <w:rFonts w:ascii="Times New Roman" w:hAnsi="Times New Roman" w:cs="Times New Roman"/>
          <w:color w:val="000000" w:themeColor="text1"/>
          <w:sz w:val="20"/>
          <w:szCs w:val="20"/>
          <w14:textFill>
            <w14:solidFill>
              <w14:schemeClr w14:val="tx1"/>
            </w14:solidFill>
          </w14:textFill>
        </w:rPr>
        <w:t>.....</w:t>
      </w:r>
      <w:r>
        <w:rPr>
          <w:rFonts w:ascii="Times New Roman" w:hAnsi="Times New Roman" w:cs="Times New Roman"/>
          <w:sz w:val="20"/>
          <w:szCs w:val="20"/>
        </w:rPr>
        <w:t>...…</w:t>
      </w:r>
      <w:r>
        <w:rPr>
          <w:rFonts w:ascii="Times New Roman" w:hAnsi="Times New Roman" w:eastAsia="华文中宋" w:cs="Times New Roman"/>
          <w:kern w:val="0"/>
          <w:sz w:val="20"/>
          <w:szCs w:val="20"/>
        </w:rPr>
        <w:t>...............................................................................................…</w:t>
      </w:r>
      <w:r>
        <w:rPr>
          <w:rFonts w:hint="eastAsia" w:ascii="Times New Roman" w:hAnsi="Times New Roman" w:eastAsia="华文中宋" w:cs="Times New Roman"/>
          <w:kern w:val="0"/>
          <w:sz w:val="20"/>
          <w:szCs w:val="20"/>
          <w:lang w:val="en-US" w:eastAsia="zh-CN"/>
        </w:rPr>
        <w:t>8</w:t>
      </w:r>
      <w:bookmarkStart w:id="1" w:name="_GoBack"/>
      <w:bookmarkEnd w:id="1"/>
    </w:p>
    <w:p>
      <w:pPr>
        <w:spacing w:line="360" w:lineRule="auto"/>
        <w:jc w:val="left"/>
        <w:rPr>
          <w:rFonts w:ascii="Times New Roman" w:hAnsi="Times New Roman" w:eastAsia="华文中宋" w:cs="Times New Roman"/>
          <w:b/>
          <w:bCs/>
          <w:kern w:val="0"/>
          <w:sz w:val="20"/>
          <w:szCs w:val="20"/>
        </w:rPr>
      </w:pPr>
    </w:p>
    <w:p>
      <w:pPr>
        <w:spacing w:line="360" w:lineRule="auto"/>
        <w:jc w:val="left"/>
        <w:rPr>
          <w:rFonts w:ascii="Times New Roman" w:hAnsi="Times New Roman" w:cs="Times New Roman"/>
          <w:b/>
          <w:bCs/>
          <w:sz w:val="20"/>
          <w:szCs w:val="20"/>
        </w:rPr>
      </w:pPr>
    </w:p>
    <w:p>
      <w:pPr>
        <w:spacing w:line="360" w:lineRule="auto"/>
        <w:jc w:val="left"/>
        <w:rPr>
          <w:rFonts w:ascii="Times New Roman" w:hAnsi="Times New Roman" w:cs="Times New Roman"/>
          <w:b/>
          <w:bCs/>
          <w:sz w:val="20"/>
          <w:szCs w:val="20"/>
        </w:rPr>
      </w:pPr>
    </w:p>
    <w:p>
      <w:pPr>
        <w:spacing w:line="360" w:lineRule="auto"/>
        <w:rPr>
          <w:rFonts w:ascii="Times New Roman" w:hAnsi="Times New Roman" w:cs="Times New Roman"/>
          <w:b/>
          <w:bCs/>
          <w:sz w:val="20"/>
          <w:szCs w:val="20"/>
        </w:rPr>
        <w:sectPr>
          <w:footerReference r:id="rId3" w:type="default"/>
          <w:pgSz w:w="11905" w:h="11338" w:orient="landscape"/>
          <w:pgMar w:top="1803" w:right="1440" w:bottom="1803" w:left="1440" w:header="851" w:footer="992" w:gutter="0"/>
          <w:cols w:space="0" w:num="1"/>
          <w:docGrid w:type="lines" w:linePitch="322" w:charSpace="0"/>
        </w:sectPr>
      </w:pPr>
    </w:p>
    <w:p>
      <w:pPr>
        <w:jc w:val="center"/>
        <w:rPr>
          <w:rFonts w:ascii="Times New Roman" w:hAnsi="Times New Roman" w:cs="Times New Roman"/>
          <w:b/>
          <w:bCs/>
          <w:sz w:val="20"/>
          <w:szCs w:val="20"/>
        </w:rPr>
      </w:pPr>
      <w:r>
        <w:rPr>
          <w:rFonts w:ascii="Times New Roman" w:hAnsi="Times New Roman" w:eastAsia="华文中宋" w:cs="Times New Roman"/>
          <w:b/>
          <w:bCs/>
          <w:kern w:val="0"/>
          <w:sz w:val="20"/>
          <w:szCs w:val="20"/>
        </w:rPr>
        <w:t>Supplementary Table</w:t>
      </w:r>
      <w:r>
        <w:rPr>
          <w:rFonts w:ascii="Times New Roman" w:hAnsi="Times New Roman" w:cs="Times New Roman"/>
          <w:b/>
          <w:bCs/>
          <w:sz w:val="20"/>
          <w:szCs w:val="20"/>
        </w:rPr>
        <w:t xml:space="preserve"> 1. Associations of peripheral immune biomarkers and BBB-related biomarkers.</w:t>
      </w:r>
    </w:p>
    <w:tbl>
      <w:tblPr>
        <w:tblStyle w:val="5"/>
        <w:tblpPr w:leftFromText="180" w:rightFromText="180" w:vertAnchor="text" w:horzAnchor="page" w:tblpXSpec="center" w:tblpY="41"/>
        <w:tblOverlap w:val="never"/>
        <w:tblW w:w="959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0"/>
        <w:gridCol w:w="1119"/>
        <w:gridCol w:w="1123"/>
        <w:gridCol w:w="1119"/>
        <w:gridCol w:w="1106"/>
        <w:gridCol w:w="12"/>
        <w:gridCol w:w="1119"/>
        <w:gridCol w:w="1095"/>
        <w:gridCol w:w="24"/>
      </w:tblGrid>
      <w:tr>
        <w:trPr>
          <w:gridAfter w:val="1"/>
          <w:wAfter w:w="19" w:type="dxa"/>
          <w:trHeight w:val="630" w:hRule="atLeast"/>
          <w:jc w:val="center"/>
        </w:trPr>
        <w:tc>
          <w:tcPr>
            <w:tcW w:w="2883" w:type="dxa"/>
            <w:vMerge w:val="restart"/>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2243" w:type="dxa"/>
            <w:gridSpan w:val="2"/>
            <w:tcBorders>
              <w:bottom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cs="Times New Roman"/>
                <w:kern w:val="0"/>
                <w:sz w:val="20"/>
                <w:szCs w:val="20"/>
              </w:rPr>
              <w:t>CCL26</w:t>
            </w:r>
          </w:p>
        </w:tc>
        <w:tc>
          <w:tcPr>
            <w:tcW w:w="2226"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CD40</w:t>
            </w:r>
          </w:p>
        </w:tc>
        <w:tc>
          <w:tcPr>
            <w:tcW w:w="2226" w:type="dxa"/>
            <w:gridSpan w:val="3"/>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MMP10</w:t>
            </w:r>
          </w:p>
        </w:tc>
      </w:tr>
      <w:tr>
        <w:trPr>
          <w:trHeight w:val="630" w:hRule="atLeast"/>
          <w:jc w:val="center"/>
        </w:trPr>
        <w:tc>
          <w:tcPr>
            <w:tcW w:w="2883" w:type="dxa"/>
            <w:vMerge w:val="continue"/>
            <w:tcBorders>
              <w:bottom w:val="single" w:color="auto" w:sz="4" w:space="0"/>
              <w:tl2br w:val="nil"/>
              <w:tr2bl w:val="nil"/>
            </w:tcBorders>
            <w:vAlign w:val="center"/>
          </w:tcPr>
          <w:p>
            <w:pPr>
              <w:spacing w:line="480" w:lineRule="auto"/>
              <w:rPr>
                <w:rFonts w:ascii="Times New Roman" w:hAnsi="Times New Roman" w:cs="Times New Roman"/>
                <w:kern w:val="0"/>
                <w:sz w:val="20"/>
                <w:szCs w:val="20"/>
              </w:rPr>
            </w:pP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19"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19"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r>
      <w:tr>
        <w:trPr>
          <w:trHeight w:val="90" w:hRule="atLeast"/>
          <w:jc w:val="center"/>
        </w:trPr>
        <w:tc>
          <w:tcPr>
            <w:tcW w:w="2883" w:type="dxa"/>
            <w:tcBorders>
              <w:top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cs="Times New Roman"/>
                <w:kern w:val="0"/>
                <w:sz w:val="20"/>
                <w:szCs w:val="20"/>
              </w:rPr>
              <w:t>NEU%</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0.119</w:t>
            </w:r>
          </w:p>
        </w:tc>
        <w:tc>
          <w:tcPr>
            <w:tcW w:w="1119" w:type="dxa"/>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0.006</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0.101</w:t>
            </w:r>
          </w:p>
        </w:tc>
        <w:tc>
          <w:tcPr>
            <w:tcW w:w="1119" w:type="dxa"/>
            <w:gridSpan w:val="2"/>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0.015</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0.144</w:t>
            </w:r>
          </w:p>
        </w:tc>
        <w:tc>
          <w:tcPr>
            <w:tcW w:w="111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&lt;0.001</w:t>
            </w: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LYM%</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-0.101</w:t>
            </w:r>
          </w:p>
        </w:tc>
        <w:tc>
          <w:tcPr>
            <w:tcW w:w="1119"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0.019</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-0.132</w:t>
            </w:r>
          </w:p>
        </w:tc>
        <w:tc>
          <w:tcPr>
            <w:tcW w:w="1119"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0.002</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-0.141</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0.001</w:t>
            </w: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NLR</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0.124</w:t>
            </w:r>
          </w:p>
        </w:tc>
        <w:tc>
          <w:tcPr>
            <w:tcW w:w="1119"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0.005</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0.111</w:t>
            </w:r>
          </w:p>
        </w:tc>
        <w:tc>
          <w:tcPr>
            <w:tcW w:w="1119"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0.009</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0.187</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r>
    </w:tbl>
    <w:p>
      <w:pPr>
        <w:jc w:val="center"/>
        <w:rPr>
          <w:rFonts w:ascii="Times New Roman" w:hAnsi="Times New Roman" w:cs="Times New Roman"/>
          <w:b/>
          <w:bCs/>
          <w:sz w:val="20"/>
          <w:szCs w:val="20"/>
        </w:rPr>
      </w:pPr>
    </w:p>
    <w:p>
      <w:pPr>
        <w:tabs>
          <w:tab w:val="left" w:pos="3451"/>
        </w:tabs>
        <w:spacing w:line="360" w:lineRule="auto"/>
        <w:rPr>
          <w:rFonts w:ascii="Times New Roman" w:hAnsi="Times New Roman" w:cs="Times New Roman"/>
          <w:sz w:val="20"/>
          <w:szCs w:val="20"/>
        </w:rPr>
      </w:pPr>
      <w:r>
        <w:rPr>
          <w:rFonts w:ascii="Times New Roman" w:hAnsi="Times New Roman" w:eastAsia="GuardianSansGR-Regular" w:cs="Times New Roman"/>
          <w:kern w:val="0"/>
          <w:sz w:val="20"/>
          <w:szCs w:val="20"/>
        </w:rPr>
        <w:t>Abbreviations: NEU%, neutrophils percent; LYM%, lymphocytes percent; NLR</w:t>
      </w:r>
      <w:r>
        <w:rPr>
          <w:rFonts w:ascii="Times New Roman" w:hAnsi="Times New Roman" w:eastAsia="宋体" w:cs="Times New Roman"/>
          <w:kern w:val="0"/>
          <w:sz w:val="20"/>
          <w:szCs w:val="20"/>
        </w:rPr>
        <w:t xml:space="preserve">, </w:t>
      </w:r>
      <w:r>
        <w:rPr>
          <w:rFonts w:ascii="Times New Roman" w:hAnsi="Times New Roman" w:eastAsia="GuardianSansGR-Regular" w:cs="Times New Roman"/>
          <w:kern w:val="0"/>
          <w:sz w:val="20"/>
          <w:szCs w:val="20"/>
        </w:rPr>
        <w:t>Neutrophil–lymphocyte ratio;</w:t>
      </w:r>
      <w:r>
        <w:rPr>
          <w:rFonts w:ascii="Times New Roman" w:hAnsi="Times New Roman" w:eastAsia="宋体" w:cs="Times New Roman"/>
          <w:kern w:val="0"/>
          <w:sz w:val="20"/>
          <w:szCs w:val="20"/>
        </w:rPr>
        <w:t xml:space="preserve"> CCL26, eosinophil chemotactic factor-3; MMP10, matrix metalloproteinase-10; </w:t>
      </w:r>
      <w:r>
        <w:rPr>
          <w:rFonts w:ascii="Times New Roman" w:hAnsi="Times New Roman" w:eastAsia="GuardianSansGR-Regular" w:cs="Times New Roman"/>
          <w:kern w:val="0"/>
          <w:sz w:val="20"/>
          <w:szCs w:val="20"/>
        </w:rPr>
        <w:t>MTL</w:t>
      </w:r>
      <w:r>
        <w:rPr>
          <w:rFonts w:ascii="Times New Roman" w:hAnsi="Times New Roman" w:eastAsia="宋体" w:cs="Times New Roman"/>
          <w:kern w:val="0"/>
          <w:sz w:val="20"/>
          <w:szCs w:val="20"/>
        </w:rPr>
        <w:t xml:space="preserve">: </w:t>
      </w:r>
      <w:r>
        <w:rPr>
          <w:rFonts w:ascii="Times New Roman" w:hAnsi="Times New Roman" w:eastAsia="GuardianSansGR-Regular" w:cs="Times New Roman"/>
          <w:kern w:val="0"/>
          <w:sz w:val="20"/>
          <w:szCs w:val="20"/>
        </w:rPr>
        <w:t>middle temporal lobe</w:t>
      </w:r>
      <w:r>
        <w:rPr>
          <w:rFonts w:ascii="Times New Roman" w:hAnsi="Times New Roman" w:eastAsia="宋体" w:cs="Times New Roman"/>
          <w:kern w:val="0"/>
          <w:sz w:val="20"/>
          <w:szCs w:val="20"/>
        </w:rPr>
        <w:t xml:space="preserve">; </w:t>
      </w:r>
      <w:r>
        <w:rPr>
          <w:rFonts w:ascii="Times New Roman" w:hAnsi="Times New Roman" w:eastAsia="GuardianSansGR-Regular" w:cs="Times New Roman"/>
          <w:kern w:val="0"/>
          <w:sz w:val="20"/>
          <w:szCs w:val="20"/>
        </w:rPr>
        <w:t xml:space="preserve">EC, entorhinal cortex; </w:t>
      </w:r>
    </w:p>
    <w:p>
      <w:pPr>
        <w:spacing w:line="360" w:lineRule="auto"/>
        <w:rPr>
          <w:rFonts w:ascii="Times New Roman" w:hAnsi="Times New Roman" w:cs="Times New Roman"/>
          <w:b/>
          <w:bCs/>
          <w:sz w:val="20"/>
          <w:szCs w:val="20"/>
        </w:rPr>
      </w:pPr>
    </w:p>
    <w:p>
      <w:pPr>
        <w:spacing w:line="360" w:lineRule="auto"/>
        <w:rPr>
          <w:rFonts w:ascii="Times New Roman" w:hAnsi="Times New Roman" w:cs="Times New Roman"/>
          <w:b/>
          <w:bCs/>
          <w:sz w:val="20"/>
          <w:szCs w:val="20"/>
        </w:rPr>
      </w:pPr>
    </w:p>
    <w:p>
      <w:pPr>
        <w:jc w:val="center"/>
        <w:rPr>
          <w:rFonts w:ascii="Times New Roman" w:hAnsi="Times New Roman" w:cs="Times New Roman"/>
          <w:b/>
          <w:bCs/>
          <w:sz w:val="20"/>
          <w:szCs w:val="20"/>
        </w:rPr>
      </w:pPr>
    </w:p>
    <w:p>
      <w:pPr>
        <w:jc w:val="center"/>
        <w:rPr>
          <w:rFonts w:ascii="Times New Roman" w:hAnsi="Times New Roman" w:cs="Times New Roman"/>
          <w:b/>
          <w:bCs/>
          <w:sz w:val="20"/>
          <w:szCs w:val="20"/>
        </w:rPr>
      </w:pPr>
    </w:p>
    <w:p>
      <w:pPr>
        <w:rPr>
          <w:rFonts w:ascii="Times New Roman" w:hAnsi="Times New Roman" w:cs="Times New Roman"/>
          <w:b/>
          <w:bCs/>
          <w:sz w:val="20"/>
          <w:szCs w:val="20"/>
        </w:rPr>
      </w:pPr>
    </w:p>
    <w:p>
      <w:pPr>
        <w:rPr>
          <w:rFonts w:ascii="Times New Roman" w:hAnsi="Times New Roman" w:cs="Times New Roman"/>
          <w:b/>
          <w:bCs/>
          <w:sz w:val="20"/>
          <w:szCs w:val="20"/>
        </w:rPr>
        <w:sectPr>
          <w:pgSz w:w="11905" w:h="11338" w:orient="landscape"/>
          <w:pgMar w:top="1803" w:right="1440" w:bottom="1803" w:left="1440" w:header="851" w:footer="992" w:gutter="0"/>
          <w:cols w:space="0" w:num="1"/>
          <w:docGrid w:type="lines" w:linePitch="322" w:charSpace="0"/>
        </w:sectPr>
      </w:pPr>
    </w:p>
    <w:p>
      <w:pPr>
        <w:jc w:val="center"/>
        <w:rPr>
          <w:rFonts w:ascii="Times New Roman" w:hAnsi="Times New Roman" w:cs="Times New Roman"/>
          <w:sz w:val="20"/>
          <w:szCs w:val="20"/>
        </w:rPr>
      </w:pPr>
      <w:r>
        <w:rPr>
          <w:rFonts w:ascii="Times New Roman" w:hAnsi="Times New Roman" w:eastAsia="华文中宋" w:cs="Times New Roman"/>
          <w:b/>
          <w:bCs/>
          <w:kern w:val="0"/>
          <w:sz w:val="20"/>
          <w:szCs w:val="20"/>
        </w:rPr>
        <w:t>Supplementary Table</w:t>
      </w:r>
      <w:r>
        <w:rPr>
          <w:rFonts w:ascii="Times New Roman" w:hAnsi="Times New Roman" w:cs="Times New Roman"/>
          <w:b/>
          <w:bCs/>
          <w:sz w:val="20"/>
          <w:szCs w:val="20"/>
        </w:rPr>
        <w:t xml:space="preserve"> 2. Associations of peripheral immune biomarkers and BBB-related biomarkers with AD pathology.</w:t>
      </w:r>
    </w:p>
    <w:p>
      <w:pPr>
        <w:tabs>
          <w:tab w:val="left" w:pos="2189"/>
        </w:tabs>
        <w:jc w:val="left"/>
        <w:rPr>
          <w:rFonts w:ascii="Times New Roman" w:hAnsi="Times New Roman" w:cs="Times New Roman"/>
          <w:sz w:val="20"/>
          <w:szCs w:val="20"/>
        </w:rPr>
      </w:pPr>
    </w:p>
    <w:tbl>
      <w:tblPr>
        <w:tblStyle w:val="5"/>
        <w:tblpPr w:leftFromText="180" w:rightFromText="180" w:vertAnchor="text" w:horzAnchor="page" w:tblpXSpec="center" w:tblpY="-229"/>
        <w:tblOverlap w:val="never"/>
        <w:tblW w:w="1357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78"/>
        <w:gridCol w:w="1078"/>
        <w:gridCol w:w="1078"/>
        <w:gridCol w:w="1079"/>
        <w:gridCol w:w="1084"/>
        <w:gridCol w:w="1079"/>
        <w:gridCol w:w="1068"/>
        <w:gridCol w:w="11"/>
        <w:gridCol w:w="1079"/>
        <w:gridCol w:w="1057"/>
        <w:gridCol w:w="22"/>
        <w:gridCol w:w="1079"/>
        <w:gridCol w:w="1084"/>
      </w:tblGrid>
      <w:tr>
        <w:trPr>
          <w:trHeight w:val="601" w:hRule="atLeast"/>
          <w:jc w:val="center"/>
        </w:trPr>
        <w:tc>
          <w:tcPr>
            <w:tcW w:w="2781" w:type="dxa"/>
            <w:vMerge w:val="restart"/>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2156"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Aβ-42</w:t>
            </w:r>
          </w:p>
        </w:tc>
        <w:tc>
          <w:tcPr>
            <w:tcW w:w="2163"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P-tau</w:t>
            </w:r>
          </w:p>
        </w:tc>
        <w:tc>
          <w:tcPr>
            <w:tcW w:w="2147"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T-tau</w:t>
            </w:r>
          </w:p>
        </w:tc>
        <w:tc>
          <w:tcPr>
            <w:tcW w:w="2147" w:type="dxa"/>
            <w:gridSpan w:val="3"/>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T-tau/Aβ-42</w:t>
            </w:r>
          </w:p>
        </w:tc>
        <w:tc>
          <w:tcPr>
            <w:tcW w:w="2182" w:type="dxa"/>
            <w:gridSpan w:val="3"/>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P-tau/Aβ-42</w:t>
            </w:r>
          </w:p>
        </w:tc>
      </w:tr>
      <w:tr>
        <w:trPr>
          <w:trHeight w:val="601" w:hRule="atLeast"/>
          <w:jc w:val="center"/>
        </w:trPr>
        <w:tc>
          <w:tcPr>
            <w:tcW w:w="2781" w:type="dxa"/>
            <w:vMerge w:val="continue"/>
            <w:tcBorders>
              <w:bottom w:val="single" w:color="auto" w:sz="4" w:space="0"/>
              <w:tl2br w:val="nil"/>
              <w:tr2bl w:val="nil"/>
            </w:tcBorders>
            <w:vAlign w:val="center"/>
          </w:tcPr>
          <w:p>
            <w:pPr>
              <w:spacing w:line="480" w:lineRule="auto"/>
              <w:rPr>
                <w:rFonts w:ascii="Times New Roman" w:hAnsi="Times New Roman" w:cs="Times New Roman"/>
                <w:kern w:val="0"/>
                <w:sz w:val="20"/>
                <w:szCs w:val="20"/>
              </w:rPr>
            </w:pP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9"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9"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84"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r>
      <w:tr>
        <w:trPr>
          <w:trHeight w:val="601" w:hRule="atLeast"/>
          <w:jc w:val="center"/>
        </w:trPr>
        <w:tc>
          <w:tcPr>
            <w:tcW w:w="2781" w:type="dxa"/>
            <w:tcBorders>
              <w:top w:val="single" w:color="auto" w:sz="4" w:space="0"/>
              <w:tl2br w:val="nil"/>
              <w:tr2bl w:val="nil"/>
            </w:tcBorders>
            <w:vAlign w:val="center"/>
          </w:tcPr>
          <w:p>
            <w:pPr>
              <w:widowControl/>
              <w:spacing w:line="480" w:lineRule="auto"/>
              <w:jc w:val="left"/>
              <w:rPr>
                <w:rFonts w:ascii="Times New Roman" w:hAnsi="Times New Roman" w:cs="Times New Roman"/>
                <w:i/>
                <w:iCs/>
                <w:kern w:val="0"/>
                <w:sz w:val="20"/>
                <w:szCs w:val="20"/>
              </w:rPr>
            </w:pPr>
            <w:bookmarkStart w:id="0" w:name="OLE_LINK3"/>
            <w:r>
              <w:rPr>
                <w:rFonts w:ascii="Times New Roman" w:hAnsi="Times New Roman" w:cs="Times New Roman"/>
                <w:i/>
                <w:iCs/>
                <w:kern w:val="0"/>
                <w:sz w:val="20"/>
                <w:szCs w:val="20"/>
              </w:rPr>
              <w:t>Peripheral immune</w:t>
            </w:r>
          </w:p>
        </w:tc>
        <w:tc>
          <w:tcPr>
            <w:tcW w:w="10795" w:type="dxa"/>
            <w:gridSpan w:val="12"/>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p>
        </w:tc>
      </w:tr>
      <w:tr>
        <w:trPr>
          <w:trHeight w:val="601" w:hRule="atLeast"/>
          <w:jc w:val="center"/>
        </w:trPr>
        <w:tc>
          <w:tcPr>
            <w:tcW w:w="2781" w:type="dxa"/>
            <w:tcBorders>
              <w:top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cs="Times New Roman"/>
                <w:kern w:val="0"/>
                <w:sz w:val="20"/>
                <w:szCs w:val="20"/>
              </w:rPr>
              <w:t>NEU%</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-0.111</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0.003</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0.116</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0.044</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0.066</w:t>
            </w:r>
          </w:p>
        </w:tc>
        <w:tc>
          <w:tcPr>
            <w:tcW w:w="107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0.217</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0.109</w:t>
            </w:r>
          </w:p>
        </w:tc>
        <w:tc>
          <w:tcPr>
            <w:tcW w:w="107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0.038</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0.104</w:t>
            </w:r>
          </w:p>
        </w:tc>
        <w:tc>
          <w:tcPr>
            <w:tcW w:w="1084"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0.046</w:t>
            </w:r>
          </w:p>
        </w:tc>
      </w:tr>
      <w:bookmarkEnd w:id="0"/>
      <w:tr>
        <w:trPr>
          <w:trHeight w:val="591" w:hRule="atLeast"/>
          <w:jc w:val="center"/>
        </w:trPr>
        <w:tc>
          <w:tcPr>
            <w:tcW w:w="2781"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LYM%</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0.125</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0.049</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-0.042</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0.439</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-0.040</w:t>
            </w:r>
          </w:p>
        </w:tc>
        <w:tc>
          <w:tcPr>
            <w:tcW w:w="107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kern w:val="0"/>
                <w:sz w:val="20"/>
                <w:szCs w:val="20"/>
              </w:rPr>
              <w:t>0.464</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-0.145</w:t>
            </w:r>
          </w:p>
        </w:tc>
        <w:tc>
          <w:tcPr>
            <w:tcW w:w="107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0.020</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-0.152</w:t>
            </w:r>
          </w:p>
        </w:tc>
        <w:tc>
          <w:tcPr>
            <w:tcW w:w="1084"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0.016</w:t>
            </w:r>
          </w:p>
        </w:tc>
      </w:tr>
      <w:tr>
        <w:trPr>
          <w:trHeight w:val="591" w:hRule="atLeast"/>
          <w:jc w:val="center"/>
        </w:trPr>
        <w:tc>
          <w:tcPr>
            <w:tcW w:w="2781"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NLR</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-0.148</w:t>
            </w:r>
          </w:p>
        </w:tc>
        <w:tc>
          <w:tcPr>
            <w:tcW w:w="1079"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0.027</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0.126</w:t>
            </w:r>
          </w:p>
        </w:tc>
        <w:tc>
          <w:tcPr>
            <w:tcW w:w="1079"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0.042</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0.041</w:t>
            </w:r>
          </w:p>
        </w:tc>
        <w:tc>
          <w:tcPr>
            <w:tcW w:w="107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kern w:val="0"/>
                <w:sz w:val="20"/>
                <w:szCs w:val="20"/>
              </w:rPr>
              <w:t>0.435</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0.150</w:t>
            </w:r>
          </w:p>
        </w:tc>
        <w:tc>
          <w:tcPr>
            <w:tcW w:w="107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0.023</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0.161</w:t>
            </w:r>
          </w:p>
        </w:tc>
        <w:tc>
          <w:tcPr>
            <w:tcW w:w="1084"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0.014</w:t>
            </w:r>
          </w:p>
        </w:tc>
      </w:tr>
      <w:tr>
        <w:trPr>
          <w:trHeight w:val="601" w:hRule="atLeast"/>
          <w:jc w:val="center"/>
        </w:trPr>
        <w:tc>
          <w:tcPr>
            <w:tcW w:w="2781" w:type="dxa"/>
            <w:tcBorders>
              <w:top w:val="single" w:color="auto" w:sz="4" w:space="0"/>
              <w:bottom w:val="single" w:color="auto" w:sz="4" w:space="0"/>
              <w:tl2br w:val="nil"/>
              <w:tr2bl w:val="nil"/>
            </w:tcBorders>
            <w:vAlign w:val="center"/>
          </w:tcPr>
          <w:p>
            <w:pPr>
              <w:widowControl/>
              <w:spacing w:line="480" w:lineRule="auto"/>
              <w:jc w:val="left"/>
              <w:rPr>
                <w:rFonts w:ascii="Times New Roman" w:hAnsi="Times New Roman" w:cs="Times New Roman"/>
                <w:kern w:val="0"/>
                <w:sz w:val="20"/>
                <w:szCs w:val="20"/>
              </w:rPr>
            </w:pPr>
            <w:r>
              <w:rPr>
                <w:rFonts w:ascii="Times New Roman" w:hAnsi="Times New Roman" w:eastAsia="Times New Roman" w:cs="Times New Roman"/>
                <w:i/>
                <w:iCs/>
                <w:color w:val="000000" w:themeColor="text1"/>
                <w:sz w:val="20"/>
                <w:szCs w:val="20"/>
                <w14:textFill>
                  <w14:solidFill>
                    <w14:schemeClr w14:val="tx1"/>
                  </w14:solidFill>
                </w14:textFill>
              </w:rPr>
              <w:t>BBB-related biomarkers</w:t>
            </w:r>
          </w:p>
        </w:tc>
        <w:tc>
          <w:tcPr>
            <w:tcW w:w="10795" w:type="dxa"/>
            <w:gridSpan w:val="12"/>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p>
        </w:tc>
      </w:tr>
      <w:tr>
        <w:trPr>
          <w:trHeight w:val="601" w:hRule="atLeast"/>
          <w:jc w:val="center"/>
        </w:trPr>
        <w:tc>
          <w:tcPr>
            <w:tcW w:w="2781"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CCL26</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-0.183</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&lt;0.001</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0.093</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0.072</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 xml:space="preserve"> 0.080</w:t>
            </w:r>
          </w:p>
        </w:tc>
        <w:tc>
          <w:tcPr>
            <w:tcW w:w="107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0.126</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0.141</w:t>
            </w:r>
          </w:p>
        </w:tc>
        <w:tc>
          <w:tcPr>
            <w:tcW w:w="107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0.007</w:t>
            </w:r>
          </w:p>
        </w:tc>
        <w:tc>
          <w:tcPr>
            <w:tcW w:w="107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0.141</w:t>
            </w:r>
          </w:p>
        </w:tc>
        <w:tc>
          <w:tcPr>
            <w:tcW w:w="1084"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0.008</w:t>
            </w:r>
          </w:p>
        </w:tc>
      </w:tr>
      <w:tr>
        <w:trPr>
          <w:trHeight w:val="591" w:hRule="atLeast"/>
          <w:jc w:val="center"/>
        </w:trPr>
        <w:tc>
          <w:tcPr>
            <w:tcW w:w="2781"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CD40</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0.039</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0.454</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0.036</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0.509</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0.043</w:t>
            </w:r>
          </w:p>
        </w:tc>
        <w:tc>
          <w:tcPr>
            <w:tcW w:w="1079"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0.429</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0.010</w:t>
            </w:r>
          </w:p>
        </w:tc>
        <w:tc>
          <w:tcPr>
            <w:tcW w:w="1079"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0.841</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0.007</w:t>
            </w:r>
          </w:p>
        </w:tc>
        <w:tc>
          <w:tcPr>
            <w:tcW w:w="1084"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0.888</w:t>
            </w:r>
          </w:p>
        </w:tc>
      </w:tr>
      <w:tr>
        <w:trPr>
          <w:trHeight w:val="601" w:hRule="atLeast"/>
          <w:jc w:val="center"/>
        </w:trPr>
        <w:tc>
          <w:tcPr>
            <w:tcW w:w="2781"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MMP10</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-0.032</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0.492</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0.014</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0.776</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0.031</w:t>
            </w:r>
          </w:p>
        </w:tc>
        <w:tc>
          <w:tcPr>
            <w:tcW w:w="1079" w:type="dxa"/>
            <w:gridSpan w:val="2"/>
            <w:tcBorders>
              <w:tl2br w:val="nil"/>
              <w:tr2bl w:val="nil"/>
            </w:tcBorders>
            <w:vAlign w:val="center"/>
          </w:tcPr>
          <w:p>
            <w:pPr>
              <w:widowControl/>
              <w:tabs>
                <w:tab w:val="left" w:pos="332"/>
              </w:tabs>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0.534</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0.038</w:t>
            </w:r>
          </w:p>
        </w:tc>
        <w:tc>
          <w:tcPr>
            <w:tcW w:w="1079" w:type="dxa"/>
            <w:gridSpan w:val="2"/>
            <w:tcBorders>
              <w:tl2br w:val="nil"/>
              <w:tr2bl w:val="nil"/>
            </w:tcBorders>
            <w:vAlign w:val="center"/>
          </w:tcPr>
          <w:p>
            <w:pPr>
              <w:widowControl/>
              <w:tabs>
                <w:tab w:val="left" w:pos="278"/>
              </w:tabs>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0.420</w:t>
            </w:r>
          </w:p>
        </w:tc>
        <w:tc>
          <w:tcPr>
            <w:tcW w:w="107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0.025</w:t>
            </w:r>
          </w:p>
        </w:tc>
        <w:tc>
          <w:tcPr>
            <w:tcW w:w="1084"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0.599</w:t>
            </w:r>
          </w:p>
        </w:tc>
      </w:tr>
    </w:tbl>
    <w:p>
      <w:pPr>
        <w:tabs>
          <w:tab w:val="left" w:pos="2189"/>
        </w:tabs>
        <w:jc w:val="left"/>
        <w:rPr>
          <w:rFonts w:ascii="Times New Roman" w:hAnsi="Times New Roman" w:cs="Times New Roman"/>
          <w:sz w:val="20"/>
          <w:szCs w:val="20"/>
        </w:rPr>
      </w:pPr>
      <w:r>
        <w:rPr>
          <w:rFonts w:ascii="Times New Roman" w:hAnsi="Times New Roman" w:cs="Times New Roman"/>
          <w:sz w:val="20"/>
          <w:szCs w:val="20"/>
        </w:rPr>
        <w:t>Abbreviations: NEU%, neutrophils percent; LYM%, lymphocytes percent; NLR, Neutrophil–lymphocyte ratio; CCL26, eosinophil chemotactic factor-3; MMP10, matrix metalloproteinase-10; Aβ, β-Amyloid; P-tau, phosphorylated-tau; T-tau, total tau;</w:t>
      </w:r>
    </w:p>
    <w:p>
      <w:pPr>
        <w:tabs>
          <w:tab w:val="left" w:pos="2189"/>
        </w:tabs>
        <w:jc w:val="left"/>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sectPr>
          <w:pgSz w:w="16441" w:h="15874" w:orient="landscape"/>
          <w:pgMar w:top="1440" w:right="1803" w:bottom="1440" w:left="1803" w:header="851" w:footer="992" w:gutter="0"/>
          <w:cols w:space="0" w:num="1"/>
          <w:docGrid w:type="lines" w:linePitch="316" w:charSpace="0"/>
        </w:sectPr>
      </w:pPr>
    </w:p>
    <w:p>
      <w:pPr>
        <w:jc w:val="center"/>
        <w:rPr>
          <w:rFonts w:ascii="Times New Roman" w:hAnsi="Times New Roman" w:cs="Times New Roman"/>
          <w:b/>
          <w:bCs/>
          <w:sz w:val="20"/>
          <w:szCs w:val="20"/>
        </w:rPr>
      </w:pPr>
    </w:p>
    <w:p>
      <w:pPr>
        <w:jc w:val="center"/>
        <w:rPr>
          <w:rFonts w:ascii="Times New Roman" w:hAnsi="Times New Roman" w:cs="Times New Roman"/>
          <w:b/>
          <w:bCs/>
          <w:sz w:val="20"/>
          <w:szCs w:val="20"/>
        </w:rPr>
      </w:pPr>
      <w:r>
        <w:rPr>
          <w:rFonts w:ascii="Times New Roman" w:hAnsi="Times New Roman" w:eastAsia="华文中宋" w:cs="Times New Roman"/>
          <w:b/>
          <w:bCs/>
          <w:kern w:val="0"/>
          <w:sz w:val="20"/>
          <w:szCs w:val="20"/>
        </w:rPr>
        <w:t>Supplementary Table</w:t>
      </w:r>
      <w:r>
        <w:rPr>
          <w:rFonts w:ascii="Times New Roman" w:hAnsi="Times New Roman" w:cs="Times New Roman"/>
          <w:b/>
          <w:bCs/>
          <w:sz w:val="20"/>
          <w:szCs w:val="20"/>
        </w:rPr>
        <w:t xml:space="preserve"> 3.  Associations of peripheral immune biomarkers and BBB-related biomarkers with cerebral atrophy.</w:t>
      </w:r>
    </w:p>
    <w:p>
      <w:pPr>
        <w:jc w:val="center"/>
        <w:rPr>
          <w:rFonts w:ascii="Times New Roman" w:hAnsi="Times New Roman" w:cs="Times New Roman"/>
          <w:b/>
          <w:bCs/>
          <w:sz w:val="20"/>
          <w:szCs w:val="20"/>
        </w:rPr>
      </w:pPr>
    </w:p>
    <w:tbl>
      <w:tblPr>
        <w:tblStyle w:val="5"/>
        <w:tblpPr w:leftFromText="180" w:rightFromText="180" w:vertAnchor="text" w:horzAnchor="page" w:tblpXSpec="center" w:tblpY="41"/>
        <w:tblOverlap w:val="never"/>
        <w:tblW w:w="1184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80"/>
        <w:gridCol w:w="1118"/>
        <w:gridCol w:w="1124"/>
        <w:gridCol w:w="1119"/>
        <w:gridCol w:w="1107"/>
        <w:gridCol w:w="12"/>
        <w:gridCol w:w="1119"/>
        <w:gridCol w:w="1094"/>
        <w:gridCol w:w="24"/>
        <w:gridCol w:w="1119"/>
        <w:gridCol w:w="1125"/>
      </w:tblGrid>
      <w:tr>
        <w:trPr>
          <w:trHeight w:val="630" w:hRule="atLeast"/>
          <w:jc w:val="center"/>
        </w:trPr>
        <w:tc>
          <w:tcPr>
            <w:tcW w:w="2883" w:type="dxa"/>
            <w:vMerge w:val="restart"/>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2243" w:type="dxa"/>
            <w:gridSpan w:val="2"/>
            <w:tcBorders>
              <w:bottom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eastAsia="宋体" w:cs="Times New Roman"/>
                <w:sz w:val="20"/>
                <w:szCs w:val="20"/>
              </w:rPr>
              <w:t>Whole Brain</w:t>
            </w:r>
          </w:p>
        </w:tc>
        <w:tc>
          <w:tcPr>
            <w:tcW w:w="2226"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eastAsia="宋体" w:cs="Times New Roman"/>
                <w:sz w:val="20"/>
                <w:szCs w:val="20"/>
              </w:rPr>
              <w:t>H</w:t>
            </w:r>
            <w:r>
              <w:rPr>
                <w:rFonts w:ascii="Times New Roman" w:hAnsi="Times New Roman" w:eastAsia="Times New Roman" w:cs="Times New Roman"/>
                <w:sz w:val="20"/>
                <w:szCs w:val="20"/>
              </w:rPr>
              <w:t>ippocampal</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eastAsia="Times New Roman" w:cs="Times New Roman"/>
                <w:sz w:val="20"/>
                <w:szCs w:val="20"/>
              </w:rPr>
              <w:t>volume</w:t>
            </w:r>
          </w:p>
        </w:tc>
        <w:tc>
          <w:tcPr>
            <w:tcW w:w="2226" w:type="dxa"/>
            <w:gridSpan w:val="3"/>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MTL volume</w:t>
            </w:r>
          </w:p>
        </w:tc>
        <w:tc>
          <w:tcPr>
            <w:tcW w:w="2263" w:type="dxa"/>
            <w:gridSpan w:val="3"/>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EC thickness</w:t>
            </w:r>
          </w:p>
        </w:tc>
      </w:tr>
      <w:tr>
        <w:trPr>
          <w:trHeight w:val="630" w:hRule="atLeast"/>
          <w:jc w:val="center"/>
        </w:trPr>
        <w:tc>
          <w:tcPr>
            <w:tcW w:w="2883" w:type="dxa"/>
            <w:vMerge w:val="continue"/>
            <w:tcBorders>
              <w:bottom w:val="single" w:color="auto" w:sz="4" w:space="0"/>
              <w:tl2br w:val="nil"/>
              <w:tr2bl w:val="nil"/>
            </w:tcBorders>
            <w:vAlign w:val="center"/>
          </w:tcPr>
          <w:p>
            <w:pPr>
              <w:spacing w:line="480" w:lineRule="auto"/>
              <w:rPr>
                <w:rFonts w:ascii="Times New Roman" w:hAnsi="Times New Roman" w:cs="Times New Roman"/>
                <w:kern w:val="0"/>
                <w:sz w:val="20"/>
                <w:szCs w:val="20"/>
              </w:rPr>
            </w:pP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19"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19"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119"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125"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r>
      <w:tr>
        <w:trPr>
          <w:trHeight w:val="90" w:hRule="atLeast"/>
          <w:jc w:val="center"/>
        </w:trPr>
        <w:tc>
          <w:tcPr>
            <w:tcW w:w="2883" w:type="dxa"/>
            <w:tcBorders>
              <w:top w:val="single" w:color="auto" w:sz="4" w:space="0"/>
              <w:tl2br w:val="nil"/>
              <w:tr2bl w:val="nil"/>
            </w:tcBorders>
            <w:vAlign w:val="center"/>
          </w:tcPr>
          <w:p>
            <w:pPr>
              <w:widowControl/>
              <w:spacing w:line="480" w:lineRule="auto"/>
              <w:jc w:val="left"/>
              <w:rPr>
                <w:rFonts w:ascii="Times New Roman" w:hAnsi="Times New Roman" w:cs="Times New Roman"/>
                <w:kern w:val="0"/>
                <w:sz w:val="20"/>
                <w:szCs w:val="20"/>
              </w:rPr>
            </w:pPr>
            <w:r>
              <w:rPr>
                <w:rFonts w:ascii="Times New Roman" w:hAnsi="Times New Roman" w:cs="Times New Roman"/>
                <w:i/>
                <w:iCs/>
                <w:kern w:val="0"/>
                <w:sz w:val="20"/>
                <w:szCs w:val="20"/>
              </w:rPr>
              <w:t>Peripheral immune</w:t>
            </w:r>
          </w:p>
        </w:tc>
        <w:tc>
          <w:tcPr>
            <w:tcW w:w="1119" w:type="dxa"/>
            <w:tcBorders>
              <w:top w:val="single" w:color="auto" w:sz="4" w:space="0"/>
              <w:tl2br w:val="nil"/>
              <w:tr2bl w:val="nil"/>
            </w:tcBorders>
            <w:vAlign w:val="center"/>
          </w:tcPr>
          <w:p>
            <w:pPr>
              <w:widowControl/>
              <w:spacing w:line="480" w:lineRule="auto"/>
              <w:jc w:val="left"/>
              <w:rPr>
                <w:rFonts w:ascii="Times New Roman" w:hAnsi="Times New Roman" w:cs="Times New Roman"/>
                <w:kern w:val="0"/>
                <w:sz w:val="20"/>
                <w:szCs w:val="20"/>
              </w:rPr>
            </w:pPr>
          </w:p>
        </w:tc>
        <w:tc>
          <w:tcPr>
            <w:tcW w:w="1119" w:type="dxa"/>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19" w:type="dxa"/>
            <w:gridSpan w:val="2"/>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1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25"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p>
        </w:tc>
      </w:tr>
      <w:tr>
        <w:trPr>
          <w:trHeight w:val="90" w:hRule="atLeast"/>
          <w:jc w:val="center"/>
        </w:trPr>
        <w:tc>
          <w:tcPr>
            <w:tcW w:w="2883" w:type="dxa"/>
            <w:tcBorders>
              <w:top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cs="Times New Roman"/>
                <w:kern w:val="0"/>
                <w:sz w:val="20"/>
                <w:szCs w:val="20"/>
              </w:rPr>
              <w:t>NEU%</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-0.073</w:t>
            </w:r>
          </w:p>
        </w:tc>
        <w:tc>
          <w:tcPr>
            <w:tcW w:w="1119" w:type="dxa"/>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0.001</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-0.167</w:t>
            </w:r>
          </w:p>
        </w:tc>
        <w:tc>
          <w:tcPr>
            <w:tcW w:w="1119" w:type="dxa"/>
            <w:gridSpan w:val="2"/>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-0.080</w:t>
            </w:r>
          </w:p>
        </w:tc>
        <w:tc>
          <w:tcPr>
            <w:tcW w:w="1119"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0.041</w:t>
            </w:r>
          </w:p>
        </w:tc>
        <w:tc>
          <w:tcPr>
            <w:tcW w:w="1119"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-0.140</w:t>
            </w:r>
          </w:p>
        </w:tc>
        <w:tc>
          <w:tcPr>
            <w:tcW w:w="1125"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0.002</w:t>
            </w: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LYM%</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0.083</w:t>
            </w:r>
          </w:p>
        </w:tc>
        <w:tc>
          <w:tcPr>
            <w:tcW w:w="1119"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0.183</w:t>
            </w:r>
          </w:p>
        </w:tc>
        <w:tc>
          <w:tcPr>
            <w:tcW w:w="1119"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0.107</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0.008</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0.156</w:t>
            </w:r>
          </w:p>
        </w:tc>
        <w:tc>
          <w:tcPr>
            <w:tcW w:w="1125"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NLR</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-0.077</w:t>
            </w:r>
          </w:p>
        </w:tc>
        <w:tc>
          <w:tcPr>
            <w:tcW w:w="1119"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0.001</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-0.162</w:t>
            </w:r>
          </w:p>
        </w:tc>
        <w:tc>
          <w:tcPr>
            <w:tcW w:w="1119"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-0.106</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0.012</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-0.134</w:t>
            </w:r>
          </w:p>
        </w:tc>
        <w:tc>
          <w:tcPr>
            <w:tcW w:w="1125"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0.004</w:t>
            </w:r>
          </w:p>
        </w:tc>
      </w:tr>
      <w:tr>
        <w:trPr>
          <w:trHeight w:val="630" w:hRule="atLeast"/>
          <w:jc w:val="center"/>
        </w:trPr>
        <w:tc>
          <w:tcPr>
            <w:tcW w:w="2883" w:type="dxa"/>
            <w:tcBorders>
              <w:tl2br w:val="nil"/>
              <w:tr2bl w:val="nil"/>
            </w:tcBorders>
            <w:vAlign w:val="center"/>
          </w:tcPr>
          <w:p>
            <w:pPr>
              <w:widowControl/>
              <w:spacing w:line="480" w:lineRule="auto"/>
              <w:jc w:val="left"/>
              <w:rPr>
                <w:rFonts w:ascii="Times New Roman" w:hAnsi="Times New Roman" w:cs="Times New Roman"/>
                <w:i/>
                <w:iCs/>
                <w:kern w:val="0"/>
                <w:sz w:val="20"/>
                <w:szCs w:val="20"/>
              </w:rPr>
            </w:pPr>
            <w:r>
              <w:rPr>
                <w:rFonts w:ascii="Times New Roman" w:hAnsi="Times New Roman" w:eastAsia="Times New Roman" w:cs="Times New Roman"/>
                <w:i/>
                <w:iCs/>
                <w:color w:val="000000" w:themeColor="text1"/>
                <w:sz w:val="20"/>
                <w:szCs w:val="20"/>
                <w14:textFill>
                  <w14:solidFill>
                    <w14:schemeClr w14:val="tx1"/>
                  </w14:solidFill>
                </w14:textFill>
              </w:rPr>
              <w:t>BBB-related biomarkers</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19"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19"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119" w:type="dxa"/>
            <w:gridSpan w:val="2"/>
            <w:tcBorders>
              <w:tl2br w:val="nil"/>
              <w:tr2bl w:val="nil"/>
            </w:tcBorders>
            <w:vAlign w:val="center"/>
          </w:tcPr>
          <w:p>
            <w:pPr>
              <w:widowControl/>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p>
        </w:tc>
        <w:tc>
          <w:tcPr>
            <w:tcW w:w="1119" w:type="dxa"/>
            <w:tcBorders>
              <w:tl2br w:val="nil"/>
              <w:tr2bl w:val="nil"/>
            </w:tcBorders>
            <w:vAlign w:val="center"/>
          </w:tcPr>
          <w:p>
            <w:pPr>
              <w:spacing w:line="480" w:lineRule="auto"/>
              <w:jc w:val="center"/>
              <w:rPr>
                <w:rFonts w:ascii="Times New Roman" w:hAnsi="Times New Roman" w:cs="Times New Roman"/>
                <w:kern w:val="0"/>
                <w:sz w:val="20"/>
                <w:szCs w:val="20"/>
              </w:rPr>
            </w:pPr>
          </w:p>
        </w:tc>
        <w:tc>
          <w:tcPr>
            <w:tcW w:w="1125" w:type="dxa"/>
            <w:tcBorders>
              <w:tl2br w:val="nil"/>
              <w:tr2bl w:val="nil"/>
            </w:tcBorders>
            <w:vAlign w:val="center"/>
          </w:tcPr>
          <w:p>
            <w:pPr>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CCL26</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-0.065</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0.004</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 xml:space="preserve">-0.080 </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0.059</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-0.123</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b/>
                <w:bCs/>
                <w:color w:val="000000" w:themeColor="text1"/>
                <w:kern w:val="0"/>
                <w:sz w:val="20"/>
                <w:szCs w:val="20"/>
                <w14:textFill>
                  <w14:solidFill>
                    <w14:schemeClr w14:val="tx1"/>
                  </w14:solidFill>
                </w14:textFill>
              </w:rPr>
              <w:t>0.003</w:t>
            </w:r>
          </w:p>
        </w:tc>
        <w:tc>
          <w:tcPr>
            <w:tcW w:w="1119"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-0.014</w:t>
            </w:r>
          </w:p>
        </w:tc>
        <w:tc>
          <w:tcPr>
            <w:tcW w:w="1125" w:type="dxa"/>
            <w:tcBorders>
              <w:tl2br w:val="nil"/>
              <w:tr2bl w:val="nil"/>
            </w:tcBorders>
            <w:vAlign w:val="center"/>
          </w:tcPr>
          <w:p>
            <w:pPr>
              <w:spacing w:line="480" w:lineRule="auto"/>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b/>
                <w:bCs/>
                <w:color w:val="000000" w:themeColor="text1"/>
                <w:kern w:val="0"/>
                <w:sz w:val="20"/>
                <w:szCs w:val="20"/>
                <w14:textFill>
                  <w14:solidFill>
                    <w14:schemeClr w14:val="tx1"/>
                  </w14:solidFill>
                </w14:textFill>
              </w:rPr>
              <w:t>0.003</w:t>
            </w: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CD40</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-0.074</w:t>
            </w:r>
          </w:p>
        </w:tc>
        <w:tc>
          <w:tcPr>
            <w:tcW w:w="1119"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0.002</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-0.135</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0.001</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-0.098</w:t>
            </w:r>
          </w:p>
        </w:tc>
        <w:tc>
          <w:tcPr>
            <w:tcW w:w="1119" w:type="dxa"/>
            <w:gridSpan w:val="2"/>
            <w:tcBorders>
              <w:tl2br w:val="nil"/>
              <w:tr2bl w:val="nil"/>
            </w:tcBorders>
            <w:vAlign w:val="center"/>
          </w:tcPr>
          <w:p>
            <w:pPr>
              <w:widowControl/>
              <w:tabs>
                <w:tab w:val="left" w:pos="339"/>
              </w:tabs>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r>
              <w:rPr>
                <w:rFonts w:ascii="Times New Roman" w:hAnsi="Times New Roman" w:cs="Times New Roman"/>
                <w:b/>
                <w:bCs/>
                <w:color w:val="000000" w:themeColor="text1"/>
                <w:kern w:val="0"/>
                <w:sz w:val="20"/>
                <w:szCs w:val="20"/>
                <w14:textFill>
                  <w14:solidFill>
                    <w14:schemeClr w14:val="tx1"/>
                  </w14:solidFill>
                </w14:textFill>
              </w:rPr>
              <w:t>0.017</w:t>
            </w:r>
          </w:p>
        </w:tc>
        <w:tc>
          <w:tcPr>
            <w:tcW w:w="1119"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-0.065</w:t>
            </w:r>
          </w:p>
        </w:tc>
        <w:tc>
          <w:tcPr>
            <w:tcW w:w="1125" w:type="dxa"/>
            <w:tcBorders>
              <w:tl2br w:val="nil"/>
              <w:tr2bl w:val="nil"/>
            </w:tcBorders>
            <w:vAlign w:val="center"/>
          </w:tcPr>
          <w:p>
            <w:pPr>
              <w:tabs>
                <w:tab w:val="left" w:pos="552"/>
              </w:tabs>
              <w:spacing w:line="480" w:lineRule="auto"/>
              <w:jc w:val="center"/>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0.157</w:t>
            </w:r>
          </w:p>
        </w:tc>
      </w:tr>
      <w:tr>
        <w:trPr>
          <w:trHeight w:val="630" w:hRule="atLeast"/>
          <w:jc w:val="center"/>
        </w:trPr>
        <w:tc>
          <w:tcPr>
            <w:tcW w:w="288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MMP10</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-0.076</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&lt;0.001</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-0.018</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0.649</w:t>
            </w:r>
          </w:p>
        </w:tc>
        <w:tc>
          <w:tcPr>
            <w:tcW w:w="1119"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-0.101</w:t>
            </w:r>
          </w:p>
        </w:tc>
        <w:tc>
          <w:tcPr>
            <w:tcW w:w="1119" w:type="dxa"/>
            <w:gridSpan w:val="2"/>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0.010</w:t>
            </w:r>
          </w:p>
        </w:tc>
        <w:tc>
          <w:tcPr>
            <w:tcW w:w="1119"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-0.053</w:t>
            </w:r>
          </w:p>
        </w:tc>
        <w:tc>
          <w:tcPr>
            <w:tcW w:w="1125"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0.225</w:t>
            </w:r>
          </w:p>
        </w:tc>
      </w:tr>
    </w:tbl>
    <w:p>
      <w:pPr>
        <w:jc w:val="center"/>
        <w:rPr>
          <w:rFonts w:ascii="Times New Roman" w:hAnsi="Times New Roman" w:cs="Times New Roman"/>
          <w:b/>
          <w:bCs/>
          <w:sz w:val="20"/>
          <w:szCs w:val="20"/>
        </w:rPr>
      </w:pPr>
    </w:p>
    <w:p>
      <w:pPr>
        <w:jc w:val="center"/>
        <w:rPr>
          <w:rFonts w:ascii="Times New Roman" w:hAnsi="Times New Roman" w:cs="Times New Roman"/>
          <w:b/>
          <w:bCs/>
          <w:sz w:val="20"/>
          <w:szCs w:val="20"/>
        </w:rPr>
      </w:pPr>
    </w:p>
    <w:p>
      <w:pPr>
        <w:jc w:val="center"/>
        <w:rPr>
          <w:rFonts w:ascii="Times New Roman" w:hAnsi="Times New Roman" w:cs="Times New Roman"/>
          <w:b/>
          <w:bCs/>
          <w:sz w:val="20"/>
          <w:szCs w:val="20"/>
        </w:rPr>
      </w:pPr>
    </w:p>
    <w:p>
      <w:pPr>
        <w:jc w:val="center"/>
        <w:rPr>
          <w:rFonts w:ascii="Times New Roman" w:hAnsi="Times New Roman" w:cs="Times New Roman"/>
          <w:b/>
          <w:bCs/>
          <w:sz w:val="20"/>
          <w:szCs w:val="20"/>
        </w:rPr>
      </w:pPr>
    </w:p>
    <w:p>
      <w:pPr>
        <w:jc w:val="center"/>
        <w:rPr>
          <w:rFonts w:ascii="Times New Roman" w:hAnsi="Times New Roman" w:cs="Times New Roman"/>
          <w:b/>
          <w:bCs/>
          <w:sz w:val="20"/>
          <w:szCs w:val="20"/>
        </w:rPr>
      </w:pPr>
    </w:p>
    <w:p>
      <w:pPr>
        <w:rPr>
          <w:rFonts w:ascii="Times New Roman" w:hAnsi="Times New Roman" w:cs="Times New Roman"/>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3451"/>
        </w:tabs>
        <w:spacing w:line="360" w:lineRule="auto"/>
        <w:rPr>
          <w:rFonts w:ascii="Times New Roman" w:hAnsi="Times New Roman" w:eastAsia="GuardianSansGR-Regular" w:cs="Times New Roman"/>
          <w:kern w:val="0"/>
          <w:sz w:val="20"/>
          <w:szCs w:val="20"/>
        </w:rPr>
      </w:pPr>
    </w:p>
    <w:p>
      <w:pPr>
        <w:tabs>
          <w:tab w:val="left" w:pos="2189"/>
        </w:tabs>
        <w:jc w:val="left"/>
        <w:rPr>
          <w:rFonts w:ascii="Times New Roman" w:hAnsi="Times New Roman" w:cs="Times New Roman"/>
          <w:sz w:val="20"/>
          <w:szCs w:val="20"/>
        </w:rPr>
        <w:sectPr>
          <w:pgSz w:w="19842" w:h="15307" w:orient="landscape"/>
          <w:pgMar w:top="1440" w:right="1803" w:bottom="1440" w:left="1803" w:header="851" w:footer="992" w:gutter="0"/>
          <w:cols w:space="0" w:num="1"/>
          <w:docGrid w:type="lines" w:linePitch="318" w:charSpace="0"/>
        </w:sectPr>
      </w:pPr>
      <w:r>
        <w:rPr>
          <w:rFonts w:ascii="Times New Roman" w:hAnsi="Times New Roman" w:cs="Times New Roman"/>
          <w:sz w:val="20"/>
          <w:szCs w:val="20"/>
        </w:rPr>
        <w:t xml:space="preserve">Abbreviations: NEU%, neutrophils percent; LYM%, lymphocytes percent; NLR, Neutrophil–lymphocyte ratio; CCL26, eosinophil chemotactic factor-3; MMP10, matrix metalloproteinase-10; MTL: middle temporal lobe; EC, entorhinal cortex; </w:t>
      </w:r>
    </w:p>
    <w:p>
      <w:pPr>
        <w:tabs>
          <w:tab w:val="left" w:pos="2189"/>
        </w:tabs>
        <w:jc w:val="left"/>
        <w:rPr>
          <w:rFonts w:ascii="Times New Roman" w:hAnsi="Times New Roman" w:cs="Times New Roman"/>
          <w:sz w:val="20"/>
          <w:szCs w:val="20"/>
        </w:rPr>
      </w:pPr>
    </w:p>
    <w:p>
      <w:pPr>
        <w:jc w:val="center"/>
        <w:rPr>
          <w:rFonts w:ascii="Times New Roman" w:hAnsi="Times New Roman" w:cs="Times New Roman"/>
          <w:b/>
          <w:bCs/>
          <w:sz w:val="20"/>
          <w:szCs w:val="20"/>
        </w:rPr>
      </w:pPr>
      <w:r>
        <w:rPr>
          <w:rFonts w:ascii="Times New Roman" w:hAnsi="Times New Roman" w:eastAsia="华文中宋" w:cs="Times New Roman"/>
          <w:b/>
          <w:bCs/>
          <w:kern w:val="0"/>
          <w:sz w:val="20"/>
          <w:szCs w:val="20"/>
        </w:rPr>
        <w:t>Supplementary Figure</w:t>
      </w:r>
      <w:r>
        <w:rPr>
          <w:rFonts w:ascii="Times New Roman" w:hAnsi="Times New Roman" w:cs="Times New Roman"/>
          <w:b/>
          <w:bCs/>
          <w:sz w:val="20"/>
          <w:szCs w:val="20"/>
        </w:rPr>
        <w:t xml:space="preserve"> 1. Mediation analyses between peripheral immune biomarkers and BBB-related biomarkers with cerebral atrophy.</w:t>
      </w:r>
    </w:p>
    <w:p>
      <w:pPr>
        <w:widowControl/>
        <w:spacing w:beforeAutospacing="1" w:after="160" w:line="480" w:lineRule="auto"/>
        <w:rPr>
          <w:rFonts w:ascii="Times New Roman" w:hAnsi="Times New Roman" w:cs="Times New Roman"/>
          <w:sz w:val="20"/>
          <w:szCs w:val="20"/>
        </w:rPr>
      </w:pPr>
      <w:r>
        <w:rPr>
          <w:rFonts w:ascii="Times New Roman" w:hAnsi="Times New Roman" w:cs="Times New Roman"/>
          <w:sz w:val="20"/>
          <w:szCs w:val="20"/>
        </w:rPr>
        <w:drawing>
          <wp:inline distT="0" distB="0" distL="114300" distR="114300">
            <wp:extent cx="10687050" cy="9570720"/>
            <wp:effectExtent l="0" t="0" r="6350" b="5080"/>
            <wp:docPr id="3" name="图片 3" descr="/private/var/folders/p0/jtgmc0d52qj76d2qql45wqkc0000gn/T/com.kingsoft.wpsoffice.mac/picturecompress_20240429203459/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private/var/folders/p0/jtgmc0d52qj76d2qql45wqkc0000gn/T/com.kingsoft.wpsoffice.mac/picturecompress_20240429203459/output_1.pngoutput_1"/>
                    <pic:cNvPicPr>
                      <a:picLocks noChangeAspect="1"/>
                    </pic:cNvPicPr>
                  </pic:nvPicPr>
                  <pic:blipFill>
                    <a:blip r:embed="rId5"/>
                    <a:stretch>
                      <a:fillRect/>
                    </a:stretch>
                  </pic:blipFill>
                  <pic:spPr>
                    <a:xfrm>
                      <a:off x="0" y="0"/>
                      <a:ext cx="10687050" cy="9570720"/>
                    </a:xfrm>
                    <a:prstGeom prst="rect">
                      <a:avLst/>
                    </a:prstGeom>
                  </pic:spPr>
                </pic:pic>
              </a:graphicData>
            </a:graphic>
          </wp:inline>
        </w:drawing>
      </w:r>
      <w:r>
        <w:rPr>
          <w:rFonts w:ascii="Times New Roman" w:hAnsi="Times New Roman" w:cs="Times New Roman"/>
          <w:sz w:val="20"/>
          <w:szCs w:val="20"/>
        </w:rPr>
        <w:t xml:space="preserve">Abbreviations: MTL, middle temporal lobe; EC, entorhinal cortex; NEU%, neutrophils percent; LYM%, lymphocytes percent; NLR, neutrophil-lymphocyte ratio; CCL26, eosinophil chemotactic factor-3; MMP10, matrix metalloproteinase-10; </w:t>
      </w:r>
    </w:p>
    <w:p>
      <w:pPr>
        <w:jc w:val="center"/>
        <w:rPr>
          <w:rFonts w:ascii="Times New Roman" w:hAnsi="Times New Roman" w:cs="Times New Roman"/>
          <w:sz w:val="20"/>
          <w:szCs w:val="20"/>
        </w:rPr>
      </w:pPr>
    </w:p>
    <w:p>
      <w:pPr>
        <w:jc w:val="center"/>
        <w:rPr>
          <w:rFonts w:ascii="Times New Roman" w:hAnsi="Times New Roman" w:cs="Times New Roman"/>
          <w:sz w:val="20"/>
          <w:szCs w:val="20"/>
        </w:rPr>
        <w:sectPr>
          <w:pgSz w:w="19842" w:h="22677"/>
          <w:pgMar w:top="1803" w:right="1440" w:bottom="1803" w:left="1440" w:header="851" w:footer="992" w:gutter="0"/>
          <w:cols w:space="0" w:num="1"/>
          <w:docGrid w:type="lines" w:linePitch="323" w:charSpace="0"/>
        </w:sectPr>
      </w:pPr>
    </w:p>
    <w:p>
      <w:pPr>
        <w:rPr>
          <w:rFonts w:ascii="Times New Roman" w:hAnsi="Times New Roman" w:cs="Times New Roman"/>
          <w:b/>
          <w:bCs/>
          <w:sz w:val="20"/>
          <w:szCs w:val="20"/>
        </w:rPr>
      </w:pPr>
    </w:p>
    <w:p>
      <w:pPr>
        <w:jc w:val="center"/>
        <w:rPr>
          <w:rFonts w:ascii="Times New Roman" w:hAnsi="Times New Roman" w:cs="Times New Roman"/>
          <w:b/>
          <w:bCs/>
          <w:sz w:val="20"/>
          <w:szCs w:val="20"/>
        </w:rPr>
      </w:pPr>
      <w:r>
        <w:rPr>
          <w:rFonts w:ascii="Times New Roman" w:hAnsi="Times New Roman" w:eastAsia="华文中宋" w:cs="Times New Roman"/>
          <w:b/>
          <w:bCs/>
          <w:kern w:val="0"/>
          <w:sz w:val="20"/>
          <w:szCs w:val="20"/>
        </w:rPr>
        <w:t>Supplementary Table</w:t>
      </w:r>
      <w:r>
        <w:rPr>
          <w:rFonts w:ascii="Times New Roman" w:hAnsi="Times New Roman" w:cs="Times New Roman"/>
          <w:b/>
          <w:bCs/>
          <w:sz w:val="20"/>
          <w:szCs w:val="20"/>
        </w:rPr>
        <w:t xml:space="preserve"> 4. Associations of peripheral immune biomarkers and BBB-related biomarkers with cognitive function.</w:t>
      </w:r>
    </w:p>
    <w:p>
      <w:pPr>
        <w:rPr>
          <w:rFonts w:ascii="Times New Roman" w:hAnsi="Times New Roman" w:cs="Times New Roman"/>
          <w:sz w:val="20"/>
          <w:szCs w:val="20"/>
        </w:rPr>
      </w:pPr>
    </w:p>
    <w:tbl>
      <w:tblPr>
        <w:tblStyle w:val="5"/>
        <w:tblpPr w:leftFromText="180" w:rightFromText="180" w:vertAnchor="text" w:horzAnchor="page" w:tblpX="2640" w:tblpY="70"/>
        <w:tblOverlap w:val="never"/>
        <w:tblW w:w="1545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13"/>
        <w:gridCol w:w="1078"/>
        <w:gridCol w:w="1078"/>
        <w:gridCol w:w="546"/>
        <w:gridCol w:w="532"/>
        <w:gridCol w:w="1078"/>
        <w:gridCol w:w="360"/>
        <w:gridCol w:w="718"/>
        <w:gridCol w:w="1078"/>
        <w:gridCol w:w="124"/>
        <w:gridCol w:w="954"/>
        <w:gridCol w:w="1044"/>
        <w:gridCol w:w="34"/>
        <w:gridCol w:w="1078"/>
        <w:gridCol w:w="886"/>
        <w:gridCol w:w="192"/>
        <w:gridCol w:w="1078"/>
        <w:gridCol w:w="1086"/>
      </w:tblGrid>
      <w:tr>
        <w:trPr>
          <w:trHeight w:val="520" w:hRule="atLeast"/>
        </w:trPr>
        <w:tc>
          <w:tcPr>
            <w:tcW w:w="2513" w:type="dxa"/>
            <w:vMerge w:val="restart"/>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2702" w:type="dxa"/>
            <w:gridSpan w:val="3"/>
            <w:tcBorders>
              <w:bottom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cs="Times New Roman"/>
                <w:kern w:val="0"/>
                <w:sz w:val="20"/>
                <w:szCs w:val="20"/>
              </w:rPr>
              <w:t>ADAS</w:t>
            </w:r>
          </w:p>
        </w:tc>
        <w:tc>
          <w:tcPr>
            <w:tcW w:w="1970" w:type="dxa"/>
            <w:gridSpan w:val="3"/>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CDRSB</w:t>
            </w:r>
          </w:p>
        </w:tc>
        <w:tc>
          <w:tcPr>
            <w:tcW w:w="1920" w:type="dxa"/>
            <w:gridSpan w:val="3"/>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MEM</w:t>
            </w:r>
          </w:p>
        </w:tc>
        <w:tc>
          <w:tcPr>
            <w:tcW w:w="1998" w:type="dxa"/>
            <w:gridSpan w:val="2"/>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EF</w:t>
            </w:r>
          </w:p>
        </w:tc>
        <w:tc>
          <w:tcPr>
            <w:tcW w:w="1998" w:type="dxa"/>
            <w:gridSpan w:val="3"/>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eastAsia="BjfygfAdvTTb5929f4c" w:cs="Times New Roman"/>
                <w:kern w:val="0"/>
                <w:sz w:val="20"/>
                <w:szCs w:val="20"/>
              </w:rPr>
              <w:t>RAVLT_immediate</w:t>
            </w:r>
          </w:p>
        </w:tc>
        <w:tc>
          <w:tcPr>
            <w:tcW w:w="2356" w:type="dxa"/>
            <w:gridSpan w:val="3"/>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eastAsia="宋体" w:cs="Times New Roman"/>
                <w:color w:val="131413"/>
                <w:kern w:val="0"/>
                <w:sz w:val="20"/>
                <w:szCs w:val="20"/>
              </w:rPr>
              <w:t>RAVLT</w:t>
            </w:r>
            <w:r>
              <w:rPr>
                <w:rFonts w:ascii="Times New Roman" w:hAnsi="Times New Roman" w:eastAsia="BjfygfAdvTTb5929f4c" w:cs="Times New Roman"/>
                <w:kern w:val="0"/>
                <w:sz w:val="20"/>
                <w:szCs w:val="20"/>
              </w:rPr>
              <w:t>_</w:t>
            </w:r>
            <w:r>
              <w:rPr>
                <w:rFonts w:ascii="Times New Roman" w:hAnsi="Times New Roman" w:eastAsia="宋体" w:cs="Times New Roman"/>
                <w:color w:val="131413"/>
                <w:kern w:val="0"/>
                <w:sz w:val="20"/>
                <w:szCs w:val="20"/>
              </w:rPr>
              <w:t>Delayed Recall</w:t>
            </w:r>
          </w:p>
        </w:tc>
      </w:tr>
      <w:tr>
        <w:trPr>
          <w:trHeight w:val="520" w:hRule="atLeast"/>
        </w:trPr>
        <w:tc>
          <w:tcPr>
            <w:tcW w:w="2513" w:type="dxa"/>
            <w:vMerge w:val="continue"/>
            <w:tcBorders>
              <w:bottom w:val="single" w:color="auto" w:sz="4" w:space="0"/>
              <w:tl2br w:val="nil"/>
              <w:tr2bl w:val="nil"/>
            </w:tcBorders>
            <w:vAlign w:val="center"/>
          </w:tcPr>
          <w:p>
            <w:pPr>
              <w:spacing w:line="480" w:lineRule="auto"/>
              <w:rPr>
                <w:rFonts w:ascii="Times New Roman" w:hAnsi="Times New Roman" w:cs="Times New Roman"/>
                <w:kern w:val="0"/>
                <w:sz w:val="20"/>
                <w:szCs w:val="20"/>
              </w:rPr>
            </w:pP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β</w:t>
            </w:r>
          </w:p>
        </w:tc>
        <w:tc>
          <w:tcPr>
            <w:tcW w:w="1086"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P</w:t>
            </w:r>
          </w:p>
        </w:tc>
      </w:tr>
      <w:tr>
        <w:trPr>
          <w:trHeight w:val="520" w:hRule="atLeast"/>
        </w:trPr>
        <w:tc>
          <w:tcPr>
            <w:tcW w:w="2513" w:type="dxa"/>
            <w:tcBorders>
              <w:top w:val="single" w:color="auto" w:sz="4" w:space="0"/>
              <w:tl2br w:val="nil"/>
              <w:tr2bl w:val="nil"/>
            </w:tcBorders>
            <w:vAlign w:val="center"/>
          </w:tcPr>
          <w:p>
            <w:pPr>
              <w:widowControl/>
              <w:spacing w:line="480" w:lineRule="auto"/>
              <w:jc w:val="left"/>
              <w:rPr>
                <w:rFonts w:ascii="Times New Roman" w:hAnsi="Times New Roman" w:cs="Times New Roman"/>
                <w:i/>
                <w:iCs/>
                <w:kern w:val="0"/>
                <w:sz w:val="20"/>
                <w:szCs w:val="20"/>
              </w:rPr>
            </w:pPr>
            <w:r>
              <w:rPr>
                <w:rFonts w:ascii="Times New Roman" w:hAnsi="Times New Roman" w:cs="Times New Roman"/>
                <w:i/>
                <w:iCs/>
                <w:kern w:val="0"/>
                <w:sz w:val="20"/>
                <w:szCs w:val="20"/>
              </w:rPr>
              <w:t>Peripheral immune</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i/>
                <w:iCs/>
                <w:kern w:val="0"/>
                <w:sz w:val="20"/>
                <w:szCs w:val="20"/>
              </w:rPr>
            </w:pP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b/>
                <w:bCs/>
                <w:i/>
                <w:iCs/>
                <w:kern w:val="0"/>
                <w:sz w:val="20"/>
                <w:szCs w:val="20"/>
              </w:rPr>
            </w:pP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i/>
                <w:iCs/>
                <w:kern w:val="0"/>
                <w:sz w:val="20"/>
                <w:szCs w:val="20"/>
              </w:rPr>
            </w:pP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b/>
                <w:bCs/>
                <w:i/>
                <w:iCs/>
                <w:kern w:val="0"/>
                <w:sz w:val="20"/>
                <w:szCs w:val="20"/>
              </w:rPr>
            </w:pP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i/>
                <w:iCs/>
                <w:kern w:val="0"/>
                <w:sz w:val="20"/>
                <w:szCs w:val="20"/>
              </w:rPr>
            </w:pP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i/>
                <w:iCs/>
                <w:kern w:val="0"/>
                <w:sz w:val="20"/>
                <w:szCs w:val="20"/>
              </w:rPr>
            </w:pP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i/>
                <w:iCs/>
                <w:kern w:val="0"/>
                <w:sz w:val="20"/>
                <w:szCs w:val="20"/>
              </w:rPr>
            </w:pP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b/>
                <w:bCs/>
                <w:i/>
                <w:iCs/>
                <w:kern w:val="0"/>
                <w:sz w:val="20"/>
                <w:szCs w:val="20"/>
              </w:rPr>
            </w:pP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i/>
                <w:iCs/>
                <w:kern w:val="0"/>
                <w:sz w:val="20"/>
                <w:szCs w:val="20"/>
              </w:rPr>
            </w:pP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b/>
                <w:bCs/>
                <w:i/>
                <w:iCs/>
                <w:kern w:val="0"/>
                <w:sz w:val="20"/>
                <w:szCs w:val="20"/>
              </w:rPr>
            </w:pP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i/>
                <w:iCs/>
                <w:kern w:val="0"/>
                <w:sz w:val="20"/>
                <w:szCs w:val="20"/>
              </w:rPr>
            </w:pPr>
          </w:p>
        </w:tc>
        <w:tc>
          <w:tcPr>
            <w:tcW w:w="1086"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i/>
                <w:iCs/>
                <w:kern w:val="0"/>
                <w:sz w:val="20"/>
                <w:szCs w:val="20"/>
              </w:rPr>
            </w:pPr>
          </w:p>
        </w:tc>
      </w:tr>
      <w:tr>
        <w:trPr>
          <w:trHeight w:val="520" w:hRule="atLeast"/>
        </w:trPr>
        <w:tc>
          <w:tcPr>
            <w:tcW w:w="2513" w:type="dxa"/>
            <w:tcBorders>
              <w:top w:val="single" w:color="auto" w:sz="4" w:space="0"/>
              <w:tl2br w:val="nil"/>
              <w:tr2bl w:val="nil"/>
            </w:tcBorders>
            <w:vAlign w:val="center"/>
          </w:tcPr>
          <w:p>
            <w:pPr>
              <w:widowControl/>
              <w:spacing w:line="480" w:lineRule="auto"/>
              <w:jc w:val="center"/>
              <w:rPr>
                <w:rFonts w:ascii="Times New Roman" w:hAnsi="Times New Roman" w:eastAsia="宋体" w:cs="Times New Roman"/>
                <w:sz w:val="20"/>
                <w:szCs w:val="20"/>
              </w:rPr>
            </w:pPr>
            <w:r>
              <w:rPr>
                <w:rFonts w:ascii="Times New Roman" w:hAnsi="Times New Roman" w:cs="Times New Roman"/>
                <w:kern w:val="0"/>
                <w:sz w:val="20"/>
                <w:szCs w:val="20"/>
              </w:rPr>
              <w:t>NEU%</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0.124</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0.002</w:t>
            </w: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0.128</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0.002</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-0.175</w:t>
            </w: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0.004</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-0.127</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0.015</w:t>
            </w: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-0.103</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0.012</w:t>
            </w: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-0.090</w:t>
            </w:r>
          </w:p>
        </w:tc>
        <w:tc>
          <w:tcPr>
            <w:tcW w:w="1086" w:type="dxa"/>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0.018</w:t>
            </w:r>
          </w:p>
        </w:tc>
      </w:tr>
      <w:tr>
        <w:trPr>
          <w:trHeight w:val="512" w:hRule="atLeast"/>
        </w:trPr>
        <w:tc>
          <w:tcPr>
            <w:tcW w:w="251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LYM%</w:t>
            </w:r>
          </w:p>
        </w:tc>
        <w:tc>
          <w:tcPr>
            <w:tcW w:w="1078"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-0.105</w:t>
            </w:r>
          </w:p>
        </w:tc>
        <w:tc>
          <w:tcPr>
            <w:tcW w:w="1078"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0.014</w:t>
            </w:r>
          </w:p>
        </w:tc>
        <w:tc>
          <w:tcPr>
            <w:tcW w:w="1078"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-0.104</w:t>
            </w:r>
          </w:p>
        </w:tc>
        <w:tc>
          <w:tcPr>
            <w:tcW w:w="1078" w:type="dxa"/>
            <w:tcBorders>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0.015</w:t>
            </w:r>
          </w:p>
        </w:tc>
        <w:tc>
          <w:tcPr>
            <w:tcW w:w="1078" w:type="dxa"/>
            <w:gridSpan w:val="2"/>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0.171</w:t>
            </w:r>
          </w:p>
        </w:tc>
        <w:tc>
          <w:tcPr>
            <w:tcW w:w="1078"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078" w:type="dxa"/>
            <w:gridSpan w:val="2"/>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0.138</w:t>
            </w:r>
          </w:p>
        </w:tc>
        <w:tc>
          <w:tcPr>
            <w:tcW w:w="1078"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0.010</w:t>
            </w:r>
          </w:p>
        </w:tc>
        <w:tc>
          <w:tcPr>
            <w:tcW w:w="1078"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0.111</w:t>
            </w:r>
          </w:p>
        </w:tc>
        <w:tc>
          <w:tcPr>
            <w:tcW w:w="1078"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0.008</w:t>
            </w:r>
          </w:p>
        </w:tc>
        <w:tc>
          <w:tcPr>
            <w:tcW w:w="1078"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0.144</w:t>
            </w:r>
          </w:p>
        </w:tc>
        <w:tc>
          <w:tcPr>
            <w:tcW w:w="1086" w:type="dxa"/>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0.039</w:t>
            </w:r>
          </w:p>
        </w:tc>
      </w:tr>
      <w:tr>
        <w:trPr>
          <w:trHeight w:val="512" w:hRule="atLeast"/>
        </w:trPr>
        <w:tc>
          <w:tcPr>
            <w:tcW w:w="2513" w:type="dxa"/>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NLR</w:t>
            </w:r>
          </w:p>
        </w:tc>
        <w:tc>
          <w:tcPr>
            <w:tcW w:w="1078" w:type="dxa"/>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0.097</w:t>
            </w:r>
          </w:p>
        </w:tc>
        <w:tc>
          <w:tcPr>
            <w:tcW w:w="1078" w:type="dxa"/>
            <w:tcBorders>
              <w:bottom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0.021</w:t>
            </w:r>
          </w:p>
        </w:tc>
        <w:tc>
          <w:tcPr>
            <w:tcW w:w="1078" w:type="dxa"/>
            <w:gridSpan w:val="2"/>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0.103</w:t>
            </w:r>
          </w:p>
        </w:tc>
        <w:tc>
          <w:tcPr>
            <w:tcW w:w="1078" w:type="dxa"/>
            <w:tcBorders>
              <w:bottom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0.016</w:t>
            </w:r>
          </w:p>
        </w:tc>
        <w:tc>
          <w:tcPr>
            <w:tcW w:w="1078"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-0.214</w:t>
            </w:r>
          </w:p>
        </w:tc>
        <w:tc>
          <w:tcPr>
            <w:tcW w:w="1078" w:type="dxa"/>
            <w:tcBorders>
              <w:bottom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0.013</w:t>
            </w:r>
          </w:p>
        </w:tc>
        <w:tc>
          <w:tcPr>
            <w:tcW w:w="1078" w:type="dxa"/>
            <w:gridSpan w:val="2"/>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-0.124</w:t>
            </w:r>
          </w:p>
        </w:tc>
        <w:tc>
          <w:tcPr>
            <w:tcW w:w="1078" w:type="dxa"/>
            <w:gridSpan w:val="2"/>
            <w:tcBorders>
              <w:bottom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0.026</w:t>
            </w:r>
          </w:p>
        </w:tc>
        <w:tc>
          <w:tcPr>
            <w:tcW w:w="1078" w:type="dxa"/>
            <w:tcBorders>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-0.110</w:t>
            </w:r>
          </w:p>
        </w:tc>
        <w:tc>
          <w:tcPr>
            <w:tcW w:w="1078" w:type="dxa"/>
            <w:gridSpan w:val="2"/>
            <w:tcBorders>
              <w:bottom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0.008</w:t>
            </w:r>
          </w:p>
        </w:tc>
        <w:tc>
          <w:tcPr>
            <w:tcW w:w="1078" w:type="dxa"/>
            <w:tcBorders>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-0.144</w:t>
            </w:r>
          </w:p>
        </w:tc>
        <w:tc>
          <w:tcPr>
            <w:tcW w:w="1086" w:type="dxa"/>
            <w:tcBorders>
              <w:bottom w:val="single" w:color="auto" w:sz="4" w:space="0"/>
              <w:tl2br w:val="nil"/>
              <w:tr2bl w:val="nil"/>
            </w:tcBorders>
            <w:vAlign w:val="center"/>
          </w:tcPr>
          <w:p>
            <w:pPr>
              <w:spacing w:line="480" w:lineRule="auto"/>
              <w:jc w:val="center"/>
              <w:rPr>
                <w:rFonts w:ascii="Times New Roman" w:hAnsi="Times New Roman" w:cs="Times New Roman"/>
                <w:b/>
                <w:bCs/>
                <w:kern w:val="0"/>
                <w:sz w:val="20"/>
                <w:szCs w:val="20"/>
                <w:highlight w:val="yellow"/>
              </w:rPr>
            </w:pPr>
            <w:r>
              <w:rPr>
                <w:rFonts w:ascii="Times New Roman" w:hAnsi="Times New Roman" w:cs="Times New Roman"/>
                <w:b/>
                <w:bCs/>
                <w:kern w:val="0"/>
                <w:sz w:val="20"/>
                <w:szCs w:val="20"/>
              </w:rPr>
              <w:t>0.046</w:t>
            </w:r>
          </w:p>
        </w:tc>
      </w:tr>
      <w:tr>
        <w:trPr>
          <w:trHeight w:val="520" w:hRule="atLeast"/>
        </w:trPr>
        <w:tc>
          <w:tcPr>
            <w:tcW w:w="2513" w:type="dxa"/>
            <w:tcBorders>
              <w:top w:val="single" w:color="auto" w:sz="4" w:space="0"/>
              <w:bottom w:val="single" w:color="auto" w:sz="4" w:space="0"/>
              <w:tl2br w:val="nil"/>
              <w:tr2bl w:val="nil"/>
            </w:tcBorders>
            <w:vAlign w:val="center"/>
          </w:tcPr>
          <w:p>
            <w:pPr>
              <w:widowControl/>
              <w:spacing w:line="480" w:lineRule="auto"/>
              <w:jc w:val="left"/>
              <w:rPr>
                <w:rFonts w:ascii="Times New Roman" w:hAnsi="Times New Roman" w:cs="Times New Roman"/>
                <w:kern w:val="0"/>
                <w:sz w:val="20"/>
                <w:szCs w:val="20"/>
              </w:rPr>
            </w:pPr>
            <w:r>
              <w:rPr>
                <w:rFonts w:ascii="Times New Roman" w:hAnsi="Times New Roman" w:eastAsia="Times New Roman" w:cs="Times New Roman"/>
                <w:i/>
                <w:iCs/>
                <w:color w:val="000000" w:themeColor="text1"/>
                <w:sz w:val="20"/>
                <w:szCs w:val="20"/>
                <w14:textFill>
                  <w14:solidFill>
                    <w14:schemeClr w14:val="tx1"/>
                  </w14:solidFill>
                </w14:textFill>
              </w:rPr>
              <w:t>BBB-related biomarkers</w:t>
            </w:r>
          </w:p>
        </w:tc>
        <w:tc>
          <w:tcPr>
            <w:tcW w:w="1078" w:type="dxa"/>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078" w:type="dxa"/>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p>
        </w:tc>
        <w:tc>
          <w:tcPr>
            <w:tcW w:w="1078" w:type="dxa"/>
            <w:gridSpan w:val="2"/>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078" w:type="dxa"/>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078" w:type="dxa"/>
            <w:gridSpan w:val="2"/>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p>
        </w:tc>
        <w:tc>
          <w:tcPr>
            <w:tcW w:w="1078" w:type="dxa"/>
            <w:tcBorders>
              <w:top w:val="single" w:color="auto" w:sz="4" w:space="0"/>
              <w:bottom w:val="single" w:color="auto" w:sz="4" w:space="0"/>
              <w:tl2br w:val="nil"/>
              <w:tr2bl w:val="nil"/>
            </w:tcBorders>
            <w:vAlign w:val="center"/>
          </w:tcPr>
          <w:p>
            <w:pPr>
              <w:widowControl/>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p>
        </w:tc>
        <w:tc>
          <w:tcPr>
            <w:tcW w:w="1078" w:type="dxa"/>
            <w:gridSpan w:val="2"/>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p>
        </w:tc>
        <w:tc>
          <w:tcPr>
            <w:tcW w:w="1078"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p>
        </w:tc>
        <w:tc>
          <w:tcPr>
            <w:tcW w:w="1086" w:type="dxa"/>
            <w:tcBorders>
              <w:top w:val="single" w:color="auto" w:sz="4" w:space="0"/>
              <w:bottom w:val="single" w:color="auto" w:sz="4" w:space="0"/>
              <w:tl2br w:val="nil"/>
              <w:tr2bl w:val="nil"/>
            </w:tcBorders>
            <w:vAlign w:val="center"/>
          </w:tcPr>
          <w:p>
            <w:pPr>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p>
        </w:tc>
      </w:tr>
      <w:tr>
        <w:trPr>
          <w:trHeight w:val="520" w:hRule="atLeast"/>
        </w:trPr>
        <w:tc>
          <w:tcPr>
            <w:tcW w:w="2513"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CCL26</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0.146</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0.078</w:t>
            </w: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0.065</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-0.096</w:t>
            </w:r>
          </w:p>
        </w:tc>
        <w:tc>
          <w:tcPr>
            <w:tcW w:w="1078" w:type="dxa"/>
            <w:tcBorders>
              <w:top w:val="single" w:color="auto" w:sz="4" w:space="0"/>
              <w:tl2br w:val="nil"/>
              <w:tr2bl w:val="nil"/>
            </w:tcBorders>
            <w:vAlign w:val="center"/>
          </w:tcPr>
          <w:p>
            <w:pPr>
              <w:spacing w:line="480" w:lineRule="auto"/>
              <w:jc w:val="center"/>
              <w:rPr>
                <w:rFonts w:ascii="Times New Roman" w:hAnsi="Times New Roman" w:cs="Times New Roman"/>
                <w:b/>
                <w:bCs/>
                <w:color w:val="000000" w:themeColor="text1"/>
                <w:kern w:val="0"/>
                <w:sz w:val="20"/>
                <w:szCs w:val="20"/>
                <w14:textFill>
                  <w14:solidFill>
                    <w14:schemeClr w14:val="tx1"/>
                  </w14:solidFill>
                </w14:textFill>
              </w:rPr>
            </w:pPr>
            <w:r>
              <w:rPr>
                <w:rFonts w:ascii="Times New Roman" w:hAnsi="Times New Roman" w:cs="Times New Roman"/>
                <w:b/>
                <w:bCs/>
                <w:color w:val="000000" w:themeColor="text1"/>
                <w:kern w:val="0"/>
                <w:sz w:val="20"/>
                <w:szCs w:val="20"/>
                <w14:textFill>
                  <w14:solidFill>
                    <w14:schemeClr w14:val="tx1"/>
                  </w14:solidFill>
                </w14:textFill>
              </w:rPr>
              <w:t>0.050</w:t>
            </w: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 xml:space="preserve"> -0.094</w:t>
            </w:r>
          </w:p>
        </w:tc>
        <w:tc>
          <w:tcPr>
            <w:tcW w:w="1078" w:type="dxa"/>
            <w:gridSpan w:val="2"/>
            <w:tcBorders>
              <w:top w:val="single" w:color="auto" w:sz="4" w:space="0"/>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kern w:val="0"/>
                <w:sz w:val="20"/>
                <w:szCs w:val="20"/>
              </w:rPr>
              <w:t>0.069</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 xml:space="preserve"> -0.094</w:t>
            </w:r>
          </w:p>
        </w:tc>
        <w:tc>
          <w:tcPr>
            <w:tcW w:w="1078" w:type="dxa"/>
            <w:gridSpan w:val="2"/>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0.023</w:t>
            </w:r>
          </w:p>
        </w:tc>
        <w:tc>
          <w:tcPr>
            <w:tcW w:w="1078" w:type="dxa"/>
            <w:tcBorders>
              <w:top w:val="single" w:color="auto" w:sz="4" w:space="0"/>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-0.188</w:t>
            </w:r>
          </w:p>
        </w:tc>
        <w:tc>
          <w:tcPr>
            <w:tcW w:w="1086" w:type="dxa"/>
            <w:tcBorders>
              <w:top w:val="single" w:color="auto" w:sz="4" w:space="0"/>
              <w:tl2br w:val="nil"/>
              <w:tr2bl w:val="nil"/>
            </w:tcBorders>
            <w:vAlign w:val="center"/>
          </w:tcPr>
          <w:p>
            <w:pPr>
              <w:widowControl/>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r>
      <w:tr>
        <w:trPr>
          <w:trHeight w:val="512" w:hRule="atLeast"/>
        </w:trPr>
        <w:tc>
          <w:tcPr>
            <w:tcW w:w="251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CD40</w:t>
            </w:r>
          </w:p>
        </w:tc>
        <w:tc>
          <w:tcPr>
            <w:tcW w:w="1078"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0.074</w:t>
            </w:r>
          </w:p>
        </w:tc>
        <w:tc>
          <w:tcPr>
            <w:tcW w:w="1078"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0.084</w:t>
            </w:r>
          </w:p>
        </w:tc>
        <w:tc>
          <w:tcPr>
            <w:tcW w:w="1078" w:type="dxa"/>
            <w:gridSpan w:val="2"/>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0.134</w:t>
            </w:r>
          </w:p>
        </w:tc>
        <w:tc>
          <w:tcPr>
            <w:tcW w:w="1078" w:type="dxa"/>
            <w:tcBorders>
              <w:tl2br w:val="nil"/>
              <w:tr2bl w:val="nil"/>
            </w:tcBorders>
            <w:vAlign w:val="center"/>
          </w:tcPr>
          <w:p>
            <w:pPr>
              <w:tabs>
                <w:tab w:val="left" w:pos="352"/>
              </w:tabs>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0.002</w:t>
            </w:r>
          </w:p>
        </w:tc>
        <w:tc>
          <w:tcPr>
            <w:tcW w:w="1078" w:type="dxa"/>
            <w:gridSpan w:val="2"/>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-0.114</w:t>
            </w:r>
          </w:p>
        </w:tc>
        <w:tc>
          <w:tcPr>
            <w:tcW w:w="1078" w:type="dxa"/>
            <w:tcBorders>
              <w:tl2br w:val="nil"/>
              <w:tr2bl w:val="nil"/>
            </w:tcBorders>
            <w:vAlign w:val="center"/>
          </w:tcPr>
          <w:p>
            <w:pPr>
              <w:tabs>
                <w:tab w:val="left" w:pos="525"/>
              </w:tabs>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0.031</w:t>
            </w:r>
          </w:p>
        </w:tc>
        <w:tc>
          <w:tcPr>
            <w:tcW w:w="1078"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-0.198</w:t>
            </w:r>
          </w:p>
        </w:tc>
        <w:tc>
          <w:tcPr>
            <w:tcW w:w="1078" w:type="dxa"/>
            <w:gridSpan w:val="2"/>
            <w:tcBorders>
              <w:tl2br w:val="nil"/>
              <w:tr2bl w:val="nil"/>
            </w:tcBorders>
            <w:vAlign w:val="center"/>
          </w:tcPr>
          <w:p>
            <w:pPr>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078"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-0.076</w:t>
            </w:r>
          </w:p>
        </w:tc>
        <w:tc>
          <w:tcPr>
            <w:tcW w:w="1078"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0.078</w:t>
            </w:r>
          </w:p>
        </w:tc>
        <w:tc>
          <w:tcPr>
            <w:tcW w:w="1078"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0.012</w:t>
            </w:r>
          </w:p>
        </w:tc>
        <w:tc>
          <w:tcPr>
            <w:tcW w:w="1086"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0.774</w:t>
            </w:r>
          </w:p>
        </w:tc>
      </w:tr>
      <w:tr>
        <w:trPr>
          <w:trHeight w:val="520" w:hRule="atLeast"/>
        </w:trPr>
        <w:tc>
          <w:tcPr>
            <w:tcW w:w="2513"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MMP10</w:t>
            </w:r>
          </w:p>
        </w:tc>
        <w:tc>
          <w:tcPr>
            <w:tcW w:w="1078" w:type="dxa"/>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0.041</w:t>
            </w:r>
          </w:p>
        </w:tc>
        <w:tc>
          <w:tcPr>
            <w:tcW w:w="1078" w:type="dxa"/>
            <w:tcBorders>
              <w:tl2br w:val="nil"/>
              <w:tr2bl w:val="nil"/>
            </w:tcBorders>
            <w:vAlign w:val="center"/>
          </w:tcPr>
          <w:p>
            <w:pPr>
              <w:tabs>
                <w:tab w:val="left" w:pos="252"/>
              </w:tabs>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0.313</w:t>
            </w:r>
          </w:p>
        </w:tc>
        <w:tc>
          <w:tcPr>
            <w:tcW w:w="1078" w:type="dxa"/>
            <w:gridSpan w:val="2"/>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0.136</w:t>
            </w:r>
          </w:p>
        </w:tc>
        <w:tc>
          <w:tcPr>
            <w:tcW w:w="1078" w:type="dxa"/>
            <w:tcBorders>
              <w:tl2br w:val="nil"/>
              <w:tr2bl w:val="nil"/>
            </w:tcBorders>
            <w:vAlign w:val="center"/>
          </w:tcPr>
          <w:p>
            <w:pPr>
              <w:tabs>
                <w:tab w:val="left" w:pos="212"/>
              </w:tabs>
              <w:spacing w:line="48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&lt;0.001</w:t>
            </w:r>
          </w:p>
        </w:tc>
        <w:tc>
          <w:tcPr>
            <w:tcW w:w="1078"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-0.057</w:t>
            </w:r>
          </w:p>
        </w:tc>
        <w:tc>
          <w:tcPr>
            <w:tcW w:w="1078" w:type="dxa"/>
            <w:tcBorders>
              <w:tl2br w:val="nil"/>
              <w:tr2bl w:val="nil"/>
            </w:tcBorders>
            <w:vAlign w:val="center"/>
          </w:tcPr>
          <w:p>
            <w:pPr>
              <w:spacing w:line="480" w:lineRule="auto"/>
              <w:jc w:val="center"/>
              <w:rPr>
                <w:rFonts w:ascii="Times New Roman" w:hAnsi="Times New Roman" w:cs="Times New Roman"/>
                <w:b/>
                <w:bCs/>
                <w:kern w:val="0"/>
                <w:sz w:val="20"/>
                <w:szCs w:val="20"/>
                <w:highlight w:val="yellow"/>
              </w:rPr>
            </w:pPr>
            <w:r>
              <w:rPr>
                <w:rFonts w:ascii="Times New Roman" w:hAnsi="Times New Roman" w:cs="Times New Roman"/>
                <w:kern w:val="0"/>
                <w:sz w:val="20"/>
                <w:szCs w:val="20"/>
              </w:rPr>
              <w:t>0.205</w:t>
            </w:r>
          </w:p>
        </w:tc>
        <w:tc>
          <w:tcPr>
            <w:tcW w:w="1078"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-0.080</w:t>
            </w:r>
          </w:p>
        </w:tc>
        <w:tc>
          <w:tcPr>
            <w:tcW w:w="1078" w:type="dxa"/>
            <w:gridSpan w:val="2"/>
            <w:tcBorders>
              <w:tl2br w:val="nil"/>
              <w:tr2bl w:val="nil"/>
            </w:tcBorders>
            <w:vAlign w:val="center"/>
          </w:tcPr>
          <w:p>
            <w:pPr>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0.090</w:t>
            </w:r>
          </w:p>
        </w:tc>
        <w:tc>
          <w:tcPr>
            <w:tcW w:w="1078"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-0.065</w:t>
            </w:r>
          </w:p>
        </w:tc>
        <w:tc>
          <w:tcPr>
            <w:tcW w:w="1078" w:type="dxa"/>
            <w:gridSpan w:val="2"/>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0.111</w:t>
            </w:r>
          </w:p>
        </w:tc>
        <w:tc>
          <w:tcPr>
            <w:tcW w:w="1078" w:type="dxa"/>
            <w:tcBorders>
              <w:tl2br w:val="nil"/>
              <w:tr2bl w:val="nil"/>
            </w:tcBorders>
            <w:vAlign w:val="center"/>
          </w:tcPr>
          <w:p>
            <w:pPr>
              <w:widowControl/>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0.038</w:t>
            </w:r>
          </w:p>
        </w:tc>
        <w:tc>
          <w:tcPr>
            <w:tcW w:w="1086" w:type="dxa"/>
            <w:tcBorders>
              <w:tl2br w:val="nil"/>
              <w:tr2bl w:val="nil"/>
            </w:tcBorders>
            <w:vAlign w:val="center"/>
          </w:tcPr>
          <w:p>
            <w:pPr>
              <w:widowControl/>
              <w:tabs>
                <w:tab w:val="left" w:pos="345"/>
              </w:tabs>
              <w:spacing w:line="480" w:lineRule="auto"/>
              <w:jc w:val="center"/>
              <w:rPr>
                <w:rFonts w:ascii="Times New Roman" w:hAnsi="Times New Roman" w:cs="Times New Roman"/>
                <w:kern w:val="0"/>
                <w:sz w:val="20"/>
                <w:szCs w:val="20"/>
              </w:rPr>
            </w:pPr>
            <w:r>
              <w:rPr>
                <w:rFonts w:ascii="Times New Roman" w:hAnsi="Times New Roman" w:cs="Times New Roman"/>
                <w:kern w:val="0"/>
                <w:sz w:val="20"/>
                <w:szCs w:val="20"/>
              </w:rPr>
              <w:t>0.333</w:t>
            </w:r>
          </w:p>
        </w:tc>
      </w:tr>
    </w:tbl>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tabs>
          <w:tab w:val="left" w:pos="2189"/>
        </w:tabs>
        <w:jc w:val="left"/>
        <w:rPr>
          <w:rFonts w:ascii="Times New Roman" w:hAnsi="Times New Roman" w:cs="Times New Roman"/>
          <w:sz w:val="20"/>
          <w:szCs w:val="20"/>
        </w:rPr>
      </w:pPr>
      <w:r>
        <w:rPr>
          <w:rFonts w:ascii="Times New Roman" w:hAnsi="Times New Roman" w:cs="Times New Roman"/>
          <w:sz w:val="20"/>
          <w:szCs w:val="20"/>
        </w:rPr>
        <w:t>Abbreviations: NEU%, neutrophils percent; LYM%, lymphocytes percent; NLR, Neutrophil–lymphocyte ratio; CCL26, eosinophil chemotactic factor-3; MMP10, matrix metalloproteinase-10; ADAS, Alzheimer's Disease Assessment Scale; CDRSB, Clinical Dementia Rating Sum of Boxes; MEM, memory function; EF, executive function; RAVLT-immediate, Rey Auditory Verbal Learning Test-immediate-total immediate recall score; RAVLT-Delayed Recall, Rey Auditory Verbal Learning Test- logical memory delayed recall score;</w:t>
      </w:r>
    </w:p>
    <w:p>
      <w:pPr>
        <w:tabs>
          <w:tab w:val="left" w:pos="2189"/>
        </w:tabs>
        <w:jc w:val="left"/>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rPr>
          <w:rFonts w:ascii="Times New Roman" w:hAnsi="Times New Roman" w:cs="Times New Roman"/>
          <w:sz w:val="20"/>
          <w:szCs w:val="20"/>
        </w:rPr>
      </w:pPr>
    </w:p>
    <w:p>
      <w:pPr>
        <w:tabs>
          <w:tab w:val="left" w:pos="2189"/>
        </w:tabs>
        <w:jc w:val="center"/>
        <w:rPr>
          <w:rFonts w:ascii="Times New Roman" w:hAnsi="Times New Roman" w:cs="Times New Roman"/>
          <w:b/>
          <w:bCs/>
          <w:sz w:val="20"/>
          <w:szCs w:val="20"/>
        </w:rPr>
        <w:sectPr>
          <w:pgSz w:w="19842" w:h="17008" w:orient="landscape"/>
          <w:pgMar w:top="1440" w:right="1803" w:bottom="1440" w:left="1803" w:header="851" w:footer="992" w:gutter="0"/>
          <w:paperSrc/>
          <w:cols w:space="0" w:num="1"/>
          <w:rtlGutter w:val="0"/>
          <w:docGrid w:type="lines" w:linePitch="321" w:charSpace="0"/>
        </w:sectPr>
      </w:pPr>
    </w:p>
    <w:p>
      <w:pPr>
        <w:widowControl/>
        <w:jc w:val="center"/>
        <w:rPr>
          <w:rFonts w:ascii="Times New Roman" w:hAnsi="Times New Roman" w:eastAsia="华文中宋" w:cs="Times New Roman"/>
          <w:b/>
          <w:bCs/>
          <w:kern w:val="0"/>
          <w:sz w:val="20"/>
          <w:szCs w:val="20"/>
        </w:rPr>
      </w:pPr>
      <w:r>
        <w:rPr>
          <w:rFonts w:ascii="Times New Roman" w:hAnsi="Times New Roman" w:eastAsia="华文中宋" w:cs="Times New Roman"/>
          <w:b/>
          <w:bCs/>
          <w:kern w:val="0"/>
          <w:sz w:val="20"/>
          <w:szCs w:val="20"/>
        </w:rPr>
        <w:t>Supplementary 5. ADNI members list</w:t>
      </w:r>
    </w:p>
    <w:p>
      <w:pPr>
        <w:widowControl/>
        <w:jc w:val="left"/>
        <w:rPr>
          <w:rFonts w:ascii="Times New Roman" w:hAnsi="Times New Roman" w:cs="Times New Roman"/>
          <w:sz w:val="20"/>
          <w:szCs w:val="20"/>
        </w:rPr>
      </w:pPr>
      <w:r>
        <w:rPr>
          <w:rFonts w:ascii="Times New Roman" w:hAnsi="Times New Roman" w:eastAsia="宋体" w:cs="Times New Roman"/>
          <w:kern w:val="0"/>
          <w:sz w:val="20"/>
          <w:szCs w:val="20"/>
          <w:lang w:bidi="ar"/>
        </w:rPr>
        <w:t xml:space="preserve">Michael W. Weiner3 , Paul Aisen4 , Ronald Petersen5 , Clifford R. JackJr5 , William Jagust6 , John Q. Trojanowki7 , Arthur W. Toga4 , Laurel Beckett8 , Robert C. Green9 , Andrew J. Saykin10, John C. Morris11, Richard J. Perrin11, Leslie M. Shaw7 , Maria Carrillo12, William Potter13, Lisa Barnes14, Marie Bernard15, Hector González16, Carole Ho17, John K. Hsiao18, Jonathan Jackson19, Eliezer Masliah15, Donna Masterman20, Ozioma Okonkwo21, Richard Perrin22, Laurie Ryan15, Nina Silverberg15, Adam Fleisher23, Michael W. Weiner3 , Juliet Fockler3 , Cat Conti24, Dallas Veitch24, John Neuhaus3 , Chengshi Jin3 , Rachel Nosheny3 , Miriam Ashford24, Derek Flenniken24, Adrienne Kormos24, Cat Conti24, Gustavo Jimenez4 , Michael Donohue4 , Devon Gessert4 , Jennifer Salazar4 , Caileigh Zimmerman4 , Yuliana Cabrera4 , Sarah Walter4 , Garrett Miller4 , Godfrey Coker4 , Taylor Clanton4 , Lindsey Hergesheimer4 , Stephanie Smith4 , Olusegun Adegoke4 , Payam Mahboubi4 , Shelley Moore4 , Jeremy Pizzola4 , Elizabeth Shaffer4 , Brittany Sloan4 , Danielle Harvey8 , Michael Donohue4 , Bret Borowski25, Chad Ward25, Christopher Schwarz25, David Jones25, Jeff Gunter25, Kejal Kantarci25, Matthew Senjem25, Prashanthi Vemuri25, Robert Reid25, Nick C. Fox26, Ian Malone26, Paul Thompson27, Sophia I. Thomopoulos27, Talia M. Nir27, Neda Jahanshad27, Charles DeCarli8 , Alexander Knaack8 , Evan Fletcher8 , Duygu Tosun-Turgut3 , Stephanie Rossi Chen24, Mark Choe24, Karen Crawford27, Paul A. Yushkevich7 , Sandhitsu Das7 , Robert A. Koeppe28, Eric M. Reiman29, Kewei Chen29, Chet Mathis30, Susan Landau6 , Richard Perrin11, Nigel J. Cairns11, Erin Householder11, Erin Franklin11, Haley Bernhardt11, Lisa Taylor-Reinwald11, Leslie M. Shaw31, John Q. Trojanowki31, Magdalena Korecka31, Michal Figurski31, Karen Crawford4 , Scott Neu4 , Andrew J. Saykin32, Kwangsik Nho32, Shannon L. Risacher32, Liana G. Apostolova32, Li Shen33, Tatiana M. Foroud34, Kelly Nudelman34, Kelley Faber34, Kristi Wilmes34, Leon Thal16, Zaven Khachaturian35, John K. Hsiao36, Lisa C. Silbert37, Betty Lind37, Rachel Crissey37, Jeffrey A. Kaye37, Raina Carter37, Sara Dolen37, Joseph Quinn37, Lon S. Schneider4 , Sonia Pawluczyk4 , Mauricio Becerra4 , Liberty Teodoro4 , Karen Dagerman4 , Bryan M. Spann4 , James Brewer16, Helen Vanderswag38, Adam Fleisher38, Jaimie Ziolkowski28, Judith L. Heidebrink28, Lisa Zbizek-Nulph28, Joanne L. Lord28, Lisa Zbizek-Nulph28, Colleen S. Albers5 , David Knopman5 , Kris Johnson5 , Javier Villanueva-Meyer39, Valory Pavlik39, Nathaniel Pacini39, Ashley Lamb39, Joseph S. Kass39, Rachelle S. Doody39, Victoria Shibley39, Munir Chowdhury39, Susan Rountree39, Mimi Dang39, Yaakov Stern40, Lawrence S. Honig40, Akiva Mintz40, Beau Ances41, David Winkfield41, Maria Carroll41, Georgia Stobbs-Cucchi41, Angela Oliver41, Mary L. Creech41, Mark A. Mintun41, Stacy Schneider41, David Geldmacher42, Marissa Natelson Love42, Randall Griffith42, David Clark42, John Brockington42, Daniel Marson42, Hillel Grossman43, Martin A. Goldstein43, Jonathan Greenberg43, Effie Mitsis43, Raj C. Shah44, Melissa Lamar44, Patricia Samuels44, Ranjan Duara45, Maria T. Greig-Custo45, Rosemarie Rodriguez45, Marilyn Albert46, Chiadi Onyike46, Leonie Farrington46, Scott Rudow46, Rottislav Brichko46, Stephanie Kielb46, Amanda Smith47, Balebail Ashok Raj47, Kristin Fargher47, Martin Sadowski48, Thomas Wisniewski48, Melanie Shulman48, Arline Faustin48, Julia Rao48, Karen M. Castro48, Anaztasia Ulysse48, Shannon Chen48, Mohammed O. Sheikh48, Jamika Singleton-Garvin48, P. Murali Doraiswamy49, Jeffrey R. Petrella49, Olga James49, Terence Z. Wong49, Salvador Borges-Neto49, Jason H. Karlawish7 , David A. Wolk7 , Sanjeev Vaishnavi7 , Christopher M. Clark7 , Steven E. Arnold7 , Charles D. Smith50, Gregory A. Jicha50, Riham El Khouli50, Flavius D. Raslau50, Oscar L. Lopez30, MaryAnn Oakley30, Donna M. Simpson30, Anton P. Porsteinsson51, Kim Martin51, Nancy Kowalski51, Melanie Keltz51, Bonnie S. Goldstein51, Kelly M. Makino51, M. Saleem Ismail51, Connie Brand51, Gaby Thai52, </w:t>
      </w:r>
      <w:r>
        <w:rPr>
          <w:rFonts w:ascii="Times New Roman" w:hAnsi="Times New Roman" w:eastAsia="宋体" w:cs="Times New Roman"/>
          <w:kern w:val="0"/>
          <w:sz w:val="20"/>
          <w:szCs w:val="20"/>
          <w:lang w:bidi="ar"/>
        </w:rPr>
        <w:t xml:space="preserve">Aimee Pierce52, Beatriz Yanez52, Elizabeth Sosa52, Megan Witbracht52, Brendan Kelley53, Trung Nguyen53, Kyle Womack53, Dana Mathews53, Mary Quiceno53, Allan I. Levey54, James J. Lah54, Ihab Hajjar54, Janet S. Cellar54, Jeffrey M. Burns55, Russell H. Swerdlow55, William M. Brooks55, Daniel H. S. Silverman56, Sarah Kremen56, Liana Apostolova56, Kathleen Tingus56, Po H. Lu56, George Bartzokis56, Ellen Woo56, Edmond Teng56, Neill R. Graff-Radford57, Francine Parfitt57, Kim Poki-Walker57, Martin R. Farlow10, Ann Marie Hake10, Brandy R. Matthews10, Jared R. Brosch10, Scott Herring10, Christopher H. van Dyck58, Adam P. Mecca58, Susan P. Good58, Martha G. MacAvoy58, Richard E. Carson58, Pradeep Varma58, Howard Chertkow59, Susan Vaitekunis59, Chris Hosein59, Sandra Black60, Bojana Stefanovic60, Chris (Chinthaka) Heyn60, Ging-Yuek Robin Hsiung61, Ellen Kim61, Benita Mudge61, Vesna Sossi61, Howard Feldman61, Michele Assaly61, Elizabeth Finger62, Stephen Pasternak62, Irina Rachinsky62, Andrew Kertesz62, Dick Drost62, John Rogers62, Ian Grant63, Brittanie Muse63, Emily Rogalski63, Jordan Robson63, M.-Marsel Mesulam63, Diana Kerwin63, Chuang-Kuo Wu63, Nancy Johnson63, Kristine Lipowski63, Sandra Weintraub63, Borna Bonakdarpour63, Nunzio Pomara64, Raymundo Hernando64, Antero Sarrael64, Howard J. Rosen3 , Bruce L. Miller3 , David Perry3 , Raymond Scott Turner65, Kathleen Johnson65, Brigid Reynolds65, Kelly MCCann65, Jessica Poe65, Reisa A. Sperling66, Keith A. Johnson66, Gad A. Marshall66, Christine M. Belden67, Alireza Atri67, Bryan M. Spann67, Kelly A. Clark7 , Edward Zamrini67, Marwan Sabbagh67, Ronald Killiany68, Robert Stern68, Jesse Mez68, Neil Kowall68, Andrew E. Budson68, Thomas O. Obisesan69, Oyonumo E. Ntekim69, Saba Wolday69, Javed I. Khan69, Evaristus Nwulia69, Sheeba Nadarajah69, Alan Lerner70, Paula Ogrocki70, Curtis Tatsuoka70, Parianne Fatica70, Evan Fletcher71, Pauline Maillard71, John Olichney71, Charles DeCarli71, Owen Carmichael71, Vernice Bates72, Horacio Capote72, Michelle Rainka72, Michael Borrie73, T-Y Lee73, Rob Bartha73, Sterling Johnson74, Sanjay Asthana74, Cynthia M. Carlsson74, Allison Perrin29, Anna Burke29, Douglas W. Scharre75, Maria Kataki75, Rawan Tarawneh75, Brendan Kelley75, David Hart76, Earl A. Zimmerman76, Dzintra Celmins76, Delwyn D. Miller77, Laura L. Boles Ponto77, Karen Ekstam Smith77, Hristina Koleva77, Hyungsub Shim77, Ki Won Nam77, Susan K. Schultz8 , Jeff D. Williamson78, Suzanne Craft78, Jo Cleveland78, Mia Yang78, Kaycee M. Sink78, Brian R. Ott79, Jonathan Drake79, Geoffrey Tremont79, Lori A. Daiello79, Jonathan D. Drake79, Marwan Sabbagh80, Aaron Ritter80, Charles Bernick80, Donna Munic80, Akiva Mintz80, Abigail O’Connelll81, Jacobo Mintzer81, Arthur Wiliams81, Joseph Masdeu82, Jiong Shi83, Angelica Garcia83, Marwan Sabbagh83, Paul Newhouse84, Steven Potkin85, Stephen Salloway86, Paul Malloy86, Stephen Correia86, Smita Kittur87, Godfrey D. Pearlson88, Karen Blank88, Karen Anderson88, Laura A. Flashman89, Marc Seltzer89, Mary L. Hynes89, Robert B. Santulli89, Norman Relkin90, Gloria Chiang90, Michael Lin90, Lisa Ravdin90, Athena Lee90, Ron Petersen25, Thomas Neylan3 , Jordan Grafman91, Tom Montine92, Michael W. Weiner3 , Devon Gessert4 , Sarah Danowski4 , Catherine Nguyen-Barrera4 , Thomas Neylan3 , Shannon Finley1 , Danielle Harvey6 , Michael Donohue14, Matthew Bernstein3 , Bret Borowski25, Kejal Kantarci25, Norm Foster93, Tatiana M. Foroud10, Steven Potkin94, Li Shen10, Kelley Faber10, Sungeun Kim10, Kwangsik Nho10, Kristi Wilmes95, Lon S. Schneider4 , Helen Vanderswag16, Adam Fleisher16, Ajay Sood44, Kimberly S. Blanchard44, Debra Fleischman44, Ranjan Duara45, Maria T. Greig45, Bonnie Goldstein51, Kimberly S. Martin51, Gaby Thai96, Aimee Pierce96, Christopher Reist96, Beatriz Yanez96, Elizabeth Sosa96, Megan Witbracht96, Carl Sadowsky97, Walter Martinez97, Teresa Villena97, Howard Rosen3 , David Perry3 , Edward Zamrini67, Elaine R. Peskind92, Eric C. Petrie92, Gail Li92, Jerome Yesavage98, Joy L. Taylor98, Steven Chao98, Jaila Coleman98, </w:t>
      </w:r>
      <w:r>
        <w:rPr>
          <w:rFonts w:ascii="Times New Roman" w:hAnsi="Times New Roman" w:eastAsia="宋体" w:cs="Times New Roman"/>
          <w:kern w:val="0"/>
          <w:sz w:val="20"/>
          <w:szCs w:val="20"/>
          <w:lang w:bidi="ar"/>
        </w:rPr>
        <w:t>Jessica D. White98, Barton Lane98, Allyson Rosen98, Jared Tinklenberg98, Michael Lin90, Gustavo Jimenez-Maggiora4 , Devon Gessert4 , Caileigh Zimmerman4 , Olusegun Adegoke4 , Erin Drake99, Mike Donohue4 , Craig Nelson3 , David Bickford3 , Meryl Butters30, Michelle Zmuda30, Bret Borowski5 , Jeff Gunter5 , Matt Senjem5 , Kejal Kantarci5 , Chad Ward5 , Denise Reyes5 , Kelley M. Faber10, Kelly N. Nudelman10, Yiu Ho Au3 , Kelly Scherer3 , Daniel Catalinotto3 , Samuel Stark3 , Elise Ong3 , Dariella Fernandez3 and Michelle Zmuda30</w:t>
      </w:r>
    </w:p>
    <w:p>
      <w:pPr>
        <w:widowControl/>
        <w:jc w:val="left"/>
        <w:rPr>
          <w:rFonts w:ascii="Times New Roman" w:hAnsi="Times New Roman" w:eastAsia="宋体" w:cs="Times New Roman"/>
          <w:kern w:val="0"/>
          <w:sz w:val="20"/>
          <w:szCs w:val="20"/>
          <w:lang w:bidi="ar"/>
        </w:rPr>
      </w:pPr>
    </w:p>
    <w:p>
      <w:pPr>
        <w:widowControl/>
        <w:jc w:val="left"/>
        <w:rPr>
          <w:rFonts w:ascii="Times New Roman" w:hAnsi="Times New Roman" w:cs="Times New Roman"/>
          <w:sz w:val="16"/>
          <w:szCs w:val="16"/>
        </w:rPr>
      </w:pPr>
      <w:r>
        <w:rPr>
          <w:rFonts w:ascii="Times New Roman" w:hAnsi="Times New Roman" w:eastAsia="宋体" w:cs="Times New Roman"/>
          <w:kern w:val="0"/>
          <w:sz w:val="16"/>
          <w:szCs w:val="16"/>
          <w:lang w:bidi="ar"/>
        </w:rPr>
        <w:t>3 University of California, San Francisco, San Francisco, USA. 4 University of Southern California, Los Angeles, USA. 5 Mayo Clinic, Rochester, Rochester, USA. 6 University of California, Berkeley, Berkeley, USA. 7 University of Pennsylvania, Philadelphia, USA. 8 University of California, Davis, Davis, USA. 9 BWH/HMS, Boston, USA. 10Indiana University, Bloomington, USA. 11Washington University St. Louis, St. Louis, USA. 12Alzheimer’s Association, Chicago, USA. 13National Institute of Mental Health, Rochville, USA. 14Rush University, Chicago, USA. 15NIA, Bethesda, USA. 16University of California, San Diego, San Diego, USA. 17Denali Therapeutics, South San Francisco, USA. 18NIH, Bethesda, USA. 19Massachusetts General Hospital, Boston, USA. 20Biogen, Cambridge, USA. 21University of Wisconsin, Madison, Madison, USA. 22Washington University, St. Louis, USA. 23Eli Lilly, Indianapolis, USA. 24NCIRE/ The Vererans Health Research Institute, San Francisco, USA. 25Mayo Clinic, Scottsdale, USA. 26University College London, London, UK. 27University of Southern California School of Medicine, Los Angeles, USA. 28University of Michigan, Ann Arbor, USA. 29Banner Alzheimer’s Institute, Phoenix, USA. 30University of Pittsburgh, Pittsburgh, USA. 31Perelman School of Medicine, University of Pennsylvania, Philadelphia, USA. 32Indiana University School of Medicine, Indianapolis, USA. 33UPenn School of Medicine, Philadelphia, USA. 34NCRAD/Indiana University School of Medicine, Indianapolis, USA. 35Prevent Alzheimer’s Disease, 2020 Rockville, USA. 36National Institute on Aging, Bethesda, USA. 37Oregon Health &amp; Science University, Portland, USA. 38University of California – San Diego, San Diego, USA. 39Baylor College of Medicine, Houston, USA. 40Columbia University Medical Center, New York, USA. 41Washington University, St. Louis, St. Louis, USA. 42University of Alabama - Birmingham, Birmingham, USA. 43Mount Sinai School of Medicine, New York, USA. 44Rush University Medical Center, Chicago, USA. 45Wien Center, Miami Beach, USA. 46Johns Hopkins University, Baltimore, USA. 47University of South Florida: USF Health Byrd Alzheimer’s Institute, Tampa, USA. 48New York University, New York, USA. 49Duke University Medical Center, Durham, USA. 50University of Kentucky, Lexington, USA. 51University of Rochester Medical Center, New York, USA. 52University of California Irvine IMIND, Irvine, USA. 53University of Texas Southwestern Medical School, Dallas, USA. 54Emory University, Atlanta, USA. 55University of Kansas, Medical Center, Kansas, USA. 56University of California, Los Angeles, Los Angeles, USA. 57Mayo Clinic, Jacksonville, Jacksonville, USA. 58Yale University School of Medicine, New Haven, USA. 59McGill Univ., Montreal-Jewish General Hospital, Montréal, Canada. 60Sunnybrook Health Sciences, Ontario, Toronto, Canada. 61U.B.C. Clinic for AD &amp; Related Disorders, Vancouver, Canada. 62St. Joseph’s Health Care, Petaluma, USA. 63Northwestern University, Evanston, USA. 64Nathan Kline Institute, Orangeburg, USA. 65Georgetown University Medical Center, Washington, USA. 66Brigham and Women’s Hospital, Boston, USA. 67Banner Sun Health Research Institute, Sun City, USA. 68Boston University, Boston, USA. 69Howard University, Washington, USA. 70Case Western Reserve University, Cleveland, USA. 71University of California, Davis – Sacramento, Sacramento, USA. 72Dent Neurologic Institute, Orchard Park, USA. 73Parkwood Institute, London, Canada. 74University of Wisconsin, Madison, USA. 75Ohio State University, Columbus, USA. 76Albany Medical College, Albany, USA. 77University of Iowa College of Medicine, Iowa City, USA. 78Wake Forest University Health Sciences, Winston Salem, USA. 79Rhode Island Hospital, Providence, USA. 80Cleveland Clinic Lou Ruvo Center for Brain Health, Las Vegas, USA. 81Roper St. Francis Healthcare, Charleston, USA. 82Houston Methodist Neurological Institute, Houston, USA. 83Barrow Neurological Institute, Phoenix, USA. 84Vanderbilt University Medical Center, Nashville, USA. 85Long Beach VA Neuropsychi</w:t>
      </w:r>
      <w:r>
        <w:rPr>
          <w:rFonts w:ascii="Times New Roman" w:hAnsi="Times New Roman" w:eastAsia="宋体" w:cs="Times New Roman"/>
          <w:kern w:val="0"/>
          <w:sz w:val="16"/>
          <w:szCs w:val="16"/>
          <w:lang w:bidi="ar"/>
        </w:rPr>
        <w:t>atric Research Program, Long Beach, USA. 86Butler Hospital Memory and Aging Program, Providence, USA. 87Neurological Care of CNY, East Syracuse, USA. 88Hartford Hospital, Olin Neuropsychiatry Research Center, Hartford, USA. 89Dartmouth-Hitchcock Medical Center, Lebanon, USA. 90Cornell University, Ithaca, USA. 91Rehabilitation Institute of Chicago, Feinberg School of Medicine, Northwestern University, Chicago, USA. 92University of Washington, Seattle, USA. 93University of Utah, Salt Lake City, USA. 94UC Irvine, Irvine, USA. 95NCRAD, Indianapolis, USA. 96University of California, Irvine, Irvine, USA. 97Premiere Research Inst (Palm Beach Neurology), West Palm Beach, USA. 98Stanford University, Stanford, USA. 99BWM/HMS, Boston, USA</w:t>
      </w:r>
    </w:p>
    <w:p>
      <w:pPr>
        <w:widowControl/>
        <w:jc w:val="left"/>
        <w:rPr>
          <w:rFonts w:ascii="Times New Roman" w:hAnsi="Times New Roman" w:cs="Times New Roman"/>
        </w:rPr>
      </w:pPr>
    </w:p>
    <w:sectPr>
      <w:pgSz w:w="19842" w:h="17008" w:orient="landscape"/>
      <w:pgMar w:top="1440" w:right="1803" w:bottom="1440" w:left="1803" w:header="851" w:footer="992" w:gutter="0"/>
      <w:paperSrc/>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DengXian">
    <w:altName w:val="汉仪中等线KW"/>
    <w:panose1 w:val="02010600030101010101"/>
    <w:charset w:val="86"/>
    <w:family w:val="auto"/>
    <w:pitch w:val="default"/>
    <w:sig w:usb0="00000000" w:usb1="00000000" w:usb2="00000016" w:usb3="00000000" w:csb0="0004000F" w:csb1="00000000"/>
  </w:font>
  <w:font w:name="华文中宋">
    <w:altName w:val="汉仪书宋二KW"/>
    <w:panose1 w:val="02010600040101010101"/>
    <w:charset w:val="86"/>
    <w:family w:val="auto"/>
    <w:pitch w:val="default"/>
    <w:sig w:usb0="00000000" w:usb1="00000000" w:usb2="00000010" w:usb3="00000000" w:csb0="0004009F" w:csb1="00000000"/>
  </w:font>
  <w:font w:name="GuardianSansGR-Regular">
    <w:altName w:val="Hiragino Sans"/>
    <w:panose1 w:val="020B0604020202020204"/>
    <w:charset w:val="80"/>
    <w:family w:val="auto"/>
    <w:pitch w:val="default"/>
    <w:sig w:usb0="00000000" w:usb1="00000000" w:usb2="00000010" w:usb3="00000000" w:csb0="00020000" w:csb1="00000000"/>
  </w:font>
  <w:font w:name="BjfygfAdvTTb5929f4c">
    <w:altName w:val="苹方-简"/>
    <w:panose1 w:val="020B0604020202020204"/>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等线KW">
    <w:panose1 w:val="01010104010101010101"/>
    <w:charset w:val="86"/>
    <w:family w:val="auto"/>
    <w:pitch w:val="default"/>
    <w:sig w:usb0="800002BF" w:usb1="004F7CFA" w:usb2="00000000" w:usb3="00000000" w:csb0="00040001"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60"/>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F3F1FE3"/>
    <w:rsid w:val="00087D85"/>
    <w:rsid w:val="005812CB"/>
    <w:rsid w:val="006C710C"/>
    <w:rsid w:val="008A04D0"/>
    <w:rsid w:val="0BFB0503"/>
    <w:rsid w:val="0FFD7023"/>
    <w:rsid w:val="2FE69FA9"/>
    <w:rsid w:val="3FEBF48C"/>
    <w:rsid w:val="3FFF729F"/>
    <w:rsid w:val="52FF09A1"/>
    <w:rsid w:val="53FB247C"/>
    <w:rsid w:val="5AFFDAA0"/>
    <w:rsid w:val="5B768026"/>
    <w:rsid w:val="5BFD894A"/>
    <w:rsid w:val="5F7FFE4F"/>
    <w:rsid w:val="6A3B0204"/>
    <w:rsid w:val="7B5DB9C5"/>
    <w:rsid w:val="7B7E360B"/>
    <w:rsid w:val="7BF72D52"/>
    <w:rsid w:val="7DDAB3D1"/>
    <w:rsid w:val="7DFE0FC1"/>
    <w:rsid w:val="7F7D70C8"/>
    <w:rsid w:val="7FFB1B7C"/>
    <w:rsid w:val="AF3F1FE3"/>
    <w:rsid w:val="BDF776E9"/>
    <w:rsid w:val="BEED385E"/>
    <w:rsid w:val="BEF9EB05"/>
    <w:rsid w:val="BF7E7E4C"/>
    <w:rsid w:val="BFDF2FE6"/>
    <w:rsid w:val="BFFEEF9B"/>
    <w:rsid w:val="BFFFE4CA"/>
    <w:rsid w:val="D7BED485"/>
    <w:rsid w:val="DA4CD259"/>
    <w:rsid w:val="E5E74BE9"/>
    <w:rsid w:val="E6EE9E8F"/>
    <w:rsid w:val="EBDFE1C2"/>
    <w:rsid w:val="EFDE9F08"/>
    <w:rsid w:val="F6FFF26F"/>
    <w:rsid w:val="FE7FE6BE"/>
    <w:rsid w:val="FF212DB1"/>
    <w:rsid w:val="FF4E630C"/>
    <w:rsid w:val="FFF37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uiPriority w:val="99"/>
    <w:pPr>
      <w:widowControl w:val="0"/>
      <w:jc w:val="both"/>
    </w:pPr>
    <w:rPr>
      <w:rFonts w:ascii="DengXian" w:hAnsi="DengXian" w:eastAsia="Times New Roman" w:cs="DengXian"/>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2366</Words>
  <Characters>15849</Characters>
  <Lines>130</Lines>
  <Paragraphs>36</Paragraphs>
  <TotalTime>19</TotalTime>
  <ScaleCrop>false</ScaleCrop>
  <LinksUpToDate>false</LinksUpToDate>
  <CharactersWithSpaces>17920</CharactersWithSpaces>
  <Application>WPS Office_6.5.0.8619_F1E327BC-269C-435d-A152-05C5408002CA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2024-05-02T01:17:00Z</dcterms:created>
  <dc:creator>Sherkey</dc:creator>
  <cp:lastModifiedBy>Sherkey</cp:lastModifiedBy>
  <dcterms:modified xsi:type="dcterms:W3CDTF">2025-03-17T12:08:30Z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2052-6.5.0.8619</vt:lpwstr>
  </property>
  <property fmtid="{D5CDD505-2E9C-101B-9397-08002B2CF9AE}" pid="3" name="ICV">
    <vt:lpwstr>B2E47C7DE0D138958EC22C66D8DB7093_41</vt:lpwstr>
  </property>
</Properties>
</file>