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439DA" w14:textId="24372817" w:rsidR="00FE3AE0" w:rsidRPr="00FF292D" w:rsidRDefault="00DE6C9A" w:rsidP="00FF292D">
      <w:pPr>
        <w:spacing w:line="480" w:lineRule="auto"/>
        <w:jc w:val="center"/>
        <w:rPr>
          <w:rFonts w:ascii="Times New Roman" w:hAnsi="Times New Roman" w:cs="Times New Roman"/>
          <w:b/>
          <w:bCs/>
          <w:sz w:val="24"/>
          <w:szCs w:val="24"/>
        </w:rPr>
      </w:pPr>
      <w:r w:rsidRPr="00FF292D">
        <w:rPr>
          <w:rFonts w:ascii="Times New Roman" w:hAnsi="Times New Roman" w:cs="Times New Roman"/>
          <w:b/>
          <w:bCs/>
          <w:sz w:val="24"/>
          <w:szCs w:val="24"/>
        </w:rPr>
        <w:t>Supplementary Materials</w:t>
      </w:r>
    </w:p>
    <w:p w14:paraId="1DD38ADF" w14:textId="7031FC82" w:rsidR="00D31C6E" w:rsidRPr="00FF292D" w:rsidRDefault="00774D9A" w:rsidP="00FF292D">
      <w:pPr>
        <w:spacing w:line="480" w:lineRule="auto"/>
        <w:rPr>
          <w:rFonts w:ascii="Times New Roman" w:hAnsi="Times New Roman" w:cs="Times New Roman"/>
          <w:b/>
          <w:bCs/>
          <w:sz w:val="24"/>
          <w:szCs w:val="24"/>
        </w:rPr>
      </w:pPr>
      <w:r w:rsidRPr="00FF292D">
        <w:rPr>
          <w:rFonts w:ascii="Times New Roman" w:hAnsi="Times New Roman" w:cs="Times New Roman" w:hint="eastAsia"/>
          <w:b/>
          <w:bCs/>
          <w:sz w:val="24"/>
          <w:szCs w:val="24"/>
        </w:rPr>
        <w:t>1 Supplementary m</w:t>
      </w:r>
      <w:r w:rsidR="00D31C6E" w:rsidRPr="00FF292D">
        <w:rPr>
          <w:rFonts w:ascii="Times New Roman" w:hAnsi="Times New Roman" w:cs="Times New Roman" w:hint="eastAsia"/>
          <w:b/>
          <w:bCs/>
          <w:sz w:val="24"/>
          <w:szCs w:val="24"/>
        </w:rPr>
        <w:t>ethod</w:t>
      </w:r>
    </w:p>
    <w:p w14:paraId="4A73B5F5" w14:textId="4883CC4A" w:rsidR="00D31C6E" w:rsidRPr="00FF292D" w:rsidRDefault="00D31C6E" w:rsidP="00FF292D">
      <w:pPr>
        <w:spacing w:line="480" w:lineRule="auto"/>
        <w:rPr>
          <w:rFonts w:ascii="Times New Roman" w:hAnsi="Times New Roman" w:cs="Times New Roman"/>
          <w:sz w:val="24"/>
          <w:szCs w:val="24"/>
        </w:rPr>
      </w:pPr>
      <w:r w:rsidRPr="00FF292D">
        <w:rPr>
          <w:rFonts w:ascii="Times New Roman" w:hAnsi="Times New Roman" w:cs="Times New Roman"/>
          <w:sz w:val="24"/>
          <w:szCs w:val="24"/>
        </w:rPr>
        <w:t>Measurement for other engaged variables</w:t>
      </w:r>
    </w:p>
    <w:p w14:paraId="18CFB4B8" w14:textId="06DAA8B1" w:rsidR="00D31C6E" w:rsidRPr="00FF292D" w:rsidRDefault="00774D9A" w:rsidP="00FF292D">
      <w:pPr>
        <w:spacing w:line="480" w:lineRule="auto"/>
        <w:rPr>
          <w:rFonts w:ascii="Times New Roman" w:hAnsi="Times New Roman" w:cs="Times New Roman"/>
          <w:b/>
          <w:bCs/>
          <w:sz w:val="24"/>
          <w:szCs w:val="24"/>
        </w:rPr>
      </w:pPr>
      <w:r w:rsidRPr="00FF292D">
        <w:rPr>
          <w:rFonts w:ascii="Times New Roman" w:hAnsi="Times New Roman" w:cs="Times New Roman" w:hint="eastAsia"/>
          <w:b/>
          <w:bCs/>
          <w:sz w:val="24"/>
          <w:szCs w:val="24"/>
        </w:rPr>
        <w:t>2 Supplementary r</w:t>
      </w:r>
      <w:r w:rsidR="00D31C6E" w:rsidRPr="00FF292D">
        <w:rPr>
          <w:rFonts w:ascii="Times New Roman" w:hAnsi="Times New Roman" w:cs="Times New Roman" w:hint="eastAsia"/>
          <w:b/>
          <w:bCs/>
          <w:sz w:val="24"/>
          <w:szCs w:val="24"/>
        </w:rPr>
        <w:t>esults</w:t>
      </w:r>
      <w:r w:rsidRPr="00FF292D">
        <w:rPr>
          <w:rFonts w:ascii="Times New Roman" w:hAnsi="Times New Roman" w:cs="Times New Roman" w:hint="eastAsia"/>
          <w:b/>
          <w:bCs/>
          <w:sz w:val="24"/>
          <w:szCs w:val="24"/>
        </w:rPr>
        <w:t xml:space="preserve"> </w:t>
      </w:r>
    </w:p>
    <w:p w14:paraId="4B0FEA88" w14:textId="3FD4699C" w:rsidR="00D31C6E" w:rsidRPr="00FF292D" w:rsidRDefault="00D31C6E" w:rsidP="00FF292D">
      <w:pPr>
        <w:spacing w:line="480" w:lineRule="auto"/>
        <w:rPr>
          <w:rFonts w:ascii="Times New Roman" w:hAnsi="Times New Roman" w:cs="Times New Roman"/>
          <w:sz w:val="24"/>
          <w:szCs w:val="24"/>
        </w:rPr>
      </w:pPr>
      <w:r w:rsidRPr="00FF292D">
        <w:rPr>
          <w:rFonts w:ascii="Times New Roman" w:hAnsi="Times New Roman" w:cs="Times New Roman"/>
          <w:sz w:val="24"/>
          <w:szCs w:val="24"/>
        </w:rPr>
        <w:t>Table S1. Chi-square tests and t-tests for the most important variables in Model 1</w:t>
      </w:r>
    </w:p>
    <w:p w14:paraId="710B832E" w14:textId="78ADB0DE" w:rsidR="00D31C6E" w:rsidRPr="00FF292D" w:rsidRDefault="00D31C6E" w:rsidP="00FF292D">
      <w:pPr>
        <w:spacing w:line="480" w:lineRule="auto"/>
        <w:rPr>
          <w:rFonts w:ascii="Times New Roman" w:hAnsi="Times New Roman" w:cs="Times New Roman"/>
          <w:sz w:val="24"/>
          <w:szCs w:val="24"/>
        </w:rPr>
      </w:pPr>
      <w:r w:rsidRPr="00FF292D">
        <w:rPr>
          <w:rFonts w:ascii="Times New Roman" w:hAnsi="Times New Roman" w:cs="Times New Roman"/>
          <w:sz w:val="24"/>
          <w:szCs w:val="24"/>
        </w:rPr>
        <w:t xml:space="preserve">Table S2. Chi-square tests and t-tests for the most important variables in Model </w:t>
      </w:r>
      <w:r w:rsidRPr="00FF292D">
        <w:rPr>
          <w:rFonts w:ascii="Times New Roman" w:hAnsi="Times New Roman" w:cs="Times New Roman" w:hint="eastAsia"/>
          <w:sz w:val="24"/>
          <w:szCs w:val="24"/>
        </w:rPr>
        <w:t>2</w:t>
      </w:r>
    </w:p>
    <w:p w14:paraId="76E9CDD2" w14:textId="35BE313F" w:rsidR="00D31C6E" w:rsidRPr="00FF292D" w:rsidRDefault="00D31C6E" w:rsidP="00FF292D">
      <w:pPr>
        <w:spacing w:line="480" w:lineRule="auto"/>
        <w:rPr>
          <w:rFonts w:ascii="Times New Roman" w:hAnsi="Times New Roman" w:cs="Times New Roman"/>
          <w:sz w:val="24"/>
          <w:szCs w:val="24"/>
        </w:rPr>
      </w:pPr>
      <w:r w:rsidRPr="00FF292D">
        <w:rPr>
          <w:rFonts w:ascii="Times New Roman" w:hAnsi="Times New Roman" w:cs="Times New Roman"/>
          <w:sz w:val="24"/>
          <w:szCs w:val="24"/>
        </w:rPr>
        <w:t xml:space="preserve">Table S3. Chi-square tests and t-tests for the most important variables in Model </w:t>
      </w:r>
      <w:r w:rsidRPr="00FF292D">
        <w:rPr>
          <w:rFonts w:ascii="Times New Roman" w:hAnsi="Times New Roman" w:cs="Times New Roman" w:hint="eastAsia"/>
          <w:sz w:val="24"/>
          <w:szCs w:val="24"/>
        </w:rPr>
        <w:t>3</w:t>
      </w:r>
    </w:p>
    <w:p w14:paraId="438D7E74" w14:textId="5781DD0D" w:rsidR="00D31C6E" w:rsidRPr="00FF292D" w:rsidRDefault="00D31C6E" w:rsidP="00FF292D">
      <w:pPr>
        <w:spacing w:line="480" w:lineRule="auto"/>
        <w:rPr>
          <w:rFonts w:ascii="Times New Roman" w:hAnsi="Times New Roman" w:cs="Times New Roman"/>
          <w:sz w:val="24"/>
          <w:szCs w:val="24"/>
        </w:rPr>
      </w:pPr>
      <w:r w:rsidRPr="00FF292D">
        <w:rPr>
          <w:rFonts w:ascii="Times New Roman" w:hAnsi="Times New Roman" w:cs="Times New Roman"/>
          <w:sz w:val="24"/>
          <w:szCs w:val="24"/>
        </w:rPr>
        <w:t xml:space="preserve">Table S4. Chi-square tests and t-tests for the most important variables in Model </w:t>
      </w:r>
      <w:r w:rsidRPr="00FF292D">
        <w:rPr>
          <w:rFonts w:ascii="Times New Roman" w:hAnsi="Times New Roman" w:cs="Times New Roman" w:hint="eastAsia"/>
          <w:sz w:val="24"/>
          <w:szCs w:val="24"/>
        </w:rPr>
        <w:t>4</w:t>
      </w:r>
    </w:p>
    <w:p w14:paraId="29AFC11F" w14:textId="00EEC394" w:rsidR="00D31C6E" w:rsidRPr="00FF292D" w:rsidRDefault="00D31C6E" w:rsidP="00FF292D">
      <w:pPr>
        <w:spacing w:line="480" w:lineRule="auto"/>
        <w:rPr>
          <w:rFonts w:ascii="Times New Roman" w:hAnsi="Times New Roman" w:cs="Times New Roman"/>
          <w:sz w:val="24"/>
          <w:szCs w:val="24"/>
        </w:rPr>
      </w:pPr>
      <w:r w:rsidRPr="00FF292D">
        <w:rPr>
          <w:rFonts w:ascii="Times New Roman" w:hAnsi="Times New Roman" w:cs="Times New Roman"/>
          <w:sz w:val="24"/>
          <w:szCs w:val="24"/>
        </w:rPr>
        <w:t xml:space="preserve">Table S5. Chi-square tests and t-tests for the most important variables in Model </w:t>
      </w:r>
      <w:r w:rsidRPr="00FF292D">
        <w:rPr>
          <w:rFonts w:ascii="Times New Roman" w:hAnsi="Times New Roman" w:cs="Times New Roman" w:hint="eastAsia"/>
          <w:sz w:val="24"/>
          <w:szCs w:val="24"/>
        </w:rPr>
        <w:t>5</w:t>
      </w:r>
    </w:p>
    <w:p w14:paraId="63801409" w14:textId="01F12D5E" w:rsidR="00D31C6E" w:rsidRPr="00FF292D" w:rsidRDefault="00774D9A" w:rsidP="00FF292D">
      <w:pPr>
        <w:spacing w:line="480" w:lineRule="auto"/>
        <w:rPr>
          <w:rFonts w:ascii="Times New Roman" w:hAnsi="Times New Roman" w:cs="Times New Roman"/>
          <w:sz w:val="24"/>
          <w:szCs w:val="24"/>
        </w:rPr>
      </w:pPr>
      <w:r w:rsidRPr="00FF292D">
        <w:rPr>
          <w:rFonts w:ascii="Times New Roman" w:hAnsi="Times New Roman" w:cs="Times New Roman" w:hint="eastAsia"/>
          <w:sz w:val="24"/>
          <w:szCs w:val="24"/>
        </w:rPr>
        <w:t>Fig</w:t>
      </w:r>
      <w:r w:rsidR="00FF292D">
        <w:rPr>
          <w:rFonts w:ascii="Times New Roman" w:hAnsi="Times New Roman" w:cs="Times New Roman" w:hint="eastAsia"/>
          <w:sz w:val="24"/>
          <w:szCs w:val="24"/>
        </w:rPr>
        <w:t>ure</w:t>
      </w:r>
      <w:r w:rsidR="00D31C6E" w:rsidRPr="00FF292D">
        <w:rPr>
          <w:rFonts w:ascii="Times New Roman" w:hAnsi="Times New Roman" w:cs="Times New Roman"/>
          <w:sz w:val="24"/>
          <w:szCs w:val="24"/>
        </w:rPr>
        <w:t xml:space="preserve"> S1. </w:t>
      </w:r>
      <w:r w:rsidR="00C06055">
        <w:rPr>
          <w:rFonts w:ascii="Times New Roman" w:hAnsi="Times New Roman" w:cs="Times New Roman" w:hint="eastAsia"/>
          <w:sz w:val="24"/>
          <w:szCs w:val="24"/>
        </w:rPr>
        <w:t>Confusion matrix of the five models on test set</w:t>
      </w:r>
    </w:p>
    <w:p w14:paraId="57B7FF12" w14:textId="2F4C4977" w:rsidR="00C06055" w:rsidRPr="00FF292D" w:rsidRDefault="00C06055" w:rsidP="00C06055">
      <w:pPr>
        <w:spacing w:line="480" w:lineRule="auto"/>
        <w:rPr>
          <w:rFonts w:ascii="Times New Roman" w:hAnsi="Times New Roman" w:cs="Times New Roman"/>
          <w:sz w:val="24"/>
          <w:szCs w:val="24"/>
        </w:rPr>
      </w:pPr>
      <w:r w:rsidRPr="00FF292D">
        <w:rPr>
          <w:rFonts w:ascii="Times New Roman" w:hAnsi="Times New Roman" w:cs="Times New Roman" w:hint="eastAsia"/>
          <w:sz w:val="24"/>
          <w:szCs w:val="24"/>
        </w:rPr>
        <w:t>Fig</w:t>
      </w:r>
      <w:r>
        <w:rPr>
          <w:rFonts w:ascii="Times New Roman" w:hAnsi="Times New Roman" w:cs="Times New Roman" w:hint="eastAsia"/>
          <w:sz w:val="24"/>
          <w:szCs w:val="24"/>
        </w:rPr>
        <w:t>ure</w:t>
      </w:r>
      <w:r w:rsidRPr="00FF292D">
        <w:rPr>
          <w:rFonts w:ascii="Times New Roman" w:hAnsi="Times New Roman" w:cs="Times New Roman"/>
          <w:sz w:val="24"/>
          <w:szCs w:val="24"/>
        </w:rPr>
        <w:t xml:space="preserve"> S</w:t>
      </w:r>
      <w:r>
        <w:rPr>
          <w:rFonts w:ascii="Times New Roman" w:hAnsi="Times New Roman" w:cs="Times New Roman" w:hint="eastAsia"/>
          <w:sz w:val="24"/>
          <w:szCs w:val="24"/>
        </w:rPr>
        <w:t>2</w:t>
      </w:r>
      <w:r w:rsidRPr="00FF292D">
        <w:rPr>
          <w:rFonts w:ascii="Times New Roman" w:hAnsi="Times New Roman" w:cs="Times New Roman"/>
          <w:sz w:val="24"/>
          <w:szCs w:val="24"/>
        </w:rPr>
        <w:t xml:space="preserve">. Raincloud plots of the </w:t>
      </w:r>
      <w:r w:rsidRPr="00FF292D">
        <w:rPr>
          <w:rFonts w:ascii="Times New Roman" w:hAnsi="Times New Roman" w:cs="Times New Roman" w:hint="eastAsia"/>
          <w:sz w:val="24"/>
          <w:szCs w:val="24"/>
        </w:rPr>
        <w:t xml:space="preserve">ten </w:t>
      </w:r>
      <w:r w:rsidRPr="00FF292D">
        <w:rPr>
          <w:rFonts w:ascii="Times New Roman" w:hAnsi="Times New Roman" w:cs="Times New Roman"/>
          <w:sz w:val="24"/>
          <w:szCs w:val="24"/>
        </w:rPr>
        <w:t>most important predictors for distinguishing participants who have SI and SP and further have SA (Model 4)</w:t>
      </w:r>
    </w:p>
    <w:p w14:paraId="1BF316A2" w14:textId="77777777" w:rsidR="00C06055" w:rsidRDefault="00C06055" w:rsidP="001661AD">
      <w:pPr>
        <w:widowControl/>
        <w:jc w:val="left"/>
        <w:rPr>
          <w:rFonts w:ascii="Verdana" w:hAnsi="Verdana"/>
          <w:b/>
          <w:bCs/>
          <w:sz w:val="20"/>
          <w:szCs w:val="20"/>
        </w:rPr>
      </w:pPr>
    </w:p>
    <w:p w14:paraId="44D793D4" w14:textId="5FF6D916" w:rsidR="00D31C6E" w:rsidRPr="001661AD" w:rsidRDefault="00D31C6E" w:rsidP="001661AD">
      <w:pPr>
        <w:widowControl/>
        <w:jc w:val="left"/>
        <w:rPr>
          <w:rFonts w:ascii="Verdana" w:hAnsi="Verdana"/>
          <w:b/>
          <w:bCs/>
          <w:sz w:val="20"/>
          <w:szCs w:val="20"/>
        </w:rPr>
      </w:pPr>
      <w:r w:rsidRPr="001661AD">
        <w:rPr>
          <w:rFonts w:ascii="Verdana" w:hAnsi="Verdana"/>
          <w:b/>
          <w:bCs/>
          <w:sz w:val="20"/>
          <w:szCs w:val="20"/>
        </w:rPr>
        <w:br w:type="page"/>
      </w:r>
    </w:p>
    <w:p w14:paraId="1704EC0B" w14:textId="49B6414C" w:rsidR="00D31C6E" w:rsidRDefault="00774D9A" w:rsidP="00FF292D">
      <w:pPr>
        <w:spacing w:line="480" w:lineRule="auto"/>
        <w:rPr>
          <w:rFonts w:ascii="Times New Roman" w:hAnsi="Times New Roman" w:cs="Times New Roman"/>
          <w:b/>
          <w:bCs/>
          <w:sz w:val="24"/>
          <w:szCs w:val="24"/>
        </w:rPr>
      </w:pPr>
      <w:r w:rsidRPr="00FF292D">
        <w:rPr>
          <w:rFonts w:ascii="Times New Roman" w:hAnsi="Times New Roman" w:cs="Times New Roman"/>
          <w:b/>
          <w:bCs/>
          <w:sz w:val="24"/>
          <w:szCs w:val="24"/>
        </w:rPr>
        <w:lastRenderedPageBreak/>
        <w:t>1 Supplementary m</w:t>
      </w:r>
      <w:r w:rsidR="00D31C6E" w:rsidRPr="00FF292D">
        <w:rPr>
          <w:rFonts w:ascii="Times New Roman" w:hAnsi="Times New Roman" w:cs="Times New Roman"/>
          <w:b/>
          <w:bCs/>
          <w:sz w:val="24"/>
          <w:szCs w:val="24"/>
        </w:rPr>
        <w:t>ethod</w:t>
      </w:r>
    </w:p>
    <w:p w14:paraId="2B77702C" w14:textId="4FE171C4" w:rsidR="00DE6C9A" w:rsidRPr="00FA40CA" w:rsidRDefault="00DE6C9A" w:rsidP="00FF292D">
      <w:pPr>
        <w:spacing w:line="480" w:lineRule="auto"/>
        <w:rPr>
          <w:rFonts w:ascii="Times New Roman" w:hAnsi="Times New Roman" w:cs="Times New Roman"/>
          <w:b/>
          <w:bCs/>
          <w:sz w:val="24"/>
          <w:szCs w:val="24"/>
        </w:rPr>
      </w:pPr>
      <w:r w:rsidRPr="00FA40CA">
        <w:rPr>
          <w:rFonts w:ascii="Times New Roman" w:hAnsi="Times New Roman" w:cs="Times New Roman"/>
          <w:b/>
          <w:bCs/>
          <w:sz w:val="24"/>
          <w:szCs w:val="24"/>
        </w:rPr>
        <w:t>Measurement</w:t>
      </w:r>
      <w:r w:rsidR="00D31C6E" w:rsidRPr="00FA40CA">
        <w:rPr>
          <w:rFonts w:ascii="Times New Roman" w:hAnsi="Times New Roman" w:cs="Times New Roman"/>
          <w:b/>
          <w:bCs/>
          <w:sz w:val="24"/>
          <w:szCs w:val="24"/>
        </w:rPr>
        <w:t xml:space="preserve"> for other engaged variables</w:t>
      </w:r>
    </w:p>
    <w:p w14:paraId="4E5E5716" w14:textId="54726DF1" w:rsidR="009C5359" w:rsidRPr="00FF292D" w:rsidRDefault="004647F9" w:rsidP="00FF292D">
      <w:pPr>
        <w:pStyle w:val="a3"/>
        <w:numPr>
          <w:ilvl w:val="0"/>
          <w:numId w:val="5"/>
        </w:numPr>
        <w:spacing w:line="480" w:lineRule="auto"/>
        <w:ind w:firstLineChars="0"/>
        <w:rPr>
          <w:rFonts w:ascii="Times New Roman" w:hAnsi="Times New Roman" w:cs="Times New Roman"/>
          <w:sz w:val="24"/>
          <w:szCs w:val="24"/>
        </w:rPr>
      </w:pPr>
      <w:r w:rsidRPr="00FF292D">
        <w:rPr>
          <w:rFonts w:ascii="Times New Roman" w:hAnsi="Times New Roman" w:cs="Times New Roman"/>
          <w:sz w:val="24"/>
          <w:szCs w:val="24"/>
        </w:rPr>
        <w:t>S</w:t>
      </w:r>
      <w:r w:rsidR="009C5359" w:rsidRPr="00FF292D">
        <w:rPr>
          <w:rFonts w:ascii="Times New Roman" w:hAnsi="Times New Roman" w:cs="Times New Roman"/>
          <w:sz w:val="24"/>
          <w:szCs w:val="24"/>
        </w:rPr>
        <w:t>ociodemographic variables</w:t>
      </w:r>
    </w:p>
    <w:p w14:paraId="3D119073" w14:textId="62CA96B5" w:rsidR="00AD70A3" w:rsidRPr="00FF292D" w:rsidRDefault="00AD70A3" w:rsidP="00FF292D">
      <w:pPr>
        <w:spacing w:line="480" w:lineRule="auto"/>
        <w:rPr>
          <w:rFonts w:ascii="Times New Roman" w:hAnsi="Times New Roman" w:cs="Times New Roman"/>
          <w:sz w:val="24"/>
          <w:szCs w:val="24"/>
        </w:rPr>
      </w:pPr>
      <w:r w:rsidRPr="00FF292D">
        <w:rPr>
          <w:rFonts w:ascii="Times New Roman" w:hAnsi="Times New Roman" w:cs="Times New Roman"/>
          <w:sz w:val="24"/>
          <w:szCs w:val="24"/>
        </w:rPr>
        <w:t xml:space="preserve">Participants’ </w:t>
      </w:r>
      <w:bookmarkStart w:id="0" w:name="_Hlk160824321"/>
      <w:r w:rsidRPr="00FF292D">
        <w:rPr>
          <w:rFonts w:ascii="Times New Roman" w:hAnsi="Times New Roman" w:cs="Times New Roman"/>
          <w:sz w:val="24"/>
          <w:szCs w:val="24"/>
        </w:rPr>
        <w:t>age, biological sex, gender identity, sex orientation, education level, residence, ethnicity, religion, family income, family type</w:t>
      </w:r>
      <w:bookmarkEnd w:id="0"/>
      <w:r w:rsidRPr="00FF292D">
        <w:rPr>
          <w:rFonts w:ascii="Times New Roman" w:hAnsi="Times New Roman" w:cs="Times New Roman"/>
          <w:sz w:val="24"/>
          <w:szCs w:val="24"/>
        </w:rPr>
        <w:t xml:space="preserve"> (nuclear family, extended family or other family types including adoptive family, foster family, reorganized family, single-parent family, and left-behind family), </w:t>
      </w:r>
      <w:bookmarkStart w:id="1" w:name="_Hlk160824332"/>
      <w:r w:rsidRPr="00FF292D">
        <w:rPr>
          <w:rFonts w:ascii="Times New Roman" w:hAnsi="Times New Roman" w:cs="Times New Roman"/>
          <w:sz w:val="24"/>
          <w:szCs w:val="24"/>
        </w:rPr>
        <w:t xml:space="preserve">whether having siblings, relationships with the father and the mother, and education level of the father and the mother </w:t>
      </w:r>
      <w:bookmarkEnd w:id="1"/>
      <w:r w:rsidRPr="00FF292D">
        <w:rPr>
          <w:rFonts w:ascii="Times New Roman" w:hAnsi="Times New Roman" w:cs="Times New Roman"/>
          <w:sz w:val="24"/>
          <w:szCs w:val="24"/>
        </w:rPr>
        <w:t xml:space="preserve">were queried by asking corresponding questions. </w:t>
      </w:r>
      <w:bookmarkStart w:id="2" w:name="_Hlk160824343"/>
      <w:r w:rsidRPr="00FF292D">
        <w:rPr>
          <w:rFonts w:ascii="Times New Roman" w:hAnsi="Times New Roman" w:cs="Times New Roman"/>
          <w:sz w:val="24"/>
          <w:szCs w:val="24"/>
        </w:rPr>
        <w:t>Subjective social stratum</w:t>
      </w:r>
      <w:bookmarkEnd w:id="2"/>
      <w:r w:rsidRPr="00FF292D">
        <w:rPr>
          <w:rFonts w:ascii="Times New Roman" w:hAnsi="Times New Roman" w:cs="Times New Roman"/>
          <w:sz w:val="24"/>
          <w:szCs w:val="24"/>
        </w:rPr>
        <w:t xml:space="preserve"> was measured by the Subjective Socioeconomic Status Scale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&lt;EndNote&gt;&lt;Cite&gt;&lt;Author&gt;Adler&lt;/Author&gt;&lt;Year&gt;2000&lt;/Year&gt;&lt;RecNum&gt;169&lt;/RecNum&gt;&lt;DisplayText&gt;[1]&lt;/DisplayText&gt;&lt;record&gt;&lt;rec-number&gt;169&lt;/rec-number&gt;&lt;foreign-keys&gt;&lt;key app="EN" db-id="vp52av05uasrpyefrtjpxdxnt2wspz0wedzt" timestamp="1707941023"&gt;169&lt;/key&gt;&lt;/foreign-keys&gt;&lt;ref-type name="Journal Article"&gt;17&lt;/ref-type&gt;&lt;contributors&gt;&lt;authors&gt;&lt;author&gt;Adler, Nancy E.&lt;/author&gt;&lt;author&gt;Epel, Elissa S.&lt;/author&gt;&lt;author&gt;Castellazzo, Grace&lt;/author&gt;&lt;author&gt;Ickovics, Jeannette R.&lt;/author&gt;&lt;/authors&gt;&lt;/contributors&gt;&lt;titles&gt;&lt;title&gt;Relationship of subjective and objective social status with psychological and physiological functioning: Preliminary data in healthy, White women&lt;/title&gt;&lt;secondary-title&gt;Health Psychology&lt;/secondary-title&gt;&lt;/titles&gt;&lt;periodical&gt;&lt;full-title&gt;Health Psychology&lt;/full-title&gt;&lt;/periodical&gt;&lt;pages&gt;586-592&lt;/pages&gt;&lt;volume&gt;19&lt;/volume&gt;&lt;number&gt;6&lt;/number&gt;&lt;keywords&gt;&lt;keyword&gt;*Health&lt;/keyword&gt;&lt;keyword&gt;*Mental Health&lt;/keyword&gt;&lt;keyword&gt;*Self-Perception&lt;/keyword&gt;&lt;keyword&gt;*Socioeconomic Status&lt;/keyword&gt;&lt;keyword&gt;*Social Status&lt;/keyword&gt;&lt;keyword&gt;Physiology&lt;/keyword&gt;&lt;keyword&gt;Whites&lt;/keyword&gt;&lt;/keywords&gt;&lt;dates&gt;&lt;year&gt;2000&lt;/year&gt;&lt;/dates&gt;&lt;pub-location&gt;US&lt;/pub-location&gt;&lt;publisher&gt;American Psychological Association&lt;/publisher&gt;&lt;isbn&gt;1930-7810(Electronic),0278-6133(Print)&lt;/isbn&gt;&lt;urls&gt;&lt;/urls&gt;&lt;electronic-resource-num&gt;10.1037/0278-6133.19.6.586&lt;/electronic-resource-num&gt;&lt;/record&gt;&lt;/Cite&gt;&lt;/EndNote&gt;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[1]</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 xml:space="preserve">. The Chinese version of the scale had a test-retest reliability of 0.62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&lt;EndNote&gt;&lt;Cite&gt;&lt;Author&gt;Xie&lt;/Author&gt;&lt;Year&gt;2018&lt;/Year&gt;&lt;RecNum&gt;170&lt;/RecNum&gt;&lt;DisplayText&gt;[2]&lt;/DisplayText&gt;&lt;record&gt;&lt;rec-number&gt;170&lt;/rec-number&gt;&lt;foreign-keys&gt;&lt;key app="EN" db-id="vp52av05uasrpyefrtjpxdxnt2wspz0wedzt" timestamp="1707941249"&gt;170&lt;/key&gt;&lt;/foreign-keys&gt;&lt;ref-type name="Journal Article"&gt;17&lt;/ref-type&gt;&lt;contributors&gt;&lt;authors&gt;&lt;author&gt;Xie, X. N.&lt;/author&gt;&lt;author&gt;Li, X. P.&lt;/author&gt;&lt;/authors&gt;&lt;/contributors&gt;&lt;titles&gt;&lt;title&gt;The Effect of Subjective Social Class on Prosocial Behavior&lt;/title&gt;&lt;secondary-title&gt;Studies of Psychology and Behavioral&lt;/secondary-title&gt;&lt;/titles&gt;&lt;periodical&gt;&lt;full-title&gt;Studies of Psychology and Behavioral&lt;/full-title&gt;&lt;/periodical&gt;&lt;pages&gt;563-569&lt;/pages&gt;&lt;volume&gt;16&lt;/volume&gt;&lt;number&gt;4&lt;/number&gt;&lt;keywords&gt;&lt;keyword&gt;/unread&lt;/keyword&gt;&lt;keyword&gt;?Tag&lt;/keyword&gt;&lt;/keywords&gt;&lt;dates&gt;&lt;year&gt;2018&lt;/year&gt;&lt;pub-dates&gt;&lt;date&gt;2018/07/25/&lt;/date&gt;&lt;/pub-dates&gt;&lt;/dates&gt;&lt;urls&gt;&lt;/urls&gt;&lt;language&gt;cn&lt;/language&gt;&lt;access-date&gt;2024/02/13/07:25:45&lt;/access-date&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[2]</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 xml:space="preserve">. Family harmony was measured with one single question extracted from the Family Harmony Scale </w:t>
      </w:r>
      <w:r w:rsidR="00E91A27" w:rsidRPr="00FF292D">
        <w:rPr>
          <w:rFonts w:ascii="Times New Roman" w:hAnsi="Times New Roman" w:cs="Times New Roman"/>
          <w:sz w:val="24"/>
          <w:szCs w:val="24"/>
        </w:rPr>
        <w:fldChar w:fldCharType="begin">
          <w:fldData xml:space="preserve">PEVuZE5vdGU+PENpdGU+PEF1dGhvcj5LYXZpa29uZGFsYTwvQXV0aG9yPjxZZWFyPjIwMTY8L1ll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</w:fldData>
        </w:fldChar>
      </w:r>
      <w:r w:rsidR="00AF3808">
        <w:rPr>
          <w:rFonts w:ascii="Times New Roman" w:hAnsi="Times New Roman" w:cs="Times New Roman"/>
          <w:sz w:val="24"/>
          <w:szCs w:val="24"/>
        </w:rPr>
        <w:instrText xml:space="preserve"> ADDIN EN.CITE </w:instrText>
      </w:r>
      <w:r w:rsidR="00AF3808">
        <w:rPr>
          <w:rFonts w:ascii="Times New Roman" w:hAnsi="Times New Roman" w:cs="Times New Roman"/>
          <w:sz w:val="24"/>
          <w:szCs w:val="24"/>
        </w:rPr>
        <w:fldChar w:fldCharType="begin">
          <w:fldData xml:space="preserve">PEVuZE5vdGU+PENpdGU+PEF1dGhvcj5LYXZpa29uZGFsYTwvQXV0aG9yPjxZZWFyPjIwMTY8L1ll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</w:fldData>
        </w:fldChar>
      </w:r>
      <w:r w:rsidR="00AF3808">
        <w:rPr>
          <w:rFonts w:ascii="Times New Roman" w:hAnsi="Times New Roman" w:cs="Times New Roman"/>
          <w:sz w:val="24"/>
          <w:szCs w:val="24"/>
        </w:rPr>
        <w:instrText xml:space="preserve"> ADDIN EN.CITE.DATA </w:instrText>
      </w:r>
      <w:r w:rsidR="00AF3808">
        <w:rPr>
          <w:rFonts w:ascii="Times New Roman" w:hAnsi="Times New Roman" w:cs="Times New Roman"/>
          <w:sz w:val="24"/>
          <w:szCs w:val="24"/>
        </w:rPr>
      </w:r>
      <w:r w:rsidR="00AF3808">
        <w:rPr>
          <w:rFonts w:ascii="Times New Roman" w:hAnsi="Times New Roman" w:cs="Times New Roman"/>
          <w:sz w:val="24"/>
          <w:szCs w:val="24"/>
        </w:rPr>
        <w:fldChar w:fldCharType="end"/>
      </w:r>
      <w:r w:rsidR="00E91A27" w:rsidRPr="00FF292D">
        <w:rPr>
          <w:rFonts w:ascii="Times New Roman" w:hAnsi="Times New Roman" w:cs="Times New Roman"/>
          <w:sz w:val="24"/>
          <w:szCs w:val="24"/>
        </w:rPr>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[3]</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 xml:space="preserve">, asking “How harmonious do you think your family is?”, and the answer scoring from 0 (extremely not harmonious) to 10 (extremely harmonious). The original scale has been validated in Chinese community cohort </w:t>
      </w:r>
      <w:r w:rsidR="00E91A27" w:rsidRPr="00FF292D">
        <w:rPr>
          <w:rFonts w:ascii="Times New Roman" w:hAnsi="Times New Roman" w:cs="Times New Roman"/>
          <w:sz w:val="24"/>
          <w:szCs w:val="24"/>
        </w:rPr>
        <w:fldChar w:fldCharType="begin">
          <w:fldData xml:space="preserve">PEVuZE5vdGU+PENpdGU+PEF1dGhvcj5LYXZpa29uZGFsYTwvQXV0aG9yPjxZZWFyPjIwMTY8L1ll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</w:fldData>
        </w:fldChar>
      </w:r>
      <w:r w:rsidR="00AF3808">
        <w:rPr>
          <w:rFonts w:ascii="Times New Roman" w:hAnsi="Times New Roman" w:cs="Times New Roman"/>
          <w:sz w:val="24"/>
          <w:szCs w:val="24"/>
        </w:rPr>
        <w:instrText xml:space="preserve"> ADDIN EN.CITE </w:instrText>
      </w:r>
      <w:r w:rsidR="00AF3808">
        <w:rPr>
          <w:rFonts w:ascii="Times New Roman" w:hAnsi="Times New Roman" w:cs="Times New Roman"/>
          <w:sz w:val="24"/>
          <w:szCs w:val="24"/>
        </w:rPr>
        <w:fldChar w:fldCharType="begin">
          <w:fldData xml:space="preserve">PEVuZE5vdGU+PENpdGU+PEF1dGhvcj5LYXZpa29uZGFsYTwvQXV0aG9yPjxZZWFyPjIwMTY8L1ll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</w:fldData>
        </w:fldChar>
      </w:r>
      <w:r w:rsidR="00AF3808">
        <w:rPr>
          <w:rFonts w:ascii="Times New Roman" w:hAnsi="Times New Roman" w:cs="Times New Roman"/>
          <w:sz w:val="24"/>
          <w:szCs w:val="24"/>
        </w:rPr>
        <w:instrText xml:space="preserve"> ADDIN EN.CITE.DATA </w:instrText>
      </w:r>
      <w:r w:rsidR="00AF3808">
        <w:rPr>
          <w:rFonts w:ascii="Times New Roman" w:hAnsi="Times New Roman" w:cs="Times New Roman"/>
          <w:sz w:val="24"/>
          <w:szCs w:val="24"/>
        </w:rPr>
      </w:r>
      <w:r w:rsidR="00AF3808">
        <w:rPr>
          <w:rFonts w:ascii="Times New Roman" w:hAnsi="Times New Roman" w:cs="Times New Roman"/>
          <w:sz w:val="24"/>
          <w:szCs w:val="24"/>
        </w:rPr>
        <w:fldChar w:fldCharType="end"/>
      </w:r>
      <w:r w:rsidR="00E91A27" w:rsidRPr="00FF292D">
        <w:rPr>
          <w:rFonts w:ascii="Times New Roman" w:hAnsi="Times New Roman" w:cs="Times New Roman"/>
          <w:sz w:val="24"/>
          <w:szCs w:val="24"/>
        </w:rPr>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[3]</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 xml:space="preserve">. Family happiness was measured by the single-item Self-reported Family Happiness Scale in Chinese, which showed good test-retest reliability and validity (intraclass correlation value = 0.76)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&lt;EndNote&gt;&lt;Cite&gt;&lt;Author&gt;Shen&lt;/Author&gt;&lt;Year&gt;2019&lt;/Year&gt;&lt;RecNum&gt;125&lt;/RecNum&gt;&lt;DisplayText&gt;[4]&lt;/DisplayText&gt;&lt;record&gt;&lt;rec-number&gt;125&lt;/rec-number&gt;&lt;foreign-keys&gt;&lt;key app="EN" db-id="vp52av05uasrpyefrtjpxdxnt2wspz0wedzt" timestamp="1698035820"&gt;125&lt;/key&gt;&lt;/foreign-keys&gt;&lt;ref-type name="Journal Article"&gt;17&lt;/ref-type&gt;&lt;contributors&gt;&lt;authors&gt;&lt;author&gt;Shen, Chen&lt;/author&gt;&lt;author&gt;Wang, Man Ping&lt;/author&gt;&lt;author&gt;Ho, Henry C. Y.&lt;/author&gt;&lt;author&gt;Wan, Alice&lt;/author&gt;&lt;author&gt;Stewart, Sunita M.&lt;/author&gt;&lt;author&gt;Viswanath, Kasisomayajula&lt;/author&gt;&lt;author&gt;Chan, Sophia Siu Chee&lt;/author&gt;&lt;author&gt;Lam, Tai Hing&lt;/author&gt;&lt;/authors&gt;&lt;/contributors&gt;&lt;titles&gt;&lt;title&gt;Test–retest reliability and validity of a single-item Self-reported Family Happiness Scale in Hong Kong Chinese: findings from Hong Kong Jockey Club FAMILY Project&lt;/title&gt;&lt;secondary-title&gt;Quality of Life Research&lt;/secondary-title&gt;&lt;/titles&gt;&lt;periodical&gt;&lt;full-title&gt;Quality of Life Research&lt;/full-title&gt;&lt;/periodical&gt;&lt;pages&gt;535-543&lt;/pages&gt;&lt;volume&gt;28&lt;/volume&gt;&lt;number&gt;2&lt;/number&gt;&lt;dates&gt;&lt;year&gt;2019&lt;/year&gt;&lt;pub-dates&gt;&lt;date&gt;2019/02/01&lt;/date&gt;&lt;/pub-dates&gt;&lt;/dates&gt;&lt;isbn&gt;1573-2649&lt;/isbn&gt;&lt;urls&gt;&lt;related-urls&gt;&lt;url&gt;https://doi.org/10.1007/s11136-018-2019-9&lt;/url&gt;&lt;/related-urls&gt;&lt;/urls&gt;&lt;electronic-resource-num&gt;10.1007/s11136-018-2019-9&lt;/electronic-resource-num&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[4]</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w:t>
      </w:r>
    </w:p>
    <w:p w14:paraId="186DC0B8" w14:textId="40E52094" w:rsidR="009C5359" w:rsidRPr="00FF292D" w:rsidRDefault="009C5359" w:rsidP="00FF292D">
      <w:pPr>
        <w:pStyle w:val="a3"/>
        <w:numPr>
          <w:ilvl w:val="0"/>
          <w:numId w:val="5"/>
        </w:numPr>
        <w:spacing w:line="480" w:lineRule="auto"/>
        <w:ind w:firstLineChars="0"/>
        <w:rPr>
          <w:rFonts w:ascii="Times New Roman" w:hAnsi="Times New Roman" w:cs="Times New Roman"/>
          <w:sz w:val="24"/>
          <w:szCs w:val="24"/>
        </w:rPr>
      </w:pPr>
      <w:r w:rsidRPr="00FF292D">
        <w:rPr>
          <w:rFonts w:ascii="Times New Roman" w:hAnsi="Times New Roman" w:cs="Times New Roman"/>
          <w:sz w:val="24"/>
          <w:szCs w:val="24"/>
        </w:rPr>
        <w:t>Other traumatic experiences</w:t>
      </w:r>
    </w:p>
    <w:p w14:paraId="2C5DFBB6" w14:textId="13852B16" w:rsidR="004647F9" w:rsidRPr="00FF292D" w:rsidRDefault="00AD70A3" w:rsidP="00FF292D">
      <w:pPr>
        <w:spacing w:line="480" w:lineRule="auto"/>
        <w:rPr>
          <w:rFonts w:ascii="Times New Roman" w:hAnsi="Times New Roman" w:cs="Times New Roman"/>
          <w:sz w:val="24"/>
          <w:szCs w:val="24"/>
        </w:rPr>
      </w:pPr>
      <w:r w:rsidRPr="00FF292D">
        <w:rPr>
          <w:rFonts w:ascii="Times New Roman" w:hAnsi="Times New Roman" w:cs="Times New Roman"/>
          <w:sz w:val="24"/>
          <w:szCs w:val="24"/>
        </w:rPr>
        <w:t xml:space="preserve">School bullying victimization was established by asking the question “Have you ever encountered school bullying in the last year?”, to which the answer could be verbal bullying, physical bullying, sexual bullying, cyber bullying, bullying of other types not listed, or no bullying encountered. Domestic violence between parents were measured </w:t>
      </w:r>
      <w:r w:rsidRPr="00FF292D">
        <w:rPr>
          <w:rFonts w:ascii="Times New Roman" w:hAnsi="Times New Roman" w:cs="Times New Roman"/>
          <w:sz w:val="24"/>
          <w:szCs w:val="24"/>
        </w:rPr>
        <w:lastRenderedPageBreak/>
        <w:t>by asking corresponding questions.</w:t>
      </w:r>
    </w:p>
    <w:p w14:paraId="559723B8" w14:textId="36E7E3E1" w:rsidR="009C5359" w:rsidRPr="00FF292D" w:rsidRDefault="009C5359" w:rsidP="00FF292D">
      <w:pPr>
        <w:pStyle w:val="a3"/>
        <w:numPr>
          <w:ilvl w:val="0"/>
          <w:numId w:val="5"/>
        </w:numPr>
        <w:spacing w:line="480" w:lineRule="auto"/>
        <w:ind w:firstLineChars="0"/>
        <w:rPr>
          <w:rFonts w:ascii="Times New Roman" w:hAnsi="Times New Roman" w:cs="Times New Roman"/>
          <w:sz w:val="24"/>
          <w:szCs w:val="24"/>
        </w:rPr>
      </w:pPr>
      <w:r w:rsidRPr="00FF292D">
        <w:rPr>
          <w:rFonts w:ascii="Times New Roman" w:hAnsi="Times New Roman" w:cs="Times New Roman"/>
          <w:sz w:val="24"/>
          <w:szCs w:val="24"/>
        </w:rPr>
        <w:t>Other behavioral variables</w:t>
      </w:r>
    </w:p>
    <w:p w14:paraId="7F262AE8" w14:textId="56F153BB" w:rsidR="009C5359" w:rsidRPr="00FF292D" w:rsidRDefault="000E0044" w:rsidP="00FF292D">
      <w:pPr>
        <w:spacing w:line="480" w:lineRule="auto"/>
        <w:rPr>
          <w:rFonts w:ascii="Times New Roman" w:hAnsi="Times New Roman" w:cs="Times New Roman"/>
          <w:sz w:val="24"/>
          <w:szCs w:val="24"/>
        </w:rPr>
      </w:pPr>
      <w:r w:rsidRPr="00FF292D">
        <w:rPr>
          <w:rFonts w:ascii="Times New Roman" w:hAnsi="Times New Roman" w:cs="Times New Roman"/>
          <w:sz w:val="24"/>
          <w:szCs w:val="24"/>
        </w:rPr>
        <w:t xml:space="preserve">Alcohol and tobacco consumption were measured by corresponding questions. The Brief Social Rhythm Metric (BSRS)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&lt;EndNote&gt;&lt;Cite&gt;&lt;Author&gt;Margraf&lt;/Author&gt;&lt;Year&gt;2016&lt;/Year&gt;&lt;RecNum&gt;135&lt;/RecNum&gt;&lt;DisplayText&gt;[5]&lt;/DisplayText&gt;&lt;record&gt;&lt;rec-number&gt;135&lt;/rec-number&gt;&lt;foreign-keys&gt;&lt;key app="EN" db-id="vp52av05uasrpyefrtjpxdxnt2wspz0wedzt" timestamp="1698382066"&gt;135&lt;/key&gt;&lt;/foreign-keys&gt;&lt;ref-type name="Journal Article"&gt;17&lt;/ref-type&gt;&lt;contributors&gt;&lt;authors&gt;&lt;author&gt;Margraf, Jürgen&lt;/author&gt;&lt;author&gt;Lavallee, Kristen&lt;/author&gt;&lt;author&gt;Zhang, XiaoChi&lt;/author&gt;&lt;author&gt;Schneider, Silvia&lt;/author&gt;&lt;/authors&gt;&lt;/contributors&gt;&lt;titles&gt;&lt;title&gt;Social Rhythm and Mental Health: A Cross-Cultural Comparison&lt;/title&gt;&lt;secondary-title&gt;PLOS ONE&lt;/secondary-title&gt;&lt;/titles&gt;&lt;periodical&gt;&lt;full-title&gt;PLoS One&lt;/full-title&gt;&lt;/periodical&gt;&lt;pages&gt;e0150312&lt;/pages&gt;&lt;volume&gt;11&lt;/volume&gt;&lt;number&gt;3&lt;/number&gt;&lt;dates&gt;&lt;year&gt;2016&lt;/year&gt;&lt;/dates&gt;&lt;publisher&gt;Public Library of Science&lt;/publisher&gt;&lt;urls&gt;&lt;related-urls&gt;&lt;url&gt;https://doi.org/10.1371/journal.pone.0150312&lt;/url&gt;&lt;/related-urls&gt;&lt;/urls&gt;&lt;electronic-resource-num&gt;10.1371/journal.pone.0150312&lt;/electronic-resource-num&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[5]</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 xml:space="preserve"> was used to measure one’s social rhythmicity. The scale includes ten questions respectively asking on the rhythmicity of ten daily social activities (i.e., eating and meeting others), and is answered on a five-point Likert scale, from 0 (very regular) to 5 (very irregular). A higher total score indicates worse social rhythmicity. The scale showed a good reliability and validity in Chinese cohort (Cronbach’s α = 0.888)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&lt;EndNote&gt;&lt;Cite&gt;&lt;Author&gt;Gao&lt;/Author&gt;&lt;Year&gt;2013&lt;/Year&gt;&lt;RecNum&gt;137&lt;/RecNum&gt;&lt;DisplayText&gt;[6]&lt;/DisplayText&gt;&lt;record&gt;&lt;rec-number&gt;137&lt;/rec-number&gt;&lt;foreign-keys&gt;&lt;key app="EN" db-id="vp52av05uasrpyefrtjpxdxnt2wspz0wedzt" timestamp="1698382719"&gt;137&lt;/key&gt;&lt;/foreign-keys&gt;&lt;ref-type name="Journal Article"&gt;17&lt;/ref-type&gt;&lt;contributors&gt;&lt;authors&gt;&lt;author&gt;Gao, Z.H.&lt;/author&gt;&lt;author&gt;Yang, S.Q.&lt;/author&gt;&lt;author&gt;Juergen Margraf&lt;/author&gt;&lt;author&gt;Zhang, X.C.&lt;/author&gt;&lt;/authors&gt;&lt;/contributors&gt;&lt;auth-address&gt;&lt;style face="nor</w:instrText>
      </w:r>
      <w:r w:rsidR="00AF3808">
        <w:rPr>
          <w:rFonts w:ascii="Times New Roman" w:hAnsi="Times New Roman" w:cs="Times New Roman" w:hint="eastAsia"/>
          <w:sz w:val="24"/>
          <w:szCs w:val="24"/>
        </w:rPr>
        <w:instrText>mal" font="default" charset="134" size="100%"&gt;</w:instrText>
      </w:r>
      <w:r w:rsidR="00AF3808">
        <w:rPr>
          <w:rFonts w:ascii="Times New Roman" w:hAnsi="Times New Roman" w:cs="Times New Roman" w:hint="eastAsia"/>
          <w:sz w:val="24"/>
          <w:szCs w:val="24"/>
        </w:rPr>
        <w:instrText>中国</w:instrText>
      </w:r>
      <w:r w:rsidR="00AF3808">
        <w:rPr>
          <w:rFonts w:ascii="Times New Roman" w:hAnsi="Times New Roman" w:cs="Times New Roman" w:hint="eastAsia"/>
          <w:sz w:val="24"/>
          <w:szCs w:val="24"/>
        </w:rPr>
        <w:instrText>&lt;/style&gt;&lt;style face="normal" font="default" size="100%"&gt;.&lt;/style&gt;&lt;style face="normal" font="default" charset="134" size="100%"&gt;</w:instrText>
      </w:r>
      <w:r w:rsidR="00AF3808">
        <w:rPr>
          <w:rFonts w:ascii="Times New Roman" w:hAnsi="Times New Roman" w:cs="Times New Roman" w:hint="eastAsia"/>
          <w:sz w:val="24"/>
          <w:szCs w:val="24"/>
        </w:rPr>
        <w:instrText>河北联合大学心理学院</w:instrText>
      </w:r>
      <w:r w:rsidR="00AF3808">
        <w:rPr>
          <w:rFonts w:ascii="Times New Roman" w:hAnsi="Times New Roman" w:cs="Times New Roman" w:hint="eastAsia"/>
          <w:sz w:val="24"/>
          <w:szCs w:val="24"/>
        </w:rPr>
        <w:instrText>&lt;/style&gt;&lt;style face="normal" font="default" size="100%"&gt; &lt;/style&gt;&lt;style face="normal" font="default" charset="134" size="100%"&gt;</w:instrText>
      </w:r>
      <w:r w:rsidR="00AF3808">
        <w:rPr>
          <w:rFonts w:ascii="Times New Roman" w:hAnsi="Times New Roman" w:cs="Times New Roman" w:hint="eastAsia"/>
          <w:sz w:val="24"/>
          <w:szCs w:val="24"/>
        </w:rPr>
        <w:instrText>唐山</w:instrText>
      </w:r>
      <w:r w:rsidR="00AF3808">
        <w:rPr>
          <w:rFonts w:ascii="Times New Roman" w:hAnsi="Times New Roman" w:cs="Times New Roman" w:hint="eastAsia"/>
          <w:sz w:val="24"/>
          <w:szCs w:val="24"/>
        </w:rPr>
        <w:instrText>&lt;/style&gt;&lt;style face="normal" font="default" size="100%"&gt;063000&amp;#xD;Ruhr University Bochum,Germany Bochum D-44801&lt;/style&gt;&lt;/auth-address&gt;&lt;titles&gt;&lt;title&gt;Reliability and Validity for Rhythm Scale in C</w:instrText>
      </w:r>
      <w:r w:rsidR="00AF3808">
        <w:rPr>
          <w:rFonts w:ascii="Times New Roman" w:hAnsi="Times New Roman" w:cs="Times New Roman"/>
          <w:sz w:val="24"/>
          <w:szCs w:val="24"/>
        </w:rPr>
        <w:instrText>hinese&lt;/title&gt;&lt;secondary-title&gt;China journal of health psychology&lt;/secondary-title&gt;&lt;/titles&gt;&lt;periodical&gt;&lt;full-title&gt;China journal of health psychology&lt;/full-title&gt;&lt;/periodical&gt;&lt;pages&gt;1219-1221&lt;/pages&gt;&lt;volume&gt;21&lt;/volume&gt;&lt;number&gt;8&lt;/number&gt;&lt;keywords&gt;&lt;keyword</w:instrText>
      </w:r>
      <w:r w:rsidR="00AF3808">
        <w:rPr>
          <w:rFonts w:ascii="Times New Roman" w:hAnsi="Times New Roman" w:cs="Times New Roman" w:hint="eastAsia"/>
          <w:sz w:val="24"/>
          <w:szCs w:val="24"/>
        </w:rPr>
        <w:instrText>&gt;</w:instrText>
      </w:r>
      <w:r w:rsidR="00AF3808">
        <w:rPr>
          <w:rFonts w:ascii="Times New Roman" w:hAnsi="Times New Roman" w:cs="Times New Roman" w:hint="eastAsia"/>
          <w:sz w:val="24"/>
          <w:szCs w:val="24"/>
        </w:rPr>
        <w:instrText>心理评估</w:instrText>
      </w:r>
      <w:r w:rsidR="00AF3808">
        <w:rPr>
          <w:rFonts w:ascii="Times New Roman" w:hAnsi="Times New Roman" w:cs="Times New Roman" w:hint="eastAsia"/>
          <w:sz w:val="24"/>
          <w:szCs w:val="24"/>
        </w:rPr>
        <w:instrText xml:space="preserve"> </w:instrText>
      </w:r>
      <w:r w:rsidR="00AF3808">
        <w:rPr>
          <w:rFonts w:ascii="Times New Roman" w:hAnsi="Times New Roman" w:cs="Times New Roman" w:hint="eastAsia"/>
          <w:sz w:val="24"/>
          <w:szCs w:val="24"/>
        </w:rPr>
        <w:instrText>生活规律</w:instrText>
      </w:r>
      <w:r w:rsidR="00AF3808">
        <w:rPr>
          <w:rFonts w:ascii="Times New Roman" w:hAnsi="Times New Roman" w:cs="Times New Roman" w:hint="eastAsia"/>
          <w:sz w:val="24"/>
          <w:szCs w:val="24"/>
        </w:rPr>
        <w:instrText xml:space="preserve"> </w:instrText>
      </w:r>
      <w:r w:rsidR="00AF3808">
        <w:rPr>
          <w:rFonts w:ascii="Times New Roman" w:hAnsi="Times New Roman" w:cs="Times New Roman" w:hint="eastAsia"/>
          <w:sz w:val="24"/>
          <w:szCs w:val="24"/>
        </w:rPr>
        <w:instrText>生活规律量表</w:instrText>
      </w:r>
      <w:r w:rsidR="00AF3808">
        <w:rPr>
          <w:rFonts w:ascii="Times New Roman" w:hAnsi="Times New Roman" w:cs="Times New Roman" w:hint="eastAsia"/>
          <w:sz w:val="24"/>
          <w:szCs w:val="24"/>
        </w:rPr>
        <w:instrText xml:space="preserve"> </w:instrText>
      </w:r>
      <w:r w:rsidR="00AF3808">
        <w:rPr>
          <w:rFonts w:ascii="Times New Roman" w:hAnsi="Times New Roman" w:cs="Times New Roman" w:hint="eastAsia"/>
          <w:sz w:val="24"/>
          <w:szCs w:val="24"/>
        </w:rPr>
        <w:instrText>信度</w:instrText>
      </w:r>
      <w:r w:rsidR="00AF3808">
        <w:rPr>
          <w:rFonts w:ascii="Times New Roman" w:hAnsi="Times New Roman" w:cs="Times New Roman" w:hint="eastAsia"/>
          <w:sz w:val="24"/>
          <w:szCs w:val="24"/>
        </w:rPr>
        <w:instrText xml:space="preserve"> </w:instrText>
      </w:r>
      <w:r w:rsidR="00AF3808">
        <w:rPr>
          <w:rFonts w:ascii="Times New Roman" w:hAnsi="Times New Roman" w:cs="Times New Roman" w:hint="eastAsia"/>
          <w:sz w:val="24"/>
          <w:szCs w:val="24"/>
        </w:rPr>
        <w:instrText>效度</w:instrText>
      </w:r>
      <w:r w:rsidR="00AF3808">
        <w:rPr>
          <w:rFonts w:ascii="Times New Roman" w:hAnsi="Times New Roman" w:cs="Times New Roman" w:hint="eastAsia"/>
          <w:sz w:val="24"/>
          <w:szCs w:val="24"/>
        </w:rPr>
        <w:instrText xml:space="preserve"> Rhythm Rhythm Scale Reliability Validity&lt;/keyword&gt;&lt;/keywords&gt;&lt;dates&gt;&lt;year&gt;2013&lt;/year&gt;&lt;/dates&gt;&lt;label&gt;(in Chinese with English abstract)&lt;/label&gt;&lt;urls&gt;&lt;/urls&gt;&lt;remote-database-provider&gt;&lt;style face="normal" font="default" charset="134" size="100%"&gt;</w:instrText>
      </w:r>
      <w:r w:rsidR="00AF3808">
        <w:rPr>
          <w:rFonts w:ascii="Times New Roman" w:hAnsi="Times New Roman" w:cs="Times New Roman" w:hint="eastAsia"/>
          <w:sz w:val="24"/>
          <w:szCs w:val="24"/>
        </w:rPr>
        <w:instrText>北京万方数据股份有限公司</w:instrText>
      </w:r>
      <w:r w:rsidR="00AF3808">
        <w:rPr>
          <w:rFonts w:ascii="Times New Roman" w:hAnsi="Times New Roman" w:cs="Times New Roman" w:hint="eastAsia"/>
          <w:sz w:val="24"/>
          <w:szCs w:val="24"/>
        </w:rPr>
        <w:instrText>&lt;/style&gt;&lt;/remote-database-provider&gt;&lt;/record&gt;&lt;/Cite&gt;&lt;/EndNote&gt;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[6]</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w:t>
      </w:r>
    </w:p>
    <w:p w14:paraId="4BEAA789" w14:textId="3F7D5EDF" w:rsidR="000E0044" w:rsidRPr="00FF292D" w:rsidRDefault="000E0044" w:rsidP="00FF292D">
      <w:pPr>
        <w:pStyle w:val="a3"/>
        <w:numPr>
          <w:ilvl w:val="0"/>
          <w:numId w:val="5"/>
        </w:numPr>
        <w:spacing w:line="480" w:lineRule="auto"/>
        <w:ind w:firstLineChars="0"/>
        <w:rPr>
          <w:rFonts w:ascii="Times New Roman" w:hAnsi="Times New Roman" w:cs="Times New Roman"/>
          <w:sz w:val="24"/>
          <w:szCs w:val="24"/>
        </w:rPr>
      </w:pPr>
      <w:r w:rsidRPr="00FF292D">
        <w:rPr>
          <w:rFonts w:ascii="Times New Roman" w:hAnsi="Times New Roman" w:cs="Times New Roman"/>
          <w:sz w:val="24"/>
          <w:szCs w:val="24"/>
        </w:rPr>
        <w:t>P</w:t>
      </w:r>
      <w:r w:rsidR="009C5359" w:rsidRPr="00FF292D">
        <w:rPr>
          <w:rFonts w:ascii="Times New Roman" w:hAnsi="Times New Roman" w:cs="Times New Roman"/>
          <w:sz w:val="24"/>
          <w:szCs w:val="24"/>
        </w:rPr>
        <w:t>sychiatric variables</w:t>
      </w:r>
    </w:p>
    <w:p w14:paraId="7B5ABE4C" w14:textId="72CD3808" w:rsidR="00D31C6E" w:rsidRPr="00FF292D" w:rsidRDefault="000E0044" w:rsidP="00FF292D">
      <w:pPr>
        <w:spacing w:line="480" w:lineRule="auto"/>
        <w:rPr>
          <w:rFonts w:ascii="Times New Roman" w:hAnsi="Times New Roman" w:cs="Times New Roman"/>
          <w:sz w:val="24"/>
          <w:szCs w:val="24"/>
        </w:rPr>
      </w:pPr>
      <w:r w:rsidRPr="00FF292D">
        <w:rPr>
          <w:rFonts w:ascii="Times New Roman" w:hAnsi="Times New Roman" w:cs="Times New Roman"/>
          <w:sz w:val="24"/>
          <w:szCs w:val="24"/>
        </w:rPr>
        <w:t xml:space="preserve">Depression was measured using the Patient Health Questionnaire-9 (PHQ-9)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&lt;EndNote&gt;&lt;Cite&gt;&lt;Author&gt;Kroenke&lt;/Author&gt;&lt;Year&gt;2001&lt;/Year&gt;&lt;RecNum&gt;97&lt;/RecNum&gt;&lt;DisplayText&gt;[7]&lt;/DisplayText&gt;&lt;record&gt;&lt;rec-number&gt;97&lt;/rec-number&gt;&lt;foreign-keys&gt;&lt;key app="EN" db-id="vp52av05uasrpyefrtjpxdxnt2wspz0wedzt" timestamp="1697818451"&gt;97&lt;/key&gt;&lt;/foreign-keys&gt;&lt;ref-type name="Journal Article"&gt;17&lt;/ref-type&gt;&lt;contributors&gt;&lt;authors&gt;&lt;author&gt;Kroenke, Kurt&lt;/author&gt;&lt;author&gt;Spitzer, Robert L.&lt;/author&gt;&lt;author&gt;Williams, Janet B. W.&lt;/author&gt;&lt;/authors&gt;&lt;/contributors&gt;&lt;titles&gt;&lt;title&gt;The PHQ-9&lt;/title&gt;&lt;secondary-title&gt;Journal of General Internal Medicine&lt;/secondary-title&gt;&lt;/titles&gt;&lt;periodical&gt;&lt;full-title&gt;Journal of General Internal Medicine&lt;/full-title&gt;&lt;/periodical&gt;&lt;pages&gt;606-613&lt;/pages&gt;&lt;volume&gt;16&lt;/volume&gt;&lt;number&gt;9&lt;/number&gt;&lt;dates&gt;&lt;year&gt;2001&lt;/year&gt;&lt;pub-dates&gt;&lt;date&gt;2001/09/01&lt;/date&gt;&lt;/pub-dates&gt;&lt;/dates&gt;&lt;isbn&gt;1525-1497&lt;/isbn&gt;&lt;urls&gt;&lt;related-urls&gt;&lt;url&gt;https://doi.org/10.1046/j.1525-1497.2001.016009606.x&lt;/url&gt;&lt;/related-urls&gt;&lt;/urls&gt;&lt;electronic-resource-num&gt;10.1046/j.1525-1497.2001.016009606.x&lt;/electronic-resource-num&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[7]</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 xml:space="preserve">. This scale consists of nine items, each scoring from ‘0’ (not at all) to ‘3’ (nearly every day). A higher total score indicates more severe depressive symptoms. The Chinese version of PHQ-9 has been validated with good internal consistency (Cronbach’s α = 0.85)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&lt;EndNote&gt;&lt;Cite&gt;&lt;Author&gt;Zhang&lt;/Author&gt;&lt;Year&gt;2013&lt;/Year&gt;&lt;RecNum&gt;123&lt;/RecNum&gt;&lt;DisplayText&gt;[8]&lt;/DisplayText&gt;&lt;record&gt;&lt;rec-number&gt;123&lt;/rec-number&gt;&lt;foreign-keys&gt;&lt;key app="EN" db-id="vp52av05uasrpyefrtjpxdxnt2wspz0wedzt" timestamp="1697966389"&gt;123&lt;/key&gt;&lt;/foreign-keys&gt;&lt;ref-type name="Journal Article"&gt;17&lt;/ref-type&gt;&lt;contributors&gt;&lt;authors&gt;&lt;author&gt;Zhang, Ying-Li&lt;/author&gt;&lt;author&gt;Liang, Wei&lt;/author&gt;&lt;author&gt;Chen, Zuo-Ming&lt;/author&gt;&lt;author&gt;Zhang, Hong-Mei&lt;/author&gt;&lt;author&gt;Zhang, Jian-Hong&lt;/author&gt;&lt;author&gt;Weng, Xiao-Qin&lt;/author&gt;&lt;author&gt;Yang, Shi-Chang&lt;/author&gt;&lt;author&gt;Zhang, Lei&lt;/author&gt;&lt;author&gt;Shen, Li-Juan&lt;/author&gt;&lt;author&gt;Zhang, Ya-Lin&lt;/author&gt;&lt;/authors&gt;&lt;/contributors&gt;&lt;titles&gt;&lt;title&gt;Validity and reliability of Patient Health Questionnaire-9 and Patient Health Questionnaire-2 to screen for depression among college students in China&lt;/title&gt;&lt;secondary-title&gt;Asia-Pacific Psychiatry&lt;/secondary-title&gt;&lt;/titles&gt;&lt;periodical&gt;&lt;full-title&gt;Asia-Pacific Psychiatry&lt;/full-title&gt;&lt;/periodical&gt;&lt;pages&gt;268-275&lt;/pages&gt;&lt;volume&gt;5&lt;/volume&gt;&lt;number&gt;4&lt;/number&gt;&lt;keywords&gt;&lt;keyword&gt;college student&lt;/keyword&gt;&lt;keyword&gt;depression&lt;/keyword&gt;&lt;keyword&gt;PHQ-2&lt;/keyword&gt;&lt;keyword&gt;PHQ-9&lt;/keyword&gt;&lt;keyword&gt;screening&lt;/keyword&gt;&lt;/keywords&gt;&lt;dates&gt;&lt;year&gt;2013&lt;/year&gt;&lt;pub-dates&gt;&lt;date&gt;2013/12/01&lt;/date&gt;&lt;/pub-dates&gt;&lt;/dates&gt;&lt;publisher&gt;John Wiley &amp;amp; Sons, Ltd&lt;/publisher&gt;&lt;isbn&gt;1758-5864&lt;/isbn&gt;&lt;urls&gt;&lt;related-urls&gt;&lt;url&gt;https://doi.org/10.1111/appy.12103&lt;/url&gt;&lt;/related-urls&gt;&lt;/urls&gt;&lt;electronic-resource-num&gt;10.1111/appy.12103&lt;/electronic-resource-num&gt;&lt;access-date&gt;2023/10/09&lt;/access-date&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[8]</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 xml:space="preserve">. A total score ≥ 5 indicates the existence of depressive symptoms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&lt;EndNote&gt;&lt;Cite&gt;&lt;Author&gt;Kroenke&lt;/Author&gt;&lt;Year&gt;2001&lt;/Year&gt;&lt;RecNum&gt;97&lt;/RecNum&gt;&lt;DisplayText&gt;[7]&lt;/DisplayText&gt;&lt;record&gt;&lt;rec-number&gt;97&lt;/rec-number&gt;&lt;foreign-keys&gt;&lt;key app="EN" db-id="vp52av05uasrpyefrtjpxdxnt2wspz0wedzt" timestamp="1697818451"&gt;97&lt;/key&gt;&lt;/foreign-keys&gt;&lt;ref-type name="Journal Article"&gt;17&lt;/ref-type&gt;&lt;contributors&gt;&lt;authors&gt;&lt;author&gt;Kroenke, Kurt&lt;/author&gt;&lt;author&gt;Spitzer, Robert L.&lt;/author&gt;&lt;author&gt;Williams, Janet B. W.&lt;/author&gt;&lt;/authors&gt;&lt;/contributors&gt;&lt;titles&gt;&lt;title&gt;The PHQ-9&lt;/title&gt;&lt;secondary-title&gt;Journal of General Internal Medicine&lt;/secondary-title&gt;&lt;/titles&gt;&lt;periodical&gt;&lt;full-title&gt;Journal of General Internal Medicine&lt;/full-title&gt;&lt;/periodical&gt;&lt;pages&gt;606-613&lt;/pages&gt;&lt;volume&gt;16&lt;/volume&gt;&lt;number&gt;9&lt;/number&gt;&lt;dates&gt;&lt;year&gt;2001&lt;/year&gt;&lt;pub-dates&gt;&lt;date&gt;2001/09/01&lt;/date&gt;&lt;/pub-dates&gt;&lt;/dates&gt;&lt;isbn&gt;1525-1497&lt;/isbn&gt;&lt;urls&gt;&lt;related-urls&gt;&lt;url&gt;https://doi.org/10.1046/j.1525-1497.2001.016009606.x&lt;/url&gt;&lt;/related-urls&gt;&lt;/urls&gt;&lt;electronic-resource-num&gt;10.1046/j.1525-1497.2001.016009606.x&lt;/electronic-resource-num&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[7]</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 xml:space="preserve">. </w:t>
      </w:r>
      <w:r w:rsidR="00B947F0" w:rsidRPr="00FF292D">
        <w:rPr>
          <w:rFonts w:ascii="Times New Roman" w:hAnsi="Times New Roman" w:cs="Times New Roman"/>
          <w:sz w:val="24"/>
          <w:szCs w:val="24"/>
        </w:rPr>
        <w:t xml:space="preserve">Psychosis disorder was measured by the validated Chinese version of the 7-item Psychosis Screener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&lt;EndNote&gt;&lt;Cite&gt;&lt;Author&gt;Degenhardt&lt;/Author&gt;&lt;Year&gt;2005&lt;/Year&gt;&lt;RecNum&gt;162&lt;/RecNum&gt;&lt;DisplayText&gt;[9]&lt;/DisplayText&gt;&lt;record&gt;&lt;rec-number&gt;162&lt;/rec-number&gt;&lt;foreign-keys&gt;&lt;key app="EN" db-id="vp52av05uasrpyefrtjpxdxnt2wspz0wedzt" timestamp="1707940391"&gt;162&lt;/key&gt;&lt;/foreign-keys&gt;&lt;ref-type name="Conference Proceedings"&gt;10&lt;/ref-type&gt;&lt;contributors&gt;&lt;authors&gt;&lt;author&gt;Degenhardt, Louisa&lt;/author&gt;&lt;author&gt;Hall, Wayne D.&lt;/author&gt;&lt;author&gt;Korten, Alexander A.&lt;/author&gt;&lt;author&gt;Jablensky, Assen&lt;/author&gt;&lt;/authors&gt;&lt;/contributors&gt;&lt;titles&gt;&lt;title&gt;Use of brief screening instrument for psychosis: results of a ROC analysis&lt;/title&gt;&lt;/titles&gt;&lt;dates&gt;&lt;year&gt;2005&lt;/year&gt;&lt;/dates&gt;&lt;urls&gt;&lt;/urls&gt;&lt;/record&gt;&lt;/Cite&gt;&lt;/EndNote&gt;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[9]</w:t>
      </w:r>
      <w:r w:rsidR="00E91A27" w:rsidRPr="00FF292D">
        <w:rPr>
          <w:rFonts w:ascii="Times New Roman" w:hAnsi="Times New Roman" w:cs="Times New Roman"/>
          <w:sz w:val="24"/>
          <w:szCs w:val="24"/>
        </w:rPr>
        <w:fldChar w:fldCharType="end"/>
      </w:r>
      <w:r w:rsidR="00B947F0" w:rsidRPr="00FF292D">
        <w:rPr>
          <w:rFonts w:ascii="Times New Roman" w:hAnsi="Times New Roman" w:cs="Times New Roman"/>
          <w:sz w:val="24"/>
          <w:szCs w:val="24"/>
        </w:rPr>
        <w:t xml:space="preserve"> which was adapted based on the core elements of the Composite International Diagnostic Interview (CIDI) Schizophrenia module. Anxiety symptoms were assessed on the seven-item Generalized Anxiety Disorder (GAD-7) with a cut-off score of 5 (Cronbach’s α = 0.92)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&lt;EndNote&gt;&lt;Cite&gt;&lt;Author&gt;Spitzer&lt;/Author&gt;&lt;Year&gt;2006&lt;/Year&gt;&lt;RecNum&gt;98&lt;/RecNum&gt;&lt;DisplayText&gt;[10]&lt;/DisplayText&gt;&lt;record&gt;&lt;rec-number&gt;98&lt;/rec-number&gt;&lt;foreign-keys&gt;&lt;key app="EN" db-id="vp52av05uasrpyefrtjpxdxnt2wspz0wedzt" timestamp="1697818549"&gt;98&lt;/key&gt;&lt;/foreign-keys&gt;&lt;ref-type name="Journal Article"&gt;17&lt;/ref-type&gt;&lt;contributors&gt;&lt;authors&gt;&lt;author&gt;Spitzer, Robert L.&lt;/author&gt;&lt;author&gt;Kroenke, Kurt&lt;/author&gt;&lt;author&gt;Williams, Janet B. W.&lt;/author&gt;&lt;author&gt;Löwe, Bernd&lt;/author&gt;&lt;/authors&gt;&lt;/contributors&gt;&lt;titles&gt;&lt;title&gt;A Brief Measure for Assessing Generalized Anxiety Disorder: The GAD-7&lt;/title&gt;&lt;secondary-title&gt;Archives of Internal Medicine&lt;/secondary-title&gt;&lt;/titles&gt;&lt;periodical&gt;&lt;full-title&gt;Archives of Internal Medicine&lt;/full-title&gt;&lt;/periodical&gt;&lt;pages&gt;1092-1097&lt;/pages&gt;&lt;volume&gt;166&lt;/volume&gt;&lt;number&gt;10&lt;/number&gt;&lt;dates&gt;&lt;year&gt;2006&lt;/year&gt;&lt;/dates&gt;&lt;isbn&gt;0003-9926&lt;/isbn&gt;&lt;urls&gt;&lt;related-urls&gt;&lt;url&gt;https://doi.org/10.1001/archinte.166.10.1092&lt;/url&gt;&lt;/related-urls&gt;&lt;/urls&gt;&lt;electronic-resource-num&gt;10.1001/archinte.166.10.1092&lt;/electronic-resource-num&gt;&lt;access-date&gt;10/20/2023&lt;/access-date&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[10]</w:t>
      </w:r>
      <w:r w:rsidR="00E91A27" w:rsidRPr="00FF292D">
        <w:rPr>
          <w:rFonts w:ascii="Times New Roman" w:hAnsi="Times New Roman" w:cs="Times New Roman"/>
          <w:sz w:val="24"/>
          <w:szCs w:val="24"/>
        </w:rPr>
        <w:fldChar w:fldCharType="end"/>
      </w:r>
      <w:r w:rsidR="00B947F0" w:rsidRPr="00FF292D">
        <w:rPr>
          <w:rFonts w:ascii="Times New Roman" w:hAnsi="Times New Roman" w:cs="Times New Roman"/>
          <w:sz w:val="24"/>
          <w:szCs w:val="24"/>
        </w:rPr>
        <w:t xml:space="preserve">. The Chinese version of GAD-7 has been validated in adolescent and young adult sample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&lt;EndNote&gt;&lt;Cite&gt;&lt;Author&gt;Ip&lt;/Author&gt;&lt;Year&gt;2022&lt;/Year&gt;&lt;RecNum&gt;158&lt;/RecNum&gt;&lt;DisplayText&gt;[11]&lt;/DisplayText&gt;&lt;record&gt;&lt;rec-number&gt;158&lt;/rec-number&gt;&lt;foreign-keys&gt;&lt;key app="EN" db-id="vp52av05uasrpyefrtjpxdxnt2wspz0wedzt" timestamp="1707940079"&gt;158&lt;/key&gt;&lt;/foreign-keys&gt;&lt;ref-type name="Journal Article"&gt;17&lt;/ref-type&gt;&lt;contributors&gt;&lt;authors&gt;&lt;author&gt;Ip, Hang&lt;/author&gt;&lt;author&gt;Suen, Yi Nam&lt;/author&gt;&lt;author&gt;Hui, Christy Lai Ming&lt;/author&gt;&lt;author&gt;Wong, Stephanie Ming Yin&lt;/author&gt;&lt;author&gt;Chan, Sherry Kit Wa&lt;/author&gt;&lt;author&gt;Lee, Edwin Ho Ming&lt;/author&gt;&lt;author&gt;Wong, Michael Tak Hing&lt;/author&gt;&lt;author&gt;Chen, Eric Yu Hai&lt;/author&gt;&lt;/authors&gt;&lt;/contributors&gt;&lt;titles&gt;&lt;title&gt;Assessing anxiety among adolescents in Hong Kong: psychometric properties and validity of the Generalised Anxiety Disorder-7 (GAD-7) in an epidemiological community sample&lt;/title&gt;&lt;secondary-title&gt;BMC Psychiatry&lt;/secondary-title&gt;&lt;/titles&gt;&lt;periodical&gt;&lt;full-title&gt;BMC Psychiatry&lt;/full-title&gt;&lt;/periodical&gt;&lt;pages&gt;703&lt;/pages&gt;&lt;volume&gt;22&lt;/volume&gt;&lt;number&gt;1&lt;/number&gt;&lt;dates&gt;&lt;year&gt;2022&lt;/year&gt;&lt;pub-dates&gt;&lt;date&gt;2022/11/14&lt;/date&gt;&lt;/pub-dates&gt;&lt;/dates&gt;&lt;isbn&gt;1471-244X&lt;/isbn&gt;&lt;urls&gt;&lt;related-urls&gt;&lt;url&gt;https://doi.org/10.1186/s12888-022-04329-9&lt;/url&gt;&lt;/related-urls&gt;&lt;/urls&gt;&lt;electronic-resource-num&gt;10.1186/s12888-022-04329-9&lt;/electronic-resource-num&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[11]</w:t>
      </w:r>
      <w:r w:rsidR="00E91A27" w:rsidRPr="00FF292D">
        <w:rPr>
          <w:rFonts w:ascii="Times New Roman" w:hAnsi="Times New Roman" w:cs="Times New Roman"/>
          <w:sz w:val="24"/>
          <w:szCs w:val="24"/>
        </w:rPr>
        <w:fldChar w:fldCharType="end"/>
      </w:r>
      <w:r w:rsidR="00B947F0" w:rsidRPr="00FF292D">
        <w:rPr>
          <w:rFonts w:ascii="Times New Roman" w:hAnsi="Times New Roman" w:cs="Times New Roman"/>
          <w:sz w:val="24"/>
          <w:szCs w:val="24"/>
        </w:rPr>
        <w:t xml:space="preserve">. Obsessive-compulsive disorder (OCD) was measured by the Dimensional Obsessive-Compulsive Scale-Short Form (DOCS-SF) </w:t>
      </w:r>
      <w:r w:rsidR="00B947F0" w:rsidRPr="00FF292D">
        <w:rPr>
          <w:rFonts w:ascii="Times New Roman" w:hAnsi="Times New Roman" w:cs="Times New Roman"/>
          <w:sz w:val="24"/>
          <w:szCs w:val="24"/>
        </w:rPr>
        <w:lastRenderedPageBreak/>
        <w:t xml:space="preserve">(Cronbach’s α = 0.94)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&lt;EndNote&gt;&lt;Cite&gt;&lt;Author&gt;Eilertsen&lt;/Author&gt;&lt;Year&gt;2017&lt;/Year&gt;&lt;RecNum&gt;99&lt;/RecNum&gt;&lt;DisplayText&gt;[12]&lt;/DisplayText&gt;&lt;record&gt;&lt;rec-number&gt;99&lt;/rec-number&gt;&lt;foreign-keys&gt;&lt;key app="EN" db-id="vp52av05uasrpyefrtjpxdxnt2wspz0wedzt" timestamp="1697818696"&gt;99&lt;/key&gt;&lt;/foreign-keys&gt;&lt;ref-type name="Journal Article"&gt;17&lt;/ref-type&gt;&lt;contributors&gt;&lt;authors&gt;&lt;author&gt;Eilertsen,Thomas&lt;/author&gt;&lt;author&gt;Hansen,Bjarne&lt;/author&gt;&lt;author&gt;Kvale,Gerd&lt;/author&gt;&lt;author&gt;Abramowitz,Jonathan S.&lt;/author&gt;&lt;author&gt;Holm,Silje E. H.&lt;/author&gt;&lt;author&gt;Solem,Stian&lt;/author&gt;&lt;/authors&gt;&lt;/contributors&gt;&lt;auth-address&gt;Thomas Eilertsen,OCD-Team, Haukeland University Hospital,Bergen, Norway,Thomas.eilertsen@outlook.com&amp;#xD;Thomas Eilertsen,Department of Clinical Psychology, University of Bergen,Bergen, Norway,Thomas.eilertsen@outlook.com&lt;/auth-address&gt;&lt;titles&gt;&lt;title&gt;The Dimensional Obsessive-Compulsive Scale: Development and Validation of a Short Form (DOCS-SF)&lt;/title&gt;&lt;secondary-title&gt;Frontiers in Psychology&lt;/secondary-title&gt;&lt;short-title&gt;Brief obsessive-compulsive disorder symptom assessment&lt;/short-title&gt;&lt;/titles&gt;&lt;periodical&gt;&lt;full-title&gt;Frontiers in Psychology&lt;/full-title&gt;&lt;/periodical&gt;&lt;volume&gt;8&lt;/volume&gt;&lt;keywords&gt;&lt;keyword&gt;psychometric properties,Obsessive-Compulsive Disorder,Brief questionnaire,evidence-based assessment,dimensional obsessive-compulsive scale short-form&lt;/keyword&gt;&lt;/keywords&gt;&lt;dates&gt;&lt;year&gt;2017&lt;/year&gt;&lt;pub-dates&gt;&lt;date&gt;2017-September-05&lt;/date&gt;&lt;/pub-dates&gt;&lt;/dates&gt;&lt;isbn&gt;1664-1078&lt;/isbn&gt;&lt;work-type&gt;Original Research&lt;/work-type&gt;&lt;urls&gt;&lt;related-urls&gt;&lt;url&gt;https://www.frontiersin.org/articles/10.3389/fpsyg.2017.01503&lt;/url&gt;&lt;/related-urls&gt;&lt;/urls&gt;&lt;electronic-resource-num&gt;10.3389/fpsyg.2017.01503&lt;/electronic-resource-num&gt;&lt;language&gt;English&lt;/language&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[12]</w:t>
      </w:r>
      <w:r w:rsidR="00E91A27" w:rsidRPr="00FF292D">
        <w:rPr>
          <w:rFonts w:ascii="Times New Roman" w:hAnsi="Times New Roman" w:cs="Times New Roman"/>
          <w:sz w:val="24"/>
          <w:szCs w:val="24"/>
        </w:rPr>
        <w:fldChar w:fldCharType="end"/>
      </w:r>
      <w:r w:rsidR="00B947F0" w:rsidRPr="00FF292D">
        <w:rPr>
          <w:rFonts w:ascii="Times New Roman" w:hAnsi="Times New Roman" w:cs="Times New Roman"/>
          <w:sz w:val="24"/>
          <w:szCs w:val="24"/>
        </w:rPr>
        <w:t xml:space="preserve">. The Chinese version of this scale has been applied in Chinese cohort. The post-traumatic stress disorder (PTSD) symptoms of participants were assessed by the Trauma Screening Questionnaire (TSQ)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&lt;EndNote&gt;&lt;Cite&gt;&lt;Author&gt;Brewin&lt;/Author&gt;&lt;Year&gt;2002&lt;/Year&gt;&lt;RecNum&gt;138&lt;/RecNum&gt;&lt;DisplayText&gt;[13]&lt;/DisplayText&gt;&lt;record&gt;&lt;rec-number&gt;138&lt;/rec-number&gt;&lt;foreign-keys&gt;&lt;key app="EN" db-id="vp52av05uasrpyefrtjpxdxnt2wspz0wedzt" timestamp="1698386709"&gt;138&lt;/key&gt;&lt;/foreign-keys&gt;&lt;ref-type name="Journal Article"&gt;17&lt;/ref-type&gt;&lt;contributors&gt;&lt;authors&gt;&lt;author&gt;Brewin, Chris R.&lt;/author&gt;&lt;author&gt;Rose, Suzanna&lt;/author&gt;&lt;author&gt;Andrews, Bernice&lt;/author&gt;&lt;author&gt;Green, John&lt;/author&gt;&lt;author&gt;Tata, Philip&lt;/author&gt;&lt;author&gt;McEvedy, Chris&lt;/author&gt;&lt;author&gt;Turner, Stuart&lt;/author&gt;&lt;author&gt;Foa, Edna B.&lt;/author&gt;&lt;/authors&gt;&lt;/contributors&gt;&lt;titles&gt;&lt;title&gt;Brief screening instrument for post-traumatic stress disorder&lt;/title&gt;&lt;secondary-title&gt;The British Journal of Psychiatry&lt;/secondary-title&gt;&lt;/titles&gt;&lt;periodical&gt;&lt;full-title&gt;The British Journal of Psychiatry&lt;/full-title&gt;&lt;/periodical&gt;&lt;pages&gt;158-162&lt;/pages&gt;&lt;volume&gt;181&lt;/volume&gt;&lt;number&gt;2&lt;/number&gt;&lt;edition&gt;2018/01/02&lt;/edition&gt;&lt;dates&gt;&lt;year&gt;2002&lt;/year&gt;&lt;/dates&gt;&lt;publisher&gt;Cambridge University Press&lt;/publisher&gt;&lt;isbn&gt;0007-1250&lt;/isbn&gt;&lt;urls&gt;&lt;related-urls&gt;&lt;url&gt;https://www.cambridge.org/core/article/brief-screening-instrument-for-posttraumatic-stress-disorder/8FE873195DE100DD13A3F4370E5BB266&lt;/url&gt;&lt;/related-urls&gt;&lt;/urls&gt;&lt;electronic-resource-num&gt;10.1192/bjp.181.2.158&lt;/electronic-resource-num&gt;&lt;remote-database-name&gt;Cambridge Core&lt;/remote-database-name&gt;&lt;remote-database-provider&gt;Cambridge University Press&lt;/remote-database-provider&gt;&lt;/record&gt;&lt;/Cite&gt;&lt;/EndNote&gt;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[13]</w:t>
      </w:r>
      <w:r w:rsidR="00E91A27" w:rsidRPr="00FF292D">
        <w:rPr>
          <w:rFonts w:ascii="Times New Roman" w:hAnsi="Times New Roman" w:cs="Times New Roman"/>
          <w:sz w:val="24"/>
          <w:szCs w:val="24"/>
        </w:rPr>
        <w:fldChar w:fldCharType="end"/>
      </w:r>
      <w:r w:rsidR="00B947F0" w:rsidRPr="00FF292D">
        <w:rPr>
          <w:rFonts w:ascii="Times New Roman" w:hAnsi="Times New Roman" w:cs="Times New Roman"/>
          <w:sz w:val="24"/>
          <w:szCs w:val="24"/>
        </w:rPr>
        <w:t xml:space="preserve">. The Chinese version of TSQ has been applied in previous research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&lt;EndNote&gt;&lt;Cite&gt;&lt;Author&gt;So&lt;/Author&gt;&lt;Year&gt;2023&lt;/Year&gt;&lt;RecNum&gt;160&lt;/RecNum&gt;&lt;DisplayText&gt;[14]&lt;/DisplayText&gt;&lt;record&gt;&lt;rec-number&gt;160&lt;/rec-number&gt;&lt;foreign-keys&gt;&lt;key app="EN" db-id="vp52av05uasrpyefrtjpxdxnt2wspz0wedzt" timestamp="1707940310"&gt;160&lt;/key&gt;&lt;/foreign-keys&gt;&lt;ref-type name="Journal Article"&gt;17&lt;/ref-type&gt;&lt;contributors&gt;&lt;authors&gt;&lt;author&gt;So, Melody Miriam&lt;/author&gt;&lt;author&gt;Suen, Yi Nam&lt;/author&gt;&lt;author&gt;Wong, Stephanie Ming Yin&lt;/author&gt;&lt;author&gt;Cheung, Charlton&lt;/author&gt;&lt;author&gt;Chan, Sherry Kit Wa&lt;/author&gt;&lt;author&gt;Lee, Edwin Ho Ming&lt;/author&gt;&lt;author&gt;Hui, Christy Lai Ming&lt;/author&gt;&lt;author&gt;Chen, Eric Yu Hai&lt;/author&gt;&lt;/authors&gt;&lt;/contributors&gt;&lt;titles&gt;&lt;title&gt;Resilient, undercontrolled, and overcontrolled personality types in Hong Kong youths and the association with mental health outcomes&lt;/title&gt;&lt;secondary-title&gt;Journal of Personality&lt;/secondary-title&gt;&lt;/titles&gt;&lt;periodical&gt;&lt;full-title&gt;Journal of Personality&lt;/full-title&gt;&lt;/periodical&gt;&lt;volume&gt;n/a&lt;/volume&gt;&lt;number&gt;n/a&lt;/number&gt;&lt;keywords&gt;&lt;keyword&gt;Big Five&lt;/keyword&gt;&lt;keyword&gt;overcontrolled&lt;/keyword&gt;&lt;keyword&gt;personality&lt;/keyword&gt;&lt;keyword&gt;resilient&lt;/keyword&gt;&lt;keyword&gt;undercontrolled&lt;/keyword&gt;&lt;keyword&gt;youth mental health&lt;/keyword&gt;&lt;/keywords&gt;&lt;dates&gt;&lt;year&gt;2023&lt;/year&gt;&lt;pub-dates&gt;&lt;date&gt;2023/09/18&lt;/date&gt;&lt;/pub-dates&gt;&lt;/dates&gt;&lt;publisher&gt;John Wiley &amp;amp; Sons, Ltd&lt;/publisher&gt;&lt;isbn&gt;0022-3506&lt;/isbn&gt;&lt;urls&gt;&lt;related-urls&gt;&lt;url&gt;10.1111/jopy.12884&lt;/url&gt;&lt;/related-urls&gt;&lt;/urls&gt;&lt;electronic-resource-num&gt;https://doi.org/10.1111/jopy.12884&lt;/electronic-resource-num&gt;&lt;access-date&gt;2024/02/14&lt;/access-date&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[14]</w:t>
      </w:r>
      <w:r w:rsidR="00E91A27" w:rsidRPr="00FF292D">
        <w:rPr>
          <w:rFonts w:ascii="Times New Roman" w:hAnsi="Times New Roman" w:cs="Times New Roman"/>
          <w:sz w:val="24"/>
          <w:szCs w:val="24"/>
        </w:rPr>
        <w:fldChar w:fldCharType="end"/>
      </w:r>
      <w:r w:rsidR="00B947F0" w:rsidRPr="00FF292D">
        <w:rPr>
          <w:rFonts w:ascii="Times New Roman" w:hAnsi="Times New Roman" w:cs="Times New Roman"/>
          <w:sz w:val="24"/>
          <w:szCs w:val="24"/>
        </w:rPr>
        <w:t>.</w:t>
      </w:r>
      <w:r w:rsidR="00970B4A" w:rsidRPr="00FF292D">
        <w:rPr>
          <w:rFonts w:ascii="Times New Roman" w:hAnsi="Times New Roman" w:cs="Times New Roman"/>
          <w:sz w:val="24"/>
          <w:szCs w:val="24"/>
        </w:rPr>
        <w:t xml:space="preserve"> The eating disorder was measured by the Sick, Control, One, Fat, Food questionnaire (SCOFF)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&lt;EndNote&gt;&lt;Cite&gt;&lt;Author&gt;Morgan&lt;/Author&gt;&lt;Year&gt;1999&lt;/Year&gt;&lt;RecNum&gt;102&lt;/RecNum&gt;&lt;DisplayText&gt;[15]&lt;/DisplayText&gt;&lt;record&gt;&lt;rec-number&gt;102&lt;/rec-number&gt;&lt;foreign-keys&gt;&lt;key app="EN" db-id="vp52av05uasrpyefrtjpxdxnt2wspz0wedzt" timestamp="1697818951"&gt;102&lt;/key&gt;&lt;/foreign-keys&gt;&lt;ref-type name="Journal Article"&gt;17&lt;/ref-type&gt;&lt;contributors&gt;&lt;authors&gt;&lt;author&gt;Morgan, J. F.&lt;/author&gt;&lt;author&gt;Reid, F.&lt;/author&gt;&lt;author&gt;Lacey, J. H.&lt;/author&gt;&lt;/authors&gt;&lt;/contributors&gt;&lt;auth-address&gt;Department of Psychiatry, St George&amp;apos;s Hospital Medical School, London SW17 0RE. jmorgan@sghms.ac.uk&lt;/auth-address&gt;&lt;titles&gt;&lt;title&gt;The SCOFF questionnaire: assessment of a new screening tool for eating disorders&lt;/title&gt;&lt;secondary-title&gt;Bmj&lt;/secondary-title&gt;&lt;/titles&gt;&lt;periodical&gt;&lt;full-title&gt;BMJ&lt;/full-title&gt;&lt;/periodical&gt;&lt;pages&gt;1467-8&lt;/pages&gt;&lt;volume&gt;319&lt;/volume&gt;&lt;number&gt;7223&lt;/number&gt;&lt;keywords&gt;&lt;keyword&gt;Adolescent&lt;/keyword&gt;&lt;keyword&gt;Adult&lt;/keyword&gt;&lt;keyword&gt;Anorexia Nervosa/prevention &amp;amp; control&lt;/keyword&gt;&lt;keyword&gt;Bulimia/prevention &amp;amp; control&lt;/keyword&gt;&lt;keyword&gt;Feeding and Eating Disorders/*prevention &amp;amp; control&lt;/keyword&gt;&lt;keyword&gt;Female&lt;/keyword&gt;&lt;keyword&gt;Humans&lt;/keyword&gt;&lt;keyword&gt;Mass Screening/*methods&lt;/keyword&gt;&lt;keyword&gt;*Surveys and Questionnaires&lt;/keyword&gt;&lt;/keywords&gt;&lt;dates&gt;&lt;year&gt;1999&lt;/year&gt;&lt;pub-dates&gt;&lt;date&gt;Dec 4&lt;/date&gt;&lt;/pub-dates&gt;&lt;/dates&gt;&lt;isbn&gt;0959-8138 (Print)&amp;#xD;0959-8138&lt;/isbn&gt;&lt;accession-num&gt;10582927&lt;/accession-num&gt;&lt;urls&gt;&lt;/urls&gt;&lt;custom2&gt;PMC28290&lt;/custom2&gt;&lt;electronic-resource-num&gt;10.1136/bmj.319.7223.1467&lt;/electronic-resource-num&gt;&lt;remote-database-provider&gt;NLM&lt;/remote-database-provider&gt;&lt;language&gt;eng&lt;/language&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[15]</w:t>
      </w:r>
      <w:r w:rsidR="00E91A27" w:rsidRPr="00FF292D">
        <w:rPr>
          <w:rFonts w:ascii="Times New Roman" w:hAnsi="Times New Roman" w:cs="Times New Roman"/>
          <w:sz w:val="24"/>
          <w:szCs w:val="24"/>
        </w:rPr>
        <w:fldChar w:fldCharType="end"/>
      </w:r>
      <w:r w:rsidR="00970B4A" w:rsidRPr="00FF292D">
        <w:rPr>
          <w:rFonts w:ascii="Times New Roman" w:hAnsi="Times New Roman" w:cs="Times New Roman"/>
          <w:sz w:val="24"/>
          <w:szCs w:val="24"/>
        </w:rPr>
        <w:t xml:space="preserve">. The Chinese version of SCOFF questionnaire have acceptable reliability and validity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&lt;EndNote&gt;&lt;Cite&gt;&lt;Author&gt;Leung&lt;/Author&gt;&lt;Year&gt;2009&lt;/Year&gt;&lt;RecNum&gt;159&lt;/RecNum&gt;&lt;DisplayText&gt;[16]&lt;/DisplayText&gt;&lt;record&gt;&lt;rec-number&gt;159&lt;/rec-number&gt;&lt;foreign-keys&gt;&lt;key app="EN" db-id="vp52av05uasrpyefrtjpxdxnt2wspz0wedzt" timestamp="1707940266"&gt;159&lt;/key&gt;&lt;/foreign-keys&gt;&lt;ref-type name="Journal Article"&gt;17&lt;/ref-type&gt;&lt;contributors&gt;&lt;authors&gt;&lt;author&gt;Leung, Sau Fong&lt;/author&gt;&lt;author&gt;Lee, Ka Li&lt;/author&gt;&lt;author&gt;Lee, Sze Man&lt;/author&gt;&lt;author&gt;Leung, Sik Chi&lt;/author&gt;&lt;author&gt;Hung, Wing Sze&lt;/author&gt;&lt;author&gt;Lee, Wai Leng&lt;/author&gt;&lt;author&gt;Leung, Yuen Yee&lt;/author&gt;&lt;author&gt;Li, Man Wai&lt;/author&gt;&lt;author&gt;Tse, Tak Kin&lt;/author&gt;&lt;author&gt;Wong, Hoi Kei&lt;/author&gt;&lt;author&gt;Wong, Yuen Ni&lt;/author&gt;&lt;/authors&gt;&lt;/contributors&gt;&lt;titles&gt;&lt;title&gt;Psychometric properties of the SCOFF questionnaire (Chinese version) for screening eating disorders in Hong Kong secondary school students: A cross-sectional study&lt;/title&gt;&lt;secondary-title&gt;International Journal of Nursing Studies&lt;/secondary-title&gt;&lt;/titles&gt;&lt;periodical&gt;&lt;full-title&gt;International Journal of Nursing Studies&lt;/full-title&gt;&lt;/periodical&gt;&lt;pages&gt;239-247&lt;/pages&gt;&lt;volume&gt;46&lt;/volume&gt;&lt;number&gt;2&lt;/number&gt;&lt;keywords&gt;&lt;keyword&gt;Eating disorders&lt;/keyword&gt;&lt;keyword&gt;Assessment&lt;/keyword&gt;&lt;keyword&gt;Screening tool&lt;/keyword&gt;&lt;/keywords&gt;&lt;dates&gt;&lt;year&gt;2009&lt;/year&gt;&lt;pub-dates&gt;&lt;date&gt;2009/02/01/&lt;/date&gt;&lt;/pub-dates&gt;&lt;/dates&gt;&lt;isbn&gt;0020-7489&lt;/isbn&gt;&lt;urls&gt;&lt;related-urls&gt;&lt;url&gt;https://www.sciencedirect.com/science/article/pii/S0020748908002447&lt;/url&gt;&lt;/related-urls&gt;&lt;/urls&gt;&lt;electronic-resource-num&gt;10.1016/j.ijnurstu.2008.09.004&lt;/electronic-resource-num&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[16]</w:t>
      </w:r>
      <w:r w:rsidR="00E91A27" w:rsidRPr="00FF292D">
        <w:rPr>
          <w:rFonts w:ascii="Times New Roman" w:hAnsi="Times New Roman" w:cs="Times New Roman"/>
          <w:sz w:val="24"/>
          <w:szCs w:val="24"/>
        </w:rPr>
        <w:fldChar w:fldCharType="end"/>
      </w:r>
      <w:r w:rsidR="00970B4A" w:rsidRPr="00FF292D">
        <w:rPr>
          <w:rFonts w:ascii="Times New Roman" w:hAnsi="Times New Roman" w:cs="Times New Roman"/>
          <w:sz w:val="24"/>
          <w:szCs w:val="24"/>
        </w:rPr>
        <w:t xml:space="preserve">. Autism was assessed with the 10-item Short Autism Spectrum Quotient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&lt;EndNote&gt;&lt;Cite&gt;&lt;Author&gt;Allison&lt;/Author&gt;&lt;Year&gt;2012&lt;/Year&gt;&lt;RecNum&gt;163&lt;/RecNum&gt;&lt;DisplayText&gt;[17]&lt;/DisplayText&gt;&lt;record&gt;&lt;rec-number&gt;163&lt;/rec-number&gt;&lt;foreign-keys&gt;&lt;key app="EN" db-id="vp52av05uasrpyefrtjpxdxnt2wspz0wedzt" timestamp="1707940467"&gt;163&lt;/key&gt;&lt;/foreign-keys&gt;&lt;ref-type name="Journal Article"&gt;17&lt;/ref-type&gt;&lt;contributors&gt;&lt;authors&gt;&lt;author&gt;Allison, Carrie&lt;/author&gt;&lt;author&gt;Auyeung, Bonnie&lt;/author&gt;&lt;author&gt;Baron-Cohen, Simon&lt;/author&gt;&lt;/authors&gt;&lt;/contributors&gt;&lt;titles&gt;&lt;title&gt;Toward Brief “Red Flags” for Autism Screening: The Short Autism Spectrum Quotient and the Short Quantitative Checklist in 1,000 Cases and 3,000 Controls&lt;/title&gt;&lt;secondary-title&gt;Journal of the American Academy of Child &amp;amp; Adolescent Psychiatry&lt;/secondary-title&gt;&lt;/titles&gt;&lt;periodical&gt;&lt;full-title&gt;Journal of the American Academy of Child &amp;amp; Adolescent Psychiatry&lt;/full-title&gt;&lt;/periodical&gt;&lt;pages&gt;202-212.e7&lt;/pages&gt;&lt;volume&gt;51&lt;/volume&gt;&lt;number&gt;2&lt;/number&gt;&lt;keywords&gt;&lt;keyword&gt;autism spectrum conditions&lt;/keyword&gt;&lt;keyword&gt;red flags&lt;/keyword&gt;&lt;keyword&gt;referral&lt;/keyword&gt;&lt;keyword&gt;screening&lt;/keyword&gt;&lt;keyword&gt;questionnaires&lt;/keyword&gt;&lt;/keywords&gt;&lt;dates&gt;&lt;year&gt;2012&lt;/year&gt;&lt;pub-dates&gt;&lt;date&gt;2012/02/01/&lt;/date&gt;&lt;/pub-dates&gt;&lt;/dates&gt;&lt;isbn&gt;0890-8567&lt;/isbn&gt;&lt;urls&gt;&lt;related-urls&gt;&lt;url&gt;https://www.sciencedirect.com/science/article/pii/S0890856711010331&lt;/url&gt;&lt;/related-urls&gt;&lt;/urls&gt;&lt;electronic-resource-num&gt;10.1016/j.jaac.2011.11.003&lt;/electronic-resource-num&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[17]</w:t>
      </w:r>
      <w:r w:rsidR="00E91A27" w:rsidRPr="00FF292D">
        <w:rPr>
          <w:rFonts w:ascii="Times New Roman" w:hAnsi="Times New Roman" w:cs="Times New Roman"/>
          <w:sz w:val="24"/>
          <w:szCs w:val="24"/>
        </w:rPr>
        <w:fldChar w:fldCharType="end"/>
      </w:r>
      <w:r w:rsidR="00970B4A" w:rsidRPr="00FF292D">
        <w:rPr>
          <w:rFonts w:ascii="Times New Roman" w:hAnsi="Times New Roman" w:cs="Times New Roman"/>
          <w:sz w:val="24"/>
          <w:szCs w:val="24"/>
        </w:rPr>
        <w:t xml:space="preserve">. The Chinese version of AQ-10 showed good predictive validity (AUC = 0.99)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&lt;EndNote&gt;&lt;Cite&gt;&lt;Author&gt;Leung&lt;/Author&gt;&lt;Year&gt;2015&lt;/Year&gt;&lt;RecNum&gt;164&lt;/RecNum&gt;&lt;DisplayText&gt;[18]&lt;/DisplayText&gt;&lt;record&gt;&lt;rec-number&gt;164&lt;/rec-number&gt;&lt;foreign-keys&gt;&lt;key app="EN" db-id="vp52av05uasrpyefrtjpxdxnt2wspz0wedzt" timestamp="1707940515"&gt;164&lt;/key&gt;&lt;/foreign-keys&gt;&lt;ref-type name="Thesis"&gt;32&lt;/ref-type&gt;&lt;contributors&gt;&lt;authors&gt;&lt;author&gt;Leung,&lt;/author&gt;&lt;/authors&gt;&lt;/contributors&gt;&lt;titles&gt;&lt;title&gt;The Construction and Validation of Short-Form, Chinese Autism Spectrum Quotient (Chinese-AQ-10)&lt;/title&gt;&lt;/titles&gt;&lt;keywords&gt;&lt;keyword&gt;/unread&lt;/keyword&gt;&lt;/keywords&gt;&lt;dates&gt;&lt;year&gt;2015&lt;/year&gt;&lt;pub-dates&gt;&lt;date&gt;2015&lt;/date&gt;&lt;/pub-dates&gt;&lt;/dates&gt;&lt;pub-location&gt;Hong Kong&lt;/pub-location&gt;&lt;publisher&gt;Department of Psychology, The Chinese University of Hong Kong&lt;/publisher&gt;&lt;urls&gt;&lt;/urls&gt;&lt;/record&gt;&lt;/Cite&gt;&lt;/EndNote&gt;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[18]</w:t>
      </w:r>
      <w:r w:rsidR="00E91A27" w:rsidRPr="00FF292D">
        <w:rPr>
          <w:rFonts w:ascii="Times New Roman" w:hAnsi="Times New Roman" w:cs="Times New Roman"/>
          <w:sz w:val="24"/>
          <w:szCs w:val="24"/>
        </w:rPr>
        <w:fldChar w:fldCharType="end"/>
      </w:r>
      <w:r w:rsidR="00970B4A" w:rsidRPr="00FF292D">
        <w:rPr>
          <w:rFonts w:ascii="Times New Roman" w:hAnsi="Times New Roman" w:cs="Times New Roman"/>
          <w:sz w:val="24"/>
          <w:szCs w:val="24"/>
        </w:rPr>
        <w:t xml:space="preserve">. Attention deficit or hyperactivity disorder (ADHD) was assess with the World Health Organization Adult ADHD Self-Report Scale (ASRS-5)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&lt;EndNote&gt;&lt;Cite&gt;&lt;Author&gt;Ustun&lt;/Author&gt;&lt;Year&gt;2017&lt;/Year&gt;&lt;RecNum&gt;103&lt;/RecNum&gt;&lt;DisplayText&gt;[19]&lt;/DisplayText&gt;&lt;record&gt;&lt;rec-number&gt;103&lt;/rec-number&gt;&lt;foreign-keys&gt;&lt;key app="EN" db-id="vp52av05uasrpyefrtjpxdxnt2wspz0wedzt" timestamp="1697819074"&gt;103&lt;/key&gt;&lt;/foreign-keys&gt;&lt;ref-type name="Journal Article"&gt;17&lt;/ref-type&gt;&lt;contributors&gt;&lt;authors&gt;&lt;author&gt;Ustun, Berk&lt;/author&gt;&lt;author&gt;Adler, Lenard A.&lt;/author&gt;&lt;author&gt;Rudin, Cynthia&lt;/author&gt;&lt;author&gt;Faraone, Stephen V.&lt;/author&gt;&lt;author&gt;Spencer, Thomas J.&lt;/author&gt;&lt;author&gt;Berglund, Patricia&lt;/author&gt;&lt;author&gt;Gruber, Michael J.&lt;/author&gt;&lt;author&gt;Kessler, Ronald C.&lt;/author&gt;&lt;/authors&gt;&lt;/contributors&gt;&lt;titles&gt;&lt;title&gt;The World Health Organization Adult Attention-Deficit/Hyperactivity Disorder Self-Report Screening Scale for DSM-5&lt;/title&gt;&lt;secondary-title&gt;JAMA Psychiatry&lt;/secondary-title&gt;&lt;/titles&gt;&lt;periodical&gt;&lt;full-title&gt;JAMA Psychiatry&lt;/full-title&gt;&lt;/periodical&gt;&lt;pages&gt;520-526&lt;/pages&gt;&lt;volume&gt;74&lt;/volume&gt;&lt;number&gt;5&lt;/number&gt;&lt;dates&gt;&lt;year&gt;2017&lt;/year&gt;&lt;/dates&gt;&lt;isbn&gt;2168-622X&lt;/isbn&gt;&lt;urls&gt;&lt;related-urls&gt;&lt;url&gt;https://doi.org/10.1001/jamapsychiatry.2017.0298&lt;/url&gt;&lt;/related-urls&gt;&lt;/urls&gt;&lt;electronic-resource-num&gt;10.1001/jamapsychiatry.2017.0298&lt;/electronic-resource-num&gt;&lt;access-date&gt;10/20/2023&lt;/access-date&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[19]</w:t>
      </w:r>
      <w:r w:rsidR="00E91A27" w:rsidRPr="00FF292D">
        <w:rPr>
          <w:rFonts w:ascii="Times New Roman" w:hAnsi="Times New Roman" w:cs="Times New Roman"/>
          <w:sz w:val="24"/>
          <w:szCs w:val="24"/>
        </w:rPr>
        <w:fldChar w:fldCharType="end"/>
      </w:r>
      <w:r w:rsidR="00970B4A" w:rsidRPr="00FF292D">
        <w:rPr>
          <w:rFonts w:ascii="Times New Roman" w:hAnsi="Times New Roman" w:cs="Times New Roman"/>
          <w:sz w:val="24"/>
          <w:szCs w:val="24"/>
        </w:rPr>
        <w:t xml:space="preserve"> (Cronbach’s α = 0.80)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&lt;EndNote&gt;&lt;Cite&gt;&lt;Author&gt;Green&lt;/Author&gt;&lt;Year&gt;2019&lt;/Year&gt;&lt;RecNum&gt;139&lt;/RecNum&gt;&lt;DisplayText&gt;[20]&lt;/DisplayText&gt;&lt;record&gt;&lt;rec-number&gt;139&lt;/rec-number&gt;&lt;foreign-keys&gt;&lt;key app="EN" db-id="vp52av05uasrpyefrtjpxdxnt2wspz0wedzt" timestamp="1698388677"&gt;139&lt;/key&gt;&lt;/foreign-keys&gt;&lt;ref-type name="Journal Article"&gt;17&lt;/ref-type&gt;&lt;contributors&gt;&lt;authors&gt;&lt;author&gt;Green, Jennifer Greif&lt;/author&gt;&lt;author&gt;DeYoung, Gerrit&lt;/author&gt;&lt;author&gt;Wogan, Mary Ellen&lt;/author&gt;&lt;author&gt;Wolf, Erika J.&lt;/author&gt;&lt;author&gt;Lane, Kathleen Lynne&lt;/author&gt;&lt;author&gt;Adler, Lenard A.&lt;/author&gt;&lt;/authors&gt;&lt;/contributors&gt;&lt;titles&gt;&lt;title&gt;Evidence for the reliability and preliminary validity of the Adult ADHD Self-Report Scale v1.1 (ASRS v1.1) Screener in an adolescent community sample&lt;/title&gt;&lt;secondary-title&gt;International Journal of Methods in Psychiatric Research&lt;/secondary-title&gt;&lt;/titles&gt;&lt;periodical&gt;&lt;full-title&gt;International Journal of Methods in Psychiatric Research&lt;/full-title&gt;&lt;/periodical&gt;&lt;pages&gt;e1751&lt;/pages&gt;&lt;volume&gt;28&lt;/volume&gt;&lt;number&gt;1&lt;/number&gt;&lt;dates&gt;&lt;year&gt;2019&lt;/year&gt;&lt;/dates&gt;&lt;isbn&gt;1049-8931&lt;/isbn&gt;&lt;urls&gt;&lt;related-urls&gt;&lt;url&gt;https://onlinelibrary.wiley.com/doi/abs/10.1002/mpr.1751&lt;/url&gt;&lt;/related-urls&gt;&lt;/urls&gt;&lt;electronic-resource-num&gt;10.1002/mpr.1751&lt;/electronic-resource-num&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[20]</w:t>
      </w:r>
      <w:r w:rsidR="00E91A27" w:rsidRPr="00FF292D">
        <w:rPr>
          <w:rFonts w:ascii="Times New Roman" w:hAnsi="Times New Roman" w:cs="Times New Roman"/>
          <w:sz w:val="24"/>
          <w:szCs w:val="24"/>
        </w:rPr>
        <w:fldChar w:fldCharType="end"/>
      </w:r>
      <w:r w:rsidR="00970B4A" w:rsidRPr="00FF292D">
        <w:rPr>
          <w:rFonts w:ascii="Times New Roman" w:hAnsi="Times New Roman" w:cs="Times New Roman"/>
          <w:sz w:val="24"/>
          <w:szCs w:val="24"/>
        </w:rPr>
        <w:t xml:space="preserve">. The Chinese version of the scale has been applied in Chinese college student cohort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&lt;EndNote&gt;&lt;Cite&gt;&lt;Author&gt;Zhong&lt;/Author&gt;&lt;Year&gt;2021&lt;/Year&gt;&lt;RecNum&gt;161&lt;/RecNum&gt;&lt;DisplayText&gt;[21]&lt;/DisplayText&gt;&lt;record&gt;&lt;rec-number&gt;161&lt;/rec-number&gt;&lt;foreign-keys&gt;&lt;key app="EN" db-id="vp52av05uasrpyefrtjpxdxnt2wspz0wedzt" timestamp="1707940351"&gt;161&lt;/key&gt;&lt;/foreign-keys&gt;&lt;ref-type name="Journal Article"&gt;17&lt;/ref-type&gt;&lt;contributors&gt;&lt;authors&gt;&lt;author&gt;Zhong, Shaoling&lt;/author&gt;&lt;author&gt;Lu, Li&lt;/author&gt;&lt;author&gt;Wilson, Amanda&lt;/author&gt;&lt;author&gt;Wang, Yuanyuan&lt;/author&gt;&lt;author&gt;Duan, Suqian&lt;/author&gt;&lt;author&gt;Ou, Jianjun&lt;/author&gt;&lt;author&gt;Shi, Lijuan&lt;/author&gt;&lt;author&gt;Ge, Jianyu&lt;/author&gt;&lt;author&gt;Chen, Li&lt;/author&gt;&lt;author&gt;Zhao, Kaihong&lt;/author&gt;&lt;author&gt;Chen, Runsen&lt;/author&gt;&lt;/authors&gt;&lt;/contributors&gt;&lt;titles&gt;&lt;title&gt;Attention-deficit/ hyperactivity disorder symptoms and suicidal ideation among college students: A structural equation modeling approach&lt;/title&gt;&lt;secondary-title&gt;Journal of Affective Disorders&lt;/secondary-title&gt;&lt;/titles&gt;&lt;periodical&gt;&lt;full-title&gt;Journal of Affective Disorders&lt;/full-title&gt;&lt;/periodical&gt;&lt;pages&gt;572-577&lt;/pages&gt;&lt;volume&gt;279&lt;/volume&gt;&lt;keywords&gt;&lt;keyword&gt;Adhd symptoms&lt;/keyword&gt;&lt;keyword&gt;Suicidal ideation&lt;/keyword&gt;&lt;keyword&gt;Depressive symptoms&lt;/keyword&gt;&lt;keyword&gt;Anxiety symptoms&lt;/keyword&gt;&lt;keyword&gt;Structural equation model (SEM)&lt;/keyword&gt;&lt;keyword&gt;college freshmen&lt;/keyword&gt;&lt;/keywords&gt;&lt;dates&gt;&lt;year&gt;2021&lt;/year&gt;&lt;pub-dates&gt;&lt;date&gt;2021/01/15/&lt;/date&gt;&lt;/pub-dates&gt;&lt;/dates&gt;&lt;isbn&gt;0165-0327&lt;/isbn&gt;&lt;urls&gt;&lt;related-urls&gt;&lt;url&gt;https://www.sciencedirect.com/science/article/pii/S0165032720328640&lt;/url&gt;&lt;/related-urls&gt;&lt;/urls&gt;&lt;electronic-resource-num&gt;10.1016/j.jad.2020.10.020&lt;/electronic-resource-num&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[21]</w:t>
      </w:r>
      <w:r w:rsidR="00E91A27" w:rsidRPr="00FF292D">
        <w:rPr>
          <w:rFonts w:ascii="Times New Roman" w:hAnsi="Times New Roman" w:cs="Times New Roman"/>
          <w:sz w:val="24"/>
          <w:szCs w:val="24"/>
        </w:rPr>
        <w:fldChar w:fldCharType="end"/>
      </w:r>
      <w:r w:rsidR="00970B4A" w:rsidRPr="00FF292D">
        <w:rPr>
          <w:rFonts w:ascii="Times New Roman" w:hAnsi="Times New Roman" w:cs="Times New Roman"/>
          <w:sz w:val="24"/>
          <w:szCs w:val="24"/>
        </w:rPr>
        <w:t xml:space="preserve">. Social anxiety was evaluated by the Social Anxiety Subscale of the Self-Consciousness Scale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&lt;EndNote&gt;&lt;Cite&gt;&lt;Author&gt;Hewitt&lt;/Author&gt;&lt;Year&gt;1991&lt;/Year&gt;&lt;RecNum&gt;108&lt;/RecNum&gt;&lt;DisplayText&gt;[22]&lt;/DisplayText&gt;&lt;record&gt;&lt;rec-number&gt;108&lt;/rec-number&gt;&lt;foreign-keys&gt;&lt;key app="EN" db-id="vp52av05uasrpyefrtjpxdxnt2wspz0wedzt" timestamp="1697820161"&gt;108&lt;/key&gt;&lt;/foreign-keys&gt;&lt;ref-type name="Journal Article"&gt;17&lt;/ref-type&gt;&lt;contributors&gt;&lt;authors&gt;&lt;author&gt;Hewitt, P. L.&lt;/author&gt;&lt;author&gt;Flett, G. L.&lt;/author&gt;&lt;/authors&gt;&lt;/contributors&gt;&lt;auth-address&gt;Department of Psychiatry, Brockville Psychiatric Hospital, Ontario, Canada.&lt;/auth-address&gt;&lt;titles&gt;&lt;title&gt;Perfectionism in the self and social contexts: conceptualization, assessment, and association with psychopathology&lt;/title&gt;&lt;secondary-title&gt;J Pers Soc Psychol&lt;/secondary-title&gt;&lt;/titles&gt;&lt;periodical&gt;&lt;full-title&gt;J Pers Soc Psychol&lt;/full-title&gt;&lt;/periodical&gt;&lt;pages&gt;456-70&lt;/pages&gt;&lt;volume&gt;60&lt;/volume&gt;&lt;number&gt;3&lt;/number&gt;&lt;keywords&gt;&lt;keyword&gt;Adult&lt;/keyword&gt;&lt;keyword&gt;Female&lt;/keyword&gt;&lt;keyword&gt;Humans&lt;/keyword&gt;&lt;keyword&gt;Male&lt;/keyword&gt;&lt;keyword&gt;*Personality Assessment&lt;/keyword&gt;&lt;keyword&gt;*Personality Development&lt;/keyword&gt;&lt;keyword&gt;Personality Disorders/psychology&lt;/keyword&gt;&lt;keyword&gt;Personality Tests&lt;/keyword&gt;&lt;keyword&gt;Risk Factors&lt;/keyword&gt;&lt;keyword&gt;*Self Concept&lt;/keyword&gt;&lt;keyword&gt;Social Adjustment&lt;/keyword&gt;&lt;keyword&gt;Social Desirability&lt;/keyword&gt;&lt;keyword&gt;*Type A Personality&lt;/keyword&gt;&lt;/keywords&gt;&lt;dates&gt;&lt;year&gt;1991&lt;/year&gt;&lt;pub-dates&gt;&lt;date&gt;Mar&lt;/date&gt;&lt;/pub-dates&gt;&lt;/dates&gt;&lt;isbn&gt;0022-3514 (Print)&amp;#xD;0022-3514&lt;/isbn&gt;&lt;accession-num&gt;2027080&lt;/accession-num&gt;&lt;urls&gt;&lt;/urls&gt;&lt;electronic-resource-num&gt;10.1037/0022-3514.60.3.456&lt;/electronic-resource-num&gt;&lt;remote-database-provider&gt;NLM&lt;/remote-database-provider&gt;&lt;language&gt;eng&lt;/language&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[22]</w:t>
      </w:r>
      <w:r w:rsidR="00E91A27" w:rsidRPr="00FF292D">
        <w:rPr>
          <w:rFonts w:ascii="Times New Roman" w:hAnsi="Times New Roman" w:cs="Times New Roman"/>
          <w:sz w:val="24"/>
          <w:szCs w:val="24"/>
        </w:rPr>
        <w:fldChar w:fldCharType="end"/>
      </w:r>
      <w:r w:rsidR="00970B4A" w:rsidRPr="00FF292D">
        <w:rPr>
          <w:rFonts w:ascii="Times New Roman" w:hAnsi="Times New Roman" w:cs="Times New Roman"/>
          <w:sz w:val="24"/>
          <w:szCs w:val="24"/>
        </w:rPr>
        <w:t xml:space="preserve">. The Chinese version of the scale showed good reliability in previous study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&lt;EndNote&gt;&lt;Cite&gt;&lt;Author&gt;Cao&lt;/Author&gt;&lt;Year&gt;2013&lt;/Year&gt;&lt;RecNum&gt;165&lt;/RecNum&gt;&lt;DisplayText&gt;[23]&lt;/DisplayText&gt;&lt;record&gt;&lt;rec-number&gt;165&lt;/rec-number&gt;&lt;foreign-keys&gt;&lt;key app="EN" db-id="vp52av05uasrpyefrtjpxdxnt2wspz0wedzt" timestamp="1707940708"&gt;165&lt;/key&gt;&lt;/foreign-keys&gt;&lt;ref-type name="Journal Article"&gt;17&lt;/ref-type&gt;&lt;contributors&gt;&lt;authors&gt;&lt;author&gt;Cao, L.&lt;/author&gt;&lt;author&gt;Zhang, Z. Q.&lt;/author&gt;&lt;author&gt;Xu, Y.&lt;/author&gt;&lt;author&gt;Cao, J. K.&lt;/author&gt;&lt;author&gt;Yang, H.&lt;/author&gt;&lt;author&gt;Ge, L.&lt;/author&gt;&lt;/authors&gt;&lt;/contributors&gt;&lt;titles&gt;&lt;title&gt;Intervention impacts of Self-confidence Training on the self-esteem of patients with social anxiety disorder&lt;/title&gt;&lt;secondary-title&gt;Chinese Journal of Behavioral Medicine and Brain Science&lt;/secondary-title&gt;&lt;/titles&gt;&lt;periodical&gt;&lt;full-title&gt;Chinese Journal of Behavioral Medicine and Brain Science&lt;/full-title&gt;&lt;/periodical&gt;&lt;pages&gt;827-829&lt;/pages&gt;&lt;volume&gt;22&lt;/volume&gt;&lt;number&gt;9&lt;/number&gt;&lt;keywords&gt;&lt;keyword&gt;/unread&lt;/keyword&gt;&lt;keyword&gt;?Tag&lt;/keyword&gt;&lt;/keywords&gt;&lt;dates&gt;&lt;year&gt;2013&lt;/year&gt;&lt;pub-dates&gt;&lt;date&gt;2013/09/20/&lt;/date&gt;&lt;/pub-dates&gt;&lt;/dates&gt;&lt;isbn&gt;1674-6554&lt;/isbn&gt;&lt;urls&gt;&lt;related-urls&gt;&lt;url&gt;https://rs.yiigle.com/CN115399202004/928346.htm&lt;/url&gt;&lt;/related-urls&gt;&lt;/urls&gt;&lt;electronic-resource-num&gt;10.3760/cma.j.issn.1674-6554.2013.09.018&lt;/electronic-resource-num&gt;&lt;remote-database-provider&gt;rs.yiigle.com&lt;/remote-database-provider&gt;&lt;language&gt;ch&lt;/language&gt;&lt;access-date&gt;2024/02/13/09:57:52&lt;/access-date&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[23]</w:t>
      </w:r>
      <w:r w:rsidR="00E91A27" w:rsidRPr="00FF292D">
        <w:rPr>
          <w:rFonts w:ascii="Times New Roman" w:hAnsi="Times New Roman" w:cs="Times New Roman"/>
          <w:sz w:val="24"/>
          <w:szCs w:val="24"/>
        </w:rPr>
        <w:fldChar w:fldCharType="end"/>
      </w:r>
      <w:r w:rsidR="00970B4A" w:rsidRPr="00FF292D">
        <w:rPr>
          <w:rFonts w:ascii="Times New Roman" w:hAnsi="Times New Roman" w:cs="Times New Roman"/>
          <w:sz w:val="24"/>
          <w:szCs w:val="24"/>
        </w:rPr>
        <w:t>.</w:t>
      </w:r>
      <w:r w:rsidR="004B62DA" w:rsidRPr="00FF292D">
        <w:rPr>
          <w:rFonts w:ascii="Times New Roman" w:hAnsi="Times New Roman" w:cs="Times New Roman"/>
          <w:sz w:val="24"/>
          <w:szCs w:val="24"/>
        </w:rPr>
        <w:t xml:space="preserve"> Nudity anxiety was asked by “How uncomfortable do you feel when exposing your body in public (e.g., in public bathhouse, changing clothes, naked physical examination, and swimming)”. Gender Dysphoria Scale-Gender Spectrum (UGDS-GS) was used to measure gender dysphoria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&lt;EndNote&gt;&lt;Cite&gt;&lt;Author&gt;McGuire&lt;/Author&gt;&lt;Year&gt;2020&lt;/Year&gt;&lt;RecNum&gt;113&lt;/RecNum&gt;&lt;DisplayText&gt;[24]&lt;/DisplayText&gt;&lt;record&gt;&lt;rec-number&gt;113&lt;/rec-number&gt;&lt;foreign-keys&gt;&lt;key app="EN" db-id="vp52av05uasrpyefrtjpxdxnt2wspz0wedzt" timestamp="1697820320"&gt;113&lt;/key&gt;&lt;/foreign-keys&gt;&lt;ref-type name="Journal Article"&gt;17&lt;/ref-type&gt;&lt;contributors&gt;&lt;authors&gt;&lt;author&gt;McGuire, J. K.&lt;/author&gt;&lt;author&gt;Berg, D.&lt;/author&gt;&lt;author&gt;Catalpa, J. M.&lt;/author&gt;&lt;author&gt;Morrow, Q. J.&lt;/author&gt;&lt;author&gt;Fish, J. N.&lt;/author&gt;&lt;author&gt;Nic Rider, G.&lt;/author&gt;&lt;author&gt;Steensma, T.&lt;/author&gt;&lt;author&gt;Cohen-Kettenis, P. T.&lt;/author&gt;&lt;author&gt;Spencer, K.&lt;/author&gt;&lt;/authors&gt;&lt;/contributors&gt;&lt;auth-address&gt;Family Social Science, University of Minnesota, Minneapolis, MN, USA.&amp;#xD;Family Science, University of Maryland, College Park, MD, USA.&amp;#xD;VU University Medical Center, Medical Psychology, Center of Expertise on Gender Dysphoria, Free University Netherlands, Amsterdam, The Netherlands.&lt;/auth-address&gt;&lt;titles&gt;&lt;title&gt;Utrecht Gender Dysphoria Scale - Gender Spectrum (UGDS-GS): Construct validity among transgender, nonbinary, and LGBQ samples&lt;/title&gt;&lt;secondary-title&gt;Int J Transgend Health&lt;/secondary-title&gt;&lt;/titles&gt;&lt;periodical&gt;&lt;full-title&gt;Int J Transgend Health&lt;/full-title&gt;&lt;/periodical&gt;&lt;pages&gt;194-208&lt;/pages&gt;&lt;volume&gt;21&lt;/volume&gt;&lt;number&gt;2&lt;/number&gt;&lt;edition&gt;20200411&lt;/edition&gt;&lt;keywords&gt;&lt;keyword&gt;Gender affirmation&lt;/keyword&gt;&lt;keyword&gt;gender dysphoria&lt;/keyword&gt;&lt;keyword&gt;gender spectrum measurement&lt;/keyword&gt;&lt;keyword&gt;nonbinary identity&lt;/keyword&gt;&lt;keyword&gt;transgender&lt;/keyword&gt;&lt;/keywords&gt;&lt;dates&gt;&lt;year&gt;2020&lt;/year&gt;&lt;/dates&gt;&lt;isbn&gt;2689-5269 (Print)&amp;#xD;2689-5269&lt;/isbn&gt;&lt;accession-num&gt;33015669&lt;/accession-num&gt;&lt;urls&gt;&lt;/urls&gt;&lt;custom2&gt;PMC7430422&lt;/custom2&gt;&lt;electronic-resource-num&gt;10.1080/26895269.2020.1723460&lt;/electronic-resource-num&gt;&lt;remote-database-provider&gt;NLM&lt;/remote-database-provider&gt;&lt;language&gt;eng&lt;/language&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[24]</w:t>
      </w:r>
      <w:r w:rsidR="00E91A27" w:rsidRPr="00FF292D">
        <w:rPr>
          <w:rFonts w:ascii="Times New Roman" w:hAnsi="Times New Roman" w:cs="Times New Roman"/>
          <w:sz w:val="24"/>
          <w:szCs w:val="24"/>
        </w:rPr>
        <w:fldChar w:fldCharType="end"/>
      </w:r>
      <w:r w:rsidR="004B62DA" w:rsidRPr="00FF292D">
        <w:rPr>
          <w:rFonts w:ascii="Times New Roman" w:hAnsi="Times New Roman" w:cs="Times New Roman"/>
          <w:sz w:val="24"/>
          <w:szCs w:val="24"/>
        </w:rPr>
        <w:t xml:space="preserve"> (Cronbach’s α = 0.89). The Chinese version of the scale showed good reliability and validity in previous study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&lt;EndNote&gt;&lt;Cite&gt;&lt;Author&gt;Chen&lt;/Author&gt;&lt;Year&gt;2023&lt;/Year&gt;&lt;RecNum&gt;142&lt;/RecNum&gt;&lt;DisplayText&gt;[25]&lt;/DisplayText&gt;&lt;record&gt;&lt;rec-number&gt;142&lt;/rec-number&gt;&lt;foreign-keys&gt;&lt;key app="EN" db-id="vp52av05uasrpyefrtjpxdxnt2wspz0wedzt" timestamp="1698393375"&gt;142&lt;/key&gt;&lt;/foreign-keys&gt;&lt;ref-type name="Journal Article"&gt;17&lt;/ref-type&gt;&lt;contributors&gt;&lt;authors&gt;&lt;author&gt;Chen, Runsen&lt;/author&gt;&lt;author&gt;Feng, Yi&lt;/author&gt;&lt;author&gt;Su, Di&lt;/author&gt;&lt;author&gt;Wilson, Amanda&lt;/author&gt;&lt;author&gt;Han, Meng&lt;/author&gt;&lt;author&gt;Wang, Yuanyuan&lt;/author&gt;&lt;/authors&gt;&lt;/contributors&gt;&lt;titles&gt;&lt;title&gt;Utrecht Gender Dysphoria Scale – Gender Spectrum in a Chinese population: scale validation and associations with mental health, self-harm and suicidality&lt;/title&gt;&lt;secondary-title&gt;BJPsych Open&lt;/secondary-title&gt;&lt;/titles&gt;&lt;periodical&gt;&lt;full-title&gt;BJPsych Open&lt;/full-title&gt;&lt;/periodical&gt;&lt;pages&gt;e17&lt;/pages&gt;&lt;volume&gt;9&lt;/volume&gt;&lt;number&gt;1&lt;/number&gt;&lt;edition&gt;2023/01/18&lt;/edition&gt;&lt;keywords&gt;&lt;keyword&gt;Depression&lt;/keyword&gt;&lt;keyword&gt;anxiety&lt;/keyword&gt;&lt;keyword&gt;gender dysphoria&lt;/keyword&gt;&lt;keyword&gt;suicide&lt;/keyword&gt;&lt;keyword&gt;psychological psychometrics&lt;/keyword&gt;&lt;/keywords&gt;&lt;dates&gt;&lt;year&gt;2023&lt;/year&gt;&lt;/dates&gt;&lt;urls&gt;&lt;related-urls&gt;&lt;url&gt;https://www.cambridge.org/core/article/utrecht-gender-dysphoria-scale-gender-spectrum-in-a-chinese-population-scale-validation-and-associations-with-mental-health-selfharm-and-suicidality/58B9D395C53AB6EDC438F46EEC2D2AE8&lt;/url&gt;&lt;/related-urls&gt;&lt;/urls&gt;&lt;custom7&gt;e17&lt;/custom7&gt;&lt;electronic-resource-num&gt;10.1192/bjo.2022.617&lt;/electronic-resource-num&gt;&lt;remote-database-name&gt;Cambridge Core&lt;/remote-database-name&gt;&lt;remote-database-provider&gt;Cambridge University Press&lt;/remote-database-provider&gt;&lt;/record&gt;&lt;/Cite&gt;&lt;/EndNote&gt;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[25]</w:t>
      </w:r>
      <w:r w:rsidR="00E91A27" w:rsidRPr="00FF292D">
        <w:rPr>
          <w:rFonts w:ascii="Times New Roman" w:hAnsi="Times New Roman" w:cs="Times New Roman"/>
          <w:sz w:val="24"/>
          <w:szCs w:val="24"/>
        </w:rPr>
        <w:fldChar w:fldCharType="end"/>
      </w:r>
      <w:r w:rsidR="004B62DA" w:rsidRPr="00FF292D">
        <w:rPr>
          <w:rFonts w:ascii="Times New Roman" w:hAnsi="Times New Roman" w:cs="Times New Roman"/>
          <w:sz w:val="24"/>
          <w:szCs w:val="24"/>
        </w:rPr>
        <w:t>.</w:t>
      </w:r>
      <w:r w:rsidR="005C5E4C" w:rsidRPr="00FF292D">
        <w:rPr>
          <w:rFonts w:ascii="Times New Roman" w:hAnsi="Times New Roman" w:cs="Times New Roman"/>
          <w:sz w:val="24"/>
          <w:szCs w:val="24"/>
        </w:rPr>
        <w:t xml:space="preserve"> </w:t>
      </w:r>
      <w:r w:rsidRPr="00FF292D">
        <w:rPr>
          <w:rFonts w:ascii="Times New Roman" w:hAnsi="Times New Roman" w:cs="Times New Roman"/>
          <w:sz w:val="24"/>
          <w:szCs w:val="24"/>
        </w:rPr>
        <w:t xml:space="preserve">Non-suicidal self-injury (NSSI) was measured using two questions adapted from the Clinician-Administered NSSI Disorder Index </w:t>
      </w:r>
      <w:r w:rsidR="00E91A27" w:rsidRPr="00FF292D">
        <w:rPr>
          <w:rFonts w:ascii="Times New Roman" w:hAnsi="Times New Roman" w:cs="Times New Roman"/>
          <w:sz w:val="24"/>
          <w:szCs w:val="24"/>
        </w:rPr>
        <w:fldChar w:fldCharType="begin">
          <w:fldData xml:space="preserve">PEVuZE5vdGU+PENpdGU+PEF1dGhvcj5WYWhpYTwvQXV0aG9yPjxZZWFyPjIwMTM8L1llYXI+PFJl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</w:fldData>
        </w:fldChar>
      </w:r>
      <w:r w:rsidR="00AF3808">
        <w:rPr>
          <w:rFonts w:ascii="Times New Roman" w:hAnsi="Times New Roman" w:cs="Times New Roman"/>
          <w:sz w:val="24"/>
          <w:szCs w:val="24"/>
        </w:rPr>
        <w:instrText xml:space="preserve"> ADDIN EN.CITE </w:instrText>
      </w:r>
      <w:r w:rsidR="00AF3808">
        <w:rPr>
          <w:rFonts w:ascii="Times New Roman" w:hAnsi="Times New Roman" w:cs="Times New Roman"/>
          <w:sz w:val="24"/>
          <w:szCs w:val="24"/>
        </w:rPr>
        <w:fldChar w:fldCharType="begin">
          <w:fldData xml:space="preserve">PEVuZE5vdGU+PENpdGU+PEF1dGhvcj5WYWhpYTwvQXV0aG9yPjxZZWFyPjIwMTM8L1llYXI+PFJl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</w:fldData>
        </w:fldChar>
      </w:r>
      <w:r w:rsidR="00AF3808">
        <w:rPr>
          <w:rFonts w:ascii="Times New Roman" w:hAnsi="Times New Roman" w:cs="Times New Roman"/>
          <w:sz w:val="24"/>
          <w:szCs w:val="24"/>
        </w:rPr>
        <w:instrText xml:space="preserve"> ADDIN EN.CITE.DATA </w:instrText>
      </w:r>
      <w:r w:rsidR="00AF3808">
        <w:rPr>
          <w:rFonts w:ascii="Times New Roman" w:hAnsi="Times New Roman" w:cs="Times New Roman"/>
          <w:sz w:val="24"/>
          <w:szCs w:val="24"/>
        </w:rPr>
      </w:r>
      <w:r w:rsidR="00AF3808">
        <w:rPr>
          <w:rFonts w:ascii="Times New Roman" w:hAnsi="Times New Roman" w:cs="Times New Roman"/>
          <w:sz w:val="24"/>
          <w:szCs w:val="24"/>
        </w:rPr>
        <w:fldChar w:fldCharType="end"/>
      </w:r>
      <w:r w:rsidR="00E91A27" w:rsidRPr="00FF292D">
        <w:rPr>
          <w:rFonts w:ascii="Times New Roman" w:hAnsi="Times New Roman" w:cs="Times New Roman"/>
          <w:sz w:val="24"/>
          <w:szCs w:val="24"/>
        </w:rPr>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[26,27]</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 xml:space="preserve">, the first querying the history and proximity of NSSI behavior and the second measuring the frequency of NSSI. This study classified NSSI using the first question: "Have you ever engaged in NSSI?". The participants are then </w:t>
      </w:r>
      <w:r w:rsidRPr="00FF292D">
        <w:rPr>
          <w:rFonts w:ascii="Times New Roman" w:hAnsi="Times New Roman" w:cs="Times New Roman"/>
          <w:sz w:val="24"/>
          <w:szCs w:val="24"/>
        </w:rPr>
        <w:lastRenderedPageBreak/>
        <w:t>divided into three groups: those with no history of NSSI, those with an NSSI history in less than one year, and those engaging in NSSI within one year. The scale has an acceptable reliability (Cronbach’s α = 0.71)</w:t>
      </w:r>
      <w:r w:rsidR="001661AD" w:rsidRPr="00FF292D">
        <w:rPr>
          <w:rFonts w:ascii="Times New Roman" w:hAnsi="Times New Roman" w:cs="Times New Roman"/>
          <w:sz w:val="24"/>
          <w:szCs w:val="24"/>
        </w:rPr>
        <w:t>.</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&lt;EndNote&gt;&lt;Cite&gt;&lt;Author&gt;Gratz&lt;/Author&gt;&lt;Year&gt;2015&lt;/Year&gt;&lt;RecNum&gt;104&lt;/RecNum&gt;&lt;DisplayText&gt;[27]&lt;/DisplayText&gt;&lt;record&gt;&lt;rec-number&gt;104&lt;/rec-number&gt;&lt;foreign-keys&gt;&lt;key app="EN" db-id="vp52av05uasrpyefrtjpxdxnt2wspz0wedzt" timestamp="1697819261"&gt;104&lt;/key&gt;&lt;/foreign-keys&gt;&lt;ref-type name="Journal Article"&gt;17&lt;/ref-type&gt;&lt;contributors&gt;&lt;authors&gt;&lt;author&gt;Gratz, Kim L.&lt;/author&gt;&lt;author&gt;Dixon-Gordon, Katherine L.&lt;/author&gt;&lt;author&gt;Chapman, Alexander L.&lt;/author&gt;&lt;author&gt;Tull, Matthew T.&lt;/author&gt;&lt;/authors&gt;&lt;/contributors&gt;&lt;titles&gt;&lt;title&gt;Diagnosis and Characterization of DSM-5 Nonsuicidal Self-Injury Disorder Using the Clinician-Administered Nonsuicidal Self-Injury Disorder Index&lt;/title&gt;&lt;secondary-title&gt;Assessment&lt;/secondary-title&gt;&lt;/titles&gt;&lt;periodical&gt;&lt;full-title&gt;Assessment&lt;/full-title&gt;&lt;/periodical&gt;&lt;pages&gt;527-539&lt;/pages&gt;&lt;volume&gt;22&lt;/volume&gt;&lt;number&gt;5&lt;/number&gt;&lt;dates&gt;&lt;year&gt;2015&lt;/year&gt;&lt;pub-dates&gt;&lt;date&gt;2015/10/01&lt;/date&gt;&lt;/pub-dates&gt;&lt;/dates&gt;&lt;publisher&gt;SAGE Publications Inc&lt;/publisher&gt;&lt;isbn&gt;1073-1911&lt;/isbn&gt;&lt;urls&gt;&lt;related-urls&gt;&lt;url&gt;https://doi.org/10.1177/1073191114565878&lt;/url&gt;&lt;/related-urls&gt;&lt;/urls&gt;&lt;electronic-resource-num&gt;10.1177/1073191114565878&lt;/electronic-resource-num&gt;&lt;access-date&gt;2023/10/20&lt;/access-date&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[27]</w:t>
      </w:r>
      <w:r w:rsidR="00E91A27" w:rsidRPr="00FF292D">
        <w:rPr>
          <w:rFonts w:ascii="Times New Roman" w:hAnsi="Times New Roman" w:cs="Times New Roman"/>
          <w:sz w:val="24"/>
          <w:szCs w:val="24"/>
        </w:rPr>
        <w:fldChar w:fldCharType="end"/>
      </w:r>
    </w:p>
    <w:p w14:paraId="50CFB65D" w14:textId="2EB58D7F" w:rsidR="009C5359" w:rsidRPr="00FF292D" w:rsidRDefault="009C5359" w:rsidP="00FF292D">
      <w:pPr>
        <w:pStyle w:val="a3"/>
        <w:numPr>
          <w:ilvl w:val="0"/>
          <w:numId w:val="5"/>
        </w:numPr>
        <w:spacing w:line="480" w:lineRule="auto"/>
        <w:ind w:firstLineChars="0"/>
        <w:rPr>
          <w:rFonts w:ascii="Times New Roman" w:hAnsi="Times New Roman" w:cs="Times New Roman"/>
          <w:sz w:val="24"/>
          <w:szCs w:val="24"/>
        </w:rPr>
      </w:pPr>
      <w:r w:rsidRPr="00FF292D">
        <w:rPr>
          <w:rFonts w:ascii="Times New Roman" w:hAnsi="Times New Roman" w:cs="Times New Roman"/>
          <w:sz w:val="24"/>
          <w:szCs w:val="24"/>
        </w:rPr>
        <w:t>Other psychological variables</w:t>
      </w:r>
    </w:p>
    <w:p w14:paraId="41A8C83F" w14:textId="2A49A36B" w:rsidR="004B62DA" w:rsidRPr="00FF292D" w:rsidRDefault="004B62DA" w:rsidP="00FF292D">
      <w:pPr>
        <w:spacing w:line="480" w:lineRule="auto"/>
        <w:rPr>
          <w:rFonts w:ascii="Times New Roman" w:hAnsi="Times New Roman" w:cs="Times New Roman"/>
          <w:sz w:val="24"/>
          <w:szCs w:val="24"/>
        </w:rPr>
      </w:pPr>
      <w:bookmarkStart w:id="3" w:name="_Hlk155818024"/>
      <w:r w:rsidRPr="00FF292D">
        <w:rPr>
          <w:rFonts w:ascii="Times New Roman" w:hAnsi="Times New Roman" w:cs="Times New Roman"/>
          <w:sz w:val="24"/>
          <w:szCs w:val="24"/>
        </w:rPr>
        <w:t xml:space="preserve">Loneliness was assessed by the three-item UCLA Loneliness Scale, with higher total scores indicating greater loneliness (Cronbach’s α = 0.72)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&lt;EndNote&gt;&lt;Cite&gt;&lt;Author&gt;Hughes&lt;/Author&gt;&lt;Year&gt;2004&lt;/Year&gt;&lt;RecNum&gt;107&lt;/RecNum&gt;&lt;DisplayText&gt;[28]&lt;/DisplayText&gt;&lt;record&gt;&lt;rec-number&gt;107&lt;/rec-number&gt;&lt;foreign-keys&gt;&lt;key app="EN" db-id="vp52av05uasrpyefrtjpxdxnt2wspz0wedzt" timestamp="1697820154"&gt;107&lt;/key&gt;&lt;/foreign-keys&gt;&lt;ref-type name="Journal Article"&gt;17&lt;/ref-type&gt;&lt;contributors&gt;&lt;authors&gt;&lt;author&gt;Hughes, Mary Elizabeth&lt;/author&gt;&lt;author&gt;Waite, Linda J.&lt;/author&gt;&lt;author&gt;Hawkley, Louise C.&lt;/author&gt;&lt;author&gt;Cacioppo, John T.&lt;/author&gt;&lt;/authors&gt;&lt;/contributors&gt;&lt;titles&gt;&lt;title&gt;A Short Scale for Measuring Loneliness in Large Surveys: Results From Two Population-Based Studies&lt;/title&gt;&lt;secondary-title&gt;Research on Aging&lt;/secondary-title&gt;&lt;/titles&gt;&lt;periodical&gt;&lt;full-title&gt;Research on Aging&lt;/full-title&gt;&lt;/periodical&gt;&lt;pages&gt;655-672&lt;/pages&gt;&lt;volume&gt;26&lt;/volume&gt;&lt;number&gt;6&lt;/number&gt;&lt;dates&gt;&lt;year&gt;2004&lt;/year&gt;&lt;pub-dates&gt;&lt;date&gt;2004/11/01&lt;/date&gt;&lt;/pub-dates&gt;&lt;/dates&gt;&lt;publisher&gt;SAGE Publications Inc&lt;/publisher&gt;&lt;isbn&gt;0164-0275&lt;/isbn&gt;&lt;urls&gt;&lt;related-urls&gt;&lt;url&gt;https://doi.org/10.1177/0164027504268574&lt;/url&gt;&lt;/related-urls&gt;&lt;/urls&gt;&lt;electronic-resource-num&gt;10.1177/0164027504268574&lt;/electronic-resource-num&gt;&lt;access-date&gt;2023/10/20&lt;/access-date&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[28]</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 xml:space="preserve">. The Chinese version of the scale has been validated in previous study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&lt;EndNote&gt;&lt;Cite&gt;&lt;Author&gt;Lin&lt;/Author&gt;&lt;Year&gt;2022&lt;/Year&gt;&lt;RecNum&gt;166&lt;/RecNum&gt;&lt;DisplayText&gt;[29]&lt;/DisplayText&gt;&lt;record&gt;&lt;rec-number&gt;166&lt;/rec-number&gt;&lt;foreign-keys&gt;&lt;key app="EN" db-id="vp52av05uasrpyefrtjpxdxnt2wspz0wedzt" timestamp="1707940772"&gt;166&lt;/key&gt;&lt;/foreign-keys&gt;&lt;ref-type name="Journal Article"&gt;17&lt;/ref-type&gt;&lt;contributors&gt;&lt;authors&gt;&lt;author&gt;Lin, Chung-Ying&lt;/author&gt;&lt;author&gt;Tsai, Ching-Shu&lt;/author&gt;&lt;author&gt;Fan, Chia-Wei&lt;/author&gt;&lt;author&gt;Griffiths, Mark D.&lt;/author&gt;&lt;author&gt;Chang, Chih-Cheng&lt;/author&gt;&lt;author&gt;Yen, Cheng-Fang&lt;/author&gt;&lt;author&gt;Pakpour, Amir H.&lt;/author&gt;&lt;/authors&gt;&lt;/contributors&gt;&lt;titles&gt;&lt;title&gt;Psychometric Evaluation of Three Versions of the UCLA Loneliness Scale (Full, Eight-Item, and Three-Item Versions) among Sexual Minority Men in Taiwan&lt;/title&gt;&lt;secondary-title&gt;International Journal of Environmental Research and Public Health&lt;/secondary-title&gt;&lt;/titles&gt;&lt;periodical&gt;&lt;full-title&gt;International Journal of Environmental Research and Public Health&lt;/full-title&gt;&lt;/periodical&gt;&lt;pages&gt;8095&lt;/pages&gt;&lt;volume&gt;19&lt;/volume&gt;&lt;number&gt;13&lt;/number&gt;&lt;dates&gt;&lt;year&gt;2022&lt;/year&gt;&lt;/dates&gt;&lt;isbn&gt;1660-4601&lt;/isbn&gt;&lt;accession-num&gt;doi:10.3390/ijerph19138095&lt;/accession-num&gt;&lt;urls&gt;&lt;related-urls&gt;&lt;url&gt;https://www.mdpi.com/1660-4601/19/13/8095&lt;/url&gt;&lt;/related-urls&gt;&lt;/urls&gt;&lt;electronic-resource-num&gt;10.3390/ijerph19138095&lt;/electronic-resource-num&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[29]</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 xml:space="preserve">. Virtual life orientation was measured with the Virtual Life Orientation subscale from the Smartphone Addiction Proneness Scale (SAPS)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&lt;EndNote&gt;&lt;Cite&gt;&lt;Author&gt;Kim&lt;/Author&gt;&lt;Year&gt;2014&lt;/Year&gt;&lt;RecNum&gt;156&lt;/RecNum&gt;&lt;DisplayText&gt;[30]&lt;/DisplayText&gt;&lt;record&gt;&lt;rec-number&gt;156&lt;/rec-number&gt;&lt;foreign-keys&gt;&lt;key app="EN" db-id="vp52av05uasrpyefrtjpxdxnt2wspz0wedzt" timestamp="1707939738"&gt;156&lt;/key&gt;&lt;/foreign-keys&gt;&lt;ref-type name="Journal Article"&gt;17&lt;/ref-type&gt;&lt;contributors&gt;&lt;authors&gt;&lt;author&gt;Kim, Dongil&lt;/author&gt;&lt;author&gt;Lee, Yunhee&lt;/author&gt;&lt;author&gt;Lee, Juyoung&lt;/author&gt;&lt;author&gt;Nam, JeeEun Karin&lt;/author&gt;&lt;author&gt;Chung, Yeoju&lt;/author&gt;&lt;/authors&gt;&lt;/contributors&gt;&lt;titles&gt;&lt;title&gt;Development of Korean Smartphone Addiction Proneness Scale for Youth&lt;/title&gt;&lt;secondary-title&gt;PLOS ONE&lt;/secondary-title&gt;&lt;/titles&gt;&lt;periodical&gt;&lt;full-title&gt;PLoS One&lt;/full-title&gt;&lt;/periodical&gt;&lt;pages&gt;e97920&lt;/pages&gt;&lt;volume&gt;9&lt;/volume&gt;&lt;number&gt;5&lt;/number&gt;&lt;dates&gt;&lt;year&gt;2014&lt;/year&gt;&lt;/dates&gt;&lt;publisher&gt;Public Library of Science&lt;/publisher&gt;&lt;urls&gt;&lt;related-urls&gt;&lt;url&gt;https://doi.org/10.1371/journal.pone.0097920&lt;/url&gt;&lt;/related-urls&gt;&lt;/urls&gt;&lt;electronic-resource-num&gt;10.1371/journal.pone.0097920&lt;/electronic-resource-num&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[30]</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 xml:space="preserve">. The Chinese version has been tested with good reliability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&lt;EndNote&gt;&lt;Cite&gt;&lt;Author&gt;Zhang&lt;/Author&gt;&lt;Year&gt;2021&lt;/Year&gt;&lt;RecNum&gt;157&lt;/RecNum&gt;&lt;DisplayText&gt;[31]&lt;/DisplayText&gt;&lt;record&gt;&lt;rec-number&gt;157&lt;/rec-number&gt;&lt;foreign-keys&gt;&lt;key app="EN" db-id="vp52av05uasrpyefrtjpxdxnt2wspz0wedzt" timestamp="1707939830"&gt;157&lt;/key&gt;&lt;/foreign-keys&gt;&lt;ref-type name="Journal Article"&gt;17&lt;/ref-type&gt;&lt;contributors&gt;&lt;authors&gt;&lt;author&gt;Zhang, Q.&lt;/author&gt;&lt;author&gt;Liu, Z.K.&lt;/author&gt;&lt;/authors&gt;&lt;/contributors&gt;&lt;titles&gt;&lt;title&gt;Smartphone Addiction Proneness Scale for Adolescents – Chinese Version: revision and evaluation on reliability and validity&lt;/title&gt;&lt;secondary-title&gt;Chinese Journal of Public Health&lt;/secondary-title&gt;&lt;/titles&gt;&lt;periodical&gt;&lt;full-title&gt;Chinese Journal of Public Health&lt;/full-title&gt;&lt;/periodical&gt;&lt;pages&gt;1149&lt;/pages&gt;&lt;volume&gt;37&lt;/volume&gt;&lt;number&gt;7&lt;/number&gt;&lt;dates&gt;&lt;year&gt;2021&lt;/year&gt;&lt;pub-dates&gt;&lt;date&gt;2020-04-10&lt;/date&gt;&lt;/pub-dates&gt;&lt;/dates&gt;&lt;urls&gt;&lt;related-urls&gt;&lt;url&gt;https://www.zgggws.com/cn/article/id/85e5ed61-6223-4c1d-8c8c-987418572ec1&lt;/url&gt;&lt;/related-urls&gt;&lt;/urls&gt;&lt;electronic-resource-num&gt;10.11847/zgggws1129783&lt;/electronic-resource-num&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[31]</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 xml:space="preserve">. Help-seeking was measured by two questions adapted from the General Help Seeking Questionnaire (GHSQ)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&lt;EndNote&gt;&lt;Cite&gt;&lt;Author&gt;Wilson&lt;/Author&gt;&lt;Year&gt;2005&lt;/Year&gt;&lt;RecNum&gt;127&lt;/RecNum&gt;&lt;DisplayText&gt;[32]&lt;/DisplayText&gt;&lt;record&gt;&lt;rec-number&gt;127&lt;/rec-number&gt;&lt;foreign-keys&gt;&lt;key app="EN" db-id="vp52av05uasrpyefrtjpxdxnt2wspz0wedzt" timestamp="1698067692"&gt;127&lt;/key&gt;&lt;/foreign-keys&gt;&lt;ref-type name="Journal Article"&gt;17&lt;/ref-type&gt;&lt;contributors&gt;&lt;authors&gt;&lt;author&gt;Wilson, Coralie&lt;/author&gt;&lt;author&gt;Deane, Frank&lt;/author&gt;&lt;author&gt;Ciarrochi, Joseph&lt;/author&gt;&lt;author&gt;Rickwood, Debra&lt;/author&gt;&lt;/authors&gt;&lt;/contributors&gt;&lt;titles&gt;&lt;title&gt;Measuring help-seeking intentions: Properties of the General Help-Seeking Questionnaire&lt;/title&gt;&lt;secondary-title&gt;Canadian Journal of Counselling&lt;/secondary-title&gt;&lt;/titles&gt;&lt;periodical&gt;&lt;full-title&gt;Canadian Journal of Counselling&lt;/full-title&gt;&lt;/periodical&gt;&lt;pages&gt;15-28&lt;/pages&gt;&lt;volume&gt;39&lt;/volume&gt;&lt;dates&gt;&lt;year&gt;2005&lt;/year&gt;&lt;pub-dates&gt;&lt;date&gt;01/01&lt;/date&gt;&lt;/pub-dates&gt;&lt;/dates&gt;&lt;urls&gt;&lt;related-urls&gt;&lt;url&gt;https://cjc-rcc.ucalgary.ca/article/view/58748&lt;/url&gt;&lt;/related-urls&gt;&lt;/urls&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[32]</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 xml:space="preserve">. The first question asks “If you were having a personal or emotional problem, how likely is it that you would seek help from other people (parents/friends/relatives/teachers/classmates/doctors/therapists)?”, the second asks the probability to seek help from others when having suicidal ideation. Items are scored using a Likert 7-point scale (1 = extremely unlikely, 7 = extremely likely). The Chinese version of the original GHSQ questionnaire has been applied in previous research and has good psychometric properties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&lt;EndNote&gt;&lt;Cite&gt;&lt;Author&gt;Zhang&lt;/Author&gt;&lt;Year&gt;2020&lt;/Year&gt;&lt;RecNum&gt;171&lt;/RecNum&gt;&lt;DisplayText&gt;[33]&lt;/DisplayText&gt;&lt;record&gt;&lt;rec-number&gt;171&lt;/rec-number&gt;&lt;foreign-keys&gt;&lt;key app="EN" db-id="vp52av05uasrpyefrtjpxdxnt2wspz0wedzt" timestamp="1707944307"&gt;171&lt;/key&gt;&lt;/foreign-keys&gt;&lt;ref-type name="Journal Article"&gt;17&lt;/ref-type&gt;&lt;contributors&gt;&lt;authors&gt;&lt;author&gt;Zhang, L.&lt;/author&gt;&lt;author&gt;Feng, Y. Y.&lt;/author&gt;&lt;author&gt;Zhou, H. B.&lt;/author&gt;&lt;author&gt;Du, C. C.&lt;/author&gt;&lt;/authors&gt;&lt;/contributors&gt;&lt;titles&gt;&lt;title&gt;Analysis on help-seeking behavior and its influencing factors among community residents with suicidal intention&lt;/title&gt;&lt;secondary-title&gt;Chinese Journal of Health Education&lt;/secondary-title&gt;&lt;/titles&gt;&lt;periodical&gt;&lt;full-title&gt;Chinese Journal of Health Education&lt;/full-title&gt;&lt;/periodical&gt;&lt;pages&gt;475-477+481&lt;/pages&gt;&lt;volume&gt;36&lt;/volume&gt;&lt;number&gt;5&lt;/number&gt;&lt;keywords&gt;&lt;keyword&gt;/unread&lt;/keyword&gt;&lt;/keywords&gt;&lt;dates&gt;&lt;year&gt;2020&lt;/year&gt;&lt;pub-dates&gt;&lt;date&gt;2020&lt;/date&gt;&lt;/pub-dates&gt;&lt;/dates&gt;&lt;isbn&gt;1002-9982&lt;/isbn&gt;&lt;urls&gt;&lt;related-urls&gt;&lt;url&gt;https://kns.cnki.net/kcms2/article/abstract?v=BS8_DD2Uwa5YQf8VKdhfvPQJ0UVg2acR_a8cijj3NC274P-0UbgCd2G0mpBGcpQpCOv4iLJF1Bfse6xy9Rj7eBqyfMRL-OBoq-fGngBUY2dGZa9jzqyqBB0_cwMA7XIsGFVb6sC4v_WtTrrvBrhVdg==&amp;amp;uniplatform=NZKPT&amp;amp;language=CHS&lt;/url&gt;&lt;/related-urls&gt;&lt;/urls&gt;&lt;electronic-resource-num&gt;10.16168/j.cnki.issn.1002-9982.2020.05.020&lt;/electronic-resource-num&gt;&lt;remote-database-provider&gt;Cnki&lt;/remote-database-provider&gt;&lt;language&gt;zh-CN&lt;/language&gt;&lt;access-date&gt;2024/02/14/03:22:08&lt;/access-date&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[33]</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 xml:space="preserve">. Pain tolerance was assessed with the pain tolerance subscale from the German Capability for Suicide Questionnaire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&lt;EndNote&gt;&lt;Cite&gt;&lt;Author&gt;Wachtel&lt;/Author&gt;&lt;Year&gt;2014&lt;/Year&gt;&lt;RecNum&gt;111&lt;/RecNum&gt;&lt;DisplayText&gt;[34]&lt;/DisplayText&gt;&lt;record&gt;&lt;rec-number&gt;111&lt;/rec-number&gt;&lt;foreign-keys&gt;&lt;key app="EN" db-id="vp52av05uasrpyefrtjpxdxnt2wspz0wedzt" timestamp="1697820166"&gt;111&lt;/key&gt;&lt;/foreign-keys&gt;&lt;ref-type name="Journal Article"&gt;17&lt;/ref-type&gt;&lt;contributors&gt;&lt;authors&gt;&lt;author&gt;Wachtel, Sarah&lt;/author&gt;&lt;author&gt;Vocks, Silja&lt;/author&gt;&lt;author&gt;Edel, Marc-Andreas&lt;/author&gt;&lt;author&gt;Nyhuis, Peter&lt;/author&gt;&lt;author&gt;Willutzki, Ulrike&lt;/author&gt;&lt;author&gt;Teismann, Tobias&lt;/author&gt;&lt;/authors&gt;&lt;/contributors&gt;&lt;titles&gt;&lt;title&gt;Validation and psychometric properties of the German Capability for Suicide Questionnaire&lt;/title&gt;&lt;secondary-title&gt;Comprehensive Psychiatry&lt;/secondary-title&gt;&lt;/titles&gt;&lt;periodical&gt;&lt;full-title&gt;Comprehensive Psychiatry&lt;/full-title&gt;&lt;/periodical&gt;&lt;pages&gt;1292-1302&lt;/pages&gt;&lt;volume&gt;55&lt;/volume&gt;&lt;number&gt;5&lt;/number&gt;&lt;dates&gt;&lt;year&gt;2014&lt;/year&gt;&lt;pub-dates&gt;&lt;date&gt;2014/07/01/&lt;/date&gt;&lt;/pub-dates&gt;&lt;/dates&gt;&lt;isbn&gt;0010-440X&lt;/isbn&gt;&lt;urls&gt;&lt;related-urls&gt;&lt;url&gt;https://www.sciencedirect.com/science/article/pii/S0010440X14000571&lt;/url&gt;&lt;/related-urls&gt;&lt;/urls&gt;&lt;electronic-resource-num&gt;10.1016/j.comppsych.2014.03.008&lt;/electronic-resource-num&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[34]</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 xml:space="preserve">, including five questions (e.g., “I can hardly stand pain.”) answered on a five-point Likert scale. The scale showed acceptable internal consistency (Cronbach’s α = 0.77)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&lt;EndNote&gt;&lt;Cite&gt;&lt;Author&gt;Wachtel&lt;/Author&gt;&lt;Year&gt;2014&lt;/Year&gt;&lt;RecNum&gt;111&lt;/RecNum&gt;&lt;DisplayText&gt;[34]&lt;/DisplayText&gt;&lt;record&gt;&lt;rec-number&gt;111&lt;/rec-number&gt;&lt;foreign-keys&gt;&lt;key app="EN" db-id="vp52av05uasrpyefrtjpxdxnt2wspz0wedzt" timestamp="1697820166"&gt;111&lt;/key&gt;&lt;/foreign-keys&gt;&lt;ref-type name="Journal Article"&gt;17&lt;/ref-type&gt;&lt;contributors&gt;&lt;authors&gt;&lt;author&gt;Wachtel, Sarah&lt;/author&gt;&lt;author&gt;Vocks, Silja&lt;/author&gt;&lt;author&gt;Edel, Marc-Andreas&lt;/author&gt;&lt;author&gt;Nyhuis, Peter&lt;/author&gt;&lt;author&gt;Willutzki, Ulrike&lt;/author&gt;&lt;author&gt;Teismann, Tobias&lt;/author&gt;&lt;/authors&gt;&lt;/contributors&gt;&lt;titles&gt;&lt;title&gt;Validation and psychometric properties of the German Capability for Suicide Questionnaire&lt;/title&gt;&lt;secondary-title&gt;Comprehensive Psychiatry&lt;/secondary-title&gt;&lt;/titles&gt;&lt;periodical&gt;&lt;full-title&gt;Comprehensive Psychiatry&lt;/full-title&gt;&lt;/periodical&gt;&lt;pages&gt;1292-1302&lt;/pages&gt;&lt;volume&gt;55&lt;/volume&gt;&lt;number&gt;5&lt;/number&gt;&lt;dates&gt;&lt;year&gt;2014&lt;/year&gt;&lt;pub-dates&gt;&lt;date&gt;2014/07/01/&lt;/date&gt;&lt;/pub-dates&gt;&lt;/dates&gt;&lt;isbn&gt;0010-440X&lt;/isbn&gt;&lt;urls&gt;&lt;related-urls&gt;&lt;url&gt;https://www.sciencedirect.com/science/article/pii/S0010440X14000571&lt;/url&gt;&lt;/related-urls&gt;&lt;/urls&gt;&lt;electronic-resource-num&gt;10.1016/j.comppsych.2014.03.008&lt;/electronic-resource-num&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[34]</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 xml:space="preserve"> and has been previously applied in Chinese adolescence cohort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&lt;EndNote&gt;&lt;Cite&gt;&lt;Author&gt;Ren&lt;/Author&gt;&lt;Year&gt;2019&lt;/Year&gt;&lt;RecNum&gt;153&lt;/RecNum&gt;&lt;DisplayText&gt;[35]&lt;/DisplayText&gt;&lt;record&gt;&lt;rec-number&gt;153&lt;/rec-number&gt;&lt;foreign-keys&gt;&lt;key app="EN" db-id="vp52av05uasrpyefrtjpxdxnt2wspz0wedzt" timestamp="1707939533"&gt;153&lt;/key&gt;&lt;/foreign-keys&gt;&lt;ref-type name="Journal Article"&gt;17&lt;/ref-type&gt;&lt;contributors&gt;&lt;authors&gt;&lt;author&gt;Ren, Yaxuan&lt;/author&gt;&lt;author&gt;You, Jianing&lt;/author&gt;&lt;author&gt;Zhang, Xu&lt;/author&gt;&lt;author&gt;Huang, Jiyi&lt;/author&gt;&lt;author&gt;Conner, Bradley T.&lt;/author&gt;&lt;author&gt;Sun, Rui&lt;/author&gt;&lt;author&gt;Xu, Sian&lt;/author&gt;&lt;author&gt;Lin, Min-Pei&lt;/author&gt;&lt;/authors&gt;&lt;/contributors&gt;&lt;titles&gt;&lt;title&gt;Differentiating Suicide Attempters from Suicide Ideators: The Role of Capability for Suicide&lt;/title&gt;&lt;secondary-title&gt;Archives of Suicide Research&lt;/secondary-title&gt;&lt;/titles&gt;&lt;periodical&gt;&lt;full-title&gt;Archives of Suicide Research&lt;/full-title&gt;&lt;/periodical&gt;&lt;pages&gt;64-81&lt;/pages&gt;&lt;volume&gt;23&lt;/volume&gt;&lt;number&gt;1&lt;/number&gt;&lt;dates&gt;&lt;year&gt;2019&lt;/year&gt;&lt;pub-dates&gt;&lt;date&gt;2019/01/02&lt;/date&gt;&lt;/pub-dates&gt;&lt;/dates&gt;&lt;publisher&gt;Routledge&lt;/publisher&gt;&lt;isbn&gt;1381-1118&lt;/isbn&gt;&lt;urls&gt;&lt;related-urls&gt;&lt;url&gt;https://doi.org/10.1080/13811118.2018.1426507&lt;/url&gt;&lt;/related-urls&gt;&lt;/urls&gt;&lt;electronic-resource-num&gt;10.1080/13811118.2018.1426507&lt;/electronic-resource-num&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[35]</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 xml:space="preserve">. The Fear of Happiness Scale (FHS) was used to measure fear of happiness scores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&lt;EndNote&gt;&lt;Cite&gt;&lt;Author&gt;Gilbert&lt;/Author&gt;&lt;Year&gt;2012&lt;/Year&gt;&lt;RecNum&gt;112&lt;/RecNum&gt;&lt;DisplayText&gt;[36]&lt;/DisplayText&gt;&lt;record&gt;&lt;rec-number&gt;112&lt;/rec-number&gt;&lt;foreign-keys&gt;&lt;key app="EN" db-id="vp52av05uasrpyefrtjpxdxnt2wspz0wedzt" timestamp="1697820167"&gt;112&lt;/key&gt;&lt;/foreign-keys&gt;&lt;ref-type name="Journal Article"&gt;17&lt;/ref-type&gt;&lt;contributors&gt;&lt;authors&gt;&lt;author&gt;Gilbert, P.&lt;/author&gt;&lt;author&gt;McEwan, K.&lt;/author&gt;&lt;author&gt;Gibbons, L.&lt;/author&gt;&lt;author&gt;Chotai, S.&lt;/author&gt;&lt;author&gt;Duarte, J.&lt;/author&gt;&lt;author&gt;Matos, M.&lt;/author&gt;&lt;/authors&gt;&lt;/contributors&gt;&lt;auth-address&gt;Mental Health Research Unit, Kingsway Hospital, Derby, UK. p.gilbert@derby.ac.uk&lt;/auth-address&gt;&lt;titles&gt;&lt;title&gt;Fears of compassion and happiness in relation to alexithymia, mindfulness, and self-criticism&lt;/title&gt;&lt;secondary-title&gt;Psychol Psychother&lt;/secondary-title&gt;&lt;/titles&gt;&lt;periodical&gt;&lt;full-title&gt;Psychol Psychother&lt;/full-title&gt;&lt;/periodical&gt;&lt;pages&gt;374-90&lt;/pages&gt;&lt;volume&gt;85&lt;/volume&gt;&lt;number&gt;4&lt;/number&gt;&lt;edition&gt;20111108&lt;/edition&gt;&lt;keywords&gt;&lt;keyword&gt;Adolescent&lt;/keyword&gt;&lt;keyword&gt;Adult&lt;/keyword&gt;&lt;keyword&gt;Affective Symptoms/*psychology&lt;/keyword&gt;&lt;keyword&gt;Depression/*psychology&lt;/keyword&gt;&lt;keyword&gt;*Empathy&lt;/keyword&gt;&lt;keyword&gt;Factor Analysis, Statistical&lt;/keyword&gt;&lt;keyword&gt;Fear/*psychology&lt;/keyword&gt;&lt;keyword&gt;Female&lt;/keyword&gt;&lt;keyword&gt;Humans&lt;/keyword&gt;&lt;keyword&gt;Male&lt;/keyword&gt;&lt;keyword&gt;Middle Aged&lt;/keyword&gt;&lt;keyword&gt;Psychometrics/instrumentation&lt;/keyword&gt;&lt;keyword&gt;*Self-Assessment&lt;/keyword&gt;&lt;/keywords&gt;&lt;dates&gt;&lt;year&gt;2012&lt;/year&gt;&lt;pub-dates&gt;&lt;date&gt;Dec&lt;/date&gt;&lt;/pub-dates&gt;&lt;/dates&gt;&lt;isbn&gt;1476-0835&lt;/isbn&gt;&lt;accession-num&gt;23080529&lt;/accession-num&gt;&lt;urls&gt;&lt;/urls&gt;&lt;electronic-resource-num&gt;10.1111/j.2044-8341.2011.02046.x&lt;/electronic-resource-num&gt;&lt;remote-database-provider&gt;NLM&lt;/remote-database-provider&gt;&lt;language&gt;eng&lt;/language&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[36]</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 xml:space="preserve">. The scale is </w:t>
      </w:r>
      <w:r w:rsidRPr="00FF292D">
        <w:rPr>
          <w:rFonts w:ascii="Times New Roman" w:hAnsi="Times New Roman" w:cs="Times New Roman"/>
          <w:sz w:val="24"/>
          <w:szCs w:val="24"/>
        </w:rPr>
        <w:lastRenderedPageBreak/>
        <w:t xml:space="preserve">comprised of nine items assessing attitude and apprehension about experiencing happiness (e.g., “Feeling good makes me uncomfortable.”), the answers of which range from one (not at all like me) to 5 (extremely like me), with higher scores representing more fear of happiness. This scale demonstrated good reliability in previous study (Cronbach’s α = 0.94)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&lt;EndNote&gt;&lt;Cite&gt;&lt;Author&gt;Jordan&lt;/Author&gt;&lt;Year&gt;2021&lt;/Year&gt;&lt;RecNum&gt;126&lt;/RecNum&gt;&lt;DisplayText&gt;[37]&lt;/DisplayText&gt;&lt;record&gt;&lt;rec-number&gt;126&lt;/rec-number&gt;&lt;foreign-keys&gt;&lt;key app="EN" db-id="vp52av05uasrpyefrtjpxdxnt2wspz0wedzt" timestamp="1698051150"&gt;126&lt;/key&gt;&lt;/foreign-keys&gt;&lt;ref-type name="Journal Article"&gt;17&lt;/ref-type&gt;&lt;contributors&gt;&lt;authors&gt;&lt;author&gt;Jordan, D. Gage&lt;/author&gt;&lt;author&gt;Collins, Amanda C.&lt;/author&gt;&lt;author&gt;Dunaway, Matthew G.&lt;/author&gt;&lt;author&gt;Kilgore, Jenna&lt;/author&gt;&lt;author&gt;Winer, E. Samuel&lt;/author&gt;&lt;/authors&gt;&lt;/contributors&gt;&lt;titles&gt;&lt;title&gt;Negative affect interference and fear of happiness are independently associated with depressive symptoms&lt;/title&gt;&lt;secondary-title&gt;Journal of Clinical Psychology&lt;/secondary-title&gt;&lt;/titles&gt;&lt;periodical&gt;&lt;full-title&gt;Journal of Clinical Psychology&lt;/full-title&gt;&lt;/periodical&gt;&lt;pages&gt;646-660&lt;/pages&gt;&lt;volume&gt;77&lt;/volume&gt;&lt;number&gt;3&lt;/number&gt;&lt;keywords&gt;&lt;keyword&gt;anhedonia&lt;/keyword&gt;&lt;keyword&gt;depression&lt;/keyword&gt;&lt;keyword&gt;happiness&lt;/keyword&gt;&lt;keyword&gt;negative affect&lt;/keyword&gt;&lt;keyword&gt;positive affect&lt;/keyword&gt;&lt;keyword&gt;reward devaluation theory&lt;/keyword&gt;&lt;/keywords&gt;&lt;dates&gt;&lt;year&gt;2021&lt;/year&gt;&lt;pub-dates&gt;&lt;date&gt;2021/03/01&lt;/date&gt;&lt;/pub-dates&gt;&lt;/dates&gt;&lt;publisher&gt;John Wiley &amp;amp; Sons, Ltd&lt;/publisher&gt;&lt;isbn&gt;0021-9762&lt;/isbn&gt;&lt;urls&gt;&lt;related-urls&gt;&lt;url&gt;https://doi.org/10.1002/jclp.23066&lt;/url&gt;&lt;/related-urls&gt;&lt;/urls&gt;&lt;electronic-resource-num&gt;10.1002/jclp.23066&lt;/electronic-resource-num&gt;&lt;access-date&gt;2023/10/23&lt;/access-date&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[37]</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 xml:space="preserve">. And study showed that the Chinese version scale has good validity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&lt;EndNote&gt;&lt;Cite&gt;&lt;Author&gt;Joshanloo&lt;/Author&gt;&lt;Year&gt;2013&lt;/Year&gt;&lt;RecNum&gt;154&lt;/RecNum&gt;&lt;DisplayText&gt;[38]&lt;/DisplayText&gt;&lt;record&gt;&lt;rec-number&gt;154&lt;/rec-number&gt;&lt;foreign-keys&gt;&lt;key app="EN" db-id="vp52av05uasrpyefrtjpxdxnt2wspz0wedzt" timestamp="1707939581"&gt;154&lt;/key&gt;&lt;/foreign-keys&gt;&lt;ref-type name="Journal Article"&gt;17&lt;/ref-type&gt;&lt;contributors&gt;&lt;authors&gt;&lt;author&gt;Joshanloo, Mohsen&lt;/author&gt;&lt;author&gt;Lepshokova, Zarina Kh&lt;/author&gt;&lt;author&gt;Panyusheva, Tatiana&lt;/author&gt;&lt;author&gt;Natalia, Amerkhanova&lt;/author&gt;&lt;author&gt;Poon, Wai-Ching&lt;/author&gt;&lt;author&gt;Yeung, Victoria Wai-lan&lt;/author&gt;&lt;author&gt;Sundaram, Suresh&lt;/author&gt;&lt;author&gt;Achoui, Mustapha&lt;/author&gt;&lt;author&gt;Asano, Ryosuke&lt;/author&gt;&lt;author&gt;Igarashi, Tasuku&lt;/author&gt;&lt;author&gt;Tsukamoto, Saori&lt;/author&gt;&lt;author&gt;Rizwan, Muhammad&lt;/author&gt;&lt;author&gt;Khilji, Imran Ahmed&lt;/author&gt;&lt;author&gt;Ferreira, Maria Cristina&lt;/author&gt;&lt;author&gt;Pang, Joyce S.&lt;/author&gt;&lt;author&gt;Ho, Lok Sang&lt;/author&gt;&lt;author&gt;Han, Gyuseog&lt;/author&gt;&lt;author&gt;Bae, Jaechang&lt;/author&gt;&lt;author&gt;Jiang, Ding-Yu&lt;/author&gt;&lt;/authors&gt;&lt;/contributors&gt;&lt;titles&gt;&lt;title&gt;Cross-Cultural Validation of Fear of Happiness Scale Across 14 National Groups&lt;/title&gt;&lt;secondary-title&gt;Journal of Cross-Cultural Psychology&lt;/secondary-title&gt;&lt;/titles&gt;&lt;periodical&gt;&lt;full-title&gt;Journal of Cross-Cultural Psychology&lt;/full-title&gt;&lt;/periodical&gt;&lt;pages&gt;246-264&lt;/pages&gt;&lt;volume&gt;45&lt;/volume&gt;&lt;number&gt;2&lt;/number&gt;&lt;dates&gt;&lt;year&gt;2013&lt;/year&gt;&lt;pub-dates&gt;&lt;date&gt;2014/02/01&lt;/date&gt;&lt;/pub-dates&gt;&lt;/dates&gt;&lt;publisher&gt;SAGE Publications Inc&lt;/publisher&gt;&lt;isbn&gt;0022-0221&lt;/isbn&gt;&lt;urls&gt;&lt;related-urls&gt;&lt;url&gt;https://doi.org/10.1177/0022022113505357&lt;/url&gt;&lt;/related-urls&gt;&lt;/urls&gt;&lt;electronic-resource-num&gt;10.1177/0022022113505357&lt;/electronic-resource-num&gt;&lt;access-date&gt;2024/02/14&lt;/access-date&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[38]</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 The Chinese version of the Self-Compassion Scale-Short Form (SCS-SF) which has a 5-point Likert scale was used to assess self-compassion. SCS-SF measures all six components of self-compassion, i.e., self-kindness, self-judgment, common humanity, isolation, mindfulness, and over-identification, with twelve questions, each scoring from 0 ("almost never") to 5 ("almost always"). The total score is calculated to measure the general tendency of self-compassion</w:t>
      </w:r>
      <w:r w:rsidR="00E91A27" w:rsidRPr="00FF292D">
        <w:rPr>
          <w:rFonts w:ascii="Times New Roman" w:hAnsi="Times New Roman" w:cs="Times New Roman"/>
          <w:sz w:val="24"/>
          <w:szCs w:val="24"/>
        </w:rPr>
        <w:t xml:space="preserve"> </w:t>
      </w:r>
      <w:r w:rsidR="00E91A27" w:rsidRPr="00FF292D">
        <w:rPr>
          <w:rFonts w:ascii="Times New Roman" w:hAnsi="Times New Roman" w:cs="Times New Roman"/>
          <w:sz w:val="24"/>
          <w:szCs w:val="24"/>
        </w:rPr>
        <w:fldChar w:fldCharType="begin"/>
      </w:r>
      <w:r w:rsidR="00AF3808">
        <w:rPr>
          <w:rFonts w:ascii="Times New Roman" w:hAnsi="Times New Roman" w:cs="Times New Roman"/>
          <w:sz w:val="24"/>
          <w:szCs w:val="24"/>
        </w:rPr>
        <w:instrText xml:space="preserve"> ADDIN EN.CITE &lt;EndNote&gt;&lt;Cite&gt;&lt;Author&gt;Raes&lt;/Author&gt;&lt;Year&gt;2011&lt;/Year&gt;&lt;RecNum&gt;95&lt;/RecNum&gt;&lt;DisplayText&gt;[39]&lt;/DisplayText&gt;&lt;record&gt;&lt;rec-number&gt;95&lt;/rec-number&gt;&lt;foreign-keys&gt;&lt;key app="EN" db-id="vp52av05uasrpyefrtjpxdxnt2wspz0wedzt" timestamp="1697816655"&gt;95&lt;/key&gt;&lt;/foreign-keys&gt;&lt;ref-type name="Journal Article"&gt;17&lt;/ref-type&gt;&lt;contributors&gt;&lt;authors&gt;&lt;author&gt;Raes, F.&lt;/author&gt;&lt;author&gt;Pommier, E.&lt;/author&gt;&lt;author&gt;Neff, K. D.&lt;/author&gt;&lt;author&gt;Van Gucht, D.&lt;/author&gt;&lt;/authors&gt;&lt;/contributors&gt;&lt;auth-address&gt;University of Leuven, Belgium. filip.raes@psy.kuleuven.be&lt;/auth-address&gt;&lt;titles&gt;&lt;title&gt;Construction and factorial validation of a short form of the Self-Compassion Scale&lt;/title&gt;&lt;secondary-title&gt;Clin Psychol Psychother&lt;/secondary-title&gt;&lt;/titles&gt;&lt;periodical&gt;&lt;full-title&gt;Clin Psychol Psychother&lt;/full-title&gt;&lt;/periodical&gt;&lt;pages&gt;250-5&lt;/pages&gt;&lt;volume&gt;18&lt;/volume&gt;&lt;number&gt;3&lt;/number&gt;&lt;edition&gt;20100608&lt;/edition&gt;&lt;keywords&gt;&lt;keyword&gt;Adolescent&lt;/keyword&gt;&lt;keyword&gt;Adult&lt;/keyword&gt;&lt;keyword&gt;Belgium&lt;/keyword&gt;&lt;keyword&gt;*Empathy&lt;/keyword&gt;&lt;keyword&gt;Factor Analysis, Statistical&lt;/keyword&gt;&lt;keyword&gt;Female&lt;/keyword&gt;&lt;keyword&gt;Humans&lt;/keyword&gt;&lt;keyword&gt;Male&lt;/keyword&gt;&lt;keyword&gt;Middle Aged&lt;/keyword&gt;&lt;keyword&gt;*Psychological Tests&lt;/keyword&gt;&lt;keyword&gt;Reproducibility of Results&lt;/keyword&gt;&lt;keyword&gt;*Self Concept&lt;/keyword&gt;&lt;keyword&gt;Texas&lt;/keyword&gt;&lt;/keywords&gt;&lt;dates&gt;&lt;year&gt;2011&lt;/year&gt;&lt;pub-dates&gt;&lt;date&gt;May-Jun&lt;/date&gt;&lt;/pub-dates&gt;&lt;/dates&gt;&lt;isbn&gt;1063-3995&lt;/isbn&gt;&lt;accession-num&gt;21584907&lt;/accession-num&gt;&lt;urls&gt;&lt;/urls&gt;&lt;electronic-resource-num&gt;10.1002/cpp.702&lt;/electronic-resource-num&gt;&lt;remote-database-provider&gt;NLM&lt;/remote-database-provider&gt;&lt;language&gt;eng&lt;/language&gt;&lt;/record&gt;&lt;/Cite&gt;&lt;/EndNote&gt;</w:instrText>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[39]</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 xml:space="preserve">. The Chinese version of SCS-SF showed acceptable reliability in a college student sample (Cronbach’s α = 0.77) </w:t>
      </w:r>
      <w:r w:rsidR="00E91A27" w:rsidRPr="00FF292D">
        <w:rPr>
          <w:rFonts w:ascii="Times New Roman" w:hAnsi="Times New Roman" w:cs="Times New Roman"/>
          <w:sz w:val="24"/>
          <w:szCs w:val="24"/>
        </w:rPr>
        <w:fldChar w:fldCharType="begin">
          <w:fldData xml:space="preserve">PEVuZE5vdGU+PENpdGU+PEF1dGhvcj5IdWFuZzwvQXV0aG9yPjxZZWFyPjIwMjM8L1llYXI+PFJl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</w:fldData>
        </w:fldChar>
      </w:r>
      <w:r w:rsidR="00AF3808">
        <w:rPr>
          <w:rFonts w:ascii="Times New Roman" w:hAnsi="Times New Roman" w:cs="Times New Roman"/>
          <w:sz w:val="24"/>
          <w:szCs w:val="24"/>
        </w:rPr>
        <w:instrText xml:space="preserve"> ADDIN EN.CITE </w:instrText>
      </w:r>
      <w:r w:rsidR="00AF3808">
        <w:rPr>
          <w:rFonts w:ascii="Times New Roman" w:hAnsi="Times New Roman" w:cs="Times New Roman"/>
          <w:sz w:val="24"/>
          <w:szCs w:val="24"/>
        </w:rPr>
        <w:fldChar w:fldCharType="begin">
          <w:fldData xml:space="preserve">PEVuZE5vdGU+PENpdGU+PEF1dGhvcj5IdWFuZzwvQXV0aG9yPjxZZWFyPjIwMjM8L1llYXI+PFJl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</w:fldData>
        </w:fldChar>
      </w:r>
      <w:r w:rsidR="00AF3808">
        <w:rPr>
          <w:rFonts w:ascii="Times New Roman" w:hAnsi="Times New Roman" w:cs="Times New Roman"/>
          <w:sz w:val="24"/>
          <w:szCs w:val="24"/>
        </w:rPr>
        <w:instrText xml:space="preserve"> ADDIN EN.CITE.DATA </w:instrText>
      </w:r>
      <w:r w:rsidR="00AF3808">
        <w:rPr>
          <w:rFonts w:ascii="Times New Roman" w:hAnsi="Times New Roman" w:cs="Times New Roman"/>
          <w:sz w:val="24"/>
          <w:szCs w:val="24"/>
        </w:rPr>
      </w:r>
      <w:r w:rsidR="00AF3808">
        <w:rPr>
          <w:rFonts w:ascii="Times New Roman" w:hAnsi="Times New Roman" w:cs="Times New Roman"/>
          <w:sz w:val="24"/>
          <w:szCs w:val="24"/>
        </w:rPr>
        <w:fldChar w:fldCharType="end"/>
      </w:r>
      <w:r w:rsidR="00E91A27" w:rsidRPr="00FF292D">
        <w:rPr>
          <w:rFonts w:ascii="Times New Roman" w:hAnsi="Times New Roman" w:cs="Times New Roman"/>
          <w:sz w:val="24"/>
          <w:szCs w:val="24"/>
        </w:rPr>
      </w:r>
      <w:r w:rsidR="00E91A27" w:rsidRPr="00FF292D">
        <w:rPr>
          <w:rFonts w:ascii="Times New Roman" w:hAnsi="Times New Roman" w:cs="Times New Roman"/>
          <w:sz w:val="24"/>
          <w:szCs w:val="24"/>
        </w:rPr>
        <w:fldChar w:fldCharType="separate"/>
      </w:r>
      <w:r w:rsidR="00AF3808">
        <w:rPr>
          <w:rFonts w:ascii="Times New Roman" w:hAnsi="Times New Roman" w:cs="Times New Roman"/>
          <w:noProof/>
          <w:sz w:val="24"/>
          <w:szCs w:val="24"/>
        </w:rPr>
        <w:t>[40]</w:t>
      </w:r>
      <w:r w:rsidR="00E91A27" w:rsidRPr="00FF292D">
        <w:rPr>
          <w:rFonts w:ascii="Times New Roman" w:hAnsi="Times New Roman" w:cs="Times New Roman"/>
          <w:sz w:val="24"/>
          <w:szCs w:val="24"/>
        </w:rPr>
        <w:fldChar w:fldCharType="end"/>
      </w:r>
      <w:r w:rsidRPr="00FF292D">
        <w:rPr>
          <w:rFonts w:ascii="Times New Roman" w:hAnsi="Times New Roman" w:cs="Times New Roman"/>
          <w:sz w:val="24"/>
          <w:szCs w:val="24"/>
        </w:rPr>
        <w:t>.</w:t>
      </w:r>
    </w:p>
    <w:bookmarkEnd w:id="3"/>
    <w:p w14:paraId="0A2DA86D" w14:textId="77777777" w:rsidR="00D31C6E" w:rsidRPr="00FF292D" w:rsidRDefault="00D31C6E" w:rsidP="00FF292D">
      <w:pPr>
        <w:spacing w:line="480" w:lineRule="auto"/>
        <w:rPr>
          <w:rFonts w:ascii="Times New Roman" w:hAnsi="Times New Roman" w:cs="Times New Roman"/>
          <w:sz w:val="24"/>
          <w:szCs w:val="24"/>
        </w:rPr>
      </w:pPr>
    </w:p>
    <w:p w14:paraId="27D90B8A" w14:textId="2950E424" w:rsidR="00F43938" w:rsidRDefault="00F43938" w:rsidP="00AD70A3">
      <w:pPr>
        <w:widowControl/>
        <w:spacing w:line="480" w:lineRule="auto"/>
        <w:jc w:val="left"/>
        <w:rPr>
          <w:rFonts w:ascii="Verdana" w:hAnsi="Verdana"/>
        </w:rPr>
      </w:pPr>
      <w:r>
        <w:rPr>
          <w:rFonts w:ascii="Verdana" w:hAnsi="Verdana"/>
        </w:rPr>
        <w:br w:type="page"/>
      </w:r>
    </w:p>
    <w:p w14:paraId="7A215329" w14:textId="50C9860D" w:rsidR="00774D9A" w:rsidRPr="00F810EC" w:rsidRDefault="00774D9A" w:rsidP="001661AD">
      <w:pPr>
        <w:widowControl/>
        <w:ind w:leftChars="-270" w:left="-567"/>
        <w:jc w:val="left"/>
        <w:rPr>
          <w:rFonts w:ascii="Times New Roman" w:hAnsi="Times New Roman" w:cs="Times New Roman"/>
          <w:sz w:val="24"/>
          <w:szCs w:val="24"/>
        </w:rPr>
      </w:pPr>
      <w:r w:rsidRPr="00F810EC">
        <w:rPr>
          <w:rFonts w:ascii="Times New Roman" w:hAnsi="Times New Roman" w:cs="Times New Roman"/>
          <w:b/>
          <w:bCs/>
          <w:sz w:val="24"/>
          <w:szCs w:val="24"/>
        </w:rPr>
        <w:lastRenderedPageBreak/>
        <w:t>2 Supplementary results</w:t>
      </w:r>
    </w:p>
    <w:p w14:paraId="5DA8B40A" w14:textId="00ACE944" w:rsidR="00F43938" w:rsidRPr="00F810EC" w:rsidRDefault="00F43938" w:rsidP="001661AD">
      <w:pPr>
        <w:widowControl/>
        <w:ind w:leftChars="-270" w:left="-567"/>
        <w:jc w:val="left"/>
        <w:rPr>
          <w:rFonts w:ascii="Times New Roman" w:hAnsi="Times New Roman" w:cs="Times New Roman"/>
          <w:sz w:val="24"/>
          <w:szCs w:val="24"/>
        </w:rPr>
      </w:pPr>
      <w:r w:rsidRPr="00F810EC">
        <w:rPr>
          <w:rFonts w:ascii="Times New Roman" w:hAnsi="Times New Roman" w:cs="Times New Roman"/>
          <w:sz w:val="24"/>
          <w:szCs w:val="24"/>
        </w:rPr>
        <w:t>Table S1. Chi-square tests and t-tests for the most important variables in Model 1</w:t>
      </w:r>
    </w:p>
    <w:tbl>
      <w:tblPr>
        <w:tblW w:w="9262" w:type="dxa"/>
        <w:tblInd w:w="-567" w:type="dxa"/>
        <w:tblLook w:val="04A0" w:firstRow="1" w:lastRow="0" w:firstColumn="1" w:lastColumn="0" w:noHBand="0" w:noVBand="1"/>
      </w:tblPr>
      <w:tblGrid>
        <w:gridCol w:w="222"/>
        <w:gridCol w:w="3097"/>
        <w:gridCol w:w="1926"/>
        <w:gridCol w:w="1985"/>
        <w:gridCol w:w="996"/>
        <w:gridCol w:w="1036"/>
      </w:tblGrid>
      <w:tr w:rsidR="00F43938" w:rsidRPr="00F810EC" w14:paraId="341BE382" w14:textId="77777777" w:rsidTr="0065407F">
        <w:trPr>
          <w:trHeight w:val="276"/>
        </w:trPr>
        <w:tc>
          <w:tcPr>
            <w:tcW w:w="3319" w:type="dxa"/>
            <w:gridSpan w:val="2"/>
            <w:vMerge w:val="restart"/>
            <w:tcBorders>
              <w:top w:val="single" w:sz="4" w:space="0" w:color="auto"/>
              <w:left w:val="nil"/>
              <w:bottom w:val="single" w:sz="4" w:space="0" w:color="000000"/>
              <w:right w:val="nil"/>
            </w:tcBorders>
            <w:shd w:val="clear" w:color="auto" w:fill="auto"/>
            <w:noWrap/>
            <w:vAlign w:val="center"/>
            <w:hideMark/>
          </w:tcPr>
          <w:p w14:paraId="2C0FC903"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Suicidality</w:t>
            </w:r>
          </w:p>
        </w:tc>
        <w:tc>
          <w:tcPr>
            <w:tcW w:w="1926" w:type="dxa"/>
            <w:tcBorders>
              <w:top w:val="single" w:sz="4" w:space="0" w:color="auto"/>
              <w:left w:val="nil"/>
              <w:bottom w:val="nil"/>
              <w:right w:val="nil"/>
            </w:tcBorders>
            <w:shd w:val="clear" w:color="auto" w:fill="auto"/>
            <w:noWrap/>
            <w:vAlign w:val="center"/>
            <w:hideMark/>
          </w:tcPr>
          <w:p w14:paraId="749F48B6"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Low</w:t>
            </w:r>
          </w:p>
        </w:tc>
        <w:tc>
          <w:tcPr>
            <w:tcW w:w="1985" w:type="dxa"/>
            <w:tcBorders>
              <w:top w:val="single" w:sz="4" w:space="0" w:color="auto"/>
              <w:left w:val="nil"/>
              <w:bottom w:val="nil"/>
              <w:right w:val="nil"/>
            </w:tcBorders>
            <w:shd w:val="clear" w:color="auto" w:fill="auto"/>
            <w:noWrap/>
            <w:vAlign w:val="center"/>
            <w:hideMark/>
          </w:tcPr>
          <w:p w14:paraId="1DB5590B"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High</w:t>
            </w:r>
          </w:p>
        </w:tc>
        <w:tc>
          <w:tcPr>
            <w:tcW w:w="996" w:type="dxa"/>
            <w:vMerge w:val="restart"/>
            <w:tcBorders>
              <w:top w:val="single" w:sz="4" w:space="0" w:color="auto"/>
              <w:left w:val="nil"/>
              <w:bottom w:val="single" w:sz="4" w:space="0" w:color="000000"/>
              <w:right w:val="nil"/>
            </w:tcBorders>
            <w:shd w:val="clear" w:color="auto" w:fill="auto"/>
            <w:noWrap/>
            <w:vAlign w:val="center"/>
            <w:hideMark/>
          </w:tcPr>
          <w:p w14:paraId="5125B643"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t/X</w:t>
            </w:r>
            <w:r w:rsidRPr="00F810EC">
              <w:rPr>
                <w:rFonts w:ascii="Times New Roman" w:eastAsia="等线" w:hAnsi="Times New Roman" w:cs="Times New Roman"/>
                <w:color w:val="000000"/>
                <w:kern w:val="0"/>
                <w:sz w:val="24"/>
                <w:szCs w:val="24"/>
                <w:vertAlign w:val="superscript"/>
              </w:rPr>
              <w:t>2</w:t>
            </w:r>
          </w:p>
        </w:tc>
        <w:tc>
          <w:tcPr>
            <w:tcW w:w="1036" w:type="dxa"/>
            <w:vMerge w:val="restart"/>
            <w:tcBorders>
              <w:top w:val="single" w:sz="4" w:space="0" w:color="auto"/>
              <w:left w:val="nil"/>
              <w:bottom w:val="single" w:sz="4" w:space="0" w:color="000000"/>
              <w:right w:val="nil"/>
            </w:tcBorders>
            <w:shd w:val="clear" w:color="auto" w:fill="auto"/>
            <w:noWrap/>
            <w:vAlign w:val="center"/>
            <w:hideMark/>
          </w:tcPr>
          <w:p w14:paraId="2ECE1C2E" w14:textId="77777777" w:rsidR="00F43938" w:rsidRPr="00F810EC" w:rsidRDefault="00F43938" w:rsidP="0078260E">
            <w:pPr>
              <w:widowControl/>
              <w:jc w:val="center"/>
              <w:rPr>
                <w:rFonts w:ascii="Times New Roman" w:eastAsia="等线" w:hAnsi="Times New Roman" w:cs="Times New Roman"/>
                <w:i/>
                <w:iCs/>
                <w:color w:val="000000"/>
                <w:kern w:val="0"/>
                <w:sz w:val="24"/>
                <w:szCs w:val="24"/>
              </w:rPr>
            </w:pPr>
            <w:r w:rsidRPr="00F810EC">
              <w:rPr>
                <w:rFonts w:ascii="Times New Roman" w:eastAsia="等线" w:hAnsi="Times New Roman" w:cs="Times New Roman"/>
                <w:i/>
                <w:iCs/>
                <w:color w:val="000000"/>
                <w:kern w:val="0"/>
                <w:sz w:val="24"/>
                <w:szCs w:val="24"/>
              </w:rPr>
              <w:t>p</w:t>
            </w:r>
          </w:p>
        </w:tc>
      </w:tr>
      <w:tr w:rsidR="00F43938" w:rsidRPr="00F810EC" w14:paraId="76C1F17E" w14:textId="77777777" w:rsidTr="0065407F">
        <w:trPr>
          <w:trHeight w:val="276"/>
        </w:trPr>
        <w:tc>
          <w:tcPr>
            <w:tcW w:w="3319" w:type="dxa"/>
            <w:gridSpan w:val="2"/>
            <w:vMerge/>
            <w:tcBorders>
              <w:top w:val="single" w:sz="4" w:space="0" w:color="auto"/>
              <w:left w:val="nil"/>
              <w:bottom w:val="single" w:sz="4" w:space="0" w:color="000000"/>
              <w:right w:val="nil"/>
            </w:tcBorders>
            <w:vAlign w:val="center"/>
            <w:hideMark/>
          </w:tcPr>
          <w:p w14:paraId="2CF3C10D"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c>
          <w:tcPr>
            <w:tcW w:w="1926" w:type="dxa"/>
            <w:tcBorders>
              <w:top w:val="nil"/>
              <w:left w:val="nil"/>
              <w:bottom w:val="single" w:sz="4" w:space="0" w:color="auto"/>
              <w:right w:val="nil"/>
            </w:tcBorders>
            <w:shd w:val="clear" w:color="auto" w:fill="auto"/>
            <w:noWrap/>
            <w:vAlign w:val="center"/>
            <w:hideMark/>
          </w:tcPr>
          <w:p w14:paraId="1E41ECDC"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 xml:space="preserve"> (n=2849)</w:t>
            </w:r>
          </w:p>
        </w:tc>
        <w:tc>
          <w:tcPr>
            <w:tcW w:w="1985" w:type="dxa"/>
            <w:tcBorders>
              <w:top w:val="nil"/>
              <w:left w:val="nil"/>
              <w:bottom w:val="single" w:sz="4" w:space="0" w:color="auto"/>
              <w:right w:val="nil"/>
            </w:tcBorders>
            <w:shd w:val="clear" w:color="auto" w:fill="auto"/>
            <w:noWrap/>
            <w:vAlign w:val="center"/>
            <w:hideMark/>
          </w:tcPr>
          <w:p w14:paraId="6228854B"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 xml:space="preserve"> (n=1221)</w:t>
            </w:r>
          </w:p>
        </w:tc>
        <w:tc>
          <w:tcPr>
            <w:tcW w:w="996" w:type="dxa"/>
            <w:vMerge/>
            <w:tcBorders>
              <w:top w:val="single" w:sz="4" w:space="0" w:color="auto"/>
              <w:left w:val="nil"/>
              <w:bottom w:val="single" w:sz="4" w:space="0" w:color="000000"/>
              <w:right w:val="nil"/>
            </w:tcBorders>
            <w:vAlign w:val="center"/>
            <w:hideMark/>
          </w:tcPr>
          <w:p w14:paraId="478E7220"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c>
          <w:tcPr>
            <w:tcW w:w="1036" w:type="dxa"/>
            <w:vMerge/>
            <w:tcBorders>
              <w:top w:val="single" w:sz="4" w:space="0" w:color="auto"/>
              <w:left w:val="nil"/>
              <w:bottom w:val="single" w:sz="4" w:space="0" w:color="000000"/>
              <w:right w:val="nil"/>
            </w:tcBorders>
            <w:vAlign w:val="center"/>
            <w:hideMark/>
          </w:tcPr>
          <w:p w14:paraId="3EBD1456" w14:textId="77777777" w:rsidR="00F43938" w:rsidRPr="00F810EC" w:rsidRDefault="00F43938" w:rsidP="0078260E">
            <w:pPr>
              <w:widowControl/>
              <w:jc w:val="left"/>
              <w:rPr>
                <w:rFonts w:ascii="Times New Roman" w:eastAsia="等线" w:hAnsi="Times New Roman" w:cs="Times New Roman"/>
                <w:i/>
                <w:iCs/>
                <w:color w:val="000000"/>
                <w:kern w:val="0"/>
                <w:sz w:val="24"/>
                <w:szCs w:val="24"/>
              </w:rPr>
            </w:pPr>
          </w:p>
        </w:tc>
      </w:tr>
      <w:tr w:rsidR="00F43938" w:rsidRPr="00F810EC" w14:paraId="1A847590" w14:textId="77777777" w:rsidTr="0065407F">
        <w:trPr>
          <w:trHeight w:val="276"/>
        </w:trPr>
        <w:tc>
          <w:tcPr>
            <w:tcW w:w="222" w:type="dxa"/>
            <w:tcBorders>
              <w:top w:val="nil"/>
              <w:left w:val="nil"/>
              <w:bottom w:val="nil"/>
              <w:right w:val="nil"/>
            </w:tcBorders>
            <w:shd w:val="clear" w:color="auto" w:fill="auto"/>
            <w:noWrap/>
            <w:vAlign w:val="bottom"/>
            <w:hideMark/>
          </w:tcPr>
          <w:p w14:paraId="095A6F34" w14:textId="77777777" w:rsidR="00F43938" w:rsidRPr="00F810EC" w:rsidRDefault="00F43938" w:rsidP="0078260E">
            <w:pPr>
              <w:widowControl/>
              <w:jc w:val="center"/>
              <w:rPr>
                <w:rFonts w:ascii="Times New Roman" w:eastAsia="等线" w:hAnsi="Times New Roman" w:cs="Times New Roman"/>
                <w:color w:val="000000"/>
                <w:kern w:val="0"/>
                <w:sz w:val="24"/>
                <w:szCs w:val="24"/>
              </w:rPr>
            </w:pPr>
          </w:p>
        </w:tc>
        <w:tc>
          <w:tcPr>
            <w:tcW w:w="3097" w:type="dxa"/>
            <w:tcBorders>
              <w:top w:val="nil"/>
              <w:left w:val="nil"/>
              <w:bottom w:val="nil"/>
              <w:right w:val="nil"/>
            </w:tcBorders>
            <w:shd w:val="clear" w:color="auto" w:fill="auto"/>
            <w:noWrap/>
            <w:vAlign w:val="bottom"/>
            <w:hideMark/>
          </w:tcPr>
          <w:p w14:paraId="6D68DE40" w14:textId="77777777" w:rsidR="00F43938" w:rsidRPr="00F810EC" w:rsidRDefault="00F43938" w:rsidP="0078260E">
            <w:pPr>
              <w:widowControl/>
              <w:jc w:val="center"/>
              <w:rPr>
                <w:rFonts w:ascii="Times New Roman" w:eastAsia="Times New Roman" w:hAnsi="Times New Roman" w:cs="Times New Roman"/>
                <w:kern w:val="0"/>
                <w:sz w:val="24"/>
                <w:szCs w:val="24"/>
              </w:rPr>
            </w:pPr>
          </w:p>
        </w:tc>
        <w:tc>
          <w:tcPr>
            <w:tcW w:w="3911" w:type="dxa"/>
            <w:gridSpan w:val="2"/>
            <w:tcBorders>
              <w:top w:val="nil"/>
              <w:left w:val="nil"/>
              <w:bottom w:val="nil"/>
              <w:right w:val="nil"/>
            </w:tcBorders>
            <w:shd w:val="clear" w:color="auto" w:fill="auto"/>
            <w:noWrap/>
            <w:vAlign w:val="center"/>
            <w:hideMark/>
          </w:tcPr>
          <w:p w14:paraId="6B233E93" w14:textId="77777777" w:rsidR="00F43938" w:rsidRPr="00F810EC" w:rsidRDefault="00F43938" w:rsidP="0078260E">
            <w:pPr>
              <w:widowControl/>
              <w:jc w:val="center"/>
              <w:rPr>
                <w:rFonts w:ascii="Times New Roman" w:eastAsia="等线" w:hAnsi="Times New Roman" w:cs="Times New Roman"/>
                <w:i/>
                <w:iCs/>
                <w:color w:val="000000"/>
                <w:kern w:val="0"/>
                <w:sz w:val="24"/>
                <w:szCs w:val="24"/>
              </w:rPr>
            </w:pPr>
            <w:r w:rsidRPr="00F810EC">
              <w:rPr>
                <w:rFonts w:ascii="Times New Roman" w:eastAsia="等线" w:hAnsi="Times New Roman" w:cs="Times New Roman"/>
                <w:i/>
                <w:iCs/>
                <w:color w:val="000000"/>
                <w:kern w:val="0"/>
                <w:sz w:val="24"/>
                <w:szCs w:val="24"/>
              </w:rPr>
              <w:t>n (%)</w:t>
            </w:r>
          </w:p>
        </w:tc>
        <w:tc>
          <w:tcPr>
            <w:tcW w:w="996" w:type="dxa"/>
            <w:tcBorders>
              <w:top w:val="nil"/>
              <w:left w:val="nil"/>
              <w:bottom w:val="nil"/>
              <w:right w:val="nil"/>
            </w:tcBorders>
            <w:shd w:val="clear" w:color="auto" w:fill="auto"/>
            <w:noWrap/>
            <w:vAlign w:val="center"/>
            <w:hideMark/>
          </w:tcPr>
          <w:p w14:paraId="42247B06" w14:textId="77777777" w:rsidR="00F43938" w:rsidRPr="00F810EC" w:rsidRDefault="00F43938" w:rsidP="0078260E">
            <w:pPr>
              <w:widowControl/>
              <w:jc w:val="center"/>
              <w:rPr>
                <w:rFonts w:ascii="Times New Roman" w:eastAsia="等线" w:hAnsi="Times New Roman" w:cs="Times New Roman"/>
                <w:i/>
                <w:iCs/>
                <w:color w:val="000000"/>
                <w:kern w:val="0"/>
                <w:sz w:val="24"/>
                <w:szCs w:val="24"/>
              </w:rPr>
            </w:pPr>
          </w:p>
        </w:tc>
        <w:tc>
          <w:tcPr>
            <w:tcW w:w="1036" w:type="dxa"/>
            <w:tcBorders>
              <w:top w:val="nil"/>
              <w:left w:val="nil"/>
              <w:bottom w:val="nil"/>
              <w:right w:val="nil"/>
            </w:tcBorders>
            <w:shd w:val="clear" w:color="auto" w:fill="auto"/>
            <w:noWrap/>
            <w:vAlign w:val="center"/>
            <w:hideMark/>
          </w:tcPr>
          <w:p w14:paraId="0C906522" w14:textId="77777777" w:rsidR="00F43938" w:rsidRPr="00F810EC" w:rsidRDefault="00F43938" w:rsidP="0078260E">
            <w:pPr>
              <w:widowControl/>
              <w:jc w:val="center"/>
              <w:rPr>
                <w:rFonts w:ascii="Times New Roman" w:eastAsia="Times New Roman" w:hAnsi="Times New Roman" w:cs="Times New Roman"/>
                <w:kern w:val="0"/>
                <w:sz w:val="24"/>
                <w:szCs w:val="24"/>
              </w:rPr>
            </w:pPr>
          </w:p>
        </w:tc>
      </w:tr>
      <w:tr w:rsidR="00F43938" w:rsidRPr="00F810EC" w14:paraId="7DBFF3CD" w14:textId="77777777" w:rsidTr="0065407F">
        <w:trPr>
          <w:trHeight w:val="276"/>
        </w:trPr>
        <w:tc>
          <w:tcPr>
            <w:tcW w:w="3319" w:type="dxa"/>
            <w:gridSpan w:val="2"/>
            <w:tcBorders>
              <w:top w:val="nil"/>
              <w:left w:val="nil"/>
              <w:bottom w:val="nil"/>
              <w:right w:val="nil"/>
            </w:tcBorders>
            <w:shd w:val="clear" w:color="auto" w:fill="auto"/>
            <w:noWrap/>
            <w:vAlign w:val="bottom"/>
            <w:hideMark/>
          </w:tcPr>
          <w:p w14:paraId="669ECF3B"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NSSI</w:t>
            </w:r>
          </w:p>
        </w:tc>
        <w:tc>
          <w:tcPr>
            <w:tcW w:w="1926" w:type="dxa"/>
            <w:tcBorders>
              <w:top w:val="nil"/>
              <w:left w:val="nil"/>
              <w:bottom w:val="nil"/>
              <w:right w:val="nil"/>
            </w:tcBorders>
            <w:shd w:val="clear" w:color="auto" w:fill="auto"/>
            <w:noWrap/>
            <w:vAlign w:val="center"/>
            <w:hideMark/>
          </w:tcPr>
          <w:p w14:paraId="7580F3EE"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c>
          <w:tcPr>
            <w:tcW w:w="1985" w:type="dxa"/>
            <w:tcBorders>
              <w:top w:val="nil"/>
              <w:left w:val="nil"/>
              <w:bottom w:val="nil"/>
              <w:right w:val="nil"/>
            </w:tcBorders>
            <w:shd w:val="clear" w:color="auto" w:fill="auto"/>
            <w:noWrap/>
            <w:vAlign w:val="center"/>
            <w:hideMark/>
          </w:tcPr>
          <w:p w14:paraId="6F1AE812" w14:textId="77777777" w:rsidR="00F43938" w:rsidRPr="00F810EC" w:rsidRDefault="00F43938" w:rsidP="0078260E">
            <w:pPr>
              <w:widowControl/>
              <w:jc w:val="center"/>
              <w:rPr>
                <w:rFonts w:ascii="Times New Roman" w:eastAsia="Times New Roman" w:hAnsi="Times New Roman" w:cs="Times New Roman"/>
                <w:kern w:val="0"/>
                <w:sz w:val="24"/>
                <w:szCs w:val="24"/>
              </w:rPr>
            </w:pPr>
          </w:p>
        </w:tc>
        <w:tc>
          <w:tcPr>
            <w:tcW w:w="996" w:type="dxa"/>
            <w:tcBorders>
              <w:top w:val="nil"/>
              <w:left w:val="nil"/>
              <w:bottom w:val="nil"/>
              <w:right w:val="nil"/>
            </w:tcBorders>
            <w:shd w:val="clear" w:color="auto" w:fill="auto"/>
            <w:noWrap/>
            <w:vAlign w:val="center"/>
            <w:hideMark/>
          </w:tcPr>
          <w:p w14:paraId="7645E90E" w14:textId="77777777" w:rsidR="00F43938" w:rsidRPr="00F810EC" w:rsidRDefault="00F43938" w:rsidP="0078260E">
            <w:pPr>
              <w:widowControl/>
              <w:jc w:val="center"/>
              <w:rPr>
                <w:rFonts w:ascii="Times New Roman" w:eastAsia="Times New Roman" w:hAnsi="Times New Roman" w:cs="Times New Roman"/>
                <w:kern w:val="0"/>
                <w:sz w:val="24"/>
                <w:szCs w:val="24"/>
              </w:rPr>
            </w:pPr>
          </w:p>
        </w:tc>
        <w:tc>
          <w:tcPr>
            <w:tcW w:w="1036" w:type="dxa"/>
            <w:tcBorders>
              <w:top w:val="nil"/>
              <w:left w:val="nil"/>
              <w:bottom w:val="nil"/>
              <w:right w:val="nil"/>
            </w:tcBorders>
            <w:shd w:val="clear" w:color="auto" w:fill="auto"/>
            <w:noWrap/>
            <w:vAlign w:val="center"/>
            <w:hideMark/>
          </w:tcPr>
          <w:p w14:paraId="730ABB4A" w14:textId="77777777" w:rsidR="00F43938" w:rsidRPr="00F810EC" w:rsidRDefault="00F43938" w:rsidP="0078260E">
            <w:pPr>
              <w:widowControl/>
              <w:jc w:val="center"/>
              <w:rPr>
                <w:rFonts w:ascii="Times New Roman" w:eastAsia="Times New Roman" w:hAnsi="Times New Roman" w:cs="Times New Roman"/>
                <w:kern w:val="0"/>
                <w:sz w:val="24"/>
                <w:szCs w:val="24"/>
              </w:rPr>
            </w:pPr>
          </w:p>
        </w:tc>
      </w:tr>
      <w:tr w:rsidR="00F43938" w:rsidRPr="000F04F4" w14:paraId="361BA909" w14:textId="77777777" w:rsidTr="0065407F">
        <w:trPr>
          <w:trHeight w:val="276"/>
        </w:trPr>
        <w:tc>
          <w:tcPr>
            <w:tcW w:w="222" w:type="dxa"/>
            <w:tcBorders>
              <w:top w:val="nil"/>
              <w:left w:val="nil"/>
              <w:bottom w:val="nil"/>
              <w:right w:val="nil"/>
            </w:tcBorders>
            <w:shd w:val="clear" w:color="auto" w:fill="auto"/>
            <w:noWrap/>
            <w:vAlign w:val="bottom"/>
            <w:hideMark/>
          </w:tcPr>
          <w:p w14:paraId="47F8EB4B" w14:textId="77777777" w:rsidR="00F43938" w:rsidRPr="00F810EC" w:rsidRDefault="00F43938" w:rsidP="0078260E">
            <w:pPr>
              <w:widowControl/>
              <w:jc w:val="center"/>
              <w:rPr>
                <w:rFonts w:ascii="Times New Roman" w:eastAsia="Times New Roman" w:hAnsi="Times New Roman" w:cs="Times New Roman"/>
                <w:kern w:val="0"/>
                <w:sz w:val="24"/>
                <w:szCs w:val="24"/>
              </w:rPr>
            </w:pPr>
          </w:p>
        </w:tc>
        <w:tc>
          <w:tcPr>
            <w:tcW w:w="3097" w:type="dxa"/>
            <w:tcBorders>
              <w:top w:val="nil"/>
              <w:left w:val="nil"/>
              <w:bottom w:val="nil"/>
              <w:right w:val="nil"/>
            </w:tcBorders>
            <w:shd w:val="clear" w:color="auto" w:fill="auto"/>
            <w:noWrap/>
            <w:vAlign w:val="center"/>
            <w:hideMark/>
          </w:tcPr>
          <w:p w14:paraId="336784C6"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No</w:t>
            </w:r>
          </w:p>
        </w:tc>
        <w:tc>
          <w:tcPr>
            <w:tcW w:w="1926" w:type="dxa"/>
            <w:tcBorders>
              <w:top w:val="nil"/>
              <w:left w:val="nil"/>
              <w:bottom w:val="nil"/>
              <w:right w:val="nil"/>
            </w:tcBorders>
            <w:shd w:val="clear" w:color="auto" w:fill="auto"/>
            <w:noWrap/>
            <w:vAlign w:val="center"/>
            <w:hideMark/>
          </w:tcPr>
          <w:p w14:paraId="255D6251"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2608 (91.54)</w:t>
            </w:r>
          </w:p>
        </w:tc>
        <w:tc>
          <w:tcPr>
            <w:tcW w:w="1985" w:type="dxa"/>
            <w:tcBorders>
              <w:top w:val="nil"/>
              <w:left w:val="nil"/>
              <w:bottom w:val="nil"/>
              <w:right w:val="nil"/>
            </w:tcBorders>
            <w:shd w:val="clear" w:color="auto" w:fill="auto"/>
            <w:noWrap/>
            <w:vAlign w:val="center"/>
            <w:hideMark/>
          </w:tcPr>
          <w:p w14:paraId="0A9194B9"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666 (54.55)</w:t>
            </w:r>
          </w:p>
        </w:tc>
        <w:tc>
          <w:tcPr>
            <w:tcW w:w="996" w:type="dxa"/>
            <w:vMerge w:val="restart"/>
            <w:tcBorders>
              <w:top w:val="nil"/>
              <w:left w:val="nil"/>
              <w:bottom w:val="nil"/>
              <w:right w:val="nil"/>
            </w:tcBorders>
            <w:shd w:val="clear" w:color="auto" w:fill="auto"/>
            <w:noWrap/>
            <w:vAlign w:val="center"/>
            <w:hideMark/>
          </w:tcPr>
          <w:p w14:paraId="0E0321C7"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759.62</w:t>
            </w:r>
          </w:p>
        </w:tc>
        <w:tc>
          <w:tcPr>
            <w:tcW w:w="1036" w:type="dxa"/>
            <w:vMerge w:val="restart"/>
            <w:tcBorders>
              <w:top w:val="nil"/>
              <w:left w:val="nil"/>
              <w:bottom w:val="nil"/>
              <w:right w:val="nil"/>
            </w:tcBorders>
            <w:shd w:val="clear" w:color="auto" w:fill="auto"/>
            <w:noWrap/>
            <w:vAlign w:val="center"/>
            <w:hideMark/>
          </w:tcPr>
          <w:p w14:paraId="293374FC"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0F04F4" w14:paraId="790AE34C" w14:textId="77777777" w:rsidTr="0065407F">
        <w:trPr>
          <w:trHeight w:val="276"/>
        </w:trPr>
        <w:tc>
          <w:tcPr>
            <w:tcW w:w="222" w:type="dxa"/>
            <w:tcBorders>
              <w:top w:val="nil"/>
              <w:left w:val="nil"/>
              <w:bottom w:val="nil"/>
              <w:right w:val="nil"/>
            </w:tcBorders>
            <w:shd w:val="clear" w:color="auto" w:fill="auto"/>
            <w:noWrap/>
            <w:vAlign w:val="bottom"/>
            <w:hideMark/>
          </w:tcPr>
          <w:p w14:paraId="5E308EAB" w14:textId="77777777" w:rsidR="00F43938" w:rsidRPr="00F810EC" w:rsidRDefault="00F43938" w:rsidP="0078260E">
            <w:pPr>
              <w:widowControl/>
              <w:jc w:val="center"/>
              <w:rPr>
                <w:rFonts w:ascii="Times New Roman" w:eastAsia="等线" w:hAnsi="Times New Roman" w:cs="Times New Roman"/>
                <w:color w:val="000000"/>
                <w:kern w:val="0"/>
                <w:sz w:val="24"/>
                <w:szCs w:val="24"/>
              </w:rPr>
            </w:pPr>
          </w:p>
        </w:tc>
        <w:tc>
          <w:tcPr>
            <w:tcW w:w="3097" w:type="dxa"/>
            <w:tcBorders>
              <w:top w:val="nil"/>
              <w:left w:val="nil"/>
              <w:bottom w:val="nil"/>
              <w:right w:val="nil"/>
            </w:tcBorders>
            <w:shd w:val="clear" w:color="auto" w:fill="auto"/>
            <w:noWrap/>
            <w:vAlign w:val="center"/>
            <w:hideMark/>
          </w:tcPr>
          <w:p w14:paraId="07DE0C24"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Before one year</w:t>
            </w:r>
          </w:p>
        </w:tc>
        <w:tc>
          <w:tcPr>
            <w:tcW w:w="1926" w:type="dxa"/>
            <w:tcBorders>
              <w:top w:val="nil"/>
              <w:left w:val="nil"/>
              <w:bottom w:val="nil"/>
              <w:right w:val="nil"/>
            </w:tcBorders>
            <w:shd w:val="clear" w:color="auto" w:fill="auto"/>
            <w:noWrap/>
            <w:vAlign w:val="center"/>
            <w:hideMark/>
          </w:tcPr>
          <w:p w14:paraId="6C8488A2"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179 (6.28)</w:t>
            </w:r>
          </w:p>
        </w:tc>
        <w:tc>
          <w:tcPr>
            <w:tcW w:w="1985" w:type="dxa"/>
            <w:tcBorders>
              <w:top w:val="nil"/>
              <w:left w:val="nil"/>
              <w:bottom w:val="nil"/>
              <w:right w:val="nil"/>
            </w:tcBorders>
            <w:shd w:val="clear" w:color="auto" w:fill="auto"/>
            <w:noWrap/>
            <w:vAlign w:val="center"/>
            <w:hideMark/>
          </w:tcPr>
          <w:p w14:paraId="337A9A99"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330 (27.03)</w:t>
            </w:r>
          </w:p>
        </w:tc>
        <w:tc>
          <w:tcPr>
            <w:tcW w:w="996" w:type="dxa"/>
            <w:vMerge/>
            <w:tcBorders>
              <w:top w:val="nil"/>
              <w:left w:val="nil"/>
              <w:bottom w:val="nil"/>
              <w:right w:val="nil"/>
            </w:tcBorders>
            <w:vAlign w:val="center"/>
            <w:hideMark/>
          </w:tcPr>
          <w:p w14:paraId="0189C138"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c>
          <w:tcPr>
            <w:tcW w:w="1036" w:type="dxa"/>
            <w:vMerge/>
            <w:tcBorders>
              <w:top w:val="nil"/>
              <w:left w:val="nil"/>
              <w:bottom w:val="nil"/>
              <w:right w:val="nil"/>
            </w:tcBorders>
            <w:vAlign w:val="center"/>
            <w:hideMark/>
          </w:tcPr>
          <w:p w14:paraId="1CC62875" w14:textId="77777777" w:rsidR="00F43938" w:rsidRPr="000F04F4" w:rsidRDefault="00F43938" w:rsidP="0078260E">
            <w:pPr>
              <w:widowControl/>
              <w:jc w:val="left"/>
              <w:rPr>
                <w:rFonts w:ascii="Times New Roman" w:eastAsia="等线" w:hAnsi="Times New Roman" w:cs="Times New Roman"/>
                <w:b/>
                <w:bCs/>
                <w:color w:val="000000"/>
                <w:kern w:val="0"/>
                <w:sz w:val="24"/>
                <w:szCs w:val="24"/>
              </w:rPr>
            </w:pPr>
          </w:p>
        </w:tc>
      </w:tr>
      <w:tr w:rsidR="00F43938" w:rsidRPr="000F04F4" w14:paraId="09FA6574" w14:textId="77777777" w:rsidTr="0065407F">
        <w:trPr>
          <w:trHeight w:val="276"/>
        </w:trPr>
        <w:tc>
          <w:tcPr>
            <w:tcW w:w="222" w:type="dxa"/>
            <w:tcBorders>
              <w:top w:val="nil"/>
              <w:left w:val="nil"/>
              <w:bottom w:val="nil"/>
              <w:right w:val="nil"/>
            </w:tcBorders>
            <w:shd w:val="clear" w:color="auto" w:fill="auto"/>
            <w:noWrap/>
            <w:vAlign w:val="bottom"/>
            <w:hideMark/>
          </w:tcPr>
          <w:p w14:paraId="31BEDB4D" w14:textId="77777777" w:rsidR="00F43938" w:rsidRPr="00F810EC" w:rsidRDefault="00F43938" w:rsidP="0078260E">
            <w:pPr>
              <w:widowControl/>
              <w:jc w:val="center"/>
              <w:rPr>
                <w:rFonts w:ascii="Times New Roman" w:eastAsia="等线" w:hAnsi="Times New Roman" w:cs="Times New Roman"/>
                <w:color w:val="000000"/>
                <w:kern w:val="0"/>
                <w:sz w:val="24"/>
                <w:szCs w:val="24"/>
              </w:rPr>
            </w:pPr>
          </w:p>
        </w:tc>
        <w:tc>
          <w:tcPr>
            <w:tcW w:w="3097" w:type="dxa"/>
            <w:tcBorders>
              <w:top w:val="nil"/>
              <w:left w:val="nil"/>
              <w:bottom w:val="nil"/>
              <w:right w:val="nil"/>
            </w:tcBorders>
            <w:shd w:val="clear" w:color="auto" w:fill="auto"/>
            <w:noWrap/>
            <w:vAlign w:val="center"/>
            <w:hideMark/>
          </w:tcPr>
          <w:p w14:paraId="01EFDE6F"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Within one year</w:t>
            </w:r>
          </w:p>
        </w:tc>
        <w:tc>
          <w:tcPr>
            <w:tcW w:w="1926" w:type="dxa"/>
            <w:tcBorders>
              <w:top w:val="nil"/>
              <w:left w:val="nil"/>
              <w:bottom w:val="nil"/>
              <w:right w:val="nil"/>
            </w:tcBorders>
            <w:shd w:val="clear" w:color="auto" w:fill="auto"/>
            <w:noWrap/>
            <w:vAlign w:val="center"/>
            <w:hideMark/>
          </w:tcPr>
          <w:p w14:paraId="6A350A69"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62 (2.18)</w:t>
            </w:r>
          </w:p>
        </w:tc>
        <w:tc>
          <w:tcPr>
            <w:tcW w:w="1985" w:type="dxa"/>
            <w:tcBorders>
              <w:top w:val="nil"/>
              <w:left w:val="nil"/>
              <w:bottom w:val="nil"/>
              <w:right w:val="nil"/>
            </w:tcBorders>
            <w:shd w:val="clear" w:color="auto" w:fill="auto"/>
            <w:noWrap/>
            <w:vAlign w:val="center"/>
            <w:hideMark/>
          </w:tcPr>
          <w:p w14:paraId="0FDD3FEE"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225 (18.43)</w:t>
            </w:r>
          </w:p>
        </w:tc>
        <w:tc>
          <w:tcPr>
            <w:tcW w:w="996" w:type="dxa"/>
            <w:vMerge/>
            <w:tcBorders>
              <w:top w:val="nil"/>
              <w:left w:val="nil"/>
              <w:bottom w:val="nil"/>
              <w:right w:val="nil"/>
            </w:tcBorders>
            <w:vAlign w:val="center"/>
            <w:hideMark/>
          </w:tcPr>
          <w:p w14:paraId="35EA5984"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c>
          <w:tcPr>
            <w:tcW w:w="1036" w:type="dxa"/>
            <w:vMerge/>
            <w:tcBorders>
              <w:top w:val="nil"/>
              <w:left w:val="nil"/>
              <w:bottom w:val="nil"/>
              <w:right w:val="nil"/>
            </w:tcBorders>
            <w:vAlign w:val="center"/>
            <w:hideMark/>
          </w:tcPr>
          <w:p w14:paraId="7A78DE70" w14:textId="77777777" w:rsidR="00F43938" w:rsidRPr="000F04F4" w:rsidRDefault="00F43938" w:rsidP="0078260E">
            <w:pPr>
              <w:widowControl/>
              <w:jc w:val="left"/>
              <w:rPr>
                <w:rFonts w:ascii="Times New Roman" w:eastAsia="等线" w:hAnsi="Times New Roman" w:cs="Times New Roman"/>
                <w:b/>
                <w:bCs/>
                <w:color w:val="000000"/>
                <w:kern w:val="0"/>
                <w:sz w:val="24"/>
                <w:szCs w:val="24"/>
              </w:rPr>
            </w:pPr>
          </w:p>
        </w:tc>
      </w:tr>
      <w:tr w:rsidR="00F43938" w:rsidRPr="000F04F4" w14:paraId="0E4B3600" w14:textId="77777777" w:rsidTr="0065407F">
        <w:trPr>
          <w:trHeight w:val="276"/>
        </w:trPr>
        <w:tc>
          <w:tcPr>
            <w:tcW w:w="3319" w:type="dxa"/>
            <w:gridSpan w:val="2"/>
            <w:tcBorders>
              <w:top w:val="nil"/>
              <w:left w:val="nil"/>
              <w:bottom w:val="nil"/>
              <w:right w:val="nil"/>
            </w:tcBorders>
            <w:shd w:val="clear" w:color="auto" w:fill="auto"/>
            <w:noWrap/>
            <w:vAlign w:val="bottom"/>
            <w:hideMark/>
          </w:tcPr>
          <w:p w14:paraId="6612C2DE"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Biological sex (female)</w:t>
            </w:r>
          </w:p>
        </w:tc>
        <w:tc>
          <w:tcPr>
            <w:tcW w:w="1926" w:type="dxa"/>
            <w:tcBorders>
              <w:top w:val="nil"/>
              <w:left w:val="nil"/>
              <w:bottom w:val="nil"/>
              <w:right w:val="nil"/>
            </w:tcBorders>
            <w:shd w:val="clear" w:color="auto" w:fill="auto"/>
            <w:noWrap/>
            <w:vAlign w:val="center"/>
            <w:hideMark/>
          </w:tcPr>
          <w:p w14:paraId="78CAB389"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1193 (41.87)</w:t>
            </w:r>
          </w:p>
        </w:tc>
        <w:tc>
          <w:tcPr>
            <w:tcW w:w="1985" w:type="dxa"/>
            <w:tcBorders>
              <w:top w:val="nil"/>
              <w:left w:val="nil"/>
              <w:bottom w:val="nil"/>
              <w:right w:val="nil"/>
            </w:tcBorders>
            <w:shd w:val="clear" w:color="auto" w:fill="auto"/>
            <w:noWrap/>
            <w:vAlign w:val="center"/>
            <w:hideMark/>
          </w:tcPr>
          <w:p w14:paraId="13567666"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823 (67.40)</w:t>
            </w:r>
          </w:p>
        </w:tc>
        <w:tc>
          <w:tcPr>
            <w:tcW w:w="996" w:type="dxa"/>
            <w:tcBorders>
              <w:top w:val="nil"/>
              <w:left w:val="nil"/>
              <w:bottom w:val="nil"/>
              <w:right w:val="nil"/>
            </w:tcBorders>
            <w:shd w:val="clear" w:color="auto" w:fill="auto"/>
            <w:noWrap/>
            <w:vAlign w:val="center"/>
            <w:hideMark/>
          </w:tcPr>
          <w:p w14:paraId="7708E29F"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221.82</w:t>
            </w:r>
          </w:p>
        </w:tc>
        <w:tc>
          <w:tcPr>
            <w:tcW w:w="1036" w:type="dxa"/>
            <w:tcBorders>
              <w:top w:val="nil"/>
              <w:left w:val="nil"/>
              <w:bottom w:val="nil"/>
              <w:right w:val="nil"/>
            </w:tcBorders>
            <w:shd w:val="clear" w:color="auto" w:fill="auto"/>
            <w:noWrap/>
            <w:vAlign w:val="center"/>
            <w:hideMark/>
          </w:tcPr>
          <w:p w14:paraId="2AEAD71D"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0F04F4" w14:paraId="74EDB6A1" w14:textId="77777777" w:rsidTr="0065407F">
        <w:trPr>
          <w:trHeight w:val="276"/>
        </w:trPr>
        <w:tc>
          <w:tcPr>
            <w:tcW w:w="222" w:type="dxa"/>
            <w:tcBorders>
              <w:top w:val="nil"/>
              <w:left w:val="nil"/>
              <w:bottom w:val="nil"/>
              <w:right w:val="nil"/>
            </w:tcBorders>
            <w:shd w:val="clear" w:color="auto" w:fill="auto"/>
            <w:noWrap/>
            <w:vAlign w:val="bottom"/>
            <w:hideMark/>
          </w:tcPr>
          <w:p w14:paraId="766355E5" w14:textId="77777777" w:rsidR="00F43938" w:rsidRPr="00F810EC" w:rsidRDefault="00F43938" w:rsidP="0078260E">
            <w:pPr>
              <w:widowControl/>
              <w:jc w:val="center"/>
              <w:rPr>
                <w:rFonts w:ascii="Times New Roman" w:eastAsia="等线" w:hAnsi="Times New Roman" w:cs="Times New Roman"/>
                <w:color w:val="000000"/>
                <w:kern w:val="0"/>
                <w:sz w:val="24"/>
                <w:szCs w:val="24"/>
              </w:rPr>
            </w:pPr>
          </w:p>
        </w:tc>
        <w:tc>
          <w:tcPr>
            <w:tcW w:w="3097" w:type="dxa"/>
            <w:tcBorders>
              <w:top w:val="nil"/>
              <w:left w:val="nil"/>
              <w:bottom w:val="nil"/>
              <w:right w:val="nil"/>
            </w:tcBorders>
            <w:shd w:val="clear" w:color="auto" w:fill="auto"/>
            <w:noWrap/>
            <w:vAlign w:val="center"/>
            <w:hideMark/>
          </w:tcPr>
          <w:p w14:paraId="5BE31F5C" w14:textId="77777777" w:rsidR="00F43938" w:rsidRPr="00F810EC" w:rsidRDefault="00F43938" w:rsidP="0078260E">
            <w:pPr>
              <w:widowControl/>
              <w:jc w:val="left"/>
              <w:rPr>
                <w:rFonts w:ascii="Times New Roman" w:eastAsia="Times New Roman" w:hAnsi="Times New Roman" w:cs="Times New Roman"/>
                <w:kern w:val="0"/>
                <w:sz w:val="24"/>
                <w:szCs w:val="24"/>
              </w:rPr>
            </w:pPr>
          </w:p>
        </w:tc>
        <w:tc>
          <w:tcPr>
            <w:tcW w:w="3911" w:type="dxa"/>
            <w:gridSpan w:val="2"/>
            <w:tcBorders>
              <w:top w:val="nil"/>
              <w:left w:val="nil"/>
              <w:bottom w:val="nil"/>
              <w:right w:val="nil"/>
            </w:tcBorders>
            <w:shd w:val="clear" w:color="auto" w:fill="auto"/>
            <w:noWrap/>
            <w:vAlign w:val="center"/>
            <w:hideMark/>
          </w:tcPr>
          <w:p w14:paraId="3336FF4A" w14:textId="77777777" w:rsidR="00F43938" w:rsidRPr="00F810EC" w:rsidRDefault="00F43938" w:rsidP="0078260E">
            <w:pPr>
              <w:widowControl/>
              <w:jc w:val="center"/>
              <w:rPr>
                <w:rFonts w:ascii="Times New Roman" w:eastAsia="等线" w:hAnsi="Times New Roman" w:cs="Times New Roman"/>
                <w:i/>
                <w:iCs/>
                <w:color w:val="000000"/>
                <w:kern w:val="0"/>
                <w:sz w:val="24"/>
                <w:szCs w:val="24"/>
              </w:rPr>
            </w:pPr>
            <w:r w:rsidRPr="00F810EC">
              <w:rPr>
                <w:rFonts w:ascii="Times New Roman" w:eastAsia="等线" w:hAnsi="Times New Roman" w:cs="Times New Roman"/>
                <w:i/>
                <w:iCs/>
                <w:color w:val="000000"/>
                <w:kern w:val="0"/>
                <w:sz w:val="24"/>
                <w:szCs w:val="24"/>
              </w:rPr>
              <w:t>Mean (SD)</w:t>
            </w:r>
          </w:p>
        </w:tc>
        <w:tc>
          <w:tcPr>
            <w:tcW w:w="996" w:type="dxa"/>
            <w:tcBorders>
              <w:top w:val="nil"/>
              <w:left w:val="nil"/>
              <w:bottom w:val="nil"/>
              <w:right w:val="nil"/>
            </w:tcBorders>
            <w:shd w:val="clear" w:color="auto" w:fill="auto"/>
            <w:noWrap/>
            <w:vAlign w:val="center"/>
            <w:hideMark/>
          </w:tcPr>
          <w:p w14:paraId="5FEC7ED1" w14:textId="77777777" w:rsidR="00F43938" w:rsidRPr="00F810EC" w:rsidRDefault="00F43938" w:rsidP="0078260E">
            <w:pPr>
              <w:widowControl/>
              <w:jc w:val="center"/>
              <w:rPr>
                <w:rFonts w:ascii="Times New Roman" w:eastAsia="等线" w:hAnsi="Times New Roman" w:cs="Times New Roman"/>
                <w:i/>
                <w:iCs/>
                <w:color w:val="000000"/>
                <w:kern w:val="0"/>
                <w:sz w:val="24"/>
                <w:szCs w:val="24"/>
              </w:rPr>
            </w:pPr>
          </w:p>
        </w:tc>
        <w:tc>
          <w:tcPr>
            <w:tcW w:w="1036" w:type="dxa"/>
            <w:tcBorders>
              <w:top w:val="nil"/>
              <w:left w:val="nil"/>
              <w:bottom w:val="nil"/>
              <w:right w:val="nil"/>
            </w:tcBorders>
            <w:shd w:val="clear" w:color="auto" w:fill="auto"/>
            <w:noWrap/>
            <w:vAlign w:val="center"/>
            <w:hideMark/>
          </w:tcPr>
          <w:p w14:paraId="0EC9F5F7" w14:textId="77777777" w:rsidR="00F43938" w:rsidRPr="000F04F4" w:rsidRDefault="00F43938" w:rsidP="0078260E">
            <w:pPr>
              <w:widowControl/>
              <w:jc w:val="center"/>
              <w:rPr>
                <w:rFonts w:ascii="Times New Roman" w:eastAsia="Times New Roman" w:hAnsi="Times New Roman" w:cs="Times New Roman"/>
                <w:b/>
                <w:bCs/>
                <w:kern w:val="0"/>
                <w:sz w:val="24"/>
                <w:szCs w:val="24"/>
              </w:rPr>
            </w:pPr>
          </w:p>
        </w:tc>
      </w:tr>
      <w:tr w:rsidR="00F43938" w:rsidRPr="000F04F4" w14:paraId="1A2B298D" w14:textId="77777777" w:rsidTr="0065407F">
        <w:trPr>
          <w:trHeight w:val="276"/>
        </w:trPr>
        <w:tc>
          <w:tcPr>
            <w:tcW w:w="3319" w:type="dxa"/>
            <w:gridSpan w:val="2"/>
            <w:tcBorders>
              <w:top w:val="nil"/>
              <w:left w:val="nil"/>
              <w:bottom w:val="nil"/>
              <w:right w:val="nil"/>
            </w:tcBorders>
            <w:shd w:val="clear" w:color="auto" w:fill="auto"/>
            <w:noWrap/>
            <w:vAlign w:val="bottom"/>
            <w:hideMark/>
          </w:tcPr>
          <w:p w14:paraId="5E843DA4"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OCD</w:t>
            </w:r>
          </w:p>
        </w:tc>
        <w:tc>
          <w:tcPr>
            <w:tcW w:w="1926" w:type="dxa"/>
            <w:tcBorders>
              <w:top w:val="nil"/>
              <w:left w:val="nil"/>
              <w:bottom w:val="nil"/>
              <w:right w:val="nil"/>
            </w:tcBorders>
            <w:shd w:val="clear" w:color="auto" w:fill="auto"/>
            <w:noWrap/>
            <w:vAlign w:val="center"/>
            <w:hideMark/>
          </w:tcPr>
          <w:p w14:paraId="123D9FDC"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13.69 (7.48)</w:t>
            </w:r>
          </w:p>
        </w:tc>
        <w:tc>
          <w:tcPr>
            <w:tcW w:w="1985" w:type="dxa"/>
            <w:tcBorders>
              <w:top w:val="nil"/>
              <w:left w:val="nil"/>
              <w:bottom w:val="nil"/>
              <w:right w:val="nil"/>
            </w:tcBorders>
            <w:shd w:val="clear" w:color="auto" w:fill="auto"/>
            <w:noWrap/>
            <w:vAlign w:val="center"/>
            <w:hideMark/>
          </w:tcPr>
          <w:p w14:paraId="612A883F"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19.99 (8.28)</w:t>
            </w:r>
          </w:p>
        </w:tc>
        <w:tc>
          <w:tcPr>
            <w:tcW w:w="996" w:type="dxa"/>
            <w:tcBorders>
              <w:top w:val="nil"/>
              <w:left w:val="nil"/>
              <w:bottom w:val="nil"/>
              <w:right w:val="nil"/>
            </w:tcBorders>
            <w:shd w:val="clear" w:color="auto" w:fill="auto"/>
            <w:noWrap/>
            <w:vAlign w:val="center"/>
            <w:hideMark/>
          </w:tcPr>
          <w:p w14:paraId="37B9C41C"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22.89</w:t>
            </w:r>
          </w:p>
        </w:tc>
        <w:tc>
          <w:tcPr>
            <w:tcW w:w="1036" w:type="dxa"/>
            <w:tcBorders>
              <w:top w:val="nil"/>
              <w:left w:val="nil"/>
              <w:bottom w:val="nil"/>
              <w:right w:val="nil"/>
            </w:tcBorders>
            <w:shd w:val="clear" w:color="auto" w:fill="auto"/>
            <w:noWrap/>
            <w:vAlign w:val="center"/>
            <w:hideMark/>
          </w:tcPr>
          <w:p w14:paraId="6CA53D3C"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0F04F4" w14:paraId="1C28094C" w14:textId="77777777" w:rsidTr="0065407F">
        <w:trPr>
          <w:trHeight w:val="276"/>
        </w:trPr>
        <w:tc>
          <w:tcPr>
            <w:tcW w:w="3319" w:type="dxa"/>
            <w:gridSpan w:val="2"/>
            <w:tcBorders>
              <w:top w:val="nil"/>
              <w:left w:val="nil"/>
              <w:bottom w:val="nil"/>
              <w:right w:val="nil"/>
            </w:tcBorders>
            <w:shd w:val="clear" w:color="auto" w:fill="auto"/>
            <w:noWrap/>
            <w:vAlign w:val="bottom"/>
            <w:hideMark/>
          </w:tcPr>
          <w:p w14:paraId="04E5B85B"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Depression</w:t>
            </w:r>
          </w:p>
        </w:tc>
        <w:tc>
          <w:tcPr>
            <w:tcW w:w="1926" w:type="dxa"/>
            <w:tcBorders>
              <w:top w:val="nil"/>
              <w:left w:val="nil"/>
              <w:bottom w:val="nil"/>
              <w:right w:val="nil"/>
            </w:tcBorders>
            <w:shd w:val="clear" w:color="auto" w:fill="auto"/>
            <w:noWrap/>
            <w:vAlign w:val="center"/>
            <w:hideMark/>
          </w:tcPr>
          <w:p w14:paraId="7BDE1C06"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5.67 (4.20)</w:t>
            </w:r>
          </w:p>
        </w:tc>
        <w:tc>
          <w:tcPr>
            <w:tcW w:w="1985" w:type="dxa"/>
            <w:tcBorders>
              <w:top w:val="nil"/>
              <w:left w:val="nil"/>
              <w:bottom w:val="nil"/>
              <w:right w:val="nil"/>
            </w:tcBorders>
            <w:shd w:val="clear" w:color="auto" w:fill="auto"/>
            <w:noWrap/>
            <w:vAlign w:val="center"/>
            <w:hideMark/>
          </w:tcPr>
          <w:p w14:paraId="12E60F63"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9.78 (5.36)</w:t>
            </w:r>
          </w:p>
        </w:tc>
        <w:tc>
          <w:tcPr>
            <w:tcW w:w="996" w:type="dxa"/>
            <w:tcBorders>
              <w:top w:val="nil"/>
              <w:left w:val="nil"/>
              <w:bottom w:val="nil"/>
              <w:right w:val="nil"/>
            </w:tcBorders>
            <w:shd w:val="clear" w:color="auto" w:fill="auto"/>
            <w:noWrap/>
            <w:vAlign w:val="center"/>
            <w:hideMark/>
          </w:tcPr>
          <w:p w14:paraId="1EE91086"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23.85</w:t>
            </w:r>
          </w:p>
        </w:tc>
        <w:tc>
          <w:tcPr>
            <w:tcW w:w="1036" w:type="dxa"/>
            <w:tcBorders>
              <w:top w:val="nil"/>
              <w:left w:val="nil"/>
              <w:bottom w:val="nil"/>
              <w:right w:val="nil"/>
            </w:tcBorders>
            <w:shd w:val="clear" w:color="auto" w:fill="auto"/>
            <w:noWrap/>
            <w:vAlign w:val="center"/>
            <w:hideMark/>
          </w:tcPr>
          <w:p w14:paraId="6E2BAA10"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0F04F4" w14:paraId="2F80B437" w14:textId="77777777" w:rsidTr="0065407F">
        <w:trPr>
          <w:trHeight w:val="276"/>
        </w:trPr>
        <w:tc>
          <w:tcPr>
            <w:tcW w:w="3319" w:type="dxa"/>
            <w:gridSpan w:val="2"/>
            <w:tcBorders>
              <w:top w:val="nil"/>
              <w:left w:val="nil"/>
              <w:bottom w:val="nil"/>
              <w:right w:val="nil"/>
            </w:tcBorders>
            <w:shd w:val="clear" w:color="auto" w:fill="auto"/>
            <w:noWrap/>
            <w:vAlign w:val="bottom"/>
            <w:hideMark/>
          </w:tcPr>
          <w:p w14:paraId="46F96839"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Social rhythm</w:t>
            </w:r>
          </w:p>
        </w:tc>
        <w:tc>
          <w:tcPr>
            <w:tcW w:w="1926" w:type="dxa"/>
            <w:tcBorders>
              <w:top w:val="nil"/>
              <w:left w:val="nil"/>
              <w:bottom w:val="nil"/>
              <w:right w:val="nil"/>
            </w:tcBorders>
            <w:shd w:val="clear" w:color="auto" w:fill="auto"/>
            <w:noWrap/>
            <w:vAlign w:val="center"/>
            <w:hideMark/>
          </w:tcPr>
          <w:p w14:paraId="692034B6"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2.48 (1.10)</w:t>
            </w:r>
          </w:p>
        </w:tc>
        <w:tc>
          <w:tcPr>
            <w:tcW w:w="1985" w:type="dxa"/>
            <w:tcBorders>
              <w:top w:val="nil"/>
              <w:left w:val="nil"/>
              <w:bottom w:val="nil"/>
              <w:right w:val="nil"/>
            </w:tcBorders>
            <w:shd w:val="clear" w:color="auto" w:fill="auto"/>
            <w:noWrap/>
            <w:vAlign w:val="center"/>
            <w:hideMark/>
          </w:tcPr>
          <w:p w14:paraId="13931A70"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3.25 (1.10)</w:t>
            </w:r>
          </w:p>
        </w:tc>
        <w:tc>
          <w:tcPr>
            <w:tcW w:w="996" w:type="dxa"/>
            <w:tcBorders>
              <w:top w:val="nil"/>
              <w:left w:val="nil"/>
              <w:bottom w:val="nil"/>
              <w:right w:val="nil"/>
            </w:tcBorders>
            <w:shd w:val="clear" w:color="auto" w:fill="auto"/>
            <w:noWrap/>
            <w:vAlign w:val="center"/>
            <w:hideMark/>
          </w:tcPr>
          <w:p w14:paraId="0D69F8E2"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20.62</w:t>
            </w:r>
          </w:p>
        </w:tc>
        <w:tc>
          <w:tcPr>
            <w:tcW w:w="1036" w:type="dxa"/>
            <w:tcBorders>
              <w:top w:val="nil"/>
              <w:left w:val="nil"/>
              <w:bottom w:val="nil"/>
              <w:right w:val="nil"/>
            </w:tcBorders>
            <w:shd w:val="clear" w:color="auto" w:fill="auto"/>
            <w:noWrap/>
            <w:vAlign w:val="center"/>
            <w:hideMark/>
          </w:tcPr>
          <w:p w14:paraId="357DA070"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0F04F4" w14:paraId="43B3FA56" w14:textId="77777777" w:rsidTr="0065407F">
        <w:trPr>
          <w:trHeight w:val="276"/>
        </w:trPr>
        <w:tc>
          <w:tcPr>
            <w:tcW w:w="3319" w:type="dxa"/>
            <w:gridSpan w:val="2"/>
            <w:tcBorders>
              <w:top w:val="nil"/>
              <w:left w:val="nil"/>
              <w:bottom w:val="nil"/>
              <w:right w:val="nil"/>
            </w:tcBorders>
            <w:shd w:val="clear" w:color="auto" w:fill="auto"/>
            <w:noWrap/>
            <w:vAlign w:val="bottom"/>
            <w:hideMark/>
          </w:tcPr>
          <w:p w14:paraId="778E7F6A"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Appearance anxiety</w:t>
            </w:r>
          </w:p>
        </w:tc>
        <w:tc>
          <w:tcPr>
            <w:tcW w:w="1926" w:type="dxa"/>
            <w:tcBorders>
              <w:top w:val="nil"/>
              <w:left w:val="nil"/>
              <w:bottom w:val="nil"/>
              <w:right w:val="nil"/>
            </w:tcBorders>
            <w:shd w:val="clear" w:color="auto" w:fill="auto"/>
            <w:noWrap/>
            <w:vAlign w:val="center"/>
            <w:hideMark/>
          </w:tcPr>
          <w:p w14:paraId="30BAF2C1"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39.66 (8.48)</w:t>
            </w:r>
          </w:p>
        </w:tc>
        <w:tc>
          <w:tcPr>
            <w:tcW w:w="1985" w:type="dxa"/>
            <w:tcBorders>
              <w:top w:val="nil"/>
              <w:left w:val="nil"/>
              <w:bottom w:val="nil"/>
              <w:right w:val="nil"/>
            </w:tcBorders>
            <w:shd w:val="clear" w:color="auto" w:fill="auto"/>
            <w:noWrap/>
            <w:vAlign w:val="center"/>
            <w:hideMark/>
          </w:tcPr>
          <w:p w14:paraId="0EFFA9A9"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46.27 (9.89)</w:t>
            </w:r>
          </w:p>
        </w:tc>
        <w:tc>
          <w:tcPr>
            <w:tcW w:w="996" w:type="dxa"/>
            <w:tcBorders>
              <w:top w:val="nil"/>
              <w:left w:val="nil"/>
              <w:bottom w:val="nil"/>
              <w:right w:val="nil"/>
            </w:tcBorders>
            <w:shd w:val="clear" w:color="auto" w:fill="auto"/>
            <w:noWrap/>
            <w:vAlign w:val="center"/>
            <w:hideMark/>
          </w:tcPr>
          <w:p w14:paraId="011C802E"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20.37</w:t>
            </w:r>
          </w:p>
        </w:tc>
        <w:tc>
          <w:tcPr>
            <w:tcW w:w="1036" w:type="dxa"/>
            <w:tcBorders>
              <w:top w:val="nil"/>
              <w:left w:val="nil"/>
              <w:bottom w:val="nil"/>
              <w:right w:val="nil"/>
            </w:tcBorders>
            <w:shd w:val="clear" w:color="auto" w:fill="auto"/>
            <w:noWrap/>
            <w:vAlign w:val="center"/>
            <w:hideMark/>
          </w:tcPr>
          <w:p w14:paraId="3D6E18A3"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0F04F4" w14:paraId="2CEB0392" w14:textId="77777777" w:rsidTr="0065407F">
        <w:trPr>
          <w:trHeight w:val="276"/>
        </w:trPr>
        <w:tc>
          <w:tcPr>
            <w:tcW w:w="3319" w:type="dxa"/>
            <w:gridSpan w:val="2"/>
            <w:tcBorders>
              <w:top w:val="nil"/>
              <w:left w:val="nil"/>
              <w:bottom w:val="nil"/>
              <w:right w:val="nil"/>
            </w:tcBorders>
            <w:shd w:val="clear" w:color="auto" w:fill="auto"/>
            <w:noWrap/>
            <w:vAlign w:val="bottom"/>
            <w:hideMark/>
          </w:tcPr>
          <w:p w14:paraId="6A97815E"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PTSD</w:t>
            </w:r>
          </w:p>
        </w:tc>
        <w:tc>
          <w:tcPr>
            <w:tcW w:w="1926" w:type="dxa"/>
            <w:tcBorders>
              <w:top w:val="nil"/>
              <w:left w:val="nil"/>
              <w:bottom w:val="nil"/>
              <w:right w:val="nil"/>
            </w:tcBorders>
            <w:shd w:val="clear" w:color="auto" w:fill="auto"/>
            <w:noWrap/>
            <w:vAlign w:val="center"/>
            <w:hideMark/>
          </w:tcPr>
          <w:p w14:paraId="514AE1F7"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3.42 (3.03)</w:t>
            </w:r>
          </w:p>
        </w:tc>
        <w:tc>
          <w:tcPr>
            <w:tcW w:w="1985" w:type="dxa"/>
            <w:tcBorders>
              <w:top w:val="nil"/>
              <w:left w:val="nil"/>
              <w:bottom w:val="nil"/>
              <w:right w:val="nil"/>
            </w:tcBorders>
            <w:shd w:val="clear" w:color="auto" w:fill="auto"/>
            <w:noWrap/>
            <w:vAlign w:val="center"/>
            <w:hideMark/>
          </w:tcPr>
          <w:p w14:paraId="40CBB35F"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5.66 (2.99)</w:t>
            </w:r>
          </w:p>
        </w:tc>
        <w:tc>
          <w:tcPr>
            <w:tcW w:w="996" w:type="dxa"/>
            <w:tcBorders>
              <w:top w:val="nil"/>
              <w:left w:val="nil"/>
              <w:bottom w:val="nil"/>
              <w:right w:val="nil"/>
            </w:tcBorders>
            <w:shd w:val="clear" w:color="auto" w:fill="auto"/>
            <w:noWrap/>
            <w:vAlign w:val="center"/>
            <w:hideMark/>
          </w:tcPr>
          <w:p w14:paraId="61AD19E7"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21.85</w:t>
            </w:r>
          </w:p>
        </w:tc>
        <w:tc>
          <w:tcPr>
            <w:tcW w:w="1036" w:type="dxa"/>
            <w:tcBorders>
              <w:top w:val="nil"/>
              <w:left w:val="nil"/>
              <w:bottom w:val="nil"/>
              <w:right w:val="nil"/>
            </w:tcBorders>
            <w:shd w:val="clear" w:color="auto" w:fill="auto"/>
            <w:noWrap/>
            <w:vAlign w:val="center"/>
            <w:hideMark/>
          </w:tcPr>
          <w:p w14:paraId="48C79D51"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0F04F4" w14:paraId="2646DF54" w14:textId="77777777" w:rsidTr="0065407F">
        <w:trPr>
          <w:trHeight w:val="276"/>
        </w:trPr>
        <w:tc>
          <w:tcPr>
            <w:tcW w:w="3319" w:type="dxa"/>
            <w:gridSpan w:val="2"/>
            <w:tcBorders>
              <w:top w:val="nil"/>
              <w:left w:val="nil"/>
              <w:bottom w:val="nil"/>
              <w:right w:val="nil"/>
            </w:tcBorders>
            <w:shd w:val="clear" w:color="auto" w:fill="auto"/>
            <w:noWrap/>
            <w:vAlign w:val="bottom"/>
            <w:hideMark/>
          </w:tcPr>
          <w:p w14:paraId="4EF4B508"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Help-seeking (emotional trouble)</w:t>
            </w:r>
          </w:p>
        </w:tc>
        <w:tc>
          <w:tcPr>
            <w:tcW w:w="1926" w:type="dxa"/>
            <w:tcBorders>
              <w:top w:val="nil"/>
              <w:left w:val="nil"/>
              <w:bottom w:val="nil"/>
              <w:right w:val="nil"/>
            </w:tcBorders>
            <w:shd w:val="clear" w:color="auto" w:fill="auto"/>
            <w:noWrap/>
            <w:vAlign w:val="center"/>
            <w:hideMark/>
          </w:tcPr>
          <w:p w14:paraId="1CD1C834"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3.85 (2.31)</w:t>
            </w:r>
          </w:p>
        </w:tc>
        <w:tc>
          <w:tcPr>
            <w:tcW w:w="1985" w:type="dxa"/>
            <w:tcBorders>
              <w:top w:val="nil"/>
              <w:left w:val="nil"/>
              <w:bottom w:val="nil"/>
              <w:right w:val="nil"/>
            </w:tcBorders>
            <w:shd w:val="clear" w:color="auto" w:fill="auto"/>
            <w:noWrap/>
            <w:vAlign w:val="center"/>
            <w:hideMark/>
          </w:tcPr>
          <w:p w14:paraId="36FA33A1"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3.35 (1.77)</w:t>
            </w:r>
          </w:p>
        </w:tc>
        <w:tc>
          <w:tcPr>
            <w:tcW w:w="996" w:type="dxa"/>
            <w:tcBorders>
              <w:top w:val="nil"/>
              <w:left w:val="nil"/>
              <w:bottom w:val="nil"/>
              <w:right w:val="nil"/>
            </w:tcBorders>
            <w:shd w:val="clear" w:color="auto" w:fill="auto"/>
            <w:noWrap/>
            <w:vAlign w:val="center"/>
            <w:hideMark/>
          </w:tcPr>
          <w:p w14:paraId="379B7EEE"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-7.46</w:t>
            </w:r>
          </w:p>
        </w:tc>
        <w:tc>
          <w:tcPr>
            <w:tcW w:w="1036" w:type="dxa"/>
            <w:tcBorders>
              <w:top w:val="nil"/>
              <w:left w:val="nil"/>
              <w:bottom w:val="nil"/>
              <w:right w:val="nil"/>
            </w:tcBorders>
            <w:shd w:val="clear" w:color="auto" w:fill="auto"/>
            <w:noWrap/>
            <w:vAlign w:val="center"/>
            <w:hideMark/>
          </w:tcPr>
          <w:p w14:paraId="63614953"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0F04F4" w14:paraId="0F1A1482" w14:textId="77777777" w:rsidTr="0065407F">
        <w:trPr>
          <w:trHeight w:val="276"/>
        </w:trPr>
        <w:tc>
          <w:tcPr>
            <w:tcW w:w="3319" w:type="dxa"/>
            <w:gridSpan w:val="2"/>
            <w:tcBorders>
              <w:top w:val="nil"/>
              <w:left w:val="nil"/>
              <w:bottom w:val="nil"/>
              <w:right w:val="nil"/>
            </w:tcBorders>
            <w:shd w:val="clear" w:color="auto" w:fill="auto"/>
            <w:noWrap/>
            <w:vAlign w:val="bottom"/>
            <w:hideMark/>
          </w:tcPr>
          <w:p w14:paraId="07F25BC2"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General anxiety</w:t>
            </w:r>
          </w:p>
        </w:tc>
        <w:tc>
          <w:tcPr>
            <w:tcW w:w="1926" w:type="dxa"/>
            <w:tcBorders>
              <w:top w:val="nil"/>
              <w:left w:val="nil"/>
              <w:bottom w:val="nil"/>
              <w:right w:val="nil"/>
            </w:tcBorders>
            <w:shd w:val="clear" w:color="auto" w:fill="auto"/>
            <w:noWrap/>
            <w:vAlign w:val="center"/>
            <w:hideMark/>
          </w:tcPr>
          <w:p w14:paraId="77B6C477"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4.16 (3.79)</w:t>
            </w:r>
          </w:p>
        </w:tc>
        <w:tc>
          <w:tcPr>
            <w:tcW w:w="1985" w:type="dxa"/>
            <w:tcBorders>
              <w:top w:val="nil"/>
              <w:left w:val="nil"/>
              <w:bottom w:val="nil"/>
              <w:right w:val="nil"/>
            </w:tcBorders>
            <w:shd w:val="clear" w:color="auto" w:fill="auto"/>
            <w:noWrap/>
            <w:vAlign w:val="center"/>
            <w:hideMark/>
          </w:tcPr>
          <w:p w14:paraId="399C02C4"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7.42 (4.82)</w:t>
            </w:r>
          </w:p>
        </w:tc>
        <w:tc>
          <w:tcPr>
            <w:tcW w:w="996" w:type="dxa"/>
            <w:tcBorders>
              <w:top w:val="nil"/>
              <w:left w:val="nil"/>
              <w:bottom w:val="nil"/>
              <w:right w:val="nil"/>
            </w:tcBorders>
            <w:shd w:val="clear" w:color="auto" w:fill="auto"/>
            <w:noWrap/>
            <w:vAlign w:val="center"/>
            <w:hideMark/>
          </w:tcPr>
          <w:p w14:paraId="3122E4A8"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20.99</w:t>
            </w:r>
          </w:p>
        </w:tc>
        <w:tc>
          <w:tcPr>
            <w:tcW w:w="1036" w:type="dxa"/>
            <w:tcBorders>
              <w:top w:val="nil"/>
              <w:left w:val="nil"/>
              <w:bottom w:val="nil"/>
              <w:right w:val="nil"/>
            </w:tcBorders>
            <w:shd w:val="clear" w:color="auto" w:fill="auto"/>
            <w:noWrap/>
            <w:vAlign w:val="center"/>
            <w:hideMark/>
          </w:tcPr>
          <w:p w14:paraId="22AAD780"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0F04F4" w14:paraId="6389DD5C" w14:textId="77777777" w:rsidTr="0065407F">
        <w:trPr>
          <w:trHeight w:val="276"/>
        </w:trPr>
        <w:tc>
          <w:tcPr>
            <w:tcW w:w="3319" w:type="dxa"/>
            <w:gridSpan w:val="2"/>
            <w:tcBorders>
              <w:top w:val="nil"/>
              <w:left w:val="nil"/>
              <w:bottom w:val="single" w:sz="4" w:space="0" w:color="auto"/>
              <w:right w:val="nil"/>
            </w:tcBorders>
            <w:shd w:val="clear" w:color="auto" w:fill="auto"/>
            <w:noWrap/>
            <w:vAlign w:val="bottom"/>
            <w:hideMark/>
          </w:tcPr>
          <w:p w14:paraId="76916BE1"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Loneliness</w:t>
            </w:r>
          </w:p>
        </w:tc>
        <w:tc>
          <w:tcPr>
            <w:tcW w:w="1926" w:type="dxa"/>
            <w:tcBorders>
              <w:top w:val="nil"/>
              <w:left w:val="nil"/>
              <w:bottom w:val="single" w:sz="4" w:space="0" w:color="auto"/>
              <w:right w:val="nil"/>
            </w:tcBorders>
            <w:shd w:val="clear" w:color="auto" w:fill="auto"/>
            <w:noWrap/>
            <w:vAlign w:val="center"/>
            <w:hideMark/>
          </w:tcPr>
          <w:p w14:paraId="43E4A0D5"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4.86 (1.61)</w:t>
            </w:r>
          </w:p>
        </w:tc>
        <w:tc>
          <w:tcPr>
            <w:tcW w:w="1985" w:type="dxa"/>
            <w:tcBorders>
              <w:top w:val="nil"/>
              <w:left w:val="nil"/>
              <w:bottom w:val="single" w:sz="4" w:space="0" w:color="auto"/>
              <w:right w:val="nil"/>
            </w:tcBorders>
            <w:shd w:val="clear" w:color="auto" w:fill="auto"/>
            <w:noWrap/>
            <w:vAlign w:val="center"/>
            <w:hideMark/>
          </w:tcPr>
          <w:p w14:paraId="34FADC3A"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5.95 (1.78)</w:t>
            </w:r>
          </w:p>
        </w:tc>
        <w:tc>
          <w:tcPr>
            <w:tcW w:w="996" w:type="dxa"/>
            <w:tcBorders>
              <w:top w:val="nil"/>
              <w:left w:val="nil"/>
              <w:bottom w:val="single" w:sz="4" w:space="0" w:color="auto"/>
              <w:right w:val="nil"/>
            </w:tcBorders>
            <w:shd w:val="clear" w:color="auto" w:fill="auto"/>
            <w:noWrap/>
            <w:vAlign w:val="center"/>
            <w:hideMark/>
          </w:tcPr>
          <w:p w14:paraId="16DF768A"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18.41</w:t>
            </w:r>
          </w:p>
        </w:tc>
        <w:tc>
          <w:tcPr>
            <w:tcW w:w="1036" w:type="dxa"/>
            <w:tcBorders>
              <w:top w:val="nil"/>
              <w:left w:val="nil"/>
              <w:bottom w:val="single" w:sz="4" w:space="0" w:color="auto"/>
              <w:right w:val="nil"/>
            </w:tcBorders>
            <w:shd w:val="clear" w:color="auto" w:fill="auto"/>
            <w:noWrap/>
            <w:vAlign w:val="center"/>
            <w:hideMark/>
          </w:tcPr>
          <w:p w14:paraId="15D33AF7"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bl>
    <w:p w14:paraId="3AFE0523" w14:textId="0CC75E73" w:rsidR="00F43938" w:rsidRPr="00F810EC" w:rsidRDefault="00756041" w:rsidP="00756041">
      <w:pPr>
        <w:ind w:leftChars="-202" w:left="-424"/>
        <w:rPr>
          <w:rFonts w:ascii="Times New Roman" w:hAnsi="Times New Roman" w:cs="Times New Roman"/>
          <w:sz w:val="24"/>
          <w:szCs w:val="24"/>
        </w:rPr>
      </w:pPr>
      <w:r w:rsidRPr="00F810EC">
        <w:rPr>
          <w:rFonts w:ascii="Times New Roman" w:hAnsi="Times New Roman" w:cs="Times New Roman"/>
          <w:i/>
          <w:iCs/>
          <w:sz w:val="24"/>
          <w:szCs w:val="24"/>
        </w:rPr>
        <w:t xml:space="preserve">Note: </w:t>
      </w:r>
      <w:r w:rsidRPr="00F810EC">
        <w:rPr>
          <w:rFonts w:ascii="Times New Roman" w:hAnsi="Times New Roman" w:cs="Times New Roman"/>
          <w:sz w:val="24"/>
          <w:szCs w:val="24"/>
        </w:rPr>
        <w:t>NSSI: non-suicidal self-injury; OCD: obsessive-compulsory disorder; PTSD: post-traumatic stress disorder</w:t>
      </w:r>
    </w:p>
    <w:p w14:paraId="3E17ED13" w14:textId="77777777" w:rsidR="00F43938" w:rsidRPr="00F810EC" w:rsidRDefault="00F43938" w:rsidP="00AD70A3">
      <w:pPr>
        <w:widowControl/>
        <w:spacing w:line="480" w:lineRule="auto"/>
        <w:jc w:val="left"/>
        <w:rPr>
          <w:rFonts w:ascii="Times New Roman" w:hAnsi="Times New Roman" w:cs="Times New Roman"/>
          <w:sz w:val="24"/>
          <w:szCs w:val="24"/>
        </w:rPr>
      </w:pPr>
      <w:r w:rsidRPr="00F810EC">
        <w:rPr>
          <w:rFonts w:ascii="Times New Roman" w:hAnsi="Times New Roman" w:cs="Times New Roman"/>
          <w:sz w:val="24"/>
          <w:szCs w:val="24"/>
        </w:rPr>
        <w:br w:type="page"/>
      </w:r>
    </w:p>
    <w:p w14:paraId="36EED82E" w14:textId="71D644DD" w:rsidR="00F43938" w:rsidRPr="00F810EC" w:rsidRDefault="00F43938" w:rsidP="001661AD">
      <w:pPr>
        <w:rPr>
          <w:rFonts w:ascii="Times New Roman" w:hAnsi="Times New Roman" w:cs="Times New Roman"/>
          <w:sz w:val="24"/>
          <w:szCs w:val="24"/>
        </w:rPr>
      </w:pPr>
      <w:r w:rsidRPr="00F810EC">
        <w:rPr>
          <w:rFonts w:ascii="Times New Roman" w:hAnsi="Times New Roman" w:cs="Times New Roman"/>
          <w:sz w:val="24"/>
          <w:szCs w:val="24"/>
        </w:rPr>
        <w:lastRenderedPageBreak/>
        <w:t>Table S2. Chi-square tests and t-tests for the most important variables in Model 2</w:t>
      </w:r>
    </w:p>
    <w:tbl>
      <w:tblPr>
        <w:tblW w:w="8270" w:type="dxa"/>
        <w:tblLook w:val="04A0" w:firstRow="1" w:lastRow="0" w:firstColumn="1" w:lastColumn="0" w:noHBand="0" w:noVBand="1"/>
      </w:tblPr>
      <w:tblGrid>
        <w:gridCol w:w="222"/>
        <w:gridCol w:w="2184"/>
        <w:gridCol w:w="1989"/>
        <w:gridCol w:w="1842"/>
        <w:gridCol w:w="997"/>
        <w:gridCol w:w="1036"/>
      </w:tblGrid>
      <w:tr w:rsidR="00F43938" w:rsidRPr="00F810EC" w14:paraId="7C699B17" w14:textId="77777777" w:rsidTr="00756041">
        <w:trPr>
          <w:trHeight w:val="276"/>
        </w:trPr>
        <w:tc>
          <w:tcPr>
            <w:tcW w:w="2406" w:type="dxa"/>
            <w:gridSpan w:val="2"/>
            <w:vMerge w:val="restart"/>
            <w:tcBorders>
              <w:top w:val="single" w:sz="4" w:space="0" w:color="auto"/>
              <w:left w:val="nil"/>
              <w:bottom w:val="single" w:sz="4" w:space="0" w:color="000000"/>
              <w:right w:val="nil"/>
            </w:tcBorders>
            <w:shd w:val="clear" w:color="auto" w:fill="auto"/>
            <w:noWrap/>
            <w:vAlign w:val="center"/>
            <w:hideMark/>
          </w:tcPr>
          <w:p w14:paraId="03E8343B"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 xml:space="preserve">Suicidal ideation </w:t>
            </w:r>
          </w:p>
        </w:tc>
        <w:tc>
          <w:tcPr>
            <w:tcW w:w="1989" w:type="dxa"/>
            <w:tcBorders>
              <w:top w:val="single" w:sz="4" w:space="0" w:color="auto"/>
              <w:left w:val="nil"/>
              <w:bottom w:val="nil"/>
              <w:right w:val="nil"/>
            </w:tcBorders>
            <w:shd w:val="clear" w:color="auto" w:fill="auto"/>
            <w:noWrap/>
            <w:vAlign w:val="center"/>
            <w:hideMark/>
          </w:tcPr>
          <w:p w14:paraId="7E2874E6"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No</w:t>
            </w:r>
          </w:p>
        </w:tc>
        <w:tc>
          <w:tcPr>
            <w:tcW w:w="1842" w:type="dxa"/>
            <w:tcBorders>
              <w:top w:val="single" w:sz="4" w:space="0" w:color="auto"/>
              <w:left w:val="nil"/>
              <w:bottom w:val="nil"/>
              <w:right w:val="nil"/>
            </w:tcBorders>
            <w:shd w:val="clear" w:color="auto" w:fill="auto"/>
            <w:noWrap/>
            <w:vAlign w:val="center"/>
            <w:hideMark/>
          </w:tcPr>
          <w:p w14:paraId="7119A7F8"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Yes</w:t>
            </w:r>
          </w:p>
        </w:tc>
        <w:tc>
          <w:tcPr>
            <w:tcW w:w="997" w:type="dxa"/>
            <w:vMerge w:val="restart"/>
            <w:tcBorders>
              <w:top w:val="single" w:sz="4" w:space="0" w:color="auto"/>
              <w:left w:val="nil"/>
              <w:bottom w:val="single" w:sz="4" w:space="0" w:color="000000"/>
              <w:right w:val="nil"/>
            </w:tcBorders>
            <w:shd w:val="clear" w:color="auto" w:fill="auto"/>
            <w:noWrap/>
            <w:vAlign w:val="center"/>
            <w:hideMark/>
          </w:tcPr>
          <w:p w14:paraId="004DBE39"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t/X</w:t>
            </w:r>
            <w:r w:rsidRPr="00F810EC">
              <w:rPr>
                <w:rFonts w:ascii="Times New Roman" w:eastAsia="等线" w:hAnsi="Times New Roman" w:cs="Times New Roman"/>
                <w:color w:val="000000"/>
                <w:kern w:val="0"/>
                <w:sz w:val="24"/>
                <w:szCs w:val="24"/>
                <w:vertAlign w:val="superscript"/>
              </w:rPr>
              <w:t>2</w:t>
            </w:r>
          </w:p>
        </w:tc>
        <w:tc>
          <w:tcPr>
            <w:tcW w:w="1036" w:type="dxa"/>
            <w:vMerge w:val="restart"/>
            <w:tcBorders>
              <w:top w:val="single" w:sz="4" w:space="0" w:color="auto"/>
              <w:left w:val="nil"/>
              <w:bottom w:val="single" w:sz="4" w:space="0" w:color="000000"/>
              <w:right w:val="nil"/>
            </w:tcBorders>
            <w:shd w:val="clear" w:color="auto" w:fill="auto"/>
            <w:noWrap/>
            <w:vAlign w:val="center"/>
            <w:hideMark/>
          </w:tcPr>
          <w:p w14:paraId="41873E30" w14:textId="77777777" w:rsidR="00F43938" w:rsidRPr="00F810EC" w:rsidRDefault="00F43938" w:rsidP="0078260E">
            <w:pPr>
              <w:widowControl/>
              <w:jc w:val="center"/>
              <w:rPr>
                <w:rFonts w:ascii="Times New Roman" w:eastAsia="等线" w:hAnsi="Times New Roman" w:cs="Times New Roman"/>
                <w:i/>
                <w:iCs/>
                <w:color w:val="000000"/>
                <w:kern w:val="0"/>
                <w:sz w:val="24"/>
                <w:szCs w:val="24"/>
              </w:rPr>
            </w:pPr>
            <w:r w:rsidRPr="00F810EC">
              <w:rPr>
                <w:rFonts w:ascii="Times New Roman" w:eastAsia="等线" w:hAnsi="Times New Roman" w:cs="Times New Roman"/>
                <w:i/>
                <w:iCs/>
                <w:color w:val="000000"/>
                <w:kern w:val="0"/>
                <w:sz w:val="24"/>
                <w:szCs w:val="24"/>
              </w:rPr>
              <w:t>p</w:t>
            </w:r>
          </w:p>
        </w:tc>
      </w:tr>
      <w:tr w:rsidR="00F43938" w:rsidRPr="00F810EC" w14:paraId="784C9218" w14:textId="77777777" w:rsidTr="00756041">
        <w:trPr>
          <w:trHeight w:val="276"/>
        </w:trPr>
        <w:tc>
          <w:tcPr>
            <w:tcW w:w="2406" w:type="dxa"/>
            <w:gridSpan w:val="2"/>
            <w:vMerge/>
            <w:tcBorders>
              <w:top w:val="single" w:sz="4" w:space="0" w:color="auto"/>
              <w:left w:val="nil"/>
              <w:bottom w:val="single" w:sz="4" w:space="0" w:color="000000"/>
              <w:right w:val="nil"/>
            </w:tcBorders>
            <w:vAlign w:val="center"/>
            <w:hideMark/>
          </w:tcPr>
          <w:p w14:paraId="7A6FBFE8"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c>
          <w:tcPr>
            <w:tcW w:w="1989" w:type="dxa"/>
            <w:tcBorders>
              <w:top w:val="nil"/>
              <w:left w:val="nil"/>
              <w:bottom w:val="single" w:sz="4" w:space="0" w:color="auto"/>
              <w:right w:val="nil"/>
            </w:tcBorders>
            <w:shd w:val="clear" w:color="auto" w:fill="auto"/>
            <w:noWrap/>
            <w:vAlign w:val="center"/>
            <w:hideMark/>
          </w:tcPr>
          <w:p w14:paraId="2C221F8B"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(n=2234)</w:t>
            </w:r>
          </w:p>
        </w:tc>
        <w:tc>
          <w:tcPr>
            <w:tcW w:w="1842" w:type="dxa"/>
            <w:tcBorders>
              <w:top w:val="nil"/>
              <w:left w:val="nil"/>
              <w:bottom w:val="single" w:sz="4" w:space="0" w:color="auto"/>
              <w:right w:val="nil"/>
            </w:tcBorders>
            <w:shd w:val="clear" w:color="auto" w:fill="auto"/>
            <w:noWrap/>
            <w:vAlign w:val="center"/>
            <w:hideMark/>
          </w:tcPr>
          <w:p w14:paraId="3420DF81"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(n=1836)</w:t>
            </w:r>
          </w:p>
        </w:tc>
        <w:tc>
          <w:tcPr>
            <w:tcW w:w="997" w:type="dxa"/>
            <w:vMerge/>
            <w:tcBorders>
              <w:top w:val="single" w:sz="4" w:space="0" w:color="auto"/>
              <w:left w:val="nil"/>
              <w:bottom w:val="single" w:sz="4" w:space="0" w:color="000000"/>
              <w:right w:val="nil"/>
            </w:tcBorders>
            <w:vAlign w:val="center"/>
            <w:hideMark/>
          </w:tcPr>
          <w:p w14:paraId="6C2B20B1" w14:textId="77777777" w:rsidR="00F43938" w:rsidRPr="00F810EC" w:rsidRDefault="00F43938" w:rsidP="0078260E">
            <w:pPr>
              <w:widowControl/>
              <w:jc w:val="center"/>
              <w:rPr>
                <w:rFonts w:ascii="Times New Roman" w:eastAsia="等线" w:hAnsi="Times New Roman" w:cs="Times New Roman"/>
                <w:color w:val="000000"/>
                <w:kern w:val="0"/>
                <w:sz w:val="24"/>
                <w:szCs w:val="24"/>
              </w:rPr>
            </w:pPr>
          </w:p>
        </w:tc>
        <w:tc>
          <w:tcPr>
            <w:tcW w:w="1036" w:type="dxa"/>
            <w:vMerge/>
            <w:tcBorders>
              <w:top w:val="single" w:sz="4" w:space="0" w:color="auto"/>
              <w:left w:val="nil"/>
              <w:bottom w:val="single" w:sz="4" w:space="0" w:color="000000"/>
              <w:right w:val="nil"/>
            </w:tcBorders>
            <w:vAlign w:val="center"/>
            <w:hideMark/>
          </w:tcPr>
          <w:p w14:paraId="4D92156B" w14:textId="77777777" w:rsidR="00F43938" w:rsidRPr="00F810EC" w:rsidRDefault="00F43938" w:rsidP="0078260E">
            <w:pPr>
              <w:widowControl/>
              <w:jc w:val="center"/>
              <w:rPr>
                <w:rFonts w:ascii="Times New Roman" w:eastAsia="等线" w:hAnsi="Times New Roman" w:cs="Times New Roman"/>
                <w:i/>
                <w:iCs/>
                <w:color w:val="000000"/>
                <w:kern w:val="0"/>
                <w:sz w:val="24"/>
                <w:szCs w:val="24"/>
              </w:rPr>
            </w:pPr>
          </w:p>
        </w:tc>
      </w:tr>
      <w:tr w:rsidR="00F43938" w:rsidRPr="00F810EC" w14:paraId="68AF9169" w14:textId="77777777" w:rsidTr="00756041">
        <w:trPr>
          <w:trHeight w:val="276"/>
        </w:trPr>
        <w:tc>
          <w:tcPr>
            <w:tcW w:w="222" w:type="dxa"/>
            <w:tcBorders>
              <w:top w:val="nil"/>
              <w:left w:val="nil"/>
              <w:bottom w:val="nil"/>
              <w:right w:val="nil"/>
            </w:tcBorders>
            <w:shd w:val="clear" w:color="auto" w:fill="auto"/>
            <w:noWrap/>
            <w:vAlign w:val="bottom"/>
            <w:hideMark/>
          </w:tcPr>
          <w:p w14:paraId="2C8D95F6" w14:textId="77777777" w:rsidR="00F43938" w:rsidRPr="00F810EC" w:rsidRDefault="00F43938" w:rsidP="0078260E">
            <w:pPr>
              <w:widowControl/>
              <w:jc w:val="center"/>
              <w:rPr>
                <w:rFonts w:ascii="Times New Roman" w:eastAsia="等线" w:hAnsi="Times New Roman" w:cs="Times New Roman"/>
                <w:color w:val="000000"/>
                <w:kern w:val="0"/>
                <w:sz w:val="24"/>
                <w:szCs w:val="24"/>
              </w:rPr>
            </w:pPr>
          </w:p>
        </w:tc>
        <w:tc>
          <w:tcPr>
            <w:tcW w:w="2184" w:type="dxa"/>
            <w:tcBorders>
              <w:top w:val="nil"/>
              <w:left w:val="nil"/>
              <w:bottom w:val="nil"/>
              <w:right w:val="nil"/>
            </w:tcBorders>
            <w:shd w:val="clear" w:color="auto" w:fill="auto"/>
            <w:noWrap/>
            <w:vAlign w:val="bottom"/>
            <w:hideMark/>
          </w:tcPr>
          <w:p w14:paraId="4EBEBFEE" w14:textId="77777777" w:rsidR="00F43938" w:rsidRPr="00F810EC" w:rsidRDefault="00F43938" w:rsidP="0078260E">
            <w:pPr>
              <w:widowControl/>
              <w:jc w:val="center"/>
              <w:rPr>
                <w:rFonts w:ascii="Times New Roman" w:eastAsia="Times New Roman" w:hAnsi="Times New Roman" w:cs="Times New Roman"/>
                <w:kern w:val="0"/>
                <w:sz w:val="24"/>
                <w:szCs w:val="24"/>
              </w:rPr>
            </w:pPr>
          </w:p>
        </w:tc>
        <w:tc>
          <w:tcPr>
            <w:tcW w:w="3831" w:type="dxa"/>
            <w:gridSpan w:val="2"/>
            <w:tcBorders>
              <w:top w:val="nil"/>
              <w:left w:val="nil"/>
              <w:bottom w:val="nil"/>
              <w:right w:val="nil"/>
            </w:tcBorders>
            <w:shd w:val="clear" w:color="auto" w:fill="auto"/>
            <w:noWrap/>
            <w:vAlign w:val="center"/>
            <w:hideMark/>
          </w:tcPr>
          <w:p w14:paraId="06D5E4D5" w14:textId="77777777" w:rsidR="00F43938" w:rsidRPr="00F810EC" w:rsidRDefault="00F43938" w:rsidP="0078260E">
            <w:pPr>
              <w:widowControl/>
              <w:jc w:val="center"/>
              <w:rPr>
                <w:rFonts w:ascii="Times New Roman" w:eastAsia="等线" w:hAnsi="Times New Roman" w:cs="Times New Roman"/>
                <w:i/>
                <w:iCs/>
                <w:color w:val="000000"/>
                <w:kern w:val="0"/>
                <w:sz w:val="24"/>
                <w:szCs w:val="24"/>
              </w:rPr>
            </w:pPr>
            <w:r w:rsidRPr="00F810EC">
              <w:rPr>
                <w:rFonts w:ascii="Times New Roman" w:eastAsia="等线" w:hAnsi="Times New Roman" w:cs="Times New Roman"/>
                <w:i/>
                <w:iCs/>
                <w:color w:val="000000"/>
                <w:kern w:val="0"/>
                <w:sz w:val="24"/>
                <w:szCs w:val="24"/>
              </w:rPr>
              <w:t>n (%)</w:t>
            </w:r>
          </w:p>
        </w:tc>
        <w:tc>
          <w:tcPr>
            <w:tcW w:w="997" w:type="dxa"/>
            <w:tcBorders>
              <w:top w:val="nil"/>
              <w:left w:val="nil"/>
              <w:bottom w:val="nil"/>
              <w:right w:val="nil"/>
            </w:tcBorders>
            <w:shd w:val="clear" w:color="auto" w:fill="auto"/>
            <w:noWrap/>
            <w:vAlign w:val="center"/>
            <w:hideMark/>
          </w:tcPr>
          <w:p w14:paraId="56B86AE9" w14:textId="77777777" w:rsidR="00F43938" w:rsidRPr="00F810EC" w:rsidRDefault="00F43938" w:rsidP="0078260E">
            <w:pPr>
              <w:widowControl/>
              <w:jc w:val="center"/>
              <w:rPr>
                <w:rFonts w:ascii="Times New Roman" w:eastAsia="等线" w:hAnsi="Times New Roman" w:cs="Times New Roman"/>
                <w:i/>
                <w:iCs/>
                <w:color w:val="000000"/>
                <w:kern w:val="0"/>
                <w:sz w:val="24"/>
                <w:szCs w:val="24"/>
              </w:rPr>
            </w:pPr>
          </w:p>
        </w:tc>
        <w:tc>
          <w:tcPr>
            <w:tcW w:w="1036" w:type="dxa"/>
            <w:tcBorders>
              <w:top w:val="nil"/>
              <w:left w:val="nil"/>
              <w:bottom w:val="nil"/>
              <w:right w:val="nil"/>
            </w:tcBorders>
            <w:shd w:val="clear" w:color="auto" w:fill="auto"/>
            <w:noWrap/>
            <w:vAlign w:val="center"/>
            <w:hideMark/>
          </w:tcPr>
          <w:p w14:paraId="7BEA5AF0" w14:textId="77777777" w:rsidR="00F43938" w:rsidRPr="00F810EC" w:rsidRDefault="00F43938" w:rsidP="0078260E">
            <w:pPr>
              <w:widowControl/>
              <w:jc w:val="center"/>
              <w:rPr>
                <w:rFonts w:ascii="Times New Roman" w:eastAsia="Times New Roman" w:hAnsi="Times New Roman" w:cs="Times New Roman"/>
                <w:kern w:val="0"/>
                <w:sz w:val="24"/>
                <w:szCs w:val="24"/>
              </w:rPr>
            </w:pPr>
          </w:p>
        </w:tc>
      </w:tr>
      <w:tr w:rsidR="00F43938" w:rsidRPr="00F810EC" w14:paraId="3E05E47E" w14:textId="77777777" w:rsidTr="00756041">
        <w:trPr>
          <w:trHeight w:val="276"/>
        </w:trPr>
        <w:tc>
          <w:tcPr>
            <w:tcW w:w="2406" w:type="dxa"/>
            <w:gridSpan w:val="2"/>
            <w:tcBorders>
              <w:top w:val="nil"/>
              <w:left w:val="nil"/>
              <w:bottom w:val="nil"/>
              <w:right w:val="nil"/>
            </w:tcBorders>
            <w:shd w:val="clear" w:color="auto" w:fill="auto"/>
            <w:noWrap/>
            <w:vAlign w:val="bottom"/>
            <w:hideMark/>
          </w:tcPr>
          <w:p w14:paraId="326A5C76"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NSSI</w:t>
            </w:r>
          </w:p>
        </w:tc>
        <w:tc>
          <w:tcPr>
            <w:tcW w:w="1989" w:type="dxa"/>
            <w:tcBorders>
              <w:top w:val="nil"/>
              <w:left w:val="nil"/>
              <w:bottom w:val="nil"/>
              <w:right w:val="nil"/>
            </w:tcBorders>
            <w:shd w:val="clear" w:color="auto" w:fill="auto"/>
            <w:noWrap/>
            <w:vAlign w:val="center"/>
            <w:hideMark/>
          </w:tcPr>
          <w:p w14:paraId="3569E340" w14:textId="77777777" w:rsidR="00F43938" w:rsidRPr="00F810EC" w:rsidRDefault="00F43938" w:rsidP="0078260E">
            <w:pPr>
              <w:widowControl/>
              <w:jc w:val="center"/>
              <w:rPr>
                <w:rFonts w:ascii="Times New Roman" w:eastAsia="等线" w:hAnsi="Times New Roman" w:cs="Times New Roman"/>
                <w:color w:val="000000"/>
                <w:kern w:val="0"/>
                <w:sz w:val="24"/>
                <w:szCs w:val="24"/>
              </w:rPr>
            </w:pPr>
          </w:p>
        </w:tc>
        <w:tc>
          <w:tcPr>
            <w:tcW w:w="1842" w:type="dxa"/>
            <w:tcBorders>
              <w:top w:val="nil"/>
              <w:left w:val="nil"/>
              <w:bottom w:val="nil"/>
              <w:right w:val="nil"/>
            </w:tcBorders>
            <w:shd w:val="clear" w:color="auto" w:fill="auto"/>
            <w:noWrap/>
            <w:vAlign w:val="center"/>
            <w:hideMark/>
          </w:tcPr>
          <w:p w14:paraId="3A3FD38F" w14:textId="77777777" w:rsidR="00F43938" w:rsidRPr="00F810EC" w:rsidRDefault="00F43938" w:rsidP="0078260E">
            <w:pPr>
              <w:widowControl/>
              <w:jc w:val="center"/>
              <w:rPr>
                <w:rFonts w:ascii="Times New Roman" w:eastAsia="Times New Roman" w:hAnsi="Times New Roman" w:cs="Times New Roman"/>
                <w:kern w:val="0"/>
                <w:sz w:val="24"/>
                <w:szCs w:val="24"/>
              </w:rPr>
            </w:pPr>
          </w:p>
        </w:tc>
        <w:tc>
          <w:tcPr>
            <w:tcW w:w="997" w:type="dxa"/>
            <w:tcBorders>
              <w:top w:val="nil"/>
              <w:left w:val="nil"/>
              <w:bottom w:val="nil"/>
              <w:right w:val="nil"/>
            </w:tcBorders>
            <w:shd w:val="clear" w:color="auto" w:fill="auto"/>
            <w:noWrap/>
            <w:vAlign w:val="center"/>
            <w:hideMark/>
          </w:tcPr>
          <w:p w14:paraId="3DA3EF77" w14:textId="77777777" w:rsidR="00F43938" w:rsidRPr="00F810EC" w:rsidRDefault="00F43938" w:rsidP="0078260E">
            <w:pPr>
              <w:widowControl/>
              <w:jc w:val="center"/>
              <w:rPr>
                <w:rFonts w:ascii="Times New Roman" w:eastAsia="Times New Roman" w:hAnsi="Times New Roman" w:cs="Times New Roman"/>
                <w:kern w:val="0"/>
                <w:sz w:val="24"/>
                <w:szCs w:val="24"/>
              </w:rPr>
            </w:pPr>
          </w:p>
        </w:tc>
        <w:tc>
          <w:tcPr>
            <w:tcW w:w="1036" w:type="dxa"/>
            <w:tcBorders>
              <w:top w:val="nil"/>
              <w:left w:val="nil"/>
              <w:bottom w:val="nil"/>
              <w:right w:val="nil"/>
            </w:tcBorders>
            <w:shd w:val="clear" w:color="auto" w:fill="auto"/>
            <w:noWrap/>
            <w:vAlign w:val="center"/>
            <w:hideMark/>
          </w:tcPr>
          <w:p w14:paraId="55266BE4" w14:textId="77777777" w:rsidR="00F43938" w:rsidRPr="00F810EC" w:rsidRDefault="00F43938" w:rsidP="0078260E">
            <w:pPr>
              <w:widowControl/>
              <w:jc w:val="center"/>
              <w:rPr>
                <w:rFonts w:ascii="Times New Roman" w:eastAsia="Times New Roman" w:hAnsi="Times New Roman" w:cs="Times New Roman"/>
                <w:kern w:val="0"/>
                <w:sz w:val="24"/>
                <w:szCs w:val="24"/>
              </w:rPr>
            </w:pPr>
          </w:p>
        </w:tc>
      </w:tr>
      <w:tr w:rsidR="00F43938" w:rsidRPr="00F810EC" w14:paraId="16A4A5BB" w14:textId="77777777" w:rsidTr="00756041">
        <w:trPr>
          <w:trHeight w:val="276"/>
        </w:trPr>
        <w:tc>
          <w:tcPr>
            <w:tcW w:w="222" w:type="dxa"/>
            <w:tcBorders>
              <w:top w:val="nil"/>
              <w:left w:val="nil"/>
              <w:bottom w:val="nil"/>
              <w:right w:val="nil"/>
            </w:tcBorders>
            <w:shd w:val="clear" w:color="auto" w:fill="auto"/>
            <w:noWrap/>
            <w:vAlign w:val="bottom"/>
            <w:hideMark/>
          </w:tcPr>
          <w:p w14:paraId="031B8760" w14:textId="77777777" w:rsidR="00F43938" w:rsidRPr="00F810EC" w:rsidRDefault="00F43938" w:rsidP="0078260E">
            <w:pPr>
              <w:widowControl/>
              <w:jc w:val="center"/>
              <w:rPr>
                <w:rFonts w:ascii="Times New Roman" w:eastAsia="Times New Roman" w:hAnsi="Times New Roman" w:cs="Times New Roman"/>
                <w:kern w:val="0"/>
                <w:sz w:val="24"/>
                <w:szCs w:val="24"/>
              </w:rPr>
            </w:pPr>
          </w:p>
        </w:tc>
        <w:tc>
          <w:tcPr>
            <w:tcW w:w="2184" w:type="dxa"/>
            <w:tcBorders>
              <w:top w:val="nil"/>
              <w:left w:val="nil"/>
              <w:bottom w:val="nil"/>
              <w:right w:val="nil"/>
            </w:tcBorders>
            <w:shd w:val="clear" w:color="auto" w:fill="auto"/>
            <w:noWrap/>
            <w:vAlign w:val="center"/>
            <w:hideMark/>
          </w:tcPr>
          <w:p w14:paraId="522519EF"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No</w:t>
            </w:r>
          </w:p>
        </w:tc>
        <w:tc>
          <w:tcPr>
            <w:tcW w:w="1989" w:type="dxa"/>
            <w:tcBorders>
              <w:top w:val="nil"/>
              <w:left w:val="nil"/>
              <w:bottom w:val="nil"/>
              <w:right w:val="nil"/>
            </w:tcBorders>
            <w:shd w:val="clear" w:color="auto" w:fill="auto"/>
            <w:noWrap/>
            <w:vAlign w:val="center"/>
            <w:hideMark/>
          </w:tcPr>
          <w:p w14:paraId="7460B82B"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2114 (94.63)</w:t>
            </w:r>
          </w:p>
        </w:tc>
        <w:tc>
          <w:tcPr>
            <w:tcW w:w="1842" w:type="dxa"/>
            <w:tcBorders>
              <w:top w:val="nil"/>
              <w:left w:val="nil"/>
              <w:bottom w:val="nil"/>
              <w:right w:val="nil"/>
            </w:tcBorders>
            <w:shd w:val="clear" w:color="auto" w:fill="auto"/>
            <w:noWrap/>
            <w:vAlign w:val="center"/>
            <w:hideMark/>
          </w:tcPr>
          <w:p w14:paraId="3D86525E"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1160 (63.18)</w:t>
            </w:r>
          </w:p>
        </w:tc>
        <w:tc>
          <w:tcPr>
            <w:tcW w:w="997" w:type="dxa"/>
            <w:vMerge w:val="restart"/>
            <w:tcBorders>
              <w:top w:val="nil"/>
              <w:left w:val="nil"/>
              <w:bottom w:val="nil"/>
              <w:right w:val="nil"/>
            </w:tcBorders>
            <w:shd w:val="clear" w:color="auto" w:fill="auto"/>
            <w:noWrap/>
            <w:vAlign w:val="center"/>
            <w:hideMark/>
          </w:tcPr>
          <w:p w14:paraId="6512A6A7"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633.6</w:t>
            </w:r>
          </w:p>
        </w:tc>
        <w:tc>
          <w:tcPr>
            <w:tcW w:w="1036" w:type="dxa"/>
            <w:vMerge w:val="restart"/>
            <w:tcBorders>
              <w:top w:val="nil"/>
              <w:left w:val="nil"/>
              <w:bottom w:val="nil"/>
              <w:right w:val="nil"/>
            </w:tcBorders>
            <w:shd w:val="clear" w:color="auto" w:fill="auto"/>
            <w:noWrap/>
            <w:vAlign w:val="center"/>
            <w:hideMark/>
          </w:tcPr>
          <w:p w14:paraId="179051F3"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F810EC" w14:paraId="53D20A4C" w14:textId="77777777" w:rsidTr="00756041">
        <w:trPr>
          <w:trHeight w:val="276"/>
        </w:trPr>
        <w:tc>
          <w:tcPr>
            <w:tcW w:w="222" w:type="dxa"/>
            <w:tcBorders>
              <w:top w:val="nil"/>
              <w:left w:val="nil"/>
              <w:bottom w:val="nil"/>
              <w:right w:val="nil"/>
            </w:tcBorders>
            <w:shd w:val="clear" w:color="auto" w:fill="auto"/>
            <w:noWrap/>
            <w:vAlign w:val="bottom"/>
            <w:hideMark/>
          </w:tcPr>
          <w:p w14:paraId="4576B13A" w14:textId="77777777" w:rsidR="00F43938" w:rsidRPr="00F810EC" w:rsidRDefault="00F43938" w:rsidP="0078260E">
            <w:pPr>
              <w:widowControl/>
              <w:jc w:val="center"/>
              <w:rPr>
                <w:rFonts w:ascii="Times New Roman" w:eastAsia="等线" w:hAnsi="Times New Roman" w:cs="Times New Roman"/>
                <w:color w:val="000000"/>
                <w:kern w:val="0"/>
                <w:sz w:val="24"/>
                <w:szCs w:val="24"/>
              </w:rPr>
            </w:pPr>
          </w:p>
        </w:tc>
        <w:tc>
          <w:tcPr>
            <w:tcW w:w="2184" w:type="dxa"/>
            <w:tcBorders>
              <w:top w:val="nil"/>
              <w:left w:val="nil"/>
              <w:bottom w:val="nil"/>
              <w:right w:val="nil"/>
            </w:tcBorders>
            <w:shd w:val="clear" w:color="auto" w:fill="auto"/>
            <w:noWrap/>
            <w:vAlign w:val="center"/>
            <w:hideMark/>
          </w:tcPr>
          <w:p w14:paraId="7579E40B"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Before one year</w:t>
            </w:r>
          </w:p>
        </w:tc>
        <w:tc>
          <w:tcPr>
            <w:tcW w:w="1989" w:type="dxa"/>
            <w:tcBorders>
              <w:top w:val="nil"/>
              <w:left w:val="nil"/>
              <w:bottom w:val="nil"/>
              <w:right w:val="nil"/>
            </w:tcBorders>
            <w:shd w:val="clear" w:color="auto" w:fill="auto"/>
            <w:noWrap/>
            <w:vAlign w:val="center"/>
            <w:hideMark/>
          </w:tcPr>
          <w:p w14:paraId="602E825D"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79 (3.54)</w:t>
            </w:r>
          </w:p>
        </w:tc>
        <w:tc>
          <w:tcPr>
            <w:tcW w:w="1842" w:type="dxa"/>
            <w:tcBorders>
              <w:top w:val="nil"/>
              <w:left w:val="nil"/>
              <w:bottom w:val="nil"/>
              <w:right w:val="nil"/>
            </w:tcBorders>
            <w:shd w:val="clear" w:color="auto" w:fill="auto"/>
            <w:noWrap/>
            <w:vAlign w:val="center"/>
            <w:hideMark/>
          </w:tcPr>
          <w:p w14:paraId="734C1A1A"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430 (23.42)</w:t>
            </w:r>
          </w:p>
        </w:tc>
        <w:tc>
          <w:tcPr>
            <w:tcW w:w="997" w:type="dxa"/>
            <w:vMerge/>
            <w:tcBorders>
              <w:top w:val="nil"/>
              <w:left w:val="nil"/>
              <w:bottom w:val="nil"/>
              <w:right w:val="nil"/>
            </w:tcBorders>
            <w:vAlign w:val="center"/>
            <w:hideMark/>
          </w:tcPr>
          <w:p w14:paraId="49923C00" w14:textId="77777777" w:rsidR="00F43938" w:rsidRPr="00F810EC" w:rsidRDefault="00F43938" w:rsidP="0078260E">
            <w:pPr>
              <w:widowControl/>
              <w:jc w:val="center"/>
              <w:rPr>
                <w:rFonts w:ascii="Times New Roman" w:eastAsia="等线" w:hAnsi="Times New Roman" w:cs="Times New Roman"/>
                <w:color w:val="000000"/>
                <w:kern w:val="0"/>
                <w:sz w:val="24"/>
                <w:szCs w:val="24"/>
              </w:rPr>
            </w:pPr>
          </w:p>
        </w:tc>
        <w:tc>
          <w:tcPr>
            <w:tcW w:w="1036" w:type="dxa"/>
            <w:vMerge/>
            <w:tcBorders>
              <w:top w:val="nil"/>
              <w:left w:val="nil"/>
              <w:bottom w:val="nil"/>
              <w:right w:val="nil"/>
            </w:tcBorders>
            <w:vAlign w:val="center"/>
            <w:hideMark/>
          </w:tcPr>
          <w:p w14:paraId="0A149CDA"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p>
        </w:tc>
      </w:tr>
      <w:tr w:rsidR="00F43938" w:rsidRPr="00F810EC" w14:paraId="7627C0E6" w14:textId="77777777" w:rsidTr="00756041">
        <w:trPr>
          <w:trHeight w:val="276"/>
        </w:trPr>
        <w:tc>
          <w:tcPr>
            <w:tcW w:w="222" w:type="dxa"/>
            <w:tcBorders>
              <w:top w:val="nil"/>
              <w:left w:val="nil"/>
              <w:bottom w:val="nil"/>
              <w:right w:val="nil"/>
            </w:tcBorders>
            <w:shd w:val="clear" w:color="auto" w:fill="auto"/>
            <w:noWrap/>
            <w:vAlign w:val="bottom"/>
            <w:hideMark/>
          </w:tcPr>
          <w:p w14:paraId="3BE1DACE" w14:textId="77777777" w:rsidR="00F43938" w:rsidRPr="00F810EC" w:rsidRDefault="00F43938" w:rsidP="0078260E">
            <w:pPr>
              <w:widowControl/>
              <w:jc w:val="center"/>
              <w:rPr>
                <w:rFonts w:ascii="Times New Roman" w:eastAsia="等线" w:hAnsi="Times New Roman" w:cs="Times New Roman"/>
                <w:color w:val="000000"/>
                <w:kern w:val="0"/>
                <w:sz w:val="24"/>
                <w:szCs w:val="24"/>
              </w:rPr>
            </w:pPr>
          </w:p>
        </w:tc>
        <w:tc>
          <w:tcPr>
            <w:tcW w:w="2184" w:type="dxa"/>
            <w:tcBorders>
              <w:top w:val="nil"/>
              <w:left w:val="nil"/>
              <w:bottom w:val="nil"/>
              <w:right w:val="nil"/>
            </w:tcBorders>
            <w:shd w:val="clear" w:color="auto" w:fill="auto"/>
            <w:noWrap/>
            <w:vAlign w:val="center"/>
            <w:hideMark/>
          </w:tcPr>
          <w:p w14:paraId="6293D877"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Within one year</w:t>
            </w:r>
          </w:p>
        </w:tc>
        <w:tc>
          <w:tcPr>
            <w:tcW w:w="1989" w:type="dxa"/>
            <w:tcBorders>
              <w:top w:val="nil"/>
              <w:left w:val="nil"/>
              <w:bottom w:val="nil"/>
              <w:right w:val="nil"/>
            </w:tcBorders>
            <w:shd w:val="clear" w:color="auto" w:fill="auto"/>
            <w:noWrap/>
            <w:vAlign w:val="center"/>
            <w:hideMark/>
          </w:tcPr>
          <w:p w14:paraId="5CE43FF2"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41 (1.84)</w:t>
            </w:r>
          </w:p>
        </w:tc>
        <w:tc>
          <w:tcPr>
            <w:tcW w:w="1842" w:type="dxa"/>
            <w:tcBorders>
              <w:top w:val="nil"/>
              <w:left w:val="nil"/>
              <w:bottom w:val="nil"/>
              <w:right w:val="nil"/>
            </w:tcBorders>
            <w:shd w:val="clear" w:color="auto" w:fill="auto"/>
            <w:noWrap/>
            <w:vAlign w:val="center"/>
            <w:hideMark/>
          </w:tcPr>
          <w:p w14:paraId="3B760446"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246 (13.40)</w:t>
            </w:r>
          </w:p>
        </w:tc>
        <w:tc>
          <w:tcPr>
            <w:tcW w:w="997" w:type="dxa"/>
            <w:vMerge/>
            <w:tcBorders>
              <w:top w:val="nil"/>
              <w:left w:val="nil"/>
              <w:bottom w:val="nil"/>
              <w:right w:val="nil"/>
            </w:tcBorders>
            <w:vAlign w:val="center"/>
            <w:hideMark/>
          </w:tcPr>
          <w:p w14:paraId="398ED7B5" w14:textId="77777777" w:rsidR="00F43938" w:rsidRPr="00F810EC" w:rsidRDefault="00F43938" w:rsidP="0078260E">
            <w:pPr>
              <w:widowControl/>
              <w:jc w:val="center"/>
              <w:rPr>
                <w:rFonts w:ascii="Times New Roman" w:eastAsia="等线" w:hAnsi="Times New Roman" w:cs="Times New Roman"/>
                <w:color w:val="000000"/>
                <w:kern w:val="0"/>
                <w:sz w:val="24"/>
                <w:szCs w:val="24"/>
              </w:rPr>
            </w:pPr>
          </w:p>
        </w:tc>
        <w:tc>
          <w:tcPr>
            <w:tcW w:w="1036" w:type="dxa"/>
            <w:vMerge/>
            <w:tcBorders>
              <w:top w:val="nil"/>
              <w:left w:val="nil"/>
              <w:bottom w:val="nil"/>
              <w:right w:val="nil"/>
            </w:tcBorders>
            <w:vAlign w:val="center"/>
            <w:hideMark/>
          </w:tcPr>
          <w:p w14:paraId="37F61245"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p>
        </w:tc>
      </w:tr>
      <w:tr w:rsidR="00F43938" w:rsidRPr="00F810EC" w14:paraId="7F22D432" w14:textId="77777777" w:rsidTr="00756041">
        <w:trPr>
          <w:trHeight w:val="276"/>
        </w:trPr>
        <w:tc>
          <w:tcPr>
            <w:tcW w:w="2406" w:type="dxa"/>
            <w:gridSpan w:val="2"/>
            <w:tcBorders>
              <w:top w:val="nil"/>
              <w:left w:val="nil"/>
              <w:bottom w:val="nil"/>
              <w:right w:val="nil"/>
            </w:tcBorders>
            <w:shd w:val="clear" w:color="auto" w:fill="auto"/>
            <w:noWrap/>
            <w:vAlign w:val="bottom"/>
            <w:hideMark/>
          </w:tcPr>
          <w:p w14:paraId="6E201D9B"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Biological sex (female)</w:t>
            </w:r>
          </w:p>
        </w:tc>
        <w:tc>
          <w:tcPr>
            <w:tcW w:w="1989" w:type="dxa"/>
            <w:tcBorders>
              <w:top w:val="nil"/>
              <w:left w:val="nil"/>
              <w:bottom w:val="nil"/>
              <w:right w:val="nil"/>
            </w:tcBorders>
            <w:shd w:val="clear" w:color="auto" w:fill="auto"/>
            <w:noWrap/>
            <w:vAlign w:val="center"/>
            <w:hideMark/>
          </w:tcPr>
          <w:p w14:paraId="611CAC6E"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812 (36.35)</w:t>
            </w:r>
          </w:p>
        </w:tc>
        <w:tc>
          <w:tcPr>
            <w:tcW w:w="1842" w:type="dxa"/>
            <w:tcBorders>
              <w:top w:val="nil"/>
              <w:left w:val="nil"/>
              <w:bottom w:val="nil"/>
              <w:right w:val="nil"/>
            </w:tcBorders>
            <w:shd w:val="clear" w:color="auto" w:fill="auto"/>
            <w:noWrap/>
            <w:vAlign w:val="center"/>
            <w:hideMark/>
          </w:tcPr>
          <w:p w14:paraId="240FF22C"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1204 (65.58)</w:t>
            </w:r>
          </w:p>
        </w:tc>
        <w:tc>
          <w:tcPr>
            <w:tcW w:w="997" w:type="dxa"/>
            <w:tcBorders>
              <w:top w:val="nil"/>
              <w:left w:val="nil"/>
              <w:bottom w:val="nil"/>
              <w:right w:val="nil"/>
            </w:tcBorders>
            <w:shd w:val="clear" w:color="auto" w:fill="auto"/>
            <w:noWrap/>
            <w:vAlign w:val="center"/>
            <w:hideMark/>
          </w:tcPr>
          <w:p w14:paraId="12CA3F47"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343.27</w:t>
            </w:r>
          </w:p>
        </w:tc>
        <w:tc>
          <w:tcPr>
            <w:tcW w:w="1036" w:type="dxa"/>
            <w:tcBorders>
              <w:top w:val="nil"/>
              <w:left w:val="nil"/>
              <w:bottom w:val="nil"/>
              <w:right w:val="nil"/>
            </w:tcBorders>
            <w:shd w:val="clear" w:color="auto" w:fill="auto"/>
            <w:noWrap/>
            <w:vAlign w:val="center"/>
            <w:hideMark/>
          </w:tcPr>
          <w:p w14:paraId="73EA5098"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F810EC" w14:paraId="3DCEB2B9" w14:textId="77777777" w:rsidTr="00756041">
        <w:trPr>
          <w:trHeight w:val="276"/>
        </w:trPr>
        <w:tc>
          <w:tcPr>
            <w:tcW w:w="222" w:type="dxa"/>
            <w:tcBorders>
              <w:top w:val="nil"/>
              <w:left w:val="nil"/>
              <w:bottom w:val="nil"/>
              <w:right w:val="nil"/>
            </w:tcBorders>
            <w:shd w:val="clear" w:color="auto" w:fill="auto"/>
            <w:noWrap/>
            <w:vAlign w:val="bottom"/>
            <w:hideMark/>
          </w:tcPr>
          <w:p w14:paraId="76338177" w14:textId="77777777" w:rsidR="00F43938" w:rsidRPr="00F810EC" w:rsidRDefault="00F43938" w:rsidP="0078260E">
            <w:pPr>
              <w:widowControl/>
              <w:jc w:val="center"/>
              <w:rPr>
                <w:rFonts w:ascii="Times New Roman" w:eastAsia="等线" w:hAnsi="Times New Roman" w:cs="Times New Roman"/>
                <w:color w:val="000000"/>
                <w:kern w:val="0"/>
                <w:sz w:val="24"/>
                <w:szCs w:val="24"/>
              </w:rPr>
            </w:pPr>
          </w:p>
        </w:tc>
        <w:tc>
          <w:tcPr>
            <w:tcW w:w="2184" w:type="dxa"/>
            <w:tcBorders>
              <w:top w:val="nil"/>
              <w:left w:val="nil"/>
              <w:bottom w:val="nil"/>
              <w:right w:val="nil"/>
            </w:tcBorders>
            <w:shd w:val="clear" w:color="auto" w:fill="auto"/>
            <w:noWrap/>
            <w:vAlign w:val="center"/>
            <w:hideMark/>
          </w:tcPr>
          <w:p w14:paraId="30FAA373" w14:textId="77777777" w:rsidR="00F43938" w:rsidRPr="00F810EC" w:rsidRDefault="00F43938" w:rsidP="0078260E">
            <w:pPr>
              <w:widowControl/>
              <w:jc w:val="left"/>
              <w:rPr>
                <w:rFonts w:ascii="Times New Roman" w:eastAsia="Times New Roman" w:hAnsi="Times New Roman" w:cs="Times New Roman"/>
                <w:kern w:val="0"/>
                <w:sz w:val="24"/>
                <w:szCs w:val="24"/>
              </w:rPr>
            </w:pPr>
          </w:p>
        </w:tc>
        <w:tc>
          <w:tcPr>
            <w:tcW w:w="3831" w:type="dxa"/>
            <w:gridSpan w:val="2"/>
            <w:tcBorders>
              <w:top w:val="nil"/>
              <w:left w:val="nil"/>
              <w:bottom w:val="nil"/>
              <w:right w:val="nil"/>
            </w:tcBorders>
            <w:shd w:val="clear" w:color="auto" w:fill="auto"/>
            <w:noWrap/>
            <w:vAlign w:val="center"/>
            <w:hideMark/>
          </w:tcPr>
          <w:p w14:paraId="1A5D37F0" w14:textId="77777777" w:rsidR="00F43938" w:rsidRPr="00F810EC" w:rsidRDefault="00F43938" w:rsidP="0078260E">
            <w:pPr>
              <w:widowControl/>
              <w:jc w:val="center"/>
              <w:rPr>
                <w:rFonts w:ascii="Times New Roman" w:eastAsia="等线" w:hAnsi="Times New Roman" w:cs="Times New Roman"/>
                <w:i/>
                <w:iCs/>
                <w:color w:val="000000"/>
                <w:kern w:val="0"/>
                <w:sz w:val="24"/>
                <w:szCs w:val="24"/>
              </w:rPr>
            </w:pPr>
            <w:r w:rsidRPr="00F810EC">
              <w:rPr>
                <w:rFonts w:ascii="Times New Roman" w:eastAsia="等线" w:hAnsi="Times New Roman" w:cs="Times New Roman"/>
                <w:i/>
                <w:iCs/>
                <w:color w:val="000000"/>
                <w:kern w:val="0"/>
                <w:sz w:val="24"/>
                <w:szCs w:val="24"/>
              </w:rPr>
              <w:t>Mean (SD)</w:t>
            </w:r>
          </w:p>
        </w:tc>
        <w:tc>
          <w:tcPr>
            <w:tcW w:w="997" w:type="dxa"/>
            <w:tcBorders>
              <w:top w:val="nil"/>
              <w:left w:val="nil"/>
              <w:bottom w:val="nil"/>
              <w:right w:val="nil"/>
            </w:tcBorders>
            <w:shd w:val="clear" w:color="auto" w:fill="auto"/>
            <w:noWrap/>
            <w:vAlign w:val="center"/>
            <w:hideMark/>
          </w:tcPr>
          <w:p w14:paraId="0537BEC5" w14:textId="77777777" w:rsidR="00F43938" w:rsidRPr="00F810EC" w:rsidRDefault="00F43938" w:rsidP="0078260E">
            <w:pPr>
              <w:widowControl/>
              <w:jc w:val="center"/>
              <w:rPr>
                <w:rFonts w:ascii="Times New Roman" w:eastAsia="等线" w:hAnsi="Times New Roman" w:cs="Times New Roman"/>
                <w:i/>
                <w:iCs/>
                <w:color w:val="000000"/>
                <w:kern w:val="0"/>
                <w:sz w:val="24"/>
                <w:szCs w:val="24"/>
              </w:rPr>
            </w:pPr>
          </w:p>
        </w:tc>
        <w:tc>
          <w:tcPr>
            <w:tcW w:w="1036" w:type="dxa"/>
            <w:tcBorders>
              <w:top w:val="nil"/>
              <w:left w:val="nil"/>
              <w:bottom w:val="nil"/>
              <w:right w:val="nil"/>
            </w:tcBorders>
            <w:shd w:val="clear" w:color="auto" w:fill="auto"/>
            <w:noWrap/>
            <w:vAlign w:val="center"/>
            <w:hideMark/>
          </w:tcPr>
          <w:p w14:paraId="469E311B" w14:textId="77777777" w:rsidR="00F43938" w:rsidRPr="000F04F4" w:rsidRDefault="00F43938" w:rsidP="0078260E">
            <w:pPr>
              <w:widowControl/>
              <w:jc w:val="center"/>
              <w:rPr>
                <w:rFonts w:ascii="Times New Roman" w:eastAsia="Times New Roman" w:hAnsi="Times New Roman" w:cs="Times New Roman"/>
                <w:b/>
                <w:bCs/>
                <w:kern w:val="0"/>
                <w:sz w:val="24"/>
                <w:szCs w:val="24"/>
              </w:rPr>
            </w:pPr>
          </w:p>
        </w:tc>
      </w:tr>
      <w:tr w:rsidR="00F43938" w:rsidRPr="00F810EC" w14:paraId="27C28481" w14:textId="77777777" w:rsidTr="00756041">
        <w:trPr>
          <w:trHeight w:val="276"/>
        </w:trPr>
        <w:tc>
          <w:tcPr>
            <w:tcW w:w="2406" w:type="dxa"/>
            <w:gridSpan w:val="2"/>
            <w:tcBorders>
              <w:top w:val="nil"/>
              <w:left w:val="nil"/>
              <w:bottom w:val="nil"/>
              <w:right w:val="nil"/>
            </w:tcBorders>
            <w:shd w:val="clear" w:color="auto" w:fill="auto"/>
            <w:noWrap/>
            <w:vAlign w:val="bottom"/>
            <w:hideMark/>
          </w:tcPr>
          <w:p w14:paraId="3DAB3BD9"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OCD</w:t>
            </w:r>
          </w:p>
        </w:tc>
        <w:tc>
          <w:tcPr>
            <w:tcW w:w="1989" w:type="dxa"/>
            <w:tcBorders>
              <w:top w:val="nil"/>
              <w:left w:val="nil"/>
              <w:bottom w:val="nil"/>
              <w:right w:val="nil"/>
            </w:tcBorders>
            <w:shd w:val="clear" w:color="auto" w:fill="auto"/>
            <w:noWrap/>
            <w:vAlign w:val="center"/>
            <w:hideMark/>
          </w:tcPr>
          <w:p w14:paraId="6D23C919"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12.89 (7.42)</w:t>
            </w:r>
          </w:p>
        </w:tc>
        <w:tc>
          <w:tcPr>
            <w:tcW w:w="1842" w:type="dxa"/>
            <w:tcBorders>
              <w:top w:val="nil"/>
              <w:left w:val="nil"/>
              <w:bottom w:val="nil"/>
              <w:right w:val="nil"/>
            </w:tcBorders>
            <w:shd w:val="clear" w:color="auto" w:fill="auto"/>
            <w:noWrap/>
            <w:vAlign w:val="center"/>
            <w:hideMark/>
          </w:tcPr>
          <w:p w14:paraId="10E6B90C"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18.86 (8.02)</w:t>
            </w:r>
          </w:p>
        </w:tc>
        <w:tc>
          <w:tcPr>
            <w:tcW w:w="997" w:type="dxa"/>
            <w:tcBorders>
              <w:top w:val="nil"/>
              <w:left w:val="nil"/>
              <w:bottom w:val="nil"/>
              <w:right w:val="nil"/>
            </w:tcBorders>
            <w:shd w:val="clear" w:color="auto" w:fill="auto"/>
            <w:noWrap/>
            <w:vAlign w:val="center"/>
            <w:hideMark/>
          </w:tcPr>
          <w:p w14:paraId="7E55C9A9"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24.45</w:t>
            </w:r>
          </w:p>
        </w:tc>
        <w:tc>
          <w:tcPr>
            <w:tcW w:w="1036" w:type="dxa"/>
            <w:tcBorders>
              <w:top w:val="nil"/>
              <w:left w:val="nil"/>
              <w:bottom w:val="nil"/>
              <w:right w:val="nil"/>
            </w:tcBorders>
            <w:shd w:val="clear" w:color="auto" w:fill="auto"/>
            <w:noWrap/>
            <w:vAlign w:val="center"/>
            <w:hideMark/>
          </w:tcPr>
          <w:p w14:paraId="3C266376"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F810EC" w14:paraId="7319EB02" w14:textId="77777777" w:rsidTr="00756041">
        <w:trPr>
          <w:trHeight w:val="276"/>
        </w:trPr>
        <w:tc>
          <w:tcPr>
            <w:tcW w:w="2406" w:type="dxa"/>
            <w:gridSpan w:val="2"/>
            <w:tcBorders>
              <w:top w:val="nil"/>
              <w:left w:val="nil"/>
              <w:bottom w:val="nil"/>
              <w:right w:val="nil"/>
            </w:tcBorders>
            <w:shd w:val="clear" w:color="auto" w:fill="auto"/>
            <w:noWrap/>
            <w:vAlign w:val="center"/>
            <w:hideMark/>
          </w:tcPr>
          <w:p w14:paraId="6C620C26"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Depression</w:t>
            </w:r>
          </w:p>
        </w:tc>
        <w:tc>
          <w:tcPr>
            <w:tcW w:w="1989" w:type="dxa"/>
            <w:tcBorders>
              <w:top w:val="nil"/>
              <w:left w:val="nil"/>
              <w:bottom w:val="nil"/>
              <w:right w:val="nil"/>
            </w:tcBorders>
            <w:shd w:val="clear" w:color="auto" w:fill="auto"/>
            <w:noWrap/>
            <w:vAlign w:val="center"/>
            <w:hideMark/>
          </w:tcPr>
          <w:p w14:paraId="0878EBFE"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5.36 (4.32)</w:t>
            </w:r>
          </w:p>
        </w:tc>
        <w:tc>
          <w:tcPr>
            <w:tcW w:w="1842" w:type="dxa"/>
            <w:tcBorders>
              <w:top w:val="nil"/>
              <w:left w:val="nil"/>
              <w:bottom w:val="nil"/>
              <w:right w:val="nil"/>
            </w:tcBorders>
            <w:shd w:val="clear" w:color="auto" w:fill="auto"/>
            <w:noWrap/>
            <w:vAlign w:val="center"/>
            <w:hideMark/>
          </w:tcPr>
          <w:p w14:paraId="22022F30"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8.79 (5.02)</w:t>
            </w:r>
          </w:p>
        </w:tc>
        <w:tc>
          <w:tcPr>
            <w:tcW w:w="997" w:type="dxa"/>
            <w:tcBorders>
              <w:top w:val="nil"/>
              <w:left w:val="nil"/>
              <w:bottom w:val="nil"/>
              <w:right w:val="nil"/>
            </w:tcBorders>
            <w:shd w:val="clear" w:color="auto" w:fill="auto"/>
            <w:noWrap/>
            <w:vAlign w:val="center"/>
            <w:hideMark/>
          </w:tcPr>
          <w:p w14:paraId="48D91BF4"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23.13</w:t>
            </w:r>
          </w:p>
        </w:tc>
        <w:tc>
          <w:tcPr>
            <w:tcW w:w="1036" w:type="dxa"/>
            <w:tcBorders>
              <w:top w:val="nil"/>
              <w:left w:val="nil"/>
              <w:bottom w:val="nil"/>
              <w:right w:val="nil"/>
            </w:tcBorders>
            <w:shd w:val="clear" w:color="auto" w:fill="auto"/>
            <w:noWrap/>
            <w:vAlign w:val="center"/>
            <w:hideMark/>
          </w:tcPr>
          <w:p w14:paraId="4C123F79"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F810EC" w14:paraId="2332BAB7" w14:textId="77777777" w:rsidTr="00756041">
        <w:trPr>
          <w:trHeight w:val="276"/>
        </w:trPr>
        <w:tc>
          <w:tcPr>
            <w:tcW w:w="2406" w:type="dxa"/>
            <w:gridSpan w:val="2"/>
            <w:tcBorders>
              <w:top w:val="nil"/>
              <w:left w:val="nil"/>
              <w:bottom w:val="nil"/>
              <w:right w:val="nil"/>
            </w:tcBorders>
            <w:shd w:val="clear" w:color="auto" w:fill="auto"/>
            <w:noWrap/>
            <w:vAlign w:val="center"/>
            <w:hideMark/>
          </w:tcPr>
          <w:p w14:paraId="445994B3"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Family happiness</w:t>
            </w:r>
          </w:p>
        </w:tc>
        <w:tc>
          <w:tcPr>
            <w:tcW w:w="1989" w:type="dxa"/>
            <w:tcBorders>
              <w:top w:val="nil"/>
              <w:left w:val="nil"/>
              <w:bottom w:val="nil"/>
              <w:right w:val="nil"/>
            </w:tcBorders>
            <w:shd w:val="clear" w:color="auto" w:fill="auto"/>
            <w:noWrap/>
            <w:vAlign w:val="center"/>
            <w:hideMark/>
          </w:tcPr>
          <w:p w14:paraId="3BAA834D"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8.10 (2.10)</w:t>
            </w:r>
          </w:p>
        </w:tc>
        <w:tc>
          <w:tcPr>
            <w:tcW w:w="1842" w:type="dxa"/>
            <w:tcBorders>
              <w:top w:val="nil"/>
              <w:left w:val="nil"/>
              <w:bottom w:val="nil"/>
              <w:right w:val="nil"/>
            </w:tcBorders>
            <w:shd w:val="clear" w:color="auto" w:fill="auto"/>
            <w:noWrap/>
            <w:vAlign w:val="center"/>
            <w:hideMark/>
          </w:tcPr>
          <w:p w14:paraId="177BE682"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6.76 (2.37)</w:t>
            </w:r>
          </w:p>
        </w:tc>
        <w:tc>
          <w:tcPr>
            <w:tcW w:w="997" w:type="dxa"/>
            <w:tcBorders>
              <w:top w:val="nil"/>
              <w:left w:val="nil"/>
              <w:bottom w:val="nil"/>
              <w:right w:val="nil"/>
            </w:tcBorders>
            <w:shd w:val="clear" w:color="auto" w:fill="auto"/>
            <w:noWrap/>
            <w:vAlign w:val="center"/>
            <w:hideMark/>
          </w:tcPr>
          <w:p w14:paraId="0746D249"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-18.87</w:t>
            </w:r>
          </w:p>
        </w:tc>
        <w:tc>
          <w:tcPr>
            <w:tcW w:w="1036" w:type="dxa"/>
            <w:tcBorders>
              <w:top w:val="nil"/>
              <w:left w:val="nil"/>
              <w:bottom w:val="nil"/>
              <w:right w:val="nil"/>
            </w:tcBorders>
            <w:shd w:val="clear" w:color="auto" w:fill="auto"/>
            <w:noWrap/>
            <w:vAlign w:val="center"/>
            <w:hideMark/>
          </w:tcPr>
          <w:p w14:paraId="42FDF1D1"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F810EC" w14:paraId="0327E75A" w14:textId="77777777" w:rsidTr="00756041">
        <w:trPr>
          <w:trHeight w:val="276"/>
        </w:trPr>
        <w:tc>
          <w:tcPr>
            <w:tcW w:w="2406" w:type="dxa"/>
            <w:gridSpan w:val="2"/>
            <w:tcBorders>
              <w:top w:val="nil"/>
              <w:left w:val="nil"/>
              <w:bottom w:val="nil"/>
              <w:right w:val="nil"/>
            </w:tcBorders>
            <w:shd w:val="clear" w:color="auto" w:fill="auto"/>
            <w:noWrap/>
            <w:vAlign w:val="bottom"/>
            <w:hideMark/>
          </w:tcPr>
          <w:p w14:paraId="6C31C583"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General anxiety</w:t>
            </w:r>
          </w:p>
        </w:tc>
        <w:tc>
          <w:tcPr>
            <w:tcW w:w="1989" w:type="dxa"/>
            <w:tcBorders>
              <w:top w:val="nil"/>
              <w:left w:val="nil"/>
              <w:bottom w:val="nil"/>
              <w:right w:val="nil"/>
            </w:tcBorders>
            <w:shd w:val="clear" w:color="auto" w:fill="auto"/>
            <w:noWrap/>
            <w:vAlign w:val="center"/>
            <w:hideMark/>
          </w:tcPr>
          <w:p w14:paraId="4C7313EC"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3.88 (3.82)</w:t>
            </w:r>
          </w:p>
        </w:tc>
        <w:tc>
          <w:tcPr>
            <w:tcW w:w="1842" w:type="dxa"/>
            <w:tcBorders>
              <w:top w:val="nil"/>
              <w:left w:val="nil"/>
              <w:bottom w:val="nil"/>
              <w:right w:val="nil"/>
            </w:tcBorders>
            <w:shd w:val="clear" w:color="auto" w:fill="auto"/>
            <w:noWrap/>
            <w:vAlign w:val="center"/>
            <w:hideMark/>
          </w:tcPr>
          <w:p w14:paraId="75D01CC6"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6.67 (4.54)</w:t>
            </w:r>
          </w:p>
        </w:tc>
        <w:tc>
          <w:tcPr>
            <w:tcW w:w="997" w:type="dxa"/>
            <w:tcBorders>
              <w:top w:val="nil"/>
              <w:left w:val="nil"/>
              <w:bottom w:val="nil"/>
              <w:right w:val="nil"/>
            </w:tcBorders>
            <w:shd w:val="clear" w:color="auto" w:fill="auto"/>
            <w:noWrap/>
            <w:vAlign w:val="center"/>
            <w:hideMark/>
          </w:tcPr>
          <w:p w14:paraId="4BECC22D"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20.95</w:t>
            </w:r>
          </w:p>
        </w:tc>
        <w:tc>
          <w:tcPr>
            <w:tcW w:w="1036" w:type="dxa"/>
            <w:tcBorders>
              <w:top w:val="nil"/>
              <w:left w:val="nil"/>
              <w:bottom w:val="nil"/>
              <w:right w:val="nil"/>
            </w:tcBorders>
            <w:shd w:val="clear" w:color="auto" w:fill="auto"/>
            <w:noWrap/>
            <w:vAlign w:val="center"/>
            <w:hideMark/>
          </w:tcPr>
          <w:p w14:paraId="54E22811"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F810EC" w14:paraId="6E7DE723" w14:textId="77777777" w:rsidTr="00756041">
        <w:trPr>
          <w:trHeight w:val="276"/>
        </w:trPr>
        <w:tc>
          <w:tcPr>
            <w:tcW w:w="2406" w:type="dxa"/>
            <w:gridSpan w:val="2"/>
            <w:tcBorders>
              <w:top w:val="nil"/>
              <w:left w:val="nil"/>
              <w:bottom w:val="nil"/>
              <w:right w:val="nil"/>
            </w:tcBorders>
            <w:shd w:val="clear" w:color="auto" w:fill="auto"/>
            <w:noWrap/>
            <w:vAlign w:val="bottom"/>
            <w:hideMark/>
          </w:tcPr>
          <w:p w14:paraId="2CE30CA3"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PTSD</w:t>
            </w:r>
          </w:p>
        </w:tc>
        <w:tc>
          <w:tcPr>
            <w:tcW w:w="1989" w:type="dxa"/>
            <w:tcBorders>
              <w:top w:val="nil"/>
              <w:left w:val="nil"/>
              <w:bottom w:val="nil"/>
              <w:right w:val="nil"/>
            </w:tcBorders>
            <w:shd w:val="clear" w:color="auto" w:fill="auto"/>
            <w:noWrap/>
            <w:vAlign w:val="center"/>
            <w:hideMark/>
          </w:tcPr>
          <w:p w14:paraId="1D6891C0"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3.10 (3.01)</w:t>
            </w:r>
          </w:p>
        </w:tc>
        <w:tc>
          <w:tcPr>
            <w:tcW w:w="1842" w:type="dxa"/>
            <w:tcBorders>
              <w:top w:val="nil"/>
              <w:left w:val="nil"/>
              <w:bottom w:val="nil"/>
              <w:right w:val="nil"/>
            </w:tcBorders>
            <w:shd w:val="clear" w:color="auto" w:fill="auto"/>
            <w:noWrap/>
            <w:vAlign w:val="center"/>
            <w:hideMark/>
          </w:tcPr>
          <w:p w14:paraId="4FAC36A2"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5.30 (2.98)</w:t>
            </w:r>
          </w:p>
        </w:tc>
        <w:tc>
          <w:tcPr>
            <w:tcW w:w="997" w:type="dxa"/>
            <w:tcBorders>
              <w:top w:val="nil"/>
              <w:left w:val="nil"/>
              <w:bottom w:val="nil"/>
              <w:right w:val="nil"/>
            </w:tcBorders>
            <w:shd w:val="clear" w:color="auto" w:fill="auto"/>
            <w:noWrap/>
            <w:vAlign w:val="center"/>
            <w:hideMark/>
          </w:tcPr>
          <w:p w14:paraId="1CB8D46C"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23.28</w:t>
            </w:r>
          </w:p>
        </w:tc>
        <w:tc>
          <w:tcPr>
            <w:tcW w:w="1036" w:type="dxa"/>
            <w:tcBorders>
              <w:top w:val="nil"/>
              <w:left w:val="nil"/>
              <w:bottom w:val="nil"/>
              <w:right w:val="nil"/>
            </w:tcBorders>
            <w:shd w:val="clear" w:color="auto" w:fill="auto"/>
            <w:noWrap/>
            <w:vAlign w:val="center"/>
            <w:hideMark/>
          </w:tcPr>
          <w:p w14:paraId="79B9F877"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F810EC" w14:paraId="0538C598" w14:textId="77777777" w:rsidTr="00756041">
        <w:trPr>
          <w:trHeight w:val="276"/>
        </w:trPr>
        <w:tc>
          <w:tcPr>
            <w:tcW w:w="2406" w:type="dxa"/>
            <w:gridSpan w:val="2"/>
            <w:tcBorders>
              <w:top w:val="nil"/>
              <w:left w:val="nil"/>
              <w:bottom w:val="nil"/>
              <w:right w:val="nil"/>
            </w:tcBorders>
            <w:shd w:val="clear" w:color="auto" w:fill="auto"/>
            <w:noWrap/>
            <w:vAlign w:val="center"/>
            <w:hideMark/>
          </w:tcPr>
          <w:p w14:paraId="6F1917EF"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Family harmony</w:t>
            </w:r>
          </w:p>
        </w:tc>
        <w:tc>
          <w:tcPr>
            <w:tcW w:w="1989" w:type="dxa"/>
            <w:tcBorders>
              <w:top w:val="nil"/>
              <w:left w:val="nil"/>
              <w:bottom w:val="nil"/>
              <w:right w:val="nil"/>
            </w:tcBorders>
            <w:shd w:val="clear" w:color="auto" w:fill="auto"/>
            <w:noWrap/>
            <w:vAlign w:val="center"/>
            <w:hideMark/>
          </w:tcPr>
          <w:p w14:paraId="30B80D28"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8.08 (2.12)</w:t>
            </w:r>
          </w:p>
        </w:tc>
        <w:tc>
          <w:tcPr>
            <w:tcW w:w="1842" w:type="dxa"/>
            <w:tcBorders>
              <w:top w:val="nil"/>
              <w:left w:val="nil"/>
              <w:bottom w:val="nil"/>
              <w:right w:val="nil"/>
            </w:tcBorders>
            <w:shd w:val="clear" w:color="auto" w:fill="auto"/>
            <w:noWrap/>
            <w:vAlign w:val="center"/>
            <w:hideMark/>
          </w:tcPr>
          <w:p w14:paraId="1FDD8F93"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6.64 (2.42)</w:t>
            </w:r>
          </w:p>
        </w:tc>
        <w:tc>
          <w:tcPr>
            <w:tcW w:w="997" w:type="dxa"/>
            <w:tcBorders>
              <w:top w:val="nil"/>
              <w:left w:val="nil"/>
              <w:bottom w:val="nil"/>
              <w:right w:val="nil"/>
            </w:tcBorders>
            <w:shd w:val="clear" w:color="auto" w:fill="auto"/>
            <w:noWrap/>
            <w:vAlign w:val="center"/>
            <w:hideMark/>
          </w:tcPr>
          <w:p w14:paraId="11D9BE4A"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-19.96</w:t>
            </w:r>
          </w:p>
        </w:tc>
        <w:tc>
          <w:tcPr>
            <w:tcW w:w="1036" w:type="dxa"/>
            <w:tcBorders>
              <w:top w:val="nil"/>
              <w:left w:val="nil"/>
              <w:bottom w:val="nil"/>
              <w:right w:val="nil"/>
            </w:tcBorders>
            <w:shd w:val="clear" w:color="auto" w:fill="auto"/>
            <w:noWrap/>
            <w:vAlign w:val="center"/>
            <w:hideMark/>
          </w:tcPr>
          <w:p w14:paraId="6965E616"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F810EC" w14:paraId="62F6ECCC" w14:textId="77777777" w:rsidTr="00756041">
        <w:trPr>
          <w:trHeight w:val="276"/>
        </w:trPr>
        <w:tc>
          <w:tcPr>
            <w:tcW w:w="2406" w:type="dxa"/>
            <w:gridSpan w:val="2"/>
            <w:tcBorders>
              <w:top w:val="nil"/>
              <w:left w:val="nil"/>
              <w:bottom w:val="nil"/>
              <w:right w:val="nil"/>
            </w:tcBorders>
            <w:shd w:val="clear" w:color="auto" w:fill="auto"/>
            <w:noWrap/>
            <w:vAlign w:val="center"/>
            <w:hideMark/>
          </w:tcPr>
          <w:p w14:paraId="6E010566"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Social rhythm</w:t>
            </w:r>
          </w:p>
        </w:tc>
        <w:tc>
          <w:tcPr>
            <w:tcW w:w="1989" w:type="dxa"/>
            <w:tcBorders>
              <w:top w:val="nil"/>
              <w:left w:val="nil"/>
              <w:bottom w:val="nil"/>
              <w:right w:val="nil"/>
            </w:tcBorders>
            <w:shd w:val="clear" w:color="auto" w:fill="auto"/>
            <w:noWrap/>
            <w:vAlign w:val="center"/>
            <w:hideMark/>
          </w:tcPr>
          <w:p w14:paraId="38390833"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2.38 (1.11)</w:t>
            </w:r>
          </w:p>
        </w:tc>
        <w:tc>
          <w:tcPr>
            <w:tcW w:w="1842" w:type="dxa"/>
            <w:tcBorders>
              <w:top w:val="nil"/>
              <w:left w:val="nil"/>
              <w:bottom w:val="nil"/>
              <w:right w:val="nil"/>
            </w:tcBorders>
            <w:shd w:val="clear" w:color="auto" w:fill="auto"/>
            <w:noWrap/>
            <w:vAlign w:val="center"/>
            <w:hideMark/>
          </w:tcPr>
          <w:p w14:paraId="7EFC66F6"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3.11 (1.07)</w:t>
            </w:r>
          </w:p>
        </w:tc>
        <w:tc>
          <w:tcPr>
            <w:tcW w:w="997" w:type="dxa"/>
            <w:tcBorders>
              <w:top w:val="nil"/>
              <w:left w:val="nil"/>
              <w:bottom w:val="nil"/>
              <w:right w:val="nil"/>
            </w:tcBorders>
            <w:shd w:val="clear" w:color="auto" w:fill="auto"/>
            <w:noWrap/>
            <w:vAlign w:val="center"/>
            <w:hideMark/>
          </w:tcPr>
          <w:p w14:paraId="3406F4C9"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21.42</w:t>
            </w:r>
          </w:p>
        </w:tc>
        <w:tc>
          <w:tcPr>
            <w:tcW w:w="1036" w:type="dxa"/>
            <w:tcBorders>
              <w:top w:val="nil"/>
              <w:left w:val="nil"/>
              <w:bottom w:val="nil"/>
              <w:right w:val="nil"/>
            </w:tcBorders>
            <w:shd w:val="clear" w:color="auto" w:fill="auto"/>
            <w:noWrap/>
            <w:vAlign w:val="center"/>
            <w:hideMark/>
          </w:tcPr>
          <w:p w14:paraId="09E9A1F5"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F810EC" w14:paraId="5BABDE39" w14:textId="77777777" w:rsidTr="00756041">
        <w:trPr>
          <w:trHeight w:val="276"/>
        </w:trPr>
        <w:tc>
          <w:tcPr>
            <w:tcW w:w="2406" w:type="dxa"/>
            <w:gridSpan w:val="2"/>
            <w:tcBorders>
              <w:top w:val="nil"/>
              <w:left w:val="nil"/>
              <w:bottom w:val="single" w:sz="4" w:space="0" w:color="auto"/>
              <w:right w:val="nil"/>
            </w:tcBorders>
            <w:shd w:val="clear" w:color="auto" w:fill="auto"/>
            <w:noWrap/>
            <w:vAlign w:val="bottom"/>
            <w:hideMark/>
          </w:tcPr>
          <w:p w14:paraId="35E7422D"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Appearance anxiety</w:t>
            </w:r>
          </w:p>
        </w:tc>
        <w:tc>
          <w:tcPr>
            <w:tcW w:w="1989" w:type="dxa"/>
            <w:tcBorders>
              <w:top w:val="nil"/>
              <w:left w:val="nil"/>
              <w:bottom w:val="single" w:sz="4" w:space="0" w:color="auto"/>
              <w:right w:val="nil"/>
            </w:tcBorders>
            <w:shd w:val="clear" w:color="auto" w:fill="auto"/>
            <w:noWrap/>
            <w:vAlign w:val="center"/>
            <w:hideMark/>
          </w:tcPr>
          <w:p w14:paraId="03E279B0"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38.89 (8.14)</w:t>
            </w:r>
          </w:p>
        </w:tc>
        <w:tc>
          <w:tcPr>
            <w:tcW w:w="1842" w:type="dxa"/>
            <w:tcBorders>
              <w:top w:val="nil"/>
              <w:left w:val="nil"/>
              <w:bottom w:val="single" w:sz="4" w:space="0" w:color="auto"/>
              <w:right w:val="nil"/>
            </w:tcBorders>
            <w:shd w:val="clear" w:color="auto" w:fill="auto"/>
            <w:noWrap/>
            <w:vAlign w:val="center"/>
            <w:hideMark/>
          </w:tcPr>
          <w:p w14:paraId="22631767"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44.99 (9.80)</w:t>
            </w:r>
          </w:p>
        </w:tc>
        <w:tc>
          <w:tcPr>
            <w:tcW w:w="997" w:type="dxa"/>
            <w:tcBorders>
              <w:top w:val="nil"/>
              <w:left w:val="nil"/>
              <w:bottom w:val="single" w:sz="4" w:space="0" w:color="auto"/>
              <w:right w:val="nil"/>
            </w:tcBorders>
            <w:shd w:val="clear" w:color="auto" w:fill="auto"/>
            <w:noWrap/>
            <w:vAlign w:val="center"/>
            <w:hideMark/>
          </w:tcPr>
          <w:p w14:paraId="4E858250"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21.31</w:t>
            </w:r>
          </w:p>
        </w:tc>
        <w:tc>
          <w:tcPr>
            <w:tcW w:w="1036" w:type="dxa"/>
            <w:tcBorders>
              <w:top w:val="nil"/>
              <w:left w:val="nil"/>
              <w:bottom w:val="single" w:sz="4" w:space="0" w:color="auto"/>
              <w:right w:val="nil"/>
            </w:tcBorders>
            <w:shd w:val="clear" w:color="auto" w:fill="auto"/>
            <w:noWrap/>
            <w:vAlign w:val="center"/>
            <w:hideMark/>
          </w:tcPr>
          <w:p w14:paraId="72E5243B"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bl>
    <w:p w14:paraId="6BB63C28" w14:textId="77777777" w:rsidR="00756041" w:rsidRPr="00F810EC" w:rsidRDefault="00756041" w:rsidP="00756041">
      <w:pPr>
        <w:rPr>
          <w:rFonts w:ascii="Times New Roman" w:hAnsi="Times New Roman" w:cs="Times New Roman"/>
          <w:sz w:val="24"/>
          <w:szCs w:val="24"/>
        </w:rPr>
      </w:pPr>
      <w:r w:rsidRPr="00F810EC">
        <w:rPr>
          <w:rFonts w:ascii="Times New Roman" w:hAnsi="Times New Roman" w:cs="Times New Roman"/>
          <w:i/>
          <w:iCs/>
          <w:sz w:val="24"/>
          <w:szCs w:val="24"/>
        </w:rPr>
        <w:t xml:space="preserve">Note: </w:t>
      </w:r>
      <w:r w:rsidRPr="00F810EC">
        <w:rPr>
          <w:rFonts w:ascii="Times New Roman" w:hAnsi="Times New Roman" w:cs="Times New Roman"/>
          <w:sz w:val="24"/>
          <w:szCs w:val="24"/>
        </w:rPr>
        <w:t>NSSI: non-suicidal self-injury; OCD: obsessive-compulsory disorder; PTSD: post-traumatic stress disorder</w:t>
      </w:r>
    </w:p>
    <w:p w14:paraId="6B791509" w14:textId="77777777" w:rsidR="00F43938" w:rsidRPr="00F810EC" w:rsidRDefault="00F43938" w:rsidP="00AD70A3">
      <w:pPr>
        <w:spacing w:line="480" w:lineRule="auto"/>
        <w:rPr>
          <w:rFonts w:ascii="Times New Roman" w:hAnsi="Times New Roman" w:cs="Times New Roman"/>
          <w:sz w:val="24"/>
          <w:szCs w:val="24"/>
        </w:rPr>
      </w:pPr>
    </w:p>
    <w:p w14:paraId="1F28DC6E" w14:textId="77777777" w:rsidR="00F43938" w:rsidRPr="00F810EC" w:rsidRDefault="00F43938" w:rsidP="00AD70A3">
      <w:pPr>
        <w:widowControl/>
        <w:spacing w:line="480" w:lineRule="auto"/>
        <w:jc w:val="left"/>
        <w:rPr>
          <w:rFonts w:ascii="Times New Roman" w:hAnsi="Times New Roman" w:cs="Times New Roman"/>
          <w:sz w:val="24"/>
          <w:szCs w:val="24"/>
        </w:rPr>
      </w:pPr>
      <w:r w:rsidRPr="00F810EC">
        <w:rPr>
          <w:rFonts w:ascii="Times New Roman" w:hAnsi="Times New Roman" w:cs="Times New Roman"/>
          <w:sz w:val="24"/>
          <w:szCs w:val="24"/>
        </w:rPr>
        <w:br w:type="page"/>
      </w:r>
    </w:p>
    <w:p w14:paraId="7D9D19A3" w14:textId="578D9312" w:rsidR="00F43938" w:rsidRPr="00F810EC" w:rsidRDefault="00F43938" w:rsidP="001661AD">
      <w:pPr>
        <w:ind w:leftChars="-135" w:left="-283"/>
        <w:rPr>
          <w:rFonts w:ascii="Times New Roman" w:hAnsi="Times New Roman" w:cs="Times New Roman"/>
          <w:sz w:val="24"/>
          <w:szCs w:val="24"/>
        </w:rPr>
      </w:pPr>
      <w:r w:rsidRPr="00F810EC">
        <w:rPr>
          <w:rFonts w:ascii="Times New Roman" w:hAnsi="Times New Roman" w:cs="Times New Roman"/>
          <w:sz w:val="24"/>
          <w:szCs w:val="24"/>
        </w:rPr>
        <w:lastRenderedPageBreak/>
        <w:t>Table S3. Chi-square tests and t-tests for the most important variables in Model 3</w:t>
      </w:r>
    </w:p>
    <w:tbl>
      <w:tblPr>
        <w:tblW w:w="8754" w:type="dxa"/>
        <w:tblInd w:w="-284" w:type="dxa"/>
        <w:tblLook w:val="04A0" w:firstRow="1" w:lastRow="0" w:firstColumn="1" w:lastColumn="0" w:noHBand="0" w:noVBand="1"/>
      </w:tblPr>
      <w:tblGrid>
        <w:gridCol w:w="222"/>
        <w:gridCol w:w="2188"/>
        <w:gridCol w:w="2126"/>
        <w:gridCol w:w="2186"/>
        <w:gridCol w:w="996"/>
        <w:gridCol w:w="1036"/>
      </w:tblGrid>
      <w:tr w:rsidR="00F43938" w:rsidRPr="00F810EC" w14:paraId="1AF56137" w14:textId="77777777" w:rsidTr="00AC2054">
        <w:trPr>
          <w:trHeight w:val="276"/>
        </w:trPr>
        <w:tc>
          <w:tcPr>
            <w:tcW w:w="2410" w:type="dxa"/>
            <w:gridSpan w:val="2"/>
            <w:vMerge w:val="restart"/>
            <w:tcBorders>
              <w:top w:val="single" w:sz="4" w:space="0" w:color="auto"/>
              <w:left w:val="nil"/>
              <w:bottom w:val="single" w:sz="4" w:space="0" w:color="000000"/>
              <w:right w:val="nil"/>
            </w:tcBorders>
            <w:shd w:val="clear" w:color="auto" w:fill="auto"/>
            <w:noWrap/>
            <w:vAlign w:val="center"/>
            <w:hideMark/>
          </w:tcPr>
          <w:p w14:paraId="0EED6C77"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Suicide plan</w:t>
            </w:r>
          </w:p>
        </w:tc>
        <w:tc>
          <w:tcPr>
            <w:tcW w:w="2126" w:type="dxa"/>
            <w:tcBorders>
              <w:top w:val="single" w:sz="4" w:space="0" w:color="auto"/>
              <w:left w:val="nil"/>
              <w:bottom w:val="nil"/>
              <w:right w:val="nil"/>
            </w:tcBorders>
            <w:shd w:val="clear" w:color="auto" w:fill="auto"/>
            <w:noWrap/>
            <w:vAlign w:val="center"/>
            <w:hideMark/>
          </w:tcPr>
          <w:p w14:paraId="4566DA96"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No</w:t>
            </w:r>
          </w:p>
        </w:tc>
        <w:tc>
          <w:tcPr>
            <w:tcW w:w="2186" w:type="dxa"/>
            <w:tcBorders>
              <w:top w:val="single" w:sz="4" w:space="0" w:color="auto"/>
              <w:left w:val="nil"/>
              <w:bottom w:val="nil"/>
              <w:right w:val="nil"/>
            </w:tcBorders>
            <w:shd w:val="clear" w:color="auto" w:fill="auto"/>
            <w:noWrap/>
            <w:vAlign w:val="center"/>
            <w:hideMark/>
          </w:tcPr>
          <w:p w14:paraId="15DC7FAA"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Yes</w:t>
            </w:r>
          </w:p>
        </w:tc>
        <w:tc>
          <w:tcPr>
            <w:tcW w:w="996" w:type="dxa"/>
            <w:vMerge w:val="restart"/>
            <w:tcBorders>
              <w:top w:val="single" w:sz="4" w:space="0" w:color="auto"/>
              <w:left w:val="nil"/>
              <w:bottom w:val="single" w:sz="4" w:space="0" w:color="000000"/>
              <w:right w:val="nil"/>
            </w:tcBorders>
            <w:shd w:val="clear" w:color="auto" w:fill="auto"/>
            <w:noWrap/>
            <w:vAlign w:val="center"/>
            <w:hideMark/>
          </w:tcPr>
          <w:p w14:paraId="471A6810"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t/X</w:t>
            </w:r>
            <w:r w:rsidRPr="00F810EC">
              <w:rPr>
                <w:rFonts w:ascii="Times New Roman" w:eastAsia="等线" w:hAnsi="Times New Roman" w:cs="Times New Roman"/>
                <w:color w:val="000000"/>
                <w:kern w:val="0"/>
                <w:sz w:val="24"/>
                <w:szCs w:val="24"/>
                <w:vertAlign w:val="superscript"/>
              </w:rPr>
              <w:t>2</w:t>
            </w:r>
          </w:p>
        </w:tc>
        <w:tc>
          <w:tcPr>
            <w:tcW w:w="1036" w:type="dxa"/>
            <w:vMerge w:val="restart"/>
            <w:tcBorders>
              <w:top w:val="single" w:sz="4" w:space="0" w:color="auto"/>
              <w:left w:val="nil"/>
              <w:bottom w:val="single" w:sz="4" w:space="0" w:color="000000"/>
              <w:right w:val="nil"/>
            </w:tcBorders>
            <w:shd w:val="clear" w:color="auto" w:fill="auto"/>
            <w:noWrap/>
            <w:vAlign w:val="center"/>
            <w:hideMark/>
          </w:tcPr>
          <w:p w14:paraId="5B16F657" w14:textId="77777777" w:rsidR="00F43938" w:rsidRPr="00F810EC" w:rsidRDefault="00F43938" w:rsidP="0078260E">
            <w:pPr>
              <w:widowControl/>
              <w:jc w:val="center"/>
              <w:rPr>
                <w:rFonts w:ascii="Times New Roman" w:eastAsia="等线" w:hAnsi="Times New Roman" w:cs="Times New Roman"/>
                <w:i/>
                <w:iCs/>
                <w:color w:val="000000"/>
                <w:kern w:val="0"/>
                <w:sz w:val="24"/>
                <w:szCs w:val="24"/>
              </w:rPr>
            </w:pPr>
            <w:r w:rsidRPr="00F810EC">
              <w:rPr>
                <w:rFonts w:ascii="Times New Roman" w:eastAsia="等线" w:hAnsi="Times New Roman" w:cs="Times New Roman"/>
                <w:i/>
                <w:iCs/>
                <w:color w:val="000000"/>
                <w:kern w:val="0"/>
                <w:sz w:val="24"/>
                <w:szCs w:val="24"/>
              </w:rPr>
              <w:t>p</w:t>
            </w:r>
          </w:p>
        </w:tc>
      </w:tr>
      <w:tr w:rsidR="00F43938" w:rsidRPr="00F810EC" w14:paraId="458B4DDE" w14:textId="77777777" w:rsidTr="00AC2054">
        <w:trPr>
          <w:trHeight w:val="276"/>
        </w:trPr>
        <w:tc>
          <w:tcPr>
            <w:tcW w:w="2410" w:type="dxa"/>
            <w:gridSpan w:val="2"/>
            <w:vMerge/>
            <w:tcBorders>
              <w:top w:val="single" w:sz="4" w:space="0" w:color="auto"/>
              <w:left w:val="nil"/>
              <w:bottom w:val="single" w:sz="4" w:space="0" w:color="000000"/>
              <w:right w:val="nil"/>
            </w:tcBorders>
            <w:vAlign w:val="center"/>
            <w:hideMark/>
          </w:tcPr>
          <w:p w14:paraId="529F4D40"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c>
          <w:tcPr>
            <w:tcW w:w="2126" w:type="dxa"/>
            <w:tcBorders>
              <w:top w:val="nil"/>
              <w:left w:val="nil"/>
              <w:bottom w:val="single" w:sz="4" w:space="0" w:color="auto"/>
              <w:right w:val="nil"/>
            </w:tcBorders>
            <w:shd w:val="clear" w:color="auto" w:fill="auto"/>
            <w:noWrap/>
            <w:vAlign w:val="center"/>
            <w:hideMark/>
          </w:tcPr>
          <w:p w14:paraId="44637B06"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 xml:space="preserve"> (n=1115)</w:t>
            </w:r>
          </w:p>
        </w:tc>
        <w:tc>
          <w:tcPr>
            <w:tcW w:w="2186" w:type="dxa"/>
            <w:tcBorders>
              <w:top w:val="nil"/>
              <w:left w:val="nil"/>
              <w:bottom w:val="single" w:sz="4" w:space="0" w:color="auto"/>
              <w:right w:val="nil"/>
            </w:tcBorders>
            <w:shd w:val="clear" w:color="auto" w:fill="auto"/>
            <w:noWrap/>
            <w:vAlign w:val="center"/>
            <w:hideMark/>
          </w:tcPr>
          <w:p w14:paraId="377368CD"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 xml:space="preserve"> (n=721)</w:t>
            </w:r>
          </w:p>
        </w:tc>
        <w:tc>
          <w:tcPr>
            <w:tcW w:w="996" w:type="dxa"/>
            <w:vMerge/>
            <w:tcBorders>
              <w:top w:val="single" w:sz="4" w:space="0" w:color="auto"/>
              <w:left w:val="nil"/>
              <w:bottom w:val="single" w:sz="4" w:space="0" w:color="000000"/>
              <w:right w:val="nil"/>
            </w:tcBorders>
            <w:vAlign w:val="center"/>
            <w:hideMark/>
          </w:tcPr>
          <w:p w14:paraId="61884F38"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c>
          <w:tcPr>
            <w:tcW w:w="1036" w:type="dxa"/>
            <w:vMerge/>
            <w:tcBorders>
              <w:top w:val="single" w:sz="4" w:space="0" w:color="auto"/>
              <w:left w:val="nil"/>
              <w:bottom w:val="single" w:sz="4" w:space="0" w:color="000000"/>
              <w:right w:val="nil"/>
            </w:tcBorders>
            <w:vAlign w:val="center"/>
            <w:hideMark/>
          </w:tcPr>
          <w:p w14:paraId="455413E0" w14:textId="77777777" w:rsidR="00F43938" w:rsidRPr="00F810EC" w:rsidRDefault="00F43938" w:rsidP="0078260E">
            <w:pPr>
              <w:widowControl/>
              <w:jc w:val="left"/>
              <w:rPr>
                <w:rFonts w:ascii="Times New Roman" w:eastAsia="等线" w:hAnsi="Times New Roman" w:cs="Times New Roman"/>
                <w:i/>
                <w:iCs/>
                <w:color w:val="000000"/>
                <w:kern w:val="0"/>
                <w:sz w:val="24"/>
                <w:szCs w:val="24"/>
              </w:rPr>
            </w:pPr>
          </w:p>
        </w:tc>
      </w:tr>
      <w:tr w:rsidR="00F43938" w:rsidRPr="00F810EC" w14:paraId="511A36A8" w14:textId="77777777" w:rsidTr="00AC2054">
        <w:trPr>
          <w:trHeight w:val="276"/>
        </w:trPr>
        <w:tc>
          <w:tcPr>
            <w:tcW w:w="222" w:type="dxa"/>
            <w:tcBorders>
              <w:top w:val="nil"/>
              <w:left w:val="nil"/>
              <w:bottom w:val="nil"/>
              <w:right w:val="nil"/>
            </w:tcBorders>
            <w:shd w:val="clear" w:color="auto" w:fill="auto"/>
            <w:noWrap/>
            <w:vAlign w:val="bottom"/>
            <w:hideMark/>
          </w:tcPr>
          <w:p w14:paraId="0C372128" w14:textId="77777777" w:rsidR="00F43938" w:rsidRPr="00F810EC" w:rsidRDefault="00F43938" w:rsidP="0078260E">
            <w:pPr>
              <w:widowControl/>
              <w:jc w:val="center"/>
              <w:rPr>
                <w:rFonts w:ascii="Times New Roman" w:eastAsia="等线" w:hAnsi="Times New Roman" w:cs="Times New Roman"/>
                <w:color w:val="000000"/>
                <w:kern w:val="0"/>
                <w:sz w:val="24"/>
                <w:szCs w:val="24"/>
              </w:rPr>
            </w:pPr>
          </w:p>
        </w:tc>
        <w:tc>
          <w:tcPr>
            <w:tcW w:w="2188" w:type="dxa"/>
            <w:tcBorders>
              <w:top w:val="nil"/>
              <w:left w:val="nil"/>
              <w:bottom w:val="nil"/>
              <w:right w:val="nil"/>
            </w:tcBorders>
            <w:shd w:val="clear" w:color="auto" w:fill="auto"/>
            <w:noWrap/>
            <w:vAlign w:val="bottom"/>
            <w:hideMark/>
          </w:tcPr>
          <w:p w14:paraId="39FFB766" w14:textId="77777777" w:rsidR="00F43938" w:rsidRPr="00F810EC" w:rsidRDefault="00F43938" w:rsidP="0078260E">
            <w:pPr>
              <w:widowControl/>
              <w:jc w:val="center"/>
              <w:rPr>
                <w:rFonts w:ascii="Times New Roman" w:eastAsia="Times New Roman" w:hAnsi="Times New Roman" w:cs="Times New Roman"/>
                <w:kern w:val="0"/>
                <w:sz w:val="24"/>
                <w:szCs w:val="24"/>
              </w:rPr>
            </w:pPr>
          </w:p>
        </w:tc>
        <w:tc>
          <w:tcPr>
            <w:tcW w:w="4312" w:type="dxa"/>
            <w:gridSpan w:val="2"/>
            <w:tcBorders>
              <w:top w:val="nil"/>
              <w:left w:val="nil"/>
              <w:bottom w:val="nil"/>
              <w:right w:val="nil"/>
            </w:tcBorders>
            <w:shd w:val="clear" w:color="auto" w:fill="auto"/>
            <w:noWrap/>
            <w:vAlign w:val="center"/>
            <w:hideMark/>
          </w:tcPr>
          <w:p w14:paraId="222BA2EB" w14:textId="77777777" w:rsidR="00F43938" w:rsidRPr="00F810EC" w:rsidRDefault="00F43938" w:rsidP="0078260E">
            <w:pPr>
              <w:widowControl/>
              <w:jc w:val="center"/>
              <w:rPr>
                <w:rFonts w:ascii="Times New Roman" w:eastAsia="等线" w:hAnsi="Times New Roman" w:cs="Times New Roman"/>
                <w:i/>
                <w:iCs/>
                <w:color w:val="000000"/>
                <w:kern w:val="0"/>
                <w:sz w:val="24"/>
                <w:szCs w:val="24"/>
              </w:rPr>
            </w:pPr>
            <w:r w:rsidRPr="00F810EC">
              <w:rPr>
                <w:rFonts w:ascii="Times New Roman" w:eastAsia="等线" w:hAnsi="Times New Roman" w:cs="Times New Roman"/>
                <w:i/>
                <w:iCs/>
                <w:color w:val="000000"/>
                <w:kern w:val="0"/>
                <w:sz w:val="24"/>
                <w:szCs w:val="24"/>
              </w:rPr>
              <w:t>n (%)</w:t>
            </w:r>
          </w:p>
        </w:tc>
        <w:tc>
          <w:tcPr>
            <w:tcW w:w="996" w:type="dxa"/>
            <w:tcBorders>
              <w:top w:val="nil"/>
              <w:left w:val="nil"/>
              <w:bottom w:val="nil"/>
              <w:right w:val="nil"/>
            </w:tcBorders>
            <w:shd w:val="clear" w:color="auto" w:fill="auto"/>
            <w:noWrap/>
            <w:vAlign w:val="center"/>
            <w:hideMark/>
          </w:tcPr>
          <w:p w14:paraId="7F15C332" w14:textId="77777777" w:rsidR="00F43938" w:rsidRPr="00F810EC" w:rsidRDefault="00F43938" w:rsidP="0078260E">
            <w:pPr>
              <w:widowControl/>
              <w:jc w:val="center"/>
              <w:rPr>
                <w:rFonts w:ascii="Times New Roman" w:eastAsia="等线" w:hAnsi="Times New Roman" w:cs="Times New Roman"/>
                <w:i/>
                <w:iCs/>
                <w:color w:val="000000"/>
                <w:kern w:val="0"/>
                <w:sz w:val="24"/>
                <w:szCs w:val="24"/>
              </w:rPr>
            </w:pPr>
          </w:p>
        </w:tc>
        <w:tc>
          <w:tcPr>
            <w:tcW w:w="1036" w:type="dxa"/>
            <w:tcBorders>
              <w:top w:val="nil"/>
              <w:left w:val="nil"/>
              <w:bottom w:val="nil"/>
              <w:right w:val="nil"/>
            </w:tcBorders>
            <w:shd w:val="clear" w:color="auto" w:fill="auto"/>
            <w:noWrap/>
            <w:vAlign w:val="center"/>
            <w:hideMark/>
          </w:tcPr>
          <w:p w14:paraId="00EE4D5A" w14:textId="77777777" w:rsidR="00F43938" w:rsidRPr="00F810EC" w:rsidRDefault="00F43938" w:rsidP="0078260E">
            <w:pPr>
              <w:widowControl/>
              <w:jc w:val="center"/>
              <w:rPr>
                <w:rFonts w:ascii="Times New Roman" w:eastAsia="Times New Roman" w:hAnsi="Times New Roman" w:cs="Times New Roman"/>
                <w:kern w:val="0"/>
                <w:sz w:val="24"/>
                <w:szCs w:val="24"/>
              </w:rPr>
            </w:pPr>
          </w:p>
        </w:tc>
      </w:tr>
      <w:tr w:rsidR="00F43938" w:rsidRPr="00F810EC" w14:paraId="4247AB19" w14:textId="77777777" w:rsidTr="00AC2054">
        <w:trPr>
          <w:trHeight w:val="276"/>
        </w:trPr>
        <w:tc>
          <w:tcPr>
            <w:tcW w:w="2410" w:type="dxa"/>
            <w:gridSpan w:val="2"/>
            <w:tcBorders>
              <w:top w:val="nil"/>
              <w:left w:val="nil"/>
              <w:bottom w:val="nil"/>
              <w:right w:val="nil"/>
            </w:tcBorders>
            <w:shd w:val="clear" w:color="auto" w:fill="auto"/>
            <w:noWrap/>
            <w:vAlign w:val="bottom"/>
            <w:hideMark/>
          </w:tcPr>
          <w:p w14:paraId="75AFB760"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NSSI</w:t>
            </w:r>
          </w:p>
        </w:tc>
        <w:tc>
          <w:tcPr>
            <w:tcW w:w="2126" w:type="dxa"/>
            <w:tcBorders>
              <w:top w:val="nil"/>
              <w:left w:val="nil"/>
              <w:bottom w:val="nil"/>
              <w:right w:val="nil"/>
            </w:tcBorders>
            <w:shd w:val="clear" w:color="auto" w:fill="auto"/>
            <w:noWrap/>
            <w:vAlign w:val="center"/>
            <w:hideMark/>
          </w:tcPr>
          <w:p w14:paraId="711ADC34"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c>
          <w:tcPr>
            <w:tcW w:w="2186" w:type="dxa"/>
            <w:tcBorders>
              <w:top w:val="nil"/>
              <w:left w:val="nil"/>
              <w:bottom w:val="nil"/>
              <w:right w:val="nil"/>
            </w:tcBorders>
            <w:shd w:val="clear" w:color="auto" w:fill="auto"/>
            <w:noWrap/>
            <w:vAlign w:val="center"/>
            <w:hideMark/>
          </w:tcPr>
          <w:p w14:paraId="2E7E9A52" w14:textId="77777777" w:rsidR="00F43938" w:rsidRPr="00F810EC" w:rsidRDefault="00F43938" w:rsidP="0078260E">
            <w:pPr>
              <w:widowControl/>
              <w:jc w:val="center"/>
              <w:rPr>
                <w:rFonts w:ascii="Times New Roman" w:eastAsia="Times New Roman" w:hAnsi="Times New Roman" w:cs="Times New Roman"/>
                <w:kern w:val="0"/>
                <w:sz w:val="24"/>
                <w:szCs w:val="24"/>
              </w:rPr>
            </w:pPr>
          </w:p>
        </w:tc>
        <w:tc>
          <w:tcPr>
            <w:tcW w:w="996" w:type="dxa"/>
            <w:tcBorders>
              <w:top w:val="nil"/>
              <w:left w:val="nil"/>
              <w:bottom w:val="nil"/>
              <w:right w:val="nil"/>
            </w:tcBorders>
            <w:shd w:val="clear" w:color="auto" w:fill="auto"/>
            <w:noWrap/>
            <w:vAlign w:val="center"/>
            <w:hideMark/>
          </w:tcPr>
          <w:p w14:paraId="49F31720" w14:textId="77777777" w:rsidR="00F43938" w:rsidRPr="00F810EC" w:rsidRDefault="00F43938" w:rsidP="0078260E">
            <w:pPr>
              <w:widowControl/>
              <w:jc w:val="center"/>
              <w:rPr>
                <w:rFonts w:ascii="Times New Roman" w:eastAsia="Times New Roman" w:hAnsi="Times New Roman" w:cs="Times New Roman"/>
                <w:kern w:val="0"/>
                <w:sz w:val="24"/>
                <w:szCs w:val="24"/>
              </w:rPr>
            </w:pPr>
          </w:p>
        </w:tc>
        <w:tc>
          <w:tcPr>
            <w:tcW w:w="1036" w:type="dxa"/>
            <w:tcBorders>
              <w:top w:val="nil"/>
              <w:left w:val="nil"/>
              <w:bottom w:val="nil"/>
              <w:right w:val="nil"/>
            </w:tcBorders>
            <w:shd w:val="clear" w:color="auto" w:fill="auto"/>
            <w:noWrap/>
            <w:vAlign w:val="center"/>
            <w:hideMark/>
          </w:tcPr>
          <w:p w14:paraId="0DCB1094" w14:textId="77777777" w:rsidR="00F43938" w:rsidRPr="00F810EC" w:rsidRDefault="00F43938" w:rsidP="0078260E">
            <w:pPr>
              <w:widowControl/>
              <w:jc w:val="center"/>
              <w:rPr>
                <w:rFonts w:ascii="Times New Roman" w:eastAsia="Times New Roman" w:hAnsi="Times New Roman" w:cs="Times New Roman"/>
                <w:kern w:val="0"/>
                <w:sz w:val="24"/>
                <w:szCs w:val="24"/>
              </w:rPr>
            </w:pPr>
          </w:p>
        </w:tc>
      </w:tr>
      <w:tr w:rsidR="00F43938" w:rsidRPr="000F04F4" w14:paraId="72171633" w14:textId="77777777" w:rsidTr="00AC2054">
        <w:trPr>
          <w:trHeight w:val="276"/>
        </w:trPr>
        <w:tc>
          <w:tcPr>
            <w:tcW w:w="222" w:type="dxa"/>
            <w:tcBorders>
              <w:top w:val="nil"/>
              <w:left w:val="nil"/>
              <w:bottom w:val="nil"/>
              <w:right w:val="nil"/>
            </w:tcBorders>
            <w:shd w:val="clear" w:color="auto" w:fill="auto"/>
            <w:noWrap/>
            <w:vAlign w:val="bottom"/>
            <w:hideMark/>
          </w:tcPr>
          <w:p w14:paraId="527BB3CD" w14:textId="77777777" w:rsidR="00F43938" w:rsidRPr="00F810EC" w:rsidRDefault="00F43938" w:rsidP="0078260E">
            <w:pPr>
              <w:widowControl/>
              <w:jc w:val="center"/>
              <w:rPr>
                <w:rFonts w:ascii="Times New Roman" w:eastAsia="Times New Roman" w:hAnsi="Times New Roman" w:cs="Times New Roman"/>
                <w:kern w:val="0"/>
                <w:sz w:val="24"/>
                <w:szCs w:val="24"/>
              </w:rPr>
            </w:pPr>
          </w:p>
        </w:tc>
        <w:tc>
          <w:tcPr>
            <w:tcW w:w="2188" w:type="dxa"/>
            <w:tcBorders>
              <w:top w:val="nil"/>
              <w:left w:val="nil"/>
              <w:bottom w:val="nil"/>
              <w:right w:val="nil"/>
            </w:tcBorders>
            <w:shd w:val="clear" w:color="auto" w:fill="auto"/>
            <w:noWrap/>
            <w:vAlign w:val="center"/>
            <w:hideMark/>
          </w:tcPr>
          <w:p w14:paraId="6EAD9184"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No</w:t>
            </w:r>
          </w:p>
        </w:tc>
        <w:tc>
          <w:tcPr>
            <w:tcW w:w="2126" w:type="dxa"/>
            <w:tcBorders>
              <w:top w:val="nil"/>
              <w:left w:val="nil"/>
              <w:bottom w:val="nil"/>
              <w:right w:val="nil"/>
            </w:tcBorders>
            <w:shd w:val="clear" w:color="auto" w:fill="auto"/>
            <w:noWrap/>
            <w:vAlign w:val="center"/>
            <w:hideMark/>
          </w:tcPr>
          <w:p w14:paraId="13B47130"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835 (74.89)</w:t>
            </w:r>
          </w:p>
        </w:tc>
        <w:tc>
          <w:tcPr>
            <w:tcW w:w="2186" w:type="dxa"/>
            <w:tcBorders>
              <w:top w:val="nil"/>
              <w:left w:val="nil"/>
              <w:bottom w:val="nil"/>
              <w:right w:val="nil"/>
            </w:tcBorders>
            <w:shd w:val="clear" w:color="auto" w:fill="auto"/>
            <w:noWrap/>
            <w:vAlign w:val="center"/>
            <w:hideMark/>
          </w:tcPr>
          <w:p w14:paraId="0C66F836"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325 (45.08)</w:t>
            </w:r>
          </w:p>
        </w:tc>
        <w:tc>
          <w:tcPr>
            <w:tcW w:w="996" w:type="dxa"/>
            <w:vMerge w:val="restart"/>
            <w:tcBorders>
              <w:top w:val="nil"/>
              <w:left w:val="nil"/>
              <w:bottom w:val="nil"/>
              <w:right w:val="nil"/>
            </w:tcBorders>
            <w:shd w:val="clear" w:color="auto" w:fill="auto"/>
            <w:noWrap/>
            <w:vAlign w:val="center"/>
            <w:hideMark/>
          </w:tcPr>
          <w:p w14:paraId="654CE4D0"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735.41</w:t>
            </w:r>
          </w:p>
        </w:tc>
        <w:tc>
          <w:tcPr>
            <w:tcW w:w="1036" w:type="dxa"/>
            <w:vMerge w:val="restart"/>
            <w:tcBorders>
              <w:top w:val="nil"/>
              <w:left w:val="nil"/>
              <w:bottom w:val="nil"/>
              <w:right w:val="nil"/>
            </w:tcBorders>
            <w:shd w:val="clear" w:color="auto" w:fill="auto"/>
            <w:noWrap/>
            <w:vAlign w:val="center"/>
            <w:hideMark/>
          </w:tcPr>
          <w:p w14:paraId="51F2FE6A"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0F04F4" w14:paraId="3F4DF09B" w14:textId="77777777" w:rsidTr="00AC2054">
        <w:trPr>
          <w:trHeight w:val="276"/>
        </w:trPr>
        <w:tc>
          <w:tcPr>
            <w:tcW w:w="222" w:type="dxa"/>
            <w:tcBorders>
              <w:top w:val="nil"/>
              <w:left w:val="nil"/>
              <w:bottom w:val="nil"/>
              <w:right w:val="nil"/>
            </w:tcBorders>
            <w:shd w:val="clear" w:color="auto" w:fill="auto"/>
            <w:noWrap/>
            <w:vAlign w:val="bottom"/>
            <w:hideMark/>
          </w:tcPr>
          <w:p w14:paraId="7ABB9FBB" w14:textId="77777777" w:rsidR="00F43938" w:rsidRPr="00F810EC" w:rsidRDefault="00F43938" w:rsidP="0078260E">
            <w:pPr>
              <w:widowControl/>
              <w:jc w:val="center"/>
              <w:rPr>
                <w:rFonts w:ascii="Times New Roman" w:eastAsia="等线" w:hAnsi="Times New Roman" w:cs="Times New Roman"/>
                <w:color w:val="000000"/>
                <w:kern w:val="0"/>
                <w:sz w:val="24"/>
                <w:szCs w:val="24"/>
              </w:rPr>
            </w:pPr>
          </w:p>
        </w:tc>
        <w:tc>
          <w:tcPr>
            <w:tcW w:w="2188" w:type="dxa"/>
            <w:tcBorders>
              <w:top w:val="nil"/>
              <w:left w:val="nil"/>
              <w:bottom w:val="nil"/>
              <w:right w:val="nil"/>
            </w:tcBorders>
            <w:shd w:val="clear" w:color="auto" w:fill="auto"/>
            <w:noWrap/>
            <w:vAlign w:val="center"/>
            <w:hideMark/>
          </w:tcPr>
          <w:p w14:paraId="0AEBB6DB"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Before one year</w:t>
            </w:r>
          </w:p>
        </w:tc>
        <w:tc>
          <w:tcPr>
            <w:tcW w:w="2126" w:type="dxa"/>
            <w:tcBorders>
              <w:top w:val="nil"/>
              <w:left w:val="nil"/>
              <w:bottom w:val="nil"/>
              <w:right w:val="nil"/>
            </w:tcBorders>
            <w:shd w:val="clear" w:color="auto" w:fill="auto"/>
            <w:noWrap/>
            <w:vAlign w:val="center"/>
            <w:hideMark/>
          </w:tcPr>
          <w:p w14:paraId="0FD2B505"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209 (18.74)</w:t>
            </w:r>
          </w:p>
        </w:tc>
        <w:tc>
          <w:tcPr>
            <w:tcW w:w="2186" w:type="dxa"/>
            <w:tcBorders>
              <w:top w:val="nil"/>
              <w:left w:val="nil"/>
              <w:bottom w:val="nil"/>
              <w:right w:val="nil"/>
            </w:tcBorders>
            <w:shd w:val="clear" w:color="auto" w:fill="auto"/>
            <w:noWrap/>
            <w:vAlign w:val="center"/>
            <w:hideMark/>
          </w:tcPr>
          <w:p w14:paraId="217742E8"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221 (30.65)</w:t>
            </w:r>
          </w:p>
        </w:tc>
        <w:tc>
          <w:tcPr>
            <w:tcW w:w="996" w:type="dxa"/>
            <w:vMerge/>
            <w:tcBorders>
              <w:top w:val="nil"/>
              <w:left w:val="nil"/>
              <w:bottom w:val="nil"/>
              <w:right w:val="nil"/>
            </w:tcBorders>
            <w:vAlign w:val="center"/>
            <w:hideMark/>
          </w:tcPr>
          <w:p w14:paraId="774E79B2"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c>
          <w:tcPr>
            <w:tcW w:w="1036" w:type="dxa"/>
            <w:vMerge/>
            <w:tcBorders>
              <w:top w:val="nil"/>
              <w:left w:val="nil"/>
              <w:bottom w:val="nil"/>
              <w:right w:val="nil"/>
            </w:tcBorders>
            <w:vAlign w:val="center"/>
            <w:hideMark/>
          </w:tcPr>
          <w:p w14:paraId="189FA371" w14:textId="77777777" w:rsidR="00F43938" w:rsidRPr="000F04F4" w:rsidRDefault="00F43938" w:rsidP="0078260E">
            <w:pPr>
              <w:widowControl/>
              <w:jc w:val="left"/>
              <w:rPr>
                <w:rFonts w:ascii="Times New Roman" w:eastAsia="等线" w:hAnsi="Times New Roman" w:cs="Times New Roman"/>
                <w:b/>
                <w:bCs/>
                <w:color w:val="000000"/>
                <w:kern w:val="0"/>
                <w:sz w:val="24"/>
                <w:szCs w:val="24"/>
              </w:rPr>
            </w:pPr>
          </w:p>
        </w:tc>
      </w:tr>
      <w:tr w:rsidR="00F43938" w:rsidRPr="000F04F4" w14:paraId="311624B0" w14:textId="77777777" w:rsidTr="00AC2054">
        <w:trPr>
          <w:trHeight w:val="276"/>
        </w:trPr>
        <w:tc>
          <w:tcPr>
            <w:tcW w:w="222" w:type="dxa"/>
            <w:tcBorders>
              <w:top w:val="nil"/>
              <w:left w:val="nil"/>
              <w:bottom w:val="nil"/>
              <w:right w:val="nil"/>
            </w:tcBorders>
            <w:shd w:val="clear" w:color="auto" w:fill="auto"/>
            <w:noWrap/>
            <w:vAlign w:val="bottom"/>
            <w:hideMark/>
          </w:tcPr>
          <w:p w14:paraId="2C1439E2" w14:textId="77777777" w:rsidR="00F43938" w:rsidRPr="00F810EC" w:rsidRDefault="00F43938" w:rsidP="0078260E">
            <w:pPr>
              <w:widowControl/>
              <w:jc w:val="center"/>
              <w:rPr>
                <w:rFonts w:ascii="Times New Roman" w:eastAsia="等线" w:hAnsi="Times New Roman" w:cs="Times New Roman"/>
                <w:color w:val="000000"/>
                <w:kern w:val="0"/>
                <w:sz w:val="24"/>
                <w:szCs w:val="24"/>
              </w:rPr>
            </w:pPr>
          </w:p>
        </w:tc>
        <w:tc>
          <w:tcPr>
            <w:tcW w:w="2188" w:type="dxa"/>
            <w:tcBorders>
              <w:top w:val="nil"/>
              <w:left w:val="nil"/>
              <w:bottom w:val="nil"/>
              <w:right w:val="nil"/>
            </w:tcBorders>
            <w:shd w:val="clear" w:color="auto" w:fill="auto"/>
            <w:noWrap/>
            <w:vAlign w:val="center"/>
            <w:hideMark/>
          </w:tcPr>
          <w:p w14:paraId="1EFD6932"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Within one year</w:t>
            </w:r>
          </w:p>
        </w:tc>
        <w:tc>
          <w:tcPr>
            <w:tcW w:w="2126" w:type="dxa"/>
            <w:tcBorders>
              <w:top w:val="nil"/>
              <w:left w:val="nil"/>
              <w:bottom w:val="nil"/>
              <w:right w:val="nil"/>
            </w:tcBorders>
            <w:shd w:val="clear" w:color="auto" w:fill="auto"/>
            <w:noWrap/>
            <w:vAlign w:val="center"/>
            <w:hideMark/>
          </w:tcPr>
          <w:p w14:paraId="7AB971B0"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71 (6.37)</w:t>
            </w:r>
          </w:p>
        </w:tc>
        <w:tc>
          <w:tcPr>
            <w:tcW w:w="2186" w:type="dxa"/>
            <w:tcBorders>
              <w:top w:val="nil"/>
              <w:left w:val="nil"/>
              <w:bottom w:val="nil"/>
              <w:right w:val="nil"/>
            </w:tcBorders>
            <w:shd w:val="clear" w:color="auto" w:fill="auto"/>
            <w:noWrap/>
            <w:vAlign w:val="center"/>
            <w:hideMark/>
          </w:tcPr>
          <w:p w14:paraId="374B5490"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175 (24.27)</w:t>
            </w:r>
          </w:p>
        </w:tc>
        <w:tc>
          <w:tcPr>
            <w:tcW w:w="996" w:type="dxa"/>
            <w:vMerge/>
            <w:tcBorders>
              <w:top w:val="nil"/>
              <w:left w:val="nil"/>
              <w:bottom w:val="nil"/>
              <w:right w:val="nil"/>
            </w:tcBorders>
            <w:vAlign w:val="center"/>
            <w:hideMark/>
          </w:tcPr>
          <w:p w14:paraId="5FF7FA3E"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c>
          <w:tcPr>
            <w:tcW w:w="1036" w:type="dxa"/>
            <w:vMerge/>
            <w:tcBorders>
              <w:top w:val="nil"/>
              <w:left w:val="nil"/>
              <w:bottom w:val="nil"/>
              <w:right w:val="nil"/>
            </w:tcBorders>
            <w:vAlign w:val="center"/>
            <w:hideMark/>
          </w:tcPr>
          <w:p w14:paraId="474805DF" w14:textId="77777777" w:rsidR="00F43938" w:rsidRPr="000F04F4" w:rsidRDefault="00F43938" w:rsidP="0078260E">
            <w:pPr>
              <w:widowControl/>
              <w:jc w:val="left"/>
              <w:rPr>
                <w:rFonts w:ascii="Times New Roman" w:eastAsia="等线" w:hAnsi="Times New Roman" w:cs="Times New Roman"/>
                <w:b/>
                <w:bCs/>
                <w:color w:val="000000"/>
                <w:kern w:val="0"/>
                <w:sz w:val="24"/>
                <w:szCs w:val="24"/>
              </w:rPr>
            </w:pPr>
          </w:p>
        </w:tc>
      </w:tr>
      <w:tr w:rsidR="00F43938" w:rsidRPr="000F04F4" w14:paraId="2D0AE91E" w14:textId="77777777" w:rsidTr="00AC2054">
        <w:trPr>
          <w:trHeight w:val="276"/>
        </w:trPr>
        <w:tc>
          <w:tcPr>
            <w:tcW w:w="222" w:type="dxa"/>
            <w:tcBorders>
              <w:top w:val="nil"/>
              <w:left w:val="nil"/>
              <w:bottom w:val="nil"/>
              <w:right w:val="nil"/>
            </w:tcBorders>
            <w:shd w:val="clear" w:color="auto" w:fill="auto"/>
            <w:noWrap/>
            <w:vAlign w:val="bottom"/>
            <w:hideMark/>
          </w:tcPr>
          <w:p w14:paraId="398A4443" w14:textId="77777777" w:rsidR="00F43938" w:rsidRPr="00F810EC" w:rsidRDefault="00F43938" w:rsidP="0078260E">
            <w:pPr>
              <w:widowControl/>
              <w:jc w:val="center"/>
              <w:rPr>
                <w:rFonts w:ascii="Times New Roman" w:eastAsia="等线" w:hAnsi="Times New Roman" w:cs="Times New Roman"/>
                <w:color w:val="000000"/>
                <w:kern w:val="0"/>
                <w:sz w:val="24"/>
                <w:szCs w:val="24"/>
              </w:rPr>
            </w:pPr>
          </w:p>
        </w:tc>
        <w:tc>
          <w:tcPr>
            <w:tcW w:w="2188" w:type="dxa"/>
            <w:tcBorders>
              <w:top w:val="nil"/>
              <w:left w:val="nil"/>
              <w:bottom w:val="nil"/>
              <w:right w:val="nil"/>
            </w:tcBorders>
            <w:shd w:val="clear" w:color="auto" w:fill="auto"/>
            <w:noWrap/>
            <w:vAlign w:val="center"/>
            <w:hideMark/>
          </w:tcPr>
          <w:p w14:paraId="08698D65" w14:textId="77777777" w:rsidR="00F43938" w:rsidRPr="00F810EC" w:rsidRDefault="00F43938" w:rsidP="0078260E">
            <w:pPr>
              <w:widowControl/>
              <w:jc w:val="left"/>
              <w:rPr>
                <w:rFonts w:ascii="Times New Roman" w:eastAsia="Times New Roman" w:hAnsi="Times New Roman" w:cs="Times New Roman"/>
                <w:kern w:val="0"/>
                <w:sz w:val="24"/>
                <w:szCs w:val="24"/>
              </w:rPr>
            </w:pPr>
          </w:p>
        </w:tc>
        <w:tc>
          <w:tcPr>
            <w:tcW w:w="4312" w:type="dxa"/>
            <w:gridSpan w:val="2"/>
            <w:tcBorders>
              <w:top w:val="nil"/>
              <w:left w:val="nil"/>
              <w:bottom w:val="nil"/>
              <w:right w:val="nil"/>
            </w:tcBorders>
            <w:shd w:val="clear" w:color="auto" w:fill="auto"/>
            <w:noWrap/>
            <w:vAlign w:val="center"/>
            <w:hideMark/>
          </w:tcPr>
          <w:p w14:paraId="54620101" w14:textId="77777777" w:rsidR="00F43938" w:rsidRPr="00F810EC" w:rsidRDefault="00F43938" w:rsidP="0078260E">
            <w:pPr>
              <w:widowControl/>
              <w:jc w:val="center"/>
              <w:rPr>
                <w:rFonts w:ascii="Times New Roman" w:eastAsia="等线" w:hAnsi="Times New Roman" w:cs="Times New Roman"/>
                <w:i/>
                <w:iCs/>
                <w:color w:val="000000"/>
                <w:kern w:val="0"/>
                <w:sz w:val="24"/>
                <w:szCs w:val="24"/>
              </w:rPr>
            </w:pPr>
            <w:r w:rsidRPr="00F810EC">
              <w:rPr>
                <w:rFonts w:ascii="Times New Roman" w:eastAsia="等线" w:hAnsi="Times New Roman" w:cs="Times New Roman"/>
                <w:i/>
                <w:iCs/>
                <w:color w:val="000000"/>
                <w:kern w:val="0"/>
                <w:sz w:val="24"/>
                <w:szCs w:val="24"/>
              </w:rPr>
              <w:t>Mean (SD)</w:t>
            </w:r>
          </w:p>
        </w:tc>
        <w:tc>
          <w:tcPr>
            <w:tcW w:w="996" w:type="dxa"/>
            <w:tcBorders>
              <w:top w:val="nil"/>
              <w:left w:val="nil"/>
              <w:bottom w:val="nil"/>
              <w:right w:val="nil"/>
            </w:tcBorders>
            <w:shd w:val="clear" w:color="auto" w:fill="auto"/>
            <w:noWrap/>
            <w:vAlign w:val="center"/>
            <w:hideMark/>
          </w:tcPr>
          <w:p w14:paraId="4ECD6EBC" w14:textId="77777777" w:rsidR="00F43938" w:rsidRPr="00F810EC" w:rsidRDefault="00F43938" w:rsidP="0078260E">
            <w:pPr>
              <w:widowControl/>
              <w:jc w:val="center"/>
              <w:rPr>
                <w:rFonts w:ascii="Times New Roman" w:eastAsia="等线" w:hAnsi="Times New Roman" w:cs="Times New Roman"/>
                <w:i/>
                <w:iCs/>
                <w:color w:val="000000"/>
                <w:kern w:val="0"/>
                <w:sz w:val="24"/>
                <w:szCs w:val="24"/>
              </w:rPr>
            </w:pPr>
          </w:p>
        </w:tc>
        <w:tc>
          <w:tcPr>
            <w:tcW w:w="1036" w:type="dxa"/>
            <w:tcBorders>
              <w:top w:val="nil"/>
              <w:left w:val="nil"/>
              <w:bottom w:val="nil"/>
              <w:right w:val="nil"/>
            </w:tcBorders>
            <w:shd w:val="clear" w:color="auto" w:fill="auto"/>
            <w:noWrap/>
            <w:vAlign w:val="center"/>
            <w:hideMark/>
          </w:tcPr>
          <w:p w14:paraId="3A1E074D" w14:textId="77777777" w:rsidR="00F43938" w:rsidRPr="000F04F4" w:rsidRDefault="00F43938" w:rsidP="0078260E">
            <w:pPr>
              <w:widowControl/>
              <w:jc w:val="center"/>
              <w:rPr>
                <w:rFonts w:ascii="Times New Roman" w:eastAsia="Times New Roman" w:hAnsi="Times New Roman" w:cs="Times New Roman"/>
                <w:b/>
                <w:bCs/>
                <w:kern w:val="0"/>
                <w:sz w:val="24"/>
                <w:szCs w:val="24"/>
              </w:rPr>
            </w:pPr>
          </w:p>
        </w:tc>
      </w:tr>
      <w:tr w:rsidR="00F43938" w:rsidRPr="000F04F4" w14:paraId="3BD44ED2" w14:textId="77777777" w:rsidTr="00AC2054">
        <w:trPr>
          <w:trHeight w:val="276"/>
        </w:trPr>
        <w:tc>
          <w:tcPr>
            <w:tcW w:w="2410" w:type="dxa"/>
            <w:gridSpan w:val="2"/>
            <w:tcBorders>
              <w:top w:val="nil"/>
              <w:left w:val="nil"/>
              <w:bottom w:val="nil"/>
              <w:right w:val="nil"/>
            </w:tcBorders>
            <w:shd w:val="clear" w:color="auto" w:fill="auto"/>
            <w:noWrap/>
            <w:vAlign w:val="bottom"/>
            <w:hideMark/>
          </w:tcPr>
          <w:p w14:paraId="169DFD11"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Emotional abuse</w:t>
            </w:r>
          </w:p>
        </w:tc>
        <w:tc>
          <w:tcPr>
            <w:tcW w:w="2126" w:type="dxa"/>
            <w:tcBorders>
              <w:top w:val="nil"/>
              <w:left w:val="nil"/>
              <w:bottom w:val="nil"/>
              <w:right w:val="nil"/>
            </w:tcBorders>
            <w:shd w:val="clear" w:color="auto" w:fill="auto"/>
            <w:noWrap/>
            <w:vAlign w:val="center"/>
            <w:hideMark/>
          </w:tcPr>
          <w:p w14:paraId="46022E7F"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8.84 (3.29)</w:t>
            </w:r>
          </w:p>
        </w:tc>
        <w:tc>
          <w:tcPr>
            <w:tcW w:w="2186" w:type="dxa"/>
            <w:tcBorders>
              <w:top w:val="nil"/>
              <w:left w:val="nil"/>
              <w:bottom w:val="nil"/>
              <w:right w:val="nil"/>
            </w:tcBorders>
            <w:shd w:val="clear" w:color="auto" w:fill="auto"/>
            <w:noWrap/>
            <w:vAlign w:val="center"/>
            <w:hideMark/>
          </w:tcPr>
          <w:p w14:paraId="5CBE9640"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11.09 (4.20)</w:t>
            </w:r>
          </w:p>
        </w:tc>
        <w:tc>
          <w:tcPr>
            <w:tcW w:w="996" w:type="dxa"/>
            <w:tcBorders>
              <w:top w:val="nil"/>
              <w:left w:val="nil"/>
              <w:bottom w:val="nil"/>
              <w:right w:val="nil"/>
            </w:tcBorders>
            <w:shd w:val="clear" w:color="auto" w:fill="auto"/>
            <w:noWrap/>
            <w:vAlign w:val="center"/>
            <w:hideMark/>
          </w:tcPr>
          <w:p w14:paraId="16970678"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12.22</w:t>
            </w:r>
          </w:p>
        </w:tc>
        <w:tc>
          <w:tcPr>
            <w:tcW w:w="1036" w:type="dxa"/>
            <w:tcBorders>
              <w:top w:val="nil"/>
              <w:left w:val="nil"/>
              <w:bottom w:val="nil"/>
              <w:right w:val="nil"/>
            </w:tcBorders>
            <w:shd w:val="clear" w:color="auto" w:fill="auto"/>
            <w:noWrap/>
            <w:vAlign w:val="center"/>
            <w:hideMark/>
          </w:tcPr>
          <w:p w14:paraId="3ADFEEAE"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0F04F4" w14:paraId="72766E97" w14:textId="77777777" w:rsidTr="00AC2054">
        <w:trPr>
          <w:trHeight w:val="276"/>
        </w:trPr>
        <w:tc>
          <w:tcPr>
            <w:tcW w:w="2410" w:type="dxa"/>
            <w:gridSpan w:val="2"/>
            <w:tcBorders>
              <w:top w:val="nil"/>
              <w:left w:val="nil"/>
              <w:bottom w:val="nil"/>
              <w:right w:val="nil"/>
            </w:tcBorders>
            <w:shd w:val="clear" w:color="auto" w:fill="auto"/>
            <w:noWrap/>
            <w:vAlign w:val="bottom"/>
            <w:hideMark/>
          </w:tcPr>
          <w:p w14:paraId="5AE09E50"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Emotional neglect</w:t>
            </w:r>
          </w:p>
        </w:tc>
        <w:tc>
          <w:tcPr>
            <w:tcW w:w="2126" w:type="dxa"/>
            <w:tcBorders>
              <w:top w:val="nil"/>
              <w:left w:val="nil"/>
              <w:bottom w:val="nil"/>
              <w:right w:val="nil"/>
            </w:tcBorders>
            <w:shd w:val="clear" w:color="auto" w:fill="auto"/>
            <w:noWrap/>
            <w:vAlign w:val="center"/>
            <w:hideMark/>
          </w:tcPr>
          <w:p w14:paraId="76263C99"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11.84 (4.79)</w:t>
            </w:r>
          </w:p>
        </w:tc>
        <w:tc>
          <w:tcPr>
            <w:tcW w:w="2186" w:type="dxa"/>
            <w:tcBorders>
              <w:top w:val="nil"/>
              <w:left w:val="nil"/>
              <w:bottom w:val="nil"/>
              <w:right w:val="nil"/>
            </w:tcBorders>
            <w:shd w:val="clear" w:color="auto" w:fill="auto"/>
            <w:noWrap/>
            <w:vAlign w:val="center"/>
            <w:hideMark/>
          </w:tcPr>
          <w:p w14:paraId="33EFBC1C"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13.72 (5.17)</w:t>
            </w:r>
          </w:p>
        </w:tc>
        <w:tc>
          <w:tcPr>
            <w:tcW w:w="996" w:type="dxa"/>
            <w:tcBorders>
              <w:top w:val="nil"/>
              <w:left w:val="nil"/>
              <w:bottom w:val="nil"/>
              <w:right w:val="nil"/>
            </w:tcBorders>
            <w:shd w:val="clear" w:color="auto" w:fill="auto"/>
            <w:noWrap/>
            <w:vAlign w:val="center"/>
            <w:hideMark/>
          </w:tcPr>
          <w:p w14:paraId="0F1041D6"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7.83</w:t>
            </w:r>
          </w:p>
        </w:tc>
        <w:tc>
          <w:tcPr>
            <w:tcW w:w="1036" w:type="dxa"/>
            <w:tcBorders>
              <w:top w:val="nil"/>
              <w:left w:val="nil"/>
              <w:bottom w:val="nil"/>
              <w:right w:val="nil"/>
            </w:tcBorders>
            <w:shd w:val="clear" w:color="auto" w:fill="auto"/>
            <w:noWrap/>
            <w:vAlign w:val="center"/>
            <w:hideMark/>
          </w:tcPr>
          <w:p w14:paraId="7DBA630A"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0F04F4" w14:paraId="4B3D0C6E" w14:textId="77777777" w:rsidTr="00AC2054">
        <w:trPr>
          <w:trHeight w:val="276"/>
        </w:trPr>
        <w:tc>
          <w:tcPr>
            <w:tcW w:w="2410" w:type="dxa"/>
            <w:gridSpan w:val="2"/>
            <w:tcBorders>
              <w:top w:val="nil"/>
              <w:left w:val="nil"/>
              <w:bottom w:val="nil"/>
              <w:right w:val="nil"/>
            </w:tcBorders>
            <w:shd w:val="clear" w:color="auto" w:fill="auto"/>
            <w:noWrap/>
            <w:vAlign w:val="bottom"/>
            <w:hideMark/>
          </w:tcPr>
          <w:p w14:paraId="447D8FB7"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Physical abuse</w:t>
            </w:r>
          </w:p>
        </w:tc>
        <w:tc>
          <w:tcPr>
            <w:tcW w:w="2126" w:type="dxa"/>
            <w:tcBorders>
              <w:top w:val="nil"/>
              <w:left w:val="nil"/>
              <w:bottom w:val="nil"/>
              <w:right w:val="nil"/>
            </w:tcBorders>
            <w:shd w:val="clear" w:color="auto" w:fill="auto"/>
            <w:noWrap/>
            <w:vAlign w:val="center"/>
            <w:hideMark/>
          </w:tcPr>
          <w:p w14:paraId="1FFF38DF"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6.98 (3.20)</w:t>
            </w:r>
          </w:p>
        </w:tc>
        <w:tc>
          <w:tcPr>
            <w:tcW w:w="2186" w:type="dxa"/>
            <w:tcBorders>
              <w:top w:val="nil"/>
              <w:left w:val="nil"/>
              <w:bottom w:val="nil"/>
              <w:right w:val="nil"/>
            </w:tcBorders>
            <w:shd w:val="clear" w:color="auto" w:fill="auto"/>
            <w:noWrap/>
            <w:vAlign w:val="center"/>
            <w:hideMark/>
          </w:tcPr>
          <w:p w14:paraId="1D35913D"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8.96 (4.29)</w:t>
            </w:r>
          </w:p>
        </w:tc>
        <w:tc>
          <w:tcPr>
            <w:tcW w:w="996" w:type="dxa"/>
            <w:tcBorders>
              <w:top w:val="nil"/>
              <w:left w:val="nil"/>
              <w:bottom w:val="nil"/>
              <w:right w:val="nil"/>
            </w:tcBorders>
            <w:shd w:val="clear" w:color="auto" w:fill="auto"/>
            <w:noWrap/>
            <w:vAlign w:val="center"/>
            <w:hideMark/>
          </w:tcPr>
          <w:p w14:paraId="2B119CEA"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10.58</w:t>
            </w:r>
          </w:p>
        </w:tc>
        <w:tc>
          <w:tcPr>
            <w:tcW w:w="1036" w:type="dxa"/>
            <w:tcBorders>
              <w:top w:val="nil"/>
              <w:left w:val="nil"/>
              <w:bottom w:val="nil"/>
              <w:right w:val="nil"/>
            </w:tcBorders>
            <w:shd w:val="clear" w:color="auto" w:fill="auto"/>
            <w:noWrap/>
            <w:vAlign w:val="center"/>
            <w:hideMark/>
          </w:tcPr>
          <w:p w14:paraId="5DBD88FC"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0F04F4" w14:paraId="6145D588" w14:textId="77777777" w:rsidTr="00AC2054">
        <w:trPr>
          <w:trHeight w:val="276"/>
        </w:trPr>
        <w:tc>
          <w:tcPr>
            <w:tcW w:w="2410" w:type="dxa"/>
            <w:gridSpan w:val="2"/>
            <w:tcBorders>
              <w:top w:val="nil"/>
              <w:left w:val="nil"/>
              <w:bottom w:val="nil"/>
              <w:right w:val="nil"/>
            </w:tcBorders>
            <w:shd w:val="clear" w:color="auto" w:fill="auto"/>
            <w:noWrap/>
            <w:vAlign w:val="bottom"/>
            <w:hideMark/>
          </w:tcPr>
          <w:p w14:paraId="0012AC7C"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Fear of happiness</w:t>
            </w:r>
          </w:p>
        </w:tc>
        <w:tc>
          <w:tcPr>
            <w:tcW w:w="2126" w:type="dxa"/>
            <w:tcBorders>
              <w:top w:val="nil"/>
              <w:left w:val="nil"/>
              <w:bottom w:val="nil"/>
              <w:right w:val="nil"/>
            </w:tcBorders>
            <w:shd w:val="clear" w:color="auto" w:fill="auto"/>
            <w:noWrap/>
            <w:vAlign w:val="center"/>
            <w:hideMark/>
          </w:tcPr>
          <w:p w14:paraId="676FC053"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21.04 (6.53)</w:t>
            </w:r>
          </w:p>
        </w:tc>
        <w:tc>
          <w:tcPr>
            <w:tcW w:w="2186" w:type="dxa"/>
            <w:tcBorders>
              <w:top w:val="nil"/>
              <w:left w:val="nil"/>
              <w:bottom w:val="nil"/>
              <w:right w:val="nil"/>
            </w:tcBorders>
            <w:shd w:val="clear" w:color="auto" w:fill="auto"/>
            <w:noWrap/>
            <w:vAlign w:val="center"/>
            <w:hideMark/>
          </w:tcPr>
          <w:p w14:paraId="45322198"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23.76 (7.15)</w:t>
            </w:r>
          </w:p>
        </w:tc>
        <w:tc>
          <w:tcPr>
            <w:tcW w:w="996" w:type="dxa"/>
            <w:tcBorders>
              <w:top w:val="nil"/>
              <w:left w:val="nil"/>
              <w:bottom w:val="nil"/>
              <w:right w:val="nil"/>
            </w:tcBorders>
            <w:shd w:val="clear" w:color="auto" w:fill="auto"/>
            <w:noWrap/>
            <w:vAlign w:val="center"/>
            <w:hideMark/>
          </w:tcPr>
          <w:p w14:paraId="2F3FABD9"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8.23</w:t>
            </w:r>
          </w:p>
        </w:tc>
        <w:tc>
          <w:tcPr>
            <w:tcW w:w="1036" w:type="dxa"/>
            <w:tcBorders>
              <w:top w:val="nil"/>
              <w:left w:val="nil"/>
              <w:bottom w:val="nil"/>
              <w:right w:val="nil"/>
            </w:tcBorders>
            <w:shd w:val="clear" w:color="auto" w:fill="auto"/>
            <w:noWrap/>
            <w:vAlign w:val="center"/>
            <w:hideMark/>
          </w:tcPr>
          <w:p w14:paraId="38B05F53"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0F04F4" w14:paraId="1965FEAA" w14:textId="77777777" w:rsidTr="00AC2054">
        <w:trPr>
          <w:trHeight w:val="276"/>
        </w:trPr>
        <w:tc>
          <w:tcPr>
            <w:tcW w:w="2410" w:type="dxa"/>
            <w:gridSpan w:val="2"/>
            <w:tcBorders>
              <w:top w:val="nil"/>
              <w:left w:val="nil"/>
              <w:bottom w:val="nil"/>
              <w:right w:val="nil"/>
            </w:tcBorders>
            <w:shd w:val="clear" w:color="auto" w:fill="auto"/>
            <w:noWrap/>
            <w:vAlign w:val="bottom"/>
            <w:hideMark/>
          </w:tcPr>
          <w:p w14:paraId="4F1DAF34"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Depression</w:t>
            </w:r>
          </w:p>
        </w:tc>
        <w:tc>
          <w:tcPr>
            <w:tcW w:w="2126" w:type="dxa"/>
            <w:tcBorders>
              <w:top w:val="nil"/>
              <w:left w:val="nil"/>
              <w:bottom w:val="nil"/>
              <w:right w:val="nil"/>
            </w:tcBorders>
            <w:shd w:val="clear" w:color="auto" w:fill="auto"/>
            <w:noWrap/>
            <w:vAlign w:val="center"/>
            <w:hideMark/>
          </w:tcPr>
          <w:p w14:paraId="40D72DD7"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8.15 (4.33)</w:t>
            </w:r>
          </w:p>
        </w:tc>
        <w:tc>
          <w:tcPr>
            <w:tcW w:w="2186" w:type="dxa"/>
            <w:tcBorders>
              <w:top w:val="nil"/>
              <w:left w:val="nil"/>
              <w:bottom w:val="nil"/>
              <w:right w:val="nil"/>
            </w:tcBorders>
            <w:shd w:val="clear" w:color="auto" w:fill="auto"/>
            <w:noWrap/>
            <w:vAlign w:val="center"/>
            <w:hideMark/>
          </w:tcPr>
          <w:p w14:paraId="1A0663AE"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9.78 (5.80)</w:t>
            </w:r>
          </w:p>
        </w:tc>
        <w:tc>
          <w:tcPr>
            <w:tcW w:w="996" w:type="dxa"/>
            <w:tcBorders>
              <w:top w:val="nil"/>
              <w:left w:val="nil"/>
              <w:bottom w:val="nil"/>
              <w:right w:val="nil"/>
            </w:tcBorders>
            <w:shd w:val="clear" w:color="auto" w:fill="auto"/>
            <w:noWrap/>
            <w:vAlign w:val="center"/>
            <w:hideMark/>
          </w:tcPr>
          <w:p w14:paraId="022AC422"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6.47</w:t>
            </w:r>
          </w:p>
        </w:tc>
        <w:tc>
          <w:tcPr>
            <w:tcW w:w="1036" w:type="dxa"/>
            <w:tcBorders>
              <w:top w:val="nil"/>
              <w:left w:val="nil"/>
              <w:bottom w:val="nil"/>
              <w:right w:val="nil"/>
            </w:tcBorders>
            <w:shd w:val="clear" w:color="auto" w:fill="auto"/>
            <w:noWrap/>
            <w:vAlign w:val="center"/>
            <w:hideMark/>
          </w:tcPr>
          <w:p w14:paraId="3DB30F7D"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0F04F4" w14:paraId="1F05BEBF" w14:textId="77777777" w:rsidTr="00AC2054">
        <w:trPr>
          <w:trHeight w:val="276"/>
        </w:trPr>
        <w:tc>
          <w:tcPr>
            <w:tcW w:w="2410" w:type="dxa"/>
            <w:gridSpan w:val="2"/>
            <w:tcBorders>
              <w:top w:val="nil"/>
              <w:left w:val="nil"/>
              <w:bottom w:val="nil"/>
              <w:right w:val="nil"/>
            </w:tcBorders>
            <w:shd w:val="clear" w:color="auto" w:fill="auto"/>
            <w:noWrap/>
            <w:vAlign w:val="bottom"/>
            <w:hideMark/>
          </w:tcPr>
          <w:p w14:paraId="78E7787A"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Physical neglect</w:t>
            </w:r>
          </w:p>
        </w:tc>
        <w:tc>
          <w:tcPr>
            <w:tcW w:w="2126" w:type="dxa"/>
            <w:tcBorders>
              <w:top w:val="nil"/>
              <w:left w:val="nil"/>
              <w:bottom w:val="nil"/>
              <w:right w:val="nil"/>
            </w:tcBorders>
            <w:shd w:val="clear" w:color="auto" w:fill="auto"/>
            <w:noWrap/>
            <w:vAlign w:val="center"/>
            <w:hideMark/>
          </w:tcPr>
          <w:p w14:paraId="6305CD6A"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9.15 (3.41)</w:t>
            </w:r>
          </w:p>
        </w:tc>
        <w:tc>
          <w:tcPr>
            <w:tcW w:w="2186" w:type="dxa"/>
            <w:tcBorders>
              <w:top w:val="nil"/>
              <w:left w:val="nil"/>
              <w:bottom w:val="nil"/>
              <w:right w:val="nil"/>
            </w:tcBorders>
            <w:shd w:val="clear" w:color="auto" w:fill="auto"/>
            <w:noWrap/>
            <w:vAlign w:val="center"/>
            <w:hideMark/>
          </w:tcPr>
          <w:p w14:paraId="70A64754"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10.73 (3.84)</w:t>
            </w:r>
          </w:p>
        </w:tc>
        <w:tc>
          <w:tcPr>
            <w:tcW w:w="996" w:type="dxa"/>
            <w:tcBorders>
              <w:top w:val="nil"/>
              <w:left w:val="nil"/>
              <w:bottom w:val="nil"/>
              <w:right w:val="nil"/>
            </w:tcBorders>
            <w:shd w:val="clear" w:color="auto" w:fill="auto"/>
            <w:noWrap/>
            <w:vAlign w:val="center"/>
            <w:hideMark/>
          </w:tcPr>
          <w:p w14:paraId="360B49F7"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8.99</w:t>
            </w:r>
          </w:p>
        </w:tc>
        <w:tc>
          <w:tcPr>
            <w:tcW w:w="1036" w:type="dxa"/>
            <w:tcBorders>
              <w:top w:val="nil"/>
              <w:left w:val="nil"/>
              <w:bottom w:val="nil"/>
              <w:right w:val="nil"/>
            </w:tcBorders>
            <w:shd w:val="clear" w:color="auto" w:fill="auto"/>
            <w:noWrap/>
            <w:vAlign w:val="center"/>
            <w:hideMark/>
          </w:tcPr>
          <w:p w14:paraId="6A216AA9"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0F04F4" w14:paraId="1FFBAEF8" w14:textId="77777777" w:rsidTr="00AC2054">
        <w:trPr>
          <w:trHeight w:val="276"/>
        </w:trPr>
        <w:tc>
          <w:tcPr>
            <w:tcW w:w="2410" w:type="dxa"/>
            <w:gridSpan w:val="2"/>
            <w:tcBorders>
              <w:top w:val="nil"/>
              <w:left w:val="nil"/>
              <w:bottom w:val="nil"/>
              <w:right w:val="nil"/>
            </w:tcBorders>
            <w:shd w:val="clear" w:color="auto" w:fill="auto"/>
            <w:noWrap/>
            <w:vAlign w:val="bottom"/>
            <w:hideMark/>
          </w:tcPr>
          <w:p w14:paraId="3A7367B3"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Domestic violence</w:t>
            </w:r>
          </w:p>
        </w:tc>
        <w:tc>
          <w:tcPr>
            <w:tcW w:w="2126" w:type="dxa"/>
            <w:tcBorders>
              <w:top w:val="nil"/>
              <w:left w:val="nil"/>
              <w:bottom w:val="nil"/>
              <w:right w:val="nil"/>
            </w:tcBorders>
            <w:shd w:val="clear" w:color="auto" w:fill="auto"/>
            <w:noWrap/>
            <w:vAlign w:val="center"/>
            <w:hideMark/>
          </w:tcPr>
          <w:p w14:paraId="785E0E59"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1.60 (0.63)</w:t>
            </w:r>
          </w:p>
        </w:tc>
        <w:tc>
          <w:tcPr>
            <w:tcW w:w="2186" w:type="dxa"/>
            <w:tcBorders>
              <w:top w:val="nil"/>
              <w:left w:val="nil"/>
              <w:bottom w:val="nil"/>
              <w:right w:val="nil"/>
            </w:tcBorders>
            <w:shd w:val="clear" w:color="auto" w:fill="auto"/>
            <w:noWrap/>
            <w:vAlign w:val="center"/>
            <w:hideMark/>
          </w:tcPr>
          <w:p w14:paraId="4B5961BF"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1.76 (0.73)</w:t>
            </w:r>
          </w:p>
        </w:tc>
        <w:tc>
          <w:tcPr>
            <w:tcW w:w="996" w:type="dxa"/>
            <w:tcBorders>
              <w:top w:val="nil"/>
              <w:left w:val="nil"/>
              <w:bottom w:val="nil"/>
              <w:right w:val="nil"/>
            </w:tcBorders>
            <w:shd w:val="clear" w:color="auto" w:fill="auto"/>
            <w:noWrap/>
            <w:vAlign w:val="center"/>
            <w:hideMark/>
          </w:tcPr>
          <w:p w14:paraId="3F07A824"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4.86</w:t>
            </w:r>
          </w:p>
        </w:tc>
        <w:tc>
          <w:tcPr>
            <w:tcW w:w="1036" w:type="dxa"/>
            <w:tcBorders>
              <w:top w:val="nil"/>
              <w:left w:val="nil"/>
              <w:bottom w:val="nil"/>
              <w:right w:val="nil"/>
            </w:tcBorders>
            <w:shd w:val="clear" w:color="auto" w:fill="auto"/>
            <w:noWrap/>
            <w:vAlign w:val="center"/>
            <w:hideMark/>
          </w:tcPr>
          <w:p w14:paraId="23CA390F"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0F04F4" w14:paraId="0F968CEA" w14:textId="77777777" w:rsidTr="00AC2054">
        <w:trPr>
          <w:trHeight w:val="276"/>
        </w:trPr>
        <w:tc>
          <w:tcPr>
            <w:tcW w:w="2410" w:type="dxa"/>
            <w:gridSpan w:val="2"/>
            <w:tcBorders>
              <w:top w:val="nil"/>
              <w:left w:val="nil"/>
              <w:bottom w:val="nil"/>
              <w:right w:val="nil"/>
            </w:tcBorders>
            <w:shd w:val="clear" w:color="auto" w:fill="auto"/>
            <w:noWrap/>
            <w:vAlign w:val="bottom"/>
            <w:hideMark/>
          </w:tcPr>
          <w:p w14:paraId="1574349E"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Loneliness</w:t>
            </w:r>
          </w:p>
        </w:tc>
        <w:tc>
          <w:tcPr>
            <w:tcW w:w="2126" w:type="dxa"/>
            <w:tcBorders>
              <w:top w:val="nil"/>
              <w:left w:val="nil"/>
              <w:bottom w:val="nil"/>
              <w:right w:val="nil"/>
            </w:tcBorders>
            <w:shd w:val="clear" w:color="auto" w:fill="auto"/>
            <w:noWrap/>
            <w:vAlign w:val="center"/>
            <w:hideMark/>
          </w:tcPr>
          <w:p w14:paraId="261340AE"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5.63 (1.62)</w:t>
            </w:r>
          </w:p>
        </w:tc>
        <w:tc>
          <w:tcPr>
            <w:tcW w:w="2186" w:type="dxa"/>
            <w:tcBorders>
              <w:top w:val="nil"/>
              <w:left w:val="nil"/>
              <w:bottom w:val="nil"/>
              <w:right w:val="nil"/>
            </w:tcBorders>
            <w:shd w:val="clear" w:color="auto" w:fill="auto"/>
            <w:noWrap/>
            <w:vAlign w:val="center"/>
            <w:hideMark/>
          </w:tcPr>
          <w:p w14:paraId="4BA51E4A"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5.98 (1.84)</w:t>
            </w:r>
          </w:p>
        </w:tc>
        <w:tc>
          <w:tcPr>
            <w:tcW w:w="996" w:type="dxa"/>
            <w:tcBorders>
              <w:top w:val="nil"/>
              <w:left w:val="nil"/>
              <w:bottom w:val="nil"/>
              <w:right w:val="nil"/>
            </w:tcBorders>
            <w:shd w:val="clear" w:color="auto" w:fill="auto"/>
            <w:noWrap/>
            <w:vAlign w:val="center"/>
            <w:hideMark/>
          </w:tcPr>
          <w:p w14:paraId="1887D6E0"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4.09</w:t>
            </w:r>
          </w:p>
        </w:tc>
        <w:tc>
          <w:tcPr>
            <w:tcW w:w="1036" w:type="dxa"/>
            <w:tcBorders>
              <w:top w:val="nil"/>
              <w:left w:val="nil"/>
              <w:bottom w:val="nil"/>
              <w:right w:val="nil"/>
            </w:tcBorders>
            <w:shd w:val="clear" w:color="auto" w:fill="auto"/>
            <w:noWrap/>
            <w:vAlign w:val="center"/>
            <w:hideMark/>
          </w:tcPr>
          <w:p w14:paraId="2E4B089F"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0F04F4" w14:paraId="36AFB25E" w14:textId="77777777" w:rsidTr="00AC2054">
        <w:trPr>
          <w:trHeight w:val="276"/>
        </w:trPr>
        <w:tc>
          <w:tcPr>
            <w:tcW w:w="2410" w:type="dxa"/>
            <w:gridSpan w:val="2"/>
            <w:tcBorders>
              <w:top w:val="nil"/>
              <w:left w:val="nil"/>
              <w:bottom w:val="single" w:sz="4" w:space="0" w:color="auto"/>
              <w:right w:val="nil"/>
            </w:tcBorders>
            <w:shd w:val="clear" w:color="auto" w:fill="auto"/>
            <w:noWrap/>
            <w:vAlign w:val="bottom"/>
            <w:hideMark/>
          </w:tcPr>
          <w:p w14:paraId="1DA8959F"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Alcohol use</w:t>
            </w:r>
          </w:p>
        </w:tc>
        <w:tc>
          <w:tcPr>
            <w:tcW w:w="2126" w:type="dxa"/>
            <w:tcBorders>
              <w:top w:val="nil"/>
              <w:left w:val="nil"/>
              <w:bottom w:val="single" w:sz="4" w:space="0" w:color="auto"/>
              <w:right w:val="nil"/>
            </w:tcBorders>
            <w:shd w:val="clear" w:color="auto" w:fill="auto"/>
            <w:noWrap/>
            <w:vAlign w:val="center"/>
            <w:hideMark/>
          </w:tcPr>
          <w:p w14:paraId="6780B978"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0.93 (0.85)</w:t>
            </w:r>
          </w:p>
        </w:tc>
        <w:tc>
          <w:tcPr>
            <w:tcW w:w="2186" w:type="dxa"/>
            <w:tcBorders>
              <w:top w:val="nil"/>
              <w:left w:val="nil"/>
              <w:bottom w:val="single" w:sz="4" w:space="0" w:color="auto"/>
              <w:right w:val="nil"/>
            </w:tcBorders>
            <w:shd w:val="clear" w:color="auto" w:fill="auto"/>
            <w:noWrap/>
            <w:vAlign w:val="center"/>
            <w:hideMark/>
          </w:tcPr>
          <w:p w14:paraId="50582016"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1.10 (0.92)</w:t>
            </w:r>
          </w:p>
        </w:tc>
        <w:tc>
          <w:tcPr>
            <w:tcW w:w="996" w:type="dxa"/>
            <w:tcBorders>
              <w:top w:val="nil"/>
              <w:left w:val="nil"/>
              <w:bottom w:val="single" w:sz="4" w:space="0" w:color="auto"/>
              <w:right w:val="nil"/>
            </w:tcBorders>
            <w:shd w:val="clear" w:color="auto" w:fill="auto"/>
            <w:noWrap/>
            <w:vAlign w:val="center"/>
            <w:hideMark/>
          </w:tcPr>
          <w:p w14:paraId="5FD3D09F"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3.99</w:t>
            </w:r>
          </w:p>
        </w:tc>
        <w:tc>
          <w:tcPr>
            <w:tcW w:w="1036" w:type="dxa"/>
            <w:tcBorders>
              <w:top w:val="nil"/>
              <w:left w:val="nil"/>
              <w:bottom w:val="single" w:sz="4" w:space="0" w:color="auto"/>
              <w:right w:val="nil"/>
            </w:tcBorders>
            <w:shd w:val="clear" w:color="auto" w:fill="auto"/>
            <w:noWrap/>
            <w:vAlign w:val="center"/>
            <w:hideMark/>
          </w:tcPr>
          <w:p w14:paraId="5BF73B6D"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bl>
    <w:p w14:paraId="3B8F0009" w14:textId="77777777" w:rsidR="00756041" w:rsidRPr="00F810EC" w:rsidRDefault="00756041" w:rsidP="00756041">
      <w:pPr>
        <w:ind w:leftChars="-135" w:left="-283"/>
        <w:rPr>
          <w:rFonts w:ascii="Times New Roman" w:hAnsi="Times New Roman" w:cs="Times New Roman"/>
          <w:sz w:val="24"/>
          <w:szCs w:val="24"/>
        </w:rPr>
      </w:pPr>
      <w:r w:rsidRPr="00F810EC">
        <w:rPr>
          <w:rFonts w:ascii="Times New Roman" w:hAnsi="Times New Roman" w:cs="Times New Roman"/>
          <w:i/>
          <w:iCs/>
          <w:sz w:val="24"/>
          <w:szCs w:val="24"/>
        </w:rPr>
        <w:t xml:space="preserve">Note: </w:t>
      </w:r>
      <w:r w:rsidRPr="00F810EC">
        <w:rPr>
          <w:rFonts w:ascii="Times New Roman" w:hAnsi="Times New Roman" w:cs="Times New Roman"/>
          <w:sz w:val="24"/>
          <w:szCs w:val="24"/>
        </w:rPr>
        <w:t>NSSI: non-suicidal self-injury; OCD: obsessive-compulsory disorder; PTSD: post-traumatic stress disorder</w:t>
      </w:r>
    </w:p>
    <w:p w14:paraId="0D5A9DF6" w14:textId="77777777" w:rsidR="00F43938" w:rsidRPr="00F810EC" w:rsidRDefault="00F43938" w:rsidP="00AD70A3">
      <w:pPr>
        <w:spacing w:line="480" w:lineRule="auto"/>
        <w:rPr>
          <w:rFonts w:ascii="Times New Roman" w:hAnsi="Times New Roman" w:cs="Times New Roman"/>
          <w:sz w:val="24"/>
          <w:szCs w:val="24"/>
        </w:rPr>
      </w:pPr>
    </w:p>
    <w:p w14:paraId="686AA9BA" w14:textId="77777777" w:rsidR="00F43938" w:rsidRPr="00F810EC" w:rsidRDefault="00F43938" w:rsidP="00AD70A3">
      <w:pPr>
        <w:widowControl/>
        <w:spacing w:line="480" w:lineRule="auto"/>
        <w:jc w:val="left"/>
        <w:rPr>
          <w:rFonts w:ascii="Times New Roman" w:hAnsi="Times New Roman" w:cs="Times New Roman"/>
          <w:sz w:val="24"/>
          <w:szCs w:val="24"/>
        </w:rPr>
      </w:pPr>
      <w:r w:rsidRPr="00F810EC">
        <w:rPr>
          <w:rFonts w:ascii="Times New Roman" w:hAnsi="Times New Roman" w:cs="Times New Roman"/>
          <w:sz w:val="24"/>
          <w:szCs w:val="24"/>
        </w:rPr>
        <w:br w:type="page"/>
      </w:r>
    </w:p>
    <w:p w14:paraId="5EFE29B9" w14:textId="43D8EE9D" w:rsidR="00F43938" w:rsidRPr="00F810EC" w:rsidRDefault="00F43938" w:rsidP="001661AD">
      <w:pPr>
        <w:ind w:leftChars="-202" w:left="-424"/>
        <w:rPr>
          <w:rFonts w:ascii="Times New Roman" w:hAnsi="Times New Roman" w:cs="Times New Roman"/>
          <w:sz w:val="24"/>
          <w:szCs w:val="24"/>
        </w:rPr>
      </w:pPr>
      <w:r w:rsidRPr="00F810EC">
        <w:rPr>
          <w:rFonts w:ascii="Times New Roman" w:hAnsi="Times New Roman" w:cs="Times New Roman"/>
          <w:sz w:val="24"/>
          <w:szCs w:val="24"/>
        </w:rPr>
        <w:lastRenderedPageBreak/>
        <w:t>Table S4. Chi-square tests and t-tests for the most important variables in Model 4</w:t>
      </w:r>
    </w:p>
    <w:tbl>
      <w:tblPr>
        <w:tblW w:w="9369" w:type="dxa"/>
        <w:tblInd w:w="-426" w:type="dxa"/>
        <w:tblLook w:val="04A0" w:firstRow="1" w:lastRow="0" w:firstColumn="1" w:lastColumn="0" w:noHBand="0" w:noVBand="1"/>
      </w:tblPr>
      <w:tblGrid>
        <w:gridCol w:w="1588"/>
        <w:gridCol w:w="1957"/>
        <w:gridCol w:w="1985"/>
        <w:gridCol w:w="1843"/>
        <w:gridCol w:w="960"/>
        <w:gridCol w:w="1036"/>
      </w:tblGrid>
      <w:tr w:rsidR="00F43938" w:rsidRPr="00F810EC" w14:paraId="5BEA1268" w14:textId="77777777" w:rsidTr="00BC7517">
        <w:trPr>
          <w:trHeight w:val="276"/>
        </w:trPr>
        <w:tc>
          <w:tcPr>
            <w:tcW w:w="3545" w:type="dxa"/>
            <w:gridSpan w:val="2"/>
            <w:vMerge w:val="restart"/>
            <w:tcBorders>
              <w:top w:val="single" w:sz="4" w:space="0" w:color="auto"/>
              <w:left w:val="nil"/>
              <w:bottom w:val="single" w:sz="4" w:space="0" w:color="000000"/>
              <w:right w:val="nil"/>
            </w:tcBorders>
            <w:shd w:val="clear" w:color="auto" w:fill="auto"/>
            <w:noWrap/>
            <w:vAlign w:val="center"/>
            <w:hideMark/>
          </w:tcPr>
          <w:p w14:paraId="57938049"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Suicide attempt</w:t>
            </w:r>
          </w:p>
          <w:p w14:paraId="50AD67CE"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(after suicide plan)</w:t>
            </w:r>
          </w:p>
        </w:tc>
        <w:tc>
          <w:tcPr>
            <w:tcW w:w="1985" w:type="dxa"/>
            <w:tcBorders>
              <w:top w:val="single" w:sz="4" w:space="0" w:color="auto"/>
              <w:left w:val="nil"/>
              <w:bottom w:val="nil"/>
              <w:right w:val="nil"/>
            </w:tcBorders>
            <w:shd w:val="clear" w:color="auto" w:fill="auto"/>
            <w:noWrap/>
            <w:vAlign w:val="center"/>
            <w:hideMark/>
          </w:tcPr>
          <w:p w14:paraId="27742A45"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No</w:t>
            </w:r>
          </w:p>
        </w:tc>
        <w:tc>
          <w:tcPr>
            <w:tcW w:w="1843" w:type="dxa"/>
            <w:tcBorders>
              <w:top w:val="single" w:sz="4" w:space="0" w:color="auto"/>
              <w:left w:val="nil"/>
              <w:bottom w:val="nil"/>
              <w:right w:val="nil"/>
            </w:tcBorders>
            <w:shd w:val="clear" w:color="auto" w:fill="auto"/>
            <w:noWrap/>
            <w:vAlign w:val="center"/>
            <w:hideMark/>
          </w:tcPr>
          <w:p w14:paraId="2E866A24"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Yes</w:t>
            </w:r>
          </w:p>
        </w:tc>
        <w:tc>
          <w:tcPr>
            <w:tcW w:w="960" w:type="dxa"/>
            <w:vMerge w:val="restart"/>
            <w:tcBorders>
              <w:top w:val="single" w:sz="4" w:space="0" w:color="auto"/>
              <w:left w:val="nil"/>
              <w:bottom w:val="single" w:sz="4" w:space="0" w:color="000000"/>
              <w:right w:val="nil"/>
            </w:tcBorders>
            <w:shd w:val="clear" w:color="auto" w:fill="auto"/>
            <w:noWrap/>
            <w:vAlign w:val="center"/>
            <w:hideMark/>
          </w:tcPr>
          <w:p w14:paraId="75A2AF15"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t/X</w:t>
            </w:r>
            <w:r w:rsidRPr="00F810EC">
              <w:rPr>
                <w:rFonts w:ascii="Times New Roman" w:eastAsia="等线" w:hAnsi="Times New Roman" w:cs="Times New Roman"/>
                <w:color w:val="000000"/>
                <w:kern w:val="0"/>
                <w:sz w:val="24"/>
                <w:szCs w:val="24"/>
                <w:vertAlign w:val="superscript"/>
              </w:rPr>
              <w:t>2</w:t>
            </w:r>
          </w:p>
        </w:tc>
        <w:tc>
          <w:tcPr>
            <w:tcW w:w="1036" w:type="dxa"/>
            <w:vMerge w:val="restart"/>
            <w:tcBorders>
              <w:top w:val="single" w:sz="4" w:space="0" w:color="auto"/>
              <w:left w:val="nil"/>
              <w:bottom w:val="single" w:sz="4" w:space="0" w:color="000000"/>
              <w:right w:val="nil"/>
            </w:tcBorders>
            <w:shd w:val="clear" w:color="auto" w:fill="auto"/>
            <w:noWrap/>
            <w:vAlign w:val="center"/>
            <w:hideMark/>
          </w:tcPr>
          <w:p w14:paraId="7D23A7D2" w14:textId="77777777" w:rsidR="00F43938" w:rsidRPr="00F810EC" w:rsidRDefault="00F43938" w:rsidP="0078260E">
            <w:pPr>
              <w:widowControl/>
              <w:jc w:val="center"/>
              <w:rPr>
                <w:rFonts w:ascii="Times New Roman" w:eastAsia="等线" w:hAnsi="Times New Roman" w:cs="Times New Roman"/>
                <w:i/>
                <w:iCs/>
                <w:color w:val="000000"/>
                <w:kern w:val="0"/>
                <w:sz w:val="24"/>
                <w:szCs w:val="24"/>
              </w:rPr>
            </w:pPr>
            <w:r w:rsidRPr="00F810EC">
              <w:rPr>
                <w:rFonts w:ascii="Times New Roman" w:eastAsia="等线" w:hAnsi="Times New Roman" w:cs="Times New Roman"/>
                <w:i/>
                <w:iCs/>
                <w:color w:val="000000"/>
                <w:kern w:val="0"/>
                <w:sz w:val="24"/>
                <w:szCs w:val="24"/>
              </w:rPr>
              <w:t>p</w:t>
            </w:r>
          </w:p>
        </w:tc>
      </w:tr>
      <w:tr w:rsidR="00F43938" w:rsidRPr="00F810EC" w14:paraId="64E7FF50" w14:textId="77777777" w:rsidTr="00BC7517">
        <w:trPr>
          <w:trHeight w:val="276"/>
        </w:trPr>
        <w:tc>
          <w:tcPr>
            <w:tcW w:w="3545" w:type="dxa"/>
            <w:gridSpan w:val="2"/>
            <w:vMerge/>
            <w:tcBorders>
              <w:top w:val="single" w:sz="4" w:space="0" w:color="auto"/>
              <w:left w:val="nil"/>
              <w:bottom w:val="single" w:sz="4" w:space="0" w:color="000000"/>
              <w:right w:val="nil"/>
            </w:tcBorders>
            <w:vAlign w:val="center"/>
            <w:hideMark/>
          </w:tcPr>
          <w:p w14:paraId="3DD10802"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c>
          <w:tcPr>
            <w:tcW w:w="1985" w:type="dxa"/>
            <w:tcBorders>
              <w:top w:val="nil"/>
              <w:left w:val="nil"/>
              <w:bottom w:val="single" w:sz="4" w:space="0" w:color="auto"/>
              <w:right w:val="nil"/>
            </w:tcBorders>
            <w:shd w:val="clear" w:color="auto" w:fill="auto"/>
            <w:noWrap/>
            <w:vAlign w:val="center"/>
            <w:hideMark/>
          </w:tcPr>
          <w:p w14:paraId="172D019B"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 xml:space="preserve"> (n=501)</w:t>
            </w:r>
          </w:p>
        </w:tc>
        <w:tc>
          <w:tcPr>
            <w:tcW w:w="1843" w:type="dxa"/>
            <w:tcBorders>
              <w:top w:val="nil"/>
              <w:left w:val="nil"/>
              <w:bottom w:val="single" w:sz="4" w:space="0" w:color="auto"/>
              <w:right w:val="nil"/>
            </w:tcBorders>
            <w:shd w:val="clear" w:color="auto" w:fill="auto"/>
            <w:noWrap/>
            <w:vAlign w:val="center"/>
            <w:hideMark/>
          </w:tcPr>
          <w:p w14:paraId="34A358B9"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 xml:space="preserve"> (n=220)</w:t>
            </w:r>
          </w:p>
        </w:tc>
        <w:tc>
          <w:tcPr>
            <w:tcW w:w="960" w:type="dxa"/>
            <w:vMerge/>
            <w:tcBorders>
              <w:top w:val="single" w:sz="4" w:space="0" w:color="auto"/>
              <w:left w:val="nil"/>
              <w:bottom w:val="single" w:sz="4" w:space="0" w:color="000000"/>
              <w:right w:val="nil"/>
            </w:tcBorders>
            <w:vAlign w:val="center"/>
            <w:hideMark/>
          </w:tcPr>
          <w:p w14:paraId="798F7AA2"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c>
          <w:tcPr>
            <w:tcW w:w="1036" w:type="dxa"/>
            <w:vMerge/>
            <w:tcBorders>
              <w:top w:val="single" w:sz="4" w:space="0" w:color="auto"/>
              <w:left w:val="nil"/>
              <w:bottom w:val="single" w:sz="4" w:space="0" w:color="000000"/>
              <w:right w:val="nil"/>
            </w:tcBorders>
            <w:vAlign w:val="center"/>
            <w:hideMark/>
          </w:tcPr>
          <w:p w14:paraId="1060995B" w14:textId="77777777" w:rsidR="00F43938" w:rsidRPr="00F810EC" w:rsidRDefault="00F43938" w:rsidP="0078260E">
            <w:pPr>
              <w:widowControl/>
              <w:jc w:val="left"/>
              <w:rPr>
                <w:rFonts w:ascii="Times New Roman" w:eastAsia="等线" w:hAnsi="Times New Roman" w:cs="Times New Roman"/>
                <w:i/>
                <w:iCs/>
                <w:color w:val="000000"/>
                <w:kern w:val="0"/>
                <w:sz w:val="24"/>
                <w:szCs w:val="24"/>
              </w:rPr>
            </w:pPr>
          </w:p>
        </w:tc>
      </w:tr>
      <w:tr w:rsidR="00F43938" w:rsidRPr="00F810EC" w14:paraId="6D6E6145" w14:textId="77777777" w:rsidTr="00BC7517">
        <w:trPr>
          <w:trHeight w:val="276"/>
        </w:trPr>
        <w:tc>
          <w:tcPr>
            <w:tcW w:w="1588" w:type="dxa"/>
            <w:tcBorders>
              <w:top w:val="nil"/>
              <w:left w:val="nil"/>
              <w:bottom w:val="nil"/>
              <w:right w:val="nil"/>
            </w:tcBorders>
            <w:shd w:val="clear" w:color="auto" w:fill="auto"/>
            <w:noWrap/>
            <w:vAlign w:val="bottom"/>
            <w:hideMark/>
          </w:tcPr>
          <w:p w14:paraId="333A964D" w14:textId="77777777" w:rsidR="00F43938" w:rsidRPr="00F810EC" w:rsidRDefault="00F43938" w:rsidP="0078260E">
            <w:pPr>
              <w:widowControl/>
              <w:jc w:val="center"/>
              <w:rPr>
                <w:rFonts w:ascii="Times New Roman" w:eastAsia="等线" w:hAnsi="Times New Roman" w:cs="Times New Roman"/>
                <w:color w:val="000000"/>
                <w:kern w:val="0"/>
                <w:sz w:val="24"/>
                <w:szCs w:val="24"/>
              </w:rPr>
            </w:pPr>
          </w:p>
        </w:tc>
        <w:tc>
          <w:tcPr>
            <w:tcW w:w="1957" w:type="dxa"/>
            <w:tcBorders>
              <w:top w:val="nil"/>
              <w:left w:val="nil"/>
              <w:bottom w:val="nil"/>
              <w:right w:val="nil"/>
            </w:tcBorders>
            <w:shd w:val="clear" w:color="auto" w:fill="auto"/>
            <w:noWrap/>
            <w:vAlign w:val="bottom"/>
            <w:hideMark/>
          </w:tcPr>
          <w:p w14:paraId="69A4D393" w14:textId="77777777" w:rsidR="00F43938" w:rsidRPr="00F810EC" w:rsidRDefault="00F43938" w:rsidP="0078260E">
            <w:pPr>
              <w:widowControl/>
              <w:jc w:val="center"/>
              <w:rPr>
                <w:rFonts w:ascii="Times New Roman" w:eastAsia="Times New Roman" w:hAnsi="Times New Roman" w:cs="Times New Roman"/>
                <w:kern w:val="0"/>
                <w:sz w:val="24"/>
                <w:szCs w:val="24"/>
              </w:rPr>
            </w:pPr>
          </w:p>
        </w:tc>
        <w:tc>
          <w:tcPr>
            <w:tcW w:w="3828" w:type="dxa"/>
            <w:gridSpan w:val="2"/>
            <w:tcBorders>
              <w:top w:val="nil"/>
              <w:left w:val="nil"/>
              <w:bottom w:val="nil"/>
              <w:right w:val="nil"/>
            </w:tcBorders>
            <w:shd w:val="clear" w:color="auto" w:fill="auto"/>
            <w:noWrap/>
            <w:vAlign w:val="center"/>
            <w:hideMark/>
          </w:tcPr>
          <w:p w14:paraId="735592CE" w14:textId="77777777" w:rsidR="00F43938" w:rsidRPr="00F810EC" w:rsidRDefault="00F43938" w:rsidP="0078260E">
            <w:pPr>
              <w:widowControl/>
              <w:jc w:val="center"/>
              <w:rPr>
                <w:rFonts w:ascii="Times New Roman" w:eastAsia="等线" w:hAnsi="Times New Roman" w:cs="Times New Roman"/>
                <w:i/>
                <w:iCs/>
                <w:color w:val="000000"/>
                <w:kern w:val="0"/>
                <w:sz w:val="24"/>
                <w:szCs w:val="24"/>
              </w:rPr>
            </w:pPr>
            <w:r w:rsidRPr="00F810EC">
              <w:rPr>
                <w:rFonts w:ascii="Times New Roman" w:eastAsia="等线" w:hAnsi="Times New Roman" w:cs="Times New Roman"/>
                <w:i/>
                <w:iCs/>
                <w:color w:val="000000"/>
                <w:kern w:val="0"/>
                <w:sz w:val="24"/>
                <w:szCs w:val="24"/>
              </w:rPr>
              <w:t>Mean (SD)</w:t>
            </w:r>
          </w:p>
        </w:tc>
        <w:tc>
          <w:tcPr>
            <w:tcW w:w="960" w:type="dxa"/>
            <w:tcBorders>
              <w:top w:val="nil"/>
              <w:left w:val="nil"/>
              <w:bottom w:val="nil"/>
              <w:right w:val="nil"/>
            </w:tcBorders>
            <w:shd w:val="clear" w:color="auto" w:fill="auto"/>
            <w:noWrap/>
            <w:vAlign w:val="center"/>
            <w:hideMark/>
          </w:tcPr>
          <w:p w14:paraId="34EDD1F6" w14:textId="77777777" w:rsidR="00F43938" w:rsidRPr="00F810EC" w:rsidRDefault="00F43938" w:rsidP="0078260E">
            <w:pPr>
              <w:widowControl/>
              <w:jc w:val="center"/>
              <w:rPr>
                <w:rFonts w:ascii="Times New Roman" w:eastAsia="等线" w:hAnsi="Times New Roman" w:cs="Times New Roman"/>
                <w:i/>
                <w:iCs/>
                <w:color w:val="000000"/>
                <w:kern w:val="0"/>
                <w:sz w:val="24"/>
                <w:szCs w:val="24"/>
              </w:rPr>
            </w:pPr>
          </w:p>
        </w:tc>
        <w:tc>
          <w:tcPr>
            <w:tcW w:w="1036" w:type="dxa"/>
            <w:tcBorders>
              <w:top w:val="nil"/>
              <w:left w:val="nil"/>
              <w:bottom w:val="nil"/>
              <w:right w:val="nil"/>
            </w:tcBorders>
            <w:shd w:val="clear" w:color="auto" w:fill="auto"/>
            <w:noWrap/>
            <w:vAlign w:val="center"/>
            <w:hideMark/>
          </w:tcPr>
          <w:p w14:paraId="229C9E37" w14:textId="77777777" w:rsidR="00F43938" w:rsidRPr="00F810EC" w:rsidRDefault="00F43938" w:rsidP="0078260E">
            <w:pPr>
              <w:widowControl/>
              <w:jc w:val="center"/>
              <w:rPr>
                <w:rFonts w:ascii="Times New Roman" w:eastAsia="Times New Roman" w:hAnsi="Times New Roman" w:cs="Times New Roman"/>
                <w:kern w:val="0"/>
                <w:sz w:val="24"/>
                <w:szCs w:val="24"/>
              </w:rPr>
            </w:pPr>
          </w:p>
        </w:tc>
      </w:tr>
      <w:tr w:rsidR="00F43938" w:rsidRPr="00F810EC" w14:paraId="30B3AE25" w14:textId="77777777" w:rsidTr="00BC7517">
        <w:trPr>
          <w:trHeight w:val="276"/>
        </w:trPr>
        <w:tc>
          <w:tcPr>
            <w:tcW w:w="3545" w:type="dxa"/>
            <w:gridSpan w:val="2"/>
            <w:tcBorders>
              <w:top w:val="nil"/>
              <w:left w:val="nil"/>
              <w:bottom w:val="nil"/>
              <w:right w:val="nil"/>
            </w:tcBorders>
            <w:shd w:val="clear" w:color="auto" w:fill="auto"/>
            <w:noWrap/>
            <w:vAlign w:val="center"/>
            <w:hideMark/>
          </w:tcPr>
          <w:p w14:paraId="3E96843C"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Help-seeking (emotional trouble)</w:t>
            </w:r>
          </w:p>
        </w:tc>
        <w:tc>
          <w:tcPr>
            <w:tcW w:w="1985" w:type="dxa"/>
            <w:tcBorders>
              <w:top w:val="nil"/>
              <w:left w:val="nil"/>
              <w:bottom w:val="nil"/>
              <w:right w:val="nil"/>
            </w:tcBorders>
            <w:shd w:val="clear" w:color="auto" w:fill="auto"/>
            <w:noWrap/>
            <w:vAlign w:val="center"/>
            <w:hideMark/>
          </w:tcPr>
          <w:p w14:paraId="2F5BC87E"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3.31 (1.76)</w:t>
            </w:r>
          </w:p>
        </w:tc>
        <w:tc>
          <w:tcPr>
            <w:tcW w:w="1843" w:type="dxa"/>
            <w:tcBorders>
              <w:top w:val="nil"/>
              <w:left w:val="nil"/>
              <w:bottom w:val="nil"/>
              <w:right w:val="nil"/>
            </w:tcBorders>
            <w:shd w:val="clear" w:color="auto" w:fill="auto"/>
            <w:noWrap/>
            <w:vAlign w:val="center"/>
            <w:hideMark/>
          </w:tcPr>
          <w:p w14:paraId="6F274351"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2.95 (1.78)</w:t>
            </w:r>
          </w:p>
        </w:tc>
        <w:tc>
          <w:tcPr>
            <w:tcW w:w="960" w:type="dxa"/>
            <w:tcBorders>
              <w:top w:val="nil"/>
              <w:left w:val="nil"/>
              <w:bottom w:val="nil"/>
              <w:right w:val="nil"/>
            </w:tcBorders>
            <w:shd w:val="clear" w:color="auto" w:fill="auto"/>
            <w:noWrap/>
            <w:vAlign w:val="center"/>
            <w:hideMark/>
          </w:tcPr>
          <w:p w14:paraId="504E6772"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-2.56</w:t>
            </w:r>
          </w:p>
        </w:tc>
        <w:tc>
          <w:tcPr>
            <w:tcW w:w="1036" w:type="dxa"/>
            <w:tcBorders>
              <w:top w:val="nil"/>
              <w:left w:val="nil"/>
              <w:bottom w:val="nil"/>
              <w:right w:val="nil"/>
            </w:tcBorders>
            <w:shd w:val="clear" w:color="auto" w:fill="auto"/>
            <w:noWrap/>
            <w:vAlign w:val="center"/>
            <w:hideMark/>
          </w:tcPr>
          <w:p w14:paraId="6AE36557"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0.01</w:t>
            </w:r>
          </w:p>
        </w:tc>
      </w:tr>
      <w:tr w:rsidR="00F43938" w:rsidRPr="00F810EC" w14:paraId="4D65C294" w14:textId="77777777" w:rsidTr="00BC7517">
        <w:trPr>
          <w:trHeight w:val="276"/>
        </w:trPr>
        <w:tc>
          <w:tcPr>
            <w:tcW w:w="3545" w:type="dxa"/>
            <w:gridSpan w:val="2"/>
            <w:tcBorders>
              <w:top w:val="nil"/>
              <w:left w:val="nil"/>
              <w:bottom w:val="nil"/>
              <w:right w:val="nil"/>
            </w:tcBorders>
            <w:shd w:val="clear" w:color="auto" w:fill="auto"/>
            <w:noWrap/>
            <w:vAlign w:val="center"/>
            <w:hideMark/>
          </w:tcPr>
          <w:p w14:paraId="782C9EE0"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OCD</w:t>
            </w:r>
          </w:p>
        </w:tc>
        <w:tc>
          <w:tcPr>
            <w:tcW w:w="1985" w:type="dxa"/>
            <w:tcBorders>
              <w:top w:val="nil"/>
              <w:left w:val="nil"/>
              <w:bottom w:val="nil"/>
              <w:right w:val="nil"/>
            </w:tcBorders>
            <w:shd w:val="clear" w:color="auto" w:fill="auto"/>
            <w:noWrap/>
            <w:vAlign w:val="center"/>
            <w:hideMark/>
          </w:tcPr>
          <w:p w14:paraId="62D7E49E"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19.36 (8.49)</w:t>
            </w:r>
          </w:p>
        </w:tc>
        <w:tc>
          <w:tcPr>
            <w:tcW w:w="1843" w:type="dxa"/>
            <w:tcBorders>
              <w:top w:val="nil"/>
              <w:left w:val="nil"/>
              <w:bottom w:val="nil"/>
              <w:right w:val="nil"/>
            </w:tcBorders>
            <w:shd w:val="clear" w:color="auto" w:fill="auto"/>
            <w:noWrap/>
            <w:vAlign w:val="center"/>
            <w:hideMark/>
          </w:tcPr>
          <w:p w14:paraId="0F6A7B4F"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21.69 (8.50)</w:t>
            </w:r>
          </w:p>
        </w:tc>
        <w:tc>
          <w:tcPr>
            <w:tcW w:w="960" w:type="dxa"/>
            <w:tcBorders>
              <w:top w:val="nil"/>
              <w:left w:val="nil"/>
              <w:bottom w:val="nil"/>
              <w:right w:val="nil"/>
            </w:tcBorders>
            <w:shd w:val="clear" w:color="auto" w:fill="auto"/>
            <w:noWrap/>
            <w:vAlign w:val="center"/>
            <w:hideMark/>
          </w:tcPr>
          <w:p w14:paraId="03094D7C"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3.4</w:t>
            </w:r>
          </w:p>
        </w:tc>
        <w:tc>
          <w:tcPr>
            <w:tcW w:w="1036" w:type="dxa"/>
            <w:tcBorders>
              <w:top w:val="nil"/>
              <w:left w:val="nil"/>
              <w:bottom w:val="nil"/>
              <w:right w:val="nil"/>
            </w:tcBorders>
            <w:shd w:val="clear" w:color="auto" w:fill="auto"/>
            <w:noWrap/>
            <w:vAlign w:val="center"/>
            <w:hideMark/>
          </w:tcPr>
          <w:p w14:paraId="16EE41FA"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0.001</w:t>
            </w:r>
          </w:p>
        </w:tc>
      </w:tr>
      <w:tr w:rsidR="00F43938" w:rsidRPr="00F810EC" w14:paraId="0FB43138" w14:textId="77777777" w:rsidTr="00BC7517">
        <w:trPr>
          <w:trHeight w:val="276"/>
        </w:trPr>
        <w:tc>
          <w:tcPr>
            <w:tcW w:w="3545" w:type="dxa"/>
            <w:gridSpan w:val="2"/>
            <w:tcBorders>
              <w:top w:val="nil"/>
              <w:left w:val="nil"/>
              <w:bottom w:val="nil"/>
              <w:right w:val="nil"/>
            </w:tcBorders>
            <w:shd w:val="clear" w:color="auto" w:fill="auto"/>
            <w:noWrap/>
            <w:vAlign w:val="center"/>
            <w:hideMark/>
          </w:tcPr>
          <w:p w14:paraId="53E67F6E"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Fear of happiness</w:t>
            </w:r>
          </w:p>
        </w:tc>
        <w:tc>
          <w:tcPr>
            <w:tcW w:w="1985" w:type="dxa"/>
            <w:tcBorders>
              <w:top w:val="nil"/>
              <w:left w:val="nil"/>
              <w:bottom w:val="nil"/>
              <w:right w:val="nil"/>
            </w:tcBorders>
            <w:shd w:val="clear" w:color="auto" w:fill="auto"/>
            <w:noWrap/>
            <w:vAlign w:val="center"/>
            <w:hideMark/>
          </w:tcPr>
          <w:p w14:paraId="4CB38CBB"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23.49 (7.06)</w:t>
            </w:r>
          </w:p>
        </w:tc>
        <w:tc>
          <w:tcPr>
            <w:tcW w:w="1843" w:type="dxa"/>
            <w:tcBorders>
              <w:top w:val="nil"/>
              <w:left w:val="nil"/>
              <w:bottom w:val="nil"/>
              <w:right w:val="nil"/>
            </w:tcBorders>
            <w:shd w:val="clear" w:color="auto" w:fill="auto"/>
            <w:noWrap/>
            <w:vAlign w:val="center"/>
            <w:hideMark/>
          </w:tcPr>
          <w:p w14:paraId="1F2ABFBF"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24.39 (7.32)</w:t>
            </w:r>
          </w:p>
        </w:tc>
        <w:tc>
          <w:tcPr>
            <w:tcW w:w="960" w:type="dxa"/>
            <w:tcBorders>
              <w:top w:val="nil"/>
              <w:left w:val="nil"/>
              <w:bottom w:val="nil"/>
              <w:right w:val="nil"/>
            </w:tcBorders>
            <w:shd w:val="clear" w:color="auto" w:fill="auto"/>
            <w:noWrap/>
            <w:vAlign w:val="center"/>
            <w:hideMark/>
          </w:tcPr>
          <w:p w14:paraId="460AC5BF"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1.53</w:t>
            </w:r>
          </w:p>
        </w:tc>
        <w:tc>
          <w:tcPr>
            <w:tcW w:w="1036" w:type="dxa"/>
            <w:tcBorders>
              <w:top w:val="nil"/>
              <w:left w:val="nil"/>
              <w:bottom w:val="nil"/>
              <w:right w:val="nil"/>
            </w:tcBorders>
            <w:shd w:val="clear" w:color="auto" w:fill="auto"/>
            <w:noWrap/>
            <w:vAlign w:val="center"/>
            <w:hideMark/>
          </w:tcPr>
          <w:p w14:paraId="2651158B"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0.122</w:t>
            </w:r>
          </w:p>
        </w:tc>
      </w:tr>
      <w:tr w:rsidR="00F43938" w:rsidRPr="00F810EC" w14:paraId="0A89BD56" w14:textId="77777777" w:rsidTr="00BC7517">
        <w:trPr>
          <w:trHeight w:val="276"/>
        </w:trPr>
        <w:tc>
          <w:tcPr>
            <w:tcW w:w="3545" w:type="dxa"/>
            <w:gridSpan w:val="2"/>
            <w:tcBorders>
              <w:top w:val="nil"/>
              <w:left w:val="nil"/>
              <w:bottom w:val="nil"/>
              <w:right w:val="nil"/>
            </w:tcBorders>
            <w:shd w:val="clear" w:color="auto" w:fill="auto"/>
            <w:noWrap/>
            <w:vAlign w:val="center"/>
            <w:hideMark/>
          </w:tcPr>
          <w:p w14:paraId="0ED0DBE8"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Nudity anxiety</w:t>
            </w:r>
          </w:p>
        </w:tc>
        <w:tc>
          <w:tcPr>
            <w:tcW w:w="1985" w:type="dxa"/>
            <w:tcBorders>
              <w:top w:val="nil"/>
              <w:left w:val="nil"/>
              <w:bottom w:val="nil"/>
              <w:right w:val="nil"/>
            </w:tcBorders>
            <w:shd w:val="clear" w:color="auto" w:fill="auto"/>
            <w:noWrap/>
            <w:vAlign w:val="center"/>
            <w:hideMark/>
          </w:tcPr>
          <w:p w14:paraId="7D910D59"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2.85 (1.36)</w:t>
            </w:r>
          </w:p>
        </w:tc>
        <w:tc>
          <w:tcPr>
            <w:tcW w:w="1843" w:type="dxa"/>
            <w:tcBorders>
              <w:top w:val="nil"/>
              <w:left w:val="nil"/>
              <w:bottom w:val="nil"/>
              <w:right w:val="nil"/>
            </w:tcBorders>
            <w:shd w:val="clear" w:color="auto" w:fill="auto"/>
            <w:noWrap/>
            <w:vAlign w:val="center"/>
            <w:hideMark/>
          </w:tcPr>
          <w:p w14:paraId="40BA06C5"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2.93 (1.43)</w:t>
            </w:r>
          </w:p>
        </w:tc>
        <w:tc>
          <w:tcPr>
            <w:tcW w:w="960" w:type="dxa"/>
            <w:tcBorders>
              <w:top w:val="nil"/>
              <w:left w:val="nil"/>
              <w:bottom w:val="nil"/>
              <w:right w:val="nil"/>
            </w:tcBorders>
            <w:shd w:val="clear" w:color="auto" w:fill="auto"/>
            <w:noWrap/>
            <w:vAlign w:val="center"/>
            <w:hideMark/>
          </w:tcPr>
          <w:p w14:paraId="3BA27BB9"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0.73</w:t>
            </w:r>
          </w:p>
        </w:tc>
        <w:tc>
          <w:tcPr>
            <w:tcW w:w="1036" w:type="dxa"/>
            <w:tcBorders>
              <w:top w:val="nil"/>
              <w:left w:val="nil"/>
              <w:bottom w:val="nil"/>
              <w:right w:val="nil"/>
            </w:tcBorders>
            <w:shd w:val="clear" w:color="auto" w:fill="auto"/>
            <w:noWrap/>
            <w:vAlign w:val="center"/>
            <w:hideMark/>
          </w:tcPr>
          <w:p w14:paraId="63713EF9"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0.454</w:t>
            </w:r>
          </w:p>
        </w:tc>
      </w:tr>
      <w:tr w:rsidR="00F43938" w:rsidRPr="00F810EC" w14:paraId="62199A8B" w14:textId="77777777" w:rsidTr="00BC7517">
        <w:trPr>
          <w:trHeight w:val="276"/>
        </w:trPr>
        <w:tc>
          <w:tcPr>
            <w:tcW w:w="3545" w:type="dxa"/>
            <w:gridSpan w:val="2"/>
            <w:tcBorders>
              <w:top w:val="nil"/>
              <w:left w:val="nil"/>
              <w:bottom w:val="nil"/>
              <w:right w:val="nil"/>
            </w:tcBorders>
            <w:shd w:val="clear" w:color="auto" w:fill="auto"/>
            <w:noWrap/>
            <w:vAlign w:val="center"/>
            <w:hideMark/>
          </w:tcPr>
          <w:p w14:paraId="61314EC7"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 xml:space="preserve">Biological sex (female) </w:t>
            </w:r>
            <w:r w:rsidRPr="00F810EC">
              <w:rPr>
                <w:rFonts w:ascii="Times New Roman" w:eastAsia="等线" w:hAnsi="Times New Roman" w:cs="Times New Roman"/>
                <w:i/>
                <w:iCs/>
                <w:color w:val="000000"/>
                <w:kern w:val="0"/>
                <w:sz w:val="24"/>
                <w:szCs w:val="24"/>
              </w:rPr>
              <w:t>(n%)</w:t>
            </w:r>
          </w:p>
        </w:tc>
        <w:tc>
          <w:tcPr>
            <w:tcW w:w="1985" w:type="dxa"/>
            <w:tcBorders>
              <w:top w:val="nil"/>
              <w:left w:val="nil"/>
              <w:bottom w:val="nil"/>
              <w:right w:val="nil"/>
            </w:tcBorders>
            <w:shd w:val="clear" w:color="auto" w:fill="auto"/>
            <w:noWrap/>
            <w:vAlign w:val="center"/>
            <w:hideMark/>
          </w:tcPr>
          <w:p w14:paraId="3BA80D86"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311 (62.08)</w:t>
            </w:r>
          </w:p>
        </w:tc>
        <w:tc>
          <w:tcPr>
            <w:tcW w:w="1843" w:type="dxa"/>
            <w:tcBorders>
              <w:top w:val="nil"/>
              <w:left w:val="nil"/>
              <w:bottom w:val="nil"/>
              <w:right w:val="nil"/>
            </w:tcBorders>
            <w:shd w:val="clear" w:color="auto" w:fill="auto"/>
            <w:noWrap/>
            <w:vAlign w:val="center"/>
            <w:hideMark/>
          </w:tcPr>
          <w:p w14:paraId="391B905E"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151 (68.64)</w:t>
            </w:r>
          </w:p>
        </w:tc>
        <w:tc>
          <w:tcPr>
            <w:tcW w:w="960" w:type="dxa"/>
            <w:tcBorders>
              <w:top w:val="nil"/>
              <w:left w:val="nil"/>
              <w:bottom w:val="nil"/>
              <w:right w:val="nil"/>
            </w:tcBorders>
            <w:shd w:val="clear" w:color="auto" w:fill="auto"/>
            <w:noWrap/>
            <w:vAlign w:val="center"/>
            <w:hideMark/>
          </w:tcPr>
          <w:p w14:paraId="717E32F2"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33.15</w:t>
            </w:r>
          </w:p>
        </w:tc>
        <w:tc>
          <w:tcPr>
            <w:tcW w:w="1036" w:type="dxa"/>
            <w:tcBorders>
              <w:top w:val="nil"/>
              <w:left w:val="nil"/>
              <w:bottom w:val="nil"/>
              <w:right w:val="nil"/>
            </w:tcBorders>
            <w:shd w:val="clear" w:color="auto" w:fill="auto"/>
            <w:noWrap/>
            <w:vAlign w:val="center"/>
            <w:hideMark/>
          </w:tcPr>
          <w:p w14:paraId="11757516"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0.108</w:t>
            </w:r>
          </w:p>
        </w:tc>
      </w:tr>
      <w:tr w:rsidR="00F43938" w:rsidRPr="00F810EC" w14:paraId="273F49B8" w14:textId="77777777" w:rsidTr="00BC7517">
        <w:trPr>
          <w:trHeight w:val="276"/>
        </w:trPr>
        <w:tc>
          <w:tcPr>
            <w:tcW w:w="3545" w:type="dxa"/>
            <w:gridSpan w:val="2"/>
            <w:tcBorders>
              <w:top w:val="nil"/>
              <w:left w:val="nil"/>
              <w:bottom w:val="nil"/>
              <w:right w:val="nil"/>
            </w:tcBorders>
            <w:shd w:val="clear" w:color="auto" w:fill="auto"/>
            <w:noWrap/>
            <w:vAlign w:val="bottom"/>
            <w:hideMark/>
          </w:tcPr>
          <w:p w14:paraId="0B4AA044"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Help-seeking (SI)</w:t>
            </w:r>
          </w:p>
        </w:tc>
        <w:tc>
          <w:tcPr>
            <w:tcW w:w="1985" w:type="dxa"/>
            <w:tcBorders>
              <w:top w:val="nil"/>
              <w:left w:val="nil"/>
              <w:bottom w:val="nil"/>
              <w:right w:val="nil"/>
            </w:tcBorders>
            <w:shd w:val="clear" w:color="auto" w:fill="auto"/>
            <w:noWrap/>
            <w:vAlign w:val="center"/>
            <w:hideMark/>
          </w:tcPr>
          <w:p w14:paraId="48F2F50B"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4.00 (1.75)</w:t>
            </w:r>
          </w:p>
        </w:tc>
        <w:tc>
          <w:tcPr>
            <w:tcW w:w="1843" w:type="dxa"/>
            <w:tcBorders>
              <w:top w:val="nil"/>
              <w:left w:val="nil"/>
              <w:bottom w:val="nil"/>
              <w:right w:val="nil"/>
            </w:tcBorders>
            <w:shd w:val="clear" w:color="auto" w:fill="auto"/>
            <w:noWrap/>
            <w:vAlign w:val="center"/>
            <w:hideMark/>
          </w:tcPr>
          <w:p w14:paraId="2BAF8482"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4.12 (1.81)</w:t>
            </w:r>
          </w:p>
        </w:tc>
        <w:tc>
          <w:tcPr>
            <w:tcW w:w="960" w:type="dxa"/>
            <w:tcBorders>
              <w:top w:val="nil"/>
              <w:left w:val="nil"/>
              <w:bottom w:val="nil"/>
              <w:right w:val="nil"/>
            </w:tcBorders>
            <w:shd w:val="clear" w:color="auto" w:fill="auto"/>
            <w:noWrap/>
            <w:vAlign w:val="center"/>
            <w:hideMark/>
          </w:tcPr>
          <w:p w14:paraId="077B3D15"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0.79</w:t>
            </w:r>
          </w:p>
        </w:tc>
        <w:tc>
          <w:tcPr>
            <w:tcW w:w="1036" w:type="dxa"/>
            <w:tcBorders>
              <w:top w:val="nil"/>
              <w:left w:val="nil"/>
              <w:bottom w:val="nil"/>
              <w:right w:val="nil"/>
            </w:tcBorders>
            <w:shd w:val="clear" w:color="auto" w:fill="auto"/>
            <w:noWrap/>
            <w:vAlign w:val="center"/>
            <w:hideMark/>
          </w:tcPr>
          <w:p w14:paraId="1DE2F78B"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0.424</w:t>
            </w:r>
          </w:p>
        </w:tc>
      </w:tr>
      <w:tr w:rsidR="00F43938" w:rsidRPr="00F810EC" w14:paraId="40A0443F" w14:textId="77777777" w:rsidTr="00BC7517">
        <w:trPr>
          <w:trHeight w:val="276"/>
        </w:trPr>
        <w:tc>
          <w:tcPr>
            <w:tcW w:w="3545" w:type="dxa"/>
            <w:gridSpan w:val="2"/>
            <w:tcBorders>
              <w:top w:val="nil"/>
              <w:left w:val="nil"/>
              <w:bottom w:val="nil"/>
              <w:right w:val="nil"/>
            </w:tcBorders>
            <w:shd w:val="clear" w:color="auto" w:fill="auto"/>
            <w:noWrap/>
            <w:vAlign w:val="bottom"/>
            <w:hideMark/>
          </w:tcPr>
          <w:p w14:paraId="41FBD07D"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Physical abuse</w:t>
            </w:r>
          </w:p>
        </w:tc>
        <w:tc>
          <w:tcPr>
            <w:tcW w:w="1985" w:type="dxa"/>
            <w:tcBorders>
              <w:top w:val="nil"/>
              <w:left w:val="nil"/>
              <w:bottom w:val="nil"/>
              <w:right w:val="nil"/>
            </w:tcBorders>
            <w:shd w:val="clear" w:color="auto" w:fill="auto"/>
            <w:noWrap/>
            <w:vAlign w:val="center"/>
            <w:hideMark/>
          </w:tcPr>
          <w:p w14:paraId="747A3189"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8.98 (4.31)</w:t>
            </w:r>
          </w:p>
        </w:tc>
        <w:tc>
          <w:tcPr>
            <w:tcW w:w="1843" w:type="dxa"/>
            <w:tcBorders>
              <w:top w:val="nil"/>
              <w:left w:val="nil"/>
              <w:bottom w:val="nil"/>
              <w:right w:val="nil"/>
            </w:tcBorders>
            <w:shd w:val="clear" w:color="auto" w:fill="auto"/>
            <w:noWrap/>
            <w:vAlign w:val="center"/>
            <w:hideMark/>
          </w:tcPr>
          <w:p w14:paraId="0ECB44B7"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8.91 (4.26)</w:t>
            </w:r>
          </w:p>
        </w:tc>
        <w:tc>
          <w:tcPr>
            <w:tcW w:w="960" w:type="dxa"/>
            <w:tcBorders>
              <w:top w:val="nil"/>
              <w:left w:val="nil"/>
              <w:bottom w:val="nil"/>
              <w:right w:val="nil"/>
            </w:tcBorders>
            <w:shd w:val="clear" w:color="auto" w:fill="auto"/>
            <w:noWrap/>
            <w:vAlign w:val="center"/>
            <w:hideMark/>
          </w:tcPr>
          <w:p w14:paraId="2717E258"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-0.2</w:t>
            </w:r>
          </w:p>
        </w:tc>
        <w:tc>
          <w:tcPr>
            <w:tcW w:w="1036" w:type="dxa"/>
            <w:tcBorders>
              <w:top w:val="nil"/>
              <w:left w:val="nil"/>
              <w:bottom w:val="nil"/>
              <w:right w:val="nil"/>
            </w:tcBorders>
            <w:shd w:val="clear" w:color="auto" w:fill="auto"/>
            <w:noWrap/>
            <w:vAlign w:val="center"/>
            <w:hideMark/>
          </w:tcPr>
          <w:p w14:paraId="5A5316D8"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0.843</w:t>
            </w:r>
          </w:p>
        </w:tc>
      </w:tr>
      <w:tr w:rsidR="00F43938" w:rsidRPr="00F810EC" w14:paraId="3FB722B1" w14:textId="77777777" w:rsidTr="00BC7517">
        <w:trPr>
          <w:trHeight w:val="276"/>
        </w:trPr>
        <w:tc>
          <w:tcPr>
            <w:tcW w:w="3545" w:type="dxa"/>
            <w:gridSpan w:val="2"/>
            <w:tcBorders>
              <w:top w:val="nil"/>
              <w:left w:val="nil"/>
              <w:bottom w:val="nil"/>
              <w:right w:val="nil"/>
            </w:tcBorders>
            <w:shd w:val="clear" w:color="auto" w:fill="auto"/>
            <w:noWrap/>
            <w:vAlign w:val="bottom"/>
            <w:hideMark/>
          </w:tcPr>
          <w:p w14:paraId="5F66EE51"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Alcohol use</w:t>
            </w:r>
          </w:p>
        </w:tc>
        <w:tc>
          <w:tcPr>
            <w:tcW w:w="1985" w:type="dxa"/>
            <w:tcBorders>
              <w:top w:val="nil"/>
              <w:left w:val="nil"/>
              <w:bottom w:val="nil"/>
              <w:right w:val="nil"/>
            </w:tcBorders>
            <w:shd w:val="clear" w:color="auto" w:fill="auto"/>
            <w:noWrap/>
            <w:vAlign w:val="center"/>
            <w:hideMark/>
          </w:tcPr>
          <w:p w14:paraId="0AD17391"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1.07 (0.88)</w:t>
            </w:r>
          </w:p>
        </w:tc>
        <w:tc>
          <w:tcPr>
            <w:tcW w:w="1843" w:type="dxa"/>
            <w:tcBorders>
              <w:top w:val="nil"/>
              <w:left w:val="nil"/>
              <w:bottom w:val="nil"/>
              <w:right w:val="nil"/>
            </w:tcBorders>
            <w:shd w:val="clear" w:color="auto" w:fill="auto"/>
            <w:noWrap/>
            <w:vAlign w:val="center"/>
            <w:hideMark/>
          </w:tcPr>
          <w:p w14:paraId="204B48DC"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1.16 (1.02)</w:t>
            </w:r>
          </w:p>
        </w:tc>
        <w:tc>
          <w:tcPr>
            <w:tcW w:w="960" w:type="dxa"/>
            <w:tcBorders>
              <w:top w:val="nil"/>
              <w:left w:val="nil"/>
              <w:bottom w:val="nil"/>
              <w:right w:val="nil"/>
            </w:tcBorders>
            <w:shd w:val="clear" w:color="auto" w:fill="auto"/>
            <w:noWrap/>
            <w:vAlign w:val="center"/>
            <w:hideMark/>
          </w:tcPr>
          <w:p w14:paraId="0336E8D5"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1.1</w:t>
            </w:r>
          </w:p>
        </w:tc>
        <w:tc>
          <w:tcPr>
            <w:tcW w:w="1036" w:type="dxa"/>
            <w:tcBorders>
              <w:top w:val="nil"/>
              <w:left w:val="nil"/>
              <w:bottom w:val="nil"/>
              <w:right w:val="nil"/>
            </w:tcBorders>
            <w:shd w:val="clear" w:color="auto" w:fill="auto"/>
            <w:noWrap/>
            <w:vAlign w:val="center"/>
            <w:hideMark/>
          </w:tcPr>
          <w:p w14:paraId="6C8EDCBD"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0.244</w:t>
            </w:r>
          </w:p>
        </w:tc>
      </w:tr>
      <w:tr w:rsidR="00F43938" w:rsidRPr="00F810EC" w14:paraId="18C4BE08" w14:textId="77777777" w:rsidTr="00BC7517">
        <w:trPr>
          <w:trHeight w:val="276"/>
        </w:trPr>
        <w:tc>
          <w:tcPr>
            <w:tcW w:w="3545" w:type="dxa"/>
            <w:gridSpan w:val="2"/>
            <w:tcBorders>
              <w:top w:val="nil"/>
              <w:left w:val="nil"/>
              <w:bottom w:val="nil"/>
              <w:right w:val="nil"/>
            </w:tcBorders>
            <w:shd w:val="clear" w:color="auto" w:fill="auto"/>
            <w:noWrap/>
            <w:vAlign w:val="bottom"/>
            <w:hideMark/>
          </w:tcPr>
          <w:p w14:paraId="6FBABD95"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Eating disorder</w:t>
            </w:r>
          </w:p>
        </w:tc>
        <w:tc>
          <w:tcPr>
            <w:tcW w:w="1985" w:type="dxa"/>
            <w:tcBorders>
              <w:top w:val="nil"/>
              <w:left w:val="nil"/>
              <w:bottom w:val="nil"/>
              <w:right w:val="nil"/>
            </w:tcBorders>
            <w:shd w:val="clear" w:color="auto" w:fill="auto"/>
            <w:noWrap/>
            <w:vAlign w:val="center"/>
            <w:hideMark/>
          </w:tcPr>
          <w:p w14:paraId="6A0802CC"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2.14 (1.47)</w:t>
            </w:r>
          </w:p>
        </w:tc>
        <w:tc>
          <w:tcPr>
            <w:tcW w:w="1843" w:type="dxa"/>
            <w:tcBorders>
              <w:top w:val="nil"/>
              <w:left w:val="nil"/>
              <w:bottom w:val="nil"/>
              <w:right w:val="nil"/>
            </w:tcBorders>
            <w:shd w:val="clear" w:color="auto" w:fill="auto"/>
            <w:noWrap/>
            <w:vAlign w:val="center"/>
            <w:hideMark/>
          </w:tcPr>
          <w:p w14:paraId="50604E1C"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2.21 (1.40)</w:t>
            </w:r>
          </w:p>
        </w:tc>
        <w:tc>
          <w:tcPr>
            <w:tcW w:w="960" w:type="dxa"/>
            <w:tcBorders>
              <w:top w:val="nil"/>
              <w:left w:val="nil"/>
              <w:bottom w:val="nil"/>
              <w:right w:val="nil"/>
            </w:tcBorders>
            <w:shd w:val="clear" w:color="auto" w:fill="auto"/>
            <w:noWrap/>
            <w:vAlign w:val="center"/>
            <w:hideMark/>
          </w:tcPr>
          <w:p w14:paraId="19A167A2"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0.57</w:t>
            </w:r>
          </w:p>
        </w:tc>
        <w:tc>
          <w:tcPr>
            <w:tcW w:w="1036" w:type="dxa"/>
            <w:tcBorders>
              <w:top w:val="nil"/>
              <w:left w:val="nil"/>
              <w:bottom w:val="nil"/>
              <w:right w:val="nil"/>
            </w:tcBorders>
            <w:shd w:val="clear" w:color="auto" w:fill="auto"/>
            <w:noWrap/>
            <w:vAlign w:val="center"/>
            <w:hideMark/>
          </w:tcPr>
          <w:p w14:paraId="60117510"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0.576</w:t>
            </w:r>
          </w:p>
        </w:tc>
      </w:tr>
      <w:tr w:rsidR="00F43938" w:rsidRPr="00F810EC" w14:paraId="38C4AD0A" w14:textId="77777777" w:rsidTr="00BC7517">
        <w:trPr>
          <w:trHeight w:val="276"/>
        </w:trPr>
        <w:tc>
          <w:tcPr>
            <w:tcW w:w="3545" w:type="dxa"/>
            <w:gridSpan w:val="2"/>
            <w:tcBorders>
              <w:top w:val="nil"/>
              <w:left w:val="nil"/>
              <w:bottom w:val="single" w:sz="4" w:space="0" w:color="auto"/>
              <w:right w:val="nil"/>
            </w:tcBorders>
            <w:shd w:val="clear" w:color="auto" w:fill="auto"/>
            <w:noWrap/>
            <w:vAlign w:val="bottom"/>
            <w:hideMark/>
          </w:tcPr>
          <w:p w14:paraId="4EBAFCDE"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Depression</w:t>
            </w:r>
          </w:p>
        </w:tc>
        <w:tc>
          <w:tcPr>
            <w:tcW w:w="1985" w:type="dxa"/>
            <w:tcBorders>
              <w:top w:val="nil"/>
              <w:left w:val="nil"/>
              <w:bottom w:val="single" w:sz="4" w:space="0" w:color="auto"/>
              <w:right w:val="nil"/>
            </w:tcBorders>
            <w:shd w:val="clear" w:color="auto" w:fill="auto"/>
            <w:noWrap/>
            <w:vAlign w:val="center"/>
            <w:hideMark/>
          </w:tcPr>
          <w:p w14:paraId="7683A0D2"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9.24 (5.49)</w:t>
            </w:r>
          </w:p>
        </w:tc>
        <w:tc>
          <w:tcPr>
            <w:tcW w:w="1843" w:type="dxa"/>
            <w:tcBorders>
              <w:top w:val="nil"/>
              <w:left w:val="nil"/>
              <w:bottom w:val="single" w:sz="4" w:space="0" w:color="auto"/>
              <w:right w:val="nil"/>
            </w:tcBorders>
            <w:shd w:val="clear" w:color="auto" w:fill="auto"/>
            <w:noWrap/>
            <w:vAlign w:val="center"/>
            <w:hideMark/>
          </w:tcPr>
          <w:p w14:paraId="32BD7FC4"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11.03 (6.29)</w:t>
            </w:r>
          </w:p>
        </w:tc>
        <w:tc>
          <w:tcPr>
            <w:tcW w:w="960" w:type="dxa"/>
            <w:tcBorders>
              <w:top w:val="nil"/>
              <w:left w:val="nil"/>
              <w:bottom w:val="single" w:sz="4" w:space="0" w:color="auto"/>
              <w:right w:val="nil"/>
            </w:tcBorders>
            <w:shd w:val="clear" w:color="auto" w:fill="auto"/>
            <w:noWrap/>
            <w:vAlign w:val="center"/>
            <w:hideMark/>
          </w:tcPr>
          <w:p w14:paraId="2ADB5633"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3.67</w:t>
            </w:r>
          </w:p>
        </w:tc>
        <w:tc>
          <w:tcPr>
            <w:tcW w:w="1036" w:type="dxa"/>
            <w:tcBorders>
              <w:top w:val="nil"/>
              <w:left w:val="nil"/>
              <w:bottom w:val="single" w:sz="4" w:space="0" w:color="auto"/>
              <w:right w:val="nil"/>
            </w:tcBorders>
            <w:shd w:val="clear" w:color="auto" w:fill="auto"/>
            <w:noWrap/>
            <w:vAlign w:val="center"/>
            <w:hideMark/>
          </w:tcPr>
          <w:p w14:paraId="3B86ADC2"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bl>
    <w:p w14:paraId="0647F999" w14:textId="77777777" w:rsidR="00756041" w:rsidRPr="00F810EC" w:rsidRDefault="00756041" w:rsidP="00756041">
      <w:pPr>
        <w:ind w:leftChars="-202" w:left="-424"/>
        <w:rPr>
          <w:rFonts w:ascii="Times New Roman" w:hAnsi="Times New Roman" w:cs="Times New Roman"/>
          <w:sz w:val="24"/>
          <w:szCs w:val="24"/>
        </w:rPr>
      </w:pPr>
      <w:r w:rsidRPr="00F810EC">
        <w:rPr>
          <w:rFonts w:ascii="Times New Roman" w:hAnsi="Times New Roman" w:cs="Times New Roman"/>
          <w:i/>
          <w:iCs/>
          <w:sz w:val="24"/>
          <w:szCs w:val="24"/>
        </w:rPr>
        <w:t xml:space="preserve">Note: </w:t>
      </w:r>
      <w:r w:rsidRPr="00F810EC">
        <w:rPr>
          <w:rFonts w:ascii="Times New Roman" w:hAnsi="Times New Roman" w:cs="Times New Roman"/>
          <w:sz w:val="24"/>
          <w:szCs w:val="24"/>
        </w:rPr>
        <w:t>NSSI: non-suicidal self-injury; OCD: obsessive-compulsory disorder; PTSD: post-traumatic stress disorder</w:t>
      </w:r>
    </w:p>
    <w:p w14:paraId="6C2F2FFF" w14:textId="77777777" w:rsidR="00F43938" w:rsidRPr="00F810EC" w:rsidRDefault="00F43938" w:rsidP="00AD70A3">
      <w:pPr>
        <w:spacing w:line="480" w:lineRule="auto"/>
        <w:rPr>
          <w:rFonts w:ascii="Times New Roman" w:hAnsi="Times New Roman" w:cs="Times New Roman"/>
          <w:sz w:val="24"/>
          <w:szCs w:val="24"/>
        </w:rPr>
      </w:pPr>
    </w:p>
    <w:p w14:paraId="695141E5" w14:textId="77777777" w:rsidR="00F43938" w:rsidRPr="00F810EC" w:rsidRDefault="00F43938" w:rsidP="00AD70A3">
      <w:pPr>
        <w:widowControl/>
        <w:spacing w:line="480" w:lineRule="auto"/>
        <w:jc w:val="left"/>
        <w:rPr>
          <w:rFonts w:ascii="Times New Roman" w:hAnsi="Times New Roman" w:cs="Times New Roman"/>
          <w:sz w:val="24"/>
          <w:szCs w:val="24"/>
        </w:rPr>
      </w:pPr>
      <w:r w:rsidRPr="00F810EC">
        <w:rPr>
          <w:rFonts w:ascii="Times New Roman" w:hAnsi="Times New Roman" w:cs="Times New Roman"/>
          <w:sz w:val="24"/>
          <w:szCs w:val="24"/>
        </w:rPr>
        <w:br w:type="page"/>
      </w:r>
    </w:p>
    <w:p w14:paraId="6D59DC8F" w14:textId="1FF99B3D" w:rsidR="00F43938" w:rsidRPr="00F810EC" w:rsidRDefault="00F43938" w:rsidP="001661AD">
      <w:pPr>
        <w:ind w:leftChars="-270" w:left="-567"/>
        <w:rPr>
          <w:rFonts w:ascii="Times New Roman" w:hAnsi="Times New Roman" w:cs="Times New Roman"/>
          <w:sz w:val="24"/>
          <w:szCs w:val="24"/>
        </w:rPr>
      </w:pPr>
      <w:r w:rsidRPr="00F810EC">
        <w:rPr>
          <w:rFonts w:ascii="Times New Roman" w:hAnsi="Times New Roman" w:cs="Times New Roman"/>
          <w:sz w:val="24"/>
          <w:szCs w:val="24"/>
        </w:rPr>
        <w:lastRenderedPageBreak/>
        <w:t>Table S5. Chi-square tests and t-tests for the most important variables in Model 5</w:t>
      </w:r>
    </w:p>
    <w:tbl>
      <w:tblPr>
        <w:tblW w:w="9226" w:type="dxa"/>
        <w:tblInd w:w="-567" w:type="dxa"/>
        <w:tblLook w:val="04A0" w:firstRow="1" w:lastRow="0" w:firstColumn="1" w:lastColumn="0" w:noHBand="0" w:noVBand="1"/>
      </w:tblPr>
      <w:tblGrid>
        <w:gridCol w:w="222"/>
        <w:gridCol w:w="3180"/>
        <w:gridCol w:w="1843"/>
        <w:gridCol w:w="1985"/>
        <w:gridCol w:w="960"/>
        <w:gridCol w:w="1036"/>
      </w:tblGrid>
      <w:tr w:rsidR="00F43938" w:rsidRPr="00F810EC" w14:paraId="29CF22FF" w14:textId="77777777" w:rsidTr="00AC2054">
        <w:trPr>
          <w:trHeight w:val="276"/>
        </w:trPr>
        <w:tc>
          <w:tcPr>
            <w:tcW w:w="3402" w:type="dxa"/>
            <w:gridSpan w:val="2"/>
            <w:vMerge w:val="restart"/>
            <w:tcBorders>
              <w:top w:val="single" w:sz="4" w:space="0" w:color="auto"/>
              <w:left w:val="nil"/>
              <w:bottom w:val="single" w:sz="4" w:space="0" w:color="000000"/>
              <w:right w:val="nil"/>
            </w:tcBorders>
            <w:shd w:val="clear" w:color="auto" w:fill="auto"/>
            <w:noWrap/>
            <w:vAlign w:val="center"/>
            <w:hideMark/>
          </w:tcPr>
          <w:p w14:paraId="2B6F4925"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Suicide attempt</w:t>
            </w:r>
          </w:p>
          <w:p w14:paraId="6755D932"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(after suicidal ideation)</w:t>
            </w:r>
          </w:p>
        </w:tc>
        <w:tc>
          <w:tcPr>
            <w:tcW w:w="1843" w:type="dxa"/>
            <w:tcBorders>
              <w:top w:val="single" w:sz="4" w:space="0" w:color="auto"/>
              <w:left w:val="nil"/>
              <w:bottom w:val="nil"/>
              <w:right w:val="nil"/>
            </w:tcBorders>
            <w:shd w:val="clear" w:color="auto" w:fill="auto"/>
            <w:noWrap/>
            <w:vAlign w:val="center"/>
            <w:hideMark/>
          </w:tcPr>
          <w:p w14:paraId="637A3B50"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No</w:t>
            </w:r>
          </w:p>
        </w:tc>
        <w:tc>
          <w:tcPr>
            <w:tcW w:w="1985" w:type="dxa"/>
            <w:tcBorders>
              <w:top w:val="single" w:sz="4" w:space="0" w:color="auto"/>
              <w:left w:val="nil"/>
              <w:bottom w:val="nil"/>
              <w:right w:val="nil"/>
            </w:tcBorders>
            <w:shd w:val="clear" w:color="auto" w:fill="auto"/>
            <w:noWrap/>
            <w:vAlign w:val="center"/>
            <w:hideMark/>
          </w:tcPr>
          <w:p w14:paraId="63425855"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Yes</w:t>
            </w:r>
          </w:p>
        </w:tc>
        <w:tc>
          <w:tcPr>
            <w:tcW w:w="960" w:type="dxa"/>
            <w:vMerge w:val="restart"/>
            <w:tcBorders>
              <w:top w:val="single" w:sz="4" w:space="0" w:color="auto"/>
              <w:left w:val="nil"/>
              <w:bottom w:val="single" w:sz="4" w:space="0" w:color="000000"/>
              <w:right w:val="nil"/>
            </w:tcBorders>
            <w:shd w:val="clear" w:color="auto" w:fill="auto"/>
            <w:noWrap/>
            <w:vAlign w:val="center"/>
            <w:hideMark/>
          </w:tcPr>
          <w:p w14:paraId="0343A0C8"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t/X</w:t>
            </w:r>
            <w:r w:rsidRPr="00F810EC">
              <w:rPr>
                <w:rFonts w:ascii="Times New Roman" w:eastAsia="等线" w:hAnsi="Times New Roman" w:cs="Times New Roman"/>
                <w:color w:val="000000"/>
                <w:kern w:val="0"/>
                <w:sz w:val="24"/>
                <w:szCs w:val="24"/>
                <w:vertAlign w:val="superscript"/>
              </w:rPr>
              <w:t>2</w:t>
            </w:r>
          </w:p>
        </w:tc>
        <w:tc>
          <w:tcPr>
            <w:tcW w:w="1036" w:type="dxa"/>
            <w:vMerge w:val="restart"/>
            <w:tcBorders>
              <w:top w:val="single" w:sz="4" w:space="0" w:color="auto"/>
              <w:left w:val="nil"/>
              <w:bottom w:val="single" w:sz="4" w:space="0" w:color="000000"/>
              <w:right w:val="nil"/>
            </w:tcBorders>
            <w:shd w:val="clear" w:color="auto" w:fill="auto"/>
            <w:noWrap/>
            <w:vAlign w:val="center"/>
            <w:hideMark/>
          </w:tcPr>
          <w:p w14:paraId="547BBB59" w14:textId="77777777" w:rsidR="00F43938" w:rsidRPr="00F810EC" w:rsidRDefault="00F43938" w:rsidP="0078260E">
            <w:pPr>
              <w:widowControl/>
              <w:jc w:val="center"/>
              <w:rPr>
                <w:rFonts w:ascii="Times New Roman" w:eastAsia="等线" w:hAnsi="Times New Roman" w:cs="Times New Roman"/>
                <w:i/>
                <w:iCs/>
                <w:color w:val="000000"/>
                <w:kern w:val="0"/>
                <w:sz w:val="24"/>
                <w:szCs w:val="24"/>
              </w:rPr>
            </w:pPr>
            <w:r w:rsidRPr="00F810EC">
              <w:rPr>
                <w:rFonts w:ascii="Times New Roman" w:eastAsia="等线" w:hAnsi="Times New Roman" w:cs="Times New Roman"/>
                <w:i/>
                <w:iCs/>
                <w:color w:val="000000"/>
                <w:kern w:val="0"/>
                <w:sz w:val="24"/>
                <w:szCs w:val="24"/>
              </w:rPr>
              <w:t>p</w:t>
            </w:r>
          </w:p>
        </w:tc>
      </w:tr>
      <w:tr w:rsidR="00F43938" w:rsidRPr="00F810EC" w14:paraId="240157B3" w14:textId="77777777" w:rsidTr="00AC2054">
        <w:trPr>
          <w:trHeight w:val="276"/>
        </w:trPr>
        <w:tc>
          <w:tcPr>
            <w:tcW w:w="3402" w:type="dxa"/>
            <w:gridSpan w:val="2"/>
            <w:vMerge/>
            <w:tcBorders>
              <w:top w:val="single" w:sz="4" w:space="0" w:color="auto"/>
              <w:left w:val="nil"/>
              <w:bottom w:val="single" w:sz="4" w:space="0" w:color="000000"/>
              <w:right w:val="nil"/>
            </w:tcBorders>
            <w:vAlign w:val="center"/>
            <w:hideMark/>
          </w:tcPr>
          <w:p w14:paraId="0A7E5D11"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c>
          <w:tcPr>
            <w:tcW w:w="1843" w:type="dxa"/>
            <w:tcBorders>
              <w:top w:val="nil"/>
              <w:left w:val="nil"/>
              <w:bottom w:val="single" w:sz="4" w:space="0" w:color="auto"/>
              <w:right w:val="nil"/>
            </w:tcBorders>
            <w:shd w:val="clear" w:color="auto" w:fill="auto"/>
            <w:noWrap/>
            <w:vAlign w:val="center"/>
            <w:hideMark/>
          </w:tcPr>
          <w:p w14:paraId="2CC51325"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 xml:space="preserve"> (n=1616)</w:t>
            </w:r>
          </w:p>
        </w:tc>
        <w:tc>
          <w:tcPr>
            <w:tcW w:w="1985" w:type="dxa"/>
            <w:tcBorders>
              <w:top w:val="nil"/>
              <w:left w:val="nil"/>
              <w:bottom w:val="single" w:sz="4" w:space="0" w:color="auto"/>
              <w:right w:val="nil"/>
            </w:tcBorders>
            <w:shd w:val="clear" w:color="auto" w:fill="auto"/>
            <w:noWrap/>
            <w:vAlign w:val="center"/>
            <w:hideMark/>
          </w:tcPr>
          <w:p w14:paraId="1F7C2E3D"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 xml:space="preserve"> (n=220)</w:t>
            </w:r>
          </w:p>
        </w:tc>
        <w:tc>
          <w:tcPr>
            <w:tcW w:w="960" w:type="dxa"/>
            <w:vMerge/>
            <w:tcBorders>
              <w:top w:val="single" w:sz="4" w:space="0" w:color="auto"/>
              <w:left w:val="nil"/>
              <w:bottom w:val="single" w:sz="4" w:space="0" w:color="000000"/>
              <w:right w:val="nil"/>
            </w:tcBorders>
            <w:vAlign w:val="center"/>
            <w:hideMark/>
          </w:tcPr>
          <w:p w14:paraId="7A068BAF"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c>
          <w:tcPr>
            <w:tcW w:w="1036" w:type="dxa"/>
            <w:vMerge/>
            <w:tcBorders>
              <w:top w:val="single" w:sz="4" w:space="0" w:color="auto"/>
              <w:left w:val="nil"/>
              <w:bottom w:val="single" w:sz="4" w:space="0" w:color="000000"/>
              <w:right w:val="nil"/>
            </w:tcBorders>
            <w:vAlign w:val="center"/>
            <w:hideMark/>
          </w:tcPr>
          <w:p w14:paraId="6829BB3F" w14:textId="77777777" w:rsidR="00F43938" w:rsidRPr="00F810EC" w:rsidRDefault="00F43938" w:rsidP="0078260E">
            <w:pPr>
              <w:widowControl/>
              <w:jc w:val="left"/>
              <w:rPr>
                <w:rFonts w:ascii="Times New Roman" w:eastAsia="等线" w:hAnsi="Times New Roman" w:cs="Times New Roman"/>
                <w:i/>
                <w:iCs/>
                <w:color w:val="000000"/>
                <w:kern w:val="0"/>
                <w:sz w:val="24"/>
                <w:szCs w:val="24"/>
              </w:rPr>
            </w:pPr>
          </w:p>
        </w:tc>
      </w:tr>
      <w:tr w:rsidR="00F43938" w:rsidRPr="00F810EC" w14:paraId="34E9E910" w14:textId="77777777" w:rsidTr="00AC2054">
        <w:trPr>
          <w:trHeight w:val="276"/>
        </w:trPr>
        <w:tc>
          <w:tcPr>
            <w:tcW w:w="222" w:type="dxa"/>
            <w:tcBorders>
              <w:top w:val="nil"/>
              <w:left w:val="nil"/>
              <w:bottom w:val="nil"/>
              <w:right w:val="nil"/>
            </w:tcBorders>
            <w:shd w:val="clear" w:color="auto" w:fill="auto"/>
            <w:noWrap/>
            <w:vAlign w:val="bottom"/>
            <w:hideMark/>
          </w:tcPr>
          <w:p w14:paraId="628E3283" w14:textId="77777777" w:rsidR="00F43938" w:rsidRPr="00F810EC" w:rsidRDefault="00F43938" w:rsidP="0078260E">
            <w:pPr>
              <w:widowControl/>
              <w:jc w:val="center"/>
              <w:rPr>
                <w:rFonts w:ascii="Times New Roman" w:eastAsia="等线" w:hAnsi="Times New Roman" w:cs="Times New Roman"/>
                <w:color w:val="000000"/>
                <w:kern w:val="0"/>
                <w:sz w:val="24"/>
                <w:szCs w:val="24"/>
              </w:rPr>
            </w:pPr>
          </w:p>
        </w:tc>
        <w:tc>
          <w:tcPr>
            <w:tcW w:w="3180" w:type="dxa"/>
            <w:tcBorders>
              <w:top w:val="nil"/>
              <w:left w:val="nil"/>
              <w:bottom w:val="nil"/>
              <w:right w:val="nil"/>
            </w:tcBorders>
            <w:shd w:val="clear" w:color="auto" w:fill="auto"/>
            <w:noWrap/>
            <w:vAlign w:val="bottom"/>
            <w:hideMark/>
          </w:tcPr>
          <w:p w14:paraId="0434A62F" w14:textId="77777777" w:rsidR="00F43938" w:rsidRPr="00F810EC" w:rsidRDefault="00F43938" w:rsidP="0078260E">
            <w:pPr>
              <w:widowControl/>
              <w:jc w:val="center"/>
              <w:rPr>
                <w:rFonts w:ascii="Times New Roman" w:eastAsia="Times New Roman" w:hAnsi="Times New Roman" w:cs="Times New Roman"/>
                <w:kern w:val="0"/>
                <w:sz w:val="24"/>
                <w:szCs w:val="24"/>
              </w:rPr>
            </w:pPr>
          </w:p>
        </w:tc>
        <w:tc>
          <w:tcPr>
            <w:tcW w:w="3828" w:type="dxa"/>
            <w:gridSpan w:val="2"/>
            <w:tcBorders>
              <w:top w:val="nil"/>
              <w:left w:val="nil"/>
              <w:bottom w:val="nil"/>
              <w:right w:val="nil"/>
            </w:tcBorders>
            <w:shd w:val="clear" w:color="auto" w:fill="auto"/>
            <w:noWrap/>
            <w:vAlign w:val="center"/>
            <w:hideMark/>
          </w:tcPr>
          <w:p w14:paraId="72D7FD56" w14:textId="77777777" w:rsidR="00F43938" w:rsidRPr="00F810EC" w:rsidRDefault="00F43938" w:rsidP="0078260E">
            <w:pPr>
              <w:widowControl/>
              <w:jc w:val="center"/>
              <w:rPr>
                <w:rFonts w:ascii="Times New Roman" w:eastAsia="等线" w:hAnsi="Times New Roman" w:cs="Times New Roman"/>
                <w:i/>
                <w:iCs/>
                <w:color w:val="000000"/>
                <w:kern w:val="0"/>
                <w:sz w:val="24"/>
                <w:szCs w:val="24"/>
              </w:rPr>
            </w:pPr>
            <w:r w:rsidRPr="00F810EC">
              <w:rPr>
                <w:rFonts w:ascii="Times New Roman" w:eastAsia="等线" w:hAnsi="Times New Roman" w:cs="Times New Roman"/>
                <w:i/>
                <w:iCs/>
                <w:color w:val="000000"/>
                <w:kern w:val="0"/>
                <w:sz w:val="24"/>
                <w:szCs w:val="24"/>
              </w:rPr>
              <w:t>Mean (SD)</w:t>
            </w:r>
          </w:p>
        </w:tc>
        <w:tc>
          <w:tcPr>
            <w:tcW w:w="960" w:type="dxa"/>
            <w:tcBorders>
              <w:top w:val="nil"/>
              <w:left w:val="nil"/>
              <w:bottom w:val="nil"/>
              <w:right w:val="nil"/>
            </w:tcBorders>
            <w:shd w:val="clear" w:color="auto" w:fill="auto"/>
            <w:noWrap/>
            <w:vAlign w:val="center"/>
            <w:hideMark/>
          </w:tcPr>
          <w:p w14:paraId="631EC925" w14:textId="77777777" w:rsidR="00F43938" w:rsidRPr="00F810EC" w:rsidRDefault="00F43938" w:rsidP="0078260E">
            <w:pPr>
              <w:widowControl/>
              <w:jc w:val="center"/>
              <w:rPr>
                <w:rFonts w:ascii="Times New Roman" w:eastAsia="等线" w:hAnsi="Times New Roman" w:cs="Times New Roman"/>
                <w:i/>
                <w:iCs/>
                <w:color w:val="000000"/>
                <w:kern w:val="0"/>
                <w:sz w:val="24"/>
                <w:szCs w:val="24"/>
              </w:rPr>
            </w:pPr>
          </w:p>
        </w:tc>
        <w:tc>
          <w:tcPr>
            <w:tcW w:w="1036" w:type="dxa"/>
            <w:tcBorders>
              <w:top w:val="nil"/>
              <w:left w:val="nil"/>
              <w:bottom w:val="nil"/>
              <w:right w:val="nil"/>
            </w:tcBorders>
            <w:shd w:val="clear" w:color="auto" w:fill="auto"/>
            <w:noWrap/>
            <w:vAlign w:val="center"/>
            <w:hideMark/>
          </w:tcPr>
          <w:p w14:paraId="2F1788DA" w14:textId="77777777" w:rsidR="00F43938" w:rsidRPr="00F810EC" w:rsidRDefault="00F43938" w:rsidP="0078260E">
            <w:pPr>
              <w:widowControl/>
              <w:jc w:val="center"/>
              <w:rPr>
                <w:rFonts w:ascii="Times New Roman" w:eastAsia="Times New Roman" w:hAnsi="Times New Roman" w:cs="Times New Roman"/>
                <w:kern w:val="0"/>
                <w:sz w:val="24"/>
                <w:szCs w:val="24"/>
              </w:rPr>
            </w:pPr>
          </w:p>
        </w:tc>
      </w:tr>
      <w:tr w:rsidR="00F43938" w:rsidRPr="00F810EC" w14:paraId="3DA3B5F0" w14:textId="77777777" w:rsidTr="00AC2054">
        <w:trPr>
          <w:trHeight w:val="276"/>
        </w:trPr>
        <w:tc>
          <w:tcPr>
            <w:tcW w:w="3402" w:type="dxa"/>
            <w:gridSpan w:val="2"/>
            <w:tcBorders>
              <w:top w:val="nil"/>
              <w:left w:val="nil"/>
              <w:bottom w:val="nil"/>
              <w:right w:val="nil"/>
            </w:tcBorders>
            <w:shd w:val="clear" w:color="auto" w:fill="auto"/>
            <w:noWrap/>
            <w:vAlign w:val="center"/>
            <w:hideMark/>
          </w:tcPr>
          <w:p w14:paraId="0C9EEACD"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Self-compassion</w:t>
            </w:r>
          </w:p>
        </w:tc>
        <w:tc>
          <w:tcPr>
            <w:tcW w:w="1843" w:type="dxa"/>
            <w:tcBorders>
              <w:top w:val="nil"/>
              <w:left w:val="nil"/>
              <w:bottom w:val="nil"/>
              <w:right w:val="nil"/>
            </w:tcBorders>
            <w:shd w:val="clear" w:color="auto" w:fill="auto"/>
            <w:noWrap/>
            <w:vAlign w:val="center"/>
            <w:hideMark/>
          </w:tcPr>
          <w:p w14:paraId="47A261BC"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36.44 (5.14)</w:t>
            </w:r>
          </w:p>
        </w:tc>
        <w:tc>
          <w:tcPr>
            <w:tcW w:w="1985" w:type="dxa"/>
            <w:tcBorders>
              <w:top w:val="nil"/>
              <w:left w:val="nil"/>
              <w:bottom w:val="nil"/>
              <w:right w:val="nil"/>
            </w:tcBorders>
            <w:shd w:val="clear" w:color="auto" w:fill="auto"/>
            <w:noWrap/>
            <w:vAlign w:val="center"/>
            <w:hideMark/>
          </w:tcPr>
          <w:p w14:paraId="3B8C4A08"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34.36 (6.04)</w:t>
            </w:r>
          </w:p>
        </w:tc>
        <w:tc>
          <w:tcPr>
            <w:tcW w:w="960" w:type="dxa"/>
            <w:tcBorders>
              <w:top w:val="nil"/>
              <w:left w:val="nil"/>
              <w:bottom w:val="nil"/>
              <w:right w:val="nil"/>
            </w:tcBorders>
            <w:shd w:val="clear" w:color="auto" w:fill="auto"/>
            <w:noWrap/>
            <w:vAlign w:val="center"/>
            <w:hideMark/>
          </w:tcPr>
          <w:p w14:paraId="1000DB7E"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-4.88</w:t>
            </w:r>
          </w:p>
        </w:tc>
        <w:tc>
          <w:tcPr>
            <w:tcW w:w="1036" w:type="dxa"/>
            <w:tcBorders>
              <w:top w:val="nil"/>
              <w:left w:val="nil"/>
              <w:bottom w:val="nil"/>
              <w:right w:val="nil"/>
            </w:tcBorders>
            <w:shd w:val="clear" w:color="auto" w:fill="auto"/>
            <w:noWrap/>
            <w:vAlign w:val="center"/>
            <w:hideMark/>
          </w:tcPr>
          <w:p w14:paraId="0BF1284C"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F810EC" w14:paraId="74366080" w14:textId="77777777" w:rsidTr="00AC2054">
        <w:trPr>
          <w:trHeight w:val="276"/>
        </w:trPr>
        <w:tc>
          <w:tcPr>
            <w:tcW w:w="3402" w:type="dxa"/>
            <w:gridSpan w:val="2"/>
            <w:tcBorders>
              <w:top w:val="nil"/>
              <w:left w:val="nil"/>
              <w:bottom w:val="nil"/>
              <w:right w:val="nil"/>
            </w:tcBorders>
            <w:shd w:val="clear" w:color="auto" w:fill="auto"/>
            <w:noWrap/>
            <w:vAlign w:val="center"/>
            <w:hideMark/>
          </w:tcPr>
          <w:p w14:paraId="4C879938"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Help-seeking (SI)</w:t>
            </w:r>
          </w:p>
        </w:tc>
        <w:tc>
          <w:tcPr>
            <w:tcW w:w="1843" w:type="dxa"/>
            <w:tcBorders>
              <w:top w:val="nil"/>
              <w:left w:val="nil"/>
              <w:bottom w:val="nil"/>
              <w:right w:val="nil"/>
            </w:tcBorders>
            <w:shd w:val="clear" w:color="auto" w:fill="auto"/>
            <w:noWrap/>
            <w:vAlign w:val="center"/>
            <w:hideMark/>
          </w:tcPr>
          <w:p w14:paraId="090DDBCE"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4.36 (1.71)</w:t>
            </w:r>
          </w:p>
        </w:tc>
        <w:tc>
          <w:tcPr>
            <w:tcW w:w="1985" w:type="dxa"/>
            <w:tcBorders>
              <w:top w:val="nil"/>
              <w:left w:val="nil"/>
              <w:bottom w:val="nil"/>
              <w:right w:val="nil"/>
            </w:tcBorders>
            <w:shd w:val="clear" w:color="auto" w:fill="auto"/>
            <w:noWrap/>
            <w:vAlign w:val="center"/>
            <w:hideMark/>
          </w:tcPr>
          <w:p w14:paraId="73B614DF"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4.12 (1.81)</w:t>
            </w:r>
          </w:p>
        </w:tc>
        <w:tc>
          <w:tcPr>
            <w:tcW w:w="960" w:type="dxa"/>
            <w:tcBorders>
              <w:top w:val="nil"/>
              <w:left w:val="nil"/>
              <w:bottom w:val="nil"/>
              <w:right w:val="nil"/>
            </w:tcBorders>
            <w:shd w:val="clear" w:color="auto" w:fill="auto"/>
            <w:noWrap/>
            <w:vAlign w:val="center"/>
            <w:hideMark/>
          </w:tcPr>
          <w:p w14:paraId="2B4BA134"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-1.88</w:t>
            </w:r>
          </w:p>
        </w:tc>
        <w:tc>
          <w:tcPr>
            <w:tcW w:w="1036" w:type="dxa"/>
            <w:tcBorders>
              <w:top w:val="nil"/>
              <w:left w:val="nil"/>
              <w:bottom w:val="nil"/>
              <w:right w:val="nil"/>
            </w:tcBorders>
            <w:shd w:val="clear" w:color="auto" w:fill="auto"/>
            <w:noWrap/>
            <w:vAlign w:val="center"/>
            <w:hideMark/>
          </w:tcPr>
          <w:p w14:paraId="0F741AD7"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0.05</w:t>
            </w:r>
          </w:p>
        </w:tc>
      </w:tr>
      <w:tr w:rsidR="00F43938" w:rsidRPr="00F810EC" w14:paraId="525E5930" w14:textId="77777777" w:rsidTr="00AC2054">
        <w:trPr>
          <w:trHeight w:val="276"/>
        </w:trPr>
        <w:tc>
          <w:tcPr>
            <w:tcW w:w="3402" w:type="dxa"/>
            <w:gridSpan w:val="2"/>
            <w:tcBorders>
              <w:top w:val="nil"/>
              <w:left w:val="nil"/>
              <w:bottom w:val="nil"/>
              <w:right w:val="nil"/>
            </w:tcBorders>
            <w:shd w:val="clear" w:color="auto" w:fill="auto"/>
            <w:noWrap/>
            <w:vAlign w:val="center"/>
            <w:hideMark/>
          </w:tcPr>
          <w:p w14:paraId="652109C1"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Subjective stratum</w:t>
            </w:r>
          </w:p>
        </w:tc>
        <w:tc>
          <w:tcPr>
            <w:tcW w:w="1843" w:type="dxa"/>
            <w:tcBorders>
              <w:top w:val="nil"/>
              <w:left w:val="nil"/>
              <w:bottom w:val="nil"/>
              <w:right w:val="nil"/>
            </w:tcBorders>
            <w:shd w:val="clear" w:color="auto" w:fill="auto"/>
            <w:noWrap/>
            <w:vAlign w:val="center"/>
            <w:hideMark/>
          </w:tcPr>
          <w:p w14:paraId="3F8029AC"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4.12 (1.63)</w:t>
            </w:r>
          </w:p>
        </w:tc>
        <w:tc>
          <w:tcPr>
            <w:tcW w:w="1985" w:type="dxa"/>
            <w:tcBorders>
              <w:top w:val="nil"/>
              <w:left w:val="nil"/>
              <w:bottom w:val="nil"/>
              <w:right w:val="nil"/>
            </w:tcBorders>
            <w:shd w:val="clear" w:color="auto" w:fill="auto"/>
            <w:noWrap/>
            <w:vAlign w:val="center"/>
            <w:hideMark/>
          </w:tcPr>
          <w:p w14:paraId="32CB8F4A"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3.84 (1.72)</w:t>
            </w:r>
          </w:p>
        </w:tc>
        <w:tc>
          <w:tcPr>
            <w:tcW w:w="960" w:type="dxa"/>
            <w:tcBorders>
              <w:top w:val="nil"/>
              <w:left w:val="nil"/>
              <w:bottom w:val="nil"/>
              <w:right w:val="nil"/>
            </w:tcBorders>
            <w:shd w:val="clear" w:color="auto" w:fill="auto"/>
            <w:noWrap/>
            <w:vAlign w:val="center"/>
            <w:hideMark/>
          </w:tcPr>
          <w:p w14:paraId="4644E1A0"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-2.31</w:t>
            </w:r>
          </w:p>
        </w:tc>
        <w:tc>
          <w:tcPr>
            <w:tcW w:w="1036" w:type="dxa"/>
            <w:tcBorders>
              <w:top w:val="nil"/>
              <w:left w:val="nil"/>
              <w:bottom w:val="nil"/>
              <w:right w:val="nil"/>
            </w:tcBorders>
            <w:shd w:val="clear" w:color="auto" w:fill="auto"/>
            <w:noWrap/>
            <w:vAlign w:val="center"/>
            <w:hideMark/>
          </w:tcPr>
          <w:p w14:paraId="5B908580"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0.016</w:t>
            </w:r>
          </w:p>
        </w:tc>
      </w:tr>
      <w:tr w:rsidR="00F43938" w:rsidRPr="00F810EC" w14:paraId="27A9F16F" w14:textId="77777777" w:rsidTr="00AC2054">
        <w:trPr>
          <w:trHeight w:val="276"/>
        </w:trPr>
        <w:tc>
          <w:tcPr>
            <w:tcW w:w="3402" w:type="dxa"/>
            <w:gridSpan w:val="2"/>
            <w:tcBorders>
              <w:top w:val="nil"/>
              <w:left w:val="nil"/>
              <w:bottom w:val="nil"/>
              <w:right w:val="nil"/>
            </w:tcBorders>
            <w:shd w:val="clear" w:color="auto" w:fill="auto"/>
            <w:noWrap/>
            <w:vAlign w:val="bottom"/>
            <w:hideMark/>
          </w:tcPr>
          <w:p w14:paraId="0890708A" w14:textId="62BD8A40"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NSSI (</w:t>
            </w:r>
            <w:r w:rsidRPr="00F810EC">
              <w:rPr>
                <w:rFonts w:ascii="Times New Roman" w:eastAsia="等线" w:hAnsi="Times New Roman" w:cs="Times New Roman"/>
                <w:i/>
                <w:iCs/>
                <w:color w:val="000000"/>
                <w:kern w:val="0"/>
                <w:sz w:val="24"/>
                <w:szCs w:val="24"/>
              </w:rPr>
              <w:t>n</w:t>
            </w:r>
            <w:r w:rsidR="00D31C6E" w:rsidRPr="00F810EC">
              <w:rPr>
                <w:rFonts w:ascii="Times New Roman" w:eastAsia="等线" w:hAnsi="Times New Roman" w:cs="Times New Roman"/>
                <w:i/>
                <w:iCs/>
                <w:color w:val="000000"/>
                <w:kern w:val="0"/>
                <w:sz w:val="24"/>
                <w:szCs w:val="24"/>
              </w:rPr>
              <w:t xml:space="preserve"> </w:t>
            </w:r>
            <w:r w:rsidRPr="00F810EC">
              <w:rPr>
                <w:rFonts w:ascii="Times New Roman" w:eastAsia="等线" w:hAnsi="Times New Roman" w:cs="Times New Roman"/>
                <w:i/>
                <w:iCs/>
                <w:color w:val="000000"/>
                <w:kern w:val="0"/>
                <w:sz w:val="24"/>
                <w:szCs w:val="24"/>
              </w:rPr>
              <w:t>(%)</w:t>
            </w:r>
            <w:r w:rsidRPr="00F810EC">
              <w:rPr>
                <w:rFonts w:ascii="Times New Roman" w:eastAsia="等线" w:hAnsi="Times New Roman" w:cs="Times New Roman"/>
                <w:color w:val="000000"/>
                <w:kern w:val="0"/>
                <w:sz w:val="24"/>
                <w:szCs w:val="24"/>
              </w:rPr>
              <w:t>)</w:t>
            </w:r>
          </w:p>
        </w:tc>
        <w:tc>
          <w:tcPr>
            <w:tcW w:w="1843" w:type="dxa"/>
            <w:tcBorders>
              <w:top w:val="nil"/>
              <w:left w:val="nil"/>
              <w:bottom w:val="nil"/>
              <w:right w:val="nil"/>
            </w:tcBorders>
            <w:shd w:val="clear" w:color="auto" w:fill="auto"/>
            <w:noWrap/>
            <w:vAlign w:val="center"/>
            <w:hideMark/>
          </w:tcPr>
          <w:p w14:paraId="283A1967"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c>
          <w:tcPr>
            <w:tcW w:w="1985" w:type="dxa"/>
            <w:tcBorders>
              <w:top w:val="nil"/>
              <w:left w:val="nil"/>
              <w:bottom w:val="nil"/>
              <w:right w:val="nil"/>
            </w:tcBorders>
            <w:shd w:val="clear" w:color="auto" w:fill="auto"/>
            <w:noWrap/>
            <w:vAlign w:val="center"/>
            <w:hideMark/>
          </w:tcPr>
          <w:p w14:paraId="57ED51E5" w14:textId="77777777" w:rsidR="00F43938" w:rsidRPr="00F810EC" w:rsidRDefault="00F43938" w:rsidP="0078260E">
            <w:pPr>
              <w:widowControl/>
              <w:jc w:val="center"/>
              <w:rPr>
                <w:rFonts w:ascii="Times New Roman" w:eastAsia="Times New Roman" w:hAnsi="Times New Roman" w:cs="Times New Roman"/>
                <w:kern w:val="0"/>
                <w:sz w:val="24"/>
                <w:szCs w:val="24"/>
              </w:rPr>
            </w:pPr>
          </w:p>
        </w:tc>
        <w:tc>
          <w:tcPr>
            <w:tcW w:w="960" w:type="dxa"/>
            <w:tcBorders>
              <w:top w:val="nil"/>
              <w:left w:val="nil"/>
              <w:bottom w:val="nil"/>
              <w:right w:val="nil"/>
            </w:tcBorders>
            <w:shd w:val="clear" w:color="auto" w:fill="auto"/>
            <w:noWrap/>
            <w:vAlign w:val="center"/>
            <w:hideMark/>
          </w:tcPr>
          <w:p w14:paraId="466B90FD" w14:textId="77777777" w:rsidR="00F43938" w:rsidRPr="00F810EC" w:rsidRDefault="00F43938" w:rsidP="0078260E">
            <w:pPr>
              <w:widowControl/>
              <w:jc w:val="center"/>
              <w:rPr>
                <w:rFonts w:ascii="Times New Roman" w:eastAsia="Times New Roman" w:hAnsi="Times New Roman" w:cs="Times New Roman"/>
                <w:kern w:val="0"/>
                <w:sz w:val="24"/>
                <w:szCs w:val="24"/>
              </w:rPr>
            </w:pPr>
          </w:p>
        </w:tc>
        <w:tc>
          <w:tcPr>
            <w:tcW w:w="1036" w:type="dxa"/>
            <w:tcBorders>
              <w:top w:val="nil"/>
              <w:left w:val="nil"/>
              <w:bottom w:val="nil"/>
              <w:right w:val="nil"/>
            </w:tcBorders>
            <w:shd w:val="clear" w:color="auto" w:fill="auto"/>
            <w:noWrap/>
            <w:vAlign w:val="center"/>
            <w:hideMark/>
          </w:tcPr>
          <w:p w14:paraId="27A608BD" w14:textId="77777777" w:rsidR="00F43938" w:rsidRPr="00F810EC" w:rsidRDefault="00F43938" w:rsidP="0078260E">
            <w:pPr>
              <w:widowControl/>
              <w:jc w:val="center"/>
              <w:rPr>
                <w:rFonts w:ascii="Times New Roman" w:eastAsia="Times New Roman" w:hAnsi="Times New Roman" w:cs="Times New Roman"/>
                <w:kern w:val="0"/>
                <w:sz w:val="24"/>
                <w:szCs w:val="24"/>
              </w:rPr>
            </w:pPr>
          </w:p>
        </w:tc>
      </w:tr>
      <w:tr w:rsidR="00F43938" w:rsidRPr="00F810EC" w14:paraId="1E8F3BE5" w14:textId="77777777" w:rsidTr="00AC2054">
        <w:trPr>
          <w:trHeight w:val="276"/>
        </w:trPr>
        <w:tc>
          <w:tcPr>
            <w:tcW w:w="222" w:type="dxa"/>
            <w:tcBorders>
              <w:top w:val="nil"/>
              <w:left w:val="nil"/>
              <w:bottom w:val="nil"/>
              <w:right w:val="nil"/>
            </w:tcBorders>
            <w:shd w:val="clear" w:color="auto" w:fill="auto"/>
            <w:noWrap/>
            <w:vAlign w:val="bottom"/>
            <w:hideMark/>
          </w:tcPr>
          <w:p w14:paraId="3DA000B2" w14:textId="77777777" w:rsidR="00F43938" w:rsidRPr="00F810EC" w:rsidRDefault="00F43938" w:rsidP="0078260E">
            <w:pPr>
              <w:widowControl/>
              <w:jc w:val="center"/>
              <w:rPr>
                <w:rFonts w:ascii="Times New Roman" w:eastAsia="Times New Roman" w:hAnsi="Times New Roman" w:cs="Times New Roman"/>
                <w:kern w:val="0"/>
                <w:sz w:val="24"/>
                <w:szCs w:val="24"/>
              </w:rPr>
            </w:pPr>
          </w:p>
        </w:tc>
        <w:tc>
          <w:tcPr>
            <w:tcW w:w="3180" w:type="dxa"/>
            <w:tcBorders>
              <w:top w:val="nil"/>
              <w:left w:val="nil"/>
              <w:bottom w:val="nil"/>
              <w:right w:val="nil"/>
            </w:tcBorders>
            <w:shd w:val="clear" w:color="auto" w:fill="auto"/>
            <w:noWrap/>
            <w:vAlign w:val="center"/>
            <w:hideMark/>
          </w:tcPr>
          <w:p w14:paraId="3E47908B"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No</w:t>
            </w:r>
          </w:p>
        </w:tc>
        <w:tc>
          <w:tcPr>
            <w:tcW w:w="1843" w:type="dxa"/>
            <w:tcBorders>
              <w:top w:val="nil"/>
              <w:left w:val="nil"/>
              <w:bottom w:val="nil"/>
              <w:right w:val="nil"/>
            </w:tcBorders>
            <w:shd w:val="clear" w:color="auto" w:fill="auto"/>
            <w:noWrap/>
            <w:vAlign w:val="center"/>
            <w:hideMark/>
          </w:tcPr>
          <w:p w14:paraId="5A810334"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1066 (65.97)</w:t>
            </w:r>
          </w:p>
        </w:tc>
        <w:tc>
          <w:tcPr>
            <w:tcW w:w="1985" w:type="dxa"/>
            <w:tcBorders>
              <w:top w:val="nil"/>
              <w:left w:val="nil"/>
              <w:bottom w:val="nil"/>
              <w:right w:val="nil"/>
            </w:tcBorders>
            <w:shd w:val="clear" w:color="auto" w:fill="auto"/>
            <w:noWrap/>
            <w:vAlign w:val="center"/>
            <w:hideMark/>
          </w:tcPr>
          <w:p w14:paraId="2264D283"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94 (42.73)</w:t>
            </w:r>
          </w:p>
        </w:tc>
        <w:tc>
          <w:tcPr>
            <w:tcW w:w="960" w:type="dxa"/>
            <w:vMerge w:val="restart"/>
            <w:tcBorders>
              <w:top w:val="nil"/>
              <w:left w:val="nil"/>
              <w:bottom w:val="nil"/>
              <w:right w:val="nil"/>
            </w:tcBorders>
            <w:shd w:val="clear" w:color="auto" w:fill="auto"/>
            <w:noWrap/>
            <w:vAlign w:val="center"/>
            <w:hideMark/>
          </w:tcPr>
          <w:p w14:paraId="10EC9F4B"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229.9</w:t>
            </w:r>
          </w:p>
        </w:tc>
        <w:tc>
          <w:tcPr>
            <w:tcW w:w="1036" w:type="dxa"/>
            <w:vMerge w:val="restart"/>
            <w:tcBorders>
              <w:top w:val="nil"/>
              <w:left w:val="nil"/>
              <w:bottom w:val="nil"/>
              <w:right w:val="nil"/>
            </w:tcBorders>
            <w:shd w:val="clear" w:color="auto" w:fill="auto"/>
            <w:noWrap/>
            <w:vAlign w:val="center"/>
            <w:hideMark/>
          </w:tcPr>
          <w:p w14:paraId="60A7C075"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F810EC" w14:paraId="546A2C24" w14:textId="77777777" w:rsidTr="00AC2054">
        <w:trPr>
          <w:trHeight w:val="276"/>
        </w:trPr>
        <w:tc>
          <w:tcPr>
            <w:tcW w:w="222" w:type="dxa"/>
            <w:tcBorders>
              <w:top w:val="nil"/>
              <w:left w:val="nil"/>
              <w:bottom w:val="nil"/>
              <w:right w:val="nil"/>
            </w:tcBorders>
            <w:shd w:val="clear" w:color="auto" w:fill="auto"/>
            <w:noWrap/>
            <w:vAlign w:val="bottom"/>
            <w:hideMark/>
          </w:tcPr>
          <w:p w14:paraId="77F98F8A" w14:textId="77777777" w:rsidR="00F43938" w:rsidRPr="00F810EC" w:rsidRDefault="00F43938" w:rsidP="0078260E">
            <w:pPr>
              <w:widowControl/>
              <w:jc w:val="center"/>
              <w:rPr>
                <w:rFonts w:ascii="Times New Roman" w:eastAsia="等线" w:hAnsi="Times New Roman" w:cs="Times New Roman"/>
                <w:color w:val="000000"/>
                <w:kern w:val="0"/>
                <w:sz w:val="24"/>
                <w:szCs w:val="24"/>
              </w:rPr>
            </w:pPr>
          </w:p>
        </w:tc>
        <w:tc>
          <w:tcPr>
            <w:tcW w:w="3180" w:type="dxa"/>
            <w:tcBorders>
              <w:top w:val="nil"/>
              <w:left w:val="nil"/>
              <w:bottom w:val="nil"/>
              <w:right w:val="nil"/>
            </w:tcBorders>
            <w:shd w:val="clear" w:color="auto" w:fill="auto"/>
            <w:noWrap/>
            <w:vAlign w:val="center"/>
            <w:hideMark/>
          </w:tcPr>
          <w:p w14:paraId="3C0488AF"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Before one year</w:t>
            </w:r>
          </w:p>
        </w:tc>
        <w:tc>
          <w:tcPr>
            <w:tcW w:w="1843" w:type="dxa"/>
            <w:tcBorders>
              <w:top w:val="nil"/>
              <w:left w:val="nil"/>
              <w:bottom w:val="nil"/>
              <w:right w:val="nil"/>
            </w:tcBorders>
            <w:shd w:val="clear" w:color="auto" w:fill="auto"/>
            <w:noWrap/>
            <w:vAlign w:val="center"/>
            <w:hideMark/>
          </w:tcPr>
          <w:p w14:paraId="14FC7C9D"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363 (22.46)</w:t>
            </w:r>
          </w:p>
        </w:tc>
        <w:tc>
          <w:tcPr>
            <w:tcW w:w="1985" w:type="dxa"/>
            <w:tcBorders>
              <w:top w:val="nil"/>
              <w:left w:val="nil"/>
              <w:bottom w:val="nil"/>
              <w:right w:val="nil"/>
            </w:tcBorders>
            <w:shd w:val="clear" w:color="auto" w:fill="auto"/>
            <w:noWrap/>
            <w:vAlign w:val="center"/>
            <w:hideMark/>
          </w:tcPr>
          <w:p w14:paraId="3545611D"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67 (30.45)</w:t>
            </w:r>
          </w:p>
        </w:tc>
        <w:tc>
          <w:tcPr>
            <w:tcW w:w="960" w:type="dxa"/>
            <w:vMerge/>
            <w:tcBorders>
              <w:top w:val="nil"/>
              <w:left w:val="nil"/>
              <w:bottom w:val="nil"/>
              <w:right w:val="nil"/>
            </w:tcBorders>
            <w:vAlign w:val="center"/>
            <w:hideMark/>
          </w:tcPr>
          <w:p w14:paraId="41AB535A"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c>
          <w:tcPr>
            <w:tcW w:w="1036" w:type="dxa"/>
            <w:vMerge/>
            <w:tcBorders>
              <w:top w:val="nil"/>
              <w:left w:val="nil"/>
              <w:bottom w:val="nil"/>
              <w:right w:val="nil"/>
            </w:tcBorders>
            <w:vAlign w:val="center"/>
            <w:hideMark/>
          </w:tcPr>
          <w:p w14:paraId="64A977EA"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r>
      <w:tr w:rsidR="00F43938" w:rsidRPr="00F810EC" w14:paraId="56FDBC7D" w14:textId="77777777" w:rsidTr="00AC2054">
        <w:trPr>
          <w:trHeight w:val="276"/>
        </w:trPr>
        <w:tc>
          <w:tcPr>
            <w:tcW w:w="222" w:type="dxa"/>
            <w:tcBorders>
              <w:top w:val="nil"/>
              <w:left w:val="nil"/>
              <w:bottom w:val="nil"/>
              <w:right w:val="nil"/>
            </w:tcBorders>
            <w:shd w:val="clear" w:color="auto" w:fill="auto"/>
            <w:noWrap/>
            <w:vAlign w:val="bottom"/>
            <w:hideMark/>
          </w:tcPr>
          <w:p w14:paraId="082C3CA5" w14:textId="77777777" w:rsidR="00F43938" w:rsidRPr="00F810EC" w:rsidRDefault="00F43938" w:rsidP="0078260E">
            <w:pPr>
              <w:widowControl/>
              <w:jc w:val="center"/>
              <w:rPr>
                <w:rFonts w:ascii="Times New Roman" w:eastAsia="等线" w:hAnsi="Times New Roman" w:cs="Times New Roman"/>
                <w:color w:val="000000"/>
                <w:kern w:val="0"/>
                <w:sz w:val="24"/>
                <w:szCs w:val="24"/>
              </w:rPr>
            </w:pPr>
          </w:p>
        </w:tc>
        <w:tc>
          <w:tcPr>
            <w:tcW w:w="3180" w:type="dxa"/>
            <w:tcBorders>
              <w:top w:val="nil"/>
              <w:left w:val="nil"/>
              <w:bottom w:val="nil"/>
              <w:right w:val="nil"/>
            </w:tcBorders>
            <w:shd w:val="clear" w:color="auto" w:fill="auto"/>
            <w:noWrap/>
            <w:vAlign w:val="center"/>
            <w:hideMark/>
          </w:tcPr>
          <w:p w14:paraId="241F3812"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Within one year</w:t>
            </w:r>
          </w:p>
        </w:tc>
        <w:tc>
          <w:tcPr>
            <w:tcW w:w="1843" w:type="dxa"/>
            <w:tcBorders>
              <w:top w:val="nil"/>
              <w:left w:val="nil"/>
              <w:bottom w:val="nil"/>
              <w:right w:val="nil"/>
            </w:tcBorders>
            <w:shd w:val="clear" w:color="auto" w:fill="auto"/>
            <w:noWrap/>
            <w:vAlign w:val="center"/>
            <w:hideMark/>
          </w:tcPr>
          <w:p w14:paraId="5CB6D1DF"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187 (11.57)</w:t>
            </w:r>
          </w:p>
        </w:tc>
        <w:tc>
          <w:tcPr>
            <w:tcW w:w="1985" w:type="dxa"/>
            <w:tcBorders>
              <w:top w:val="nil"/>
              <w:left w:val="nil"/>
              <w:bottom w:val="nil"/>
              <w:right w:val="nil"/>
            </w:tcBorders>
            <w:shd w:val="clear" w:color="auto" w:fill="auto"/>
            <w:noWrap/>
            <w:vAlign w:val="center"/>
            <w:hideMark/>
          </w:tcPr>
          <w:p w14:paraId="6C9E2EDA"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59 (26.82)</w:t>
            </w:r>
          </w:p>
        </w:tc>
        <w:tc>
          <w:tcPr>
            <w:tcW w:w="960" w:type="dxa"/>
            <w:vMerge/>
            <w:tcBorders>
              <w:top w:val="nil"/>
              <w:left w:val="nil"/>
              <w:bottom w:val="nil"/>
              <w:right w:val="nil"/>
            </w:tcBorders>
            <w:vAlign w:val="center"/>
            <w:hideMark/>
          </w:tcPr>
          <w:p w14:paraId="0B784F0B"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c>
          <w:tcPr>
            <w:tcW w:w="1036" w:type="dxa"/>
            <w:vMerge/>
            <w:tcBorders>
              <w:top w:val="nil"/>
              <w:left w:val="nil"/>
              <w:bottom w:val="nil"/>
              <w:right w:val="nil"/>
            </w:tcBorders>
            <w:vAlign w:val="center"/>
            <w:hideMark/>
          </w:tcPr>
          <w:p w14:paraId="217D1790"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r>
      <w:tr w:rsidR="00F43938" w:rsidRPr="00F810EC" w14:paraId="329B82F4" w14:textId="77777777" w:rsidTr="00AC2054">
        <w:trPr>
          <w:trHeight w:val="276"/>
        </w:trPr>
        <w:tc>
          <w:tcPr>
            <w:tcW w:w="3402" w:type="dxa"/>
            <w:gridSpan w:val="2"/>
            <w:tcBorders>
              <w:top w:val="nil"/>
              <w:left w:val="nil"/>
              <w:bottom w:val="nil"/>
              <w:right w:val="nil"/>
            </w:tcBorders>
            <w:shd w:val="clear" w:color="auto" w:fill="auto"/>
            <w:noWrap/>
            <w:vAlign w:val="center"/>
            <w:hideMark/>
          </w:tcPr>
          <w:p w14:paraId="5F34E4B2"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Depression</w:t>
            </w:r>
          </w:p>
        </w:tc>
        <w:tc>
          <w:tcPr>
            <w:tcW w:w="1843" w:type="dxa"/>
            <w:tcBorders>
              <w:top w:val="nil"/>
              <w:left w:val="nil"/>
              <w:bottom w:val="nil"/>
              <w:right w:val="nil"/>
            </w:tcBorders>
            <w:shd w:val="clear" w:color="auto" w:fill="auto"/>
            <w:noWrap/>
            <w:vAlign w:val="center"/>
            <w:hideMark/>
          </w:tcPr>
          <w:p w14:paraId="0B365FFA"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8.49 (4.75)</w:t>
            </w:r>
          </w:p>
        </w:tc>
        <w:tc>
          <w:tcPr>
            <w:tcW w:w="1985" w:type="dxa"/>
            <w:tcBorders>
              <w:top w:val="nil"/>
              <w:left w:val="nil"/>
              <w:bottom w:val="nil"/>
              <w:right w:val="nil"/>
            </w:tcBorders>
            <w:shd w:val="clear" w:color="auto" w:fill="auto"/>
            <w:noWrap/>
            <w:vAlign w:val="center"/>
            <w:hideMark/>
          </w:tcPr>
          <w:p w14:paraId="400CAF18"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11.03 (6.29)</w:t>
            </w:r>
          </w:p>
        </w:tc>
        <w:tc>
          <w:tcPr>
            <w:tcW w:w="960" w:type="dxa"/>
            <w:tcBorders>
              <w:top w:val="nil"/>
              <w:left w:val="nil"/>
              <w:bottom w:val="nil"/>
              <w:right w:val="nil"/>
            </w:tcBorders>
            <w:shd w:val="clear" w:color="auto" w:fill="auto"/>
            <w:noWrap/>
            <w:vAlign w:val="center"/>
            <w:hideMark/>
          </w:tcPr>
          <w:p w14:paraId="41A60B2D"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5.78</w:t>
            </w:r>
          </w:p>
        </w:tc>
        <w:tc>
          <w:tcPr>
            <w:tcW w:w="1036" w:type="dxa"/>
            <w:tcBorders>
              <w:top w:val="nil"/>
              <w:left w:val="nil"/>
              <w:bottom w:val="nil"/>
              <w:right w:val="nil"/>
            </w:tcBorders>
            <w:shd w:val="clear" w:color="auto" w:fill="auto"/>
            <w:noWrap/>
            <w:vAlign w:val="center"/>
            <w:hideMark/>
          </w:tcPr>
          <w:p w14:paraId="1A07A6ED"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r w:rsidR="00F43938" w:rsidRPr="00F810EC" w14:paraId="2F133E32" w14:textId="77777777" w:rsidTr="00AC2054">
        <w:trPr>
          <w:trHeight w:val="276"/>
        </w:trPr>
        <w:tc>
          <w:tcPr>
            <w:tcW w:w="3402" w:type="dxa"/>
            <w:gridSpan w:val="2"/>
            <w:tcBorders>
              <w:top w:val="nil"/>
              <w:left w:val="nil"/>
              <w:bottom w:val="nil"/>
              <w:right w:val="nil"/>
            </w:tcBorders>
            <w:shd w:val="clear" w:color="auto" w:fill="auto"/>
            <w:noWrap/>
            <w:vAlign w:val="center"/>
            <w:hideMark/>
          </w:tcPr>
          <w:p w14:paraId="12FB8E9B"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Eating disorder</w:t>
            </w:r>
          </w:p>
        </w:tc>
        <w:tc>
          <w:tcPr>
            <w:tcW w:w="1843" w:type="dxa"/>
            <w:tcBorders>
              <w:top w:val="nil"/>
              <w:left w:val="nil"/>
              <w:bottom w:val="nil"/>
              <w:right w:val="nil"/>
            </w:tcBorders>
            <w:shd w:val="clear" w:color="auto" w:fill="auto"/>
            <w:noWrap/>
            <w:vAlign w:val="center"/>
            <w:hideMark/>
          </w:tcPr>
          <w:p w14:paraId="579A7A1E"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1.98 (1.41)</w:t>
            </w:r>
          </w:p>
        </w:tc>
        <w:tc>
          <w:tcPr>
            <w:tcW w:w="1985" w:type="dxa"/>
            <w:tcBorders>
              <w:top w:val="nil"/>
              <w:left w:val="nil"/>
              <w:bottom w:val="nil"/>
              <w:right w:val="nil"/>
            </w:tcBorders>
            <w:shd w:val="clear" w:color="auto" w:fill="auto"/>
            <w:noWrap/>
            <w:vAlign w:val="center"/>
            <w:hideMark/>
          </w:tcPr>
          <w:p w14:paraId="5C4BB85F"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2.21 (1.40)</w:t>
            </w:r>
          </w:p>
        </w:tc>
        <w:tc>
          <w:tcPr>
            <w:tcW w:w="960" w:type="dxa"/>
            <w:tcBorders>
              <w:top w:val="nil"/>
              <w:left w:val="nil"/>
              <w:bottom w:val="nil"/>
              <w:right w:val="nil"/>
            </w:tcBorders>
            <w:shd w:val="clear" w:color="auto" w:fill="auto"/>
            <w:noWrap/>
            <w:vAlign w:val="center"/>
            <w:hideMark/>
          </w:tcPr>
          <w:p w14:paraId="5FED0ECB"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2.25</w:t>
            </w:r>
          </w:p>
        </w:tc>
        <w:tc>
          <w:tcPr>
            <w:tcW w:w="1036" w:type="dxa"/>
            <w:tcBorders>
              <w:top w:val="nil"/>
              <w:left w:val="nil"/>
              <w:bottom w:val="nil"/>
              <w:right w:val="nil"/>
            </w:tcBorders>
            <w:shd w:val="clear" w:color="auto" w:fill="auto"/>
            <w:noWrap/>
            <w:vAlign w:val="center"/>
            <w:hideMark/>
          </w:tcPr>
          <w:p w14:paraId="245D6C5F"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0.026</w:t>
            </w:r>
          </w:p>
        </w:tc>
      </w:tr>
      <w:tr w:rsidR="00F43938" w:rsidRPr="00F810EC" w14:paraId="2399093B" w14:textId="77777777" w:rsidTr="00AC2054">
        <w:trPr>
          <w:trHeight w:val="276"/>
        </w:trPr>
        <w:tc>
          <w:tcPr>
            <w:tcW w:w="3402" w:type="dxa"/>
            <w:gridSpan w:val="2"/>
            <w:tcBorders>
              <w:top w:val="nil"/>
              <w:left w:val="nil"/>
              <w:bottom w:val="nil"/>
              <w:right w:val="nil"/>
            </w:tcBorders>
            <w:shd w:val="clear" w:color="auto" w:fill="auto"/>
            <w:noWrap/>
            <w:vAlign w:val="center"/>
            <w:hideMark/>
          </w:tcPr>
          <w:p w14:paraId="1045DB29"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Age</w:t>
            </w:r>
          </w:p>
        </w:tc>
        <w:tc>
          <w:tcPr>
            <w:tcW w:w="1843" w:type="dxa"/>
            <w:tcBorders>
              <w:top w:val="nil"/>
              <w:left w:val="nil"/>
              <w:bottom w:val="nil"/>
              <w:right w:val="nil"/>
            </w:tcBorders>
            <w:shd w:val="clear" w:color="auto" w:fill="auto"/>
            <w:noWrap/>
            <w:vAlign w:val="center"/>
            <w:hideMark/>
          </w:tcPr>
          <w:p w14:paraId="62F562F3"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19.56 (1.65)</w:t>
            </w:r>
          </w:p>
        </w:tc>
        <w:tc>
          <w:tcPr>
            <w:tcW w:w="1985" w:type="dxa"/>
            <w:tcBorders>
              <w:top w:val="nil"/>
              <w:left w:val="nil"/>
              <w:bottom w:val="nil"/>
              <w:right w:val="nil"/>
            </w:tcBorders>
            <w:shd w:val="clear" w:color="auto" w:fill="auto"/>
            <w:noWrap/>
            <w:vAlign w:val="center"/>
            <w:hideMark/>
          </w:tcPr>
          <w:p w14:paraId="7AE1E0CF"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19.54 (1.71)</w:t>
            </w:r>
          </w:p>
        </w:tc>
        <w:tc>
          <w:tcPr>
            <w:tcW w:w="960" w:type="dxa"/>
            <w:tcBorders>
              <w:top w:val="nil"/>
              <w:left w:val="nil"/>
              <w:bottom w:val="nil"/>
              <w:right w:val="nil"/>
            </w:tcBorders>
            <w:shd w:val="clear" w:color="auto" w:fill="auto"/>
            <w:noWrap/>
            <w:vAlign w:val="center"/>
            <w:hideMark/>
          </w:tcPr>
          <w:p w14:paraId="467A71EA"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-0.19</w:t>
            </w:r>
          </w:p>
        </w:tc>
        <w:tc>
          <w:tcPr>
            <w:tcW w:w="1036" w:type="dxa"/>
            <w:tcBorders>
              <w:top w:val="nil"/>
              <w:left w:val="nil"/>
              <w:bottom w:val="nil"/>
              <w:right w:val="nil"/>
            </w:tcBorders>
            <w:shd w:val="clear" w:color="auto" w:fill="auto"/>
            <w:noWrap/>
            <w:vAlign w:val="center"/>
            <w:hideMark/>
          </w:tcPr>
          <w:p w14:paraId="6270FCA4"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0.842</w:t>
            </w:r>
          </w:p>
        </w:tc>
      </w:tr>
      <w:tr w:rsidR="00F43938" w:rsidRPr="00F810EC" w14:paraId="3B1BB449" w14:textId="77777777" w:rsidTr="00AC2054">
        <w:trPr>
          <w:trHeight w:val="276"/>
        </w:trPr>
        <w:tc>
          <w:tcPr>
            <w:tcW w:w="3402" w:type="dxa"/>
            <w:gridSpan w:val="2"/>
            <w:tcBorders>
              <w:top w:val="nil"/>
              <w:left w:val="nil"/>
              <w:bottom w:val="nil"/>
              <w:right w:val="nil"/>
            </w:tcBorders>
            <w:shd w:val="clear" w:color="auto" w:fill="auto"/>
            <w:noWrap/>
            <w:vAlign w:val="center"/>
            <w:hideMark/>
          </w:tcPr>
          <w:p w14:paraId="4103D441"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Family happiness</w:t>
            </w:r>
          </w:p>
        </w:tc>
        <w:tc>
          <w:tcPr>
            <w:tcW w:w="1843" w:type="dxa"/>
            <w:tcBorders>
              <w:top w:val="nil"/>
              <w:left w:val="nil"/>
              <w:bottom w:val="nil"/>
              <w:right w:val="nil"/>
            </w:tcBorders>
            <w:shd w:val="clear" w:color="auto" w:fill="auto"/>
            <w:noWrap/>
            <w:vAlign w:val="center"/>
            <w:hideMark/>
          </w:tcPr>
          <w:p w14:paraId="4AF2A7D1"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6.80 (2.33)</w:t>
            </w:r>
          </w:p>
        </w:tc>
        <w:tc>
          <w:tcPr>
            <w:tcW w:w="1985" w:type="dxa"/>
            <w:tcBorders>
              <w:top w:val="nil"/>
              <w:left w:val="nil"/>
              <w:bottom w:val="nil"/>
              <w:right w:val="nil"/>
            </w:tcBorders>
            <w:shd w:val="clear" w:color="auto" w:fill="auto"/>
            <w:noWrap/>
            <w:vAlign w:val="center"/>
            <w:hideMark/>
          </w:tcPr>
          <w:p w14:paraId="5A1CCD79"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6.49 (2.67)</w:t>
            </w:r>
          </w:p>
        </w:tc>
        <w:tc>
          <w:tcPr>
            <w:tcW w:w="960" w:type="dxa"/>
            <w:tcBorders>
              <w:top w:val="nil"/>
              <w:left w:val="nil"/>
              <w:bottom w:val="nil"/>
              <w:right w:val="nil"/>
            </w:tcBorders>
            <w:shd w:val="clear" w:color="auto" w:fill="auto"/>
            <w:noWrap/>
            <w:vAlign w:val="center"/>
            <w:hideMark/>
          </w:tcPr>
          <w:p w14:paraId="1E037EEA"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-1.61</w:t>
            </w:r>
          </w:p>
        </w:tc>
        <w:tc>
          <w:tcPr>
            <w:tcW w:w="1036" w:type="dxa"/>
            <w:tcBorders>
              <w:top w:val="nil"/>
              <w:left w:val="nil"/>
              <w:bottom w:val="nil"/>
              <w:right w:val="nil"/>
            </w:tcBorders>
            <w:shd w:val="clear" w:color="auto" w:fill="auto"/>
            <w:noWrap/>
            <w:vAlign w:val="center"/>
            <w:hideMark/>
          </w:tcPr>
          <w:p w14:paraId="07289653"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0.073</w:t>
            </w:r>
          </w:p>
        </w:tc>
      </w:tr>
      <w:tr w:rsidR="00F43938" w:rsidRPr="00F810EC" w14:paraId="60AC876D" w14:textId="77777777" w:rsidTr="00AC2054">
        <w:trPr>
          <w:trHeight w:val="276"/>
        </w:trPr>
        <w:tc>
          <w:tcPr>
            <w:tcW w:w="3402" w:type="dxa"/>
            <w:gridSpan w:val="2"/>
            <w:tcBorders>
              <w:top w:val="nil"/>
              <w:left w:val="nil"/>
              <w:bottom w:val="nil"/>
              <w:right w:val="nil"/>
            </w:tcBorders>
            <w:shd w:val="clear" w:color="auto" w:fill="auto"/>
            <w:noWrap/>
            <w:vAlign w:val="center"/>
            <w:hideMark/>
          </w:tcPr>
          <w:p w14:paraId="30E02EF6"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Family type (</w:t>
            </w:r>
            <w:r w:rsidRPr="00F810EC">
              <w:rPr>
                <w:rFonts w:ascii="Times New Roman" w:eastAsia="等线" w:hAnsi="Times New Roman" w:cs="Times New Roman"/>
                <w:i/>
                <w:iCs/>
                <w:color w:val="000000"/>
                <w:kern w:val="0"/>
                <w:sz w:val="24"/>
                <w:szCs w:val="24"/>
              </w:rPr>
              <w:t>n (%)</w:t>
            </w:r>
            <w:r w:rsidRPr="00F810EC">
              <w:rPr>
                <w:rFonts w:ascii="Times New Roman" w:eastAsia="等线" w:hAnsi="Times New Roman" w:cs="Times New Roman"/>
                <w:color w:val="000000"/>
                <w:kern w:val="0"/>
                <w:sz w:val="24"/>
                <w:szCs w:val="24"/>
              </w:rPr>
              <w:t>)</w:t>
            </w:r>
          </w:p>
        </w:tc>
        <w:tc>
          <w:tcPr>
            <w:tcW w:w="1843" w:type="dxa"/>
            <w:tcBorders>
              <w:top w:val="nil"/>
              <w:left w:val="nil"/>
              <w:bottom w:val="nil"/>
              <w:right w:val="nil"/>
            </w:tcBorders>
            <w:shd w:val="clear" w:color="auto" w:fill="auto"/>
            <w:noWrap/>
            <w:vAlign w:val="center"/>
            <w:hideMark/>
          </w:tcPr>
          <w:p w14:paraId="23765010"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c>
          <w:tcPr>
            <w:tcW w:w="1985" w:type="dxa"/>
            <w:tcBorders>
              <w:top w:val="nil"/>
              <w:left w:val="nil"/>
              <w:bottom w:val="nil"/>
              <w:right w:val="nil"/>
            </w:tcBorders>
            <w:shd w:val="clear" w:color="auto" w:fill="auto"/>
            <w:noWrap/>
            <w:vAlign w:val="center"/>
            <w:hideMark/>
          </w:tcPr>
          <w:p w14:paraId="0CEA2E3D" w14:textId="77777777" w:rsidR="00F43938" w:rsidRPr="00F810EC" w:rsidRDefault="00F43938" w:rsidP="0078260E">
            <w:pPr>
              <w:widowControl/>
              <w:jc w:val="center"/>
              <w:rPr>
                <w:rFonts w:ascii="Times New Roman" w:eastAsia="Times New Roman" w:hAnsi="Times New Roman" w:cs="Times New Roman"/>
                <w:kern w:val="0"/>
                <w:sz w:val="24"/>
                <w:szCs w:val="24"/>
              </w:rPr>
            </w:pPr>
          </w:p>
        </w:tc>
        <w:tc>
          <w:tcPr>
            <w:tcW w:w="960" w:type="dxa"/>
            <w:tcBorders>
              <w:top w:val="nil"/>
              <w:left w:val="nil"/>
              <w:bottom w:val="nil"/>
              <w:right w:val="nil"/>
            </w:tcBorders>
            <w:shd w:val="clear" w:color="auto" w:fill="auto"/>
            <w:noWrap/>
            <w:vAlign w:val="center"/>
            <w:hideMark/>
          </w:tcPr>
          <w:p w14:paraId="0EFC8506" w14:textId="77777777" w:rsidR="00F43938" w:rsidRPr="00F810EC" w:rsidRDefault="00F43938" w:rsidP="0078260E">
            <w:pPr>
              <w:widowControl/>
              <w:jc w:val="center"/>
              <w:rPr>
                <w:rFonts w:ascii="Times New Roman" w:eastAsia="Times New Roman" w:hAnsi="Times New Roman" w:cs="Times New Roman"/>
                <w:kern w:val="0"/>
                <w:sz w:val="24"/>
                <w:szCs w:val="24"/>
              </w:rPr>
            </w:pPr>
          </w:p>
        </w:tc>
        <w:tc>
          <w:tcPr>
            <w:tcW w:w="1036" w:type="dxa"/>
            <w:tcBorders>
              <w:top w:val="nil"/>
              <w:left w:val="nil"/>
              <w:bottom w:val="nil"/>
              <w:right w:val="nil"/>
            </w:tcBorders>
            <w:shd w:val="clear" w:color="auto" w:fill="auto"/>
            <w:noWrap/>
            <w:vAlign w:val="center"/>
            <w:hideMark/>
          </w:tcPr>
          <w:p w14:paraId="0887E6C3" w14:textId="77777777" w:rsidR="00F43938" w:rsidRPr="00F810EC" w:rsidRDefault="00F43938" w:rsidP="0078260E">
            <w:pPr>
              <w:widowControl/>
              <w:jc w:val="center"/>
              <w:rPr>
                <w:rFonts w:ascii="Times New Roman" w:eastAsia="Times New Roman" w:hAnsi="Times New Roman" w:cs="Times New Roman"/>
                <w:kern w:val="0"/>
                <w:sz w:val="24"/>
                <w:szCs w:val="24"/>
              </w:rPr>
            </w:pPr>
          </w:p>
        </w:tc>
      </w:tr>
      <w:tr w:rsidR="00F43938" w:rsidRPr="00F810EC" w14:paraId="730C6A97" w14:textId="77777777" w:rsidTr="00AC2054">
        <w:trPr>
          <w:trHeight w:val="276"/>
        </w:trPr>
        <w:tc>
          <w:tcPr>
            <w:tcW w:w="222" w:type="dxa"/>
            <w:tcBorders>
              <w:top w:val="nil"/>
              <w:left w:val="nil"/>
              <w:bottom w:val="nil"/>
              <w:right w:val="nil"/>
            </w:tcBorders>
            <w:shd w:val="clear" w:color="auto" w:fill="auto"/>
            <w:noWrap/>
            <w:vAlign w:val="center"/>
            <w:hideMark/>
          </w:tcPr>
          <w:p w14:paraId="55D45077" w14:textId="77777777" w:rsidR="00F43938" w:rsidRPr="00F810EC" w:rsidRDefault="00F43938" w:rsidP="0078260E">
            <w:pPr>
              <w:widowControl/>
              <w:jc w:val="center"/>
              <w:rPr>
                <w:rFonts w:ascii="Times New Roman" w:eastAsia="Times New Roman" w:hAnsi="Times New Roman" w:cs="Times New Roman"/>
                <w:kern w:val="0"/>
                <w:sz w:val="24"/>
                <w:szCs w:val="24"/>
              </w:rPr>
            </w:pPr>
          </w:p>
        </w:tc>
        <w:tc>
          <w:tcPr>
            <w:tcW w:w="3180" w:type="dxa"/>
            <w:tcBorders>
              <w:top w:val="nil"/>
              <w:left w:val="nil"/>
              <w:bottom w:val="nil"/>
              <w:right w:val="nil"/>
            </w:tcBorders>
            <w:shd w:val="clear" w:color="auto" w:fill="auto"/>
            <w:noWrap/>
            <w:vAlign w:val="center"/>
            <w:hideMark/>
          </w:tcPr>
          <w:p w14:paraId="4D1FC656"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Nuclear</w:t>
            </w:r>
          </w:p>
        </w:tc>
        <w:tc>
          <w:tcPr>
            <w:tcW w:w="1843" w:type="dxa"/>
            <w:tcBorders>
              <w:top w:val="nil"/>
              <w:left w:val="nil"/>
              <w:bottom w:val="nil"/>
              <w:right w:val="nil"/>
            </w:tcBorders>
            <w:shd w:val="clear" w:color="auto" w:fill="auto"/>
            <w:noWrap/>
            <w:vAlign w:val="center"/>
            <w:hideMark/>
          </w:tcPr>
          <w:p w14:paraId="5708BAAA"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1020 (63.12)</w:t>
            </w:r>
          </w:p>
        </w:tc>
        <w:tc>
          <w:tcPr>
            <w:tcW w:w="1985" w:type="dxa"/>
            <w:tcBorders>
              <w:top w:val="nil"/>
              <w:left w:val="nil"/>
              <w:bottom w:val="nil"/>
              <w:right w:val="nil"/>
            </w:tcBorders>
            <w:shd w:val="clear" w:color="auto" w:fill="auto"/>
            <w:noWrap/>
            <w:vAlign w:val="center"/>
            <w:hideMark/>
          </w:tcPr>
          <w:p w14:paraId="04EDFB68"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123 (55.91)</w:t>
            </w:r>
          </w:p>
        </w:tc>
        <w:tc>
          <w:tcPr>
            <w:tcW w:w="960" w:type="dxa"/>
            <w:vMerge w:val="restart"/>
            <w:tcBorders>
              <w:top w:val="nil"/>
              <w:left w:val="nil"/>
              <w:bottom w:val="nil"/>
              <w:right w:val="nil"/>
            </w:tcBorders>
            <w:shd w:val="clear" w:color="auto" w:fill="auto"/>
            <w:noWrap/>
            <w:vAlign w:val="center"/>
            <w:hideMark/>
          </w:tcPr>
          <w:p w14:paraId="38D26A9F"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15.29</w:t>
            </w:r>
          </w:p>
        </w:tc>
        <w:tc>
          <w:tcPr>
            <w:tcW w:w="1036" w:type="dxa"/>
            <w:vMerge w:val="restart"/>
            <w:tcBorders>
              <w:top w:val="nil"/>
              <w:left w:val="nil"/>
              <w:bottom w:val="nil"/>
              <w:right w:val="nil"/>
            </w:tcBorders>
            <w:shd w:val="clear" w:color="auto" w:fill="auto"/>
            <w:noWrap/>
            <w:vAlign w:val="center"/>
            <w:hideMark/>
          </w:tcPr>
          <w:p w14:paraId="7B51252F"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0.056</w:t>
            </w:r>
          </w:p>
        </w:tc>
      </w:tr>
      <w:tr w:rsidR="00F43938" w:rsidRPr="00F810EC" w14:paraId="261E4B55" w14:textId="77777777" w:rsidTr="00AC2054">
        <w:trPr>
          <w:trHeight w:val="276"/>
        </w:trPr>
        <w:tc>
          <w:tcPr>
            <w:tcW w:w="222" w:type="dxa"/>
            <w:tcBorders>
              <w:top w:val="nil"/>
              <w:left w:val="nil"/>
              <w:bottom w:val="nil"/>
              <w:right w:val="nil"/>
            </w:tcBorders>
            <w:shd w:val="clear" w:color="auto" w:fill="auto"/>
            <w:noWrap/>
            <w:vAlign w:val="center"/>
            <w:hideMark/>
          </w:tcPr>
          <w:p w14:paraId="3E622010" w14:textId="77777777" w:rsidR="00F43938" w:rsidRPr="00F810EC" w:rsidRDefault="00F43938" w:rsidP="0078260E">
            <w:pPr>
              <w:widowControl/>
              <w:jc w:val="center"/>
              <w:rPr>
                <w:rFonts w:ascii="Times New Roman" w:eastAsia="等线" w:hAnsi="Times New Roman" w:cs="Times New Roman"/>
                <w:color w:val="000000"/>
                <w:kern w:val="0"/>
                <w:sz w:val="24"/>
                <w:szCs w:val="24"/>
              </w:rPr>
            </w:pPr>
          </w:p>
        </w:tc>
        <w:tc>
          <w:tcPr>
            <w:tcW w:w="3180" w:type="dxa"/>
            <w:tcBorders>
              <w:top w:val="nil"/>
              <w:left w:val="nil"/>
              <w:bottom w:val="nil"/>
              <w:right w:val="nil"/>
            </w:tcBorders>
            <w:shd w:val="clear" w:color="auto" w:fill="auto"/>
            <w:noWrap/>
            <w:vAlign w:val="center"/>
            <w:hideMark/>
          </w:tcPr>
          <w:p w14:paraId="5574CD5E"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 generations</w:t>
            </w:r>
          </w:p>
        </w:tc>
        <w:tc>
          <w:tcPr>
            <w:tcW w:w="1843" w:type="dxa"/>
            <w:tcBorders>
              <w:top w:val="nil"/>
              <w:left w:val="nil"/>
              <w:bottom w:val="nil"/>
              <w:right w:val="nil"/>
            </w:tcBorders>
            <w:shd w:val="clear" w:color="auto" w:fill="auto"/>
            <w:noWrap/>
            <w:vAlign w:val="center"/>
            <w:hideMark/>
          </w:tcPr>
          <w:p w14:paraId="7CF77AE4"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289 (17.88)</w:t>
            </w:r>
          </w:p>
        </w:tc>
        <w:tc>
          <w:tcPr>
            <w:tcW w:w="1985" w:type="dxa"/>
            <w:tcBorders>
              <w:top w:val="nil"/>
              <w:left w:val="nil"/>
              <w:bottom w:val="nil"/>
              <w:right w:val="nil"/>
            </w:tcBorders>
            <w:shd w:val="clear" w:color="auto" w:fill="auto"/>
            <w:noWrap/>
            <w:vAlign w:val="center"/>
            <w:hideMark/>
          </w:tcPr>
          <w:p w14:paraId="3D3284AC"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41 (18.64)</w:t>
            </w:r>
          </w:p>
        </w:tc>
        <w:tc>
          <w:tcPr>
            <w:tcW w:w="960" w:type="dxa"/>
            <w:vMerge/>
            <w:tcBorders>
              <w:top w:val="nil"/>
              <w:left w:val="nil"/>
              <w:bottom w:val="nil"/>
              <w:right w:val="nil"/>
            </w:tcBorders>
            <w:vAlign w:val="center"/>
            <w:hideMark/>
          </w:tcPr>
          <w:p w14:paraId="5618A076"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c>
          <w:tcPr>
            <w:tcW w:w="1036" w:type="dxa"/>
            <w:vMerge/>
            <w:tcBorders>
              <w:top w:val="nil"/>
              <w:left w:val="nil"/>
              <w:bottom w:val="nil"/>
              <w:right w:val="nil"/>
            </w:tcBorders>
            <w:vAlign w:val="center"/>
            <w:hideMark/>
          </w:tcPr>
          <w:p w14:paraId="09D0B0E1"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r>
      <w:tr w:rsidR="00F43938" w:rsidRPr="00F810EC" w14:paraId="240595CB" w14:textId="77777777" w:rsidTr="00AC2054">
        <w:trPr>
          <w:trHeight w:val="276"/>
        </w:trPr>
        <w:tc>
          <w:tcPr>
            <w:tcW w:w="222" w:type="dxa"/>
            <w:tcBorders>
              <w:top w:val="nil"/>
              <w:left w:val="nil"/>
              <w:bottom w:val="nil"/>
              <w:right w:val="nil"/>
            </w:tcBorders>
            <w:shd w:val="clear" w:color="auto" w:fill="auto"/>
            <w:noWrap/>
            <w:vAlign w:val="bottom"/>
            <w:hideMark/>
          </w:tcPr>
          <w:p w14:paraId="733CBA11" w14:textId="77777777" w:rsidR="00F43938" w:rsidRPr="00F810EC" w:rsidRDefault="00F43938" w:rsidP="0078260E">
            <w:pPr>
              <w:widowControl/>
              <w:jc w:val="center"/>
              <w:rPr>
                <w:rFonts w:ascii="Times New Roman" w:eastAsia="等线" w:hAnsi="Times New Roman" w:cs="Times New Roman"/>
                <w:color w:val="000000"/>
                <w:kern w:val="0"/>
                <w:sz w:val="24"/>
                <w:szCs w:val="24"/>
              </w:rPr>
            </w:pPr>
          </w:p>
        </w:tc>
        <w:tc>
          <w:tcPr>
            <w:tcW w:w="3180" w:type="dxa"/>
            <w:tcBorders>
              <w:top w:val="nil"/>
              <w:left w:val="nil"/>
              <w:bottom w:val="nil"/>
              <w:right w:val="nil"/>
            </w:tcBorders>
            <w:shd w:val="clear" w:color="auto" w:fill="auto"/>
            <w:noWrap/>
            <w:vAlign w:val="center"/>
            <w:hideMark/>
          </w:tcPr>
          <w:p w14:paraId="7BBB153C"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Others</w:t>
            </w:r>
          </w:p>
        </w:tc>
        <w:tc>
          <w:tcPr>
            <w:tcW w:w="1843" w:type="dxa"/>
            <w:tcBorders>
              <w:top w:val="nil"/>
              <w:left w:val="nil"/>
              <w:bottom w:val="nil"/>
              <w:right w:val="nil"/>
            </w:tcBorders>
            <w:shd w:val="clear" w:color="auto" w:fill="auto"/>
            <w:noWrap/>
            <w:vAlign w:val="center"/>
            <w:hideMark/>
          </w:tcPr>
          <w:p w14:paraId="532A90C3"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307 (19.00)</w:t>
            </w:r>
          </w:p>
        </w:tc>
        <w:tc>
          <w:tcPr>
            <w:tcW w:w="1985" w:type="dxa"/>
            <w:tcBorders>
              <w:top w:val="nil"/>
              <w:left w:val="nil"/>
              <w:bottom w:val="nil"/>
              <w:right w:val="nil"/>
            </w:tcBorders>
            <w:shd w:val="clear" w:color="auto" w:fill="auto"/>
            <w:noWrap/>
            <w:vAlign w:val="center"/>
            <w:hideMark/>
          </w:tcPr>
          <w:p w14:paraId="23006D52"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56 (25.45)</w:t>
            </w:r>
          </w:p>
        </w:tc>
        <w:tc>
          <w:tcPr>
            <w:tcW w:w="960" w:type="dxa"/>
            <w:vMerge/>
            <w:tcBorders>
              <w:top w:val="nil"/>
              <w:left w:val="nil"/>
              <w:bottom w:val="nil"/>
              <w:right w:val="nil"/>
            </w:tcBorders>
            <w:vAlign w:val="center"/>
            <w:hideMark/>
          </w:tcPr>
          <w:p w14:paraId="626EAC84"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c>
          <w:tcPr>
            <w:tcW w:w="1036" w:type="dxa"/>
            <w:vMerge/>
            <w:tcBorders>
              <w:top w:val="nil"/>
              <w:left w:val="nil"/>
              <w:bottom w:val="nil"/>
              <w:right w:val="nil"/>
            </w:tcBorders>
            <w:vAlign w:val="center"/>
            <w:hideMark/>
          </w:tcPr>
          <w:p w14:paraId="4ADD39F7" w14:textId="77777777" w:rsidR="00F43938" w:rsidRPr="00F810EC" w:rsidRDefault="00F43938" w:rsidP="0078260E">
            <w:pPr>
              <w:widowControl/>
              <w:jc w:val="left"/>
              <w:rPr>
                <w:rFonts w:ascii="Times New Roman" w:eastAsia="等线" w:hAnsi="Times New Roman" w:cs="Times New Roman"/>
                <w:color w:val="000000"/>
                <w:kern w:val="0"/>
                <w:sz w:val="24"/>
                <w:szCs w:val="24"/>
              </w:rPr>
            </w:pPr>
          </w:p>
        </w:tc>
      </w:tr>
      <w:tr w:rsidR="00F43938" w:rsidRPr="00F810EC" w14:paraId="5011A909" w14:textId="77777777" w:rsidTr="00AC2054">
        <w:trPr>
          <w:trHeight w:val="276"/>
        </w:trPr>
        <w:tc>
          <w:tcPr>
            <w:tcW w:w="3402" w:type="dxa"/>
            <w:gridSpan w:val="2"/>
            <w:tcBorders>
              <w:top w:val="nil"/>
              <w:left w:val="nil"/>
              <w:bottom w:val="single" w:sz="4" w:space="0" w:color="auto"/>
              <w:right w:val="nil"/>
            </w:tcBorders>
            <w:shd w:val="clear" w:color="auto" w:fill="auto"/>
            <w:noWrap/>
            <w:vAlign w:val="bottom"/>
            <w:hideMark/>
          </w:tcPr>
          <w:p w14:paraId="05505727" w14:textId="77777777" w:rsidR="00F43938" w:rsidRPr="00F810EC" w:rsidRDefault="00F43938" w:rsidP="0078260E">
            <w:pPr>
              <w:widowControl/>
              <w:jc w:val="left"/>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Help-seeking (emotional trouble)</w:t>
            </w:r>
          </w:p>
        </w:tc>
        <w:tc>
          <w:tcPr>
            <w:tcW w:w="1843" w:type="dxa"/>
            <w:tcBorders>
              <w:top w:val="nil"/>
              <w:left w:val="nil"/>
              <w:bottom w:val="single" w:sz="4" w:space="0" w:color="auto"/>
              <w:right w:val="nil"/>
            </w:tcBorders>
            <w:shd w:val="clear" w:color="auto" w:fill="auto"/>
            <w:noWrap/>
            <w:vAlign w:val="center"/>
            <w:hideMark/>
          </w:tcPr>
          <w:p w14:paraId="762C34CD"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3.60 (1.91)</w:t>
            </w:r>
          </w:p>
        </w:tc>
        <w:tc>
          <w:tcPr>
            <w:tcW w:w="1985" w:type="dxa"/>
            <w:tcBorders>
              <w:top w:val="nil"/>
              <w:left w:val="nil"/>
              <w:bottom w:val="single" w:sz="4" w:space="0" w:color="auto"/>
              <w:right w:val="nil"/>
            </w:tcBorders>
            <w:shd w:val="clear" w:color="auto" w:fill="auto"/>
            <w:noWrap/>
            <w:vAlign w:val="center"/>
            <w:hideMark/>
          </w:tcPr>
          <w:p w14:paraId="18F2A12C"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2.95 (1.78)</w:t>
            </w:r>
          </w:p>
        </w:tc>
        <w:tc>
          <w:tcPr>
            <w:tcW w:w="960" w:type="dxa"/>
            <w:tcBorders>
              <w:top w:val="nil"/>
              <w:left w:val="nil"/>
              <w:bottom w:val="single" w:sz="4" w:space="0" w:color="auto"/>
              <w:right w:val="nil"/>
            </w:tcBorders>
            <w:shd w:val="clear" w:color="auto" w:fill="auto"/>
            <w:noWrap/>
            <w:vAlign w:val="center"/>
            <w:hideMark/>
          </w:tcPr>
          <w:p w14:paraId="2F1DE2D6" w14:textId="77777777" w:rsidR="00F43938" w:rsidRPr="00F810EC" w:rsidRDefault="00F43938" w:rsidP="0078260E">
            <w:pPr>
              <w:widowControl/>
              <w:jc w:val="center"/>
              <w:rPr>
                <w:rFonts w:ascii="Times New Roman" w:eastAsia="等线" w:hAnsi="Times New Roman" w:cs="Times New Roman"/>
                <w:color w:val="000000"/>
                <w:kern w:val="0"/>
                <w:sz w:val="24"/>
                <w:szCs w:val="24"/>
              </w:rPr>
            </w:pPr>
            <w:r w:rsidRPr="00F810EC">
              <w:rPr>
                <w:rFonts w:ascii="Times New Roman" w:eastAsia="等线" w:hAnsi="Times New Roman" w:cs="Times New Roman"/>
                <w:color w:val="000000"/>
                <w:kern w:val="0"/>
                <w:sz w:val="24"/>
                <w:szCs w:val="24"/>
              </w:rPr>
              <w:t>-5.08</w:t>
            </w:r>
          </w:p>
        </w:tc>
        <w:tc>
          <w:tcPr>
            <w:tcW w:w="1036" w:type="dxa"/>
            <w:tcBorders>
              <w:top w:val="nil"/>
              <w:left w:val="nil"/>
              <w:bottom w:val="single" w:sz="4" w:space="0" w:color="auto"/>
              <w:right w:val="nil"/>
            </w:tcBorders>
            <w:shd w:val="clear" w:color="auto" w:fill="auto"/>
            <w:noWrap/>
            <w:vAlign w:val="center"/>
            <w:hideMark/>
          </w:tcPr>
          <w:p w14:paraId="2893FB05" w14:textId="77777777" w:rsidR="00F43938" w:rsidRPr="000F04F4" w:rsidRDefault="00F43938" w:rsidP="0078260E">
            <w:pPr>
              <w:widowControl/>
              <w:jc w:val="center"/>
              <w:rPr>
                <w:rFonts w:ascii="Times New Roman" w:eastAsia="等线" w:hAnsi="Times New Roman" w:cs="Times New Roman"/>
                <w:b/>
                <w:bCs/>
                <w:color w:val="000000"/>
                <w:kern w:val="0"/>
                <w:sz w:val="24"/>
                <w:szCs w:val="24"/>
              </w:rPr>
            </w:pPr>
            <w:r w:rsidRPr="000F04F4">
              <w:rPr>
                <w:rFonts w:ascii="Times New Roman" w:eastAsia="等线" w:hAnsi="Times New Roman" w:cs="Times New Roman"/>
                <w:b/>
                <w:bCs/>
                <w:color w:val="000000"/>
                <w:kern w:val="0"/>
                <w:sz w:val="24"/>
                <w:szCs w:val="24"/>
              </w:rPr>
              <w:t>&lt;0.001</w:t>
            </w:r>
          </w:p>
        </w:tc>
      </w:tr>
    </w:tbl>
    <w:p w14:paraId="534F2259" w14:textId="77777777" w:rsidR="00756041" w:rsidRPr="00F810EC" w:rsidRDefault="00756041" w:rsidP="00756041">
      <w:pPr>
        <w:ind w:leftChars="-202" w:left="-424"/>
        <w:rPr>
          <w:rFonts w:ascii="Times New Roman" w:hAnsi="Times New Roman" w:cs="Times New Roman"/>
          <w:sz w:val="24"/>
          <w:szCs w:val="24"/>
        </w:rPr>
      </w:pPr>
      <w:r w:rsidRPr="00F810EC">
        <w:rPr>
          <w:rFonts w:ascii="Times New Roman" w:hAnsi="Times New Roman" w:cs="Times New Roman"/>
          <w:i/>
          <w:iCs/>
          <w:sz w:val="24"/>
          <w:szCs w:val="24"/>
        </w:rPr>
        <w:t xml:space="preserve">Note: </w:t>
      </w:r>
      <w:r w:rsidRPr="00F810EC">
        <w:rPr>
          <w:rFonts w:ascii="Times New Roman" w:hAnsi="Times New Roman" w:cs="Times New Roman"/>
          <w:sz w:val="24"/>
          <w:szCs w:val="24"/>
        </w:rPr>
        <w:t>NSSI: non-suicidal self-injury; OCD: obsessive-compulsory disorder; PTSD: post-traumatic stress disorder</w:t>
      </w:r>
    </w:p>
    <w:p w14:paraId="1617A890" w14:textId="4C89A896" w:rsidR="00D31C6E" w:rsidRPr="00F810EC" w:rsidRDefault="00D31C6E" w:rsidP="00AD70A3">
      <w:pPr>
        <w:spacing w:line="480" w:lineRule="auto"/>
        <w:rPr>
          <w:rFonts w:ascii="Times New Roman" w:hAnsi="Times New Roman" w:cs="Times New Roman"/>
          <w:sz w:val="24"/>
          <w:szCs w:val="24"/>
        </w:rPr>
      </w:pPr>
    </w:p>
    <w:p w14:paraId="2B034E64" w14:textId="1E02584B" w:rsidR="00C06055" w:rsidRPr="00FF292D" w:rsidRDefault="00D31C6E" w:rsidP="00C06055">
      <w:pPr>
        <w:spacing w:line="480" w:lineRule="auto"/>
        <w:rPr>
          <w:rFonts w:ascii="Times New Roman" w:hAnsi="Times New Roman" w:cs="Times New Roman"/>
          <w:sz w:val="24"/>
          <w:szCs w:val="24"/>
        </w:rPr>
      </w:pPr>
      <w:r w:rsidRPr="00F810EC">
        <w:rPr>
          <w:rFonts w:ascii="Times New Roman" w:hAnsi="Times New Roman" w:cs="Times New Roman"/>
          <w:sz w:val="24"/>
          <w:szCs w:val="24"/>
        </w:rPr>
        <w:br w:type="page"/>
      </w:r>
      <w:r w:rsidR="00C06055" w:rsidRPr="00FF292D">
        <w:rPr>
          <w:rFonts w:ascii="Times New Roman" w:hAnsi="Times New Roman" w:cs="Times New Roman" w:hint="eastAsia"/>
          <w:sz w:val="24"/>
          <w:szCs w:val="24"/>
        </w:rPr>
        <w:lastRenderedPageBreak/>
        <w:t>Fig</w:t>
      </w:r>
      <w:r w:rsidR="00C06055">
        <w:rPr>
          <w:rFonts w:ascii="Times New Roman" w:hAnsi="Times New Roman" w:cs="Times New Roman" w:hint="eastAsia"/>
          <w:sz w:val="24"/>
          <w:szCs w:val="24"/>
        </w:rPr>
        <w:t>ure</w:t>
      </w:r>
      <w:r w:rsidR="00C06055" w:rsidRPr="00FF292D">
        <w:rPr>
          <w:rFonts w:ascii="Times New Roman" w:hAnsi="Times New Roman" w:cs="Times New Roman"/>
          <w:sz w:val="24"/>
          <w:szCs w:val="24"/>
        </w:rPr>
        <w:t xml:space="preserve"> S1. </w:t>
      </w:r>
      <w:r w:rsidR="00C06055">
        <w:rPr>
          <w:rFonts w:ascii="Times New Roman" w:hAnsi="Times New Roman" w:cs="Times New Roman" w:hint="eastAsia"/>
          <w:sz w:val="24"/>
          <w:szCs w:val="24"/>
        </w:rPr>
        <w:t>Confusion matrix of the five models on test set</w:t>
      </w:r>
      <w:r w:rsidR="009A2A9D">
        <w:rPr>
          <w:rFonts w:ascii="Times New Roman" w:hAnsi="Times New Roman" w:cs="Times New Roman" w:hint="eastAsia"/>
          <w:sz w:val="24"/>
          <w:szCs w:val="24"/>
        </w:rPr>
        <w:t>s</w:t>
      </w:r>
    </w:p>
    <w:p w14:paraId="58155789" w14:textId="29816F35" w:rsidR="00D31C6E" w:rsidRDefault="00C06055" w:rsidP="00AD70A3">
      <w:pPr>
        <w:widowControl/>
        <w:spacing w:line="480" w:lineRule="auto"/>
        <w:jc w:val="left"/>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7C2B79E" wp14:editId="47184EF3">
            <wp:extent cx="5267325" cy="1085850"/>
            <wp:effectExtent l="0" t="0" r="9525" b="0"/>
            <wp:docPr id="10294185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7325" cy="1085850"/>
                    </a:xfrm>
                    <a:prstGeom prst="rect">
                      <a:avLst/>
                    </a:prstGeom>
                    <a:noFill/>
                    <a:ln>
                      <a:noFill/>
                    </a:ln>
                  </pic:spPr>
                </pic:pic>
              </a:graphicData>
            </a:graphic>
          </wp:inline>
        </w:drawing>
      </w:r>
    </w:p>
    <w:p w14:paraId="037DD834" w14:textId="77777777" w:rsidR="00C06055" w:rsidRDefault="00C06055" w:rsidP="00AD70A3">
      <w:pPr>
        <w:widowControl/>
        <w:spacing w:line="480" w:lineRule="auto"/>
        <w:jc w:val="left"/>
        <w:rPr>
          <w:rFonts w:ascii="Times New Roman" w:hAnsi="Times New Roman" w:cs="Times New Roman"/>
          <w:sz w:val="24"/>
          <w:szCs w:val="24"/>
        </w:rPr>
      </w:pPr>
    </w:p>
    <w:p w14:paraId="50D93CD1" w14:textId="77777777" w:rsidR="00C06055" w:rsidRPr="00F810EC" w:rsidRDefault="00C06055" w:rsidP="00AD70A3">
      <w:pPr>
        <w:widowControl/>
        <w:spacing w:line="480" w:lineRule="auto"/>
        <w:jc w:val="left"/>
        <w:rPr>
          <w:rFonts w:ascii="Times New Roman" w:hAnsi="Times New Roman" w:cs="Times New Roman"/>
          <w:sz w:val="24"/>
          <w:szCs w:val="24"/>
        </w:rPr>
      </w:pPr>
    </w:p>
    <w:p w14:paraId="4EC137A0" w14:textId="77777777" w:rsidR="00C06055" w:rsidRDefault="00C06055">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45CC02D4" w14:textId="530021AA" w:rsidR="00D31C6E" w:rsidRPr="00F810EC" w:rsidRDefault="00774D9A" w:rsidP="001661AD">
      <w:pPr>
        <w:ind w:leftChars="-540" w:left="-1134" w:rightChars="-432" w:right="-907"/>
        <w:rPr>
          <w:rFonts w:ascii="Times New Roman" w:hAnsi="Times New Roman" w:cs="Times New Roman"/>
          <w:sz w:val="24"/>
          <w:szCs w:val="24"/>
        </w:rPr>
      </w:pPr>
      <w:r w:rsidRPr="00F810EC">
        <w:rPr>
          <w:rFonts w:ascii="Times New Roman" w:hAnsi="Times New Roman" w:cs="Times New Roman"/>
          <w:sz w:val="24"/>
          <w:szCs w:val="24"/>
        </w:rPr>
        <w:lastRenderedPageBreak/>
        <w:t>Fig</w:t>
      </w:r>
      <w:r w:rsidR="0096283E" w:rsidRPr="00F810EC">
        <w:rPr>
          <w:rFonts w:ascii="Times New Roman" w:hAnsi="Times New Roman" w:cs="Times New Roman"/>
          <w:sz w:val="24"/>
          <w:szCs w:val="24"/>
        </w:rPr>
        <w:t>ure</w:t>
      </w:r>
      <w:r w:rsidR="00D31C6E" w:rsidRPr="00F810EC">
        <w:rPr>
          <w:rFonts w:ascii="Times New Roman" w:hAnsi="Times New Roman" w:cs="Times New Roman"/>
          <w:sz w:val="24"/>
          <w:szCs w:val="24"/>
        </w:rPr>
        <w:t xml:space="preserve"> S</w:t>
      </w:r>
      <w:r w:rsidR="00C06055">
        <w:rPr>
          <w:rFonts w:ascii="Times New Roman" w:hAnsi="Times New Roman" w:cs="Times New Roman" w:hint="eastAsia"/>
          <w:sz w:val="24"/>
          <w:szCs w:val="24"/>
        </w:rPr>
        <w:t>2</w:t>
      </w:r>
      <w:r w:rsidR="00D31C6E" w:rsidRPr="00F810EC">
        <w:rPr>
          <w:rFonts w:ascii="Times New Roman" w:hAnsi="Times New Roman" w:cs="Times New Roman"/>
          <w:sz w:val="24"/>
          <w:szCs w:val="24"/>
        </w:rPr>
        <w:t xml:space="preserve">. Raincloud plots of the </w:t>
      </w:r>
      <w:r w:rsidR="00B16F2B" w:rsidRPr="00F810EC">
        <w:rPr>
          <w:rFonts w:ascii="Times New Roman" w:hAnsi="Times New Roman" w:cs="Times New Roman"/>
          <w:sz w:val="24"/>
          <w:szCs w:val="24"/>
        </w:rPr>
        <w:t xml:space="preserve">ten </w:t>
      </w:r>
      <w:r w:rsidR="00D31C6E" w:rsidRPr="00F810EC">
        <w:rPr>
          <w:rFonts w:ascii="Times New Roman" w:hAnsi="Times New Roman" w:cs="Times New Roman"/>
          <w:sz w:val="24"/>
          <w:szCs w:val="24"/>
        </w:rPr>
        <w:t>most important predictors for distinguishing participants who have SI and SP and further have SA (Model 4)</w:t>
      </w:r>
    </w:p>
    <w:p w14:paraId="3E95539C" w14:textId="461AE693" w:rsidR="00D31C6E" w:rsidRPr="000F04F4" w:rsidRDefault="003F2A66" w:rsidP="00AD70A3">
      <w:pPr>
        <w:spacing w:line="480" w:lineRule="auto"/>
        <w:ind w:leftChars="-708" w:left="-1487"/>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79F594C" wp14:editId="245AD1A5">
            <wp:extent cx="7063705" cy="2827867"/>
            <wp:effectExtent l="0" t="0" r="4445" b="0"/>
            <wp:docPr id="1462499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67426" cy="2829357"/>
                    </a:xfrm>
                    <a:prstGeom prst="rect">
                      <a:avLst/>
                    </a:prstGeom>
                    <a:noFill/>
                    <a:ln>
                      <a:noFill/>
                    </a:ln>
                  </pic:spPr>
                </pic:pic>
              </a:graphicData>
            </a:graphic>
          </wp:inline>
        </w:drawing>
      </w:r>
    </w:p>
    <w:p w14:paraId="01B5644A" w14:textId="3BEA5FDF" w:rsidR="00D31C6E" w:rsidRPr="00F810EC" w:rsidRDefault="00D31C6E" w:rsidP="00756041">
      <w:pPr>
        <w:ind w:leftChars="-540" w:left="-1134" w:rightChars="-500" w:right="-1050"/>
        <w:rPr>
          <w:rFonts w:ascii="Times New Roman" w:hAnsi="Times New Roman" w:cs="Times New Roman"/>
          <w:i/>
          <w:iCs/>
          <w:sz w:val="24"/>
          <w:szCs w:val="24"/>
        </w:rPr>
      </w:pPr>
      <w:r w:rsidRPr="00F810EC">
        <w:rPr>
          <w:rFonts w:ascii="Times New Roman" w:hAnsi="Times New Roman" w:cs="Times New Roman"/>
          <w:i/>
          <w:iCs/>
          <w:sz w:val="24"/>
          <w:szCs w:val="24"/>
        </w:rPr>
        <w:t xml:space="preserve">Note: </w:t>
      </w:r>
      <w:r w:rsidR="000B7ADE" w:rsidRPr="00F810EC">
        <w:rPr>
          <w:rFonts w:ascii="Times New Roman" w:hAnsi="Times New Roman" w:cs="Times New Roman"/>
          <w:sz w:val="24"/>
          <w:szCs w:val="24"/>
        </w:rPr>
        <w:t xml:space="preserve">“*” means that there are significant difference between the two group on the compared variable with </w:t>
      </w:r>
      <w:r w:rsidR="000B7ADE" w:rsidRPr="00F810EC">
        <w:rPr>
          <w:rFonts w:ascii="Times New Roman" w:hAnsi="Times New Roman" w:cs="Times New Roman"/>
          <w:i/>
          <w:iCs/>
          <w:sz w:val="24"/>
          <w:szCs w:val="24"/>
        </w:rPr>
        <w:t xml:space="preserve">p </w:t>
      </w:r>
      <w:r w:rsidR="000B7ADE" w:rsidRPr="00F810EC">
        <w:rPr>
          <w:rFonts w:ascii="Times New Roman" w:hAnsi="Times New Roman" w:cs="Times New Roman"/>
          <w:sz w:val="24"/>
          <w:szCs w:val="24"/>
        </w:rPr>
        <w:t xml:space="preserve">&lt; 0.05 but </w:t>
      </w:r>
      <w:r w:rsidR="00642CBE" w:rsidRPr="00F810EC">
        <w:rPr>
          <w:rFonts w:ascii="Times New Roman" w:hAnsi="Times New Roman" w:cs="Times New Roman"/>
          <w:sz w:val="24"/>
          <w:szCs w:val="24"/>
        </w:rPr>
        <w:t>≥</w:t>
      </w:r>
      <w:r w:rsidR="000B7ADE" w:rsidRPr="00F810EC">
        <w:rPr>
          <w:rFonts w:ascii="Times New Roman" w:hAnsi="Times New Roman" w:cs="Times New Roman"/>
          <w:sz w:val="24"/>
          <w:szCs w:val="24"/>
        </w:rPr>
        <w:t xml:space="preserve"> 0.01; </w:t>
      </w:r>
      <w:r w:rsidRPr="00F810EC">
        <w:rPr>
          <w:rFonts w:ascii="Times New Roman" w:hAnsi="Times New Roman" w:cs="Times New Roman"/>
          <w:sz w:val="24"/>
          <w:szCs w:val="24"/>
        </w:rPr>
        <w:t xml:space="preserve">“**” means that there are significant difference between the two group on the compared variable with </w:t>
      </w:r>
      <w:r w:rsidRPr="00F810EC">
        <w:rPr>
          <w:rFonts w:ascii="Times New Roman" w:hAnsi="Times New Roman" w:cs="Times New Roman"/>
          <w:i/>
          <w:iCs/>
          <w:sz w:val="24"/>
          <w:szCs w:val="24"/>
        </w:rPr>
        <w:t xml:space="preserve">p </w:t>
      </w:r>
      <w:r w:rsidRPr="00F810EC">
        <w:rPr>
          <w:rFonts w:ascii="Times New Roman" w:hAnsi="Times New Roman" w:cs="Times New Roman"/>
          <w:sz w:val="24"/>
          <w:szCs w:val="24"/>
        </w:rPr>
        <w:t xml:space="preserve">&lt; 0.01 but </w:t>
      </w:r>
      <w:r w:rsidR="00642CBE" w:rsidRPr="00F810EC">
        <w:rPr>
          <w:rFonts w:ascii="Times New Roman" w:hAnsi="Times New Roman" w:cs="Times New Roman"/>
          <w:sz w:val="24"/>
          <w:szCs w:val="24"/>
        </w:rPr>
        <w:t>≥</w:t>
      </w:r>
      <w:r w:rsidRPr="00F810EC">
        <w:rPr>
          <w:rFonts w:ascii="Times New Roman" w:hAnsi="Times New Roman" w:cs="Times New Roman"/>
          <w:sz w:val="24"/>
          <w:szCs w:val="24"/>
        </w:rPr>
        <w:t xml:space="preserve"> 0.001; “***”</w:t>
      </w:r>
      <w:r w:rsidRPr="00F810EC">
        <w:rPr>
          <w:rFonts w:ascii="Times New Roman" w:hAnsi="Times New Roman" w:cs="Times New Roman"/>
          <w:i/>
          <w:iCs/>
          <w:sz w:val="24"/>
          <w:szCs w:val="24"/>
        </w:rPr>
        <w:t xml:space="preserve"> </w:t>
      </w:r>
      <w:r w:rsidRPr="00F810EC">
        <w:rPr>
          <w:rFonts w:ascii="Times New Roman" w:hAnsi="Times New Roman" w:cs="Times New Roman"/>
          <w:sz w:val="24"/>
          <w:szCs w:val="24"/>
        </w:rPr>
        <w:t xml:space="preserve">means that there are significant difference between the two group on the compared variable with </w:t>
      </w:r>
      <w:r w:rsidRPr="00F810EC">
        <w:rPr>
          <w:rFonts w:ascii="Times New Roman" w:hAnsi="Times New Roman" w:cs="Times New Roman"/>
          <w:i/>
          <w:iCs/>
          <w:sz w:val="24"/>
          <w:szCs w:val="24"/>
        </w:rPr>
        <w:t xml:space="preserve">p </w:t>
      </w:r>
      <w:r w:rsidRPr="00F810EC">
        <w:rPr>
          <w:rFonts w:ascii="Times New Roman" w:hAnsi="Times New Roman" w:cs="Times New Roman"/>
          <w:sz w:val="24"/>
          <w:szCs w:val="24"/>
        </w:rPr>
        <w:t>&lt; 0.001.</w:t>
      </w:r>
    </w:p>
    <w:p w14:paraId="32F10FC0" w14:textId="77777777" w:rsidR="00E91A27" w:rsidRDefault="00E91A27" w:rsidP="00756041">
      <w:pPr>
        <w:spacing w:line="480" w:lineRule="auto"/>
        <w:ind w:rightChars="-500" w:right="-1050"/>
        <w:rPr>
          <w:rFonts w:ascii="Times New Roman" w:hAnsi="Times New Roman" w:cs="Times New Roman"/>
        </w:rPr>
      </w:pPr>
    </w:p>
    <w:p w14:paraId="4BCA23D8" w14:textId="6A0CC0B9" w:rsidR="0078260E" w:rsidRDefault="0078260E">
      <w:pPr>
        <w:widowControl/>
        <w:jc w:val="left"/>
        <w:rPr>
          <w:rFonts w:ascii="Times New Roman" w:hAnsi="Times New Roman" w:cs="Times New Roman"/>
        </w:rPr>
      </w:pPr>
      <w:r>
        <w:rPr>
          <w:rFonts w:ascii="Times New Roman" w:hAnsi="Times New Roman" w:cs="Times New Roman"/>
        </w:rPr>
        <w:br w:type="page"/>
      </w:r>
    </w:p>
    <w:p w14:paraId="064A6854" w14:textId="1FBCC0AB" w:rsidR="00E91A27" w:rsidRPr="008A3690" w:rsidRDefault="0078260E" w:rsidP="00980397">
      <w:pPr>
        <w:spacing w:line="480" w:lineRule="auto"/>
        <w:rPr>
          <w:rFonts w:ascii="Times New Roman" w:hAnsi="Times New Roman" w:cs="Times New Roman"/>
          <w:b/>
          <w:bCs/>
          <w:sz w:val="24"/>
          <w:szCs w:val="24"/>
        </w:rPr>
      </w:pPr>
      <w:r w:rsidRPr="008A3690">
        <w:rPr>
          <w:rFonts w:ascii="Times New Roman" w:hAnsi="Times New Roman" w:cs="Times New Roman"/>
          <w:b/>
          <w:bCs/>
          <w:sz w:val="24"/>
          <w:szCs w:val="24"/>
        </w:rPr>
        <w:lastRenderedPageBreak/>
        <w:t>References</w:t>
      </w:r>
    </w:p>
    <w:p w14:paraId="21C53B24" w14:textId="77777777" w:rsidR="008A3690" w:rsidRPr="008A3690" w:rsidRDefault="00E91A27"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fldChar w:fldCharType="begin"/>
      </w:r>
      <w:r w:rsidRPr="008A3690">
        <w:rPr>
          <w:rFonts w:ascii="Times New Roman" w:hAnsi="Times New Roman" w:cs="Times New Roman"/>
          <w:sz w:val="24"/>
          <w:szCs w:val="24"/>
        </w:rPr>
        <w:instrText xml:space="preserve"> ADDIN EN.REFLIST </w:instrText>
      </w:r>
      <w:r w:rsidRPr="008A3690">
        <w:rPr>
          <w:rFonts w:ascii="Times New Roman" w:hAnsi="Times New Roman" w:cs="Times New Roman"/>
          <w:sz w:val="24"/>
          <w:szCs w:val="24"/>
        </w:rPr>
        <w:fldChar w:fldCharType="separate"/>
      </w:r>
      <w:r w:rsidR="008A3690" w:rsidRPr="008A3690">
        <w:rPr>
          <w:rFonts w:ascii="Times New Roman" w:hAnsi="Times New Roman" w:cs="Times New Roman"/>
          <w:sz w:val="24"/>
          <w:szCs w:val="24"/>
        </w:rPr>
        <w:t>1.</w:t>
      </w:r>
      <w:r w:rsidR="008A3690" w:rsidRPr="008A3690">
        <w:rPr>
          <w:rFonts w:ascii="Times New Roman" w:hAnsi="Times New Roman" w:cs="Times New Roman"/>
          <w:sz w:val="24"/>
          <w:szCs w:val="24"/>
        </w:rPr>
        <w:tab/>
        <w:t xml:space="preserve">Adler NE, Epel ES, Castellazzo G, Ickovics JR. Relationship of subjective and objective social status with psychological and physiological functioning: Preliminary data in healthy, White women. </w:t>
      </w:r>
      <w:r w:rsidR="008A3690" w:rsidRPr="008A3690">
        <w:rPr>
          <w:rFonts w:ascii="Times New Roman" w:hAnsi="Times New Roman" w:cs="Times New Roman"/>
          <w:i/>
          <w:sz w:val="24"/>
          <w:szCs w:val="24"/>
        </w:rPr>
        <w:t>Health Psychology</w:t>
      </w:r>
      <w:r w:rsidR="008A3690" w:rsidRPr="008A3690">
        <w:rPr>
          <w:rFonts w:ascii="Times New Roman" w:hAnsi="Times New Roman" w:cs="Times New Roman"/>
          <w:sz w:val="24"/>
          <w:szCs w:val="24"/>
        </w:rPr>
        <w:t xml:space="preserve"> 2000;19(6):586-592. </w:t>
      </w:r>
    </w:p>
    <w:p w14:paraId="3FC1DAAE"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2.</w:t>
      </w:r>
      <w:r w:rsidRPr="008A3690">
        <w:rPr>
          <w:rFonts w:ascii="Times New Roman" w:hAnsi="Times New Roman" w:cs="Times New Roman"/>
          <w:sz w:val="24"/>
          <w:szCs w:val="24"/>
        </w:rPr>
        <w:tab/>
        <w:t xml:space="preserve">Xie XN, Li XP. The Effect of Subjective Social Class on Prosocial Behavior. </w:t>
      </w:r>
      <w:r w:rsidRPr="008A3690">
        <w:rPr>
          <w:rFonts w:ascii="Times New Roman" w:hAnsi="Times New Roman" w:cs="Times New Roman"/>
          <w:i/>
          <w:sz w:val="24"/>
          <w:szCs w:val="24"/>
        </w:rPr>
        <w:t>Studies of Psychology and Behavioral</w:t>
      </w:r>
      <w:r w:rsidRPr="008A3690">
        <w:rPr>
          <w:rFonts w:ascii="Times New Roman" w:hAnsi="Times New Roman" w:cs="Times New Roman"/>
          <w:sz w:val="24"/>
          <w:szCs w:val="24"/>
        </w:rPr>
        <w:t xml:space="preserve"> 2018;16(4):563-569. </w:t>
      </w:r>
    </w:p>
    <w:p w14:paraId="44109897"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3.</w:t>
      </w:r>
      <w:r w:rsidRPr="008A3690">
        <w:rPr>
          <w:rFonts w:ascii="Times New Roman" w:hAnsi="Times New Roman" w:cs="Times New Roman"/>
          <w:sz w:val="24"/>
          <w:szCs w:val="24"/>
        </w:rPr>
        <w:tab/>
        <w:t xml:space="preserve">Kavikondala S, Stewart SM, Ni MY, et al. Structure and validity of Family Harmony Scale: An instrument for measuring harmony. </w:t>
      </w:r>
      <w:r w:rsidRPr="008A3690">
        <w:rPr>
          <w:rFonts w:ascii="Times New Roman" w:hAnsi="Times New Roman" w:cs="Times New Roman"/>
          <w:i/>
          <w:sz w:val="24"/>
          <w:szCs w:val="24"/>
        </w:rPr>
        <w:t>Psychol Assess</w:t>
      </w:r>
      <w:r w:rsidRPr="008A3690">
        <w:rPr>
          <w:rFonts w:ascii="Times New Roman" w:hAnsi="Times New Roman" w:cs="Times New Roman"/>
          <w:sz w:val="24"/>
          <w:szCs w:val="24"/>
        </w:rPr>
        <w:t xml:space="preserve"> 2016;28(3):307-18. </w:t>
      </w:r>
    </w:p>
    <w:p w14:paraId="317D0F28"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4.</w:t>
      </w:r>
      <w:r w:rsidRPr="008A3690">
        <w:rPr>
          <w:rFonts w:ascii="Times New Roman" w:hAnsi="Times New Roman" w:cs="Times New Roman"/>
          <w:sz w:val="24"/>
          <w:szCs w:val="24"/>
        </w:rPr>
        <w:tab/>
        <w:t xml:space="preserve">Shen C, Wang MP, Ho HCY, et al. Test–retest reliability and validity of a single-item Self-reported Family Happiness Scale in Hong Kong Chinese: findings from Hong Kong Jockey Club FAMILY Project. </w:t>
      </w:r>
      <w:r w:rsidRPr="008A3690">
        <w:rPr>
          <w:rFonts w:ascii="Times New Roman" w:hAnsi="Times New Roman" w:cs="Times New Roman"/>
          <w:i/>
          <w:sz w:val="24"/>
          <w:szCs w:val="24"/>
        </w:rPr>
        <w:t>Quality of Life Research</w:t>
      </w:r>
      <w:r w:rsidRPr="008A3690">
        <w:rPr>
          <w:rFonts w:ascii="Times New Roman" w:hAnsi="Times New Roman" w:cs="Times New Roman"/>
          <w:sz w:val="24"/>
          <w:szCs w:val="24"/>
        </w:rPr>
        <w:t xml:space="preserve"> 2019;28(2):535-543. </w:t>
      </w:r>
    </w:p>
    <w:p w14:paraId="1B788202"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5.</w:t>
      </w:r>
      <w:r w:rsidRPr="008A3690">
        <w:rPr>
          <w:rFonts w:ascii="Times New Roman" w:hAnsi="Times New Roman" w:cs="Times New Roman"/>
          <w:sz w:val="24"/>
          <w:szCs w:val="24"/>
        </w:rPr>
        <w:tab/>
        <w:t xml:space="preserve">Margraf J, Lavallee K, Zhang X, Schneider S. Social Rhythm and Mental Health: A Cross-Cultural Comparison. </w:t>
      </w:r>
      <w:r w:rsidRPr="008A3690">
        <w:rPr>
          <w:rFonts w:ascii="Times New Roman" w:hAnsi="Times New Roman" w:cs="Times New Roman"/>
          <w:i/>
          <w:sz w:val="24"/>
          <w:szCs w:val="24"/>
        </w:rPr>
        <w:t>PLOS ONE</w:t>
      </w:r>
      <w:r w:rsidRPr="008A3690">
        <w:rPr>
          <w:rFonts w:ascii="Times New Roman" w:hAnsi="Times New Roman" w:cs="Times New Roman"/>
          <w:sz w:val="24"/>
          <w:szCs w:val="24"/>
        </w:rPr>
        <w:t xml:space="preserve"> 2016;11(3):e0150312. </w:t>
      </w:r>
    </w:p>
    <w:p w14:paraId="21C89DED"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6.</w:t>
      </w:r>
      <w:r w:rsidRPr="008A3690">
        <w:rPr>
          <w:rFonts w:ascii="Times New Roman" w:hAnsi="Times New Roman" w:cs="Times New Roman"/>
          <w:sz w:val="24"/>
          <w:szCs w:val="24"/>
        </w:rPr>
        <w:tab/>
        <w:t xml:space="preserve">Gao ZH, Yang SQ, Margraf J, Zhang XC. Reliability and Validity for Rhythm Scale in Chinese. </w:t>
      </w:r>
      <w:r w:rsidRPr="008A3690">
        <w:rPr>
          <w:rFonts w:ascii="Times New Roman" w:hAnsi="Times New Roman" w:cs="Times New Roman"/>
          <w:i/>
          <w:sz w:val="24"/>
          <w:szCs w:val="24"/>
        </w:rPr>
        <w:t>China journal of health psychology</w:t>
      </w:r>
      <w:r w:rsidRPr="008A3690">
        <w:rPr>
          <w:rFonts w:ascii="Times New Roman" w:hAnsi="Times New Roman" w:cs="Times New Roman"/>
          <w:sz w:val="24"/>
          <w:szCs w:val="24"/>
        </w:rPr>
        <w:t xml:space="preserve"> 2013;21(8):1219-1221. </w:t>
      </w:r>
    </w:p>
    <w:p w14:paraId="6AEF258B"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7.</w:t>
      </w:r>
      <w:r w:rsidRPr="008A3690">
        <w:rPr>
          <w:rFonts w:ascii="Times New Roman" w:hAnsi="Times New Roman" w:cs="Times New Roman"/>
          <w:sz w:val="24"/>
          <w:szCs w:val="24"/>
        </w:rPr>
        <w:tab/>
        <w:t xml:space="preserve">Kroenke K, Spitzer RL, Williams JBW. The PHQ-9. </w:t>
      </w:r>
      <w:r w:rsidRPr="008A3690">
        <w:rPr>
          <w:rFonts w:ascii="Times New Roman" w:hAnsi="Times New Roman" w:cs="Times New Roman"/>
          <w:i/>
          <w:sz w:val="24"/>
          <w:szCs w:val="24"/>
        </w:rPr>
        <w:t>Journal of General Internal Medicine</w:t>
      </w:r>
      <w:r w:rsidRPr="008A3690">
        <w:rPr>
          <w:rFonts w:ascii="Times New Roman" w:hAnsi="Times New Roman" w:cs="Times New Roman"/>
          <w:sz w:val="24"/>
          <w:szCs w:val="24"/>
        </w:rPr>
        <w:t xml:space="preserve"> 2001;16(9):606-613. </w:t>
      </w:r>
    </w:p>
    <w:p w14:paraId="75D23480"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8.</w:t>
      </w:r>
      <w:r w:rsidRPr="008A3690">
        <w:rPr>
          <w:rFonts w:ascii="Times New Roman" w:hAnsi="Times New Roman" w:cs="Times New Roman"/>
          <w:sz w:val="24"/>
          <w:szCs w:val="24"/>
        </w:rPr>
        <w:tab/>
        <w:t xml:space="preserve">Zhang Y-L, Liang W, Chen Z-M, et al. Validity and reliability of Patient Health Questionnaire-9 and Patient Health Questionnaire-2 to screen for depression </w:t>
      </w:r>
      <w:r w:rsidRPr="008A3690">
        <w:rPr>
          <w:rFonts w:ascii="Times New Roman" w:hAnsi="Times New Roman" w:cs="Times New Roman"/>
          <w:sz w:val="24"/>
          <w:szCs w:val="24"/>
        </w:rPr>
        <w:lastRenderedPageBreak/>
        <w:t xml:space="preserve">among college students in China. </w:t>
      </w:r>
      <w:r w:rsidRPr="008A3690">
        <w:rPr>
          <w:rFonts w:ascii="Times New Roman" w:hAnsi="Times New Roman" w:cs="Times New Roman"/>
          <w:i/>
          <w:sz w:val="24"/>
          <w:szCs w:val="24"/>
        </w:rPr>
        <w:t>Asia-Pacific Psychiatry</w:t>
      </w:r>
      <w:r w:rsidRPr="008A3690">
        <w:rPr>
          <w:rFonts w:ascii="Times New Roman" w:hAnsi="Times New Roman" w:cs="Times New Roman"/>
          <w:sz w:val="24"/>
          <w:szCs w:val="24"/>
        </w:rPr>
        <w:t xml:space="preserve"> 2013;5(4):268-275. </w:t>
      </w:r>
    </w:p>
    <w:p w14:paraId="2CBEE5CC"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9.</w:t>
      </w:r>
      <w:r w:rsidRPr="008A3690">
        <w:rPr>
          <w:rFonts w:ascii="Times New Roman" w:hAnsi="Times New Roman" w:cs="Times New Roman"/>
          <w:sz w:val="24"/>
          <w:szCs w:val="24"/>
        </w:rPr>
        <w:tab/>
        <w:t>Degenhardt L, Hall WD, Korten AA, Jablensky A. Use of brief screening instrument for psychosis: results of a ROC analysis. 2005:</w:t>
      </w:r>
    </w:p>
    <w:p w14:paraId="582DA38D"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10.</w:t>
      </w:r>
      <w:r w:rsidRPr="008A3690">
        <w:rPr>
          <w:rFonts w:ascii="Times New Roman" w:hAnsi="Times New Roman" w:cs="Times New Roman"/>
          <w:sz w:val="24"/>
          <w:szCs w:val="24"/>
        </w:rPr>
        <w:tab/>
        <w:t xml:space="preserve">Spitzer RL, Kroenke K, Williams JBW, Löwe B. A Brief Measure for Assessing Generalized Anxiety Disorder: The GAD-7. </w:t>
      </w:r>
      <w:r w:rsidRPr="008A3690">
        <w:rPr>
          <w:rFonts w:ascii="Times New Roman" w:hAnsi="Times New Roman" w:cs="Times New Roman"/>
          <w:i/>
          <w:sz w:val="24"/>
          <w:szCs w:val="24"/>
        </w:rPr>
        <w:t>Archives of Internal Medicine</w:t>
      </w:r>
      <w:r w:rsidRPr="008A3690">
        <w:rPr>
          <w:rFonts w:ascii="Times New Roman" w:hAnsi="Times New Roman" w:cs="Times New Roman"/>
          <w:sz w:val="24"/>
          <w:szCs w:val="24"/>
        </w:rPr>
        <w:t xml:space="preserve"> 2006;166(10):1092-1097. </w:t>
      </w:r>
    </w:p>
    <w:p w14:paraId="2B58D0A2"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11.</w:t>
      </w:r>
      <w:r w:rsidRPr="008A3690">
        <w:rPr>
          <w:rFonts w:ascii="Times New Roman" w:hAnsi="Times New Roman" w:cs="Times New Roman"/>
          <w:sz w:val="24"/>
          <w:szCs w:val="24"/>
        </w:rPr>
        <w:tab/>
        <w:t xml:space="preserve">Ip H, Suen YN, Hui CLM, et al. Assessing anxiety among adolescents in Hong Kong: psychometric properties and validity of the Generalised Anxiety Disorder-7 (GAD-7) in an epidemiological community sample. </w:t>
      </w:r>
      <w:r w:rsidRPr="008A3690">
        <w:rPr>
          <w:rFonts w:ascii="Times New Roman" w:hAnsi="Times New Roman" w:cs="Times New Roman"/>
          <w:i/>
          <w:sz w:val="24"/>
          <w:szCs w:val="24"/>
        </w:rPr>
        <w:t>BMC Psychiatry</w:t>
      </w:r>
      <w:r w:rsidRPr="008A3690">
        <w:rPr>
          <w:rFonts w:ascii="Times New Roman" w:hAnsi="Times New Roman" w:cs="Times New Roman"/>
          <w:sz w:val="24"/>
          <w:szCs w:val="24"/>
        </w:rPr>
        <w:t xml:space="preserve"> 2022;22(1):703. </w:t>
      </w:r>
    </w:p>
    <w:p w14:paraId="29AB01BA"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12.</w:t>
      </w:r>
      <w:r w:rsidRPr="008A3690">
        <w:rPr>
          <w:rFonts w:ascii="Times New Roman" w:hAnsi="Times New Roman" w:cs="Times New Roman"/>
          <w:sz w:val="24"/>
          <w:szCs w:val="24"/>
        </w:rPr>
        <w:tab/>
        <w:t xml:space="preserve">Eilertsen T, Hansen B, Kvale G, Abramowitz JS, Holm SEH, Solem S. The Dimensional Obsessive-Compulsive Scale: Development and Validation of a Short Form (DOCS-SF). Original Research. </w:t>
      </w:r>
      <w:r w:rsidRPr="008A3690">
        <w:rPr>
          <w:rFonts w:ascii="Times New Roman" w:hAnsi="Times New Roman" w:cs="Times New Roman"/>
          <w:i/>
          <w:sz w:val="24"/>
          <w:szCs w:val="24"/>
        </w:rPr>
        <w:t>Frontiers in Psychology</w:t>
      </w:r>
      <w:r w:rsidRPr="008A3690">
        <w:rPr>
          <w:rFonts w:ascii="Times New Roman" w:hAnsi="Times New Roman" w:cs="Times New Roman"/>
          <w:sz w:val="24"/>
          <w:szCs w:val="24"/>
        </w:rPr>
        <w:t xml:space="preserve"> 2017;8</w:t>
      </w:r>
    </w:p>
    <w:p w14:paraId="294A25B7"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13.</w:t>
      </w:r>
      <w:r w:rsidRPr="008A3690">
        <w:rPr>
          <w:rFonts w:ascii="Times New Roman" w:hAnsi="Times New Roman" w:cs="Times New Roman"/>
          <w:sz w:val="24"/>
          <w:szCs w:val="24"/>
        </w:rPr>
        <w:tab/>
        <w:t xml:space="preserve">Brewin CR, Rose S, Andrews B, et al. Brief screening instrument for post-traumatic stress disorder. </w:t>
      </w:r>
      <w:r w:rsidRPr="008A3690">
        <w:rPr>
          <w:rFonts w:ascii="Times New Roman" w:hAnsi="Times New Roman" w:cs="Times New Roman"/>
          <w:i/>
          <w:sz w:val="24"/>
          <w:szCs w:val="24"/>
        </w:rPr>
        <w:t>The British Journal of Psychiatry</w:t>
      </w:r>
      <w:r w:rsidRPr="008A3690">
        <w:rPr>
          <w:rFonts w:ascii="Times New Roman" w:hAnsi="Times New Roman" w:cs="Times New Roman"/>
          <w:sz w:val="24"/>
          <w:szCs w:val="24"/>
        </w:rPr>
        <w:t xml:space="preserve"> 2002;181(2):158-162. </w:t>
      </w:r>
    </w:p>
    <w:p w14:paraId="1A9DE23C"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14.</w:t>
      </w:r>
      <w:r w:rsidRPr="008A3690">
        <w:rPr>
          <w:rFonts w:ascii="Times New Roman" w:hAnsi="Times New Roman" w:cs="Times New Roman"/>
          <w:sz w:val="24"/>
          <w:szCs w:val="24"/>
        </w:rPr>
        <w:tab/>
        <w:t xml:space="preserve">So MM, Suen YN, Wong SMY, et al. Resilient, undercontrolled, and overcontrolled personality types in Hong Kong youths and the association with mental health outcomes. </w:t>
      </w:r>
      <w:r w:rsidRPr="008A3690">
        <w:rPr>
          <w:rFonts w:ascii="Times New Roman" w:hAnsi="Times New Roman" w:cs="Times New Roman"/>
          <w:i/>
          <w:sz w:val="24"/>
          <w:szCs w:val="24"/>
        </w:rPr>
        <w:t>Journal of Personality</w:t>
      </w:r>
      <w:r w:rsidRPr="008A3690">
        <w:rPr>
          <w:rFonts w:ascii="Times New Roman" w:hAnsi="Times New Roman" w:cs="Times New Roman"/>
          <w:sz w:val="24"/>
          <w:szCs w:val="24"/>
        </w:rPr>
        <w:t xml:space="preserve"> 2023;n/a(n/a)</w:t>
      </w:r>
    </w:p>
    <w:p w14:paraId="4247DD7A"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15.</w:t>
      </w:r>
      <w:r w:rsidRPr="008A3690">
        <w:rPr>
          <w:rFonts w:ascii="Times New Roman" w:hAnsi="Times New Roman" w:cs="Times New Roman"/>
          <w:sz w:val="24"/>
          <w:szCs w:val="24"/>
        </w:rPr>
        <w:tab/>
        <w:t xml:space="preserve">Morgan JF, Reid F, Lacey JH. The SCOFF questionnaire: assessment of a new screening tool for eating disorders. </w:t>
      </w:r>
      <w:r w:rsidRPr="008A3690">
        <w:rPr>
          <w:rFonts w:ascii="Times New Roman" w:hAnsi="Times New Roman" w:cs="Times New Roman"/>
          <w:i/>
          <w:sz w:val="24"/>
          <w:szCs w:val="24"/>
        </w:rPr>
        <w:t>Bmj</w:t>
      </w:r>
      <w:r w:rsidRPr="008A3690">
        <w:rPr>
          <w:rFonts w:ascii="Times New Roman" w:hAnsi="Times New Roman" w:cs="Times New Roman"/>
          <w:sz w:val="24"/>
          <w:szCs w:val="24"/>
        </w:rPr>
        <w:t xml:space="preserve"> 1999;319(7223):1467-8. </w:t>
      </w:r>
    </w:p>
    <w:p w14:paraId="417BBF97"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16.</w:t>
      </w:r>
      <w:r w:rsidRPr="008A3690">
        <w:rPr>
          <w:rFonts w:ascii="Times New Roman" w:hAnsi="Times New Roman" w:cs="Times New Roman"/>
          <w:sz w:val="24"/>
          <w:szCs w:val="24"/>
        </w:rPr>
        <w:tab/>
        <w:t xml:space="preserve">Leung SF, Lee KL, Lee SM, et al. Psychometric properties of the SCOFF questionnaire (Chinese version) for screening eating disorders in Hong Kong </w:t>
      </w:r>
      <w:r w:rsidRPr="008A3690">
        <w:rPr>
          <w:rFonts w:ascii="Times New Roman" w:hAnsi="Times New Roman" w:cs="Times New Roman"/>
          <w:sz w:val="24"/>
          <w:szCs w:val="24"/>
        </w:rPr>
        <w:lastRenderedPageBreak/>
        <w:t xml:space="preserve">secondary school students: A cross-sectional study. </w:t>
      </w:r>
      <w:r w:rsidRPr="008A3690">
        <w:rPr>
          <w:rFonts w:ascii="Times New Roman" w:hAnsi="Times New Roman" w:cs="Times New Roman"/>
          <w:i/>
          <w:sz w:val="24"/>
          <w:szCs w:val="24"/>
        </w:rPr>
        <w:t>International Journal of Nursing Studies</w:t>
      </w:r>
      <w:r w:rsidRPr="008A3690">
        <w:rPr>
          <w:rFonts w:ascii="Times New Roman" w:hAnsi="Times New Roman" w:cs="Times New Roman"/>
          <w:sz w:val="24"/>
          <w:szCs w:val="24"/>
        </w:rPr>
        <w:t xml:space="preserve"> 2009;46(2):239-247. </w:t>
      </w:r>
    </w:p>
    <w:p w14:paraId="626D6F3C"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17.</w:t>
      </w:r>
      <w:r w:rsidRPr="008A3690">
        <w:rPr>
          <w:rFonts w:ascii="Times New Roman" w:hAnsi="Times New Roman" w:cs="Times New Roman"/>
          <w:sz w:val="24"/>
          <w:szCs w:val="24"/>
        </w:rPr>
        <w:tab/>
        <w:t xml:space="preserve">Allison C, Auyeung B, Baron-Cohen S. Toward Brief “Red Flags” for Autism Screening: The Short Autism Spectrum Quotient and the Short Quantitative Checklist in 1,000 Cases and 3,000 Controls. </w:t>
      </w:r>
      <w:r w:rsidRPr="008A3690">
        <w:rPr>
          <w:rFonts w:ascii="Times New Roman" w:hAnsi="Times New Roman" w:cs="Times New Roman"/>
          <w:i/>
          <w:sz w:val="24"/>
          <w:szCs w:val="24"/>
        </w:rPr>
        <w:t>Journal of the American Academy of Child &amp; Adolescent Psychiatry</w:t>
      </w:r>
      <w:r w:rsidRPr="008A3690">
        <w:rPr>
          <w:rFonts w:ascii="Times New Roman" w:hAnsi="Times New Roman" w:cs="Times New Roman"/>
          <w:sz w:val="24"/>
          <w:szCs w:val="24"/>
        </w:rPr>
        <w:t xml:space="preserve"> 2012;51(2):202-212.e7. </w:t>
      </w:r>
    </w:p>
    <w:p w14:paraId="46F8A312"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18.</w:t>
      </w:r>
      <w:r w:rsidRPr="008A3690">
        <w:rPr>
          <w:rFonts w:ascii="Times New Roman" w:hAnsi="Times New Roman" w:cs="Times New Roman"/>
          <w:sz w:val="24"/>
          <w:szCs w:val="24"/>
        </w:rPr>
        <w:tab/>
        <w:t xml:space="preserve">Leung. </w:t>
      </w:r>
      <w:r w:rsidRPr="008A3690">
        <w:rPr>
          <w:rFonts w:ascii="Times New Roman" w:hAnsi="Times New Roman" w:cs="Times New Roman"/>
          <w:i/>
          <w:sz w:val="24"/>
          <w:szCs w:val="24"/>
        </w:rPr>
        <w:t>The Construction and Validation of Short-Form, Chinese Autism Spectrum Quotient (Chinese-AQ-10)</w:t>
      </w:r>
      <w:r w:rsidRPr="008A3690">
        <w:rPr>
          <w:rFonts w:ascii="Times New Roman" w:hAnsi="Times New Roman" w:cs="Times New Roman"/>
          <w:sz w:val="24"/>
          <w:szCs w:val="24"/>
        </w:rPr>
        <w:t xml:space="preserve">. Department of Psychology, The Chinese University of Hong Kong; 2015. </w:t>
      </w:r>
    </w:p>
    <w:p w14:paraId="304B9360"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19.</w:t>
      </w:r>
      <w:r w:rsidRPr="008A3690">
        <w:rPr>
          <w:rFonts w:ascii="Times New Roman" w:hAnsi="Times New Roman" w:cs="Times New Roman"/>
          <w:sz w:val="24"/>
          <w:szCs w:val="24"/>
        </w:rPr>
        <w:tab/>
        <w:t xml:space="preserve">Ustun B, Adler LA, Rudin C, et al. The World Health Organization Adult Attention-Deficit/Hyperactivity Disorder Self-Report Screening Scale for DSM-5. </w:t>
      </w:r>
      <w:r w:rsidRPr="008A3690">
        <w:rPr>
          <w:rFonts w:ascii="Times New Roman" w:hAnsi="Times New Roman" w:cs="Times New Roman"/>
          <w:i/>
          <w:sz w:val="24"/>
          <w:szCs w:val="24"/>
        </w:rPr>
        <w:t>JAMA Psychiatry</w:t>
      </w:r>
      <w:r w:rsidRPr="008A3690">
        <w:rPr>
          <w:rFonts w:ascii="Times New Roman" w:hAnsi="Times New Roman" w:cs="Times New Roman"/>
          <w:sz w:val="24"/>
          <w:szCs w:val="24"/>
        </w:rPr>
        <w:t xml:space="preserve"> 2017;74(5):520-526. </w:t>
      </w:r>
    </w:p>
    <w:p w14:paraId="1B52E93C"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20.</w:t>
      </w:r>
      <w:r w:rsidRPr="008A3690">
        <w:rPr>
          <w:rFonts w:ascii="Times New Roman" w:hAnsi="Times New Roman" w:cs="Times New Roman"/>
          <w:sz w:val="24"/>
          <w:szCs w:val="24"/>
        </w:rPr>
        <w:tab/>
        <w:t xml:space="preserve">Green JG, DeYoung G, Wogan ME, Wolf EJ, Lane KL, Adler LA. Evidence for the reliability and preliminary validity of the Adult ADHD Self-Report Scale v1.1 (ASRS v1.1) Screener in an adolescent community sample. </w:t>
      </w:r>
      <w:r w:rsidRPr="008A3690">
        <w:rPr>
          <w:rFonts w:ascii="Times New Roman" w:hAnsi="Times New Roman" w:cs="Times New Roman"/>
          <w:i/>
          <w:sz w:val="24"/>
          <w:szCs w:val="24"/>
        </w:rPr>
        <w:t>International Journal of Methods in Psychiatric Research</w:t>
      </w:r>
      <w:r w:rsidRPr="008A3690">
        <w:rPr>
          <w:rFonts w:ascii="Times New Roman" w:hAnsi="Times New Roman" w:cs="Times New Roman"/>
          <w:sz w:val="24"/>
          <w:szCs w:val="24"/>
        </w:rPr>
        <w:t xml:space="preserve"> 2019;28(1):e1751. </w:t>
      </w:r>
    </w:p>
    <w:p w14:paraId="22206C28"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21.</w:t>
      </w:r>
      <w:r w:rsidRPr="008A3690">
        <w:rPr>
          <w:rFonts w:ascii="Times New Roman" w:hAnsi="Times New Roman" w:cs="Times New Roman"/>
          <w:sz w:val="24"/>
          <w:szCs w:val="24"/>
        </w:rPr>
        <w:tab/>
        <w:t xml:space="preserve">Zhong S, Lu L, Wilson A, et al. Attention-deficit/ hyperactivity disorder symptoms and suicidal ideation among college students: A structural equation modeling approach. </w:t>
      </w:r>
      <w:r w:rsidRPr="008A3690">
        <w:rPr>
          <w:rFonts w:ascii="Times New Roman" w:hAnsi="Times New Roman" w:cs="Times New Roman"/>
          <w:i/>
          <w:sz w:val="24"/>
          <w:szCs w:val="24"/>
        </w:rPr>
        <w:t>Journal of Affective Disorders</w:t>
      </w:r>
      <w:r w:rsidRPr="008A3690">
        <w:rPr>
          <w:rFonts w:ascii="Times New Roman" w:hAnsi="Times New Roman" w:cs="Times New Roman"/>
          <w:sz w:val="24"/>
          <w:szCs w:val="24"/>
        </w:rPr>
        <w:t xml:space="preserve"> 2021;279:572-577. </w:t>
      </w:r>
    </w:p>
    <w:p w14:paraId="09125645"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22.</w:t>
      </w:r>
      <w:r w:rsidRPr="008A3690">
        <w:rPr>
          <w:rFonts w:ascii="Times New Roman" w:hAnsi="Times New Roman" w:cs="Times New Roman"/>
          <w:sz w:val="24"/>
          <w:szCs w:val="24"/>
        </w:rPr>
        <w:tab/>
        <w:t xml:space="preserve">Hewitt PL, Flett GL. Perfectionism in the self and social contexts: conceptualization, assessment, and association with psychopathology. </w:t>
      </w:r>
      <w:r w:rsidRPr="008A3690">
        <w:rPr>
          <w:rFonts w:ascii="Times New Roman" w:hAnsi="Times New Roman" w:cs="Times New Roman"/>
          <w:i/>
          <w:sz w:val="24"/>
          <w:szCs w:val="24"/>
        </w:rPr>
        <w:t>J Pers Soc Psychol</w:t>
      </w:r>
      <w:r w:rsidRPr="008A3690">
        <w:rPr>
          <w:rFonts w:ascii="Times New Roman" w:hAnsi="Times New Roman" w:cs="Times New Roman"/>
          <w:sz w:val="24"/>
          <w:szCs w:val="24"/>
        </w:rPr>
        <w:t xml:space="preserve"> 1991;60(3):456-70. </w:t>
      </w:r>
    </w:p>
    <w:p w14:paraId="092E714F"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lastRenderedPageBreak/>
        <w:t>23.</w:t>
      </w:r>
      <w:r w:rsidRPr="008A3690">
        <w:rPr>
          <w:rFonts w:ascii="Times New Roman" w:hAnsi="Times New Roman" w:cs="Times New Roman"/>
          <w:sz w:val="24"/>
          <w:szCs w:val="24"/>
        </w:rPr>
        <w:tab/>
        <w:t xml:space="preserve">Cao L, Zhang ZQ, Xu Y, Cao JK, Yang H, Ge L. Intervention impacts of Self-confidence Training on the self-esteem of patients with social anxiety disorder. </w:t>
      </w:r>
      <w:r w:rsidRPr="008A3690">
        <w:rPr>
          <w:rFonts w:ascii="Times New Roman" w:hAnsi="Times New Roman" w:cs="Times New Roman"/>
          <w:i/>
          <w:sz w:val="24"/>
          <w:szCs w:val="24"/>
        </w:rPr>
        <w:t>Chinese Journal of Behavioral Medicine and Brain Science</w:t>
      </w:r>
      <w:r w:rsidRPr="008A3690">
        <w:rPr>
          <w:rFonts w:ascii="Times New Roman" w:hAnsi="Times New Roman" w:cs="Times New Roman"/>
          <w:sz w:val="24"/>
          <w:szCs w:val="24"/>
        </w:rPr>
        <w:t xml:space="preserve"> 2013;22(9):827-829. </w:t>
      </w:r>
    </w:p>
    <w:p w14:paraId="592FB4A7"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24.</w:t>
      </w:r>
      <w:r w:rsidRPr="008A3690">
        <w:rPr>
          <w:rFonts w:ascii="Times New Roman" w:hAnsi="Times New Roman" w:cs="Times New Roman"/>
          <w:sz w:val="24"/>
          <w:szCs w:val="24"/>
        </w:rPr>
        <w:tab/>
        <w:t xml:space="preserve">McGuire JK, Berg D, Catalpa JM, et al. Utrecht Gender Dysphoria Scale - Gender Spectrum (UGDS-GS): Construct validity among transgender, nonbinary, and LGBQ samples. </w:t>
      </w:r>
      <w:r w:rsidRPr="008A3690">
        <w:rPr>
          <w:rFonts w:ascii="Times New Roman" w:hAnsi="Times New Roman" w:cs="Times New Roman"/>
          <w:i/>
          <w:sz w:val="24"/>
          <w:szCs w:val="24"/>
        </w:rPr>
        <w:t>Int J Transgend Health</w:t>
      </w:r>
      <w:r w:rsidRPr="008A3690">
        <w:rPr>
          <w:rFonts w:ascii="Times New Roman" w:hAnsi="Times New Roman" w:cs="Times New Roman"/>
          <w:sz w:val="24"/>
          <w:szCs w:val="24"/>
        </w:rPr>
        <w:t xml:space="preserve"> 2020;21(2):194-208. </w:t>
      </w:r>
    </w:p>
    <w:p w14:paraId="6B25D216"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25.</w:t>
      </w:r>
      <w:r w:rsidRPr="008A3690">
        <w:rPr>
          <w:rFonts w:ascii="Times New Roman" w:hAnsi="Times New Roman" w:cs="Times New Roman"/>
          <w:sz w:val="24"/>
          <w:szCs w:val="24"/>
        </w:rPr>
        <w:tab/>
        <w:t xml:space="preserve">Chen R, Feng Y, Su D, Wilson A, Han M, Wang Y. Utrecht Gender Dysphoria Scale – Gender Spectrum in a Chinese population: scale validation and associations with mental health, self-harm and suicidality. </w:t>
      </w:r>
      <w:r w:rsidRPr="008A3690">
        <w:rPr>
          <w:rFonts w:ascii="Times New Roman" w:hAnsi="Times New Roman" w:cs="Times New Roman"/>
          <w:i/>
          <w:sz w:val="24"/>
          <w:szCs w:val="24"/>
        </w:rPr>
        <w:t>BJPsych Open</w:t>
      </w:r>
      <w:r w:rsidRPr="008A3690">
        <w:rPr>
          <w:rFonts w:ascii="Times New Roman" w:hAnsi="Times New Roman" w:cs="Times New Roman"/>
          <w:sz w:val="24"/>
          <w:szCs w:val="24"/>
        </w:rPr>
        <w:t xml:space="preserve"> 2023;9(1):e17. e17. </w:t>
      </w:r>
    </w:p>
    <w:p w14:paraId="4EEEE4A6"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26.</w:t>
      </w:r>
      <w:r w:rsidRPr="008A3690">
        <w:rPr>
          <w:rFonts w:ascii="Times New Roman" w:hAnsi="Times New Roman" w:cs="Times New Roman"/>
          <w:sz w:val="24"/>
          <w:szCs w:val="24"/>
        </w:rPr>
        <w:tab/>
        <w:t xml:space="preserve">Vahia VN. Diagnostic and statistical manual of mental disorders 5: A quick glance. </w:t>
      </w:r>
      <w:r w:rsidRPr="008A3690">
        <w:rPr>
          <w:rFonts w:ascii="Times New Roman" w:hAnsi="Times New Roman" w:cs="Times New Roman"/>
          <w:i/>
          <w:sz w:val="24"/>
          <w:szCs w:val="24"/>
        </w:rPr>
        <w:t>Indian Journal of Psychiatry</w:t>
      </w:r>
      <w:r w:rsidRPr="008A3690">
        <w:rPr>
          <w:rFonts w:ascii="Times New Roman" w:hAnsi="Times New Roman" w:cs="Times New Roman"/>
          <w:sz w:val="24"/>
          <w:szCs w:val="24"/>
        </w:rPr>
        <w:t xml:space="preserve"> 2013;55(3):220-223. </w:t>
      </w:r>
    </w:p>
    <w:p w14:paraId="18AD172E"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27.</w:t>
      </w:r>
      <w:r w:rsidRPr="008A3690">
        <w:rPr>
          <w:rFonts w:ascii="Times New Roman" w:hAnsi="Times New Roman" w:cs="Times New Roman"/>
          <w:sz w:val="24"/>
          <w:szCs w:val="24"/>
        </w:rPr>
        <w:tab/>
        <w:t xml:space="preserve">Gratz KL, Dixon-Gordon KL, Chapman AL, Tull MT. Diagnosis and Characterization of DSM-5 Nonsuicidal Self-Injury Disorder Using the Clinician-Administered Nonsuicidal Self-Injury Disorder Index. </w:t>
      </w:r>
      <w:r w:rsidRPr="008A3690">
        <w:rPr>
          <w:rFonts w:ascii="Times New Roman" w:hAnsi="Times New Roman" w:cs="Times New Roman"/>
          <w:i/>
          <w:sz w:val="24"/>
          <w:szCs w:val="24"/>
        </w:rPr>
        <w:t>Assessment</w:t>
      </w:r>
      <w:r w:rsidRPr="008A3690">
        <w:rPr>
          <w:rFonts w:ascii="Times New Roman" w:hAnsi="Times New Roman" w:cs="Times New Roman"/>
          <w:sz w:val="24"/>
          <w:szCs w:val="24"/>
        </w:rPr>
        <w:t xml:space="preserve"> 2015;22(5):527-539. </w:t>
      </w:r>
    </w:p>
    <w:p w14:paraId="2BCCB3CF"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28.</w:t>
      </w:r>
      <w:r w:rsidRPr="008A3690">
        <w:rPr>
          <w:rFonts w:ascii="Times New Roman" w:hAnsi="Times New Roman" w:cs="Times New Roman"/>
          <w:sz w:val="24"/>
          <w:szCs w:val="24"/>
        </w:rPr>
        <w:tab/>
        <w:t xml:space="preserve">Hughes ME, Waite LJ, Hawkley LC, Cacioppo JT. A Short Scale for Measuring Loneliness in Large Surveys: Results From Two Population-Based Studies. </w:t>
      </w:r>
      <w:r w:rsidRPr="008A3690">
        <w:rPr>
          <w:rFonts w:ascii="Times New Roman" w:hAnsi="Times New Roman" w:cs="Times New Roman"/>
          <w:i/>
          <w:sz w:val="24"/>
          <w:szCs w:val="24"/>
        </w:rPr>
        <w:t>Research on Aging</w:t>
      </w:r>
      <w:r w:rsidRPr="008A3690">
        <w:rPr>
          <w:rFonts w:ascii="Times New Roman" w:hAnsi="Times New Roman" w:cs="Times New Roman"/>
          <w:sz w:val="24"/>
          <w:szCs w:val="24"/>
        </w:rPr>
        <w:t xml:space="preserve"> 2004;26(6):655-672. </w:t>
      </w:r>
    </w:p>
    <w:p w14:paraId="61921035"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29.</w:t>
      </w:r>
      <w:r w:rsidRPr="008A3690">
        <w:rPr>
          <w:rFonts w:ascii="Times New Roman" w:hAnsi="Times New Roman" w:cs="Times New Roman"/>
          <w:sz w:val="24"/>
          <w:szCs w:val="24"/>
        </w:rPr>
        <w:tab/>
        <w:t xml:space="preserve">Lin C-Y, Tsai C-S, Fan C-W, et al. Psychometric Evaluation of Three Versions of the UCLA Loneliness Scale (Full, Eight-Item, and Three-Item Versions) among Sexual Minority Men in Taiwan. </w:t>
      </w:r>
      <w:r w:rsidRPr="008A3690">
        <w:rPr>
          <w:rFonts w:ascii="Times New Roman" w:hAnsi="Times New Roman" w:cs="Times New Roman"/>
          <w:i/>
          <w:sz w:val="24"/>
          <w:szCs w:val="24"/>
        </w:rPr>
        <w:t xml:space="preserve">International Journal of Environmental Research </w:t>
      </w:r>
      <w:r w:rsidRPr="008A3690">
        <w:rPr>
          <w:rFonts w:ascii="Times New Roman" w:hAnsi="Times New Roman" w:cs="Times New Roman"/>
          <w:i/>
          <w:sz w:val="24"/>
          <w:szCs w:val="24"/>
        </w:rPr>
        <w:lastRenderedPageBreak/>
        <w:t>and Public Health</w:t>
      </w:r>
      <w:r w:rsidRPr="008A3690">
        <w:rPr>
          <w:rFonts w:ascii="Times New Roman" w:hAnsi="Times New Roman" w:cs="Times New Roman"/>
          <w:sz w:val="24"/>
          <w:szCs w:val="24"/>
        </w:rPr>
        <w:t xml:space="preserve"> 2022;19(13):8095. </w:t>
      </w:r>
    </w:p>
    <w:p w14:paraId="782E471C"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30.</w:t>
      </w:r>
      <w:r w:rsidRPr="008A3690">
        <w:rPr>
          <w:rFonts w:ascii="Times New Roman" w:hAnsi="Times New Roman" w:cs="Times New Roman"/>
          <w:sz w:val="24"/>
          <w:szCs w:val="24"/>
        </w:rPr>
        <w:tab/>
        <w:t xml:space="preserve">Kim D, Lee Y, Lee J, Nam JK, Chung Y. Development of Korean Smartphone Addiction Proneness Scale for Youth. </w:t>
      </w:r>
      <w:r w:rsidRPr="008A3690">
        <w:rPr>
          <w:rFonts w:ascii="Times New Roman" w:hAnsi="Times New Roman" w:cs="Times New Roman"/>
          <w:i/>
          <w:sz w:val="24"/>
          <w:szCs w:val="24"/>
        </w:rPr>
        <w:t>PLOS ONE</w:t>
      </w:r>
      <w:r w:rsidRPr="008A3690">
        <w:rPr>
          <w:rFonts w:ascii="Times New Roman" w:hAnsi="Times New Roman" w:cs="Times New Roman"/>
          <w:sz w:val="24"/>
          <w:szCs w:val="24"/>
        </w:rPr>
        <w:t xml:space="preserve"> 2014;9(5):e97920. </w:t>
      </w:r>
    </w:p>
    <w:p w14:paraId="4629CFD3"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31.</w:t>
      </w:r>
      <w:r w:rsidRPr="008A3690">
        <w:rPr>
          <w:rFonts w:ascii="Times New Roman" w:hAnsi="Times New Roman" w:cs="Times New Roman"/>
          <w:sz w:val="24"/>
          <w:szCs w:val="24"/>
        </w:rPr>
        <w:tab/>
        <w:t xml:space="preserve">Zhang Q, Liu ZK. Smartphone Addiction Proneness Scale for Adolescents – Chinese Version: revision and evaluation on reliability and validity. </w:t>
      </w:r>
      <w:r w:rsidRPr="008A3690">
        <w:rPr>
          <w:rFonts w:ascii="Times New Roman" w:hAnsi="Times New Roman" w:cs="Times New Roman"/>
          <w:i/>
          <w:sz w:val="24"/>
          <w:szCs w:val="24"/>
        </w:rPr>
        <w:t>Chinese Journal of Public Health</w:t>
      </w:r>
      <w:r w:rsidRPr="008A3690">
        <w:rPr>
          <w:rFonts w:ascii="Times New Roman" w:hAnsi="Times New Roman" w:cs="Times New Roman"/>
          <w:sz w:val="24"/>
          <w:szCs w:val="24"/>
        </w:rPr>
        <w:t xml:space="preserve"> 2021;37(7):1149. </w:t>
      </w:r>
    </w:p>
    <w:p w14:paraId="7A8149A6"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32.</w:t>
      </w:r>
      <w:r w:rsidRPr="008A3690">
        <w:rPr>
          <w:rFonts w:ascii="Times New Roman" w:hAnsi="Times New Roman" w:cs="Times New Roman"/>
          <w:sz w:val="24"/>
          <w:szCs w:val="24"/>
        </w:rPr>
        <w:tab/>
        <w:t xml:space="preserve">Wilson C, Deane F, Ciarrochi J, Rickwood D. Measuring help-seeking intentions: Properties of the General Help-Seeking Questionnaire. </w:t>
      </w:r>
      <w:r w:rsidRPr="008A3690">
        <w:rPr>
          <w:rFonts w:ascii="Times New Roman" w:hAnsi="Times New Roman" w:cs="Times New Roman"/>
          <w:i/>
          <w:sz w:val="24"/>
          <w:szCs w:val="24"/>
        </w:rPr>
        <w:t>Canadian Journal of Counselling</w:t>
      </w:r>
      <w:r w:rsidRPr="008A3690">
        <w:rPr>
          <w:rFonts w:ascii="Times New Roman" w:hAnsi="Times New Roman" w:cs="Times New Roman"/>
          <w:sz w:val="24"/>
          <w:szCs w:val="24"/>
        </w:rPr>
        <w:t xml:space="preserve"> 2005;39:15-28. </w:t>
      </w:r>
    </w:p>
    <w:p w14:paraId="70521786"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33.</w:t>
      </w:r>
      <w:r w:rsidRPr="008A3690">
        <w:rPr>
          <w:rFonts w:ascii="Times New Roman" w:hAnsi="Times New Roman" w:cs="Times New Roman"/>
          <w:sz w:val="24"/>
          <w:szCs w:val="24"/>
        </w:rPr>
        <w:tab/>
        <w:t xml:space="preserve">Zhang L, Feng YY, Zhou HB, Du CC. Analysis on help-seeking behavior and its influencing factors among community residents with suicidal intention. </w:t>
      </w:r>
      <w:r w:rsidRPr="008A3690">
        <w:rPr>
          <w:rFonts w:ascii="Times New Roman" w:hAnsi="Times New Roman" w:cs="Times New Roman"/>
          <w:i/>
          <w:sz w:val="24"/>
          <w:szCs w:val="24"/>
        </w:rPr>
        <w:t>Chinese Journal of Health Education</w:t>
      </w:r>
      <w:r w:rsidRPr="008A3690">
        <w:rPr>
          <w:rFonts w:ascii="Times New Roman" w:hAnsi="Times New Roman" w:cs="Times New Roman"/>
          <w:sz w:val="24"/>
          <w:szCs w:val="24"/>
        </w:rPr>
        <w:t xml:space="preserve"> 2020;36(5):475-477+481. </w:t>
      </w:r>
    </w:p>
    <w:p w14:paraId="0F85C6C1"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34.</w:t>
      </w:r>
      <w:r w:rsidRPr="008A3690">
        <w:rPr>
          <w:rFonts w:ascii="Times New Roman" w:hAnsi="Times New Roman" w:cs="Times New Roman"/>
          <w:sz w:val="24"/>
          <w:szCs w:val="24"/>
        </w:rPr>
        <w:tab/>
        <w:t xml:space="preserve">Wachtel S, Vocks S, Edel M-A, Nyhuis P, Willutzki U, Teismann T. Validation and psychometric properties of the German Capability for Suicide Questionnaire. </w:t>
      </w:r>
      <w:r w:rsidRPr="008A3690">
        <w:rPr>
          <w:rFonts w:ascii="Times New Roman" w:hAnsi="Times New Roman" w:cs="Times New Roman"/>
          <w:i/>
          <w:sz w:val="24"/>
          <w:szCs w:val="24"/>
        </w:rPr>
        <w:t>Comprehensive Psychiatry</w:t>
      </w:r>
      <w:r w:rsidRPr="008A3690">
        <w:rPr>
          <w:rFonts w:ascii="Times New Roman" w:hAnsi="Times New Roman" w:cs="Times New Roman"/>
          <w:sz w:val="24"/>
          <w:szCs w:val="24"/>
        </w:rPr>
        <w:t xml:space="preserve"> 2014;55(5):1292-1302. </w:t>
      </w:r>
    </w:p>
    <w:p w14:paraId="1FDC643A"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35.</w:t>
      </w:r>
      <w:r w:rsidRPr="008A3690">
        <w:rPr>
          <w:rFonts w:ascii="Times New Roman" w:hAnsi="Times New Roman" w:cs="Times New Roman"/>
          <w:sz w:val="24"/>
          <w:szCs w:val="24"/>
        </w:rPr>
        <w:tab/>
        <w:t xml:space="preserve">Ren Y, You J, Zhang X, et al. Differentiating Suicide Attempters from Suicide Ideators: The Role of Capability for Suicide. </w:t>
      </w:r>
      <w:r w:rsidRPr="008A3690">
        <w:rPr>
          <w:rFonts w:ascii="Times New Roman" w:hAnsi="Times New Roman" w:cs="Times New Roman"/>
          <w:i/>
          <w:sz w:val="24"/>
          <w:szCs w:val="24"/>
        </w:rPr>
        <w:t>Archives of Suicide Research</w:t>
      </w:r>
      <w:r w:rsidRPr="008A3690">
        <w:rPr>
          <w:rFonts w:ascii="Times New Roman" w:hAnsi="Times New Roman" w:cs="Times New Roman"/>
          <w:sz w:val="24"/>
          <w:szCs w:val="24"/>
        </w:rPr>
        <w:t xml:space="preserve"> 2019;23(1):64-81. </w:t>
      </w:r>
    </w:p>
    <w:p w14:paraId="074A15AD"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36.</w:t>
      </w:r>
      <w:r w:rsidRPr="008A3690">
        <w:rPr>
          <w:rFonts w:ascii="Times New Roman" w:hAnsi="Times New Roman" w:cs="Times New Roman"/>
          <w:sz w:val="24"/>
          <w:szCs w:val="24"/>
        </w:rPr>
        <w:tab/>
        <w:t xml:space="preserve">Gilbert P, McEwan K, Gibbons L, Chotai S, Duarte J, Matos M. Fears of compassion and happiness in relation to alexithymia, mindfulness, and self-criticism. </w:t>
      </w:r>
      <w:r w:rsidRPr="008A3690">
        <w:rPr>
          <w:rFonts w:ascii="Times New Roman" w:hAnsi="Times New Roman" w:cs="Times New Roman"/>
          <w:i/>
          <w:sz w:val="24"/>
          <w:szCs w:val="24"/>
        </w:rPr>
        <w:t>Psychol Psychother</w:t>
      </w:r>
      <w:r w:rsidRPr="008A3690">
        <w:rPr>
          <w:rFonts w:ascii="Times New Roman" w:hAnsi="Times New Roman" w:cs="Times New Roman"/>
          <w:sz w:val="24"/>
          <w:szCs w:val="24"/>
        </w:rPr>
        <w:t xml:space="preserve"> 2012;85(4):374-90. </w:t>
      </w:r>
    </w:p>
    <w:p w14:paraId="4902E508"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37.</w:t>
      </w:r>
      <w:r w:rsidRPr="008A3690">
        <w:rPr>
          <w:rFonts w:ascii="Times New Roman" w:hAnsi="Times New Roman" w:cs="Times New Roman"/>
          <w:sz w:val="24"/>
          <w:szCs w:val="24"/>
        </w:rPr>
        <w:tab/>
        <w:t xml:space="preserve">Jordan DG, Collins AC, Dunaway MG, Kilgore J, Winer ES. Negative affect </w:t>
      </w:r>
      <w:r w:rsidRPr="008A3690">
        <w:rPr>
          <w:rFonts w:ascii="Times New Roman" w:hAnsi="Times New Roman" w:cs="Times New Roman"/>
          <w:sz w:val="24"/>
          <w:szCs w:val="24"/>
        </w:rPr>
        <w:lastRenderedPageBreak/>
        <w:t xml:space="preserve">interference and fear of happiness are independently associated with depressive symptoms. </w:t>
      </w:r>
      <w:r w:rsidRPr="008A3690">
        <w:rPr>
          <w:rFonts w:ascii="Times New Roman" w:hAnsi="Times New Roman" w:cs="Times New Roman"/>
          <w:i/>
          <w:sz w:val="24"/>
          <w:szCs w:val="24"/>
        </w:rPr>
        <w:t>Journal of Clinical Psychology</w:t>
      </w:r>
      <w:r w:rsidRPr="008A3690">
        <w:rPr>
          <w:rFonts w:ascii="Times New Roman" w:hAnsi="Times New Roman" w:cs="Times New Roman"/>
          <w:sz w:val="24"/>
          <w:szCs w:val="24"/>
        </w:rPr>
        <w:t xml:space="preserve"> 2021;77(3):646-660. </w:t>
      </w:r>
    </w:p>
    <w:p w14:paraId="0017A6C1"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38.</w:t>
      </w:r>
      <w:r w:rsidRPr="008A3690">
        <w:rPr>
          <w:rFonts w:ascii="Times New Roman" w:hAnsi="Times New Roman" w:cs="Times New Roman"/>
          <w:sz w:val="24"/>
          <w:szCs w:val="24"/>
        </w:rPr>
        <w:tab/>
        <w:t xml:space="preserve">Joshanloo M, Lepshokova ZK, Panyusheva T, et al. Cross-Cultural Validation of Fear of Happiness Scale Across 14 National Groups. </w:t>
      </w:r>
      <w:r w:rsidRPr="008A3690">
        <w:rPr>
          <w:rFonts w:ascii="Times New Roman" w:hAnsi="Times New Roman" w:cs="Times New Roman"/>
          <w:i/>
          <w:sz w:val="24"/>
          <w:szCs w:val="24"/>
        </w:rPr>
        <w:t>Journal of Cross-Cultural Psychology</w:t>
      </w:r>
      <w:r w:rsidRPr="008A3690">
        <w:rPr>
          <w:rFonts w:ascii="Times New Roman" w:hAnsi="Times New Roman" w:cs="Times New Roman"/>
          <w:sz w:val="24"/>
          <w:szCs w:val="24"/>
        </w:rPr>
        <w:t xml:space="preserve"> 2013;45(2):246-264. </w:t>
      </w:r>
    </w:p>
    <w:p w14:paraId="4573C78B"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39.</w:t>
      </w:r>
      <w:r w:rsidRPr="008A3690">
        <w:rPr>
          <w:rFonts w:ascii="Times New Roman" w:hAnsi="Times New Roman" w:cs="Times New Roman"/>
          <w:sz w:val="24"/>
          <w:szCs w:val="24"/>
        </w:rPr>
        <w:tab/>
        <w:t xml:space="preserve">Raes F, Pommier E, Neff KD, Van Gucht D. Construction and factorial validation of a short form of the Self-Compassion Scale. </w:t>
      </w:r>
      <w:r w:rsidRPr="008A3690">
        <w:rPr>
          <w:rFonts w:ascii="Times New Roman" w:hAnsi="Times New Roman" w:cs="Times New Roman"/>
          <w:i/>
          <w:sz w:val="24"/>
          <w:szCs w:val="24"/>
        </w:rPr>
        <w:t>Clin Psychol Psychother</w:t>
      </w:r>
      <w:r w:rsidRPr="008A3690">
        <w:rPr>
          <w:rFonts w:ascii="Times New Roman" w:hAnsi="Times New Roman" w:cs="Times New Roman"/>
          <w:sz w:val="24"/>
          <w:szCs w:val="24"/>
        </w:rPr>
        <w:t xml:space="preserve"> 2011;18(3):250-5. </w:t>
      </w:r>
    </w:p>
    <w:p w14:paraId="3486337D" w14:textId="77777777" w:rsidR="008A3690" w:rsidRPr="008A3690" w:rsidRDefault="008A3690" w:rsidP="008A3690">
      <w:pPr>
        <w:pStyle w:val="EndNoteBibliography"/>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t>40.</w:t>
      </w:r>
      <w:r w:rsidRPr="008A3690">
        <w:rPr>
          <w:rFonts w:ascii="Times New Roman" w:hAnsi="Times New Roman" w:cs="Times New Roman"/>
          <w:sz w:val="24"/>
          <w:szCs w:val="24"/>
        </w:rPr>
        <w:tab/>
        <w:t xml:space="preserve">Huang LY, Qu DY, Liang KX, Ren YZ, Chi XL. Longitudinal Measurement Invariance, Validity, and Reliability Analysis of the Self-compassion Scale-Short Form among Chinese College Students. </w:t>
      </w:r>
      <w:r w:rsidRPr="008A3690">
        <w:rPr>
          <w:rFonts w:ascii="Times New Roman" w:hAnsi="Times New Roman" w:cs="Times New Roman"/>
          <w:i/>
          <w:sz w:val="24"/>
          <w:szCs w:val="24"/>
        </w:rPr>
        <w:t>Chinese Journal of Clinical Psychology</w:t>
      </w:r>
      <w:r w:rsidRPr="008A3690">
        <w:rPr>
          <w:rFonts w:ascii="Times New Roman" w:hAnsi="Times New Roman" w:cs="Times New Roman"/>
          <w:sz w:val="24"/>
          <w:szCs w:val="24"/>
        </w:rPr>
        <w:t xml:space="preserve"> 2023;31(01):107-111+115. </w:t>
      </w:r>
    </w:p>
    <w:p w14:paraId="6C2B19CC" w14:textId="7027737B" w:rsidR="004647F9" w:rsidRPr="003F2A66" w:rsidRDefault="00E91A27" w:rsidP="008A3690">
      <w:pPr>
        <w:spacing w:line="480" w:lineRule="auto"/>
        <w:ind w:left="480" w:hangingChars="200" w:hanging="480"/>
        <w:rPr>
          <w:rFonts w:ascii="Times New Roman" w:hAnsi="Times New Roman" w:cs="Times New Roman"/>
          <w:sz w:val="24"/>
          <w:szCs w:val="24"/>
        </w:rPr>
      </w:pPr>
      <w:r w:rsidRPr="008A3690">
        <w:rPr>
          <w:rFonts w:ascii="Times New Roman" w:hAnsi="Times New Roman" w:cs="Times New Roman"/>
          <w:sz w:val="24"/>
          <w:szCs w:val="24"/>
        </w:rPr>
        <w:fldChar w:fldCharType="end"/>
      </w:r>
    </w:p>
    <w:sectPr w:rsidR="004647F9" w:rsidRPr="003F2A6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78615" w14:textId="77777777" w:rsidR="000C37E5" w:rsidRDefault="000C37E5" w:rsidP="004647F9">
      <w:pPr>
        <w:rPr>
          <w:rFonts w:hint="eastAsia"/>
        </w:rPr>
      </w:pPr>
      <w:r>
        <w:separator/>
      </w:r>
    </w:p>
  </w:endnote>
  <w:endnote w:type="continuationSeparator" w:id="0">
    <w:p w14:paraId="71E88519" w14:textId="77777777" w:rsidR="000C37E5" w:rsidRDefault="000C37E5" w:rsidP="004647F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7FBA7" w14:textId="77777777" w:rsidR="000C37E5" w:rsidRDefault="000C37E5" w:rsidP="004647F9">
      <w:pPr>
        <w:rPr>
          <w:rFonts w:hint="eastAsia"/>
        </w:rPr>
      </w:pPr>
      <w:r>
        <w:separator/>
      </w:r>
    </w:p>
  </w:footnote>
  <w:footnote w:type="continuationSeparator" w:id="0">
    <w:p w14:paraId="1F2D45CC" w14:textId="77777777" w:rsidR="000C37E5" w:rsidRDefault="000C37E5" w:rsidP="004647F9">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0375C"/>
    <w:multiLevelType w:val="multilevel"/>
    <w:tmpl w:val="17BCF17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1F32DF"/>
    <w:multiLevelType w:val="hybridMultilevel"/>
    <w:tmpl w:val="C900A672"/>
    <w:lvl w:ilvl="0" w:tplc="9102707C">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32C727E2"/>
    <w:multiLevelType w:val="hybridMultilevel"/>
    <w:tmpl w:val="B64295D2"/>
    <w:lvl w:ilvl="0" w:tplc="8BC694C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378A7989"/>
    <w:multiLevelType w:val="multilevel"/>
    <w:tmpl w:val="834447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93B0E43"/>
    <w:multiLevelType w:val="multilevel"/>
    <w:tmpl w:val="8138AB0E"/>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26240699">
    <w:abstractNumId w:val="2"/>
  </w:num>
  <w:num w:numId="2" w16cid:durableId="1742941130">
    <w:abstractNumId w:val="4"/>
  </w:num>
  <w:num w:numId="3" w16cid:durableId="1683123656">
    <w:abstractNumId w:val="0"/>
  </w:num>
  <w:num w:numId="4" w16cid:durableId="321350573">
    <w:abstractNumId w:val="3"/>
  </w:num>
  <w:num w:numId="5" w16cid:durableId="1324075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Translational psychiatr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p52av05uasrpyefrtjpxdxnt2wspz0wedzt&quot;&gt;DecisionTree4Suicide&lt;record-ids&gt;&lt;item&gt;95&lt;/item&gt;&lt;item&gt;97&lt;/item&gt;&lt;item&gt;98&lt;/item&gt;&lt;item&gt;99&lt;/item&gt;&lt;item&gt;102&lt;/item&gt;&lt;item&gt;103&lt;/item&gt;&lt;item&gt;104&lt;/item&gt;&lt;item&gt;107&lt;/item&gt;&lt;item&gt;108&lt;/item&gt;&lt;item&gt;111&lt;/item&gt;&lt;item&gt;112&lt;/item&gt;&lt;item&gt;113&lt;/item&gt;&lt;item&gt;123&lt;/item&gt;&lt;item&gt;124&lt;/item&gt;&lt;item&gt;125&lt;/item&gt;&lt;item&gt;126&lt;/item&gt;&lt;item&gt;127&lt;/item&gt;&lt;item&gt;130&lt;/item&gt;&lt;item&gt;132&lt;/item&gt;&lt;item&gt;135&lt;/item&gt;&lt;item&gt;137&lt;/item&gt;&lt;item&gt;138&lt;/item&gt;&lt;item&gt;139&lt;/item&gt;&lt;item&gt;142&lt;/item&gt;&lt;item&gt;153&lt;/item&gt;&lt;item&gt;154&lt;/item&gt;&lt;item&gt;156&lt;/item&gt;&lt;item&gt;157&lt;/item&gt;&lt;item&gt;158&lt;/item&gt;&lt;item&gt;159&lt;/item&gt;&lt;item&gt;160&lt;/item&gt;&lt;item&gt;161&lt;/item&gt;&lt;item&gt;162&lt;/item&gt;&lt;item&gt;163&lt;/item&gt;&lt;item&gt;164&lt;/item&gt;&lt;item&gt;165&lt;/item&gt;&lt;item&gt;166&lt;/item&gt;&lt;item&gt;169&lt;/item&gt;&lt;item&gt;170&lt;/item&gt;&lt;item&gt;171&lt;/item&gt;&lt;/record-ids&gt;&lt;/item&gt;&lt;/Libraries&gt;"/>
  </w:docVars>
  <w:rsids>
    <w:rsidRoot w:val="003B4E19"/>
    <w:rsid w:val="00012DE3"/>
    <w:rsid w:val="00015F66"/>
    <w:rsid w:val="0001785F"/>
    <w:rsid w:val="00025941"/>
    <w:rsid w:val="00046DD7"/>
    <w:rsid w:val="00063929"/>
    <w:rsid w:val="000B4F8B"/>
    <w:rsid w:val="000B59C1"/>
    <w:rsid w:val="000B7ADE"/>
    <w:rsid w:val="000C37E5"/>
    <w:rsid w:val="000C3B02"/>
    <w:rsid w:val="000E0044"/>
    <w:rsid w:val="000F04F4"/>
    <w:rsid w:val="00154BEE"/>
    <w:rsid w:val="001661AD"/>
    <w:rsid w:val="001B3149"/>
    <w:rsid w:val="001F3FB6"/>
    <w:rsid w:val="002244B4"/>
    <w:rsid w:val="00253B79"/>
    <w:rsid w:val="002A6FF5"/>
    <w:rsid w:val="00314485"/>
    <w:rsid w:val="003253F5"/>
    <w:rsid w:val="00341B15"/>
    <w:rsid w:val="00370E9D"/>
    <w:rsid w:val="003923BD"/>
    <w:rsid w:val="003B4E19"/>
    <w:rsid w:val="003C63C7"/>
    <w:rsid w:val="003C6A14"/>
    <w:rsid w:val="003F2A66"/>
    <w:rsid w:val="003F6E2F"/>
    <w:rsid w:val="004006F7"/>
    <w:rsid w:val="004013D6"/>
    <w:rsid w:val="0040367E"/>
    <w:rsid w:val="004062DD"/>
    <w:rsid w:val="0045668A"/>
    <w:rsid w:val="004647F9"/>
    <w:rsid w:val="004805FB"/>
    <w:rsid w:val="00492FB1"/>
    <w:rsid w:val="004B62DA"/>
    <w:rsid w:val="004B6D1C"/>
    <w:rsid w:val="0050766E"/>
    <w:rsid w:val="00524023"/>
    <w:rsid w:val="0052532D"/>
    <w:rsid w:val="00546994"/>
    <w:rsid w:val="0055793C"/>
    <w:rsid w:val="005843B9"/>
    <w:rsid w:val="005B7DFC"/>
    <w:rsid w:val="005C5E4C"/>
    <w:rsid w:val="005D55FD"/>
    <w:rsid w:val="00610191"/>
    <w:rsid w:val="00636D47"/>
    <w:rsid w:val="00640355"/>
    <w:rsid w:val="006405FD"/>
    <w:rsid w:val="00642CBE"/>
    <w:rsid w:val="0065196A"/>
    <w:rsid w:val="0065407F"/>
    <w:rsid w:val="006A2985"/>
    <w:rsid w:val="007278B0"/>
    <w:rsid w:val="007459FD"/>
    <w:rsid w:val="00756041"/>
    <w:rsid w:val="00756EBE"/>
    <w:rsid w:val="0075778A"/>
    <w:rsid w:val="0077016F"/>
    <w:rsid w:val="00774D9A"/>
    <w:rsid w:val="00775613"/>
    <w:rsid w:val="0078260E"/>
    <w:rsid w:val="007853A3"/>
    <w:rsid w:val="007B7AA0"/>
    <w:rsid w:val="007D77A9"/>
    <w:rsid w:val="007E356A"/>
    <w:rsid w:val="007F2664"/>
    <w:rsid w:val="00815AFF"/>
    <w:rsid w:val="0082562F"/>
    <w:rsid w:val="00841D3B"/>
    <w:rsid w:val="008A3690"/>
    <w:rsid w:val="008C0690"/>
    <w:rsid w:val="00933CDD"/>
    <w:rsid w:val="0096283E"/>
    <w:rsid w:val="00970B4A"/>
    <w:rsid w:val="00980397"/>
    <w:rsid w:val="00992217"/>
    <w:rsid w:val="009A121B"/>
    <w:rsid w:val="009A2A9D"/>
    <w:rsid w:val="009A558F"/>
    <w:rsid w:val="009C5359"/>
    <w:rsid w:val="009E7453"/>
    <w:rsid w:val="009F5944"/>
    <w:rsid w:val="00A1252D"/>
    <w:rsid w:val="00A14FB3"/>
    <w:rsid w:val="00A327B3"/>
    <w:rsid w:val="00A43169"/>
    <w:rsid w:val="00A449F0"/>
    <w:rsid w:val="00A46EA6"/>
    <w:rsid w:val="00A91799"/>
    <w:rsid w:val="00AB492F"/>
    <w:rsid w:val="00AC2054"/>
    <w:rsid w:val="00AC2498"/>
    <w:rsid w:val="00AD70A3"/>
    <w:rsid w:val="00AF3808"/>
    <w:rsid w:val="00B1682D"/>
    <w:rsid w:val="00B16F2B"/>
    <w:rsid w:val="00B17EE2"/>
    <w:rsid w:val="00B52EE4"/>
    <w:rsid w:val="00B60527"/>
    <w:rsid w:val="00B840FE"/>
    <w:rsid w:val="00B85E52"/>
    <w:rsid w:val="00B947F0"/>
    <w:rsid w:val="00B95683"/>
    <w:rsid w:val="00BC7517"/>
    <w:rsid w:val="00BF4711"/>
    <w:rsid w:val="00C06055"/>
    <w:rsid w:val="00C21D41"/>
    <w:rsid w:val="00C723C7"/>
    <w:rsid w:val="00CD1BF7"/>
    <w:rsid w:val="00CD30E4"/>
    <w:rsid w:val="00D17170"/>
    <w:rsid w:val="00D31C6E"/>
    <w:rsid w:val="00D85512"/>
    <w:rsid w:val="00DE6C9A"/>
    <w:rsid w:val="00E20F18"/>
    <w:rsid w:val="00E437E5"/>
    <w:rsid w:val="00E709DC"/>
    <w:rsid w:val="00E73BEB"/>
    <w:rsid w:val="00E91A27"/>
    <w:rsid w:val="00ED49DE"/>
    <w:rsid w:val="00F43938"/>
    <w:rsid w:val="00F810EC"/>
    <w:rsid w:val="00F87B6A"/>
    <w:rsid w:val="00F9790A"/>
    <w:rsid w:val="00FA40CA"/>
    <w:rsid w:val="00FA6362"/>
    <w:rsid w:val="00FD144F"/>
    <w:rsid w:val="00FD348F"/>
    <w:rsid w:val="00FE3AE0"/>
    <w:rsid w:val="00FF29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9D1DD"/>
  <w15:chartTrackingRefBased/>
  <w15:docId w15:val="{5086BBF4-25EB-431B-9513-2301637D3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605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样式1"/>
    <w:basedOn w:val="a1"/>
    <w:uiPriority w:val="99"/>
    <w:rsid w:val="003253F5"/>
    <w:tblPr>
      <w:tblBorders>
        <w:bottom w:val="single" w:sz="4" w:space="0" w:color="auto"/>
      </w:tblBorders>
    </w:tblPr>
    <w:tblStylePr w:type="firstRow">
      <w:tblPr/>
      <w:tcPr>
        <w:tcBorders>
          <w:top w:val="single" w:sz="4" w:space="0" w:color="auto"/>
          <w:bottom w:val="single" w:sz="4" w:space="0" w:color="auto"/>
        </w:tcBorders>
      </w:tcPr>
    </w:tblStylePr>
    <w:tblStylePr w:type="lastRow">
      <w:tblPr/>
      <w:tcPr>
        <w:tcBorders>
          <w:bottom w:val="single" w:sz="4" w:space="0" w:color="auto"/>
        </w:tcBorders>
      </w:tcPr>
    </w:tblStylePr>
  </w:style>
  <w:style w:type="paragraph" w:styleId="a3">
    <w:name w:val="List Paragraph"/>
    <w:basedOn w:val="a"/>
    <w:uiPriority w:val="34"/>
    <w:qFormat/>
    <w:rsid w:val="009C5359"/>
    <w:pPr>
      <w:ind w:firstLineChars="200" w:firstLine="420"/>
    </w:pPr>
  </w:style>
  <w:style w:type="paragraph" w:styleId="a4">
    <w:name w:val="header"/>
    <w:basedOn w:val="a"/>
    <w:link w:val="a5"/>
    <w:uiPriority w:val="99"/>
    <w:unhideWhenUsed/>
    <w:rsid w:val="004647F9"/>
    <w:pPr>
      <w:tabs>
        <w:tab w:val="center" w:pos="4153"/>
        <w:tab w:val="right" w:pos="8306"/>
      </w:tabs>
      <w:snapToGrid w:val="0"/>
      <w:jc w:val="center"/>
    </w:pPr>
    <w:rPr>
      <w:sz w:val="18"/>
      <w:szCs w:val="18"/>
    </w:rPr>
  </w:style>
  <w:style w:type="character" w:customStyle="1" w:styleId="a5">
    <w:name w:val="页眉 字符"/>
    <w:basedOn w:val="a0"/>
    <w:link w:val="a4"/>
    <w:uiPriority w:val="99"/>
    <w:rsid w:val="004647F9"/>
    <w:rPr>
      <w:sz w:val="18"/>
      <w:szCs w:val="18"/>
    </w:rPr>
  </w:style>
  <w:style w:type="paragraph" w:styleId="a6">
    <w:name w:val="footer"/>
    <w:basedOn w:val="a"/>
    <w:link w:val="a7"/>
    <w:uiPriority w:val="99"/>
    <w:unhideWhenUsed/>
    <w:rsid w:val="004647F9"/>
    <w:pPr>
      <w:tabs>
        <w:tab w:val="center" w:pos="4153"/>
        <w:tab w:val="right" w:pos="8306"/>
      </w:tabs>
      <w:snapToGrid w:val="0"/>
      <w:jc w:val="left"/>
    </w:pPr>
    <w:rPr>
      <w:sz w:val="18"/>
      <w:szCs w:val="18"/>
    </w:rPr>
  </w:style>
  <w:style w:type="character" w:customStyle="1" w:styleId="a7">
    <w:name w:val="页脚 字符"/>
    <w:basedOn w:val="a0"/>
    <w:link w:val="a6"/>
    <w:uiPriority w:val="99"/>
    <w:rsid w:val="004647F9"/>
    <w:rPr>
      <w:sz w:val="18"/>
      <w:szCs w:val="18"/>
    </w:rPr>
  </w:style>
  <w:style w:type="character" w:styleId="a8">
    <w:name w:val="annotation reference"/>
    <w:basedOn w:val="a0"/>
    <w:uiPriority w:val="99"/>
    <w:semiHidden/>
    <w:unhideWhenUsed/>
    <w:rsid w:val="00F43938"/>
    <w:rPr>
      <w:sz w:val="21"/>
      <w:szCs w:val="21"/>
    </w:rPr>
  </w:style>
  <w:style w:type="paragraph" w:styleId="a9">
    <w:name w:val="annotation text"/>
    <w:basedOn w:val="a"/>
    <w:link w:val="aa"/>
    <w:uiPriority w:val="99"/>
    <w:unhideWhenUsed/>
    <w:rsid w:val="00F43938"/>
    <w:pPr>
      <w:jc w:val="left"/>
    </w:pPr>
    <w:rPr>
      <w:rFonts w:ascii="Verdana" w:eastAsia="Verdana" w:hAnsi="Verdana"/>
      <w:sz w:val="24"/>
    </w:rPr>
  </w:style>
  <w:style w:type="character" w:customStyle="1" w:styleId="aa">
    <w:name w:val="批注文字 字符"/>
    <w:basedOn w:val="a0"/>
    <w:link w:val="a9"/>
    <w:uiPriority w:val="99"/>
    <w:rsid w:val="00F43938"/>
    <w:rPr>
      <w:rFonts w:ascii="Verdana" w:eastAsia="Verdana" w:hAnsi="Verdana"/>
      <w:sz w:val="24"/>
    </w:rPr>
  </w:style>
  <w:style w:type="paragraph" w:customStyle="1" w:styleId="EndNoteBibliographyTitle">
    <w:name w:val="EndNote Bibliography Title"/>
    <w:basedOn w:val="a"/>
    <w:link w:val="EndNoteBibliographyTitle0"/>
    <w:rsid w:val="00E91A27"/>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E91A27"/>
    <w:rPr>
      <w:rFonts w:ascii="等线" w:eastAsia="等线" w:hAnsi="等线"/>
      <w:noProof/>
      <w:sz w:val="20"/>
    </w:rPr>
  </w:style>
  <w:style w:type="paragraph" w:customStyle="1" w:styleId="EndNoteBibliography">
    <w:name w:val="EndNote Bibliography"/>
    <w:basedOn w:val="a"/>
    <w:link w:val="EndNoteBibliography0"/>
    <w:rsid w:val="00E91A27"/>
    <w:rPr>
      <w:rFonts w:ascii="等线" w:eastAsia="等线" w:hAnsi="等线"/>
      <w:noProof/>
      <w:sz w:val="20"/>
    </w:rPr>
  </w:style>
  <w:style w:type="character" w:customStyle="1" w:styleId="EndNoteBibliography0">
    <w:name w:val="EndNote Bibliography 字符"/>
    <w:basedOn w:val="a0"/>
    <w:link w:val="EndNoteBibliography"/>
    <w:rsid w:val="00E91A27"/>
    <w:rPr>
      <w:rFonts w:ascii="等线" w:eastAsia="等线" w:hAnsi="等线"/>
      <w:noProof/>
      <w:sz w:val="20"/>
    </w:rPr>
  </w:style>
  <w:style w:type="character" w:styleId="ab">
    <w:name w:val="Hyperlink"/>
    <w:basedOn w:val="a0"/>
    <w:uiPriority w:val="99"/>
    <w:unhideWhenUsed/>
    <w:rsid w:val="00E91A27"/>
    <w:rPr>
      <w:color w:val="0563C1" w:themeColor="hyperlink"/>
      <w:u w:val="single"/>
    </w:rPr>
  </w:style>
  <w:style w:type="character" w:styleId="ac">
    <w:name w:val="Unresolved Mention"/>
    <w:basedOn w:val="a0"/>
    <w:uiPriority w:val="99"/>
    <w:semiHidden/>
    <w:unhideWhenUsed/>
    <w:rsid w:val="00E91A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45743">
      <w:bodyDiv w:val="1"/>
      <w:marLeft w:val="0"/>
      <w:marRight w:val="0"/>
      <w:marTop w:val="0"/>
      <w:marBottom w:val="0"/>
      <w:divBdr>
        <w:top w:val="none" w:sz="0" w:space="0" w:color="auto"/>
        <w:left w:val="none" w:sz="0" w:space="0" w:color="auto"/>
        <w:bottom w:val="none" w:sz="0" w:space="0" w:color="auto"/>
        <w:right w:val="none" w:sz="0" w:space="0" w:color="auto"/>
      </w:divBdr>
    </w:div>
    <w:div w:id="170486369">
      <w:bodyDiv w:val="1"/>
      <w:marLeft w:val="0"/>
      <w:marRight w:val="0"/>
      <w:marTop w:val="0"/>
      <w:marBottom w:val="0"/>
      <w:divBdr>
        <w:top w:val="none" w:sz="0" w:space="0" w:color="auto"/>
        <w:left w:val="none" w:sz="0" w:space="0" w:color="auto"/>
        <w:bottom w:val="none" w:sz="0" w:space="0" w:color="auto"/>
        <w:right w:val="none" w:sz="0" w:space="0" w:color="auto"/>
      </w:divBdr>
    </w:div>
    <w:div w:id="524565090">
      <w:bodyDiv w:val="1"/>
      <w:marLeft w:val="0"/>
      <w:marRight w:val="0"/>
      <w:marTop w:val="0"/>
      <w:marBottom w:val="0"/>
      <w:divBdr>
        <w:top w:val="none" w:sz="0" w:space="0" w:color="auto"/>
        <w:left w:val="none" w:sz="0" w:space="0" w:color="auto"/>
        <w:bottom w:val="none" w:sz="0" w:space="0" w:color="auto"/>
        <w:right w:val="none" w:sz="0" w:space="0" w:color="auto"/>
      </w:divBdr>
    </w:div>
    <w:div w:id="981272217">
      <w:bodyDiv w:val="1"/>
      <w:marLeft w:val="0"/>
      <w:marRight w:val="0"/>
      <w:marTop w:val="0"/>
      <w:marBottom w:val="0"/>
      <w:divBdr>
        <w:top w:val="none" w:sz="0" w:space="0" w:color="auto"/>
        <w:left w:val="none" w:sz="0" w:space="0" w:color="auto"/>
        <w:bottom w:val="none" w:sz="0" w:space="0" w:color="auto"/>
        <w:right w:val="none" w:sz="0" w:space="0" w:color="auto"/>
      </w:divBdr>
    </w:div>
    <w:div w:id="1400404943">
      <w:bodyDiv w:val="1"/>
      <w:marLeft w:val="0"/>
      <w:marRight w:val="0"/>
      <w:marTop w:val="0"/>
      <w:marBottom w:val="0"/>
      <w:divBdr>
        <w:top w:val="none" w:sz="0" w:space="0" w:color="auto"/>
        <w:left w:val="none" w:sz="0" w:space="0" w:color="auto"/>
        <w:bottom w:val="none" w:sz="0" w:space="0" w:color="auto"/>
        <w:right w:val="none" w:sz="0" w:space="0" w:color="auto"/>
      </w:divBdr>
    </w:div>
    <w:div w:id="1996642926">
      <w:bodyDiv w:val="1"/>
      <w:marLeft w:val="0"/>
      <w:marRight w:val="0"/>
      <w:marTop w:val="0"/>
      <w:marBottom w:val="0"/>
      <w:divBdr>
        <w:top w:val="none" w:sz="0" w:space="0" w:color="auto"/>
        <w:left w:val="none" w:sz="0" w:space="0" w:color="auto"/>
        <w:bottom w:val="none" w:sz="0" w:space="0" w:color="auto"/>
        <w:right w:val="none" w:sz="0" w:space="0" w:color="auto"/>
      </w:divBdr>
    </w:div>
    <w:div w:id="2109617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19</Pages>
  <Words>11161</Words>
  <Characters>63624</Characters>
  <Application>Microsoft Office Word</Application>
  <DocSecurity>0</DocSecurity>
  <Lines>530</Lines>
  <Paragraphs>149</Paragraphs>
  <ScaleCrop>false</ScaleCrop>
  <Company/>
  <LinksUpToDate>false</LinksUpToDate>
  <CharactersWithSpaces>74636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文邦 牛</dc:creator>
  <cp:keywords/>
  <dc:description/>
  <cp:lastModifiedBy>Wenbang Niu</cp:lastModifiedBy>
  <cp:revision>7</cp:revision>
  <dcterms:created xsi:type="dcterms:W3CDTF">2024-04-26T12:24:00Z</dcterms:created>
  <dcterms:modified xsi:type="dcterms:W3CDTF">2025-01-27T15:01:00Z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id="dzr1u04d"/&gt;&lt;style id="http://www.zotero.org/styles/nature" hasBibliography="1" bibliographyStyleHasBeenSet="0"/&gt;&lt;prefs&gt;&lt;pref name="fieldType" value="Field"/&gt;&lt;/prefs&gt;&lt;/data&gt;</vt:lpwstr>
  </property>
</Properties>
</file>