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655" w:rsidRDefault="00F80781">
      <w:pPr>
        <w:pStyle w:val="Nadpis1"/>
        <w:jc w:val="both"/>
        <w:rPr>
          <w:rFonts w:ascii="Times New Roman" w:eastAsia="Times New Roman" w:hAnsi="Times New Roman" w:cs="Times New Roman"/>
        </w:rPr>
      </w:pPr>
      <w:r>
        <w:rPr>
          <w:rFonts w:ascii="Times New Roman" w:eastAsia="Times New Roman" w:hAnsi="Times New Roman" w:cs="Times New Roman"/>
        </w:rPr>
        <w:t>Appendix</w:t>
      </w:r>
    </w:p>
    <w:p w:rsidR="00A92655" w:rsidRDefault="00F80781">
      <w:pPr>
        <w:pStyle w:val="Nadpis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Appendix A </w:t>
      </w:r>
      <w:r>
        <w:rPr>
          <w:rFonts w:ascii="Times New Roman" w:eastAsia="Times New Roman" w:hAnsi="Times New Roman" w:cs="Times New Roman"/>
          <w:sz w:val="32"/>
          <w:szCs w:val="32"/>
        </w:rPr>
        <w:tab/>
        <w:t>Description of the Criterion</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The meta-criterion combines several criteria, each operating on a slightly different principle of determining the optimal number of microstates. The interquartile range (IQR) and the interquartile mean (IQM) are calculated based on all the criterion estima</w:t>
      </w:r>
      <w:r>
        <w:rPr>
          <w:rFonts w:ascii="Times New Roman" w:eastAsia="Times New Roman" w:hAnsi="Times New Roman" w:cs="Times New Roman"/>
          <w:color w:val="000000"/>
        </w:rPr>
        <w:t>tes [1</w:t>
      </w:r>
      <w:r>
        <w:rPr>
          <w:rFonts w:ascii="Times New Roman" w:eastAsia="Times New Roman" w:hAnsi="Times New Roman" w:cs="Times New Roman"/>
          <w:color w:val="000000"/>
        </w:rPr>
        <w:t>]. The meta-criterion may include, for example, the following criteria: Davies and Bouldin [2</w:t>
      </w:r>
      <w:r>
        <w:rPr>
          <w:rFonts w:ascii="Times New Roman" w:eastAsia="Times New Roman" w:hAnsi="Times New Roman" w:cs="Times New Roman"/>
          <w:color w:val="000000"/>
        </w:rPr>
        <w:t>], KL [3</w:t>
      </w:r>
      <w:r>
        <w:rPr>
          <w:rFonts w:ascii="Times New Roman" w:eastAsia="Times New Roman" w:hAnsi="Times New Roman" w:cs="Times New Roman"/>
          <w:color w:val="000000"/>
        </w:rPr>
        <w:t>], Dunn’s [4,5</w:t>
      </w:r>
      <w:r>
        <w:rPr>
          <w:rFonts w:ascii="Times New Roman" w:eastAsia="Times New Roman" w:hAnsi="Times New Roman" w:cs="Times New Roman"/>
          <w:color w:val="000000"/>
        </w:rPr>
        <w:t xml:space="preserve">], Frey and Van </w:t>
      </w:r>
      <w:proofErr w:type="spellStart"/>
      <w:r>
        <w:rPr>
          <w:rFonts w:ascii="Times New Roman" w:eastAsia="Times New Roman" w:hAnsi="Times New Roman" w:cs="Times New Roman"/>
          <w:color w:val="000000"/>
        </w:rPr>
        <w:t>Groenewoud’s</w:t>
      </w:r>
      <w:proofErr w:type="spellEnd"/>
      <w:r>
        <w:rPr>
          <w:rFonts w:ascii="Times New Roman" w:eastAsia="Times New Roman" w:hAnsi="Times New Roman" w:cs="Times New Roman"/>
          <w:color w:val="000000"/>
        </w:rPr>
        <w:t xml:space="preserve"> criterion [5,6</w:t>
      </w:r>
      <w:r>
        <w:rPr>
          <w:rFonts w:ascii="Times New Roman" w:eastAsia="Times New Roman" w:hAnsi="Times New Roman" w:cs="Times New Roman"/>
          <w:color w:val="000000"/>
        </w:rPr>
        <w:t>], and dispersion criterion [7</w:t>
      </w:r>
      <w:r>
        <w:rPr>
          <w:rFonts w:ascii="Times New Roman" w:eastAsia="Times New Roman" w:hAnsi="Times New Roman" w:cs="Times New Roman"/>
          <w:color w:val="000000"/>
        </w:rPr>
        <w:t>].</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most commonly used criterion is </w:t>
      </w:r>
      <w:r>
        <w:rPr>
          <w:rFonts w:ascii="Times New Roman" w:eastAsia="Times New Roman" w:hAnsi="Times New Roman" w:cs="Times New Roman"/>
        </w:rPr>
        <w:t>cross-validat</w:t>
      </w:r>
      <w:r>
        <w:rPr>
          <w:rFonts w:ascii="Times New Roman" w:eastAsia="Times New Roman" w:hAnsi="Times New Roman" w:cs="Times New Roman"/>
        </w:rPr>
        <w:t>ion</w:t>
      </w:r>
      <w:r>
        <w:rPr>
          <w:rFonts w:ascii="Times New Roman" w:eastAsia="Times New Roman" w:hAnsi="Times New Roman" w:cs="Times New Roman"/>
          <w:color w:val="000000"/>
        </w:rPr>
        <w:t xml:space="preserve"> (CV), which was introduced in Pascual-</w:t>
      </w:r>
      <w:proofErr w:type="spellStart"/>
      <w:r>
        <w:rPr>
          <w:rFonts w:ascii="Times New Roman" w:eastAsia="Times New Roman" w:hAnsi="Times New Roman" w:cs="Times New Roman"/>
          <w:color w:val="000000"/>
        </w:rPr>
        <w:t>Marqui</w:t>
      </w:r>
      <w:proofErr w:type="spellEnd"/>
      <w:r>
        <w:rPr>
          <w:rFonts w:ascii="Times New Roman" w:eastAsia="Times New Roman" w:hAnsi="Times New Roman" w:cs="Times New Roman"/>
          <w:color w:val="000000"/>
        </w:rPr>
        <w:t xml:space="preserve"> et al. [8</w:t>
      </w:r>
      <w:r>
        <w:rPr>
          <w:rFonts w:ascii="Times New Roman" w:eastAsia="Times New Roman" w:hAnsi="Times New Roman" w:cs="Times New Roman"/>
          <w:color w:val="000000"/>
        </w:rPr>
        <w:t>]. This measure is related to residual noise, and the objective is to obtain a low value of CV, which is defined by the following equation:</w:t>
      </w:r>
    </w:p>
    <w:p w:rsidR="00A92655" w:rsidRDefault="00F80781">
      <w:pPr>
        <w:jc w:val="center"/>
        <w:rPr>
          <w:rFonts w:ascii="Cambria Math" w:eastAsia="Cambria Math" w:hAnsi="Cambria Math" w:cs="Cambria Math"/>
          <w:color w:val="000000"/>
        </w:rPr>
      </w:pPr>
      <m:oMathPara>
        <m:oMath>
          <m:r>
            <w:rPr>
              <w:rFonts w:ascii="Cambria Math" w:eastAsia="Cambria Math" w:hAnsi="Cambria Math" w:cs="Cambria Math"/>
              <w:color w:val="000000"/>
            </w:rPr>
            <m:t>CV</m:t>
          </m:r>
          <m:r>
            <w:rPr>
              <w:rFonts w:ascii="Cambria Math" w:eastAsia="Cambria Math" w:hAnsi="Cambria Math" w:cs="Cambria Math"/>
              <w:color w:val="000000"/>
            </w:rPr>
            <m:t>=</m:t>
          </m:r>
          <m:sSup>
            <m:sSupPr>
              <m:ctrlPr>
                <w:rPr>
                  <w:rFonts w:ascii="Cambria Math" w:eastAsia="Cambria Math" w:hAnsi="Cambria Math" w:cs="Cambria Math"/>
                  <w:color w:val="000000"/>
                </w:rPr>
              </m:ctrlPr>
            </m:sSupPr>
            <m:e>
              <m:r>
                <w:rPr>
                  <w:rFonts w:ascii="Cambria Math" w:eastAsia="Cambria Math" w:hAnsi="Cambria Math" w:cs="Cambria Math"/>
                  <w:color w:val="000000"/>
                </w:rPr>
                <m:t>δ</m:t>
              </m:r>
            </m:e>
            <m:sup>
              <m:r>
                <w:rPr>
                  <w:rFonts w:ascii="Cambria Math" w:eastAsia="Cambria Math" w:hAnsi="Cambria Math" w:cs="Cambria Math"/>
                  <w:color w:val="000000"/>
                </w:rPr>
                <m:t>2</m:t>
              </m:r>
            </m:sup>
          </m:sSup>
          <m:r>
            <w:rPr>
              <w:rFonts w:ascii="Cambria Math" w:eastAsia="Cambria Math" w:hAnsi="Cambria Math" w:cs="Cambria Math"/>
              <w:color w:val="000000"/>
            </w:rPr>
            <m:t>⋅</m:t>
          </m:r>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C</m:t>
                      </m:r>
                      <m:r>
                        <w:rPr>
                          <w:rFonts w:ascii="Cambria Math" w:eastAsia="Cambria Math" w:hAnsi="Cambria Math" w:cs="Cambria Math"/>
                          <w:color w:val="000000"/>
                        </w:rPr>
                        <m:t>-</m:t>
                      </m:r>
                      <m:r>
                        <w:rPr>
                          <w:rFonts w:ascii="Cambria Math" w:eastAsia="Cambria Math" w:hAnsi="Cambria Math" w:cs="Cambria Math"/>
                          <w:color w:val="000000"/>
                        </w:rPr>
                        <m:t>1</m:t>
                      </m:r>
                    </m:num>
                    <m:den>
                      <m:r>
                        <w:rPr>
                          <w:rFonts w:ascii="Cambria Math" w:eastAsia="Cambria Math" w:hAnsi="Cambria Math" w:cs="Cambria Math"/>
                          <w:color w:val="000000"/>
                        </w:rPr>
                        <m:t>C</m:t>
                      </m:r>
                      <m:r>
                        <w:rPr>
                          <w:rFonts w:ascii="Cambria Math" w:eastAsia="Cambria Math" w:hAnsi="Cambria Math" w:cs="Cambria Math"/>
                          <w:color w:val="000000"/>
                        </w:rPr>
                        <m:t>-</m:t>
                      </m:r>
                      <m:r>
                        <w:rPr>
                          <w:rFonts w:ascii="Cambria Math" w:eastAsia="Cambria Math" w:hAnsi="Cambria Math" w:cs="Cambria Math"/>
                          <w:color w:val="000000"/>
                        </w:rPr>
                        <m:t>K</m:t>
                      </m:r>
                      <m:r>
                        <w:rPr>
                          <w:rFonts w:ascii="Cambria Math" w:eastAsia="Cambria Math" w:hAnsi="Cambria Math" w:cs="Cambria Math"/>
                          <w:color w:val="000000"/>
                        </w:rPr>
                        <m:t>-</m:t>
                      </m:r>
                      <m:r>
                        <w:rPr>
                          <w:rFonts w:ascii="Cambria Math" w:eastAsia="Cambria Math" w:hAnsi="Cambria Math" w:cs="Cambria Math"/>
                          <w:color w:val="000000"/>
                        </w:rPr>
                        <m:t>1</m:t>
                      </m:r>
                    </m:den>
                  </m:f>
                </m:e>
              </m:d>
            </m:e>
            <m:sup>
              <m:r>
                <w:rPr>
                  <w:rFonts w:ascii="Cambria Math" w:eastAsia="Cambria Math" w:hAnsi="Cambria Math" w:cs="Cambria Math"/>
                  <w:color w:val="000000"/>
                </w:rPr>
                <m:t>2</m:t>
              </m:r>
            </m:sup>
          </m:sSup>
          <m:r>
            <w:rPr>
              <w:rFonts w:ascii="Cambria Math" w:eastAsia="Cambria Math" w:hAnsi="Cambria Math" w:cs="Cambria Math"/>
              <w:color w:val="000000"/>
            </w:rPr>
            <m:t>,</m:t>
          </m:r>
        </m:oMath>
      </m:oMathPara>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 </w:t>
      </w:r>
      <m:oMath>
        <m:sSup>
          <m:sSupPr>
            <m:ctrlPr>
              <w:rPr>
                <w:rFonts w:ascii="Cambria Math" w:eastAsia="Cambria Math" w:hAnsi="Cambria Math" w:cs="Cambria Math"/>
                <w:color w:val="000000"/>
              </w:rPr>
            </m:ctrlPr>
          </m:sSupPr>
          <m:e>
            <m:r>
              <w:rPr>
                <w:rFonts w:ascii="Cambria Math" w:hAnsi="Cambria Math"/>
              </w:rPr>
              <m:t>δ</m:t>
            </m:r>
          </m:e>
          <m:sup>
            <m:r>
              <w:rPr>
                <w:rFonts w:ascii="Cambria Math" w:eastAsia="Cambria Math" w:hAnsi="Cambria Math" w:cs="Cambria Math"/>
                <w:color w:val="000000"/>
              </w:rPr>
              <m:t>2</m:t>
            </m:r>
          </m:sup>
        </m:sSup>
      </m:oMath>
      <w:r>
        <w:rPr>
          <w:rFonts w:ascii="Times New Roman" w:eastAsia="Times New Roman" w:hAnsi="Times New Roman" w:cs="Times New Roman"/>
          <w:color w:val="000000"/>
        </w:rPr>
        <w:t xml:space="preserve"> defines the estimation o</w:t>
      </w:r>
      <w:r>
        <w:rPr>
          <w:rFonts w:ascii="Times New Roman" w:eastAsia="Times New Roman" w:hAnsi="Times New Roman" w:cs="Times New Roman"/>
          <w:color w:val="000000"/>
        </w:rPr>
        <w:t xml:space="preserve">f variance of the residual noise, </w:t>
      </w:r>
      <m:oMath>
        <m:r>
          <w:rPr>
            <w:rFonts w:ascii="Cambria Math" w:eastAsia="Cambria Math" w:hAnsi="Cambria Math" w:cs="Cambria Math"/>
            <w:color w:val="000000"/>
          </w:rPr>
          <m:t>C</m:t>
        </m:r>
      </m:oMath>
      <w:r>
        <w:rPr>
          <w:rFonts w:ascii="Times New Roman" w:eastAsia="Times New Roman" w:hAnsi="Times New Roman" w:cs="Times New Roman"/>
          <w:color w:val="000000"/>
        </w:rPr>
        <w:t xml:space="preserve"> is the number of the EEG channels, and </w:t>
      </w:r>
      <m:oMath>
        <m:r>
          <w:rPr>
            <w:rFonts w:ascii="Cambria Math" w:eastAsia="Cambria Math" w:hAnsi="Cambria Math" w:cs="Cambria Math"/>
            <w:color w:val="000000"/>
          </w:rPr>
          <m:t>K</m:t>
        </m:r>
      </m:oMath>
      <w:r>
        <w:rPr>
          <w:rFonts w:ascii="Times New Roman" w:eastAsia="Times New Roman" w:hAnsi="Times New Roman" w:cs="Times New Roman"/>
          <w:color w:val="000000"/>
        </w:rPr>
        <w:t xml:space="preserve"> is the number of clusters [7, 8</w:t>
      </w:r>
      <w:r>
        <w:rPr>
          <w:rFonts w:ascii="Times New Roman" w:eastAsia="Times New Roman" w:hAnsi="Times New Roman" w:cs="Times New Roman"/>
          <w:color w:val="000000"/>
        </w:rPr>
        <w:t>]. However, because CV is a ratio between GEV and the degrees of freedom for a given set of template maps, this criterion is highly sensitive to</w:t>
      </w:r>
      <w:r>
        <w:rPr>
          <w:rFonts w:ascii="Times New Roman" w:eastAsia="Times New Roman" w:hAnsi="Times New Roman" w:cs="Times New Roman"/>
          <w:color w:val="000000"/>
        </w:rPr>
        <w:t xml:space="preserve"> the number of electrodes in the montage [9</w:t>
      </w:r>
      <w:r>
        <w:rPr>
          <w:rFonts w:ascii="Times New Roman" w:eastAsia="Times New Roman" w:hAnsi="Times New Roman" w:cs="Times New Roman"/>
          <w:color w:val="000000"/>
        </w:rPr>
        <w:t>].</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KL criterion was introduced in </w:t>
      </w:r>
      <w:proofErr w:type="spellStart"/>
      <w:r>
        <w:rPr>
          <w:rFonts w:ascii="Times New Roman" w:eastAsia="Times New Roman" w:hAnsi="Times New Roman" w:cs="Times New Roman"/>
          <w:color w:val="000000"/>
        </w:rPr>
        <w:t>Krzanowski</w:t>
      </w:r>
      <w:proofErr w:type="spellEnd"/>
      <w:r>
        <w:rPr>
          <w:rFonts w:ascii="Times New Roman" w:eastAsia="Times New Roman" w:hAnsi="Times New Roman" w:cs="Times New Roman"/>
          <w:color w:val="000000"/>
        </w:rPr>
        <w:t xml:space="preserve"> and Lai 1988 [3</w:t>
      </w:r>
      <w:r>
        <w:rPr>
          <w:rFonts w:ascii="Times New Roman" w:eastAsia="Times New Roman" w:hAnsi="Times New Roman" w:cs="Times New Roman"/>
          <w:color w:val="000000"/>
        </w:rPr>
        <w:t>], as a means of selecting how many clusters to use based on the dispersion measure. High values of KL usually indicate an optimal number of cluste</w:t>
      </w:r>
      <w:r>
        <w:rPr>
          <w:rFonts w:ascii="Times New Roman" w:eastAsia="Times New Roman" w:hAnsi="Times New Roman" w:cs="Times New Roman"/>
          <w:color w:val="000000"/>
        </w:rPr>
        <w:t>rs [7</w:t>
      </w:r>
      <w:r>
        <w:rPr>
          <w:rFonts w:ascii="Times New Roman" w:eastAsia="Times New Roman" w:hAnsi="Times New Roman" w:cs="Times New Roman"/>
          <w:color w:val="000000"/>
        </w:rPr>
        <w:t>]. It works by first calculating a quality measure of segmentation, termed dispersion (</w:t>
      </w:r>
      <m:oMath>
        <m:r>
          <w:rPr>
            <w:rFonts w:ascii="Cambria Math" w:eastAsia="Cambria Math" w:hAnsi="Cambria Math" w:cs="Cambria Math"/>
            <w:color w:val="000000"/>
          </w:rPr>
          <m:t>W</m:t>
        </m:r>
      </m:oMath>
      <w:r>
        <w:rPr>
          <w:rFonts w:ascii="Times New Roman" w:eastAsia="Times New Roman" w:hAnsi="Times New Roman" w:cs="Times New Roman"/>
          <w:color w:val="000000"/>
        </w:rPr>
        <w:t>), which is defined by the following equations:</w:t>
      </w:r>
    </w:p>
    <w:p w:rsidR="00A92655" w:rsidRDefault="00F80781">
      <w:pPr>
        <w:jc w:val="center"/>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k</m:t>
              </m:r>
            </m:sub>
          </m:sSub>
          <m:r>
            <w:rPr>
              <w:rFonts w:ascii="Cambria Math" w:eastAsia="Cambria Math" w:hAnsi="Cambria Math" w:cs="Cambria Math"/>
              <w:color w:val="000000"/>
            </w:rPr>
            <m:t>=</m:t>
          </m:r>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k</m:t>
              </m:r>
            </m:sub>
            <m:sup>
              <m:r>
                <w:rPr>
                  <w:rFonts w:ascii="Cambria Math" w:eastAsia="Cambria Math" w:hAnsi="Cambria Math" w:cs="Cambria Math"/>
                  <w:color w:val="000000"/>
                </w:rPr>
                <m:t>K</m:t>
              </m:r>
            </m:sup>
            <m:e/>
          </m:nary>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k</m:t>
                  </m:r>
                </m:sub>
              </m:sSub>
            </m:num>
            <m:den>
              <m:r>
                <w:rPr>
                  <w:rFonts w:ascii="Cambria Math" w:eastAsia="Cambria Math" w:hAnsi="Cambria Math" w:cs="Cambria Math"/>
                  <w:color w:val="000000"/>
                </w:rPr>
                <m:t>2⋅</m:t>
              </m:r>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k</m:t>
                  </m:r>
                </m:sub>
              </m:sSub>
            </m:den>
          </m:f>
          <m:r>
            <w:rPr>
              <w:rFonts w:ascii="Cambria Math" w:eastAsia="Cambria Math" w:hAnsi="Cambria Math" w:cs="Cambria Math"/>
              <w:color w:val="000000"/>
            </w:rPr>
            <m:t>,</m:t>
          </m:r>
        </m:oMath>
      </m:oMathPara>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where</w:t>
      </w:r>
    </w:p>
    <w:p w:rsidR="00A92655" w:rsidRDefault="00F80781">
      <w:pPr>
        <w:jc w:val="center"/>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k</m:t>
              </m:r>
            </m:sub>
          </m:sSub>
          <m:r>
            <w:rPr>
              <w:rFonts w:ascii="Cambria Math" w:eastAsia="Cambria Math" w:hAnsi="Cambria Math" w:cs="Cambria Math"/>
              <w:color w:val="000000"/>
            </w:rPr>
            <m:t>=</m:t>
          </m:r>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n</m:t>
              </m:r>
            </m:sub>
            <m:sup>
              <m:r>
                <w:rPr>
                  <w:rFonts w:ascii="Cambria Math" w:eastAsia="Cambria Math" w:hAnsi="Cambria Math" w:cs="Cambria Math"/>
                  <w:color w:val="000000"/>
                </w:rPr>
                <m:t>N</m:t>
              </m:r>
            </m:sup>
            <m:e/>
          </m:nary>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n</m:t>
              </m:r>
              <m:r>
                <w:rPr>
                  <w:rFonts w:ascii="Cambria Math" w:eastAsia="Cambria Math" w:hAnsi="Cambria Math" w:cs="Cambria Math"/>
                  <w:color w:val="000000"/>
                </w:rPr>
                <m:t>'</m:t>
              </m:r>
            </m:sub>
            <m:sup>
              <m:r>
                <w:rPr>
                  <w:rFonts w:ascii="Cambria Math" w:eastAsia="Cambria Math" w:hAnsi="Cambria Math" w:cs="Cambria Math"/>
                  <w:color w:val="000000"/>
                </w:rPr>
                <m:t>N</m:t>
              </m:r>
              <m:r>
                <w:rPr>
                  <w:rFonts w:ascii="Cambria Math" w:eastAsia="Cambria Math" w:hAnsi="Cambria Math" w:cs="Cambria Math"/>
                  <w:color w:val="000000"/>
                </w:rPr>
                <m:t>'</m:t>
              </m:r>
            </m:sup>
            <m:e/>
          </m:nary>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n</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n</m:t>
              </m:r>
              <m:r>
                <w:rPr>
                  <w:rFonts w:ascii="Cambria Math" w:eastAsia="Cambria Math" w:hAnsi="Cambria Math" w:cs="Cambria Math"/>
                  <w:color w:val="000000"/>
                </w:rPr>
                <m:t>'</m:t>
              </m:r>
            </m:sub>
          </m:sSub>
          <m:sSup>
            <m:sSupPr>
              <m:ctrlPr>
                <w:rPr>
                  <w:rFonts w:ascii="Cambria Math" w:eastAsia="Cambria Math" w:hAnsi="Cambria Math" w:cs="Cambria Math"/>
                  <w:color w:val="000000"/>
                </w:rPr>
              </m:ctrlPr>
            </m:sSupPr>
            <m:e>
              <m:r>
                <w:rPr>
                  <w:rFonts w:ascii="Cambria Math" w:eastAsia="Cambria Math" w:hAnsi="Cambria Math" w:cs="Cambria Math"/>
                  <w:color w:val="000000"/>
                </w:rPr>
                <m:t>∥</m:t>
              </m:r>
            </m:e>
            <m:sup>
              <m:r>
                <w:rPr>
                  <w:rFonts w:ascii="Cambria Math" w:eastAsia="Cambria Math" w:hAnsi="Cambria Math" w:cs="Cambria Math"/>
                  <w:color w:val="000000"/>
                </w:rPr>
                <m:t>2</m:t>
              </m:r>
            </m:sup>
          </m:sSup>
          <m:r>
            <w:rPr>
              <w:rFonts w:ascii="Cambria Math" w:eastAsia="Cambria Math" w:hAnsi="Cambria Math" w:cs="Cambria Math"/>
              <w:color w:val="000000"/>
            </w:rPr>
            <m:t>,</m:t>
          </m:r>
        </m:oMath>
      </m:oMathPara>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n</m:t>
            </m:r>
          </m:sub>
        </m:sSub>
        <m:r>
          <w:rPr>
            <w:rFonts w:ascii="Cambria Math" w:eastAsia="Cambria Math" w:hAnsi="Cambria Math" w:cs="Cambria Math"/>
            <w:color w:val="000000"/>
          </w:rPr>
          <m:t>=</m:t>
        </m:r>
        <m:r>
          <w:rPr>
            <w:rFonts w:ascii="Cambria Math" w:eastAsia="Cambria Math" w:hAnsi="Cambria Math" w:cs="Cambria Math"/>
            <w:color w:val="000000"/>
          </w:rPr>
          <m:t>k</m:t>
        </m:r>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n</m:t>
            </m:r>
            <m:r>
              <w:rPr>
                <w:rFonts w:ascii="Cambria Math" w:eastAsia="Cambria Math" w:hAnsi="Cambria Math" w:cs="Cambria Math"/>
                <w:color w:val="000000"/>
              </w:rPr>
              <m:t>'</m:t>
            </m:r>
          </m:sub>
        </m:sSub>
        <m:r>
          <w:rPr>
            <w:rFonts w:ascii="Cambria Math" w:eastAsia="Cambria Math" w:hAnsi="Cambria Math" w:cs="Cambria Math"/>
            <w:color w:val="000000"/>
          </w:rPr>
          <m:t>=</m:t>
        </m:r>
        <m:r>
          <w:rPr>
            <w:rFonts w:ascii="Cambria Math" w:eastAsia="Cambria Math" w:hAnsi="Cambria Math" w:cs="Cambria Math"/>
            <w:color w:val="000000"/>
          </w:rPr>
          <m:t>k</m:t>
        </m:r>
      </m:oMath>
      <w:r>
        <w:rPr>
          <w:rFonts w:ascii="Times New Roman" w:eastAsia="Times New Roman" w:hAnsi="Times New Roman" w:cs="Times New Roman"/>
          <w:color w:val="000000"/>
        </w:rPr>
        <w:t xml:space="preserve"> . The variable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k</m:t>
            </m:r>
          </m:sub>
        </m:sSub>
      </m:oMath>
      <w:r>
        <w:rPr>
          <w:rFonts w:ascii="Times New Roman" w:eastAsia="Times New Roman" w:hAnsi="Times New Roman" w:cs="Times New Roman"/>
          <w:color w:val="000000"/>
        </w:rPr>
        <w:t xml:space="preserve"> represents the </w:t>
      </w:r>
      <w:r>
        <w:rPr>
          <w:rFonts w:ascii="Times New Roman" w:eastAsia="Times New Roman" w:hAnsi="Times New Roman" w:cs="Times New Roman"/>
          <w:color w:val="000000"/>
        </w:rPr>
        <w:t xml:space="preserve">sum of the pair-wise distance between all maps of the given cluster </w:t>
      </w:r>
      <m:oMath>
        <m:r>
          <w:rPr>
            <w:rFonts w:ascii="Cambria Math" w:eastAsia="Cambria Math" w:hAnsi="Cambria Math" w:cs="Cambria Math"/>
            <w:color w:val="000000"/>
          </w:rPr>
          <m:t>k</m:t>
        </m:r>
      </m:oMath>
      <w:r>
        <w:rPr>
          <w:rFonts w:ascii="Times New Roman" w:eastAsia="Times New Roman" w:hAnsi="Times New Roman" w:cs="Times New Roman"/>
          <w:color w:val="000000"/>
        </w:rPr>
        <w:t xml:space="preserve">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k</m:t>
            </m:r>
          </m:sub>
        </m:sSub>
      </m:oMath>
      <w:r>
        <w:rPr>
          <w:rFonts w:ascii="Times New Roman" w:eastAsia="Times New Roman" w:hAnsi="Times New Roman" w:cs="Times New Roman"/>
          <w:color w:val="000000"/>
        </w:rPr>
        <w:t xml:space="preserve"> is the number of maps for cluster </w:t>
      </w:r>
      <m:oMath>
        <m:r>
          <w:rPr>
            <w:rFonts w:ascii="Cambria Math" w:eastAsia="Cambria Math" w:hAnsi="Cambria Math" w:cs="Cambria Math"/>
            <w:color w:val="000000"/>
          </w:rPr>
          <m:t>k</m:t>
        </m:r>
      </m:oMath>
      <w:r>
        <w:rPr>
          <w:rFonts w:ascii="Times New Roman" w:eastAsia="Times New Roman" w:hAnsi="Times New Roman" w:cs="Times New Roman"/>
          <w:color w:val="000000"/>
        </w:rPr>
        <w:t>. The following equations then calculate the KL criterion:</w:t>
      </w:r>
    </w:p>
    <w:p w:rsidR="00A92655" w:rsidRDefault="00F80781">
      <w:pPr>
        <w:jc w:val="center"/>
        <w:rPr>
          <w:rFonts w:ascii="Cambria Math" w:eastAsia="Cambria Math" w:hAnsi="Cambria Math" w:cs="Cambria Math"/>
          <w:color w:val="000000"/>
        </w:rPr>
      </w:pPr>
      <m:oMathPara>
        <m:oMath>
          <m:r>
            <w:rPr>
              <w:rFonts w:ascii="Cambria Math" w:eastAsia="Cambria Math" w:hAnsi="Cambria Math" w:cs="Cambria Math"/>
              <w:color w:val="000000"/>
            </w:rPr>
            <m:t>KL</m:t>
          </m:r>
          <m:d>
            <m:dPr>
              <m:ctrlPr>
                <w:rPr>
                  <w:rFonts w:ascii="Cambria Math" w:eastAsia="Cambria Math" w:hAnsi="Cambria Math" w:cs="Cambria Math"/>
                  <w:color w:val="000000"/>
                </w:rPr>
              </m:ctrlPr>
            </m:dPr>
            <m:e>
              <m:r>
                <w:rPr>
                  <w:rFonts w:ascii="Cambria Math" w:eastAsia="Cambria Math" w:hAnsi="Cambria Math" w:cs="Cambria Math"/>
                  <w:color w:val="000000"/>
                </w:rPr>
                <m:t>K</m:t>
              </m:r>
            </m:e>
          </m:d>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DIFF</m:t>
                  </m:r>
                  <m:d>
                    <m:dPr>
                      <m:ctrlPr>
                        <w:rPr>
                          <w:rFonts w:ascii="Cambria Math" w:eastAsia="Cambria Math" w:hAnsi="Cambria Math" w:cs="Cambria Math"/>
                          <w:color w:val="000000"/>
                        </w:rPr>
                      </m:ctrlPr>
                    </m:dPr>
                    <m:e>
                      <m:r>
                        <w:rPr>
                          <w:rFonts w:ascii="Cambria Math" w:eastAsia="Cambria Math" w:hAnsi="Cambria Math" w:cs="Cambria Math"/>
                          <w:color w:val="000000"/>
                        </w:rPr>
                        <m:t>K</m:t>
                      </m:r>
                    </m:e>
                  </m:d>
                </m:num>
                <m:den>
                  <m:r>
                    <w:rPr>
                      <w:rFonts w:ascii="Cambria Math" w:eastAsia="Cambria Math" w:hAnsi="Cambria Math" w:cs="Cambria Math"/>
                      <w:color w:val="000000"/>
                    </w:rPr>
                    <m:t>DIFF</m:t>
                  </m:r>
                  <m:d>
                    <m:dPr>
                      <m:ctrlPr>
                        <w:rPr>
                          <w:rFonts w:ascii="Cambria Math" w:eastAsia="Cambria Math" w:hAnsi="Cambria Math" w:cs="Cambria Math"/>
                          <w:color w:val="000000"/>
                        </w:rPr>
                      </m:ctrlPr>
                    </m:dPr>
                    <m:e>
                      <m:r>
                        <w:rPr>
                          <w:rFonts w:ascii="Cambria Math" w:eastAsia="Cambria Math" w:hAnsi="Cambria Math" w:cs="Cambria Math"/>
                          <w:color w:val="000000"/>
                        </w:rPr>
                        <m:t>K</m:t>
                      </m:r>
                      <m:r>
                        <w:rPr>
                          <w:rFonts w:ascii="Cambria Math" w:eastAsia="Cambria Math" w:hAnsi="Cambria Math" w:cs="Cambria Math"/>
                          <w:color w:val="000000"/>
                        </w:rPr>
                        <m:t>+1</m:t>
                      </m:r>
                    </m:e>
                  </m:d>
                </m:den>
              </m:f>
            </m:e>
          </m:d>
          <m:r>
            <w:rPr>
              <w:rFonts w:ascii="Cambria Math" w:eastAsia="Cambria Math" w:hAnsi="Cambria Math" w:cs="Cambria Math"/>
              <w:color w:val="000000"/>
            </w:rPr>
            <m:t>,</m:t>
          </m:r>
        </m:oMath>
      </m:oMathPara>
    </w:p>
    <w:p w:rsidR="00A92655" w:rsidRDefault="00F80781">
      <w:pPr>
        <w:jc w:val="center"/>
        <w:rPr>
          <w:rFonts w:ascii="Cambria Math" w:eastAsia="Cambria Math" w:hAnsi="Cambria Math" w:cs="Cambria Math"/>
          <w:color w:val="000000"/>
        </w:rPr>
      </w:pPr>
      <m:oMathPara>
        <m:oMath>
          <m:r>
            <w:rPr>
              <w:rFonts w:ascii="Cambria Math" w:eastAsia="Cambria Math" w:hAnsi="Cambria Math" w:cs="Cambria Math"/>
              <w:color w:val="000000"/>
            </w:rPr>
            <m:t>DIFF</m:t>
          </m:r>
          <m:d>
            <m:dPr>
              <m:ctrlPr>
                <w:rPr>
                  <w:rFonts w:ascii="Cambria Math" w:eastAsia="Cambria Math" w:hAnsi="Cambria Math" w:cs="Cambria Math"/>
                  <w:color w:val="000000"/>
                </w:rPr>
              </m:ctrlPr>
            </m:dPr>
            <m:e>
              <m:r>
                <w:rPr>
                  <w:rFonts w:ascii="Cambria Math" w:eastAsia="Cambria Math" w:hAnsi="Cambria Math" w:cs="Cambria Math"/>
                  <w:color w:val="000000"/>
                </w:rPr>
                <m:t>K</m:t>
              </m:r>
            </m:e>
          </m:d>
          <m:r>
            <w:rPr>
              <w:rFonts w:ascii="Cambria Math" w:eastAsia="Cambria Math" w:hAnsi="Cambria Math" w:cs="Cambria Math"/>
              <w:color w:val="000000"/>
            </w:rPr>
            <m:t>=</m:t>
          </m:r>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r>
                    <w:rPr>
                      <w:rFonts w:ascii="Cambria Math" w:eastAsia="Cambria Math" w:hAnsi="Cambria Math" w:cs="Cambria Math"/>
                      <w:color w:val="000000"/>
                    </w:rPr>
                    <m:t>K</m:t>
                  </m:r>
                  <m:r>
                    <w:rPr>
                      <w:rFonts w:ascii="Cambria Math" w:eastAsia="Cambria Math" w:hAnsi="Cambria Math" w:cs="Cambria Math"/>
                      <w:color w:val="000000"/>
                    </w:rPr>
                    <m:t>-</m:t>
                  </m:r>
                  <m:r>
                    <w:rPr>
                      <w:rFonts w:ascii="Cambria Math" w:eastAsia="Cambria Math" w:hAnsi="Cambria Math" w:cs="Cambria Math"/>
                      <w:color w:val="000000"/>
                    </w:rPr>
                    <m:t>1</m:t>
                  </m:r>
                </m:e>
              </m:d>
            </m:e>
            <m:sup>
              <m:f>
                <m:fPr>
                  <m:ctrlPr>
                    <w:rPr>
                      <w:rFonts w:ascii="Cambria Math" w:eastAsia="Cambria Math" w:hAnsi="Cambria Math" w:cs="Cambria Math"/>
                      <w:color w:val="000000"/>
                    </w:rPr>
                  </m:ctrlPr>
                </m:fPr>
                <m:num>
                  <m:r>
                    <w:rPr>
                      <w:rFonts w:ascii="Cambria Math" w:eastAsia="Cambria Math" w:hAnsi="Cambria Math" w:cs="Cambria Math"/>
                      <w:color w:val="000000"/>
                    </w:rPr>
                    <m:t>2</m:t>
                  </m:r>
                </m:num>
                <m:den>
                  <m:r>
                    <w:rPr>
                      <w:rFonts w:ascii="Cambria Math" w:eastAsia="Cambria Math" w:hAnsi="Cambria Math" w:cs="Cambria Math"/>
                      <w:color w:val="000000"/>
                    </w:rPr>
                    <m:t>C</m:t>
                  </m:r>
                </m:den>
              </m:f>
            </m:sup>
          </m:sSup>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K</m:t>
              </m:r>
              <m:r>
                <w:rPr>
                  <w:rFonts w:ascii="Cambria Math" w:eastAsia="Cambria Math" w:hAnsi="Cambria Math" w:cs="Cambria Math"/>
                  <w:color w:val="000000"/>
                </w:rPr>
                <m:t>-</m:t>
              </m:r>
              <m:r>
                <w:rPr>
                  <w:rFonts w:ascii="Cambria Math" w:eastAsia="Cambria Math" w:hAnsi="Cambria Math" w:cs="Cambria Math"/>
                  <w:color w:val="000000"/>
                </w:rPr>
                <m:t>1</m:t>
              </m:r>
            </m:sub>
          </m:sSub>
          <m:r>
            <w:rPr>
              <w:rFonts w:ascii="Cambria Math" w:eastAsia="Cambria Math" w:hAnsi="Cambria Math" w:cs="Cambria Math"/>
              <w:color w:val="000000"/>
            </w:rPr>
            <m:t>-</m:t>
          </m:r>
          <m:sSup>
            <m:sSupPr>
              <m:ctrlPr>
                <w:rPr>
                  <w:rFonts w:ascii="Cambria Math" w:eastAsia="Cambria Math" w:hAnsi="Cambria Math" w:cs="Cambria Math"/>
                  <w:color w:val="000000"/>
                </w:rPr>
              </m:ctrlPr>
            </m:sSupPr>
            <m:e>
              <m:r>
                <w:rPr>
                  <w:rFonts w:ascii="Cambria Math" w:eastAsia="Cambria Math" w:hAnsi="Cambria Math" w:cs="Cambria Math"/>
                  <w:color w:val="000000"/>
                </w:rPr>
                <m:t>K</m:t>
              </m:r>
            </m:e>
            <m:sup>
              <m:f>
                <m:fPr>
                  <m:ctrlPr>
                    <w:rPr>
                      <w:rFonts w:ascii="Cambria Math" w:eastAsia="Cambria Math" w:hAnsi="Cambria Math" w:cs="Cambria Math"/>
                      <w:color w:val="000000"/>
                    </w:rPr>
                  </m:ctrlPr>
                </m:fPr>
                <m:num>
                  <m:r>
                    <w:rPr>
                      <w:rFonts w:ascii="Cambria Math" w:eastAsia="Cambria Math" w:hAnsi="Cambria Math" w:cs="Cambria Math"/>
                      <w:color w:val="000000"/>
                    </w:rPr>
                    <m:t>2</m:t>
                  </m:r>
                </m:num>
                <m:den>
                  <m:r>
                    <w:rPr>
                      <w:rFonts w:ascii="Cambria Math" w:eastAsia="Cambria Math" w:hAnsi="Cambria Math" w:cs="Cambria Math"/>
                      <w:color w:val="000000"/>
                    </w:rPr>
                    <m:t>C</m:t>
                  </m:r>
                </m:den>
              </m:f>
            </m:sup>
          </m:sSup>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K</m:t>
              </m:r>
            </m:sub>
          </m:sSub>
          <m:r>
            <w:rPr>
              <w:rFonts w:ascii="Cambria Math" w:eastAsia="Cambria Math" w:hAnsi="Cambria Math" w:cs="Cambria Math"/>
              <w:color w:val="000000"/>
            </w:rPr>
            <m:t>,</m:t>
          </m:r>
        </m:oMath>
      </m:oMathPara>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k</m:t>
            </m:r>
          </m:sub>
        </m:sSub>
      </m:oMath>
      <w:r>
        <w:rPr>
          <w:rFonts w:ascii="Times New Roman" w:eastAsia="Times New Roman" w:hAnsi="Times New Roman" w:cs="Times New Roman"/>
          <w:color w:val="000000"/>
        </w:rPr>
        <w:t xml:space="preserve"> rep</w:t>
      </w:r>
      <w:r>
        <w:rPr>
          <w:rFonts w:ascii="Times New Roman" w:eastAsia="Times New Roman" w:hAnsi="Times New Roman" w:cs="Times New Roman"/>
          <w:color w:val="000000"/>
        </w:rPr>
        <w:t xml:space="preserve">resents the dispersion as described in the previous equations. The </w:t>
      </w:r>
      <m:oMath>
        <m:r>
          <w:rPr>
            <w:rFonts w:ascii="Cambria Math" w:eastAsia="Cambria Math" w:hAnsi="Cambria Math" w:cs="Cambria Math"/>
            <w:color w:val="000000"/>
          </w:rPr>
          <m:t>KL</m:t>
        </m:r>
      </m:oMath>
      <w:r>
        <w:rPr>
          <w:rFonts w:ascii="Times New Roman" w:eastAsia="Times New Roman" w:hAnsi="Times New Roman" w:cs="Times New Roman"/>
          <w:color w:val="000000"/>
        </w:rPr>
        <w:t xml:space="preserve"> criterion attains large values when an elbow in the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k</m:t>
            </m:r>
          </m:sub>
        </m:sSub>
      </m:oMath>
      <w:r>
        <w:rPr>
          <w:rFonts w:ascii="Times New Roman" w:eastAsia="Times New Roman" w:hAnsi="Times New Roman" w:cs="Times New Roman"/>
          <w:color w:val="000000"/>
        </w:rPr>
        <w:t xml:space="preserve"> curve occurs. [7, </w:t>
      </w:r>
      <w:bookmarkStart w:id="0" w:name="_GoBack"/>
      <w:bookmarkEnd w:id="0"/>
      <w:r>
        <w:rPr>
          <w:rFonts w:ascii="Times New Roman" w:eastAsia="Times New Roman" w:hAnsi="Times New Roman" w:cs="Times New Roman"/>
          <w:color w:val="000000"/>
        </w:rPr>
        <w:t>9</w:t>
      </w:r>
      <w:r>
        <w:rPr>
          <w:rFonts w:ascii="Times New Roman" w:eastAsia="Times New Roman" w:hAnsi="Times New Roman" w:cs="Times New Roman"/>
          <w:color w:val="000000"/>
        </w:rPr>
        <w:t>]</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rPr>
      </w:pPr>
      <w:r>
        <w:rPr>
          <w:rFonts w:ascii="Times New Roman" w:eastAsia="Times New Roman" w:hAnsi="Times New Roman" w:cs="Times New Roman"/>
        </w:rPr>
        <w:t>The boxplot graphs of observed criteria are depicted in Figure A1.</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1" w:name="bookmark=id.3whwml4" w:colFirst="0" w:colLast="0"/>
      <w:bookmarkEnd w:id="1"/>
      <w:r>
        <w:rPr>
          <w:rFonts w:ascii="Times New Roman" w:eastAsia="Times New Roman" w:hAnsi="Times New Roman" w:cs="Times New Roman"/>
          <w:noProof/>
          <w:color w:val="000000"/>
        </w:rPr>
        <w:drawing>
          <wp:inline distT="0" distB="0" distL="0" distR="0">
            <wp:extent cx="5972810" cy="2642235"/>
            <wp:effectExtent l="0" t="0" r="0" b="0"/>
            <wp:docPr id="3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
                    <a:srcRect/>
                    <a:stretch>
                      <a:fillRect/>
                    </a:stretch>
                  </pic:blipFill>
                  <pic:spPr>
                    <a:xfrm>
                      <a:off x="0" y="0"/>
                      <a:ext cx="5972810" cy="2642235"/>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A1 </w:t>
      </w:r>
      <w:r>
        <w:rPr>
          <w:rFonts w:ascii="Times New Roman" w:eastAsia="Times New Roman" w:hAnsi="Times New Roman" w:cs="Times New Roman"/>
          <w:i/>
          <w:color w:val="000000"/>
        </w:rPr>
        <w:t>Optimal number of microstates based on several criteria.</w:t>
      </w:r>
    </w:p>
    <w:p w:rsidR="00A92655" w:rsidRDefault="00F80781">
      <w:pPr>
        <w:rPr>
          <w:rFonts w:ascii="Times New Roman" w:eastAsia="Times New Roman" w:hAnsi="Times New Roman" w:cs="Times New Roman"/>
          <w:color w:val="0F4761"/>
          <w:sz w:val="32"/>
          <w:szCs w:val="32"/>
        </w:rPr>
      </w:pPr>
      <w:bookmarkStart w:id="2" w:name="bookmark=id.2bn6wsx" w:colFirst="0" w:colLast="0"/>
      <w:bookmarkEnd w:id="2"/>
      <w:r>
        <w:br w:type="page"/>
      </w:r>
    </w:p>
    <w:p w:rsidR="00A92655" w:rsidRDefault="00F80781">
      <w:pPr>
        <w:pStyle w:val="Nadpis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Appendix B </w:t>
      </w:r>
      <w:r>
        <w:rPr>
          <w:rFonts w:ascii="Times New Roman" w:eastAsia="Times New Roman" w:hAnsi="Times New Roman" w:cs="Times New Roman"/>
          <w:sz w:val="32"/>
          <w:szCs w:val="32"/>
        </w:rPr>
        <w:tab/>
        <w:t>Changes in CV and GEV</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The CV and GEV parameters were calculated for the total number of microstates from 2 to 10. The mean value and standard deviation were calculated for both paramete</w:t>
      </w:r>
      <w:r>
        <w:rPr>
          <w:rFonts w:ascii="Times New Roman" w:eastAsia="Times New Roman" w:hAnsi="Times New Roman" w:cs="Times New Roman"/>
          <w:color w:val="000000"/>
        </w:rPr>
        <w:t>rs and are depicted in Figure </w:t>
      </w:r>
      <w:r>
        <w:rPr>
          <w:rFonts w:ascii="Times New Roman" w:eastAsia="Times New Roman" w:hAnsi="Times New Roman" w:cs="Times New Roman"/>
        </w:rPr>
        <w:t>B1</w:t>
      </w:r>
      <w:r>
        <w:rPr>
          <w:rFonts w:ascii="Times New Roman" w:eastAsia="Times New Roman" w:hAnsi="Times New Roman" w:cs="Times New Roman"/>
          <w:color w:val="000000"/>
        </w:rPr>
        <w:t>.</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3" w:name="bookmark=id.qsh70q" w:colFirst="0" w:colLast="0"/>
      <w:bookmarkEnd w:id="3"/>
      <w:r>
        <w:rPr>
          <w:rFonts w:ascii="Times New Roman" w:eastAsia="Times New Roman" w:hAnsi="Times New Roman" w:cs="Times New Roman"/>
          <w:noProof/>
          <w:color w:val="000000"/>
        </w:rPr>
        <w:drawing>
          <wp:inline distT="0" distB="0" distL="0" distR="0">
            <wp:extent cx="5972810" cy="4518660"/>
            <wp:effectExtent l="0" t="0" r="0" b="0"/>
            <wp:docPr id="4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5972810" cy="451866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B1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cross-validation (in black) and GEV (in blue) parameters across subjects are depicted here. The mean and standard deviation are presented for each variable.</w:t>
      </w:r>
    </w:p>
    <w:p w:rsidR="00A92655" w:rsidRDefault="00F80781">
      <w:pPr>
        <w:rPr>
          <w:rFonts w:ascii="Times New Roman" w:eastAsia="Times New Roman" w:hAnsi="Times New Roman" w:cs="Times New Roman"/>
          <w:color w:val="0F4761"/>
          <w:sz w:val="32"/>
          <w:szCs w:val="32"/>
        </w:rPr>
      </w:pPr>
      <w:bookmarkStart w:id="4" w:name="bookmark=id.3as4poj" w:colFirst="0" w:colLast="0"/>
      <w:bookmarkEnd w:id="4"/>
      <w:r>
        <w:br w:type="page"/>
      </w:r>
    </w:p>
    <w:p w:rsidR="00A92655" w:rsidRDefault="00F80781">
      <w:pPr>
        <w:pStyle w:val="Nadpis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Appendix C </w:t>
      </w:r>
      <w:r>
        <w:rPr>
          <w:rFonts w:ascii="Times New Roman" w:eastAsia="Times New Roman" w:hAnsi="Times New Roman" w:cs="Times New Roman"/>
          <w:sz w:val="32"/>
          <w:szCs w:val="32"/>
        </w:rPr>
        <w:tab/>
      </w:r>
      <w:r>
        <w:rPr>
          <w:rFonts w:ascii="Times New Roman" w:eastAsia="Times New Roman" w:hAnsi="Times New Roman" w:cs="Times New Roman"/>
          <w:sz w:val="32"/>
          <w:szCs w:val="32"/>
        </w:rPr>
        <w:t>Microstate Topography Across the Different Microstate Numbers</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appendix reports the microstate topographies for the different numbers of microstates and the spatial correlations between them, see </w:t>
      </w:r>
      <w:r>
        <w:rPr>
          <w:rFonts w:ascii="Times New Roman" w:eastAsia="Times New Roman" w:hAnsi="Times New Roman" w:cs="Times New Roman"/>
        </w:rPr>
        <w:t>Figures C1-C9</w:t>
      </w:r>
      <w:r>
        <w:rPr>
          <w:rFonts w:ascii="Times New Roman" w:eastAsia="Times New Roman" w:hAnsi="Times New Roman" w:cs="Times New Roman"/>
          <w:color w:val="000000"/>
        </w:rPr>
        <w:t>. Microstate analysis was performed as desc</w:t>
      </w:r>
      <w:r>
        <w:rPr>
          <w:rFonts w:ascii="Times New Roman" w:eastAsia="Times New Roman" w:hAnsi="Times New Roman" w:cs="Times New Roman"/>
          <w:color w:val="000000"/>
        </w:rPr>
        <w:t>ribed in Section </w:t>
      </w:r>
      <w:hyperlink w:anchor="bookmark=id.30j0zll">
        <w:r>
          <w:rPr>
            <w:rFonts w:ascii="Times New Roman" w:eastAsia="Times New Roman" w:hAnsi="Times New Roman" w:cs="Times New Roman"/>
            <w:color w:val="156082"/>
          </w:rPr>
          <w:t>2</w:t>
        </w:r>
      </w:hyperlink>
      <w:r>
        <w:rPr>
          <w:rFonts w:ascii="Times New Roman" w:eastAsia="Times New Roman" w:hAnsi="Times New Roman" w:cs="Times New Roman"/>
          <w:color w:val="000000"/>
        </w:rPr>
        <w:t>.</w:t>
      </w:r>
    </w:p>
    <w:p w:rsidR="00A92655" w:rsidRDefault="00F80781">
      <w:pPr>
        <w:pBdr>
          <w:top w:val="nil"/>
          <w:left w:val="nil"/>
          <w:bottom w:val="nil"/>
          <w:right w:val="nil"/>
          <w:between w:val="nil"/>
        </w:pBdr>
        <w:spacing w:before="180" w:after="180"/>
        <w:jc w:val="both"/>
        <w:rPr>
          <w:rFonts w:ascii="Times New Roman" w:eastAsia="Times New Roman" w:hAnsi="Times New Roman" w:cs="Times New Roman"/>
          <w:color w:val="000000"/>
        </w:rPr>
      </w:pPr>
      <w:r>
        <w:rPr>
          <w:rFonts w:ascii="Times New Roman" w:eastAsia="Times New Roman" w:hAnsi="Times New Roman" w:cs="Times New Roman"/>
          <w:noProof/>
        </w:rPr>
        <w:drawing>
          <wp:inline distT="114300" distB="114300" distL="114300" distR="114300">
            <wp:extent cx="5972810" cy="2222500"/>
            <wp:effectExtent l="0" t="0" r="0" b="0"/>
            <wp:docPr id="3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5972810" cy="2222500"/>
                    </a:xfrm>
                    <a:prstGeom prst="rect">
                      <a:avLst/>
                    </a:prstGeom>
                    <a:ln/>
                  </pic:spPr>
                </pic:pic>
              </a:graphicData>
            </a:graphic>
          </wp:inline>
        </w:drawing>
      </w:r>
    </w:p>
    <w:p w:rsidR="00A92655" w:rsidRDefault="00F80781">
      <w:pPr>
        <w:keepNext/>
        <w:pBdr>
          <w:top w:val="nil"/>
          <w:left w:val="nil"/>
          <w:bottom w:val="nil"/>
          <w:right w:val="nil"/>
          <w:between w:val="nil"/>
        </w:pBdr>
        <w:jc w:val="both"/>
        <w:rPr>
          <w:rFonts w:ascii="Times New Roman" w:eastAsia="Times New Roman" w:hAnsi="Times New Roman" w:cs="Times New Roman"/>
          <w:i/>
          <w:color w:val="000000"/>
        </w:rPr>
      </w:pPr>
      <w:bookmarkStart w:id="5" w:name="bookmark=id.1pxezwc" w:colFirst="0" w:colLast="0"/>
      <w:bookmarkEnd w:id="5"/>
      <w:r>
        <w:rPr>
          <w:rFonts w:ascii="Times New Roman" w:eastAsia="Times New Roman" w:hAnsi="Times New Roman" w:cs="Times New Roman"/>
          <w:b/>
          <w:color w:val="000000"/>
        </w:rPr>
        <w:t xml:space="preserve">Figure C1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two microstate total. The right panel defines the spatial correlation between the microstates.</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6" w:name="bookmark=id.49x2ik5" w:colFirst="0" w:colLast="0"/>
      <w:bookmarkEnd w:id="6"/>
      <w:r>
        <w:rPr>
          <w:rFonts w:ascii="Times New Roman" w:eastAsia="Times New Roman" w:hAnsi="Times New Roman" w:cs="Times New Roman"/>
          <w:noProof/>
        </w:rPr>
        <w:drawing>
          <wp:inline distT="114300" distB="114300" distL="114300" distR="114300">
            <wp:extent cx="5972810" cy="2222500"/>
            <wp:effectExtent l="0" t="0" r="0" b="0"/>
            <wp:docPr id="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972810" cy="22225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C2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three microstate total. The right panel defines the spatial correlation between the microstates.</w:t>
      </w:r>
    </w:p>
    <w:p w:rsidR="00A92655" w:rsidRDefault="00F80781">
      <w:pPr>
        <w:keepNext/>
        <w:pBdr>
          <w:top w:val="nil"/>
          <w:left w:val="nil"/>
          <w:bottom w:val="nil"/>
          <w:right w:val="nil"/>
          <w:between w:val="nil"/>
        </w:pBdr>
        <w:tabs>
          <w:tab w:val="left" w:pos="1185"/>
        </w:tabs>
        <w:jc w:val="both"/>
        <w:rPr>
          <w:rFonts w:ascii="Times New Roman" w:eastAsia="Times New Roman" w:hAnsi="Times New Roman" w:cs="Times New Roman"/>
          <w:color w:val="000000"/>
        </w:rPr>
      </w:pPr>
      <w:bookmarkStart w:id="7" w:name="bookmark=id.2p2csry" w:colFirst="0" w:colLast="0"/>
      <w:bookmarkEnd w:id="7"/>
      <w:r>
        <w:rPr>
          <w:rFonts w:ascii="Times New Roman" w:eastAsia="Times New Roman" w:hAnsi="Times New Roman" w:cs="Times New Roman"/>
          <w:noProof/>
        </w:rPr>
        <w:lastRenderedPageBreak/>
        <w:drawing>
          <wp:inline distT="114300" distB="114300" distL="114300" distR="114300">
            <wp:extent cx="5972810" cy="2235200"/>
            <wp:effectExtent l="0" t="0" r="0" b="0"/>
            <wp:docPr id="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972810" cy="22352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C3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four microstate total. The right panel defines </w:t>
      </w:r>
      <w:r>
        <w:rPr>
          <w:rFonts w:ascii="Times New Roman" w:eastAsia="Times New Roman" w:hAnsi="Times New Roman" w:cs="Times New Roman"/>
          <w:i/>
          <w:color w:val="000000"/>
        </w:rPr>
        <w:t>the spatial correlation between the microstates.</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8" w:name="bookmark=id.147n2zr" w:colFirst="0" w:colLast="0"/>
      <w:bookmarkEnd w:id="8"/>
      <w:r>
        <w:rPr>
          <w:rFonts w:ascii="Times New Roman" w:eastAsia="Times New Roman" w:hAnsi="Times New Roman" w:cs="Times New Roman"/>
          <w:noProof/>
        </w:rPr>
        <w:drawing>
          <wp:inline distT="114300" distB="114300" distL="114300" distR="114300">
            <wp:extent cx="5972810" cy="2209800"/>
            <wp:effectExtent l="0" t="0" r="0" b="0"/>
            <wp:docPr id="4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972810" cy="22098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C4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five microstate total. The right panel defines the spatial correlation between the microstates.</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noProof/>
        </w:rPr>
        <w:lastRenderedPageBreak/>
        <w:drawing>
          <wp:inline distT="114300" distB="114300" distL="114300" distR="114300">
            <wp:extent cx="5972810" cy="3340100"/>
            <wp:effectExtent l="0" t="0" r="0" b="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72810" cy="33401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C5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w:t>
      </w:r>
      <w:r>
        <w:rPr>
          <w:rFonts w:ascii="Times New Roman" w:eastAsia="Times New Roman" w:hAnsi="Times New Roman" w:cs="Times New Roman"/>
          <w:i/>
          <w:color w:val="000000"/>
        </w:rPr>
        <w:t>he case of a six microstate total. The right panel defines the spatial correlation between the microstates.</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9" w:name="bookmark=id.3o7alnk" w:colFirst="0" w:colLast="0"/>
      <w:bookmarkEnd w:id="9"/>
      <w:r>
        <w:rPr>
          <w:rFonts w:ascii="Times New Roman" w:eastAsia="Times New Roman" w:hAnsi="Times New Roman" w:cs="Times New Roman"/>
          <w:noProof/>
        </w:rPr>
        <w:drawing>
          <wp:inline distT="114300" distB="114300" distL="114300" distR="114300">
            <wp:extent cx="5972810" cy="3365500"/>
            <wp:effectExtent l="0" t="0" r="0" b="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972810" cy="33655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C6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seven microstate total. The right panel defines the spatial correlation between the microstates.</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10" w:name="bookmark=id.23ckvvd" w:colFirst="0" w:colLast="0"/>
      <w:bookmarkEnd w:id="10"/>
      <w:r>
        <w:rPr>
          <w:rFonts w:ascii="Times New Roman" w:eastAsia="Times New Roman" w:hAnsi="Times New Roman" w:cs="Times New Roman"/>
          <w:noProof/>
        </w:rPr>
        <w:lastRenderedPageBreak/>
        <w:drawing>
          <wp:inline distT="114300" distB="114300" distL="114300" distR="114300">
            <wp:extent cx="5972810" cy="3352800"/>
            <wp:effectExtent l="0" t="0" r="0" b="0"/>
            <wp:docPr id="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972810" cy="33528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C7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an eight microstate total. The right panel define</w:t>
      </w:r>
      <w:r>
        <w:rPr>
          <w:rFonts w:ascii="Times New Roman" w:eastAsia="Times New Roman" w:hAnsi="Times New Roman" w:cs="Times New Roman"/>
          <w:i/>
          <w:color w:val="000000"/>
        </w:rPr>
        <w:t>s the spatial correlation between the microstates.</w:t>
      </w:r>
    </w:p>
    <w:p w:rsidR="00A92655" w:rsidRDefault="00F80781">
      <w:pPr>
        <w:keepNext/>
        <w:pBdr>
          <w:top w:val="nil"/>
          <w:left w:val="nil"/>
          <w:bottom w:val="nil"/>
          <w:right w:val="nil"/>
          <w:between w:val="nil"/>
        </w:pBdr>
        <w:jc w:val="both"/>
        <w:rPr>
          <w:rFonts w:ascii="Times New Roman" w:eastAsia="Times New Roman" w:hAnsi="Times New Roman" w:cs="Times New Roman"/>
          <w:color w:val="000000"/>
        </w:rPr>
      </w:pPr>
      <w:bookmarkStart w:id="11" w:name="bookmark=id.ihv636" w:colFirst="0" w:colLast="0"/>
      <w:bookmarkEnd w:id="11"/>
      <w:r>
        <w:rPr>
          <w:rFonts w:ascii="Times New Roman" w:eastAsia="Times New Roman" w:hAnsi="Times New Roman" w:cs="Times New Roman"/>
          <w:noProof/>
        </w:rPr>
        <w:drawing>
          <wp:inline distT="114300" distB="114300" distL="114300" distR="114300">
            <wp:extent cx="5972810" cy="3365500"/>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72810" cy="3365500"/>
                    </a:xfrm>
                    <a:prstGeom prst="rect">
                      <a:avLst/>
                    </a:prstGeom>
                    <a:ln/>
                  </pic:spPr>
                </pic:pic>
              </a:graphicData>
            </a:graphic>
          </wp:inline>
        </w:drawing>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C8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nine microstate total. The right panel defines the spatial correlation between the microstates.</w:t>
      </w:r>
    </w:p>
    <w:p w:rsidR="00A92655" w:rsidRDefault="00F80781">
      <w:pPr>
        <w:keepNext/>
        <w:pBdr>
          <w:top w:val="nil"/>
          <w:left w:val="nil"/>
          <w:bottom w:val="nil"/>
          <w:right w:val="nil"/>
          <w:between w:val="nil"/>
        </w:pBdr>
        <w:tabs>
          <w:tab w:val="left" w:pos="2355"/>
        </w:tabs>
        <w:jc w:val="both"/>
        <w:rPr>
          <w:rFonts w:ascii="Times New Roman" w:eastAsia="Times New Roman" w:hAnsi="Times New Roman" w:cs="Times New Roman"/>
          <w:color w:val="000000"/>
        </w:rPr>
      </w:pPr>
      <w:bookmarkStart w:id="12" w:name="bookmark=id.32hioqz" w:colFirst="0" w:colLast="0"/>
      <w:bookmarkStart w:id="13" w:name="_heading=h.cu4b2j93bdva" w:colFirst="0" w:colLast="0"/>
      <w:bookmarkEnd w:id="12"/>
      <w:bookmarkEnd w:id="13"/>
      <w:r>
        <w:rPr>
          <w:rFonts w:ascii="Times New Roman" w:eastAsia="Times New Roman" w:hAnsi="Times New Roman" w:cs="Times New Roman"/>
          <w:noProof/>
        </w:rPr>
        <w:lastRenderedPageBreak/>
        <w:drawing>
          <wp:inline distT="114300" distB="114300" distL="114300" distR="114300">
            <wp:extent cx="5972810" cy="3365500"/>
            <wp:effectExtent l="0" t="0" r="0" b="0"/>
            <wp:docPr id="4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972810" cy="3365500"/>
                    </a:xfrm>
                    <a:prstGeom prst="rect">
                      <a:avLst/>
                    </a:prstGeom>
                    <a:ln/>
                  </pic:spPr>
                </pic:pic>
              </a:graphicData>
            </a:graphic>
          </wp:inline>
        </w:drawing>
      </w:r>
      <w:r>
        <w:rPr>
          <w:rFonts w:ascii="Times New Roman" w:eastAsia="Times New Roman" w:hAnsi="Times New Roman" w:cs="Times New Roman"/>
          <w:color w:val="000000"/>
        </w:rPr>
        <w:tab/>
      </w:r>
    </w:p>
    <w:p w:rsidR="00A92655" w:rsidRDefault="00F80781">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b/>
          <w:color w:val="000000"/>
        </w:rPr>
        <w:t xml:space="preserve">Figure C9 </w:t>
      </w:r>
      <w:proofErr w:type="gramStart"/>
      <w:r>
        <w:rPr>
          <w:rFonts w:ascii="Times New Roman" w:eastAsia="Times New Roman" w:hAnsi="Times New Roman" w:cs="Times New Roman"/>
          <w:i/>
          <w:color w:val="000000"/>
        </w:rPr>
        <w:t>The</w:t>
      </w:r>
      <w:proofErr w:type="gramEnd"/>
      <w:r>
        <w:rPr>
          <w:rFonts w:ascii="Times New Roman" w:eastAsia="Times New Roman" w:hAnsi="Times New Roman" w:cs="Times New Roman"/>
          <w:i/>
          <w:color w:val="000000"/>
        </w:rPr>
        <w:t xml:space="preserve"> topography of the microstate in the case of a ten microstate total. The right panel defines the spatial correlation between the microstates.</w:t>
      </w:r>
    </w:p>
    <w:p w:rsidR="00A92655" w:rsidRDefault="00F80781">
      <w:r>
        <w:br w:type="page"/>
      </w:r>
    </w:p>
    <w:p w:rsidR="00A92655" w:rsidRDefault="00F80781">
      <w:pPr>
        <w:pStyle w:val="Nadpis1"/>
        <w:jc w:val="both"/>
        <w:rPr>
          <w:rFonts w:ascii="Times New Roman" w:eastAsia="Times New Roman" w:hAnsi="Times New Roman" w:cs="Times New Roman"/>
          <w:sz w:val="32"/>
          <w:szCs w:val="32"/>
        </w:rPr>
      </w:pPr>
      <w:bookmarkStart w:id="14" w:name="_heading=h.19avgklfnlb9" w:colFirst="0" w:colLast="0"/>
      <w:bookmarkEnd w:id="14"/>
      <w:r>
        <w:rPr>
          <w:rFonts w:ascii="Times New Roman" w:eastAsia="Times New Roman" w:hAnsi="Times New Roman" w:cs="Times New Roman"/>
          <w:sz w:val="32"/>
          <w:szCs w:val="32"/>
        </w:rPr>
        <w:lastRenderedPageBreak/>
        <w:t xml:space="preserve">Appendix D </w:t>
      </w:r>
      <w:r>
        <w:rPr>
          <w:rFonts w:ascii="Times New Roman" w:eastAsia="Times New Roman" w:hAnsi="Times New Roman" w:cs="Times New Roman"/>
          <w:sz w:val="32"/>
          <w:szCs w:val="32"/>
        </w:rPr>
        <w:tab/>
        <w:t>Microstate Transition Probabilities</w:t>
      </w:r>
    </w:p>
    <w:p w:rsidR="00A92655" w:rsidRDefault="00A92655"/>
    <w:p w:rsidR="00A92655" w:rsidRDefault="00F80781">
      <w:pPr>
        <w:spacing w:before="180" w:after="180"/>
        <w:jc w:val="both"/>
        <w:rPr>
          <w:rFonts w:ascii="Times New Roman" w:eastAsia="Times New Roman" w:hAnsi="Times New Roman" w:cs="Times New Roman"/>
        </w:rPr>
      </w:pPr>
      <w:r>
        <w:rPr>
          <w:rFonts w:ascii="Times New Roman" w:eastAsia="Times New Roman" w:hAnsi="Times New Roman" w:cs="Times New Roman"/>
        </w:rPr>
        <w:t>The observed and expected transition probabilities were comp</w:t>
      </w:r>
      <w:r>
        <w:rPr>
          <w:rFonts w:ascii="Times New Roman" w:eastAsia="Times New Roman" w:hAnsi="Times New Roman" w:cs="Times New Roman"/>
        </w:rPr>
        <w:t>uted and are presented in Figure D1, with their corresponding numerical values reported in Table D1. The differences between the observed and expected transitions were likewise calculated and are illustrated in Figure D2, with detailed values provided in T</w:t>
      </w:r>
      <w:r>
        <w:rPr>
          <w:rFonts w:ascii="Times New Roman" w:eastAsia="Times New Roman" w:hAnsi="Times New Roman" w:cs="Times New Roman"/>
        </w:rPr>
        <w:t>able D2.</w:t>
      </w:r>
    </w:p>
    <w:p w:rsidR="00A92655" w:rsidRDefault="00F80781">
      <w:pPr>
        <w:spacing w:before="180" w:after="180"/>
        <w:jc w:val="both"/>
        <w:rPr>
          <w:rFonts w:ascii="Times New Roman" w:eastAsia="Times New Roman" w:hAnsi="Times New Roman" w:cs="Times New Roman"/>
        </w:rPr>
      </w:pPr>
      <w:r>
        <w:rPr>
          <w:rFonts w:ascii="Times New Roman" w:eastAsia="Times New Roman" w:hAnsi="Times New Roman" w:cs="Times New Roman"/>
        </w:rPr>
        <w:t>To evaluate these differences, Mann–Whitney U tests were conducted, and significance levels were adjusted using a Bonferroni correction to account for the 20 possible transitions.</w:t>
      </w:r>
    </w:p>
    <w:p w:rsidR="00A92655" w:rsidRDefault="00A92655">
      <w:pPr>
        <w:spacing w:before="180" w:after="180"/>
        <w:jc w:val="both"/>
        <w:rPr>
          <w:rFonts w:ascii="Times New Roman" w:eastAsia="Times New Roman" w:hAnsi="Times New Roman" w:cs="Times New Roman"/>
        </w:rPr>
      </w:pPr>
    </w:p>
    <w:p w:rsidR="00A92655" w:rsidRDefault="00F80781">
      <w:pPr>
        <w:spacing w:before="180" w:after="180"/>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972810" cy="2235200"/>
            <wp:effectExtent l="0" t="0" r="0" b="0"/>
            <wp:docPr id="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a:srcRect/>
                    <a:stretch>
                      <a:fillRect/>
                    </a:stretch>
                  </pic:blipFill>
                  <pic:spPr>
                    <a:xfrm>
                      <a:off x="0" y="0"/>
                      <a:ext cx="5972810" cy="2235200"/>
                    </a:xfrm>
                    <a:prstGeom prst="rect">
                      <a:avLst/>
                    </a:prstGeom>
                    <a:ln/>
                  </pic:spPr>
                </pic:pic>
              </a:graphicData>
            </a:graphic>
          </wp:inline>
        </w:drawing>
      </w:r>
    </w:p>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rPr>
        <w:t xml:space="preserve">Figure D1 </w:t>
      </w:r>
      <w:proofErr w:type="gramStart"/>
      <w:r>
        <w:rPr>
          <w:rFonts w:ascii="Times New Roman" w:eastAsia="Times New Roman" w:hAnsi="Times New Roman" w:cs="Times New Roman"/>
          <w:i/>
        </w:rPr>
        <w:t>The</w:t>
      </w:r>
      <w:proofErr w:type="gramEnd"/>
      <w:r>
        <w:rPr>
          <w:rFonts w:ascii="Times New Roman" w:eastAsia="Times New Roman" w:hAnsi="Times New Roman" w:cs="Times New Roman"/>
          <w:i/>
        </w:rPr>
        <w:t xml:space="preserve"> observed (left) and expected transition probabilities (right). </w:t>
      </w:r>
    </w:p>
    <w:p w:rsidR="00A92655" w:rsidRDefault="00A92655">
      <w:pPr>
        <w:spacing w:after="120"/>
        <w:jc w:val="both"/>
        <w:rPr>
          <w:rFonts w:ascii="Times New Roman" w:eastAsia="Times New Roman" w:hAnsi="Times New Roman" w:cs="Times New Roman"/>
          <w:i/>
        </w:rPr>
      </w:pPr>
    </w:p>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rPr>
        <w:t xml:space="preserve">Table D1 </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The</w:t>
      </w:r>
      <w:proofErr w:type="gramEnd"/>
      <w:r>
        <w:rPr>
          <w:rFonts w:ascii="Times New Roman" w:eastAsia="Times New Roman" w:hAnsi="Times New Roman" w:cs="Times New Roman"/>
          <w:i/>
        </w:rPr>
        <w:t xml:space="preserve"> observed/expected transition probabilities.</w:t>
      </w:r>
    </w:p>
    <w:p w:rsidR="00A92655" w:rsidRDefault="00A92655">
      <w:pPr>
        <w:spacing w:after="120"/>
        <w:jc w:val="both"/>
        <w:rPr>
          <w:rFonts w:ascii="Times New Roman" w:eastAsia="Times New Roman" w:hAnsi="Times New Roman" w:cs="Times New Roman"/>
          <w:i/>
        </w:rPr>
      </w:pPr>
    </w:p>
    <w:tbl>
      <w:tblPr>
        <w:tblStyle w:val="a"/>
        <w:tblW w:w="8115" w:type="dxa"/>
        <w:tblInd w:w="0" w:type="dxa"/>
        <w:tblLayout w:type="fixed"/>
        <w:tblLook w:val="0600" w:firstRow="0" w:lastRow="0" w:firstColumn="0" w:lastColumn="0" w:noHBand="1" w:noVBand="1"/>
      </w:tblPr>
      <w:tblGrid>
        <w:gridCol w:w="1490"/>
        <w:gridCol w:w="1325"/>
        <w:gridCol w:w="1325"/>
        <w:gridCol w:w="1325"/>
        <w:gridCol w:w="1325"/>
        <w:gridCol w:w="1325"/>
      </w:tblGrid>
      <w:tr w:rsidR="00A92655">
        <w:trPr>
          <w:trHeight w:val="515"/>
        </w:trPr>
        <w:tc>
          <w:tcPr>
            <w:tcW w:w="1490"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i/>
              </w:rPr>
            </w:pPr>
            <w:r>
              <w:rPr>
                <w:rFonts w:ascii="Times New Roman" w:eastAsia="Times New Roman" w:hAnsi="Times New Roman" w:cs="Times New Roman"/>
                <w:b/>
                <w:i/>
              </w:rPr>
              <w:t>FROM \ TO</w:t>
            </w:r>
          </w:p>
        </w:tc>
        <w:tc>
          <w:tcPr>
            <w:tcW w:w="132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i/>
              </w:rPr>
            </w:pPr>
            <w:r>
              <w:rPr>
                <w:rFonts w:ascii="Times New Roman" w:eastAsia="Times New Roman" w:hAnsi="Times New Roman" w:cs="Times New Roman"/>
                <w:b/>
                <w:i/>
              </w:rPr>
              <w:t>MS 1</w:t>
            </w:r>
          </w:p>
        </w:tc>
        <w:tc>
          <w:tcPr>
            <w:tcW w:w="132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i/>
              </w:rPr>
            </w:pPr>
            <w:r>
              <w:rPr>
                <w:rFonts w:ascii="Times New Roman" w:eastAsia="Times New Roman" w:hAnsi="Times New Roman" w:cs="Times New Roman"/>
                <w:b/>
                <w:i/>
              </w:rPr>
              <w:t>MS 2</w:t>
            </w:r>
          </w:p>
        </w:tc>
        <w:tc>
          <w:tcPr>
            <w:tcW w:w="132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i/>
              </w:rPr>
            </w:pPr>
            <w:r>
              <w:rPr>
                <w:rFonts w:ascii="Times New Roman" w:eastAsia="Times New Roman" w:hAnsi="Times New Roman" w:cs="Times New Roman"/>
                <w:b/>
                <w:i/>
              </w:rPr>
              <w:t>MS 3</w:t>
            </w:r>
          </w:p>
        </w:tc>
        <w:tc>
          <w:tcPr>
            <w:tcW w:w="132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i/>
              </w:rPr>
            </w:pPr>
            <w:r>
              <w:rPr>
                <w:rFonts w:ascii="Times New Roman" w:eastAsia="Times New Roman" w:hAnsi="Times New Roman" w:cs="Times New Roman"/>
                <w:b/>
                <w:i/>
              </w:rPr>
              <w:t>MS 4</w:t>
            </w:r>
          </w:p>
        </w:tc>
        <w:tc>
          <w:tcPr>
            <w:tcW w:w="132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i/>
              </w:rPr>
            </w:pPr>
            <w:r>
              <w:rPr>
                <w:rFonts w:ascii="Times New Roman" w:eastAsia="Times New Roman" w:hAnsi="Times New Roman" w:cs="Times New Roman"/>
                <w:b/>
                <w:i/>
              </w:rPr>
              <w:t>MS 5</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i/>
              </w:rPr>
              <w:t>MS 1</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proofErr w:type="spellStart"/>
            <w:r>
              <w:rPr>
                <w:rFonts w:ascii="Times New Roman" w:eastAsia="Times New Roman" w:hAnsi="Times New Roman" w:cs="Times New Roman"/>
                <w:i/>
              </w:rPr>
              <w:t>NaN</w:t>
            </w:r>
            <w:proofErr w:type="spellEnd"/>
            <w:r>
              <w:rPr>
                <w:rFonts w:ascii="Times New Roman" w:eastAsia="Times New Roman" w:hAnsi="Times New Roman" w:cs="Times New Roman"/>
                <w:i/>
              </w:rPr>
              <w:t xml:space="preserve"> / </w:t>
            </w:r>
            <w:proofErr w:type="spellStart"/>
            <w:r>
              <w:rPr>
                <w:rFonts w:ascii="Times New Roman" w:eastAsia="Times New Roman" w:hAnsi="Times New Roman" w:cs="Times New Roman"/>
                <w:i/>
              </w:rPr>
              <w:t>NaN</w:t>
            </w:r>
            <w:proofErr w:type="spellEnd"/>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4.00 / 4.93</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5.26 / 4.42</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5.21 / 4.64</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4.03 / 4.53</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i/>
              </w:rPr>
              <w:t>MS 2</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4.55 / 5.07</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proofErr w:type="spellStart"/>
            <w:r>
              <w:rPr>
                <w:rFonts w:ascii="Times New Roman" w:eastAsia="Times New Roman" w:hAnsi="Times New Roman" w:cs="Times New Roman"/>
                <w:i/>
              </w:rPr>
              <w:t>NaN</w:t>
            </w:r>
            <w:proofErr w:type="spellEnd"/>
            <w:r>
              <w:rPr>
                <w:rFonts w:ascii="Times New Roman" w:eastAsia="Times New Roman" w:hAnsi="Times New Roman" w:cs="Times New Roman"/>
                <w:i/>
              </w:rPr>
              <w:t xml:space="preserve"> / </w:t>
            </w:r>
            <w:proofErr w:type="spellStart"/>
            <w:r>
              <w:rPr>
                <w:rFonts w:ascii="Times New Roman" w:eastAsia="Times New Roman" w:hAnsi="Times New Roman" w:cs="Times New Roman"/>
                <w:i/>
              </w:rPr>
              <w:t>NaN</w:t>
            </w:r>
            <w:proofErr w:type="spellEnd"/>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4.01 / 5.07</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5.95 / 5.62</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6.99 / 5.74</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i/>
              </w:rPr>
              <w:t>MS 3</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5.02 / 4.42</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4.24 / 4.91</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proofErr w:type="spellStart"/>
            <w:r>
              <w:rPr>
                <w:rFonts w:ascii="Times New Roman" w:eastAsia="Times New Roman" w:hAnsi="Times New Roman" w:cs="Times New Roman"/>
                <w:i/>
              </w:rPr>
              <w:t>NaN</w:t>
            </w:r>
            <w:proofErr w:type="spellEnd"/>
            <w:r>
              <w:rPr>
                <w:rFonts w:ascii="Times New Roman" w:eastAsia="Times New Roman" w:hAnsi="Times New Roman" w:cs="Times New Roman"/>
                <w:i/>
              </w:rPr>
              <w:t xml:space="preserve"> / </w:t>
            </w:r>
            <w:proofErr w:type="spellStart"/>
            <w:r>
              <w:rPr>
                <w:rFonts w:ascii="Times New Roman" w:eastAsia="Times New Roman" w:hAnsi="Times New Roman" w:cs="Times New Roman"/>
                <w:i/>
              </w:rPr>
              <w:t>NaN</w:t>
            </w:r>
            <w:proofErr w:type="spellEnd"/>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4.74 / 4.80</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5.09 / 4.95</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i/>
              </w:rPr>
              <w:t>MS 4</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5.21 / 4.64</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5.95 / 5.45</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4.38 / 4.82</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proofErr w:type="spellStart"/>
            <w:r>
              <w:rPr>
                <w:rFonts w:ascii="Times New Roman" w:eastAsia="Times New Roman" w:hAnsi="Times New Roman" w:cs="Times New Roman"/>
                <w:i/>
              </w:rPr>
              <w:t>NaN</w:t>
            </w:r>
            <w:proofErr w:type="spellEnd"/>
            <w:r>
              <w:rPr>
                <w:rFonts w:ascii="Times New Roman" w:eastAsia="Times New Roman" w:hAnsi="Times New Roman" w:cs="Times New Roman"/>
                <w:i/>
              </w:rPr>
              <w:t xml:space="preserve"> / </w:t>
            </w:r>
            <w:proofErr w:type="spellStart"/>
            <w:r>
              <w:rPr>
                <w:rFonts w:ascii="Times New Roman" w:eastAsia="Times New Roman" w:hAnsi="Times New Roman" w:cs="Times New Roman"/>
                <w:i/>
              </w:rPr>
              <w:t>NaN</w:t>
            </w:r>
            <w:proofErr w:type="spellEnd"/>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4.62 / 5.25</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i/>
              </w:rPr>
              <w:t>MS 5</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3.74 / 4.64</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7.31 / 5.68</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5.44 / 5.07</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i/>
              </w:rPr>
              <w:t>4.25 / 5.35</w:t>
            </w:r>
          </w:p>
        </w:tc>
        <w:tc>
          <w:tcPr>
            <w:tcW w:w="132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i/>
              </w:rPr>
            </w:pPr>
            <w:proofErr w:type="spellStart"/>
            <w:r>
              <w:rPr>
                <w:rFonts w:ascii="Times New Roman" w:eastAsia="Times New Roman" w:hAnsi="Times New Roman" w:cs="Times New Roman"/>
                <w:i/>
              </w:rPr>
              <w:t>NaN</w:t>
            </w:r>
            <w:proofErr w:type="spellEnd"/>
            <w:r>
              <w:rPr>
                <w:rFonts w:ascii="Times New Roman" w:eastAsia="Times New Roman" w:hAnsi="Times New Roman" w:cs="Times New Roman"/>
                <w:i/>
              </w:rPr>
              <w:t xml:space="preserve"> / </w:t>
            </w:r>
            <w:proofErr w:type="spellStart"/>
            <w:r>
              <w:rPr>
                <w:rFonts w:ascii="Times New Roman" w:eastAsia="Times New Roman" w:hAnsi="Times New Roman" w:cs="Times New Roman"/>
                <w:i/>
              </w:rPr>
              <w:t>NaN</w:t>
            </w:r>
            <w:proofErr w:type="spellEnd"/>
          </w:p>
        </w:tc>
      </w:tr>
    </w:tbl>
    <w:p w:rsidR="00A92655" w:rsidRDefault="00A92655">
      <w:pPr>
        <w:spacing w:after="120"/>
        <w:jc w:val="both"/>
        <w:rPr>
          <w:rFonts w:ascii="Times New Roman" w:eastAsia="Times New Roman" w:hAnsi="Times New Roman" w:cs="Times New Roman"/>
        </w:rPr>
      </w:pPr>
    </w:p>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972810" cy="4483100"/>
            <wp:effectExtent l="0" t="0" r="0" b="0"/>
            <wp:docPr id="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5972810" cy="4483100"/>
                    </a:xfrm>
                    <a:prstGeom prst="rect">
                      <a:avLst/>
                    </a:prstGeom>
                    <a:ln/>
                  </pic:spPr>
                </pic:pic>
              </a:graphicData>
            </a:graphic>
          </wp:inline>
        </w:drawing>
      </w:r>
    </w:p>
    <w:p w:rsidR="00A92655" w:rsidRDefault="00F80781">
      <w:pPr>
        <w:spacing w:after="120"/>
        <w:jc w:val="both"/>
        <w:rPr>
          <w:rFonts w:ascii="Times New Roman" w:eastAsia="Times New Roman" w:hAnsi="Times New Roman" w:cs="Times New Roman"/>
          <w:i/>
        </w:rPr>
      </w:pPr>
      <w:r>
        <w:rPr>
          <w:rFonts w:ascii="Times New Roman" w:eastAsia="Times New Roman" w:hAnsi="Times New Roman" w:cs="Times New Roman"/>
          <w:b/>
        </w:rPr>
        <w:t xml:space="preserve">Figure D2 </w:t>
      </w:r>
      <w:r>
        <w:rPr>
          <w:rFonts w:ascii="Times New Roman" w:eastAsia="Times New Roman" w:hAnsi="Times New Roman" w:cs="Times New Roman"/>
          <w:i/>
        </w:rPr>
        <w:t>Significant differences between observed and expected probabilities (Mann–Whitney U test with Bonferroni correction). Asterisks denote significant comparisons.</w:t>
      </w:r>
    </w:p>
    <w:p w:rsidR="00A92655" w:rsidRDefault="00F80781">
      <w:pPr>
        <w:spacing w:after="120"/>
        <w:jc w:val="both"/>
        <w:rPr>
          <w:rFonts w:ascii="Times New Roman" w:eastAsia="Times New Roman" w:hAnsi="Times New Roman" w:cs="Times New Roman"/>
          <w:i/>
        </w:rPr>
      </w:pPr>
      <w:r>
        <w:br w:type="page"/>
      </w:r>
    </w:p>
    <w:p w:rsidR="00A92655" w:rsidRDefault="00A92655">
      <w:pPr>
        <w:spacing w:after="120"/>
        <w:jc w:val="both"/>
        <w:rPr>
          <w:rFonts w:ascii="Times New Roman" w:eastAsia="Times New Roman" w:hAnsi="Times New Roman" w:cs="Times New Roman"/>
          <w:i/>
        </w:rPr>
      </w:pPr>
    </w:p>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b/>
        </w:rPr>
        <w:t>Table D</w:t>
      </w:r>
      <w:proofErr w:type="gramStart"/>
      <w:r>
        <w:rPr>
          <w:rFonts w:ascii="Times New Roman" w:eastAsia="Times New Roman" w:hAnsi="Times New Roman" w:cs="Times New Roman"/>
          <w:b/>
        </w:rPr>
        <w:t xml:space="preserve">2  </w:t>
      </w:r>
      <w:r>
        <w:rPr>
          <w:rFonts w:ascii="Times New Roman" w:eastAsia="Times New Roman" w:hAnsi="Times New Roman" w:cs="Times New Roman"/>
          <w:i/>
        </w:rPr>
        <w:t>The</w:t>
      </w:r>
      <w:proofErr w:type="gramEnd"/>
      <w:r>
        <w:rPr>
          <w:rFonts w:ascii="Times New Roman" w:eastAsia="Times New Roman" w:hAnsi="Times New Roman" w:cs="Times New Roman"/>
          <w:i/>
        </w:rPr>
        <w:t xml:space="preserve"> difference between the observed and expected probabilities. The asterisks repre</w:t>
      </w:r>
      <w:r>
        <w:rPr>
          <w:rFonts w:ascii="Times New Roman" w:eastAsia="Times New Roman" w:hAnsi="Times New Roman" w:cs="Times New Roman"/>
          <w:i/>
        </w:rPr>
        <w:t>sent the significant difference between the observed and expected probabilities.</w:t>
      </w:r>
    </w:p>
    <w:tbl>
      <w:tblPr>
        <w:tblStyle w:val="a0"/>
        <w:tblW w:w="5490" w:type="dxa"/>
        <w:tblInd w:w="0" w:type="dxa"/>
        <w:tblLayout w:type="fixed"/>
        <w:tblLook w:val="0600" w:firstRow="0" w:lastRow="0" w:firstColumn="0" w:lastColumn="0" w:noHBand="1" w:noVBand="1"/>
      </w:tblPr>
      <w:tblGrid>
        <w:gridCol w:w="1490"/>
        <w:gridCol w:w="770"/>
        <w:gridCol w:w="845"/>
        <w:gridCol w:w="845"/>
        <w:gridCol w:w="770"/>
        <w:gridCol w:w="770"/>
      </w:tblGrid>
      <w:tr w:rsidR="00A92655">
        <w:trPr>
          <w:trHeight w:val="515"/>
        </w:trPr>
        <w:tc>
          <w:tcPr>
            <w:tcW w:w="1490"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rPr>
            </w:pPr>
            <w:r>
              <w:rPr>
                <w:rFonts w:ascii="Times New Roman" w:eastAsia="Times New Roman" w:hAnsi="Times New Roman" w:cs="Times New Roman"/>
                <w:b/>
              </w:rPr>
              <w:t>FROM \ TO</w:t>
            </w:r>
          </w:p>
        </w:tc>
        <w:tc>
          <w:tcPr>
            <w:tcW w:w="770"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rPr>
            </w:pPr>
            <w:r>
              <w:rPr>
                <w:rFonts w:ascii="Times New Roman" w:eastAsia="Times New Roman" w:hAnsi="Times New Roman" w:cs="Times New Roman"/>
                <w:b/>
              </w:rPr>
              <w:t>MS 1</w:t>
            </w:r>
          </w:p>
        </w:tc>
        <w:tc>
          <w:tcPr>
            <w:tcW w:w="84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rPr>
            </w:pPr>
            <w:r>
              <w:rPr>
                <w:rFonts w:ascii="Times New Roman" w:eastAsia="Times New Roman" w:hAnsi="Times New Roman" w:cs="Times New Roman"/>
                <w:b/>
              </w:rPr>
              <w:t>MS 2</w:t>
            </w:r>
          </w:p>
        </w:tc>
        <w:tc>
          <w:tcPr>
            <w:tcW w:w="845"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rPr>
            </w:pPr>
            <w:r>
              <w:rPr>
                <w:rFonts w:ascii="Times New Roman" w:eastAsia="Times New Roman" w:hAnsi="Times New Roman" w:cs="Times New Roman"/>
                <w:b/>
              </w:rPr>
              <w:t>MS 3</w:t>
            </w:r>
          </w:p>
        </w:tc>
        <w:tc>
          <w:tcPr>
            <w:tcW w:w="770"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rPr>
            </w:pPr>
            <w:r>
              <w:rPr>
                <w:rFonts w:ascii="Times New Roman" w:eastAsia="Times New Roman" w:hAnsi="Times New Roman" w:cs="Times New Roman"/>
                <w:b/>
              </w:rPr>
              <w:t>MS 4</w:t>
            </w:r>
          </w:p>
        </w:tc>
        <w:tc>
          <w:tcPr>
            <w:tcW w:w="770" w:type="dxa"/>
            <w:tcMar>
              <w:top w:w="100" w:type="dxa"/>
              <w:left w:w="100" w:type="dxa"/>
              <w:bottom w:w="100" w:type="dxa"/>
              <w:right w:w="100" w:type="dxa"/>
            </w:tcMar>
          </w:tcPr>
          <w:p w:rsidR="00A92655" w:rsidRDefault="00F80781">
            <w:pPr>
              <w:spacing w:after="120"/>
              <w:jc w:val="center"/>
              <w:rPr>
                <w:rFonts w:ascii="Times New Roman" w:eastAsia="Times New Roman" w:hAnsi="Times New Roman" w:cs="Times New Roman"/>
              </w:rPr>
            </w:pPr>
            <w:r>
              <w:rPr>
                <w:rFonts w:ascii="Times New Roman" w:eastAsia="Times New Roman" w:hAnsi="Times New Roman" w:cs="Times New Roman"/>
                <w:b/>
              </w:rPr>
              <w:t>MS 5</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b/>
              </w:rPr>
              <w:t>MS 1</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proofErr w:type="spellStart"/>
            <w:r>
              <w:rPr>
                <w:rFonts w:ascii="Times New Roman" w:eastAsia="Times New Roman" w:hAnsi="Times New Roman" w:cs="Times New Roman"/>
              </w:rPr>
              <w:t>NaN</w:t>
            </w:r>
            <w:proofErr w:type="spellEnd"/>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-0.93*</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0.84</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0.57</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-0.50</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b/>
              </w:rPr>
              <w:t>MS 2</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-0.52</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proofErr w:type="spellStart"/>
            <w:r>
              <w:rPr>
                <w:rFonts w:ascii="Times New Roman" w:eastAsia="Times New Roman" w:hAnsi="Times New Roman" w:cs="Times New Roman"/>
              </w:rPr>
              <w:t>NaN</w:t>
            </w:r>
            <w:proofErr w:type="spellEnd"/>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-1.06*</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0.33</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1.25</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b/>
              </w:rPr>
              <w:t>MS 3</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0.60</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-0.67</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proofErr w:type="spellStart"/>
            <w:r>
              <w:rPr>
                <w:rFonts w:ascii="Times New Roman" w:eastAsia="Times New Roman" w:hAnsi="Times New Roman" w:cs="Times New Roman"/>
              </w:rPr>
              <w:t>NaN</w:t>
            </w:r>
            <w:proofErr w:type="spellEnd"/>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-0.06</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0.14</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b/>
              </w:rPr>
              <w:t>MS 4</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0.57</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0.50</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-0.44</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proofErr w:type="spellStart"/>
            <w:r>
              <w:rPr>
                <w:rFonts w:ascii="Times New Roman" w:eastAsia="Times New Roman" w:hAnsi="Times New Roman" w:cs="Times New Roman"/>
              </w:rPr>
              <w:t>NaN</w:t>
            </w:r>
            <w:proofErr w:type="spellEnd"/>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-0.63</w:t>
            </w:r>
          </w:p>
        </w:tc>
      </w:tr>
      <w:tr w:rsidR="00A92655">
        <w:trPr>
          <w:trHeight w:val="515"/>
        </w:trPr>
        <w:tc>
          <w:tcPr>
            <w:tcW w:w="149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b/>
              </w:rPr>
              <w:t>MS 5</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-0.90</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1.63</w:t>
            </w:r>
          </w:p>
        </w:tc>
        <w:tc>
          <w:tcPr>
            <w:tcW w:w="845"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0.37</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r>
              <w:rPr>
                <w:rFonts w:ascii="Times New Roman" w:eastAsia="Times New Roman" w:hAnsi="Times New Roman" w:cs="Times New Roman"/>
              </w:rPr>
              <w:t>-1.10</w:t>
            </w:r>
          </w:p>
        </w:tc>
        <w:tc>
          <w:tcPr>
            <w:tcW w:w="770" w:type="dxa"/>
            <w:tcMar>
              <w:top w:w="100" w:type="dxa"/>
              <w:left w:w="100" w:type="dxa"/>
              <w:bottom w:w="100" w:type="dxa"/>
              <w:right w:w="100" w:type="dxa"/>
            </w:tcMar>
          </w:tcPr>
          <w:p w:rsidR="00A92655" w:rsidRDefault="00F80781">
            <w:pPr>
              <w:spacing w:after="120"/>
              <w:jc w:val="both"/>
              <w:rPr>
                <w:rFonts w:ascii="Times New Roman" w:eastAsia="Times New Roman" w:hAnsi="Times New Roman" w:cs="Times New Roman"/>
              </w:rPr>
            </w:pPr>
            <w:proofErr w:type="spellStart"/>
            <w:r>
              <w:rPr>
                <w:rFonts w:ascii="Times New Roman" w:eastAsia="Times New Roman" w:hAnsi="Times New Roman" w:cs="Times New Roman"/>
              </w:rPr>
              <w:t>NaN</w:t>
            </w:r>
            <w:proofErr w:type="spellEnd"/>
          </w:p>
        </w:tc>
      </w:tr>
    </w:tbl>
    <w:p w:rsidR="00D2436F" w:rsidRDefault="00D2436F">
      <w:pPr>
        <w:spacing w:after="120"/>
        <w:jc w:val="both"/>
        <w:rPr>
          <w:rFonts w:ascii="Times New Roman" w:eastAsia="Times New Roman" w:hAnsi="Times New Roman" w:cs="Times New Roman"/>
        </w:rPr>
      </w:pPr>
    </w:p>
    <w:p w:rsidR="00D2436F" w:rsidRDefault="00D2436F" w:rsidP="00D2436F">
      <w:r>
        <w:br w:type="page"/>
      </w:r>
    </w:p>
    <w:p w:rsidR="00A92655" w:rsidRPr="000730CA" w:rsidRDefault="000730CA" w:rsidP="000730CA">
      <w:pPr>
        <w:pStyle w:val="Nadpis1"/>
        <w:rPr>
          <w:rFonts w:ascii="Times New Roman" w:eastAsia="Times New Roman" w:hAnsi="Times New Roman" w:cs="Times New Roman"/>
          <w:sz w:val="32"/>
          <w:szCs w:val="32"/>
        </w:rPr>
      </w:pPr>
      <w:r w:rsidRPr="000730CA">
        <w:rPr>
          <w:rFonts w:ascii="Times New Roman" w:eastAsia="Times New Roman" w:hAnsi="Times New Roman" w:cs="Times New Roman"/>
          <w:sz w:val="32"/>
          <w:szCs w:val="32"/>
        </w:rPr>
        <w:lastRenderedPageBreak/>
        <w:t>References</w:t>
      </w:r>
    </w:p>
    <w:p w:rsidR="000730CA" w:rsidRDefault="000730CA" w:rsidP="000730CA">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Custo</w:t>
      </w:r>
      <w:proofErr w:type="spellEnd"/>
      <w:r>
        <w:rPr>
          <w:rFonts w:ascii="Times New Roman" w:eastAsia="Times New Roman" w:hAnsi="Times New Roman" w:cs="Times New Roman"/>
          <w:color w:val="000000"/>
        </w:rPr>
        <w:t xml:space="preserve">, A., Van De Ville, D., Wells, W., </w:t>
      </w:r>
      <w:proofErr w:type="spellStart"/>
      <w:r>
        <w:rPr>
          <w:rFonts w:ascii="Times New Roman" w:eastAsia="Times New Roman" w:hAnsi="Times New Roman" w:cs="Times New Roman"/>
          <w:color w:val="000000"/>
        </w:rPr>
        <w:t>Tomescu</w:t>
      </w:r>
      <w:proofErr w:type="spellEnd"/>
      <w:r>
        <w:rPr>
          <w:rFonts w:ascii="Times New Roman" w:eastAsia="Times New Roman" w:hAnsi="Times New Roman" w:cs="Times New Roman"/>
          <w:color w:val="000000"/>
        </w:rPr>
        <w:t>, M., Michel, C.: E</w:t>
      </w:r>
      <w:r>
        <w:rPr>
          <w:rFonts w:ascii="Times New Roman" w:eastAsia="Times New Roman" w:hAnsi="Times New Roman" w:cs="Times New Roman"/>
        </w:rPr>
        <w:t>EG</w:t>
      </w:r>
      <w:r>
        <w:rPr>
          <w:rFonts w:ascii="Times New Roman" w:eastAsia="Times New Roman" w:hAnsi="Times New Roman" w:cs="Times New Roman"/>
          <w:color w:val="000000"/>
        </w:rPr>
        <w:t xml:space="preserve"> resting-state networks: microstates’ source localization. Brain </w:t>
      </w:r>
      <w:r>
        <w:rPr>
          <w:rFonts w:ascii="Times New Roman" w:eastAsia="Times New Roman" w:hAnsi="Times New Roman" w:cs="Times New Roman"/>
        </w:rPr>
        <w:t>Connectivity</w:t>
      </w:r>
      <w:r>
        <w:rPr>
          <w:rFonts w:ascii="Times New Roman" w:eastAsia="Times New Roman" w:hAnsi="Times New Roman" w:cs="Times New Roman"/>
          <w:color w:val="000000"/>
        </w:rPr>
        <w:t xml:space="preserve"> 7 (2017). </w:t>
      </w:r>
      <w:hyperlink r:id="rId18">
        <w:r>
          <w:rPr>
            <w:rFonts w:ascii="Times New Roman" w:eastAsia="Times New Roman" w:hAnsi="Times New Roman" w:cs="Times New Roman"/>
            <w:color w:val="1155CC"/>
            <w:u w:val="single"/>
          </w:rPr>
          <w:t>https://doi.org/10.1089/brain.2016.0476</w:t>
        </w:r>
      </w:hyperlink>
      <w:r>
        <w:rPr>
          <w:rFonts w:ascii="Times New Roman" w:eastAsia="Times New Roman" w:hAnsi="Times New Roman" w:cs="Times New Roman"/>
          <w:color w:val="000000"/>
        </w:rPr>
        <w:t xml:space="preserve"> </w:t>
      </w:r>
    </w:p>
    <w:p w:rsidR="000730CA" w:rsidRDefault="000730CA" w:rsidP="000730CA">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sidR="00F80781">
        <w:rPr>
          <w:rFonts w:ascii="Times New Roman" w:eastAsia="Times New Roman" w:hAnsi="Times New Roman" w:cs="Times New Roman"/>
          <w:color w:val="000000"/>
        </w:rPr>
        <w:t>2</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Davies, D.L., Bouldin, D.W.: A cluster separation measure. IEEE </w:t>
      </w:r>
      <w:r>
        <w:rPr>
          <w:rFonts w:ascii="Times New Roman" w:eastAsia="Times New Roman" w:hAnsi="Times New Roman" w:cs="Times New Roman"/>
        </w:rPr>
        <w:t>Transactions</w:t>
      </w:r>
      <w:r>
        <w:rPr>
          <w:rFonts w:ascii="Times New Roman" w:eastAsia="Times New Roman" w:hAnsi="Times New Roman" w:cs="Times New Roman"/>
          <w:color w:val="000000"/>
        </w:rPr>
        <w:t xml:space="preserve"> on Pattern Analysis and Machine Intelligence PAMI-1(2), 224–227 (1979). </w:t>
      </w:r>
      <w:hyperlink r:id="rId19">
        <w:r>
          <w:rPr>
            <w:rFonts w:ascii="Times New Roman" w:eastAsia="Times New Roman" w:hAnsi="Times New Roman" w:cs="Times New Roman"/>
            <w:color w:val="1155CC"/>
            <w:u w:val="single"/>
          </w:rPr>
          <w:t>https://doi.org/10.1109/TPAMI.1979.4766909</w:t>
        </w:r>
      </w:hyperlink>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3</w:t>
      </w:r>
      <w:r>
        <w:rPr>
          <w:rFonts w:ascii="Times New Roman" w:eastAsia="Times New Roman" w:hAnsi="Times New Roman" w:cs="Times New Roman"/>
          <w:color w:val="000000"/>
        </w:rPr>
        <w:t>]</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Krzanowski</w:t>
      </w:r>
      <w:proofErr w:type="spellEnd"/>
      <w:r>
        <w:rPr>
          <w:rFonts w:ascii="Times New Roman" w:eastAsia="Times New Roman" w:hAnsi="Times New Roman" w:cs="Times New Roman"/>
          <w:color w:val="000000"/>
        </w:rPr>
        <w:t xml:space="preserve">, W.J., Lai, Y.T.: A criterion for determining the number of groups in a data set using sum-of-squares clustering. Biometrics 44(1), 23–34 (1988). </w:t>
      </w:r>
      <w:r>
        <w:rPr>
          <w:rFonts w:ascii="Times New Roman" w:eastAsia="Times New Roman" w:hAnsi="Times New Roman" w:cs="Times New Roman"/>
          <w:color w:val="1155CC"/>
          <w:u w:val="single"/>
        </w:rPr>
        <w:t>https://doi.org/10.2307/2531893</w:t>
      </w:r>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4</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Dunn, J.C.: Well-separated clusters and optimal fuzzy partitions. Cybernetics and Systems 4, 95–104 (1973). </w:t>
      </w:r>
      <w:hyperlink r:id="rId20">
        <w:r>
          <w:rPr>
            <w:rFonts w:ascii="Times New Roman" w:eastAsia="Times New Roman" w:hAnsi="Times New Roman" w:cs="Times New Roman"/>
            <w:color w:val="1155CC"/>
            <w:u w:val="single"/>
          </w:rPr>
          <w:t>https://doi.org/10.1080/01969727408546059</w:t>
        </w:r>
      </w:hyperlink>
      <w:r>
        <w:rPr>
          <w:rFonts w:ascii="Times New Roman" w:eastAsia="Times New Roman" w:hAnsi="Times New Roman" w:cs="Times New Roman"/>
          <w:color w:val="000000"/>
        </w:rPr>
        <w:t xml:space="preserve"> </w:t>
      </w:r>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5</w:t>
      </w:r>
      <w:r>
        <w:rPr>
          <w:rFonts w:ascii="Times New Roman" w:eastAsia="Times New Roman" w:hAnsi="Times New Roman" w:cs="Times New Roman"/>
          <w:color w:val="000000"/>
        </w:rPr>
        <w:t>]</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Charrad</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Ghazzali</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Boiteau</w:t>
      </w:r>
      <w:proofErr w:type="spellEnd"/>
      <w:r>
        <w:rPr>
          <w:rFonts w:ascii="Times New Roman" w:eastAsia="Times New Roman" w:hAnsi="Times New Roman" w:cs="Times New Roman"/>
          <w:color w:val="000000"/>
        </w:rPr>
        <w:t xml:space="preserve">, V., </w:t>
      </w:r>
      <w:proofErr w:type="spellStart"/>
      <w:r>
        <w:rPr>
          <w:rFonts w:ascii="Times New Roman" w:eastAsia="Times New Roman" w:hAnsi="Times New Roman" w:cs="Times New Roman"/>
          <w:color w:val="000000"/>
        </w:rPr>
        <w:t>Niknafs</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Nbclust</w:t>
      </w:r>
      <w:proofErr w:type="spellEnd"/>
      <w:r>
        <w:rPr>
          <w:rFonts w:ascii="Times New Roman" w:eastAsia="Times New Roman" w:hAnsi="Times New Roman" w:cs="Times New Roman"/>
          <w:color w:val="000000"/>
        </w:rPr>
        <w:t xml:space="preserve">: An r package for determining the relevant number of clusters in a data set. Journal of Statistical Software 61(6), 1–36 (2014). </w:t>
      </w:r>
      <w:hyperlink r:id="rId21">
        <w:r>
          <w:rPr>
            <w:rFonts w:ascii="Times New Roman" w:eastAsia="Times New Roman" w:hAnsi="Times New Roman" w:cs="Times New Roman"/>
            <w:color w:val="1155CC"/>
            <w:u w:val="single"/>
          </w:rPr>
          <w:t>https://doi.org/10.18637/jss.v061.i06</w:t>
        </w:r>
      </w:hyperlink>
      <w:r>
        <w:rPr>
          <w:rFonts w:ascii="Times New Roman" w:eastAsia="Times New Roman" w:hAnsi="Times New Roman" w:cs="Times New Roman"/>
          <w:color w:val="000000"/>
        </w:rPr>
        <w:t xml:space="preserve"> </w:t>
      </w:r>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6</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Frey, T., van </w:t>
      </w:r>
      <w:proofErr w:type="spellStart"/>
      <w:r>
        <w:rPr>
          <w:rFonts w:ascii="Times New Roman" w:eastAsia="Times New Roman" w:hAnsi="Times New Roman" w:cs="Times New Roman"/>
          <w:color w:val="000000"/>
        </w:rPr>
        <w:t>Groenewoud</w:t>
      </w:r>
      <w:proofErr w:type="spellEnd"/>
      <w:r>
        <w:rPr>
          <w:rFonts w:ascii="Times New Roman" w:eastAsia="Times New Roman" w:hAnsi="Times New Roman" w:cs="Times New Roman"/>
          <w:color w:val="000000"/>
        </w:rPr>
        <w:t>, H.: A cluster analysis of</w:t>
      </w:r>
      <w:r>
        <w:rPr>
          <w:rFonts w:ascii="Times New Roman" w:eastAsia="Times New Roman" w:hAnsi="Times New Roman" w:cs="Times New Roman"/>
        </w:rPr>
        <w:t xml:space="preserve"> </w:t>
      </w:r>
      <w:proofErr w:type="gramStart"/>
      <w:r>
        <w:rPr>
          <w:rFonts w:ascii="Times New Roman" w:eastAsia="Times New Roman" w:hAnsi="Times New Roman" w:cs="Times New Roman"/>
          <w:color w:val="000000"/>
        </w:rPr>
        <w:t>the  d</w:t>
      </w:r>
      <w:proofErr w:type="gramEnd"/>
      <w:r>
        <w:rPr>
          <w:rFonts w:ascii="Times New Roman" w:eastAsia="Times New Roman" w:hAnsi="Times New Roman" w:cs="Times New Roman"/>
          <w:color w:val="000000"/>
        </w:rPr>
        <w:t>2  matrix</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of white spruce stands in </w:t>
      </w:r>
      <w:proofErr w:type="spellStart"/>
      <w:r>
        <w:rPr>
          <w:rFonts w:ascii="Times New Roman" w:eastAsia="Times New Roman" w:hAnsi="Times New Roman" w:cs="Times New Roman"/>
          <w:color w:val="000000"/>
        </w:rPr>
        <w:t>saskatchewan</w:t>
      </w:r>
      <w:proofErr w:type="spellEnd"/>
      <w:r>
        <w:rPr>
          <w:rFonts w:ascii="Times New Roman" w:eastAsia="Times New Roman" w:hAnsi="Times New Roman" w:cs="Times New Roman"/>
          <w:color w:val="000000"/>
        </w:rPr>
        <w:t xml:space="preserve"> based on the maximum-minimum principle. Journal of Ecology 60(3), 873–886 (1972). </w:t>
      </w:r>
      <w:r>
        <w:rPr>
          <w:rFonts w:ascii="Times New Roman" w:eastAsia="Times New Roman" w:hAnsi="Times New Roman" w:cs="Times New Roman"/>
          <w:color w:val="1155CC"/>
          <w:u w:val="single"/>
        </w:rPr>
        <w:t>https://doi.org/10.2307/2258571</w:t>
      </w:r>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7</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Poulsen, A., </w:t>
      </w:r>
      <w:proofErr w:type="spellStart"/>
      <w:r>
        <w:rPr>
          <w:rFonts w:ascii="Times New Roman" w:eastAsia="Times New Roman" w:hAnsi="Times New Roman" w:cs="Times New Roman"/>
          <w:color w:val="000000"/>
        </w:rPr>
        <w:t>Pedroni</w:t>
      </w:r>
      <w:proofErr w:type="spellEnd"/>
      <w:r>
        <w:rPr>
          <w:rFonts w:ascii="Times New Roman" w:eastAsia="Times New Roman" w:hAnsi="Times New Roman" w:cs="Times New Roman"/>
          <w:color w:val="000000"/>
        </w:rPr>
        <w:t xml:space="preserve">, A., Langer, N., Hansen, L.: Microstate </w:t>
      </w:r>
      <w:r>
        <w:rPr>
          <w:rFonts w:ascii="Times New Roman" w:eastAsia="Times New Roman" w:hAnsi="Times New Roman" w:cs="Times New Roman"/>
        </w:rPr>
        <w:t>EEGLAB</w:t>
      </w:r>
      <w:r>
        <w:rPr>
          <w:rFonts w:ascii="Times New Roman" w:eastAsia="Times New Roman" w:hAnsi="Times New Roman" w:cs="Times New Roman"/>
          <w:color w:val="000000"/>
        </w:rPr>
        <w:t xml:space="preserve"> toolbox: An introductory guide (2018). </w:t>
      </w:r>
      <w:hyperlink r:id="rId22">
        <w:r>
          <w:rPr>
            <w:rFonts w:ascii="Times New Roman" w:eastAsia="Times New Roman" w:hAnsi="Times New Roman" w:cs="Times New Roman"/>
            <w:color w:val="1155CC"/>
            <w:u w:val="single"/>
          </w:rPr>
          <w:t>https://doi.org/10.1101/289850</w:t>
        </w:r>
      </w:hyperlink>
      <w:r>
        <w:rPr>
          <w:rFonts w:ascii="Times New Roman" w:eastAsia="Times New Roman" w:hAnsi="Times New Roman" w:cs="Times New Roman"/>
          <w:color w:val="000000"/>
        </w:rPr>
        <w:t xml:space="preserve"> </w:t>
      </w:r>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8</w:t>
      </w:r>
      <w:r>
        <w:rPr>
          <w:rFonts w:ascii="Times New Roman" w:eastAsia="Times New Roman" w:hAnsi="Times New Roman" w:cs="Times New Roman"/>
          <w:color w:val="000000"/>
        </w:rPr>
        <w:t>]</w:t>
      </w:r>
      <w:r>
        <w:rPr>
          <w:rFonts w:ascii="Times New Roman" w:eastAsia="Times New Roman" w:hAnsi="Times New Roman" w:cs="Times New Roman"/>
          <w:color w:val="000000"/>
        </w:rPr>
        <w:tab/>
        <w:t>Pascual-</w:t>
      </w:r>
      <w:proofErr w:type="spellStart"/>
      <w:r>
        <w:rPr>
          <w:rFonts w:ascii="Times New Roman" w:eastAsia="Times New Roman" w:hAnsi="Times New Roman" w:cs="Times New Roman"/>
          <w:color w:val="000000"/>
        </w:rPr>
        <w:t>Marqui</w:t>
      </w:r>
      <w:proofErr w:type="spellEnd"/>
      <w:r>
        <w:rPr>
          <w:rFonts w:ascii="Times New Roman" w:eastAsia="Times New Roman" w:hAnsi="Times New Roman" w:cs="Times New Roman"/>
          <w:color w:val="000000"/>
        </w:rPr>
        <w:t xml:space="preserve">, R.D., Michel, C.M., Lehmann, D.: Segmentation of brain electrical activity into microstates: model estimation and validation. IEEE Transactions on Biomedical Engineering 42(7), 658–665 (1995). </w:t>
      </w:r>
      <w:hyperlink r:id="rId23">
        <w:r>
          <w:rPr>
            <w:rFonts w:ascii="Times New Roman" w:eastAsia="Times New Roman" w:hAnsi="Times New Roman" w:cs="Times New Roman"/>
            <w:color w:val="1155CC"/>
            <w:u w:val="single"/>
          </w:rPr>
          <w:t>https://doi.org/10.1109/10.391164</w:t>
        </w:r>
      </w:hyperlink>
      <w:r>
        <w:rPr>
          <w:rFonts w:ascii="Times New Roman" w:eastAsia="Times New Roman" w:hAnsi="Times New Roman" w:cs="Times New Roman"/>
          <w:color w:val="000000"/>
        </w:rPr>
        <w:t xml:space="preserve"> </w:t>
      </w:r>
    </w:p>
    <w:p w:rsidR="00F80781" w:rsidRDefault="00F80781" w:rsidP="00F80781">
      <w:pPr>
        <w:pBdr>
          <w:top w:val="nil"/>
          <w:left w:val="nil"/>
          <w:bottom w:val="nil"/>
          <w:right w:val="nil"/>
          <w:between w:val="nil"/>
        </w:pBdr>
        <w:spacing w:before="180" w:after="180"/>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9</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Murray, M., Brunet, D., Michel, C.: Topographic </w:t>
      </w:r>
      <w:proofErr w:type="spellStart"/>
      <w:r>
        <w:rPr>
          <w:rFonts w:ascii="Times New Roman" w:eastAsia="Times New Roman" w:hAnsi="Times New Roman" w:cs="Times New Roman"/>
          <w:color w:val="000000"/>
        </w:rPr>
        <w:t>erp</w:t>
      </w:r>
      <w:proofErr w:type="spellEnd"/>
      <w:r>
        <w:rPr>
          <w:rFonts w:ascii="Times New Roman" w:eastAsia="Times New Roman" w:hAnsi="Times New Roman" w:cs="Times New Roman"/>
          <w:color w:val="000000"/>
        </w:rPr>
        <w:t xml:space="preserve"> analyses: A </w:t>
      </w:r>
      <w:r>
        <w:rPr>
          <w:rFonts w:ascii="Times New Roman" w:eastAsia="Times New Roman" w:hAnsi="Times New Roman" w:cs="Times New Roman"/>
        </w:rPr>
        <w:t>step-by-step</w:t>
      </w:r>
      <w:r>
        <w:rPr>
          <w:rFonts w:ascii="Times New Roman" w:eastAsia="Times New Roman" w:hAnsi="Times New Roman" w:cs="Times New Roman"/>
          <w:color w:val="000000"/>
        </w:rPr>
        <w:t xml:space="preserve"> tutorial review. Brain topography 20, 249–64 (2008). </w:t>
      </w:r>
      <w:hyperlink r:id="rId24">
        <w:r>
          <w:rPr>
            <w:rFonts w:ascii="Times New Roman" w:eastAsia="Times New Roman" w:hAnsi="Times New Roman" w:cs="Times New Roman"/>
            <w:color w:val="1155CC"/>
            <w:u w:val="single"/>
          </w:rPr>
          <w:t>https://doi. org/10.1007/s10548-008-0054-5</w:t>
        </w:r>
      </w:hyperlink>
      <w:r>
        <w:rPr>
          <w:rFonts w:ascii="Times New Roman" w:eastAsia="Times New Roman" w:hAnsi="Times New Roman" w:cs="Times New Roman"/>
          <w:color w:val="000000"/>
        </w:rPr>
        <w:t xml:space="preserve"> </w:t>
      </w:r>
    </w:p>
    <w:p w:rsidR="000730CA" w:rsidRDefault="000730CA" w:rsidP="000730CA">
      <w:pPr>
        <w:pBdr>
          <w:top w:val="nil"/>
          <w:left w:val="nil"/>
          <w:bottom w:val="nil"/>
          <w:right w:val="nil"/>
          <w:between w:val="nil"/>
        </w:pBdr>
        <w:spacing w:before="180" w:after="180"/>
        <w:rPr>
          <w:rFonts w:ascii="Times New Roman" w:eastAsia="Times New Roman" w:hAnsi="Times New Roman" w:cs="Times New Roman"/>
          <w:color w:val="000000"/>
        </w:rPr>
      </w:pPr>
    </w:p>
    <w:p w:rsidR="000730CA" w:rsidRPr="000730CA" w:rsidRDefault="000730CA" w:rsidP="000730CA"/>
    <w:sectPr w:rsidR="000730CA" w:rsidRPr="000730CA">
      <w:pgSz w:w="12240" w:h="15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auto"/>
    <w:pitch w:val="default"/>
  </w:font>
  <w:font w:name="Play">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Aptos Display">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55"/>
    <w:rsid w:val="000730CA"/>
    <w:rsid w:val="00A92655"/>
    <w:rsid w:val="00D2436F"/>
    <w:rsid w:val="00F807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287F"/>
  <w15:docId w15:val="{4AD85289-A21F-42BC-B90B-1CC63FD6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GB" w:eastAsia="cs-CZ"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
    <w:next w:val="Normln"/>
    <w:uiPriority w:val="9"/>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i/>
      <w:color w:val="0F4761"/>
    </w:rPr>
  </w:style>
  <w:style w:type="paragraph" w:styleId="Nadpis5">
    <w:name w:val="heading 5"/>
    <w:basedOn w:val="Normln"/>
    <w:next w:val="Normln"/>
    <w:uiPriority w:val="9"/>
    <w:semiHidden/>
    <w:unhideWhenUsed/>
    <w:qFormat/>
    <w:pPr>
      <w:keepNext/>
      <w:keepLines/>
      <w:spacing w:before="80" w:after="40"/>
      <w:outlineLvl w:val="4"/>
    </w:pPr>
    <w:rPr>
      <w:color w:val="0F4761"/>
    </w:rPr>
  </w:style>
  <w:style w:type="paragraph" w:styleId="Nadpis6">
    <w:name w:val="heading 6"/>
    <w:basedOn w:val="Normln"/>
    <w:next w:val="Normln"/>
    <w:uiPriority w:val="9"/>
    <w:semiHidden/>
    <w:unhideWhenUsed/>
    <w:qFormat/>
    <w:pPr>
      <w:keepNext/>
      <w:keepLines/>
      <w:spacing w:before="40" w:after="0"/>
      <w:outlineLvl w:val="5"/>
    </w:pPr>
    <w:rPr>
      <w:i/>
      <w:color w:val="595959"/>
    </w:rPr>
  </w:style>
  <w:style w:type="paragraph" w:styleId="Nadpis7">
    <w:name w:val="heading 7"/>
    <w:next w:val="Zkladntext"/>
    <w:link w:val="Nadpis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Nadpis8">
    <w:name w:val="heading 8"/>
    <w:next w:val="Zkladntext"/>
    <w:link w:val="Nadpis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Nadpis9">
    <w:name w:val="heading 9"/>
    <w:next w:val="Zkladntext"/>
    <w:link w:val="Nadpis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jc w:val="center"/>
    </w:pPr>
    <w:rPr>
      <w:rFonts w:ascii="Play" w:eastAsia="Play" w:hAnsi="Play" w:cs="Play"/>
      <w:sz w:val="56"/>
      <w:szCs w:val="56"/>
    </w:rPr>
  </w:style>
  <w:style w:type="table" w:customStyle="1" w:styleId="TableNormal1">
    <w:name w:val="Table Normal1"/>
    <w:tblPr>
      <w:tblCellMar>
        <w:top w:w="0" w:type="dxa"/>
        <w:left w:w="0" w:type="dxa"/>
        <w:bottom w:w="0" w:type="dxa"/>
        <w:right w:w="0" w:type="dxa"/>
      </w:tblCellMar>
    </w:tblPr>
  </w:style>
  <w:style w:type="paragraph" w:styleId="Zkladntext">
    <w:name w:val="Body Text"/>
    <w:qFormat/>
    <w:pPr>
      <w:spacing w:before="180" w:after="180"/>
    </w:pPr>
  </w:style>
  <w:style w:type="paragraph" w:customStyle="1" w:styleId="FirstParagraph">
    <w:name w:val="First Paragraph"/>
    <w:basedOn w:val="Zkladntext"/>
    <w:next w:val="Zkladntext"/>
    <w:qFormat/>
  </w:style>
  <w:style w:type="paragraph" w:customStyle="1" w:styleId="Compact">
    <w:name w:val="Compact"/>
    <w:basedOn w:val="Zkladntext"/>
    <w:qFormat/>
    <w:pPr>
      <w:spacing w:before="36" w:after="36"/>
    </w:pPr>
  </w:style>
  <w:style w:type="character" w:customStyle="1" w:styleId="NzevChar">
    <w:name w:val="Název Char"/>
    <w:basedOn w:val="Standardnpsmoodstavce"/>
    <w:uiPriority w:val="10"/>
    <w:rsid w:val="00A10FD9"/>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A10FD9"/>
    <w:rPr>
      <w:rFonts w:eastAsiaTheme="majorEastAsia" w:cstheme="majorBidi"/>
      <w:color w:val="595959" w:themeColor="text1" w:themeTint="A6"/>
      <w:spacing w:val="15"/>
      <w:sz w:val="28"/>
      <w:szCs w:val="28"/>
    </w:rPr>
  </w:style>
  <w:style w:type="paragraph" w:customStyle="1" w:styleId="Author">
    <w:name w:val="Author"/>
    <w:next w:val="Zkladntext"/>
    <w:qFormat/>
    <w:pPr>
      <w:keepNext/>
      <w:keepLines/>
      <w:jc w:val="center"/>
    </w:pPr>
  </w:style>
  <w:style w:type="paragraph" w:styleId="Datum">
    <w:name w:val="Date"/>
    <w:next w:val="Zkladntext"/>
    <w:qFormat/>
    <w:pPr>
      <w:keepNext/>
      <w:keepLines/>
      <w:jc w:val="center"/>
    </w:pPr>
  </w:style>
  <w:style w:type="paragraph" w:customStyle="1" w:styleId="AbstractTitle">
    <w:name w:val="Abstract Title"/>
    <w:next w:val="Abstract"/>
    <w:qFormat/>
    <w:pPr>
      <w:keepNext/>
      <w:keepLines/>
      <w:spacing w:before="300" w:after="0"/>
      <w:jc w:val="center"/>
    </w:pPr>
    <w:rPr>
      <w:b/>
      <w:sz w:val="20"/>
      <w:szCs w:val="20"/>
    </w:rPr>
  </w:style>
  <w:style w:type="paragraph" w:customStyle="1" w:styleId="Abstract">
    <w:name w:val="Abstract"/>
    <w:next w:val="Zkladntext"/>
    <w:qFormat/>
    <w:pPr>
      <w:keepNext/>
      <w:keepLines/>
      <w:spacing w:before="100" w:after="300"/>
    </w:pPr>
    <w:rPr>
      <w:sz w:val="20"/>
      <w:szCs w:val="20"/>
    </w:rPr>
  </w:style>
  <w:style w:type="paragraph" w:styleId="Bibliografie">
    <w:name w:val="Bibliography"/>
    <w:qFormat/>
  </w:style>
  <w:style w:type="character" w:customStyle="1" w:styleId="Nadpis1Char">
    <w:name w:val="Nadpis 1 Char"/>
    <w:basedOn w:val="Standardnpsmoodstavce"/>
    <w:uiPriority w:val="9"/>
    <w:rsid w:val="00A10FD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uiPriority w:val="9"/>
    <w:semiHidden/>
    <w:rsid w:val="00A10FD9"/>
    <w:rPr>
      <w:rFonts w:eastAsiaTheme="majorEastAsia" w:cstheme="majorBidi"/>
      <w:color w:val="0F4761" w:themeColor="accent1" w:themeShade="BF"/>
      <w:sz w:val="28"/>
      <w:szCs w:val="28"/>
    </w:rPr>
  </w:style>
  <w:style w:type="character" w:customStyle="1" w:styleId="Nadpis4Char">
    <w:name w:val="Nadpis 4 Char"/>
    <w:basedOn w:val="Standardnpsmoodstavce"/>
    <w:uiPriority w:val="9"/>
    <w:semiHidden/>
    <w:rsid w:val="00A10FD9"/>
    <w:rPr>
      <w:rFonts w:eastAsiaTheme="majorEastAsia" w:cstheme="majorBidi"/>
      <w:i/>
      <w:iCs/>
      <w:color w:val="0F4761" w:themeColor="accent1" w:themeShade="BF"/>
    </w:rPr>
  </w:style>
  <w:style w:type="character" w:customStyle="1" w:styleId="Nadpis5Char">
    <w:name w:val="Nadpis 5 Char"/>
    <w:basedOn w:val="Standardnpsmoodstavce"/>
    <w:uiPriority w:val="9"/>
    <w:semiHidden/>
    <w:rsid w:val="00A10FD9"/>
    <w:rPr>
      <w:rFonts w:eastAsiaTheme="majorEastAsia" w:cstheme="majorBidi"/>
      <w:color w:val="0F4761" w:themeColor="accent1" w:themeShade="BF"/>
    </w:rPr>
  </w:style>
  <w:style w:type="character" w:customStyle="1" w:styleId="Nadpis6Char">
    <w:name w:val="Nadpis 6 Char"/>
    <w:basedOn w:val="Standardnpsmoodstavce"/>
    <w:uiPriority w:val="9"/>
    <w:semiHidden/>
    <w:rsid w:val="00A10FD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10FD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10FD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10FD9"/>
    <w:rPr>
      <w:rFonts w:eastAsiaTheme="majorEastAsia" w:cstheme="majorBidi"/>
      <w:color w:val="272727" w:themeColor="text1" w:themeTint="D8"/>
    </w:rPr>
  </w:style>
  <w:style w:type="paragraph" w:styleId="Textvbloku">
    <w:name w:val="Block Text"/>
    <w:basedOn w:val="Zkladntext"/>
    <w:next w:val="Zkladntext"/>
    <w:uiPriority w:val="9"/>
    <w:unhideWhenUsed/>
    <w:qFormat/>
    <w:pPr>
      <w:spacing w:before="100" w:after="100"/>
      <w:ind w:left="480" w:right="480"/>
    </w:pPr>
  </w:style>
  <w:style w:type="paragraph" w:styleId="Textpoznpodarou">
    <w:name w:val="footnote text"/>
    <w:uiPriority w:val="9"/>
    <w:unhideWhenUsed/>
    <w:qFormat/>
  </w:style>
  <w:style w:type="paragraph" w:customStyle="1" w:styleId="FootnoteBlockText">
    <w:name w:val="Footnote Block Text"/>
    <w:basedOn w:val="Textpoznpodarou"/>
    <w:next w:val="Textpoznpodarou"/>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next w:val="Definition"/>
    <w:pPr>
      <w:keepNext/>
      <w:keepLines/>
      <w:spacing w:after="0"/>
    </w:pPr>
    <w:rPr>
      <w:b/>
    </w:rPr>
  </w:style>
  <w:style w:type="paragraph" w:customStyle="1" w:styleId="Definition">
    <w:name w:val="Definition"/>
  </w:style>
  <w:style w:type="paragraph" w:styleId="Titulek">
    <w:name w:val="caption"/>
    <w:link w:val="TitulekChar"/>
    <w:pPr>
      <w:spacing w:after="120"/>
    </w:pPr>
    <w:rPr>
      <w:i/>
    </w:rPr>
  </w:style>
  <w:style w:type="paragraph" w:customStyle="1" w:styleId="TableCaption">
    <w:name w:val="Table Caption"/>
    <w:basedOn w:val="Titulek"/>
    <w:pPr>
      <w:keepNext/>
    </w:pPr>
  </w:style>
  <w:style w:type="paragraph" w:customStyle="1" w:styleId="ImageCaption">
    <w:name w:val="Image Caption"/>
    <w:basedOn w:val="Titulek"/>
  </w:style>
  <w:style w:type="paragraph" w:customStyle="1" w:styleId="Figure">
    <w:name w:val="Figure"/>
  </w:style>
  <w:style w:type="paragraph" w:customStyle="1" w:styleId="CaptionedFigure">
    <w:name w:val="Captioned Figure"/>
    <w:basedOn w:val="Figure"/>
    <w:pPr>
      <w:keepNext/>
    </w:pPr>
  </w:style>
  <w:style w:type="character" w:customStyle="1" w:styleId="TitulekChar">
    <w:name w:val="Titulek Char"/>
    <w:basedOn w:val="Standardnpsmoodstavce"/>
    <w:link w:val="Titulek"/>
  </w:style>
  <w:style w:type="character" w:customStyle="1" w:styleId="VerbatimChar">
    <w:name w:val="Verbatim Char"/>
    <w:basedOn w:val="TitulekChar"/>
    <w:rPr>
      <w:rFonts w:ascii="Consolas" w:hAnsi="Consolas"/>
      <w:sz w:val="22"/>
    </w:rPr>
  </w:style>
  <w:style w:type="character" w:customStyle="1" w:styleId="SectionNumber">
    <w:name w:val="Section Number"/>
    <w:basedOn w:val="TitulekChar"/>
  </w:style>
  <w:style w:type="character" w:styleId="Znakapoznpodarou">
    <w:name w:val="footnote reference"/>
    <w:basedOn w:val="TitulekChar"/>
    <w:rPr>
      <w:vertAlign w:val="superscript"/>
    </w:rPr>
  </w:style>
  <w:style w:type="character" w:styleId="Hypertextovodkaz">
    <w:name w:val="Hyperlink"/>
    <w:basedOn w:val="TitulekChar"/>
    <w:rPr>
      <w:color w:val="156082" w:themeColor="accent1"/>
    </w:rPr>
  </w:style>
  <w:style w:type="paragraph" w:styleId="Nadpisobsahu">
    <w:name w:val="TOC Heading"/>
    <w:next w:val="Zkladntext"/>
    <w:uiPriority w:val="39"/>
    <w:unhideWhenUsed/>
    <w:qFormat/>
    <w:pPr>
      <w:spacing w:before="240" w:line="259" w:lineRule="auto"/>
    </w:pPr>
  </w:style>
  <w:style w:type="character" w:styleId="Nevyeenzmnka">
    <w:name w:val="Unresolved Mention"/>
    <w:basedOn w:val="Standardnpsmoodstavce"/>
    <w:uiPriority w:val="99"/>
    <w:semiHidden/>
    <w:unhideWhenUsed/>
    <w:rsid w:val="007C5CB8"/>
    <w:rPr>
      <w:color w:val="605E5C"/>
      <w:shd w:val="clear" w:color="auto" w:fill="E1DFDD"/>
    </w:rPr>
  </w:style>
  <w:style w:type="character" w:styleId="Sledovanodkaz">
    <w:name w:val="FollowedHyperlink"/>
    <w:basedOn w:val="Standardnpsmoodstavce"/>
    <w:semiHidden/>
    <w:unhideWhenUsed/>
    <w:rsid w:val="00D77F48"/>
    <w:rPr>
      <w:color w:val="96607D" w:themeColor="followedHyperlink"/>
      <w:u w:val="single"/>
    </w:rPr>
  </w:style>
  <w:style w:type="paragraph" w:styleId="Zhlav">
    <w:name w:val="header"/>
    <w:link w:val="ZhlavChar"/>
    <w:unhideWhenUsed/>
    <w:rsid w:val="00BD1FEB"/>
    <w:pPr>
      <w:tabs>
        <w:tab w:val="center" w:pos="4536"/>
        <w:tab w:val="right" w:pos="9072"/>
      </w:tabs>
      <w:spacing w:after="0"/>
    </w:pPr>
  </w:style>
  <w:style w:type="character" w:customStyle="1" w:styleId="ZhlavChar">
    <w:name w:val="Záhlaví Char"/>
    <w:basedOn w:val="Standardnpsmoodstavce"/>
    <w:link w:val="Zhlav"/>
    <w:rsid w:val="00BD1FEB"/>
  </w:style>
  <w:style w:type="paragraph" w:styleId="Zpat">
    <w:name w:val="footer"/>
    <w:link w:val="ZpatChar"/>
    <w:unhideWhenUsed/>
    <w:rsid w:val="00BD1FEB"/>
    <w:pPr>
      <w:tabs>
        <w:tab w:val="center" w:pos="4536"/>
        <w:tab w:val="right" w:pos="9072"/>
      </w:tabs>
      <w:spacing w:after="0"/>
    </w:pPr>
  </w:style>
  <w:style w:type="character" w:customStyle="1" w:styleId="ZpatChar">
    <w:name w:val="Zápatí Char"/>
    <w:basedOn w:val="Standardnpsmoodstavce"/>
    <w:link w:val="Zpat"/>
    <w:rsid w:val="00BD1FEB"/>
  </w:style>
  <w:style w:type="paragraph" w:styleId="Revize">
    <w:name w:val="Revision"/>
    <w:hidden/>
    <w:uiPriority w:val="99"/>
    <w:semiHidden/>
    <w:rsid w:val="008803AE"/>
    <w:pPr>
      <w:spacing w:after="0"/>
    </w:pPr>
  </w:style>
  <w:style w:type="character" w:styleId="Odkaznakoment">
    <w:name w:val="annotation reference"/>
    <w:basedOn w:val="Standardnpsmoodstavce"/>
    <w:uiPriority w:val="99"/>
    <w:semiHidden/>
    <w:unhideWhenUsed/>
    <w:rsid w:val="00DF6BBC"/>
    <w:rPr>
      <w:sz w:val="16"/>
      <w:szCs w:val="16"/>
    </w:rPr>
  </w:style>
  <w:style w:type="paragraph" w:styleId="Textkomente">
    <w:name w:val="annotation text"/>
    <w:link w:val="TextkomenteChar"/>
    <w:uiPriority w:val="99"/>
    <w:unhideWhenUsed/>
    <w:rsid w:val="00DF6BBC"/>
    <w:rPr>
      <w:sz w:val="20"/>
      <w:szCs w:val="20"/>
    </w:rPr>
  </w:style>
  <w:style w:type="character" w:customStyle="1" w:styleId="TextkomenteChar">
    <w:name w:val="Text komentáře Char"/>
    <w:basedOn w:val="Standardnpsmoodstavce"/>
    <w:link w:val="Textkomente"/>
    <w:uiPriority w:val="99"/>
    <w:rsid w:val="00DF6BBC"/>
    <w:rPr>
      <w:sz w:val="20"/>
      <w:szCs w:val="20"/>
    </w:rPr>
  </w:style>
  <w:style w:type="paragraph" w:styleId="Pedmtkomente">
    <w:name w:val="annotation subject"/>
    <w:basedOn w:val="Textkomente"/>
    <w:next w:val="Textkomente"/>
    <w:link w:val="PedmtkomenteChar"/>
    <w:uiPriority w:val="99"/>
    <w:semiHidden/>
    <w:unhideWhenUsed/>
    <w:rsid w:val="00DF6BBC"/>
    <w:rPr>
      <w:b/>
      <w:bCs/>
    </w:rPr>
  </w:style>
  <w:style w:type="character" w:customStyle="1" w:styleId="PedmtkomenteChar">
    <w:name w:val="Předmět komentáře Char"/>
    <w:basedOn w:val="TextkomenteChar"/>
    <w:link w:val="Pedmtkomente"/>
    <w:uiPriority w:val="99"/>
    <w:semiHidden/>
    <w:rsid w:val="00DF6BBC"/>
    <w:rPr>
      <w:b/>
      <w:bCs/>
      <w:sz w:val="20"/>
      <w:szCs w:val="20"/>
    </w:rPr>
  </w:style>
  <w:style w:type="paragraph" w:styleId="Textbubliny">
    <w:name w:val="Balloon Text"/>
    <w:link w:val="TextbublinyChar"/>
    <w:uiPriority w:val="99"/>
    <w:semiHidden/>
    <w:unhideWhenUsed/>
    <w:rsid w:val="00E677F3"/>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77F3"/>
    <w:rPr>
      <w:rFonts w:ascii="Segoe UI" w:hAnsi="Segoe UI" w:cs="Segoe UI"/>
      <w:sz w:val="18"/>
      <w:szCs w:val="18"/>
    </w:rPr>
  </w:style>
  <w:style w:type="paragraph" w:styleId="Podnadpis">
    <w:name w:val="Subtitle"/>
    <w:basedOn w:val="Normln"/>
    <w:next w:val="Normln"/>
    <w:uiPriority w:val="11"/>
    <w:qFormat/>
    <w:pPr>
      <w:spacing w:after="80"/>
      <w:jc w:val="center"/>
    </w:pPr>
    <w:rPr>
      <w:rFonts w:ascii="Play" w:eastAsia="Play" w:hAnsi="Play" w:cs="Play"/>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doi.org/10.1089/brain.2016.047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8637/jss.v061.i06"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hyperlink" Target="https://doi.org/10.1080/01969727408546059" TargetMode="Externa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hyperlink" Target="https://doi" TargetMode="Externa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hyperlink" Target="https://doi.org/10.1109/10.391164" TargetMode="External"/><Relationship Id="rId10" Type="http://schemas.openxmlformats.org/officeDocument/2006/relationships/image" Target="media/image6.png"/><Relationship Id="rId19" Type="http://schemas.openxmlformats.org/officeDocument/2006/relationships/hyperlink" Target="https://doi.org/10.1109/TPAMI.1979.4766909"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doi.org/10.1101/289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umGazN90YsCcZ4G5H1cfYjun/w==">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1179</Words>
  <Characters>6959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Piorecka, Vaclava</cp:lastModifiedBy>
  <cp:revision>2</cp:revision>
  <dcterms:created xsi:type="dcterms:W3CDTF">2025-06-26T16:04:00Z</dcterms:created>
  <dcterms:modified xsi:type="dcterms:W3CDTF">2025-10-17T08:34:00Z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y fmtid="{D5CDD505-2E9C-101B-9397-08002B2CF9AE}" pid="3" name="GrammarlyDocumentId">
    <vt:lpwstr>1d2f7931-d384-49c3-836f-1faa9eae7268</vt:lpwstr>
  </property>
</Properties>
</file>